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101FF">
      <w:pPr>
        <w:spacing w:line="480" w:lineRule="auto"/>
        <w:ind w:firstLine="420"/>
        <w:jc w:val="center"/>
        <w:rPr>
          <w:rFonts w:ascii="宋体" w:hAnsi="宋体"/>
          <w:b/>
          <w:bCs/>
          <w:sz w:val="56"/>
          <w:szCs w:val="56"/>
          <w:highlight w:val="none"/>
        </w:rPr>
      </w:pPr>
      <w:bookmarkStart w:id="0" w:name="_Hlk65764553"/>
    </w:p>
    <w:p w14:paraId="67BCEC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广州市黄埔区南岗街南岗西路城中村改造项目房屋拆除工程及动迁服务</w:t>
      </w:r>
    </w:p>
    <w:p w14:paraId="3DF17BD4">
      <w:pPr>
        <w:pStyle w:val="167"/>
        <w:rPr>
          <w:rFonts w:ascii="宋体" w:hAnsi="宋体"/>
          <w:b w:val="0"/>
          <w:bCs/>
          <w:spacing w:val="26"/>
          <w:sz w:val="110"/>
          <w:szCs w:val="110"/>
          <w:highlight w:val="none"/>
          <w14:shadow w14:blurRad="50800" w14:dist="38100" w14:dir="2700000" w14:sx="100000" w14:sy="100000" w14:kx="0" w14:ky="0" w14:algn="tl">
            <w14:srgbClr w14:val="000000">
              <w14:alpha w14:val="60000"/>
            </w14:srgbClr>
          </w14:shadow>
        </w:rPr>
      </w:pPr>
    </w:p>
    <w:p w14:paraId="01168290">
      <w:pPr>
        <w:pStyle w:val="167"/>
        <w:rPr>
          <w:rFonts w:ascii="宋体" w:hAnsi="宋体"/>
          <w:b w:val="0"/>
          <w:bCs/>
          <w:spacing w:val="26"/>
          <w:sz w:val="110"/>
          <w:szCs w:val="110"/>
          <w:highlight w:val="none"/>
          <w14:shadow w14:blurRad="50800" w14:dist="38100" w14:dir="2700000" w14:sx="100000" w14:sy="100000" w14:kx="0" w14:ky="0" w14:algn="tl">
            <w14:srgbClr w14:val="000000">
              <w14:alpha w14:val="60000"/>
            </w14:srgbClr>
          </w14:shadow>
        </w:rPr>
      </w:pPr>
    </w:p>
    <w:p w14:paraId="4FA69145">
      <w:pPr>
        <w:spacing w:line="360" w:lineRule="auto"/>
        <w:ind w:firstLine="0" w:firstLineChars="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标</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文</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件</w:t>
      </w:r>
    </w:p>
    <w:p w14:paraId="00EAEC91">
      <w:pPr>
        <w:spacing w:line="360" w:lineRule="auto"/>
        <w:jc w:val="center"/>
        <w:rPr>
          <w:rFonts w:ascii="宋体" w:hAnsi="宋体"/>
          <w:sz w:val="32"/>
          <w:highlight w:val="none"/>
        </w:rPr>
      </w:pPr>
    </w:p>
    <w:p w14:paraId="0EF27504">
      <w:pPr>
        <w:spacing w:line="360" w:lineRule="auto"/>
        <w:rPr>
          <w:rFonts w:ascii="宋体" w:hAnsi="宋体"/>
          <w:sz w:val="52"/>
          <w:highlight w:val="none"/>
        </w:rPr>
      </w:pPr>
    </w:p>
    <w:p w14:paraId="1EC1E71C">
      <w:pPr>
        <w:pStyle w:val="167"/>
        <w:rPr>
          <w:rFonts w:ascii="宋体" w:hAnsi="宋体"/>
          <w:highlight w:val="none"/>
        </w:rPr>
      </w:pPr>
    </w:p>
    <w:p w14:paraId="4A108CFE">
      <w:pPr>
        <w:spacing w:line="360" w:lineRule="auto"/>
        <w:rPr>
          <w:rFonts w:ascii="宋体" w:hAnsi="宋体"/>
          <w:sz w:val="52"/>
          <w:highlight w:val="none"/>
        </w:rPr>
      </w:pPr>
    </w:p>
    <w:p w14:paraId="6C1CB118">
      <w:pPr>
        <w:pStyle w:val="2"/>
        <w:rPr>
          <w:rFonts w:ascii="宋体" w:hAnsi="宋体"/>
          <w:sz w:val="52"/>
          <w:highlight w:val="none"/>
        </w:rPr>
      </w:pPr>
    </w:p>
    <w:p w14:paraId="1A7C34DE">
      <w:pPr>
        <w:pStyle w:val="2"/>
        <w:rPr>
          <w:rFonts w:ascii="宋体" w:hAnsi="宋体"/>
          <w:highlight w:val="none"/>
        </w:rPr>
      </w:pPr>
    </w:p>
    <w:p w14:paraId="56A70545">
      <w:pPr>
        <w:spacing w:line="360" w:lineRule="auto"/>
        <w:ind w:firstLine="1606" w:firstLineChars="500"/>
        <w:jc w:val="both"/>
        <w:rPr>
          <w:rFonts w:hint="eastAsia" w:ascii="宋体" w:hAnsi="宋体" w:eastAsia="宋体" w:cs="宋体"/>
          <w:b/>
          <w:bCs/>
          <w:color w:val="auto"/>
          <w:sz w:val="32"/>
          <w:szCs w:val="32"/>
          <w:highlight w:val="none"/>
          <w:lang w:eastAsia="zh-CN"/>
        </w:rPr>
      </w:pPr>
      <w:bookmarkStart w:id="1" w:name="OLE_LINK29"/>
      <w:r>
        <w:rPr>
          <w:rFonts w:hint="eastAsia" w:ascii="宋体" w:hAnsi="宋体" w:eastAsia="宋体" w:cs="宋体"/>
          <w:b/>
          <w:bCs/>
          <w:color w:val="auto"/>
          <w:sz w:val="32"/>
          <w:szCs w:val="32"/>
          <w:highlight w:val="none"/>
        </w:rPr>
        <w:t>招 标 人：</w:t>
      </w:r>
      <w:r>
        <w:rPr>
          <w:rFonts w:hint="eastAsia" w:ascii="宋体" w:hAnsi="宋体" w:eastAsia="宋体" w:cs="宋体"/>
          <w:b/>
          <w:bCs/>
          <w:color w:val="auto"/>
          <w:sz w:val="32"/>
          <w:szCs w:val="32"/>
          <w:highlight w:val="none"/>
          <w:lang w:eastAsia="zh-CN"/>
        </w:rPr>
        <w:t>广州开发区建设投资有限公司</w:t>
      </w:r>
    </w:p>
    <w:p w14:paraId="3C40C383">
      <w:pPr>
        <w:spacing w:line="360" w:lineRule="auto"/>
        <w:ind w:firstLine="1606" w:firstLineChars="500"/>
        <w:jc w:val="both"/>
        <w:rPr>
          <w:rFonts w:hint="eastAsia" w:ascii="宋体" w:hAnsi="宋体" w:eastAsia="宋体" w:cs="宋体"/>
          <w:b/>
          <w:color w:val="auto"/>
          <w:kern w:val="0"/>
          <w:sz w:val="32"/>
          <w:szCs w:val="32"/>
          <w:highlight w:val="none"/>
          <w:lang w:eastAsia="zh-CN"/>
        </w:rPr>
      </w:pPr>
      <w:r>
        <w:rPr>
          <w:rFonts w:hint="eastAsia" w:ascii="宋体" w:hAnsi="宋体" w:eastAsia="宋体" w:cs="宋体"/>
          <w:b/>
          <w:bCs/>
          <w:color w:val="auto"/>
          <w:sz w:val="32"/>
          <w:szCs w:val="32"/>
          <w:highlight w:val="none"/>
        </w:rPr>
        <w:t>招标代理机构：</w:t>
      </w:r>
      <w:r>
        <w:rPr>
          <w:rFonts w:hint="eastAsia" w:ascii="宋体" w:hAnsi="宋体" w:eastAsia="宋体" w:cs="宋体"/>
          <w:b/>
          <w:bCs/>
          <w:color w:val="auto"/>
          <w:sz w:val="32"/>
          <w:szCs w:val="32"/>
          <w:highlight w:val="none"/>
          <w:lang w:eastAsia="zh-CN"/>
        </w:rPr>
        <w:t>广州群生招标代理有限公司</w:t>
      </w:r>
    </w:p>
    <w:p w14:paraId="2E9D4AB1">
      <w:pPr>
        <w:spacing w:line="360" w:lineRule="auto"/>
        <w:ind w:firstLine="1606" w:firstLineChars="5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期：2025年</w:t>
      </w:r>
      <w:r>
        <w:rPr>
          <w:rFonts w:hint="eastAsia" w:ascii="宋体" w:hAnsi="宋体" w:cs="宋体"/>
          <w:b/>
          <w:bCs/>
          <w:color w:val="auto"/>
          <w:sz w:val="32"/>
          <w:szCs w:val="32"/>
          <w:highlight w:val="none"/>
          <w:lang w:val="en-US" w:eastAsia="zh-CN"/>
        </w:rPr>
        <w:t>9</w:t>
      </w:r>
      <w:bookmarkStart w:id="596" w:name="_GoBack"/>
      <w:bookmarkEnd w:id="596"/>
      <w:r>
        <w:rPr>
          <w:rFonts w:hint="eastAsia" w:ascii="宋体" w:hAnsi="宋体" w:eastAsia="宋体" w:cs="宋体"/>
          <w:b/>
          <w:bCs/>
          <w:color w:val="auto"/>
          <w:sz w:val="32"/>
          <w:szCs w:val="32"/>
          <w:highlight w:val="none"/>
        </w:rPr>
        <w:t>月</w:t>
      </w:r>
      <w:bookmarkEnd w:id="1"/>
    </w:p>
    <w:p w14:paraId="593EF91E">
      <w:pPr>
        <w:pStyle w:val="15"/>
        <w:rPr>
          <w:rFonts w:hint="eastAsia" w:ascii="宋体" w:hAnsi="宋体" w:eastAsia="宋体" w:cs="宋体"/>
          <w:b/>
          <w:bCs/>
          <w:color w:val="auto"/>
          <w:sz w:val="32"/>
          <w:szCs w:val="32"/>
          <w:highlight w:val="none"/>
        </w:rPr>
      </w:pPr>
    </w:p>
    <w:bookmarkEnd w:id="0"/>
    <w:p w14:paraId="7BCEDC5C">
      <w:pPr>
        <w:spacing w:line="400" w:lineRule="exact"/>
        <w:rPr>
          <w:rFonts w:ascii="宋体" w:hAnsi="宋体"/>
          <w:highlight w:val="none"/>
        </w:rPr>
        <w:sectPr>
          <w:headerReference r:id="rId3" w:type="default"/>
          <w:footerReference r:id="rId4" w:type="default"/>
          <w:footerReference r:id="rId5" w:type="even"/>
          <w:pgSz w:w="11906" w:h="16838"/>
          <w:pgMar w:top="1440" w:right="1440" w:bottom="1440" w:left="1440" w:header="567" w:footer="851" w:gutter="0"/>
          <w:pgNumType w:start="0"/>
          <w:cols w:space="720" w:num="1"/>
          <w:docGrid w:type="lines" w:linePitch="312" w:charSpace="0"/>
        </w:sectPr>
      </w:pPr>
    </w:p>
    <w:sdt>
      <w:sdtPr>
        <w:rPr>
          <w:rFonts w:ascii="宋体" w:hAnsi="宋体" w:eastAsia="宋体" w:cs="Times New Roman"/>
          <w:kern w:val="2"/>
          <w:sz w:val="21"/>
          <w:szCs w:val="24"/>
          <w:lang w:val="en-US" w:eastAsia="zh-CN" w:bidi="ar-SA"/>
        </w:rPr>
        <w:id w:val="147477966"/>
        <w15:color w:val="DBDBDB"/>
        <w:docPartObj>
          <w:docPartGallery w:val="Table of Contents"/>
          <w:docPartUnique/>
        </w:docPartObj>
      </w:sdtPr>
      <w:sdtEndPr>
        <w:rPr>
          <w:rFonts w:ascii="宋体" w:hAnsi="宋体" w:eastAsia="宋体" w:cs="Times New Roman"/>
          <w:kern w:val="2"/>
          <w:sz w:val="21"/>
          <w:szCs w:val="24"/>
          <w:highlight w:val="none"/>
          <w:shd w:val="clear" w:color="FFFFFF" w:fill="D9D9D9"/>
          <w:lang w:val="en-US" w:eastAsia="zh-CN" w:bidi="ar-SA"/>
        </w:rPr>
      </w:sdtEndPr>
      <w:sdtContent>
        <w:p w14:paraId="3C383A8F">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0F2C2FA">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36DAD56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51F507E0">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264B3A60">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3D0ACA7C">
          <w:pPr>
            <w:pStyle w:val="30"/>
            <w:tabs>
              <w:tab w:val="right" w:leader="dot" w:pos="9072"/>
            </w:tabs>
            <w:rPr>
              <w:sz w:val="24"/>
              <w:szCs w:val="24"/>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TOC \o "1-1" \h \u </w:instrText>
          </w:r>
          <w:r>
            <w:rPr>
              <w:rFonts w:ascii="宋体" w:hAnsi="宋体"/>
              <w:sz w:val="24"/>
              <w:szCs w:val="24"/>
              <w:highlight w:val="none"/>
              <w:shd w:val="clear" w:color="FFFFFF" w:fill="D9D9D9"/>
            </w:rPr>
            <w:fldChar w:fldCharType="separate"/>
          </w: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 HYPERLINK \l _Toc32102 </w:instrText>
          </w:r>
          <w:r>
            <w:rPr>
              <w:rFonts w:ascii="宋体" w:hAnsi="宋体"/>
              <w:sz w:val="24"/>
              <w:szCs w:val="24"/>
              <w:highlight w:val="none"/>
              <w:shd w:val="clear" w:color="FFFFFF" w:fill="D9D9D9"/>
            </w:rPr>
            <w:fldChar w:fldCharType="separate"/>
          </w:r>
          <w:r>
            <w:rPr>
              <w:rFonts w:hint="eastAsia" w:ascii="宋体" w:hAnsi="宋体"/>
              <w:sz w:val="24"/>
              <w:szCs w:val="24"/>
              <w:highlight w:val="none"/>
            </w:rPr>
            <w:t>第一章 招标公告</w:t>
          </w:r>
          <w:r>
            <w:rPr>
              <w:sz w:val="24"/>
              <w:szCs w:val="24"/>
            </w:rPr>
            <w:tab/>
          </w:r>
          <w:r>
            <w:rPr>
              <w:sz w:val="24"/>
              <w:szCs w:val="24"/>
            </w:rPr>
            <w:fldChar w:fldCharType="begin"/>
          </w:r>
          <w:r>
            <w:rPr>
              <w:sz w:val="24"/>
              <w:szCs w:val="24"/>
            </w:rPr>
            <w:instrText xml:space="preserve"> PAGEREF _Toc32102 \h </w:instrText>
          </w:r>
          <w:r>
            <w:rPr>
              <w:sz w:val="24"/>
              <w:szCs w:val="24"/>
            </w:rPr>
            <w:fldChar w:fldCharType="separate"/>
          </w:r>
          <w:r>
            <w:rPr>
              <w:sz w:val="24"/>
              <w:szCs w:val="24"/>
            </w:rPr>
            <w:t>1</w:t>
          </w:r>
          <w:r>
            <w:rPr>
              <w:sz w:val="24"/>
              <w:szCs w:val="24"/>
            </w:rPr>
            <w:fldChar w:fldCharType="end"/>
          </w:r>
          <w:r>
            <w:rPr>
              <w:rFonts w:ascii="宋体" w:hAnsi="宋体"/>
              <w:sz w:val="24"/>
              <w:szCs w:val="24"/>
              <w:highlight w:val="none"/>
              <w:shd w:val="clear" w:color="FFFFFF" w:fill="D9D9D9"/>
            </w:rPr>
            <w:fldChar w:fldCharType="end"/>
          </w:r>
        </w:p>
        <w:p w14:paraId="23E5A28D">
          <w:pPr>
            <w:pStyle w:val="30"/>
            <w:tabs>
              <w:tab w:val="right" w:leader="dot" w:pos="9072"/>
            </w:tabs>
            <w:rPr>
              <w:sz w:val="24"/>
              <w:szCs w:val="24"/>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 HYPERLINK \l _Toc3474 </w:instrText>
          </w:r>
          <w:r>
            <w:rPr>
              <w:rFonts w:ascii="宋体" w:hAnsi="宋体"/>
              <w:sz w:val="24"/>
              <w:szCs w:val="24"/>
              <w:highlight w:val="none"/>
              <w:shd w:val="clear" w:color="FFFFFF" w:fill="D9D9D9"/>
            </w:rPr>
            <w:fldChar w:fldCharType="separate"/>
          </w:r>
          <w:r>
            <w:rPr>
              <w:rFonts w:hint="eastAsia" w:ascii="宋体" w:hAnsi="宋体"/>
              <w:sz w:val="24"/>
              <w:szCs w:val="24"/>
              <w:highlight w:val="none"/>
            </w:rPr>
            <w:t>第二章 投标人须知</w:t>
          </w:r>
          <w:r>
            <w:rPr>
              <w:sz w:val="24"/>
              <w:szCs w:val="24"/>
            </w:rPr>
            <w:tab/>
          </w:r>
          <w:r>
            <w:rPr>
              <w:sz w:val="24"/>
              <w:szCs w:val="24"/>
            </w:rPr>
            <w:fldChar w:fldCharType="begin"/>
          </w:r>
          <w:r>
            <w:rPr>
              <w:sz w:val="24"/>
              <w:szCs w:val="24"/>
            </w:rPr>
            <w:instrText xml:space="preserve"> PAGEREF _Toc3474 \h </w:instrText>
          </w:r>
          <w:r>
            <w:rPr>
              <w:sz w:val="24"/>
              <w:szCs w:val="24"/>
            </w:rPr>
            <w:fldChar w:fldCharType="separate"/>
          </w:r>
          <w:r>
            <w:rPr>
              <w:sz w:val="24"/>
              <w:szCs w:val="24"/>
            </w:rPr>
            <w:t>2</w:t>
          </w:r>
          <w:r>
            <w:rPr>
              <w:sz w:val="24"/>
              <w:szCs w:val="24"/>
            </w:rPr>
            <w:fldChar w:fldCharType="end"/>
          </w:r>
          <w:r>
            <w:rPr>
              <w:rFonts w:ascii="宋体" w:hAnsi="宋体"/>
              <w:sz w:val="24"/>
              <w:szCs w:val="24"/>
              <w:highlight w:val="none"/>
              <w:shd w:val="clear" w:color="FFFFFF" w:fill="D9D9D9"/>
            </w:rPr>
            <w:fldChar w:fldCharType="end"/>
          </w:r>
        </w:p>
        <w:p w14:paraId="359C7E63">
          <w:pPr>
            <w:pStyle w:val="30"/>
            <w:tabs>
              <w:tab w:val="right" w:leader="dot" w:pos="9072"/>
            </w:tabs>
            <w:rPr>
              <w:sz w:val="24"/>
              <w:szCs w:val="24"/>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 HYPERLINK \l _Toc18849 </w:instrText>
          </w:r>
          <w:r>
            <w:rPr>
              <w:rFonts w:ascii="宋体" w:hAnsi="宋体"/>
              <w:sz w:val="24"/>
              <w:szCs w:val="24"/>
              <w:highlight w:val="none"/>
              <w:shd w:val="clear" w:color="FFFFFF" w:fill="D9D9D9"/>
            </w:rPr>
            <w:fldChar w:fldCharType="separate"/>
          </w:r>
          <w:r>
            <w:rPr>
              <w:rFonts w:hint="eastAsia" w:ascii="宋体" w:hAnsi="宋体" w:cs="宋体"/>
              <w:bCs/>
              <w:kern w:val="44"/>
              <w:sz w:val="24"/>
              <w:szCs w:val="24"/>
              <w:highlight w:val="none"/>
            </w:rPr>
            <w:t>第三章 评（定）标办法</w:t>
          </w:r>
          <w:r>
            <w:rPr>
              <w:sz w:val="24"/>
              <w:szCs w:val="24"/>
            </w:rPr>
            <w:tab/>
          </w:r>
          <w:r>
            <w:rPr>
              <w:sz w:val="24"/>
              <w:szCs w:val="24"/>
            </w:rPr>
            <w:fldChar w:fldCharType="begin"/>
          </w:r>
          <w:r>
            <w:rPr>
              <w:sz w:val="24"/>
              <w:szCs w:val="24"/>
            </w:rPr>
            <w:instrText xml:space="preserve"> PAGEREF _Toc18849 \h </w:instrText>
          </w:r>
          <w:r>
            <w:rPr>
              <w:sz w:val="24"/>
              <w:szCs w:val="24"/>
            </w:rPr>
            <w:fldChar w:fldCharType="separate"/>
          </w:r>
          <w:r>
            <w:rPr>
              <w:sz w:val="24"/>
              <w:szCs w:val="24"/>
            </w:rPr>
            <w:t>29</w:t>
          </w:r>
          <w:r>
            <w:rPr>
              <w:sz w:val="24"/>
              <w:szCs w:val="24"/>
            </w:rPr>
            <w:fldChar w:fldCharType="end"/>
          </w:r>
          <w:r>
            <w:rPr>
              <w:rFonts w:ascii="宋体" w:hAnsi="宋体"/>
              <w:sz w:val="24"/>
              <w:szCs w:val="24"/>
              <w:highlight w:val="none"/>
              <w:shd w:val="clear" w:color="FFFFFF" w:fill="D9D9D9"/>
            </w:rPr>
            <w:fldChar w:fldCharType="end"/>
          </w:r>
        </w:p>
        <w:p w14:paraId="6F4E4FEF">
          <w:pPr>
            <w:pStyle w:val="30"/>
            <w:tabs>
              <w:tab w:val="right" w:leader="dot" w:pos="9072"/>
            </w:tabs>
            <w:rPr>
              <w:sz w:val="24"/>
              <w:szCs w:val="24"/>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 HYPERLINK \l _Toc14445 </w:instrText>
          </w:r>
          <w:r>
            <w:rPr>
              <w:rFonts w:ascii="宋体" w:hAnsi="宋体"/>
              <w:sz w:val="24"/>
              <w:szCs w:val="24"/>
              <w:highlight w:val="none"/>
              <w:shd w:val="clear" w:color="FFFFFF" w:fill="D9D9D9"/>
            </w:rPr>
            <w:fldChar w:fldCharType="separate"/>
          </w:r>
          <w:r>
            <w:rPr>
              <w:rFonts w:hint="eastAsia" w:ascii="宋体" w:hAnsi="宋体"/>
              <w:sz w:val="24"/>
              <w:szCs w:val="24"/>
              <w:highlight w:val="none"/>
            </w:rPr>
            <w:t>第四章 合同条款及格式（另册）</w:t>
          </w:r>
          <w:r>
            <w:rPr>
              <w:sz w:val="24"/>
              <w:szCs w:val="24"/>
            </w:rPr>
            <w:tab/>
          </w:r>
          <w:r>
            <w:rPr>
              <w:sz w:val="24"/>
              <w:szCs w:val="24"/>
            </w:rPr>
            <w:fldChar w:fldCharType="begin"/>
          </w:r>
          <w:r>
            <w:rPr>
              <w:sz w:val="24"/>
              <w:szCs w:val="24"/>
            </w:rPr>
            <w:instrText xml:space="preserve"> PAGEREF _Toc14445 \h </w:instrText>
          </w:r>
          <w:r>
            <w:rPr>
              <w:sz w:val="24"/>
              <w:szCs w:val="24"/>
            </w:rPr>
            <w:fldChar w:fldCharType="separate"/>
          </w:r>
          <w:r>
            <w:rPr>
              <w:sz w:val="24"/>
              <w:szCs w:val="24"/>
            </w:rPr>
            <w:t>47</w:t>
          </w:r>
          <w:r>
            <w:rPr>
              <w:sz w:val="24"/>
              <w:szCs w:val="24"/>
            </w:rPr>
            <w:fldChar w:fldCharType="end"/>
          </w:r>
          <w:r>
            <w:rPr>
              <w:rFonts w:ascii="宋体" w:hAnsi="宋体"/>
              <w:sz w:val="24"/>
              <w:szCs w:val="24"/>
              <w:highlight w:val="none"/>
              <w:shd w:val="clear" w:color="FFFFFF" w:fill="D9D9D9"/>
            </w:rPr>
            <w:fldChar w:fldCharType="end"/>
          </w:r>
        </w:p>
        <w:p w14:paraId="45F28F59">
          <w:pPr>
            <w:pStyle w:val="30"/>
            <w:tabs>
              <w:tab w:val="right" w:leader="dot" w:pos="9072"/>
            </w:tabs>
            <w:rPr>
              <w:sz w:val="24"/>
              <w:szCs w:val="24"/>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 HYPERLINK \l _Toc30737 </w:instrText>
          </w:r>
          <w:r>
            <w:rPr>
              <w:rFonts w:ascii="宋体" w:hAnsi="宋体"/>
              <w:sz w:val="24"/>
              <w:szCs w:val="24"/>
              <w:highlight w:val="none"/>
              <w:shd w:val="clear" w:color="FFFFFF" w:fill="D9D9D9"/>
            </w:rPr>
            <w:fldChar w:fldCharType="separate"/>
          </w:r>
          <w:r>
            <w:rPr>
              <w:rFonts w:hint="eastAsia" w:ascii="宋体" w:hAnsi="宋体"/>
              <w:sz w:val="24"/>
              <w:szCs w:val="24"/>
              <w:highlight w:val="none"/>
            </w:rPr>
            <w:t>第五章 发包人要求</w:t>
          </w:r>
          <w:r>
            <w:rPr>
              <w:sz w:val="24"/>
              <w:szCs w:val="24"/>
            </w:rPr>
            <w:tab/>
          </w:r>
          <w:r>
            <w:rPr>
              <w:sz w:val="24"/>
              <w:szCs w:val="24"/>
            </w:rPr>
            <w:fldChar w:fldCharType="begin"/>
          </w:r>
          <w:r>
            <w:rPr>
              <w:sz w:val="24"/>
              <w:szCs w:val="24"/>
            </w:rPr>
            <w:instrText xml:space="preserve"> PAGEREF _Toc30737 \h </w:instrText>
          </w:r>
          <w:r>
            <w:rPr>
              <w:sz w:val="24"/>
              <w:szCs w:val="24"/>
            </w:rPr>
            <w:fldChar w:fldCharType="separate"/>
          </w:r>
          <w:r>
            <w:rPr>
              <w:sz w:val="24"/>
              <w:szCs w:val="24"/>
            </w:rPr>
            <w:t>48</w:t>
          </w:r>
          <w:r>
            <w:rPr>
              <w:sz w:val="24"/>
              <w:szCs w:val="24"/>
            </w:rPr>
            <w:fldChar w:fldCharType="end"/>
          </w:r>
          <w:r>
            <w:rPr>
              <w:rFonts w:ascii="宋体" w:hAnsi="宋体"/>
              <w:sz w:val="24"/>
              <w:szCs w:val="24"/>
              <w:highlight w:val="none"/>
              <w:shd w:val="clear" w:color="FFFFFF" w:fill="D9D9D9"/>
            </w:rPr>
            <w:fldChar w:fldCharType="end"/>
          </w:r>
        </w:p>
        <w:p w14:paraId="0FDA727B">
          <w:pPr>
            <w:pStyle w:val="30"/>
            <w:tabs>
              <w:tab w:val="right" w:leader="dot" w:pos="9072"/>
            </w:tabs>
            <w:rPr>
              <w:sz w:val="24"/>
              <w:szCs w:val="24"/>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 HYPERLINK \l _Toc30272 </w:instrText>
          </w:r>
          <w:r>
            <w:rPr>
              <w:rFonts w:ascii="宋体" w:hAnsi="宋体"/>
              <w:sz w:val="24"/>
              <w:szCs w:val="24"/>
              <w:highlight w:val="none"/>
              <w:shd w:val="clear" w:color="FFFFFF" w:fill="D9D9D9"/>
            </w:rPr>
            <w:fldChar w:fldCharType="separate"/>
          </w:r>
          <w:r>
            <w:rPr>
              <w:rFonts w:hint="eastAsia" w:ascii="宋体" w:hAnsi="宋体"/>
              <w:sz w:val="24"/>
              <w:szCs w:val="24"/>
              <w:highlight w:val="none"/>
            </w:rPr>
            <w:t>第六章  发包人提供的资料</w:t>
          </w:r>
          <w:r>
            <w:rPr>
              <w:sz w:val="24"/>
              <w:szCs w:val="24"/>
            </w:rPr>
            <w:tab/>
          </w:r>
          <w:r>
            <w:rPr>
              <w:sz w:val="24"/>
              <w:szCs w:val="24"/>
            </w:rPr>
            <w:fldChar w:fldCharType="begin"/>
          </w:r>
          <w:r>
            <w:rPr>
              <w:sz w:val="24"/>
              <w:szCs w:val="24"/>
            </w:rPr>
            <w:instrText xml:space="preserve"> PAGEREF _Toc30272 \h </w:instrText>
          </w:r>
          <w:r>
            <w:rPr>
              <w:sz w:val="24"/>
              <w:szCs w:val="24"/>
            </w:rPr>
            <w:fldChar w:fldCharType="separate"/>
          </w:r>
          <w:r>
            <w:rPr>
              <w:sz w:val="24"/>
              <w:szCs w:val="24"/>
            </w:rPr>
            <w:t>52</w:t>
          </w:r>
          <w:r>
            <w:rPr>
              <w:sz w:val="24"/>
              <w:szCs w:val="24"/>
            </w:rPr>
            <w:fldChar w:fldCharType="end"/>
          </w:r>
          <w:r>
            <w:rPr>
              <w:rFonts w:ascii="宋体" w:hAnsi="宋体"/>
              <w:sz w:val="24"/>
              <w:szCs w:val="24"/>
              <w:highlight w:val="none"/>
              <w:shd w:val="clear" w:color="FFFFFF" w:fill="D9D9D9"/>
            </w:rPr>
            <w:fldChar w:fldCharType="end"/>
          </w:r>
        </w:p>
        <w:p w14:paraId="70C3C16E">
          <w:pPr>
            <w:pStyle w:val="30"/>
            <w:tabs>
              <w:tab w:val="right" w:leader="dot" w:pos="9072"/>
            </w:tabs>
            <w:rPr>
              <w:sz w:val="24"/>
              <w:szCs w:val="24"/>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 HYPERLINK \l _Toc24782 </w:instrText>
          </w:r>
          <w:r>
            <w:rPr>
              <w:rFonts w:ascii="宋体" w:hAnsi="宋体"/>
              <w:sz w:val="24"/>
              <w:szCs w:val="24"/>
              <w:highlight w:val="none"/>
              <w:shd w:val="clear" w:color="FFFFFF" w:fill="D9D9D9"/>
            </w:rPr>
            <w:fldChar w:fldCharType="separate"/>
          </w:r>
          <w:r>
            <w:rPr>
              <w:rFonts w:hint="eastAsia" w:ascii="宋体" w:hAnsi="宋体"/>
              <w:sz w:val="24"/>
              <w:szCs w:val="24"/>
              <w:highlight w:val="none"/>
            </w:rPr>
            <w:t>第七章  投标文件格式</w:t>
          </w:r>
          <w:r>
            <w:rPr>
              <w:sz w:val="24"/>
              <w:szCs w:val="24"/>
            </w:rPr>
            <w:tab/>
          </w:r>
          <w:r>
            <w:rPr>
              <w:sz w:val="24"/>
              <w:szCs w:val="24"/>
            </w:rPr>
            <w:fldChar w:fldCharType="begin"/>
          </w:r>
          <w:r>
            <w:rPr>
              <w:sz w:val="24"/>
              <w:szCs w:val="24"/>
            </w:rPr>
            <w:instrText xml:space="preserve"> PAGEREF _Toc24782 \h </w:instrText>
          </w:r>
          <w:r>
            <w:rPr>
              <w:sz w:val="24"/>
              <w:szCs w:val="24"/>
            </w:rPr>
            <w:fldChar w:fldCharType="separate"/>
          </w:r>
          <w:r>
            <w:rPr>
              <w:sz w:val="24"/>
              <w:szCs w:val="24"/>
            </w:rPr>
            <w:t>53</w:t>
          </w:r>
          <w:r>
            <w:rPr>
              <w:sz w:val="24"/>
              <w:szCs w:val="24"/>
            </w:rPr>
            <w:fldChar w:fldCharType="end"/>
          </w:r>
          <w:r>
            <w:rPr>
              <w:rFonts w:ascii="宋体" w:hAnsi="宋体"/>
              <w:sz w:val="24"/>
              <w:szCs w:val="24"/>
              <w:highlight w:val="none"/>
              <w:shd w:val="clear" w:color="FFFFFF" w:fill="D9D9D9"/>
            </w:rPr>
            <w:fldChar w:fldCharType="end"/>
          </w:r>
        </w:p>
        <w:p w14:paraId="112D3DBE">
          <w:pPr>
            <w:pStyle w:val="8"/>
            <w:shd w:val="clear" w:color="auto" w:fill="FFFFFF"/>
            <w:spacing w:line="360" w:lineRule="auto"/>
            <w:ind w:firstLine="480"/>
            <w:jc w:val="center"/>
            <w:rPr>
              <w:rFonts w:ascii="宋体" w:hAnsi="宋体" w:eastAsia="宋体" w:cs="Times New Roman"/>
              <w:kern w:val="2"/>
              <w:sz w:val="21"/>
              <w:szCs w:val="24"/>
              <w:highlight w:val="none"/>
              <w:shd w:val="clear" w:color="FFFFFF" w:fill="D9D9D9"/>
              <w:lang w:val="en-US" w:eastAsia="zh-CN" w:bidi="ar-SA"/>
            </w:rPr>
          </w:pPr>
          <w:r>
            <w:rPr>
              <w:rFonts w:ascii="宋体" w:hAnsi="宋体"/>
              <w:sz w:val="24"/>
              <w:szCs w:val="24"/>
              <w:highlight w:val="none"/>
              <w:shd w:val="clear" w:color="FFFFFF" w:fill="D9D9D9"/>
            </w:rPr>
            <w:fldChar w:fldCharType="end"/>
          </w:r>
        </w:p>
      </w:sdtContent>
    </w:sdt>
    <w:p w14:paraId="605F688B">
      <w:pPr>
        <w:pStyle w:val="8"/>
        <w:shd w:val="clear" w:color="auto" w:fill="FFFFFF"/>
        <w:spacing w:line="360" w:lineRule="auto"/>
        <w:ind w:firstLine="480"/>
        <w:jc w:val="center"/>
        <w:rPr>
          <w:rFonts w:ascii="宋体" w:hAnsi="宋体" w:eastAsia="宋体" w:cs="Times New Roman"/>
          <w:kern w:val="2"/>
          <w:sz w:val="21"/>
          <w:szCs w:val="24"/>
          <w:highlight w:val="none"/>
          <w:shd w:val="clear" w:color="FFFFFF" w:fill="D9D9D9"/>
          <w:lang w:val="en-US" w:eastAsia="zh-CN" w:bidi="ar-SA"/>
        </w:rPr>
      </w:pPr>
    </w:p>
    <w:p w14:paraId="2DBC61CA">
      <w:pPr>
        <w:pStyle w:val="3"/>
        <w:jc w:val="center"/>
        <w:rPr>
          <w:rFonts w:hint="eastAsia" w:ascii="宋体" w:hAnsi="宋体"/>
          <w:highlight w:val="none"/>
        </w:rPr>
        <w:sectPr>
          <w:footerReference r:id="rId6" w:type="default"/>
          <w:pgSz w:w="11906" w:h="16838"/>
          <w:pgMar w:top="1134" w:right="1417" w:bottom="1134" w:left="1417" w:header="851" w:footer="567" w:gutter="0"/>
          <w:pgNumType w:start="1"/>
          <w:cols w:space="720" w:num="1"/>
          <w:docGrid w:type="lines" w:linePitch="312" w:charSpace="0"/>
        </w:sectPr>
      </w:pPr>
      <w:bookmarkStart w:id="2" w:name="_Toc165358747"/>
      <w:bookmarkStart w:id="3" w:name="_Toc1080"/>
      <w:bookmarkStart w:id="4" w:name="_Toc8601"/>
      <w:bookmarkStart w:id="5" w:name="_Toc29410"/>
      <w:bookmarkStart w:id="6" w:name="_Toc4910"/>
      <w:bookmarkStart w:id="7" w:name="_Toc25868"/>
      <w:bookmarkStart w:id="8" w:name="_Toc485211037"/>
      <w:bookmarkStart w:id="9" w:name="_Toc21337"/>
    </w:p>
    <w:p w14:paraId="55DF5A57">
      <w:pPr>
        <w:pStyle w:val="3"/>
        <w:jc w:val="center"/>
        <w:rPr>
          <w:rFonts w:ascii="宋体" w:hAnsi="宋体"/>
          <w:highlight w:val="none"/>
        </w:rPr>
      </w:pPr>
      <w:bookmarkStart w:id="10" w:name="_Toc32102"/>
      <w:r>
        <w:rPr>
          <w:rFonts w:hint="eastAsia" w:ascii="宋体" w:hAnsi="宋体"/>
          <w:highlight w:val="none"/>
        </w:rPr>
        <w:t>第一章 招标公告</w:t>
      </w:r>
      <w:bookmarkEnd w:id="2"/>
      <w:bookmarkEnd w:id="10"/>
    </w:p>
    <w:p w14:paraId="51F38F23">
      <w:pPr>
        <w:pStyle w:val="3"/>
        <w:jc w:val="center"/>
        <w:rPr>
          <w:rFonts w:ascii="宋体" w:hAnsi="宋体"/>
          <w:highlight w:val="none"/>
        </w:rPr>
      </w:pPr>
      <w:bookmarkStart w:id="11" w:name="_Toc165358748"/>
      <w:bookmarkStart w:id="12" w:name="_Toc165358613"/>
      <w:bookmarkStart w:id="13" w:name="_Toc11309"/>
      <w:r>
        <w:rPr>
          <w:rFonts w:hint="eastAsia" w:ascii="宋体" w:hAnsi="宋体"/>
          <w:highlight w:val="none"/>
        </w:rPr>
        <w:t>（另册）</w:t>
      </w:r>
      <w:bookmarkEnd w:id="11"/>
      <w:bookmarkEnd w:id="12"/>
      <w:bookmarkEnd w:id="13"/>
    </w:p>
    <w:p w14:paraId="3EA7F312">
      <w:pPr>
        <w:pStyle w:val="23"/>
        <w:rPr>
          <w:rFonts w:hAnsi="宋体" w:cs="宋体"/>
          <w:b/>
          <w:bCs/>
          <w:sz w:val="44"/>
          <w:szCs w:val="44"/>
          <w:highlight w:val="none"/>
        </w:rPr>
      </w:pPr>
    </w:p>
    <w:p w14:paraId="2D266A13">
      <w:pPr>
        <w:pStyle w:val="23"/>
        <w:rPr>
          <w:rFonts w:hAnsi="宋体" w:cs="宋体"/>
          <w:b/>
          <w:bCs/>
          <w:sz w:val="44"/>
          <w:szCs w:val="44"/>
          <w:highlight w:val="none"/>
        </w:rPr>
      </w:pPr>
    </w:p>
    <w:p w14:paraId="2D81F82B">
      <w:pPr>
        <w:pStyle w:val="23"/>
        <w:rPr>
          <w:rFonts w:hAnsi="宋体" w:cs="宋体"/>
          <w:b/>
          <w:bCs/>
          <w:sz w:val="44"/>
          <w:szCs w:val="44"/>
          <w:highlight w:val="none"/>
        </w:rPr>
      </w:pPr>
    </w:p>
    <w:p w14:paraId="5761F70A">
      <w:pPr>
        <w:pStyle w:val="23"/>
        <w:rPr>
          <w:rFonts w:hAnsi="宋体" w:cs="宋体"/>
          <w:b/>
          <w:bCs/>
          <w:sz w:val="44"/>
          <w:szCs w:val="44"/>
          <w:highlight w:val="none"/>
        </w:rPr>
      </w:pPr>
    </w:p>
    <w:p w14:paraId="0660B956">
      <w:pPr>
        <w:pStyle w:val="23"/>
        <w:rPr>
          <w:rFonts w:hAnsi="宋体" w:cs="宋体"/>
          <w:b/>
          <w:bCs/>
          <w:sz w:val="44"/>
          <w:szCs w:val="44"/>
          <w:highlight w:val="none"/>
        </w:rPr>
      </w:pPr>
    </w:p>
    <w:p w14:paraId="4BB81C90">
      <w:pPr>
        <w:pStyle w:val="23"/>
        <w:rPr>
          <w:rFonts w:hAnsi="宋体" w:cs="宋体"/>
          <w:b/>
          <w:bCs/>
          <w:sz w:val="44"/>
          <w:szCs w:val="44"/>
          <w:highlight w:val="none"/>
        </w:rPr>
      </w:pPr>
    </w:p>
    <w:p w14:paraId="43110F86">
      <w:pPr>
        <w:pStyle w:val="23"/>
        <w:rPr>
          <w:rFonts w:hAnsi="宋体" w:cs="宋体"/>
          <w:b/>
          <w:bCs/>
          <w:sz w:val="44"/>
          <w:szCs w:val="44"/>
          <w:highlight w:val="none"/>
        </w:rPr>
      </w:pPr>
    </w:p>
    <w:p w14:paraId="26C81052">
      <w:pPr>
        <w:pStyle w:val="23"/>
        <w:rPr>
          <w:rFonts w:hAnsi="宋体" w:cs="宋体"/>
          <w:b/>
          <w:bCs/>
          <w:sz w:val="44"/>
          <w:szCs w:val="44"/>
          <w:highlight w:val="none"/>
        </w:rPr>
      </w:pPr>
    </w:p>
    <w:p w14:paraId="4987EE6B">
      <w:pPr>
        <w:pStyle w:val="23"/>
        <w:rPr>
          <w:rFonts w:hAnsi="宋体" w:cs="宋体"/>
          <w:b/>
          <w:bCs/>
          <w:sz w:val="44"/>
          <w:szCs w:val="44"/>
          <w:highlight w:val="none"/>
        </w:rPr>
      </w:pPr>
    </w:p>
    <w:p w14:paraId="2F78452C">
      <w:pPr>
        <w:rPr>
          <w:rFonts w:ascii="宋体" w:hAnsi="宋体"/>
          <w:highlight w:val="none"/>
        </w:rPr>
      </w:pPr>
    </w:p>
    <w:p w14:paraId="0AFA00E7">
      <w:pPr>
        <w:pStyle w:val="23"/>
        <w:rPr>
          <w:rFonts w:hAnsi="宋体"/>
          <w:highlight w:val="none"/>
        </w:rPr>
      </w:pPr>
    </w:p>
    <w:p w14:paraId="586DD855">
      <w:pPr>
        <w:rPr>
          <w:rFonts w:ascii="宋体" w:hAnsi="宋体"/>
          <w:highlight w:val="none"/>
        </w:rPr>
      </w:pPr>
    </w:p>
    <w:p w14:paraId="674B0ECD">
      <w:pPr>
        <w:pStyle w:val="23"/>
        <w:rPr>
          <w:rFonts w:hAnsi="宋体"/>
          <w:highlight w:val="none"/>
        </w:rPr>
      </w:pPr>
    </w:p>
    <w:p w14:paraId="16693FEB">
      <w:pPr>
        <w:rPr>
          <w:rFonts w:ascii="宋体" w:hAnsi="宋体"/>
          <w:highlight w:val="none"/>
        </w:rPr>
      </w:pPr>
    </w:p>
    <w:p w14:paraId="3F034298">
      <w:pPr>
        <w:pStyle w:val="23"/>
        <w:rPr>
          <w:rFonts w:hAnsi="宋体"/>
          <w:highlight w:val="none"/>
        </w:rPr>
      </w:pPr>
    </w:p>
    <w:p w14:paraId="63E2FD47">
      <w:pPr>
        <w:rPr>
          <w:rFonts w:ascii="宋体" w:hAnsi="宋体"/>
          <w:highlight w:val="none"/>
        </w:rPr>
      </w:pPr>
    </w:p>
    <w:p w14:paraId="0266D82D">
      <w:pPr>
        <w:pStyle w:val="23"/>
        <w:rPr>
          <w:rFonts w:hAnsi="宋体"/>
          <w:highlight w:val="none"/>
        </w:rPr>
      </w:pPr>
    </w:p>
    <w:p w14:paraId="460F6E6E">
      <w:pPr>
        <w:rPr>
          <w:rFonts w:ascii="宋体" w:hAnsi="宋体"/>
          <w:highlight w:val="none"/>
        </w:rPr>
      </w:pPr>
    </w:p>
    <w:p w14:paraId="02C8CFEB">
      <w:pPr>
        <w:pStyle w:val="23"/>
        <w:rPr>
          <w:rFonts w:hAnsi="宋体"/>
          <w:highlight w:val="none"/>
        </w:rPr>
      </w:pPr>
    </w:p>
    <w:p w14:paraId="3FECE1C9">
      <w:pPr>
        <w:rPr>
          <w:rFonts w:ascii="宋体" w:hAnsi="宋体"/>
          <w:highlight w:val="none"/>
        </w:rPr>
      </w:pPr>
    </w:p>
    <w:p w14:paraId="3E32E687">
      <w:pPr>
        <w:pStyle w:val="23"/>
        <w:rPr>
          <w:rFonts w:hAnsi="宋体"/>
          <w:highlight w:val="none"/>
        </w:rPr>
      </w:pPr>
    </w:p>
    <w:p w14:paraId="2020508E">
      <w:pPr>
        <w:pStyle w:val="23"/>
        <w:rPr>
          <w:rFonts w:hAnsi="宋体" w:cs="宋体"/>
          <w:b/>
          <w:bCs/>
          <w:sz w:val="44"/>
          <w:szCs w:val="44"/>
          <w:highlight w:val="none"/>
        </w:rPr>
      </w:pPr>
    </w:p>
    <w:p w14:paraId="631FA3D2">
      <w:pPr>
        <w:pStyle w:val="3"/>
        <w:jc w:val="center"/>
        <w:rPr>
          <w:rFonts w:ascii="宋体" w:hAnsi="宋体"/>
          <w:highlight w:val="none"/>
        </w:rPr>
      </w:pPr>
      <w:bookmarkStart w:id="14" w:name="_Toc3474"/>
      <w:bookmarkStart w:id="15" w:name="_Toc165358749"/>
      <w:r>
        <w:rPr>
          <w:rFonts w:hint="eastAsia" w:ascii="宋体" w:hAnsi="宋体"/>
          <w:highlight w:val="none"/>
        </w:rPr>
        <w:t>第二章 投标人须知</w:t>
      </w:r>
      <w:bookmarkEnd w:id="3"/>
      <w:bookmarkEnd w:id="4"/>
      <w:bookmarkEnd w:id="5"/>
      <w:bookmarkEnd w:id="6"/>
      <w:bookmarkEnd w:id="7"/>
      <w:bookmarkEnd w:id="8"/>
      <w:bookmarkEnd w:id="9"/>
      <w:bookmarkEnd w:id="14"/>
      <w:bookmarkEnd w:id="15"/>
    </w:p>
    <w:p w14:paraId="73BF341E">
      <w:pPr>
        <w:pStyle w:val="4"/>
        <w:spacing w:line="360" w:lineRule="auto"/>
        <w:jc w:val="center"/>
        <w:rPr>
          <w:rFonts w:ascii="宋体" w:hAnsi="宋体" w:eastAsia="宋体"/>
          <w:highlight w:val="none"/>
        </w:rPr>
      </w:pPr>
      <w:bookmarkStart w:id="16" w:name="_Toc1821"/>
      <w:bookmarkStart w:id="17" w:name="_Toc247513951"/>
      <w:bookmarkStart w:id="18" w:name="_Toc247527552"/>
      <w:bookmarkStart w:id="19" w:name="_Toc16564"/>
      <w:bookmarkStart w:id="20" w:name="_Toc165358615"/>
      <w:bookmarkStart w:id="21" w:name="_Toc24965"/>
      <w:bookmarkStart w:id="22" w:name="_Toc357089510"/>
      <w:bookmarkStart w:id="23" w:name="_Toc1323"/>
      <w:bookmarkStart w:id="24" w:name="_Toc362816479"/>
      <w:bookmarkStart w:id="25" w:name="_Toc152042304"/>
      <w:bookmarkStart w:id="26" w:name="_Toc492453777"/>
      <w:bookmarkStart w:id="27" w:name="_Toc49303758"/>
      <w:bookmarkStart w:id="28" w:name="_Toc443505821"/>
      <w:bookmarkStart w:id="29" w:name="_Toc165358750"/>
      <w:bookmarkStart w:id="30" w:name="_Toc29187"/>
      <w:bookmarkStart w:id="31" w:name="_Toc361"/>
      <w:bookmarkStart w:id="32" w:name="_Toc14621"/>
      <w:bookmarkStart w:id="33" w:name="_Toc300834948"/>
      <w:bookmarkStart w:id="34" w:name="_Toc152045528"/>
      <w:bookmarkStart w:id="35" w:name="_Toc3632"/>
      <w:bookmarkStart w:id="36" w:name="_Toc9291"/>
      <w:bookmarkStart w:id="37" w:name="_Toc144974496"/>
      <w:bookmarkStart w:id="38" w:name="_Toc86413247"/>
      <w:r>
        <w:rPr>
          <w:rFonts w:hint="eastAsia" w:ascii="宋体" w:hAnsi="宋体" w:eastAsia="宋体" w:cs="宋体"/>
          <w:highlight w:val="none"/>
        </w:rPr>
        <w:t>投标人须知前附表</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bl>
      <w:tblPr>
        <w:tblStyle w:val="45"/>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891"/>
        <w:gridCol w:w="6263"/>
      </w:tblGrid>
      <w:tr w14:paraId="5EB0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55" w:type="dxa"/>
            <w:vAlign w:val="center"/>
          </w:tcPr>
          <w:p w14:paraId="276F46D4">
            <w:pPr>
              <w:snapToGrid w:val="0"/>
              <w:ind w:left="-134" w:leftChars="-64" w:right="-107" w:rightChars="-51"/>
              <w:jc w:val="center"/>
              <w:rPr>
                <w:rFonts w:hint="eastAsia" w:ascii="宋体" w:hAnsi="宋体" w:cs="宋体"/>
                <w:b/>
                <w:szCs w:val="21"/>
                <w:highlight w:val="none"/>
              </w:rPr>
            </w:pPr>
            <w:r>
              <w:rPr>
                <w:rFonts w:hint="eastAsia" w:ascii="宋体" w:hAnsi="宋体" w:cs="宋体"/>
                <w:b/>
                <w:szCs w:val="21"/>
                <w:highlight w:val="none"/>
              </w:rPr>
              <w:t>条款号</w:t>
            </w:r>
          </w:p>
        </w:tc>
        <w:tc>
          <w:tcPr>
            <w:tcW w:w="2891" w:type="dxa"/>
            <w:vAlign w:val="center"/>
          </w:tcPr>
          <w:p w14:paraId="4C224701">
            <w:pPr>
              <w:snapToGrid w:val="0"/>
              <w:jc w:val="center"/>
              <w:rPr>
                <w:rFonts w:hint="eastAsia" w:ascii="宋体" w:hAnsi="宋体" w:cs="宋体"/>
                <w:b/>
                <w:szCs w:val="21"/>
                <w:highlight w:val="none"/>
              </w:rPr>
            </w:pPr>
            <w:r>
              <w:rPr>
                <w:rFonts w:hint="eastAsia" w:ascii="宋体" w:hAnsi="宋体" w:cs="宋体"/>
                <w:b/>
                <w:szCs w:val="21"/>
                <w:highlight w:val="none"/>
              </w:rPr>
              <w:t>条  款  名  称</w:t>
            </w:r>
          </w:p>
        </w:tc>
        <w:tc>
          <w:tcPr>
            <w:tcW w:w="6263" w:type="dxa"/>
            <w:vAlign w:val="center"/>
          </w:tcPr>
          <w:p w14:paraId="4B9831CF">
            <w:pPr>
              <w:snapToGrid w:val="0"/>
              <w:jc w:val="center"/>
              <w:rPr>
                <w:rFonts w:hint="eastAsia" w:ascii="宋体" w:hAnsi="宋体" w:cs="宋体"/>
                <w:b/>
                <w:szCs w:val="21"/>
                <w:highlight w:val="none"/>
              </w:rPr>
            </w:pPr>
            <w:r>
              <w:rPr>
                <w:rFonts w:hint="eastAsia" w:ascii="宋体" w:hAnsi="宋体" w:cs="宋体"/>
                <w:b/>
                <w:szCs w:val="21"/>
                <w:highlight w:val="none"/>
              </w:rPr>
              <w:t>编  列  内  容</w:t>
            </w:r>
          </w:p>
        </w:tc>
      </w:tr>
      <w:tr w14:paraId="4AF7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AE1FC81">
            <w:pPr>
              <w:spacing w:line="240" w:lineRule="auto"/>
              <w:jc w:val="center"/>
              <w:rPr>
                <w:rFonts w:hint="eastAsia" w:ascii="宋体" w:hAnsi="宋体" w:cs="宋体"/>
                <w:szCs w:val="21"/>
                <w:highlight w:val="none"/>
              </w:rPr>
            </w:pPr>
            <w:r>
              <w:rPr>
                <w:rFonts w:hint="eastAsia" w:ascii="宋体" w:hAnsi="宋体" w:cs="宋体"/>
                <w:szCs w:val="21"/>
                <w:highlight w:val="none"/>
              </w:rPr>
              <w:t>1.1.2</w:t>
            </w:r>
          </w:p>
        </w:tc>
        <w:tc>
          <w:tcPr>
            <w:tcW w:w="2891" w:type="dxa"/>
            <w:vAlign w:val="center"/>
          </w:tcPr>
          <w:p w14:paraId="4908A690">
            <w:pPr>
              <w:spacing w:line="240" w:lineRule="auto"/>
              <w:jc w:val="center"/>
              <w:rPr>
                <w:rFonts w:hint="eastAsia" w:ascii="宋体" w:hAnsi="宋体" w:cs="宋体"/>
                <w:szCs w:val="21"/>
                <w:highlight w:val="none"/>
              </w:rPr>
            </w:pPr>
            <w:r>
              <w:rPr>
                <w:rFonts w:hint="eastAsia" w:ascii="宋体" w:hAnsi="宋体" w:cs="宋体"/>
                <w:szCs w:val="21"/>
                <w:highlight w:val="none"/>
              </w:rPr>
              <w:t>招标人</w:t>
            </w:r>
          </w:p>
        </w:tc>
        <w:tc>
          <w:tcPr>
            <w:tcW w:w="6263" w:type="dxa"/>
            <w:vAlign w:val="center"/>
          </w:tcPr>
          <w:p w14:paraId="771D8ECB">
            <w:pPr>
              <w:rPr>
                <w:rFonts w:hint="eastAsia" w:ascii="宋体" w:hAnsi="宋体" w:eastAsia="宋体" w:cs="宋体"/>
                <w:szCs w:val="21"/>
                <w:highlight w:val="none"/>
                <w:lang w:eastAsia="zh-CN"/>
              </w:rPr>
            </w:pPr>
            <w:r>
              <w:rPr>
                <w:rFonts w:hint="eastAsia" w:ascii="宋体" w:hAnsi="宋体" w:cs="宋体"/>
                <w:szCs w:val="21"/>
                <w:highlight w:val="none"/>
              </w:rPr>
              <w:t>招标人：</w:t>
            </w:r>
            <w:r>
              <w:rPr>
                <w:rFonts w:hint="eastAsia" w:ascii="宋体" w:hAnsi="宋体" w:cs="宋体"/>
                <w:szCs w:val="21"/>
                <w:highlight w:val="none"/>
                <w:u w:val="single"/>
                <w:lang w:eastAsia="zh-CN"/>
              </w:rPr>
              <w:t>广州开发区建设投资有限公司</w:t>
            </w:r>
          </w:p>
          <w:p w14:paraId="670DAD52">
            <w:pPr>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联系地址：</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u w:val="single"/>
                <w:lang w:val="en-US" w:eastAsia="zh-CN"/>
              </w:rPr>
              <w:t>广州市黄埔区科学大道50号609房</w:t>
            </w:r>
            <w:r>
              <w:rPr>
                <w:rFonts w:hint="eastAsia" w:ascii="宋体" w:hAnsi="宋体" w:eastAsia="宋体" w:cs="宋体"/>
                <w:szCs w:val="21"/>
                <w:highlight w:val="none"/>
                <w:lang w:val="en-US" w:eastAsia="zh-CN"/>
              </w:rPr>
              <w:t xml:space="preserve"> </w:t>
            </w:r>
          </w:p>
          <w:p w14:paraId="5E08F03A">
            <w:pPr>
              <w:rPr>
                <w:rFonts w:hint="default" w:ascii="宋体" w:hAnsi="宋体" w:eastAsia="宋体" w:cs="宋体"/>
                <w:szCs w:val="21"/>
                <w:highlight w:val="none"/>
                <w:u w:val="singl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u w:val="single"/>
                <w:lang w:val="en-US" w:eastAsia="zh-CN"/>
              </w:rPr>
              <w:t xml:space="preserve"> 郑工</w:t>
            </w:r>
            <w:r>
              <w:rPr>
                <w:rFonts w:hint="eastAsia" w:ascii="Times New Roman" w:eastAsia="宋体"/>
                <w:color w:val="auto"/>
                <w:highlight w:val="none"/>
                <w:u w:val="single"/>
                <w:lang w:val="en-US" w:eastAsia="zh-CN"/>
              </w:rPr>
              <w:t>、林工</w:t>
            </w:r>
            <w:r>
              <w:rPr>
                <w:rFonts w:hint="eastAsia" w:ascii="宋体" w:hAnsi="宋体" w:eastAsia="宋体" w:cs="宋体"/>
                <w:szCs w:val="21"/>
                <w:highlight w:val="none"/>
                <w:u w:val="single"/>
                <w:lang w:val="en-US" w:eastAsia="zh-CN"/>
              </w:rPr>
              <w:t xml:space="preserve"> </w:t>
            </w:r>
          </w:p>
          <w:p w14:paraId="1BEF0A16">
            <w:pPr>
              <w:rPr>
                <w:rFonts w:hint="default"/>
                <w:highlight w:val="none"/>
                <w:lang w:val="en-US"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lang w:val="en-US" w:eastAsia="zh-CN"/>
              </w:rPr>
              <w:t xml:space="preserve"> 020-31705292 </w:t>
            </w:r>
          </w:p>
        </w:tc>
      </w:tr>
      <w:tr w14:paraId="3BCA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A5CE6E7">
            <w:pPr>
              <w:spacing w:line="240" w:lineRule="auto"/>
              <w:jc w:val="center"/>
              <w:rPr>
                <w:rFonts w:hint="eastAsia" w:ascii="宋体" w:hAnsi="宋体" w:cs="宋体"/>
                <w:szCs w:val="21"/>
                <w:highlight w:val="none"/>
              </w:rPr>
            </w:pPr>
            <w:r>
              <w:rPr>
                <w:rFonts w:hint="eastAsia" w:ascii="宋体" w:hAnsi="宋体" w:cs="宋体"/>
                <w:szCs w:val="21"/>
                <w:highlight w:val="none"/>
              </w:rPr>
              <w:t>1.1.3</w:t>
            </w:r>
          </w:p>
        </w:tc>
        <w:tc>
          <w:tcPr>
            <w:tcW w:w="2891" w:type="dxa"/>
            <w:vAlign w:val="center"/>
          </w:tcPr>
          <w:p w14:paraId="09725ED1">
            <w:pPr>
              <w:spacing w:line="240" w:lineRule="auto"/>
              <w:jc w:val="center"/>
              <w:rPr>
                <w:rFonts w:hint="eastAsia" w:ascii="宋体" w:hAnsi="宋体" w:cs="宋体"/>
                <w:szCs w:val="21"/>
                <w:highlight w:val="none"/>
              </w:rPr>
            </w:pPr>
            <w:r>
              <w:rPr>
                <w:rFonts w:hint="eastAsia" w:ascii="宋体" w:hAnsi="宋体" w:cs="宋体"/>
                <w:szCs w:val="21"/>
                <w:highlight w:val="none"/>
              </w:rPr>
              <w:t>招标代理机构</w:t>
            </w:r>
          </w:p>
        </w:tc>
        <w:tc>
          <w:tcPr>
            <w:tcW w:w="6263" w:type="dxa"/>
            <w:vAlign w:val="center"/>
          </w:tcPr>
          <w:p w14:paraId="74C10FE5">
            <w:pPr>
              <w:rPr>
                <w:rFonts w:ascii="宋体" w:hAnsi="宋体" w:cs="宋体"/>
                <w:color w:val="000000"/>
                <w:kern w:val="0"/>
                <w:szCs w:val="21"/>
                <w:highlight w:val="none"/>
                <w:u w:val="single"/>
                <w:lang w:bidi="ar"/>
              </w:rPr>
            </w:pPr>
            <w:r>
              <w:rPr>
                <w:rFonts w:hint="eastAsia" w:ascii="宋体" w:hAnsi="宋体" w:cs="宋体"/>
                <w:color w:val="000000"/>
                <w:szCs w:val="21"/>
                <w:highlight w:val="none"/>
                <w:lang w:bidi="ar"/>
              </w:rPr>
              <w:t>名称：</w:t>
            </w:r>
            <w:r>
              <w:rPr>
                <w:rFonts w:hint="eastAsia" w:ascii="宋体" w:hAnsi="宋体" w:cs="宋体"/>
                <w:color w:val="000000"/>
                <w:kern w:val="0"/>
                <w:szCs w:val="21"/>
                <w:highlight w:val="none"/>
                <w:u w:val="single"/>
                <w:lang w:bidi="ar"/>
              </w:rPr>
              <w:t>广州群生招标代理有限公司</w:t>
            </w:r>
          </w:p>
          <w:p w14:paraId="4BD52A56">
            <w:pPr>
              <w:jc w:val="left"/>
              <w:rPr>
                <w:rFonts w:ascii="宋体" w:hAnsi="宋体" w:cs="宋体"/>
                <w:color w:val="000000"/>
                <w:szCs w:val="21"/>
                <w:highlight w:val="none"/>
              </w:rPr>
            </w:pPr>
            <w:r>
              <w:rPr>
                <w:rFonts w:hint="eastAsia" w:ascii="宋体" w:hAnsi="宋体" w:cs="宋体"/>
                <w:color w:val="000000"/>
                <w:szCs w:val="21"/>
                <w:highlight w:val="none"/>
              </w:rPr>
              <w:t>地址：</w:t>
            </w:r>
            <w:r>
              <w:rPr>
                <w:rFonts w:hint="eastAsia" w:ascii="宋体" w:hAnsi="宋体" w:cs="宋体"/>
                <w:color w:val="000000"/>
                <w:szCs w:val="21"/>
                <w:highlight w:val="none"/>
                <w:u w:val="single"/>
              </w:rPr>
              <w:t>广州市越秀区东风东路555号粤海集团大厦2204室</w:t>
            </w:r>
          </w:p>
          <w:p w14:paraId="1CF6A9A1">
            <w:pPr>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联系人：</w:t>
            </w:r>
            <w:r>
              <w:rPr>
                <w:rFonts w:hint="eastAsia" w:ascii="宋体" w:hAnsi="宋体" w:cs="宋体"/>
                <w:color w:val="000000"/>
                <w:szCs w:val="21"/>
                <w:highlight w:val="none"/>
                <w:u w:val="single"/>
                <w:lang w:val="en-US" w:eastAsia="zh-CN"/>
              </w:rPr>
              <w:t>陈工</w:t>
            </w:r>
          </w:p>
          <w:p w14:paraId="6CD3E876">
            <w:pPr>
              <w:rPr>
                <w:rFonts w:hint="eastAsia" w:ascii="宋体" w:hAnsi="宋体" w:eastAsia="宋体" w:cs="宋体"/>
                <w:szCs w:val="21"/>
                <w:highlight w:val="none"/>
                <w:u w:val="single"/>
                <w:lang w:eastAsia="zh-CN"/>
              </w:rPr>
            </w:pPr>
            <w:r>
              <w:rPr>
                <w:rFonts w:hint="eastAsia" w:ascii="宋体" w:hAnsi="宋体" w:cs="宋体"/>
                <w:color w:val="000000"/>
                <w:szCs w:val="21"/>
                <w:highlight w:val="none"/>
              </w:rPr>
              <w:t>电话：</w:t>
            </w:r>
            <w:r>
              <w:rPr>
                <w:rFonts w:hint="eastAsia" w:ascii="宋体" w:hAnsi="宋体" w:cs="宋体"/>
                <w:color w:val="000000"/>
                <w:szCs w:val="21"/>
                <w:highlight w:val="none"/>
                <w:u w:val="single"/>
              </w:rPr>
              <w:t>020-83812782</w:t>
            </w:r>
          </w:p>
        </w:tc>
      </w:tr>
      <w:tr w14:paraId="4D9A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CE234E0">
            <w:pPr>
              <w:spacing w:line="240" w:lineRule="auto"/>
              <w:jc w:val="center"/>
              <w:rPr>
                <w:rFonts w:hint="eastAsia" w:ascii="宋体" w:hAnsi="宋体" w:cs="宋体"/>
                <w:szCs w:val="21"/>
                <w:highlight w:val="none"/>
              </w:rPr>
            </w:pPr>
            <w:r>
              <w:rPr>
                <w:rFonts w:hint="eastAsia" w:ascii="宋体" w:hAnsi="宋体" w:cs="宋体"/>
                <w:szCs w:val="21"/>
                <w:highlight w:val="none"/>
              </w:rPr>
              <w:t>1.1.4</w:t>
            </w:r>
          </w:p>
        </w:tc>
        <w:tc>
          <w:tcPr>
            <w:tcW w:w="2891" w:type="dxa"/>
            <w:vAlign w:val="center"/>
          </w:tcPr>
          <w:p w14:paraId="183718A1">
            <w:pPr>
              <w:spacing w:line="240" w:lineRule="auto"/>
              <w:jc w:val="center"/>
              <w:rPr>
                <w:rFonts w:hint="eastAsia" w:ascii="宋体" w:hAnsi="宋体" w:cs="宋体"/>
                <w:szCs w:val="21"/>
                <w:highlight w:val="none"/>
              </w:rPr>
            </w:pPr>
            <w:r>
              <w:rPr>
                <w:rFonts w:hint="eastAsia" w:ascii="宋体" w:hAnsi="宋体" w:cs="宋体"/>
                <w:szCs w:val="21"/>
                <w:highlight w:val="none"/>
              </w:rPr>
              <w:t>项目名称（工程名称）</w:t>
            </w:r>
          </w:p>
        </w:tc>
        <w:tc>
          <w:tcPr>
            <w:tcW w:w="6263" w:type="dxa"/>
            <w:vAlign w:val="center"/>
          </w:tcPr>
          <w:p w14:paraId="7210E598">
            <w:pPr>
              <w:spacing w:line="240" w:lineRule="auto"/>
              <w:rPr>
                <w:rFonts w:hint="eastAsia" w:ascii="宋体" w:hAnsi="宋体" w:cs="宋体"/>
                <w:szCs w:val="21"/>
                <w:highlight w:val="none"/>
                <w:u w:val="single"/>
              </w:rPr>
            </w:pPr>
            <w:r>
              <w:rPr>
                <w:rFonts w:hint="eastAsia" w:ascii="宋体" w:hAnsi="宋体" w:cs="宋体"/>
                <w:szCs w:val="21"/>
                <w:highlight w:val="none"/>
                <w:u w:val="single"/>
                <w:lang w:eastAsia="zh-CN"/>
              </w:rPr>
              <w:t>广州市黄埔区南岗街南岗西路城中村改造项目房屋拆除工程及动迁服务</w:t>
            </w:r>
          </w:p>
        </w:tc>
      </w:tr>
      <w:tr w14:paraId="2882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19F519E">
            <w:pPr>
              <w:spacing w:line="240" w:lineRule="auto"/>
              <w:jc w:val="center"/>
              <w:rPr>
                <w:rFonts w:hint="eastAsia" w:ascii="宋体" w:hAnsi="宋体" w:cs="宋体"/>
                <w:szCs w:val="21"/>
                <w:highlight w:val="none"/>
              </w:rPr>
            </w:pPr>
            <w:r>
              <w:rPr>
                <w:rFonts w:hint="eastAsia" w:ascii="宋体" w:hAnsi="宋体" w:cs="宋体"/>
                <w:szCs w:val="21"/>
                <w:highlight w:val="none"/>
              </w:rPr>
              <w:t>1.1.5</w:t>
            </w:r>
          </w:p>
        </w:tc>
        <w:tc>
          <w:tcPr>
            <w:tcW w:w="2891" w:type="dxa"/>
            <w:vAlign w:val="center"/>
          </w:tcPr>
          <w:p w14:paraId="4D4DDF78">
            <w:pPr>
              <w:spacing w:line="240" w:lineRule="auto"/>
              <w:jc w:val="center"/>
              <w:rPr>
                <w:rFonts w:hint="eastAsia" w:ascii="宋体" w:hAnsi="宋体" w:cs="宋体"/>
                <w:szCs w:val="21"/>
                <w:highlight w:val="none"/>
              </w:rPr>
            </w:pPr>
            <w:r>
              <w:rPr>
                <w:rFonts w:hint="eastAsia" w:ascii="宋体" w:hAnsi="宋体" w:cs="宋体"/>
                <w:szCs w:val="21"/>
                <w:highlight w:val="none"/>
              </w:rPr>
              <w:t>建设地点</w:t>
            </w:r>
          </w:p>
        </w:tc>
        <w:tc>
          <w:tcPr>
            <w:tcW w:w="6263" w:type="dxa"/>
            <w:vAlign w:val="center"/>
          </w:tcPr>
          <w:p w14:paraId="161E62F5">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14:paraId="382F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8E7A784">
            <w:pPr>
              <w:spacing w:line="240" w:lineRule="auto"/>
              <w:jc w:val="center"/>
              <w:rPr>
                <w:rFonts w:hint="eastAsia" w:ascii="宋体" w:hAnsi="宋体" w:cs="宋体"/>
                <w:szCs w:val="21"/>
                <w:highlight w:val="none"/>
              </w:rPr>
            </w:pPr>
            <w:r>
              <w:rPr>
                <w:rFonts w:hint="eastAsia" w:ascii="宋体" w:hAnsi="宋体" w:cs="宋体"/>
                <w:szCs w:val="21"/>
                <w:highlight w:val="none"/>
              </w:rPr>
              <w:t>1.2.1</w:t>
            </w:r>
          </w:p>
        </w:tc>
        <w:tc>
          <w:tcPr>
            <w:tcW w:w="2891" w:type="dxa"/>
            <w:vAlign w:val="center"/>
          </w:tcPr>
          <w:p w14:paraId="5BFB1740">
            <w:pPr>
              <w:spacing w:line="240" w:lineRule="auto"/>
              <w:jc w:val="center"/>
              <w:rPr>
                <w:rFonts w:hint="eastAsia" w:ascii="宋体" w:hAnsi="宋体" w:cs="宋体"/>
                <w:szCs w:val="21"/>
                <w:highlight w:val="none"/>
              </w:rPr>
            </w:pPr>
            <w:r>
              <w:rPr>
                <w:rFonts w:hint="eastAsia" w:ascii="宋体" w:hAnsi="宋体" w:cs="宋体"/>
                <w:szCs w:val="21"/>
                <w:highlight w:val="none"/>
              </w:rPr>
              <w:t>资金来源及比例</w:t>
            </w:r>
          </w:p>
        </w:tc>
        <w:tc>
          <w:tcPr>
            <w:tcW w:w="6263" w:type="dxa"/>
            <w:vAlign w:val="center"/>
          </w:tcPr>
          <w:p w14:paraId="1CE84B8C">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14:paraId="5273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E86A1C4">
            <w:pPr>
              <w:spacing w:line="240" w:lineRule="auto"/>
              <w:jc w:val="center"/>
              <w:rPr>
                <w:rFonts w:hint="eastAsia" w:ascii="宋体" w:hAnsi="宋体" w:cs="宋体"/>
                <w:szCs w:val="21"/>
                <w:highlight w:val="none"/>
              </w:rPr>
            </w:pPr>
            <w:r>
              <w:rPr>
                <w:rFonts w:hint="eastAsia" w:ascii="宋体" w:hAnsi="宋体" w:cs="宋体"/>
                <w:szCs w:val="21"/>
                <w:highlight w:val="none"/>
              </w:rPr>
              <w:t>1.2.2</w:t>
            </w:r>
          </w:p>
        </w:tc>
        <w:tc>
          <w:tcPr>
            <w:tcW w:w="2891" w:type="dxa"/>
            <w:vAlign w:val="center"/>
          </w:tcPr>
          <w:p w14:paraId="418B205B">
            <w:pPr>
              <w:spacing w:line="240" w:lineRule="auto"/>
              <w:jc w:val="center"/>
              <w:rPr>
                <w:rFonts w:hint="eastAsia" w:ascii="宋体" w:hAnsi="宋体" w:cs="宋体"/>
                <w:szCs w:val="21"/>
                <w:highlight w:val="none"/>
              </w:rPr>
            </w:pPr>
            <w:r>
              <w:rPr>
                <w:rFonts w:hint="eastAsia" w:ascii="宋体" w:hAnsi="宋体" w:cs="宋体"/>
                <w:szCs w:val="21"/>
                <w:highlight w:val="none"/>
              </w:rPr>
              <w:t>资金落实情况</w:t>
            </w:r>
          </w:p>
        </w:tc>
        <w:tc>
          <w:tcPr>
            <w:tcW w:w="6263" w:type="dxa"/>
            <w:vAlign w:val="center"/>
          </w:tcPr>
          <w:p w14:paraId="14D9832F">
            <w:pPr>
              <w:spacing w:line="240" w:lineRule="auto"/>
              <w:rPr>
                <w:rFonts w:hint="eastAsia" w:ascii="宋体" w:hAnsi="宋体" w:cs="宋体"/>
                <w:szCs w:val="21"/>
                <w:highlight w:val="none"/>
              </w:rPr>
            </w:pPr>
            <w:r>
              <w:rPr>
                <w:rFonts w:hint="eastAsia" w:ascii="宋体" w:hAnsi="宋体" w:cs="宋体"/>
                <w:szCs w:val="21"/>
                <w:highlight w:val="none"/>
                <w:u w:val="single"/>
              </w:rPr>
              <w:t>已经落实。</w:t>
            </w:r>
          </w:p>
        </w:tc>
      </w:tr>
      <w:tr w14:paraId="5C20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6209D15">
            <w:pPr>
              <w:spacing w:line="240" w:lineRule="auto"/>
              <w:jc w:val="center"/>
              <w:rPr>
                <w:rFonts w:hint="eastAsia" w:ascii="宋体" w:hAnsi="宋体" w:cs="宋体"/>
                <w:szCs w:val="21"/>
                <w:highlight w:val="none"/>
              </w:rPr>
            </w:pPr>
            <w:r>
              <w:rPr>
                <w:rFonts w:hint="eastAsia" w:ascii="宋体" w:hAnsi="宋体" w:cs="宋体"/>
                <w:szCs w:val="21"/>
                <w:highlight w:val="none"/>
              </w:rPr>
              <w:t>1.3.1</w:t>
            </w:r>
          </w:p>
        </w:tc>
        <w:tc>
          <w:tcPr>
            <w:tcW w:w="2891" w:type="dxa"/>
            <w:vAlign w:val="center"/>
          </w:tcPr>
          <w:p w14:paraId="623FB8B6">
            <w:pPr>
              <w:spacing w:line="240" w:lineRule="auto"/>
              <w:jc w:val="center"/>
              <w:rPr>
                <w:rFonts w:hint="eastAsia" w:ascii="宋体" w:hAnsi="宋体" w:cs="宋体"/>
                <w:szCs w:val="21"/>
                <w:highlight w:val="none"/>
              </w:rPr>
            </w:pPr>
            <w:r>
              <w:rPr>
                <w:rFonts w:hint="eastAsia" w:ascii="宋体" w:hAnsi="宋体" w:cs="宋体"/>
                <w:szCs w:val="21"/>
                <w:highlight w:val="none"/>
              </w:rPr>
              <w:t>招标范围</w:t>
            </w:r>
          </w:p>
        </w:tc>
        <w:tc>
          <w:tcPr>
            <w:tcW w:w="6263" w:type="dxa"/>
            <w:vAlign w:val="center"/>
          </w:tcPr>
          <w:p w14:paraId="624977B6">
            <w:pPr>
              <w:rPr>
                <w:rFonts w:hint="eastAsia" w:ascii="宋体" w:hAnsi="宋体" w:cs="宋体"/>
                <w:szCs w:val="21"/>
                <w:highlight w:val="none"/>
              </w:rPr>
            </w:pPr>
            <w:r>
              <w:rPr>
                <w:rFonts w:hint="eastAsia" w:ascii="宋体" w:hAnsi="宋体" w:cs="宋体"/>
                <w:szCs w:val="21"/>
                <w:highlight w:val="none"/>
              </w:rPr>
              <w:t>详见本项目招标公告及合同约定条款。</w:t>
            </w:r>
          </w:p>
        </w:tc>
      </w:tr>
      <w:tr w14:paraId="6CB1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21BE9AF">
            <w:pPr>
              <w:spacing w:line="240" w:lineRule="auto"/>
              <w:jc w:val="center"/>
              <w:rPr>
                <w:rFonts w:hint="eastAsia" w:ascii="宋体" w:hAnsi="宋体" w:cs="宋体"/>
                <w:szCs w:val="21"/>
                <w:highlight w:val="none"/>
              </w:rPr>
            </w:pPr>
            <w:r>
              <w:rPr>
                <w:rFonts w:hint="eastAsia" w:ascii="宋体" w:hAnsi="宋体" w:cs="宋体"/>
                <w:szCs w:val="21"/>
                <w:highlight w:val="none"/>
              </w:rPr>
              <w:t>1.3.2</w:t>
            </w:r>
          </w:p>
        </w:tc>
        <w:tc>
          <w:tcPr>
            <w:tcW w:w="2891" w:type="dxa"/>
            <w:vAlign w:val="center"/>
          </w:tcPr>
          <w:p w14:paraId="3FF6448D">
            <w:pPr>
              <w:spacing w:line="240" w:lineRule="auto"/>
              <w:ind w:right="25" w:rightChars="12"/>
              <w:jc w:val="center"/>
              <w:rPr>
                <w:rFonts w:hint="eastAsia" w:ascii="宋体" w:hAnsi="宋体" w:cs="宋体"/>
                <w:szCs w:val="21"/>
                <w:highlight w:val="none"/>
              </w:rPr>
            </w:pPr>
            <w:r>
              <w:rPr>
                <w:rFonts w:hint="eastAsia" w:ascii="宋体" w:hAnsi="宋体" w:cs="宋体"/>
                <w:szCs w:val="21"/>
                <w:highlight w:val="none"/>
              </w:rPr>
              <w:t>计划工期</w:t>
            </w:r>
          </w:p>
        </w:tc>
        <w:tc>
          <w:tcPr>
            <w:tcW w:w="6263" w:type="dxa"/>
            <w:vAlign w:val="center"/>
          </w:tcPr>
          <w:p w14:paraId="1C63B8A7">
            <w:pPr>
              <w:spacing w:line="240" w:lineRule="auto"/>
              <w:rPr>
                <w:rFonts w:hint="eastAsia" w:ascii="宋体" w:hAnsi="宋体" w:cs="宋体"/>
                <w:szCs w:val="21"/>
                <w:highlight w:val="none"/>
              </w:rPr>
            </w:pPr>
            <w:r>
              <w:rPr>
                <w:rFonts w:hint="eastAsia" w:ascii="宋体" w:hAnsi="宋体" w:cs="宋体"/>
                <w:szCs w:val="21"/>
                <w:highlight w:val="none"/>
              </w:rPr>
              <w:t>详见本项目招标公告及合同约定条款。</w:t>
            </w:r>
          </w:p>
        </w:tc>
      </w:tr>
      <w:tr w14:paraId="4813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3B751E5">
            <w:pPr>
              <w:spacing w:line="240" w:lineRule="auto"/>
              <w:jc w:val="center"/>
              <w:rPr>
                <w:rFonts w:hint="eastAsia" w:ascii="宋体" w:hAnsi="宋体" w:cs="宋体"/>
                <w:szCs w:val="21"/>
                <w:highlight w:val="none"/>
              </w:rPr>
            </w:pPr>
            <w:r>
              <w:rPr>
                <w:rFonts w:hint="eastAsia" w:ascii="宋体" w:hAnsi="宋体" w:cs="宋体"/>
                <w:szCs w:val="21"/>
                <w:highlight w:val="none"/>
              </w:rPr>
              <w:t>1.3.3</w:t>
            </w:r>
          </w:p>
        </w:tc>
        <w:tc>
          <w:tcPr>
            <w:tcW w:w="2891" w:type="dxa"/>
            <w:vAlign w:val="center"/>
          </w:tcPr>
          <w:p w14:paraId="1ED27944">
            <w:pPr>
              <w:spacing w:line="240" w:lineRule="auto"/>
              <w:jc w:val="center"/>
              <w:rPr>
                <w:rFonts w:hint="eastAsia" w:ascii="宋体" w:hAnsi="宋体" w:cs="宋体"/>
                <w:szCs w:val="21"/>
                <w:highlight w:val="none"/>
              </w:rPr>
            </w:pPr>
            <w:r>
              <w:rPr>
                <w:rFonts w:hint="eastAsia" w:ascii="宋体" w:hAnsi="宋体" w:cs="宋体"/>
                <w:szCs w:val="21"/>
                <w:highlight w:val="none"/>
              </w:rPr>
              <w:t>质量标准</w:t>
            </w:r>
          </w:p>
        </w:tc>
        <w:tc>
          <w:tcPr>
            <w:tcW w:w="6263" w:type="dxa"/>
            <w:vAlign w:val="center"/>
          </w:tcPr>
          <w:p w14:paraId="4624622B">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14:paraId="5EEB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D707F7F">
            <w:pPr>
              <w:spacing w:line="240" w:lineRule="auto"/>
              <w:jc w:val="center"/>
              <w:rPr>
                <w:rFonts w:hint="eastAsia" w:ascii="宋体" w:hAnsi="宋体" w:cs="宋体"/>
                <w:szCs w:val="21"/>
                <w:highlight w:val="none"/>
              </w:rPr>
            </w:pPr>
            <w:r>
              <w:rPr>
                <w:rFonts w:hint="eastAsia" w:ascii="宋体" w:hAnsi="宋体" w:cs="宋体"/>
                <w:szCs w:val="21"/>
                <w:highlight w:val="none"/>
              </w:rPr>
              <w:t>1.4.1</w:t>
            </w:r>
          </w:p>
        </w:tc>
        <w:tc>
          <w:tcPr>
            <w:tcW w:w="2891" w:type="dxa"/>
            <w:vAlign w:val="center"/>
          </w:tcPr>
          <w:p w14:paraId="7221063E">
            <w:pPr>
              <w:spacing w:line="240" w:lineRule="auto"/>
              <w:jc w:val="center"/>
              <w:rPr>
                <w:rFonts w:hint="eastAsia" w:ascii="宋体" w:hAnsi="宋体" w:cs="宋体"/>
                <w:szCs w:val="21"/>
                <w:highlight w:val="none"/>
              </w:rPr>
            </w:pPr>
            <w:r>
              <w:rPr>
                <w:rFonts w:hint="eastAsia" w:ascii="宋体" w:hAnsi="宋体" w:cs="宋体"/>
                <w:szCs w:val="21"/>
                <w:highlight w:val="none"/>
              </w:rPr>
              <w:t>投标人资质条件、能力和信誉</w:t>
            </w:r>
          </w:p>
        </w:tc>
        <w:tc>
          <w:tcPr>
            <w:tcW w:w="6263" w:type="dxa"/>
            <w:vAlign w:val="center"/>
          </w:tcPr>
          <w:p w14:paraId="15828EEE">
            <w:pPr>
              <w:spacing w:line="240" w:lineRule="auto"/>
              <w:rPr>
                <w:rFonts w:hint="eastAsia" w:ascii="宋体" w:hAnsi="宋体" w:cs="宋体"/>
                <w:szCs w:val="21"/>
                <w:highlight w:val="none"/>
              </w:rPr>
            </w:pPr>
            <w:r>
              <w:rPr>
                <w:rFonts w:hint="eastAsia" w:ascii="宋体" w:hAnsi="宋体" w:cs="宋体"/>
                <w:szCs w:val="21"/>
                <w:highlight w:val="none"/>
                <w:u w:val="single"/>
              </w:rPr>
              <w:t>详见本项目招标公告。</w:t>
            </w:r>
          </w:p>
        </w:tc>
      </w:tr>
      <w:tr w14:paraId="098E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06AB254">
            <w:pPr>
              <w:spacing w:line="240" w:lineRule="auto"/>
              <w:jc w:val="center"/>
              <w:rPr>
                <w:rFonts w:hint="eastAsia" w:ascii="宋体" w:hAnsi="宋体" w:cs="宋体"/>
                <w:szCs w:val="21"/>
                <w:highlight w:val="none"/>
              </w:rPr>
            </w:pPr>
            <w:r>
              <w:rPr>
                <w:rFonts w:hint="eastAsia" w:ascii="宋体" w:hAnsi="宋体" w:cs="宋体"/>
                <w:szCs w:val="21"/>
                <w:highlight w:val="none"/>
              </w:rPr>
              <w:t>1.4.2</w:t>
            </w:r>
          </w:p>
        </w:tc>
        <w:tc>
          <w:tcPr>
            <w:tcW w:w="2891" w:type="dxa"/>
            <w:vAlign w:val="center"/>
          </w:tcPr>
          <w:p w14:paraId="021DC710">
            <w:pPr>
              <w:spacing w:line="240" w:lineRule="auto"/>
              <w:jc w:val="center"/>
              <w:rPr>
                <w:rFonts w:hint="eastAsia" w:ascii="宋体" w:hAnsi="宋体" w:cs="宋体"/>
                <w:szCs w:val="21"/>
                <w:highlight w:val="none"/>
              </w:rPr>
            </w:pPr>
            <w:r>
              <w:rPr>
                <w:rFonts w:hint="eastAsia" w:ascii="宋体" w:hAnsi="宋体" w:cs="宋体"/>
                <w:szCs w:val="21"/>
                <w:highlight w:val="none"/>
              </w:rPr>
              <w:t>是否接受联合体投标</w:t>
            </w:r>
          </w:p>
        </w:tc>
        <w:tc>
          <w:tcPr>
            <w:tcW w:w="6263" w:type="dxa"/>
            <w:vAlign w:val="center"/>
          </w:tcPr>
          <w:p w14:paraId="11D9E25A">
            <w:pPr>
              <w:pStyle w:val="196"/>
              <w:topLinePunct/>
              <w:spacing w:line="240" w:lineRule="auto"/>
              <w:rPr>
                <w:rFonts w:hint="eastAsia" w:hAnsi="宋体" w:cs="宋体"/>
                <w:sz w:val="21"/>
                <w:szCs w:val="21"/>
                <w:highlight w:val="none"/>
              </w:rPr>
            </w:pPr>
            <w:r>
              <w:rPr>
                <w:rFonts w:hint="eastAsia" w:hAnsi="宋体" w:cs="宋体"/>
                <w:sz w:val="21"/>
                <w:szCs w:val="21"/>
                <w:highlight w:val="none"/>
              </w:rPr>
              <w:t>□不接受</w:t>
            </w:r>
          </w:p>
          <w:p w14:paraId="2C08E831">
            <w:pPr>
              <w:spacing w:line="240" w:lineRule="auto"/>
              <w:rPr>
                <w:rFonts w:hint="eastAsia" w:ascii="宋体" w:hAnsi="宋体" w:cs="宋体"/>
                <w:szCs w:val="21"/>
                <w:highlight w:val="none"/>
              </w:rPr>
            </w:pPr>
            <w:r>
              <w:rPr>
                <w:rFonts w:hint="eastAsia" w:ascii="宋体" w:hAnsi="宋体" w:cs="宋体"/>
                <w:szCs w:val="21"/>
                <w:highlight w:val="none"/>
              </w:rPr>
              <w:t>■接受，应满足下列要求：详见招标公告</w:t>
            </w:r>
          </w:p>
        </w:tc>
      </w:tr>
      <w:tr w14:paraId="306B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2CB0386">
            <w:pPr>
              <w:spacing w:line="240" w:lineRule="auto"/>
              <w:jc w:val="center"/>
              <w:rPr>
                <w:rFonts w:hint="eastAsia" w:ascii="宋体" w:hAnsi="宋体" w:cs="宋体"/>
                <w:szCs w:val="21"/>
                <w:highlight w:val="none"/>
              </w:rPr>
            </w:pPr>
            <w:r>
              <w:rPr>
                <w:rFonts w:hint="eastAsia" w:ascii="宋体" w:hAnsi="宋体" w:cs="宋体"/>
                <w:szCs w:val="21"/>
                <w:highlight w:val="none"/>
              </w:rPr>
              <w:t>1.9.1</w:t>
            </w:r>
          </w:p>
        </w:tc>
        <w:tc>
          <w:tcPr>
            <w:tcW w:w="2891" w:type="dxa"/>
            <w:vAlign w:val="center"/>
          </w:tcPr>
          <w:p w14:paraId="14DC59D0">
            <w:pPr>
              <w:spacing w:line="240" w:lineRule="auto"/>
              <w:jc w:val="center"/>
              <w:rPr>
                <w:rFonts w:hint="eastAsia" w:ascii="宋体" w:hAnsi="宋体" w:cs="宋体"/>
                <w:szCs w:val="21"/>
                <w:highlight w:val="none"/>
              </w:rPr>
            </w:pPr>
            <w:r>
              <w:rPr>
                <w:rFonts w:hint="eastAsia" w:ascii="宋体" w:hAnsi="宋体" w:cs="宋体"/>
                <w:szCs w:val="21"/>
                <w:highlight w:val="none"/>
              </w:rPr>
              <w:t>踏勘</w:t>
            </w:r>
          </w:p>
        </w:tc>
        <w:tc>
          <w:tcPr>
            <w:tcW w:w="6263" w:type="dxa"/>
            <w:vAlign w:val="center"/>
          </w:tcPr>
          <w:p w14:paraId="4CC7E1BB">
            <w:pPr>
              <w:rPr>
                <w:rFonts w:hint="eastAsia" w:ascii="宋体" w:hAnsi="宋体" w:cs="宋体"/>
                <w:szCs w:val="21"/>
                <w:highlight w:val="none"/>
              </w:rPr>
            </w:pPr>
            <w:r>
              <w:rPr>
                <w:rFonts w:hint="eastAsia" w:ascii="宋体" w:hAnsi="宋体" w:cs="宋体"/>
                <w:szCs w:val="21"/>
                <w:highlight w:val="none"/>
              </w:rPr>
              <w:t>■不组织：</w:t>
            </w:r>
            <w:r>
              <w:rPr>
                <w:rFonts w:hint="eastAsia" w:ascii="宋体" w:hAnsi="宋体" w:cs="宋体"/>
                <w:szCs w:val="21"/>
                <w:highlight w:val="none"/>
                <w:u w:val="single"/>
              </w:rPr>
              <w:t>自行踏勘。投标人自行实地了解、勘察现场情况，投标人不进行踏勘的，视为已熟知现场条件，自行承担相关风险，中标后不得以对现场不熟悉而提出增加费用。</w:t>
            </w:r>
          </w:p>
          <w:p w14:paraId="6E4C162E">
            <w:pPr>
              <w:rPr>
                <w:rFonts w:hint="eastAsia" w:ascii="宋体" w:hAnsi="宋体" w:cs="宋体"/>
                <w:szCs w:val="21"/>
                <w:highlight w:val="none"/>
              </w:rPr>
            </w:pPr>
            <w:r>
              <w:rPr>
                <w:rFonts w:hint="eastAsia" w:ascii="宋体" w:hAnsi="宋体" w:cs="宋体"/>
                <w:szCs w:val="21"/>
                <w:highlight w:val="none"/>
              </w:rPr>
              <w:t>□组织，踏勘时间：</w:t>
            </w:r>
          </w:p>
          <w:p w14:paraId="58622D60">
            <w:pPr>
              <w:spacing w:line="240" w:lineRule="auto"/>
              <w:rPr>
                <w:rFonts w:hint="eastAsia" w:ascii="宋体" w:hAnsi="宋体" w:cs="宋体"/>
                <w:szCs w:val="21"/>
                <w:highlight w:val="none"/>
              </w:rPr>
            </w:pPr>
            <w:r>
              <w:rPr>
                <w:rFonts w:hint="eastAsia" w:ascii="宋体" w:hAnsi="宋体" w:cs="宋体"/>
                <w:szCs w:val="21"/>
                <w:highlight w:val="none"/>
              </w:rPr>
              <w:t>踏勘集中地点：</w:t>
            </w:r>
          </w:p>
        </w:tc>
      </w:tr>
      <w:tr w14:paraId="27A1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A2699F5">
            <w:pPr>
              <w:spacing w:line="240" w:lineRule="auto"/>
              <w:jc w:val="center"/>
              <w:rPr>
                <w:rFonts w:hint="eastAsia" w:ascii="宋体" w:hAnsi="宋体" w:cs="宋体"/>
                <w:szCs w:val="21"/>
                <w:highlight w:val="none"/>
              </w:rPr>
            </w:pPr>
            <w:r>
              <w:rPr>
                <w:rFonts w:hint="eastAsia" w:ascii="宋体" w:hAnsi="宋体" w:cs="宋体"/>
                <w:szCs w:val="21"/>
                <w:highlight w:val="none"/>
              </w:rPr>
              <w:t>1.10.1</w:t>
            </w:r>
          </w:p>
        </w:tc>
        <w:tc>
          <w:tcPr>
            <w:tcW w:w="2891" w:type="dxa"/>
            <w:vAlign w:val="center"/>
          </w:tcPr>
          <w:p w14:paraId="2FDB3A12">
            <w:pPr>
              <w:spacing w:line="240" w:lineRule="auto"/>
              <w:jc w:val="center"/>
              <w:rPr>
                <w:rFonts w:hint="eastAsia" w:ascii="宋体" w:hAnsi="宋体" w:cs="宋体"/>
                <w:szCs w:val="21"/>
                <w:highlight w:val="none"/>
              </w:rPr>
            </w:pPr>
            <w:r>
              <w:rPr>
                <w:rFonts w:hint="eastAsia" w:ascii="宋体" w:hAnsi="宋体" w:cs="宋体"/>
                <w:szCs w:val="21"/>
                <w:highlight w:val="none"/>
              </w:rPr>
              <w:t>投标预备会</w:t>
            </w:r>
          </w:p>
        </w:tc>
        <w:tc>
          <w:tcPr>
            <w:tcW w:w="6263" w:type="dxa"/>
            <w:vAlign w:val="center"/>
          </w:tcPr>
          <w:p w14:paraId="2C5661C9">
            <w:pPr>
              <w:adjustRightInd w:val="0"/>
              <w:snapToGrid w:val="0"/>
              <w:rPr>
                <w:rFonts w:hint="eastAsia" w:ascii="宋体" w:hAnsi="宋体" w:cs="宋体"/>
                <w:szCs w:val="21"/>
                <w:highlight w:val="none"/>
              </w:rPr>
            </w:pPr>
            <w:r>
              <w:rPr>
                <w:rFonts w:hint="eastAsia" w:ascii="宋体" w:hAnsi="宋体" w:cs="宋体"/>
                <w:szCs w:val="21"/>
                <w:highlight w:val="none"/>
              </w:rPr>
              <w:t>■不召开，</w:t>
            </w:r>
            <w:r>
              <w:rPr>
                <w:rFonts w:hint="eastAsia" w:ascii="宋体" w:hAnsi="宋体" w:cs="宋体"/>
                <w:szCs w:val="21"/>
                <w:highlight w:val="none"/>
                <w:u w:val="single"/>
              </w:rPr>
              <w:t>全过程电子化项目，不举行线下投标预备会，不召开投标预备会。</w:t>
            </w:r>
          </w:p>
          <w:p w14:paraId="66DE7804">
            <w:pPr>
              <w:adjustRightInd w:val="0"/>
              <w:snapToGrid w:val="0"/>
              <w:rPr>
                <w:rFonts w:hint="eastAsia" w:ascii="宋体" w:hAnsi="宋体" w:cs="宋体"/>
                <w:szCs w:val="21"/>
                <w:highlight w:val="none"/>
              </w:rPr>
            </w:pPr>
            <w:r>
              <w:rPr>
                <w:rFonts w:hint="eastAsia" w:ascii="宋体" w:hAnsi="宋体" w:cs="宋体"/>
                <w:szCs w:val="21"/>
                <w:highlight w:val="none"/>
              </w:rPr>
              <w:t>□召开，召开时间：</w:t>
            </w:r>
          </w:p>
          <w:p w14:paraId="08E678B4">
            <w:pPr>
              <w:adjustRightInd w:val="0"/>
              <w:snapToGrid w:val="0"/>
              <w:rPr>
                <w:rFonts w:hint="eastAsia" w:ascii="宋体" w:hAnsi="宋体" w:cs="宋体"/>
                <w:szCs w:val="21"/>
                <w:highlight w:val="none"/>
              </w:rPr>
            </w:pPr>
            <w:r>
              <w:rPr>
                <w:rFonts w:hint="eastAsia" w:ascii="宋体" w:hAnsi="宋体" w:cs="宋体"/>
                <w:szCs w:val="21"/>
                <w:highlight w:val="none"/>
              </w:rPr>
              <w:t>召开地点：</w:t>
            </w:r>
          </w:p>
        </w:tc>
      </w:tr>
      <w:tr w14:paraId="27A0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F2CB791">
            <w:pPr>
              <w:spacing w:line="240" w:lineRule="auto"/>
              <w:jc w:val="center"/>
              <w:rPr>
                <w:rFonts w:hint="eastAsia" w:ascii="宋体" w:hAnsi="宋体" w:cs="宋体"/>
                <w:szCs w:val="21"/>
                <w:highlight w:val="none"/>
              </w:rPr>
            </w:pPr>
            <w:r>
              <w:rPr>
                <w:rFonts w:hint="eastAsia" w:ascii="宋体" w:hAnsi="宋体" w:cs="宋体"/>
                <w:szCs w:val="21"/>
                <w:highlight w:val="none"/>
              </w:rPr>
              <w:t>1.10.2</w:t>
            </w:r>
          </w:p>
        </w:tc>
        <w:tc>
          <w:tcPr>
            <w:tcW w:w="2891" w:type="dxa"/>
            <w:vAlign w:val="center"/>
          </w:tcPr>
          <w:p w14:paraId="461D4F39">
            <w:pPr>
              <w:spacing w:line="240" w:lineRule="auto"/>
              <w:jc w:val="center"/>
              <w:rPr>
                <w:rFonts w:hint="eastAsia" w:ascii="宋体" w:hAnsi="宋体" w:cs="宋体"/>
                <w:szCs w:val="21"/>
                <w:highlight w:val="none"/>
              </w:rPr>
            </w:pPr>
            <w:r>
              <w:rPr>
                <w:rFonts w:hint="eastAsia" w:ascii="宋体" w:hAnsi="宋体" w:cs="宋体"/>
                <w:szCs w:val="21"/>
                <w:highlight w:val="none"/>
              </w:rPr>
              <w:t>投标人提出问题的截止时间</w:t>
            </w:r>
          </w:p>
        </w:tc>
        <w:tc>
          <w:tcPr>
            <w:tcW w:w="6263" w:type="dxa"/>
            <w:vAlign w:val="center"/>
          </w:tcPr>
          <w:p w14:paraId="611593C0">
            <w:pPr>
              <w:rPr>
                <w:rFonts w:hint="eastAsia" w:ascii="宋体" w:hAnsi="宋体" w:cs="宋体"/>
                <w:szCs w:val="21"/>
                <w:highlight w:val="none"/>
              </w:rPr>
            </w:pPr>
            <w:r>
              <w:rPr>
                <w:rFonts w:hint="eastAsia" w:ascii="宋体" w:hAnsi="宋体" w:cs="宋体"/>
                <w:szCs w:val="21"/>
                <w:highlight w:val="none"/>
              </w:rPr>
              <w:t>1.本项目采用网上答疑方式。</w:t>
            </w:r>
          </w:p>
          <w:p w14:paraId="3295C9B5">
            <w:pPr>
              <w:rPr>
                <w:rFonts w:hint="eastAsia" w:ascii="宋体" w:hAnsi="宋体" w:cs="宋体"/>
                <w:szCs w:val="21"/>
                <w:highlight w:val="none"/>
              </w:rPr>
            </w:pPr>
            <w:r>
              <w:rPr>
                <w:rFonts w:hint="eastAsia" w:ascii="宋体" w:hAnsi="宋体" w:cs="宋体"/>
                <w:szCs w:val="21"/>
                <w:highlight w:val="none"/>
              </w:rPr>
              <w:t>2.投标人疑问期限：在投标截止日期前18日，将投标疑问通过广州交易集团有限公司（广州公共资源交易中心）交易平台提交。</w:t>
            </w:r>
          </w:p>
          <w:p w14:paraId="320FB8D8">
            <w:pPr>
              <w:rPr>
                <w:rFonts w:hint="eastAsia" w:ascii="宋体" w:hAnsi="宋体" w:cs="宋体"/>
                <w:szCs w:val="21"/>
                <w:highlight w:val="none"/>
              </w:rPr>
            </w:pPr>
            <w:r>
              <w:rPr>
                <w:rFonts w:hint="eastAsia" w:ascii="宋体" w:hAnsi="宋体" w:cs="宋体"/>
                <w:szCs w:val="21"/>
                <w:highlight w:val="none"/>
              </w:rPr>
              <w:t>3.招标人澄清、修</w:t>
            </w:r>
            <w:r>
              <w:rPr>
                <w:rFonts w:hint="default" w:ascii="宋体" w:hAnsi="宋体" w:cs="宋体"/>
                <w:szCs w:val="21"/>
                <w:highlight w:val="none"/>
                <w:lang w:val="en-US"/>
              </w:rPr>
              <w:t>补</w:t>
            </w:r>
            <w:r>
              <w:rPr>
                <w:rFonts w:hint="eastAsia" w:ascii="宋体" w:hAnsi="宋体" w:cs="宋体"/>
                <w:szCs w:val="21"/>
                <w:highlight w:val="none"/>
              </w:rPr>
              <w:t>或答疑期限：在递交投标文件截止日期前15日，答疑纪要在广州交易集团有限公司（广州公共资源交易中心）（http://www.gzggzy.cn/）、广东省招标投标监管网发布。</w:t>
            </w:r>
          </w:p>
        </w:tc>
      </w:tr>
      <w:tr w14:paraId="6AD5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134DF6B">
            <w:pPr>
              <w:spacing w:line="240" w:lineRule="auto"/>
              <w:jc w:val="center"/>
              <w:rPr>
                <w:rFonts w:hint="eastAsia" w:ascii="宋体" w:hAnsi="宋体" w:cs="宋体"/>
                <w:szCs w:val="21"/>
                <w:highlight w:val="none"/>
              </w:rPr>
            </w:pPr>
            <w:r>
              <w:rPr>
                <w:rFonts w:hint="eastAsia" w:ascii="宋体" w:hAnsi="宋体" w:cs="宋体"/>
                <w:szCs w:val="21"/>
                <w:highlight w:val="none"/>
              </w:rPr>
              <w:t>1.10.3</w:t>
            </w:r>
          </w:p>
        </w:tc>
        <w:tc>
          <w:tcPr>
            <w:tcW w:w="2891" w:type="dxa"/>
            <w:vAlign w:val="center"/>
          </w:tcPr>
          <w:p w14:paraId="5D10F228">
            <w:pPr>
              <w:spacing w:line="240" w:lineRule="auto"/>
              <w:jc w:val="center"/>
              <w:rPr>
                <w:rFonts w:hint="eastAsia" w:ascii="宋体" w:hAnsi="宋体" w:cs="宋体"/>
                <w:szCs w:val="21"/>
                <w:highlight w:val="none"/>
              </w:rPr>
            </w:pPr>
            <w:r>
              <w:rPr>
                <w:rFonts w:hint="eastAsia" w:ascii="宋体" w:hAnsi="宋体" w:cs="宋体"/>
                <w:szCs w:val="21"/>
                <w:highlight w:val="none"/>
              </w:rPr>
              <w:t>招标人书面澄清的时间</w:t>
            </w:r>
          </w:p>
        </w:tc>
        <w:tc>
          <w:tcPr>
            <w:tcW w:w="6263" w:type="dxa"/>
            <w:vAlign w:val="center"/>
          </w:tcPr>
          <w:p w14:paraId="7D8F4041">
            <w:pPr>
              <w:widowControl/>
              <w:spacing w:line="240" w:lineRule="auto"/>
              <w:rPr>
                <w:rFonts w:hint="eastAsia" w:ascii="宋体" w:hAnsi="宋体" w:cs="宋体"/>
                <w:kern w:val="0"/>
                <w:szCs w:val="21"/>
                <w:highlight w:val="none"/>
              </w:rPr>
            </w:pPr>
            <w:r>
              <w:rPr>
                <w:rFonts w:hint="eastAsia" w:ascii="宋体" w:hAnsi="宋体" w:cs="宋体"/>
                <w:szCs w:val="21"/>
                <w:highlight w:val="none"/>
              </w:rPr>
              <w:t>/</w:t>
            </w:r>
          </w:p>
        </w:tc>
      </w:tr>
      <w:tr w14:paraId="58E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C4AB1C1">
            <w:pPr>
              <w:spacing w:line="240" w:lineRule="auto"/>
              <w:jc w:val="center"/>
              <w:rPr>
                <w:rFonts w:hint="eastAsia" w:ascii="宋体" w:hAnsi="宋体" w:cs="宋体"/>
                <w:szCs w:val="21"/>
                <w:highlight w:val="none"/>
              </w:rPr>
            </w:pPr>
            <w:r>
              <w:rPr>
                <w:rFonts w:hint="eastAsia" w:ascii="宋体" w:hAnsi="宋体" w:cs="宋体"/>
                <w:szCs w:val="21"/>
                <w:highlight w:val="none"/>
              </w:rPr>
              <w:t>1.11.1</w:t>
            </w:r>
          </w:p>
        </w:tc>
        <w:tc>
          <w:tcPr>
            <w:tcW w:w="2891" w:type="dxa"/>
            <w:vAlign w:val="center"/>
          </w:tcPr>
          <w:p w14:paraId="5DC75140">
            <w:pPr>
              <w:spacing w:line="240" w:lineRule="auto"/>
              <w:jc w:val="center"/>
              <w:rPr>
                <w:rFonts w:hint="eastAsia" w:ascii="宋体" w:hAnsi="宋体" w:cs="宋体"/>
                <w:szCs w:val="21"/>
                <w:highlight w:val="none"/>
              </w:rPr>
            </w:pPr>
            <w:r>
              <w:rPr>
                <w:rFonts w:hint="eastAsia" w:ascii="宋体" w:hAnsi="宋体" w:cs="宋体"/>
                <w:szCs w:val="21"/>
                <w:highlight w:val="none"/>
              </w:rPr>
              <w:t>招标人规定由分包人承担的工作</w:t>
            </w:r>
          </w:p>
        </w:tc>
        <w:tc>
          <w:tcPr>
            <w:tcW w:w="6263" w:type="dxa"/>
            <w:vAlign w:val="center"/>
          </w:tcPr>
          <w:p w14:paraId="7BDB026C">
            <w:pPr>
              <w:spacing w:line="240" w:lineRule="auto"/>
              <w:rPr>
                <w:rFonts w:hint="eastAsia" w:ascii="宋体" w:hAnsi="宋体" w:cs="宋体"/>
                <w:szCs w:val="21"/>
                <w:highlight w:val="none"/>
                <w:u w:val="single"/>
              </w:rPr>
            </w:pPr>
            <w:r>
              <w:rPr>
                <w:rFonts w:hint="eastAsia" w:ascii="宋体" w:hAnsi="宋体" w:cs="宋体"/>
                <w:kern w:val="0"/>
                <w:szCs w:val="21"/>
                <w:highlight w:val="none"/>
                <w:u w:val="single"/>
              </w:rPr>
              <w:t>无。</w:t>
            </w:r>
          </w:p>
        </w:tc>
      </w:tr>
      <w:tr w14:paraId="02D1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BE220FD">
            <w:pPr>
              <w:spacing w:line="240" w:lineRule="auto"/>
              <w:jc w:val="center"/>
              <w:rPr>
                <w:rFonts w:hint="eastAsia" w:ascii="宋体" w:hAnsi="宋体" w:cs="宋体"/>
                <w:szCs w:val="21"/>
                <w:highlight w:val="none"/>
              </w:rPr>
            </w:pPr>
            <w:r>
              <w:rPr>
                <w:rFonts w:hint="eastAsia" w:ascii="宋体" w:hAnsi="宋体" w:cs="宋体"/>
                <w:szCs w:val="21"/>
                <w:highlight w:val="none"/>
              </w:rPr>
              <w:t>1.11.2</w:t>
            </w:r>
          </w:p>
        </w:tc>
        <w:tc>
          <w:tcPr>
            <w:tcW w:w="2891" w:type="dxa"/>
            <w:vAlign w:val="center"/>
          </w:tcPr>
          <w:p w14:paraId="55F68625">
            <w:pPr>
              <w:spacing w:line="240" w:lineRule="auto"/>
              <w:jc w:val="center"/>
              <w:rPr>
                <w:rFonts w:hint="eastAsia" w:ascii="宋体" w:hAnsi="宋体" w:cs="宋体"/>
                <w:szCs w:val="21"/>
                <w:highlight w:val="none"/>
              </w:rPr>
            </w:pPr>
            <w:r>
              <w:rPr>
                <w:rFonts w:hint="eastAsia" w:ascii="宋体" w:hAnsi="宋体" w:cs="宋体"/>
                <w:szCs w:val="21"/>
                <w:highlight w:val="none"/>
              </w:rPr>
              <w:t>投标人拟分包的工作</w:t>
            </w:r>
          </w:p>
        </w:tc>
        <w:tc>
          <w:tcPr>
            <w:tcW w:w="6263" w:type="dxa"/>
            <w:vAlign w:val="center"/>
          </w:tcPr>
          <w:p w14:paraId="19183250">
            <w:pPr>
              <w:rPr>
                <w:rFonts w:hint="eastAsia" w:ascii="宋体" w:hAnsi="宋体" w:cs="宋体"/>
                <w:szCs w:val="21"/>
                <w:highlight w:val="none"/>
              </w:rPr>
            </w:pPr>
            <w:r>
              <w:rPr>
                <w:rFonts w:hint="eastAsia" w:ascii="宋体" w:hAnsi="宋体" w:cs="宋体"/>
                <w:szCs w:val="21"/>
                <w:highlight w:val="none"/>
              </w:rPr>
              <w:t>□不允许</w:t>
            </w:r>
          </w:p>
          <w:p w14:paraId="417FC8ED">
            <w:pPr>
              <w:rPr>
                <w:rFonts w:hint="default" w:ascii="宋体" w:hAnsi="宋体" w:eastAsia="宋体" w:cs="宋体"/>
                <w:szCs w:val="21"/>
                <w:highlight w:val="none"/>
                <w:lang w:val="en-US" w:eastAsia="zh-CN"/>
              </w:rPr>
            </w:pPr>
            <w:r>
              <w:rPr>
                <w:rFonts w:hint="eastAsia" w:ascii="宋体" w:hAnsi="宋体" w:cs="宋体"/>
                <w:szCs w:val="21"/>
                <w:highlight w:val="none"/>
              </w:rPr>
              <w:t>■允许，</w:t>
            </w:r>
            <w:r>
              <w:rPr>
                <w:rFonts w:hint="eastAsia" w:ascii="宋体" w:hAnsi="宋体" w:cs="宋体"/>
                <w:szCs w:val="21"/>
                <w:highlight w:val="none"/>
                <w:u w:val="single"/>
              </w:rPr>
              <w:t>经招标人同意，中标人可以把中标项目的部分非主体、非关键性工作分包给具有相应资质和能力的专业单位实施，但不得再次分包。中标人</w:t>
            </w:r>
            <w:r>
              <w:rPr>
                <w:rFonts w:hint="eastAsia" w:ascii="宋体" w:hAnsi="宋体" w:cs="宋体"/>
                <w:szCs w:val="21"/>
                <w:highlight w:val="none"/>
                <w:u w:val="single"/>
                <w:lang w:val="en-US" w:eastAsia="zh-CN"/>
              </w:rPr>
              <w:t>对分包工程承担连带责任。</w:t>
            </w:r>
          </w:p>
        </w:tc>
      </w:tr>
      <w:tr w14:paraId="2A8B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D587C57">
            <w:pPr>
              <w:spacing w:line="240" w:lineRule="auto"/>
              <w:jc w:val="center"/>
              <w:rPr>
                <w:rFonts w:hint="eastAsia" w:ascii="宋体" w:hAnsi="宋体" w:cs="宋体"/>
                <w:szCs w:val="21"/>
                <w:highlight w:val="none"/>
              </w:rPr>
            </w:pPr>
            <w:r>
              <w:rPr>
                <w:rFonts w:hint="eastAsia" w:ascii="宋体" w:hAnsi="宋体" w:cs="宋体"/>
                <w:szCs w:val="21"/>
                <w:highlight w:val="none"/>
              </w:rPr>
              <w:t>1.12</w:t>
            </w:r>
          </w:p>
        </w:tc>
        <w:tc>
          <w:tcPr>
            <w:tcW w:w="2891" w:type="dxa"/>
            <w:vAlign w:val="center"/>
          </w:tcPr>
          <w:p w14:paraId="4CF7E22D">
            <w:pPr>
              <w:widowControl/>
              <w:jc w:val="center"/>
              <w:rPr>
                <w:rFonts w:hint="eastAsia" w:ascii="宋体" w:hAnsi="宋体" w:cs="宋体"/>
                <w:szCs w:val="21"/>
                <w:highlight w:val="none"/>
              </w:rPr>
            </w:pPr>
            <w:r>
              <w:rPr>
                <w:rFonts w:hint="eastAsia" w:ascii="宋体" w:hAnsi="宋体" w:cs="宋体"/>
                <w:szCs w:val="21"/>
                <w:highlight w:val="none"/>
              </w:rPr>
              <w:t>偏离</w:t>
            </w:r>
          </w:p>
        </w:tc>
        <w:tc>
          <w:tcPr>
            <w:tcW w:w="6263" w:type="dxa"/>
            <w:vAlign w:val="center"/>
          </w:tcPr>
          <w:p w14:paraId="0410D77D">
            <w:pPr>
              <w:spacing w:line="240" w:lineRule="auto"/>
              <w:rPr>
                <w:rFonts w:hint="eastAsia" w:ascii="宋体" w:hAnsi="宋体" w:cs="宋体"/>
                <w:szCs w:val="21"/>
                <w:highlight w:val="none"/>
              </w:rPr>
            </w:pPr>
            <w:r>
              <w:rPr>
                <w:rFonts w:hint="eastAsia" w:ascii="宋体" w:hAnsi="宋体" w:cs="宋体"/>
                <w:szCs w:val="21"/>
                <w:highlight w:val="none"/>
              </w:rPr>
              <w:t>■不允许</w:t>
            </w:r>
          </w:p>
          <w:p w14:paraId="353D1102">
            <w:pPr>
              <w:spacing w:line="240" w:lineRule="auto"/>
              <w:rPr>
                <w:rFonts w:hint="eastAsia" w:ascii="宋体" w:hAnsi="宋体" w:cs="宋体"/>
                <w:szCs w:val="21"/>
                <w:highlight w:val="none"/>
              </w:rPr>
            </w:pPr>
            <w:r>
              <w:rPr>
                <w:rFonts w:hint="eastAsia" w:ascii="宋体" w:hAnsi="宋体" w:cs="宋体"/>
                <w:szCs w:val="21"/>
                <w:highlight w:val="none"/>
              </w:rPr>
              <w:t>□允许，允许偏离的内容、偏离范围和幅度</w:t>
            </w:r>
          </w:p>
        </w:tc>
      </w:tr>
      <w:tr w14:paraId="2DC0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4163AEE">
            <w:pPr>
              <w:spacing w:line="240" w:lineRule="auto"/>
              <w:jc w:val="center"/>
              <w:rPr>
                <w:rFonts w:hint="eastAsia" w:ascii="宋体" w:hAnsi="宋体" w:cs="宋体"/>
                <w:szCs w:val="21"/>
                <w:highlight w:val="none"/>
              </w:rPr>
            </w:pPr>
            <w:r>
              <w:rPr>
                <w:rFonts w:hint="eastAsia" w:ascii="宋体" w:hAnsi="宋体" w:cs="宋体"/>
                <w:szCs w:val="21"/>
                <w:highlight w:val="none"/>
              </w:rPr>
              <w:t>2.1</w:t>
            </w:r>
          </w:p>
        </w:tc>
        <w:tc>
          <w:tcPr>
            <w:tcW w:w="2891" w:type="dxa"/>
            <w:vAlign w:val="center"/>
          </w:tcPr>
          <w:p w14:paraId="15012918">
            <w:pPr>
              <w:widowControl/>
              <w:jc w:val="center"/>
              <w:rPr>
                <w:rFonts w:hint="eastAsia" w:ascii="宋体" w:hAnsi="宋体" w:cs="宋体"/>
                <w:szCs w:val="21"/>
                <w:highlight w:val="none"/>
              </w:rPr>
            </w:pPr>
            <w:r>
              <w:rPr>
                <w:rFonts w:hint="eastAsia" w:ascii="宋体" w:hAnsi="宋体" w:cs="宋体"/>
                <w:szCs w:val="21"/>
                <w:highlight w:val="none"/>
              </w:rPr>
              <w:t>构成招标文件的其他资料</w:t>
            </w:r>
          </w:p>
        </w:tc>
        <w:tc>
          <w:tcPr>
            <w:tcW w:w="6263" w:type="dxa"/>
            <w:vAlign w:val="center"/>
          </w:tcPr>
          <w:p w14:paraId="132BAD7E">
            <w:pPr>
              <w:spacing w:line="240" w:lineRule="auto"/>
              <w:rPr>
                <w:rFonts w:hint="eastAsia" w:ascii="宋体" w:hAnsi="宋体" w:cs="宋体"/>
                <w:szCs w:val="21"/>
                <w:highlight w:val="none"/>
              </w:rPr>
            </w:pPr>
            <w:r>
              <w:rPr>
                <w:rFonts w:hint="eastAsia" w:ascii="宋体" w:hAnsi="宋体" w:cs="宋体"/>
                <w:kern w:val="0"/>
                <w:szCs w:val="21"/>
                <w:highlight w:val="none"/>
              </w:rPr>
              <w:t>补充公告、答疑纪要、澄清文件等（如有）</w:t>
            </w:r>
          </w:p>
        </w:tc>
      </w:tr>
      <w:tr w14:paraId="7EA0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CE1E930">
            <w:pPr>
              <w:spacing w:line="240" w:lineRule="auto"/>
              <w:jc w:val="center"/>
              <w:rPr>
                <w:rFonts w:hint="eastAsia" w:ascii="宋体" w:hAnsi="宋体" w:cs="宋体"/>
                <w:szCs w:val="21"/>
                <w:highlight w:val="none"/>
              </w:rPr>
            </w:pPr>
            <w:r>
              <w:rPr>
                <w:rFonts w:hint="eastAsia" w:ascii="宋体" w:hAnsi="宋体" w:cs="宋体"/>
                <w:szCs w:val="21"/>
                <w:highlight w:val="none"/>
              </w:rPr>
              <w:t>2.2.1</w:t>
            </w:r>
          </w:p>
        </w:tc>
        <w:tc>
          <w:tcPr>
            <w:tcW w:w="2891" w:type="dxa"/>
            <w:vAlign w:val="center"/>
          </w:tcPr>
          <w:p w14:paraId="2A29E4E6">
            <w:pPr>
              <w:widowControl/>
              <w:jc w:val="center"/>
              <w:rPr>
                <w:rFonts w:hint="eastAsia" w:ascii="宋体" w:hAnsi="宋体" w:cs="宋体"/>
                <w:szCs w:val="21"/>
                <w:highlight w:val="none"/>
              </w:rPr>
            </w:pPr>
            <w:r>
              <w:rPr>
                <w:rFonts w:hint="eastAsia" w:ascii="宋体" w:hAnsi="宋体" w:cs="宋体"/>
                <w:szCs w:val="21"/>
                <w:highlight w:val="none"/>
              </w:rPr>
              <w:t>投标人要求澄清招标文件的截止时间</w:t>
            </w:r>
          </w:p>
        </w:tc>
        <w:tc>
          <w:tcPr>
            <w:tcW w:w="6263" w:type="dxa"/>
            <w:vAlign w:val="center"/>
          </w:tcPr>
          <w:p w14:paraId="35845314">
            <w:pPr>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在提交投标文件截止时间18天前提出</w:t>
            </w:r>
            <w:r>
              <w:rPr>
                <w:rFonts w:hint="eastAsia" w:ascii="宋体" w:hAnsi="宋体" w:cs="宋体"/>
                <w:szCs w:val="21"/>
                <w:highlight w:val="none"/>
              </w:rPr>
              <w:t>。</w:t>
            </w:r>
          </w:p>
          <w:p w14:paraId="36D8EB8A">
            <w:pPr>
              <w:rPr>
                <w:rFonts w:hint="eastAsia" w:ascii="宋体" w:hAnsi="宋体" w:cs="宋体"/>
                <w:szCs w:val="21"/>
                <w:highlight w:val="none"/>
              </w:rPr>
            </w:pPr>
            <w:r>
              <w:rPr>
                <w:rFonts w:hint="eastAsia" w:ascii="宋体" w:hAnsi="宋体" w:cs="宋体"/>
                <w:szCs w:val="21"/>
                <w:highlight w:val="none"/>
              </w:rPr>
              <w:t>形式：</w:t>
            </w:r>
            <w:r>
              <w:rPr>
                <w:rFonts w:hint="eastAsia" w:ascii="宋体" w:hAnsi="宋体" w:cs="宋体"/>
                <w:szCs w:val="21"/>
                <w:highlight w:val="none"/>
                <w:u w:val="single"/>
              </w:rPr>
              <w:t>投标人的疑问通过广州交易集团有限公司（广州公共资源交易中心）数字交易平台提交。按照广州交易集团有限公司（广州公共资源交易中心）数字交易平台关于全流程电子化项目的相关指南进行操作，详见：《房建市政全流程电子化项目操作专章》。提问一律不得署名。</w:t>
            </w:r>
          </w:p>
        </w:tc>
      </w:tr>
      <w:tr w14:paraId="4C02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78FBE00">
            <w:pPr>
              <w:spacing w:line="240" w:lineRule="auto"/>
              <w:jc w:val="center"/>
              <w:rPr>
                <w:rFonts w:hint="eastAsia" w:ascii="宋体" w:hAnsi="宋体" w:cs="宋体"/>
                <w:szCs w:val="21"/>
                <w:highlight w:val="none"/>
              </w:rPr>
            </w:pPr>
            <w:r>
              <w:rPr>
                <w:rFonts w:hint="eastAsia" w:ascii="宋体" w:hAnsi="宋体" w:cs="宋体"/>
                <w:szCs w:val="21"/>
                <w:highlight w:val="none"/>
              </w:rPr>
              <w:t>2.2.2</w:t>
            </w:r>
          </w:p>
        </w:tc>
        <w:tc>
          <w:tcPr>
            <w:tcW w:w="2891" w:type="dxa"/>
            <w:vAlign w:val="center"/>
          </w:tcPr>
          <w:p w14:paraId="5BB7810A">
            <w:pPr>
              <w:spacing w:line="240" w:lineRule="auto"/>
              <w:jc w:val="center"/>
              <w:rPr>
                <w:rFonts w:hint="eastAsia" w:ascii="宋体" w:hAnsi="宋体" w:cs="宋体"/>
                <w:szCs w:val="21"/>
                <w:highlight w:val="none"/>
              </w:rPr>
            </w:pPr>
            <w:r>
              <w:rPr>
                <w:rFonts w:hint="eastAsia" w:ascii="宋体" w:hAnsi="宋体" w:cs="宋体"/>
                <w:szCs w:val="21"/>
                <w:highlight w:val="none"/>
              </w:rPr>
              <w:t>投标截止时间</w:t>
            </w:r>
          </w:p>
        </w:tc>
        <w:tc>
          <w:tcPr>
            <w:tcW w:w="6263" w:type="dxa"/>
            <w:vAlign w:val="center"/>
          </w:tcPr>
          <w:p w14:paraId="77A253AC">
            <w:pPr>
              <w:widowControl/>
              <w:spacing w:line="240" w:lineRule="auto"/>
              <w:rPr>
                <w:rFonts w:hint="eastAsia" w:ascii="宋体" w:hAnsi="宋体" w:cs="宋体"/>
                <w:kern w:val="0"/>
                <w:szCs w:val="21"/>
                <w:highlight w:val="none"/>
              </w:rPr>
            </w:pPr>
            <w:r>
              <w:rPr>
                <w:rFonts w:hint="eastAsia" w:ascii="宋体" w:hAnsi="宋体" w:cs="宋体"/>
                <w:szCs w:val="21"/>
                <w:highlight w:val="none"/>
              </w:rPr>
              <w:t>详</w:t>
            </w:r>
            <w:r>
              <w:rPr>
                <w:rFonts w:hint="eastAsia" w:ascii="宋体" w:hAnsi="宋体" w:cs="宋体"/>
                <w:kern w:val="0"/>
                <w:szCs w:val="21"/>
                <w:highlight w:val="none"/>
              </w:rPr>
              <w:t>见本项目招标公告。</w:t>
            </w:r>
          </w:p>
        </w:tc>
      </w:tr>
      <w:tr w14:paraId="38F8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3AA9C74">
            <w:pPr>
              <w:spacing w:line="240" w:lineRule="auto"/>
              <w:jc w:val="center"/>
              <w:rPr>
                <w:rFonts w:hint="eastAsia" w:ascii="宋体" w:hAnsi="宋体" w:cs="宋体"/>
                <w:szCs w:val="21"/>
                <w:highlight w:val="none"/>
              </w:rPr>
            </w:pPr>
            <w:r>
              <w:rPr>
                <w:rFonts w:hint="eastAsia" w:ascii="宋体" w:hAnsi="宋体" w:cs="宋体"/>
                <w:szCs w:val="21"/>
                <w:highlight w:val="none"/>
              </w:rPr>
              <w:t>2.2.3</w:t>
            </w:r>
          </w:p>
        </w:tc>
        <w:tc>
          <w:tcPr>
            <w:tcW w:w="2891" w:type="dxa"/>
            <w:vAlign w:val="center"/>
          </w:tcPr>
          <w:p w14:paraId="531891EE">
            <w:pPr>
              <w:widowControl/>
              <w:jc w:val="center"/>
              <w:rPr>
                <w:rFonts w:hint="eastAsia" w:ascii="宋体" w:hAnsi="宋体" w:cs="宋体"/>
                <w:szCs w:val="21"/>
                <w:highlight w:val="none"/>
              </w:rPr>
            </w:pPr>
            <w:r>
              <w:rPr>
                <w:rFonts w:hint="eastAsia" w:ascii="宋体" w:hAnsi="宋体" w:cs="宋体"/>
                <w:szCs w:val="21"/>
                <w:highlight w:val="none"/>
              </w:rPr>
              <w:t>投标人确认收到招标文件澄清的时间</w:t>
            </w:r>
          </w:p>
        </w:tc>
        <w:tc>
          <w:tcPr>
            <w:tcW w:w="6263" w:type="dxa"/>
            <w:vAlign w:val="center"/>
          </w:tcPr>
          <w:p w14:paraId="23501480">
            <w:pPr>
              <w:widowControl/>
              <w:jc w:val="left"/>
              <w:rPr>
                <w:rFonts w:hint="eastAsia" w:ascii="宋体" w:hAnsi="宋体" w:cs="宋体"/>
                <w:szCs w:val="21"/>
                <w:highlight w:val="none"/>
              </w:rPr>
            </w:pPr>
            <w:r>
              <w:rPr>
                <w:rFonts w:hint="eastAsia" w:ascii="宋体" w:hAnsi="宋体" w:cs="宋体"/>
                <w:szCs w:val="21"/>
                <w:highlight w:val="none"/>
              </w:rPr>
              <w:t>招标文件澄清或修改或补充公告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招标文件的澄清内容作为招标文件的组成部分，具有约束作用</w:t>
            </w:r>
          </w:p>
        </w:tc>
      </w:tr>
      <w:tr w14:paraId="1D16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33451FF">
            <w:pPr>
              <w:spacing w:line="240" w:lineRule="auto"/>
              <w:jc w:val="center"/>
              <w:rPr>
                <w:rFonts w:hint="eastAsia" w:ascii="宋体" w:hAnsi="宋体" w:cs="宋体"/>
                <w:szCs w:val="21"/>
                <w:highlight w:val="none"/>
              </w:rPr>
            </w:pPr>
            <w:r>
              <w:rPr>
                <w:rFonts w:hint="eastAsia" w:ascii="宋体" w:hAnsi="宋体" w:cs="宋体"/>
                <w:szCs w:val="21"/>
                <w:highlight w:val="none"/>
              </w:rPr>
              <w:t>2.3.2</w:t>
            </w:r>
          </w:p>
        </w:tc>
        <w:tc>
          <w:tcPr>
            <w:tcW w:w="2891" w:type="dxa"/>
            <w:vAlign w:val="center"/>
          </w:tcPr>
          <w:p w14:paraId="484D1019">
            <w:pPr>
              <w:widowControl/>
              <w:jc w:val="center"/>
              <w:rPr>
                <w:rFonts w:hint="eastAsia" w:ascii="宋体" w:hAnsi="宋体" w:cs="宋体"/>
                <w:szCs w:val="21"/>
                <w:highlight w:val="none"/>
              </w:rPr>
            </w:pPr>
            <w:r>
              <w:rPr>
                <w:rFonts w:hint="eastAsia" w:ascii="宋体" w:hAnsi="宋体" w:cs="宋体"/>
                <w:szCs w:val="21"/>
                <w:highlight w:val="none"/>
              </w:rPr>
              <w:t>投标人确认收到招标文件修改的时间</w:t>
            </w:r>
          </w:p>
        </w:tc>
        <w:tc>
          <w:tcPr>
            <w:tcW w:w="6263" w:type="dxa"/>
            <w:vAlign w:val="center"/>
          </w:tcPr>
          <w:p w14:paraId="7307B377">
            <w:pPr>
              <w:widowControl/>
              <w:jc w:val="left"/>
              <w:rPr>
                <w:rFonts w:hint="eastAsia" w:ascii="宋体" w:hAnsi="宋体" w:cs="宋体"/>
                <w:szCs w:val="21"/>
                <w:highlight w:val="none"/>
              </w:rPr>
            </w:pPr>
            <w:r>
              <w:rPr>
                <w:rFonts w:hint="eastAsia" w:ascii="宋体" w:hAnsi="宋体" w:cs="宋体"/>
                <w:szCs w:val="21"/>
                <w:highlight w:val="none"/>
              </w:rPr>
              <w:t>招标文件修改（或补充公告）一经在广州交易集团有限公司（广州公共资源交易中心）网站发布，视作已发放给所有投标人，以广州交易集团有限公司（广州公共资源交易中心）网站发布时间作为送达时间。无需投标人确认。投标人应自行关注，招标人不再一一通知。招标文件的修改（或补充公告）内容作为招标文件的组成部分，具有约束作用</w:t>
            </w:r>
          </w:p>
        </w:tc>
      </w:tr>
      <w:tr w14:paraId="15C6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2FF31FA">
            <w:pPr>
              <w:spacing w:line="240" w:lineRule="auto"/>
              <w:jc w:val="center"/>
              <w:rPr>
                <w:rFonts w:hint="eastAsia" w:ascii="宋体" w:hAnsi="宋体" w:cs="宋体"/>
                <w:szCs w:val="21"/>
                <w:highlight w:val="none"/>
              </w:rPr>
            </w:pPr>
            <w:r>
              <w:rPr>
                <w:rFonts w:hint="eastAsia" w:ascii="宋体" w:hAnsi="宋体" w:cs="宋体"/>
                <w:szCs w:val="21"/>
                <w:highlight w:val="none"/>
              </w:rPr>
              <w:t>3.1</w:t>
            </w:r>
          </w:p>
        </w:tc>
        <w:tc>
          <w:tcPr>
            <w:tcW w:w="2891" w:type="dxa"/>
            <w:vAlign w:val="center"/>
          </w:tcPr>
          <w:p w14:paraId="0EEC6BF5">
            <w:pPr>
              <w:spacing w:line="240" w:lineRule="auto"/>
              <w:jc w:val="center"/>
              <w:rPr>
                <w:rFonts w:hint="eastAsia" w:ascii="宋体" w:hAnsi="宋体" w:cs="宋体"/>
                <w:szCs w:val="21"/>
                <w:highlight w:val="none"/>
              </w:rPr>
            </w:pPr>
            <w:r>
              <w:rPr>
                <w:rFonts w:hint="eastAsia" w:ascii="宋体" w:hAnsi="宋体" w:cs="宋体"/>
                <w:szCs w:val="21"/>
                <w:highlight w:val="none"/>
              </w:rPr>
              <w:t>构成投标文件的其他资料</w:t>
            </w:r>
          </w:p>
        </w:tc>
        <w:tc>
          <w:tcPr>
            <w:tcW w:w="6263" w:type="dxa"/>
            <w:vAlign w:val="center"/>
          </w:tcPr>
          <w:p w14:paraId="243C5340">
            <w:pPr>
              <w:widowControl/>
              <w:spacing w:line="240" w:lineRule="auto"/>
              <w:rPr>
                <w:rFonts w:hint="eastAsia" w:ascii="宋体" w:hAnsi="宋体" w:cs="宋体"/>
                <w:kern w:val="0"/>
                <w:szCs w:val="21"/>
                <w:highlight w:val="none"/>
              </w:rPr>
            </w:pPr>
            <w:r>
              <w:rPr>
                <w:rFonts w:hint="eastAsia" w:ascii="宋体" w:hAnsi="宋体" w:cs="宋体"/>
                <w:szCs w:val="21"/>
                <w:highlight w:val="none"/>
                <w:u w:val="single"/>
              </w:rPr>
              <w:t>详见招标文件3.1投标文件的组成</w:t>
            </w:r>
          </w:p>
        </w:tc>
      </w:tr>
      <w:tr w14:paraId="4B37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A01D2B2">
            <w:pPr>
              <w:jc w:val="center"/>
              <w:rPr>
                <w:rFonts w:hint="eastAsia" w:ascii="宋体" w:hAnsi="宋体" w:cs="宋体"/>
                <w:szCs w:val="21"/>
                <w:highlight w:val="none"/>
              </w:rPr>
            </w:pPr>
            <w:r>
              <w:rPr>
                <w:rFonts w:hint="eastAsia" w:ascii="宋体" w:hAnsi="宋体" w:cs="宋体"/>
                <w:szCs w:val="21"/>
                <w:highlight w:val="none"/>
              </w:rPr>
              <w:t>3.2.3</w:t>
            </w:r>
          </w:p>
        </w:tc>
        <w:tc>
          <w:tcPr>
            <w:tcW w:w="2891" w:type="dxa"/>
            <w:vAlign w:val="center"/>
          </w:tcPr>
          <w:p w14:paraId="143C4B15">
            <w:pPr>
              <w:ind w:firstLine="315" w:firstLineChars="150"/>
              <w:rPr>
                <w:rFonts w:hint="eastAsia" w:ascii="宋体" w:hAnsi="宋体" w:cs="宋体"/>
                <w:szCs w:val="21"/>
                <w:highlight w:val="none"/>
                <w:u w:val="single"/>
              </w:rPr>
            </w:pPr>
            <w:r>
              <w:rPr>
                <w:rFonts w:hint="eastAsia" w:ascii="宋体" w:hAnsi="宋体" w:cs="宋体"/>
                <w:szCs w:val="21"/>
                <w:highlight w:val="none"/>
                <w:u w:val="single"/>
              </w:rPr>
              <w:t>最高投标限价</w:t>
            </w:r>
          </w:p>
        </w:tc>
        <w:tc>
          <w:tcPr>
            <w:tcW w:w="6263" w:type="dxa"/>
            <w:vAlign w:val="center"/>
          </w:tcPr>
          <w:p w14:paraId="363EBD73">
            <w:pPr>
              <w:spacing w:line="240" w:lineRule="auto"/>
              <w:rPr>
                <w:rFonts w:hint="default" w:ascii="宋体" w:hAnsi="宋体" w:eastAsia="宋体" w:cs="宋体"/>
                <w:szCs w:val="21"/>
                <w:highlight w:val="none"/>
                <w:u w:val="single"/>
                <w:lang w:val="en-US" w:eastAsia="zh-CN"/>
              </w:rPr>
            </w:pPr>
            <w:r>
              <w:rPr>
                <w:rFonts w:hint="eastAsia" w:ascii="宋体" w:hAnsi="宋体" w:eastAsia="宋体" w:cs="宋体"/>
                <w:color w:val="auto"/>
                <w:sz w:val="21"/>
                <w:szCs w:val="21"/>
                <w:highlight w:val="none"/>
              </w:rPr>
              <w:t>本项目招标控制价（最高投标限价）为：</w:t>
            </w:r>
            <w:r>
              <w:rPr>
                <w:rFonts w:hint="eastAsia" w:ascii="宋体" w:hAnsi="宋体" w:eastAsia="宋体" w:cs="宋体"/>
                <w:color w:val="auto"/>
                <w:highlight w:val="none"/>
              </w:rPr>
              <w:t>人民币</w:t>
            </w:r>
            <w:r>
              <w:rPr>
                <w:rFonts w:hint="eastAsia" w:ascii="宋体" w:hAnsi="宋体" w:eastAsia="宋体" w:cs="宋体"/>
                <w:color w:val="auto"/>
                <w:szCs w:val="21"/>
                <w:highlight w:val="none"/>
                <w:u w:val="single"/>
                <w:lang w:val="en-US" w:eastAsia="zh-CN"/>
              </w:rPr>
              <w:t xml:space="preserve"> 134451680.52 </w:t>
            </w:r>
            <w:r>
              <w:rPr>
                <w:rFonts w:hint="eastAsia" w:ascii="宋体" w:hAnsi="宋体" w:eastAsia="宋体" w:cs="宋体"/>
                <w:bCs w:val="0"/>
                <w:color w:val="auto"/>
                <w:sz w:val="24"/>
                <w:szCs w:val="24"/>
                <w:highlight w:val="none"/>
                <w:lang w:bidi="ar"/>
              </w:rPr>
              <w:t>元</w:t>
            </w:r>
            <w:r>
              <w:rPr>
                <w:rFonts w:ascii="宋体" w:hAnsi="宋体" w:eastAsia="宋体" w:cs="宋体"/>
                <w:color w:val="auto"/>
                <w:highlight w:val="none"/>
              </w:rPr>
              <w:t>，其中：</w:t>
            </w:r>
            <w:r>
              <w:rPr>
                <w:rFonts w:hint="eastAsia" w:ascii="宋体" w:hAnsi="宋体" w:eastAsia="宋体" w:cs="宋体"/>
                <w:color w:val="auto"/>
                <w:highlight w:val="none"/>
                <w:lang w:val="en-US" w:eastAsia="zh-CN"/>
              </w:rPr>
              <w:t>施工费</w:t>
            </w:r>
            <w:r>
              <w:rPr>
                <w:rFonts w:ascii="宋体" w:hAnsi="宋体" w:eastAsia="宋体" w:cs="宋体"/>
                <w:color w:val="auto"/>
                <w:highlight w:val="none"/>
              </w:rPr>
              <w:t>最高投标限价为</w:t>
            </w:r>
            <w:r>
              <w:rPr>
                <w:rFonts w:hint="eastAsia" w:ascii="宋体" w:hAnsi="宋体" w:eastAsia="宋体" w:cs="宋体"/>
                <w:color w:val="auto"/>
                <w:szCs w:val="21"/>
                <w:highlight w:val="none"/>
                <w:u w:val="single"/>
                <w:lang w:val="en-US" w:eastAsia="zh-CN"/>
              </w:rPr>
              <w:t xml:space="preserve"> 85759160.52 </w:t>
            </w:r>
            <w:r>
              <w:rPr>
                <w:rFonts w:hint="eastAsia" w:ascii="宋体" w:hAnsi="宋体" w:eastAsia="宋体" w:cs="宋体"/>
                <w:bCs w:val="0"/>
                <w:color w:val="auto"/>
                <w:sz w:val="24"/>
                <w:szCs w:val="24"/>
                <w:highlight w:val="none"/>
                <w:u w:val="none"/>
                <w:lang w:bidi="ar"/>
              </w:rPr>
              <w:t>元</w:t>
            </w:r>
            <w:r>
              <w:rPr>
                <w:rFonts w:hint="eastAsia" w:ascii="宋体" w:hAnsi="宋体" w:eastAsia="宋体" w:cs="宋体"/>
                <w:bCs w:val="0"/>
                <w:color w:val="auto"/>
                <w:sz w:val="24"/>
                <w:szCs w:val="24"/>
                <w:highlight w:val="none"/>
                <w:u w:val="none"/>
                <w:lang w:eastAsia="zh-CN" w:bidi="ar"/>
              </w:rPr>
              <w:t>（</w:t>
            </w:r>
            <w:r>
              <w:rPr>
                <w:rFonts w:hint="eastAsia" w:ascii="宋体" w:hAnsi="宋体" w:eastAsia="宋体" w:cs="宋体"/>
                <w:bCs w:val="0"/>
                <w:color w:val="auto"/>
                <w:sz w:val="24"/>
                <w:szCs w:val="24"/>
                <w:highlight w:val="none"/>
                <w:u w:val="none"/>
                <w:lang w:val="en-US" w:eastAsia="zh-CN" w:bidi="ar"/>
              </w:rPr>
              <w:t>综合单价最高限价为</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bCs w:val="0"/>
                <w:color w:val="auto"/>
                <w:sz w:val="24"/>
                <w:szCs w:val="24"/>
                <w:highlight w:val="none"/>
                <w:u w:val="none"/>
                <w:lang w:bidi="ar"/>
              </w:rPr>
              <w:t>元</w:t>
            </w:r>
            <w:r>
              <w:rPr>
                <w:rFonts w:hint="eastAsia" w:ascii="宋体" w:hAnsi="宋体" w:eastAsia="宋体" w:cs="宋体"/>
                <w:bCs w:val="0"/>
                <w:color w:val="auto"/>
                <w:sz w:val="24"/>
                <w:szCs w:val="24"/>
                <w:highlight w:val="none"/>
                <w:u w:val="none"/>
                <w:lang w:val="en-US" w:eastAsia="zh-CN" w:bidi="ar"/>
              </w:rPr>
              <w:t>/平方米</w:t>
            </w:r>
            <w:r>
              <w:rPr>
                <w:rFonts w:hint="eastAsia" w:ascii="宋体" w:hAnsi="宋体" w:eastAsia="宋体" w:cs="宋体"/>
                <w:bCs w:val="0"/>
                <w:color w:val="auto"/>
                <w:sz w:val="24"/>
                <w:szCs w:val="24"/>
                <w:highlight w:val="none"/>
                <w:u w:val="none"/>
                <w:lang w:eastAsia="zh-CN" w:bidi="ar"/>
              </w:rPr>
              <w:t>）</w:t>
            </w:r>
            <w:r>
              <w:rPr>
                <w:rFonts w:ascii="宋体" w:hAnsi="宋体" w:eastAsia="宋体" w:cs="宋体"/>
                <w:color w:val="auto"/>
                <w:highlight w:val="none"/>
              </w:rPr>
              <w:t>；</w:t>
            </w:r>
            <w:r>
              <w:rPr>
                <w:rFonts w:hint="eastAsia" w:ascii="宋体" w:hAnsi="宋体" w:eastAsia="宋体" w:cs="宋体"/>
                <w:color w:val="auto"/>
                <w:highlight w:val="none"/>
                <w:lang w:val="en-US" w:eastAsia="zh-CN"/>
              </w:rPr>
              <w:t>动迁服务</w:t>
            </w:r>
            <w:r>
              <w:rPr>
                <w:rFonts w:ascii="宋体" w:hAnsi="宋体" w:eastAsia="宋体" w:cs="宋体"/>
                <w:color w:val="auto"/>
                <w:highlight w:val="none"/>
              </w:rPr>
              <w:t>费最高投标限价为</w:t>
            </w:r>
            <w:r>
              <w:rPr>
                <w:rFonts w:hint="eastAsia" w:ascii="宋体" w:hAnsi="宋体" w:eastAsia="宋体" w:cs="宋体"/>
                <w:color w:val="auto"/>
                <w:szCs w:val="21"/>
                <w:highlight w:val="none"/>
                <w:u w:val="single"/>
                <w:lang w:val="en-US" w:eastAsia="zh-CN"/>
              </w:rPr>
              <w:t xml:space="preserve"> 48692520.00 </w:t>
            </w:r>
            <w:r>
              <w:rPr>
                <w:rFonts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sz w:val="21"/>
                <w:szCs w:val="21"/>
                <w:highlight w:val="none"/>
                <w:u w:val="single"/>
                <w:lang w:val="en-US" w:eastAsia="zh-CN"/>
              </w:rPr>
              <w:t>投标报价超过任一对应的招标控制价的投标文件将被拒绝。</w:t>
            </w:r>
          </w:p>
        </w:tc>
      </w:tr>
      <w:tr w14:paraId="40FE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14:paraId="6F17FD6E">
            <w:pPr>
              <w:jc w:val="center"/>
              <w:rPr>
                <w:rFonts w:hint="eastAsia" w:ascii="宋体" w:hAnsi="宋体" w:cs="宋体"/>
                <w:szCs w:val="21"/>
                <w:highlight w:val="none"/>
              </w:rPr>
            </w:pPr>
          </w:p>
        </w:tc>
        <w:tc>
          <w:tcPr>
            <w:tcW w:w="2891" w:type="dxa"/>
            <w:vAlign w:val="center"/>
          </w:tcPr>
          <w:p w14:paraId="3F9AEC96">
            <w:pPr>
              <w:jc w:val="center"/>
              <w:rPr>
                <w:rFonts w:hint="eastAsia" w:ascii="宋体" w:hAnsi="宋体" w:cs="宋体"/>
                <w:szCs w:val="21"/>
                <w:highlight w:val="none"/>
              </w:rPr>
            </w:pPr>
            <w:r>
              <w:rPr>
                <w:rFonts w:hint="eastAsia" w:ascii="宋体" w:hAnsi="宋体" w:cs="宋体"/>
                <w:szCs w:val="21"/>
                <w:highlight w:val="none"/>
              </w:rPr>
              <w:t>投标报价的要求</w:t>
            </w:r>
          </w:p>
        </w:tc>
        <w:tc>
          <w:tcPr>
            <w:tcW w:w="6263" w:type="dxa"/>
            <w:vAlign w:val="center"/>
          </w:tcPr>
          <w:p w14:paraId="050E85C9">
            <w:pPr>
              <w:widowControl/>
              <w:shd w:val="clear" w:color="auto" w:fill="FFFFFF"/>
              <w:tabs>
                <w:tab w:val="left" w:pos="105"/>
              </w:tabs>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动迁服务费</w:t>
            </w:r>
            <w:r>
              <w:rPr>
                <w:rFonts w:hint="eastAsia" w:ascii="宋体" w:hAnsi="宋体" w:eastAsia="宋体" w:cs="宋体"/>
                <w:color w:val="auto"/>
                <w:sz w:val="21"/>
                <w:szCs w:val="21"/>
                <w:highlight w:val="none"/>
              </w:rPr>
              <w:t>由投标人根据招标文件要求以及企业自身情况填报下浮率，</w:t>
            </w:r>
            <w:r>
              <w:rPr>
                <w:rFonts w:hint="eastAsia" w:ascii="宋体" w:hAnsi="宋体" w:eastAsia="宋体" w:cs="宋体"/>
                <w:bCs/>
                <w:color w:val="auto"/>
                <w:sz w:val="21"/>
                <w:szCs w:val="21"/>
                <w:highlight w:val="none"/>
              </w:rPr>
              <w:t>报价不得高于</w:t>
            </w:r>
            <w:r>
              <w:rPr>
                <w:rFonts w:hint="eastAsia" w:ascii="宋体" w:hAnsi="宋体" w:cs="宋体"/>
                <w:color w:val="auto"/>
                <w:sz w:val="21"/>
                <w:szCs w:val="21"/>
                <w:highlight w:val="none"/>
                <w:lang w:val="en-US" w:eastAsia="zh-CN"/>
              </w:rPr>
              <w:t>动迁服务费</w:t>
            </w:r>
            <w:r>
              <w:rPr>
                <w:rFonts w:hint="eastAsia" w:ascii="宋体" w:hAnsi="宋体" w:eastAsia="宋体" w:cs="宋体"/>
                <w:bCs/>
                <w:color w:val="auto"/>
                <w:sz w:val="21"/>
                <w:szCs w:val="21"/>
                <w:highlight w:val="none"/>
              </w:rPr>
              <w:t>最高投标限价</w:t>
            </w:r>
            <w:r>
              <w:rPr>
                <w:rFonts w:hint="eastAsia" w:ascii="宋体" w:hAnsi="宋体" w:eastAsia="宋体" w:cs="宋体"/>
                <w:color w:val="auto"/>
                <w:sz w:val="21"/>
                <w:szCs w:val="21"/>
                <w:highlight w:val="none"/>
              </w:rPr>
              <w:t>。</w:t>
            </w:r>
          </w:p>
          <w:p w14:paraId="2825516D">
            <w:pPr>
              <w:numPr>
                <w:ilvl w:val="-1"/>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2.施工费</w:t>
            </w:r>
            <w:r>
              <w:rPr>
                <w:rFonts w:hint="eastAsia" w:ascii="宋体" w:hAnsi="宋体" w:eastAsia="宋体" w:cs="宋体"/>
                <w:color w:val="auto"/>
                <w:sz w:val="21"/>
                <w:szCs w:val="21"/>
                <w:highlight w:val="none"/>
              </w:rPr>
              <w:t>由投标人根据招标文件要求以及企业自身情况填报下浮率。</w:t>
            </w:r>
            <w:r>
              <w:rPr>
                <w:rFonts w:hint="eastAsia" w:ascii="宋体" w:hAnsi="宋体" w:eastAsia="宋体" w:cs="宋体"/>
                <w:color w:val="auto"/>
                <w:sz w:val="21"/>
                <w:szCs w:val="21"/>
                <w:highlight w:val="none"/>
                <w:lang w:val="en-US" w:eastAsia="zh-CN"/>
              </w:rPr>
              <w:t>施工费</w:t>
            </w:r>
            <w:r>
              <w:rPr>
                <w:rFonts w:hint="eastAsia" w:ascii="宋体" w:hAnsi="宋体" w:eastAsia="宋体" w:cs="宋体"/>
                <w:color w:val="auto"/>
                <w:sz w:val="21"/>
                <w:szCs w:val="21"/>
                <w:highlight w:val="none"/>
              </w:rPr>
              <w:t>投标报价不得高于</w:t>
            </w:r>
            <w:r>
              <w:rPr>
                <w:rFonts w:hint="eastAsia" w:ascii="宋体" w:hAnsi="宋体" w:eastAsia="宋体" w:cs="宋体"/>
                <w:color w:val="auto"/>
                <w:sz w:val="21"/>
                <w:szCs w:val="21"/>
                <w:highlight w:val="none"/>
                <w:lang w:val="en-US" w:eastAsia="zh-CN"/>
              </w:rPr>
              <w:t>施工费</w:t>
            </w:r>
            <w:r>
              <w:rPr>
                <w:rFonts w:hint="eastAsia" w:ascii="宋体" w:hAnsi="宋体" w:eastAsia="宋体" w:cs="宋体"/>
                <w:color w:val="auto"/>
                <w:sz w:val="21"/>
                <w:szCs w:val="21"/>
                <w:highlight w:val="none"/>
              </w:rPr>
              <w:t>最高投标限价。</w:t>
            </w:r>
          </w:p>
          <w:p w14:paraId="419602A4">
            <w:pPr>
              <w:numPr>
                <w:ilvl w:val="-1"/>
                <w:numId w:val="0"/>
              </w:numPr>
              <w:spacing w:line="240" w:lineRule="auto"/>
              <w:rPr>
                <w:rFonts w:hint="default"/>
                <w:highlight w:val="none"/>
                <w:lang w:val="en-US"/>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对低于该</w:t>
            </w:r>
            <w:r>
              <w:rPr>
                <w:rFonts w:hint="eastAsia" w:ascii="宋体" w:hAnsi="宋体" w:eastAsia="宋体" w:cs="宋体"/>
                <w:color w:val="auto"/>
                <w:sz w:val="21"/>
                <w:szCs w:val="21"/>
                <w:highlight w:val="none"/>
                <w:lang w:eastAsia="zh-CN"/>
              </w:rPr>
              <w:t>警示价</w:t>
            </w:r>
            <w:r>
              <w:rPr>
                <w:rFonts w:hint="eastAsia" w:ascii="宋体" w:hAnsi="宋体" w:eastAsia="宋体" w:cs="宋体"/>
                <w:color w:val="auto"/>
                <w:sz w:val="21"/>
                <w:szCs w:val="21"/>
                <w:highlight w:val="none"/>
              </w:rPr>
              <w:t>的投标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w:t>
            </w:r>
            <w:r>
              <w:rPr>
                <w:rFonts w:hint="eastAsia" w:ascii="宋体" w:hAnsi="宋体" w:eastAsia="宋体" w:cs="宋体"/>
                <w:color w:val="auto"/>
                <w:sz w:val="21"/>
                <w:szCs w:val="21"/>
                <w:highlight w:val="none"/>
                <w:lang w:eastAsia="zh-CN"/>
              </w:rPr>
              <w:t>警示价</w:t>
            </w:r>
            <w:r>
              <w:rPr>
                <w:rFonts w:hint="eastAsia" w:ascii="宋体" w:hAnsi="宋体" w:eastAsia="宋体" w:cs="宋体"/>
                <w:color w:val="auto"/>
                <w:sz w:val="21"/>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4B0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DFF2DBD">
            <w:pPr>
              <w:jc w:val="center"/>
              <w:rPr>
                <w:rFonts w:hint="eastAsia" w:ascii="宋体" w:hAnsi="宋体" w:cs="宋体"/>
                <w:szCs w:val="21"/>
                <w:highlight w:val="none"/>
              </w:rPr>
            </w:pPr>
            <w:r>
              <w:rPr>
                <w:rFonts w:hint="eastAsia" w:ascii="宋体" w:hAnsi="宋体" w:cs="宋体"/>
                <w:szCs w:val="21"/>
                <w:highlight w:val="none"/>
              </w:rPr>
              <w:t>3.3.1</w:t>
            </w:r>
          </w:p>
        </w:tc>
        <w:tc>
          <w:tcPr>
            <w:tcW w:w="2891" w:type="dxa"/>
            <w:vAlign w:val="center"/>
          </w:tcPr>
          <w:p w14:paraId="35716F14">
            <w:pPr>
              <w:jc w:val="center"/>
              <w:rPr>
                <w:rFonts w:hint="eastAsia" w:ascii="宋体" w:hAnsi="宋体" w:cs="宋体"/>
                <w:szCs w:val="21"/>
                <w:highlight w:val="none"/>
              </w:rPr>
            </w:pPr>
            <w:r>
              <w:rPr>
                <w:rFonts w:hint="eastAsia" w:ascii="宋体" w:hAnsi="宋体" w:cs="宋体"/>
                <w:szCs w:val="21"/>
                <w:highlight w:val="none"/>
              </w:rPr>
              <w:t>投标有效期</w:t>
            </w:r>
          </w:p>
        </w:tc>
        <w:tc>
          <w:tcPr>
            <w:tcW w:w="6263" w:type="dxa"/>
            <w:vAlign w:val="center"/>
          </w:tcPr>
          <w:p w14:paraId="0B6648E7">
            <w:pPr>
              <w:rPr>
                <w:rFonts w:hint="eastAsia" w:ascii="宋体" w:hAnsi="宋体" w:cs="宋体"/>
                <w:kern w:val="0"/>
                <w:szCs w:val="21"/>
                <w:highlight w:val="none"/>
              </w:rPr>
            </w:pPr>
            <w:r>
              <w:rPr>
                <w:rFonts w:hint="eastAsia" w:ascii="宋体" w:hAnsi="宋体" w:cs="宋体"/>
                <w:b/>
                <w:szCs w:val="21"/>
                <w:highlight w:val="none"/>
                <w:u w:val="single"/>
              </w:rPr>
              <w:t>120</w:t>
            </w:r>
            <w:r>
              <w:rPr>
                <w:rFonts w:hint="eastAsia" w:ascii="宋体" w:hAnsi="宋体" w:cs="宋体"/>
                <w:szCs w:val="21"/>
                <w:highlight w:val="none"/>
                <w:u w:val="single"/>
              </w:rPr>
              <w:t>日历天（从递交投标文件截止之日计起），如出现异议或投诉，则投标有效期自动延长至异议或投诉处理结束，确定中标人并发放中标通知书为止。</w:t>
            </w:r>
          </w:p>
        </w:tc>
      </w:tr>
      <w:tr w14:paraId="308C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A39755E">
            <w:pPr>
              <w:jc w:val="center"/>
              <w:rPr>
                <w:rFonts w:hint="eastAsia" w:ascii="宋体" w:hAnsi="宋体" w:cs="宋体"/>
                <w:szCs w:val="21"/>
                <w:highlight w:val="none"/>
              </w:rPr>
            </w:pPr>
            <w:r>
              <w:rPr>
                <w:rFonts w:hint="eastAsia" w:ascii="宋体" w:hAnsi="宋体" w:cs="宋体"/>
                <w:szCs w:val="21"/>
                <w:highlight w:val="none"/>
              </w:rPr>
              <w:t>3.4.1</w:t>
            </w:r>
          </w:p>
        </w:tc>
        <w:tc>
          <w:tcPr>
            <w:tcW w:w="2891" w:type="dxa"/>
            <w:vAlign w:val="center"/>
          </w:tcPr>
          <w:p w14:paraId="6F745396">
            <w:pPr>
              <w:spacing w:line="240" w:lineRule="auto"/>
              <w:jc w:val="center"/>
              <w:rPr>
                <w:rFonts w:hint="eastAsia" w:ascii="宋体" w:hAnsi="宋体" w:cs="宋体"/>
                <w:szCs w:val="21"/>
                <w:highlight w:val="none"/>
              </w:rPr>
            </w:pPr>
            <w:r>
              <w:rPr>
                <w:rFonts w:hint="eastAsia" w:ascii="宋体" w:hAnsi="宋体" w:cs="宋体"/>
                <w:szCs w:val="21"/>
                <w:highlight w:val="none"/>
              </w:rPr>
              <w:t>投标保证金</w:t>
            </w:r>
          </w:p>
        </w:tc>
        <w:tc>
          <w:tcPr>
            <w:tcW w:w="6263" w:type="dxa"/>
            <w:vAlign w:val="center"/>
          </w:tcPr>
          <w:p w14:paraId="2DA09784">
            <w:pPr>
              <w:topLinePunct/>
              <w:spacing w:line="240" w:lineRule="auto"/>
              <w:jc w:val="left"/>
              <w:rPr>
                <w:rFonts w:hint="eastAsia" w:ascii="宋体" w:hAnsi="宋体" w:cs="宋体"/>
                <w:bCs/>
                <w:kern w:val="0"/>
                <w:szCs w:val="21"/>
                <w:highlight w:val="none"/>
              </w:rPr>
            </w:pPr>
            <w:r>
              <w:rPr>
                <w:rFonts w:hint="eastAsia" w:ascii="宋体" w:hAnsi="宋体" w:cs="宋体"/>
                <w:bCs/>
                <w:kern w:val="0"/>
                <w:szCs w:val="21"/>
                <w:highlight w:val="none"/>
              </w:rPr>
              <w:t>方式二：本项目收取投标保证金</w:t>
            </w:r>
            <w:r>
              <w:rPr>
                <w:rFonts w:hint="eastAsia" w:ascii="宋体" w:hAnsi="宋体" w:cs="宋体"/>
                <w:b/>
                <w:bCs/>
                <w:kern w:val="0"/>
                <w:szCs w:val="21"/>
                <w:highlight w:val="none"/>
                <w:u w:val="single"/>
                <w:lang w:val="en-US" w:eastAsia="zh-CN"/>
              </w:rPr>
              <w:t xml:space="preserve"> 50.00</w:t>
            </w:r>
            <w:r>
              <w:rPr>
                <w:rFonts w:hint="eastAsia" w:ascii="宋体" w:hAnsi="宋体" w:cs="宋体"/>
                <w:bCs/>
                <w:kern w:val="0"/>
                <w:szCs w:val="21"/>
                <w:highlight w:val="none"/>
              </w:rPr>
              <w:t>万元人民币。</w:t>
            </w:r>
          </w:p>
          <w:p w14:paraId="252B2A3F">
            <w:pPr>
              <w:topLinePunct/>
              <w:spacing w:line="240" w:lineRule="auto"/>
              <w:jc w:val="left"/>
              <w:rPr>
                <w:rFonts w:hint="eastAsia" w:ascii="宋体" w:hAnsi="宋体" w:cs="宋体"/>
                <w:bCs/>
                <w:kern w:val="0"/>
                <w:szCs w:val="21"/>
                <w:highlight w:val="none"/>
              </w:rPr>
            </w:pPr>
            <w:r>
              <w:rPr>
                <w:rFonts w:hint="eastAsia" w:ascii="宋体" w:hAnsi="宋体" w:cs="宋体"/>
                <w:bCs/>
                <w:kern w:val="0"/>
                <w:szCs w:val="21"/>
                <w:highlight w:val="none"/>
              </w:rPr>
              <w:t>1.缴纳时间在</w:t>
            </w:r>
            <w:r>
              <w:rPr>
                <w:rFonts w:hint="eastAsia" w:ascii="宋体" w:hAnsi="宋体" w:cs="宋体"/>
                <w:b/>
                <w:bCs/>
                <w:kern w:val="0"/>
                <w:szCs w:val="21"/>
                <w:highlight w:val="none"/>
                <w:u w:val="single"/>
              </w:rPr>
              <w:t>投标截止</w:t>
            </w:r>
            <w:r>
              <w:rPr>
                <w:rFonts w:hint="eastAsia" w:ascii="宋体" w:hAnsi="宋体" w:cs="宋体"/>
                <w:bCs/>
                <w:kern w:val="0"/>
                <w:szCs w:val="21"/>
                <w:highlight w:val="none"/>
              </w:rPr>
              <w:t>之前</w:t>
            </w:r>
            <w:r>
              <w:rPr>
                <w:rFonts w:hint="eastAsia" w:ascii="宋体" w:hAnsi="宋体" w:cs="宋体"/>
                <w:bCs/>
                <w:kern w:val="0"/>
                <w:szCs w:val="21"/>
                <w:highlight w:val="none"/>
                <w:lang w:eastAsia="zh-CN"/>
              </w:rPr>
              <w:t>，对于联合体投标人，投标担保由联合体主办方缴纳</w:t>
            </w:r>
            <w:r>
              <w:rPr>
                <w:rFonts w:hint="eastAsia" w:ascii="宋体" w:hAnsi="宋体" w:cs="宋体"/>
                <w:bCs/>
                <w:kern w:val="0"/>
                <w:szCs w:val="21"/>
                <w:highlight w:val="none"/>
              </w:rPr>
              <w:t>。</w:t>
            </w:r>
          </w:p>
          <w:p w14:paraId="4D297E16">
            <w:pPr>
              <w:pStyle w:val="23"/>
              <w:rPr>
                <w:rFonts w:hint="eastAsia" w:hAnsi="宋体" w:cs="宋体"/>
                <w:szCs w:val="21"/>
                <w:highlight w:val="none"/>
              </w:rPr>
            </w:pPr>
            <w:r>
              <w:rPr>
                <w:rFonts w:hint="eastAsia" w:hAnsi="宋体" w:cs="宋体"/>
                <w:szCs w:val="21"/>
                <w:highlight w:val="none"/>
              </w:rPr>
              <w:t>2.投标保证金的形式：投标保证金可采用现金、支票（现金支票、转账支票）、银行汇票、银行本票、银行电汇、银行转账、银行保函、保证保险、专业工程担保公司担保等能够实现保证目的的形式。</w:t>
            </w:r>
          </w:p>
          <w:p w14:paraId="470C3A63">
            <w:pPr>
              <w:pStyle w:val="23"/>
              <w:rPr>
                <w:rFonts w:hint="eastAsia" w:hAnsi="宋体" w:cs="宋体"/>
                <w:szCs w:val="21"/>
                <w:highlight w:val="none"/>
              </w:rPr>
            </w:pPr>
            <w:r>
              <w:rPr>
                <w:rFonts w:hint="eastAsia" w:hAnsi="宋体" w:cs="宋体"/>
                <w:szCs w:val="21"/>
                <w:highlight w:val="none"/>
              </w:rPr>
              <w:t>收取方式：</w:t>
            </w:r>
          </w:p>
          <w:p w14:paraId="62698996">
            <w:pPr>
              <w:pStyle w:val="23"/>
              <w:rPr>
                <w:rFonts w:hint="eastAsia" w:hAnsi="宋体" w:cs="宋体"/>
                <w:szCs w:val="21"/>
                <w:highlight w:val="none"/>
              </w:rPr>
            </w:pPr>
            <w:r>
              <w:rPr>
                <w:rFonts w:hint="eastAsia" w:hAnsi="宋体" w:cs="宋体"/>
                <w:szCs w:val="21"/>
                <w:highlight w:val="none"/>
              </w:rPr>
              <w:t>2.1如采用现金、支票或者银行汇票、银行本票、银行电汇、银行转账形式提交的，由广州交易集团有限公司代收，投标保证金须从投标人基本账户递交。</w:t>
            </w:r>
          </w:p>
          <w:p w14:paraId="0448F9C6">
            <w:pPr>
              <w:pStyle w:val="23"/>
              <w:rPr>
                <w:rFonts w:hint="eastAsia" w:hAnsi="宋体" w:cs="宋体"/>
                <w:szCs w:val="21"/>
                <w:highlight w:val="none"/>
              </w:rPr>
            </w:pPr>
            <w:r>
              <w:rPr>
                <w:rFonts w:hint="eastAsia" w:hAnsi="宋体" w:cs="宋体"/>
                <w:szCs w:val="21"/>
                <w:highlight w:val="none"/>
              </w:rPr>
              <w:t>（1）具体要求详见广州交易集团有限公司（广州公共资源交易中心）有关指引。</w:t>
            </w:r>
          </w:p>
          <w:p w14:paraId="614AA242">
            <w:pPr>
              <w:pStyle w:val="23"/>
              <w:rPr>
                <w:rFonts w:hint="eastAsia" w:hAnsi="宋体" w:cs="宋体"/>
                <w:szCs w:val="21"/>
                <w:highlight w:val="none"/>
              </w:rPr>
            </w:pPr>
            <w:r>
              <w:rPr>
                <w:rFonts w:hint="eastAsia" w:hAnsi="宋体" w:cs="宋体"/>
                <w:szCs w:val="21"/>
                <w:highlight w:val="none"/>
              </w:rPr>
              <w:t>（2）投标人必须提前办理缴纳投标保证金的事宜，且在缴纳保证金之前必须先咨询广州交易集团有限公司（广州公共资源交易中心）详细缴纳方法，否则需自行承担保证金无法成功缴纳的风险。</w:t>
            </w:r>
          </w:p>
          <w:p w14:paraId="240F83DC">
            <w:pPr>
              <w:pStyle w:val="23"/>
              <w:rPr>
                <w:rFonts w:hint="eastAsia" w:hAnsi="宋体" w:cs="宋体"/>
                <w:szCs w:val="21"/>
                <w:highlight w:val="none"/>
              </w:rPr>
            </w:pPr>
            <w:r>
              <w:rPr>
                <w:rFonts w:hint="eastAsia" w:hAnsi="宋体" w:cs="宋体"/>
                <w:szCs w:val="21"/>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6460926C">
            <w:pPr>
              <w:pStyle w:val="23"/>
              <w:rPr>
                <w:rFonts w:hint="eastAsia" w:hAnsi="宋体" w:cs="宋体"/>
                <w:szCs w:val="21"/>
                <w:highlight w:val="none"/>
              </w:rPr>
            </w:pPr>
            <w:r>
              <w:rPr>
                <w:rFonts w:hint="eastAsia" w:hAnsi="宋体" w:cs="宋体"/>
                <w:szCs w:val="21"/>
                <w:highlight w:val="none"/>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02648C06">
            <w:pPr>
              <w:pStyle w:val="23"/>
              <w:rPr>
                <w:rFonts w:hint="eastAsia" w:hAnsi="宋体" w:cs="宋体"/>
                <w:szCs w:val="21"/>
                <w:highlight w:val="none"/>
              </w:rPr>
            </w:pPr>
            <w:r>
              <w:rPr>
                <w:rFonts w:hint="eastAsia" w:hAnsi="宋体" w:cs="宋体"/>
                <w:szCs w:val="21"/>
                <w:highlight w:val="none"/>
              </w:rPr>
              <w:t>2.3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476DDC76">
            <w:pPr>
              <w:pStyle w:val="23"/>
              <w:rPr>
                <w:rFonts w:hint="eastAsia" w:hAnsi="宋体" w:cs="宋体"/>
                <w:szCs w:val="21"/>
                <w:highlight w:val="none"/>
                <w:u w:val="single"/>
              </w:rPr>
            </w:pPr>
            <w:r>
              <w:rPr>
                <w:rFonts w:hint="eastAsia" w:hAnsi="宋体" w:cs="宋体"/>
                <w:szCs w:val="21"/>
                <w:highlight w:val="none"/>
                <w:u w:val="single"/>
              </w:rPr>
              <w:t>注：1.对于未能按要求交纳投标保证金的投标人，招标人将视为不响应招标文件而予以拒绝，责任由投标人自负。</w:t>
            </w:r>
          </w:p>
          <w:p w14:paraId="24F5DEC1">
            <w:pPr>
              <w:pStyle w:val="23"/>
              <w:rPr>
                <w:rFonts w:hint="eastAsia" w:hAnsi="宋体" w:cs="宋体"/>
                <w:szCs w:val="21"/>
                <w:highlight w:val="none"/>
                <w:u w:val="single"/>
              </w:rPr>
            </w:pPr>
            <w:r>
              <w:rPr>
                <w:rFonts w:hint="eastAsia" w:hAnsi="宋体" w:cs="宋体"/>
                <w:szCs w:val="21"/>
                <w:highlight w:val="none"/>
                <w:u w:val="single"/>
              </w:rPr>
              <w:t>2.投标保证金有效期应长于或等于投标有效期，若投标有效期延长的，投标保证金有效期应相应延长，且延长后的有效期应满足前述要求。</w:t>
            </w:r>
          </w:p>
          <w:p w14:paraId="38CF062B">
            <w:pPr>
              <w:pStyle w:val="23"/>
              <w:rPr>
                <w:rFonts w:hint="eastAsia" w:hAnsi="宋体" w:cs="宋体"/>
                <w:szCs w:val="21"/>
                <w:highlight w:val="none"/>
              </w:rPr>
            </w:pPr>
            <w:r>
              <w:rPr>
                <w:rFonts w:hint="eastAsia" w:hAnsi="宋体" w:cs="宋体"/>
                <w:szCs w:val="21"/>
                <w:highlight w:val="none"/>
                <w:u w:val="single"/>
              </w:rPr>
              <w:t>3.投标人提供的银行保函应为银行出具的无条件、见索即付、不可</w:t>
            </w:r>
            <w:r>
              <w:rPr>
                <w:rFonts w:hint="eastAsia" w:hAnsi="宋体" w:cs="宋体"/>
                <w:szCs w:val="21"/>
                <w:highlight w:val="none"/>
                <w:u w:val="single"/>
                <w:lang w:val="en-US" w:eastAsia="zh-CN"/>
              </w:rPr>
              <w:t>撤销</w:t>
            </w:r>
            <w:r>
              <w:rPr>
                <w:rFonts w:hint="eastAsia" w:hAnsi="宋体" w:cs="宋体"/>
                <w:szCs w:val="21"/>
                <w:highlight w:val="none"/>
                <w:u w:val="single"/>
              </w:rPr>
              <w:t>的保函，担保金额不得低于上述金额。</w:t>
            </w:r>
          </w:p>
        </w:tc>
      </w:tr>
      <w:tr w14:paraId="527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F08EC08">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3.5.2</w:t>
            </w:r>
          </w:p>
        </w:tc>
        <w:tc>
          <w:tcPr>
            <w:tcW w:w="2891" w:type="dxa"/>
            <w:vAlign w:val="center"/>
          </w:tcPr>
          <w:p w14:paraId="7CD9472B">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近年财务状况</w:t>
            </w:r>
          </w:p>
        </w:tc>
        <w:tc>
          <w:tcPr>
            <w:tcW w:w="6263" w:type="dxa"/>
            <w:vAlign w:val="center"/>
          </w:tcPr>
          <w:p w14:paraId="7EB422BC">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14:paraId="6636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09D1353">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3.5.3</w:t>
            </w:r>
          </w:p>
        </w:tc>
        <w:tc>
          <w:tcPr>
            <w:tcW w:w="2891" w:type="dxa"/>
            <w:vAlign w:val="center"/>
          </w:tcPr>
          <w:p w14:paraId="2335C66F">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近年完成的类似项目</w:t>
            </w:r>
          </w:p>
        </w:tc>
        <w:tc>
          <w:tcPr>
            <w:tcW w:w="6263" w:type="dxa"/>
            <w:vAlign w:val="center"/>
          </w:tcPr>
          <w:p w14:paraId="3A22E134">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14:paraId="1D24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7293E37">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3.5.5</w:t>
            </w:r>
          </w:p>
        </w:tc>
        <w:tc>
          <w:tcPr>
            <w:tcW w:w="2891" w:type="dxa"/>
            <w:vAlign w:val="center"/>
          </w:tcPr>
          <w:p w14:paraId="1B04045F">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近年发生的重大诉讼及仲裁情况</w:t>
            </w:r>
          </w:p>
        </w:tc>
        <w:tc>
          <w:tcPr>
            <w:tcW w:w="6263" w:type="dxa"/>
            <w:vAlign w:val="center"/>
          </w:tcPr>
          <w:p w14:paraId="3212C710">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14:paraId="612B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E69677E">
            <w:pPr>
              <w:jc w:val="center"/>
              <w:rPr>
                <w:rFonts w:hint="eastAsia" w:ascii="宋体" w:hAnsi="宋体" w:cs="宋体"/>
                <w:szCs w:val="21"/>
                <w:highlight w:val="none"/>
              </w:rPr>
            </w:pPr>
            <w:r>
              <w:rPr>
                <w:rFonts w:hint="eastAsia" w:ascii="宋体" w:hAnsi="宋体" w:cs="宋体"/>
                <w:szCs w:val="21"/>
                <w:highlight w:val="none"/>
              </w:rPr>
              <w:t>3.6</w:t>
            </w:r>
          </w:p>
        </w:tc>
        <w:tc>
          <w:tcPr>
            <w:tcW w:w="2891" w:type="dxa"/>
            <w:vAlign w:val="center"/>
          </w:tcPr>
          <w:p w14:paraId="20969749">
            <w:pPr>
              <w:jc w:val="center"/>
              <w:rPr>
                <w:rFonts w:hint="eastAsia" w:ascii="宋体" w:hAnsi="宋体" w:cs="宋体"/>
                <w:szCs w:val="21"/>
                <w:highlight w:val="none"/>
              </w:rPr>
            </w:pPr>
            <w:r>
              <w:rPr>
                <w:rFonts w:hint="eastAsia" w:ascii="宋体" w:hAnsi="宋体" w:cs="宋体"/>
                <w:szCs w:val="21"/>
                <w:highlight w:val="none"/>
              </w:rPr>
              <w:t>是否允许递交备选投标方案</w:t>
            </w:r>
          </w:p>
        </w:tc>
        <w:tc>
          <w:tcPr>
            <w:tcW w:w="6263" w:type="dxa"/>
            <w:vAlign w:val="center"/>
          </w:tcPr>
          <w:p w14:paraId="37CA77EA">
            <w:pPr>
              <w:pStyle w:val="18"/>
              <w:topLinePunct/>
              <w:rPr>
                <w:rFonts w:hint="eastAsia" w:hAnsi="宋体" w:cs="宋体"/>
                <w:sz w:val="21"/>
                <w:szCs w:val="21"/>
                <w:highlight w:val="none"/>
              </w:rPr>
            </w:pPr>
            <w:r>
              <w:rPr>
                <w:rFonts w:hint="eastAsia" w:hAnsi="宋体" w:cs="宋体"/>
                <w:sz w:val="21"/>
                <w:szCs w:val="21"/>
                <w:highlight w:val="none"/>
              </w:rPr>
              <w:t>■不允许</w:t>
            </w:r>
          </w:p>
          <w:p w14:paraId="16326650">
            <w:pPr>
              <w:rPr>
                <w:rFonts w:hint="eastAsia" w:ascii="宋体" w:hAnsi="宋体" w:cs="宋体"/>
                <w:szCs w:val="21"/>
                <w:highlight w:val="none"/>
              </w:rPr>
            </w:pPr>
            <w:r>
              <w:rPr>
                <w:rFonts w:hint="eastAsia" w:ascii="宋体" w:hAnsi="宋体" w:cs="宋体"/>
                <w:szCs w:val="21"/>
                <w:highlight w:val="none"/>
              </w:rPr>
              <w:t>□允许</w:t>
            </w:r>
          </w:p>
        </w:tc>
      </w:tr>
      <w:tr w14:paraId="11B8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036EAED">
            <w:pPr>
              <w:jc w:val="center"/>
              <w:rPr>
                <w:rFonts w:hint="eastAsia" w:ascii="宋体" w:hAnsi="宋体" w:cs="宋体"/>
                <w:szCs w:val="21"/>
                <w:highlight w:val="none"/>
              </w:rPr>
            </w:pPr>
            <w:r>
              <w:rPr>
                <w:rFonts w:hint="eastAsia" w:ascii="宋体" w:hAnsi="宋体" w:cs="宋体"/>
                <w:szCs w:val="21"/>
                <w:highlight w:val="none"/>
              </w:rPr>
              <w:t>3.7.3</w:t>
            </w:r>
          </w:p>
        </w:tc>
        <w:tc>
          <w:tcPr>
            <w:tcW w:w="2891" w:type="dxa"/>
            <w:vAlign w:val="center"/>
          </w:tcPr>
          <w:p w14:paraId="703A6069">
            <w:pPr>
              <w:jc w:val="center"/>
              <w:rPr>
                <w:rFonts w:hint="eastAsia" w:ascii="宋体" w:hAnsi="宋体" w:cs="宋体"/>
                <w:szCs w:val="21"/>
                <w:highlight w:val="none"/>
              </w:rPr>
            </w:pPr>
            <w:r>
              <w:rPr>
                <w:rFonts w:hint="eastAsia" w:ascii="宋体" w:hAnsi="宋体" w:cs="宋体"/>
                <w:szCs w:val="21"/>
                <w:highlight w:val="none"/>
              </w:rPr>
              <w:t>签字或盖章要求</w:t>
            </w:r>
          </w:p>
        </w:tc>
        <w:tc>
          <w:tcPr>
            <w:tcW w:w="6263" w:type="dxa"/>
            <w:vAlign w:val="center"/>
          </w:tcPr>
          <w:p w14:paraId="7D9A883E">
            <w:pPr>
              <w:rPr>
                <w:rFonts w:hint="eastAsia" w:ascii="宋体" w:hAnsi="宋体" w:cs="宋体"/>
                <w:szCs w:val="21"/>
                <w:highlight w:val="none"/>
              </w:rPr>
            </w:pPr>
            <w:r>
              <w:rPr>
                <w:rFonts w:hint="eastAsia" w:ascii="宋体" w:hAnsi="宋体" w:cs="宋体"/>
                <w:szCs w:val="21"/>
                <w:highlight w:val="none"/>
                <w:u w:val="single"/>
              </w:rPr>
              <w:t>投标人应采用单位数字证书，按招标文件要求加盖电子印章。投标文件中需个人签字或盖章的，应加盖个人电子印章或在线下完成后扫描上传。按照交易平台关于全流程电子化项目的相关指南进行操作。联合体投标的，除联合体工作协议书需联合体各方同时签字或盖章外，法定代表人证明书及授权委托证明书可由联合体主办方出具，其中“单位”一栏可只填写联合体主办方名称，投标文件其他内容及落款中的“投标人”应填写联合体各方的单位全称【格式示例：(主)单位全称(成)单位全称】，由联合体</w:t>
            </w:r>
            <w:r>
              <w:rPr>
                <w:rFonts w:hint="eastAsia" w:ascii="宋体" w:hAnsi="宋体" w:cs="宋体"/>
                <w:b/>
                <w:bCs/>
                <w:szCs w:val="21"/>
                <w:highlight w:val="none"/>
                <w:u w:val="single"/>
              </w:rPr>
              <w:t>主办方</w:t>
            </w:r>
            <w:r>
              <w:rPr>
                <w:rFonts w:hint="eastAsia" w:ascii="宋体" w:hAnsi="宋体" w:cs="宋体"/>
                <w:szCs w:val="21"/>
                <w:highlight w:val="none"/>
                <w:u w:val="single"/>
              </w:rPr>
              <w:t>签字、盖章即可。</w:t>
            </w:r>
          </w:p>
        </w:tc>
      </w:tr>
      <w:tr w14:paraId="5DD0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B9AC4AC">
            <w:pPr>
              <w:spacing w:line="240" w:lineRule="auto"/>
              <w:jc w:val="center"/>
              <w:rPr>
                <w:rFonts w:hint="eastAsia" w:ascii="宋体" w:hAnsi="宋体" w:cs="宋体"/>
                <w:kern w:val="1"/>
                <w:szCs w:val="21"/>
                <w:highlight w:val="none"/>
              </w:rPr>
            </w:pPr>
            <w:r>
              <w:rPr>
                <w:rFonts w:hint="eastAsia" w:ascii="宋体" w:hAnsi="宋体" w:cs="宋体"/>
                <w:kern w:val="1"/>
                <w:szCs w:val="21"/>
                <w:highlight w:val="none"/>
              </w:rPr>
              <w:t>4.2.1</w:t>
            </w:r>
          </w:p>
        </w:tc>
        <w:tc>
          <w:tcPr>
            <w:tcW w:w="2891" w:type="dxa"/>
            <w:vAlign w:val="center"/>
          </w:tcPr>
          <w:p w14:paraId="17CE177D">
            <w:pPr>
              <w:spacing w:line="240" w:lineRule="auto"/>
              <w:jc w:val="center"/>
              <w:rPr>
                <w:rFonts w:hint="eastAsia" w:ascii="宋体" w:hAnsi="宋体" w:cs="宋体"/>
                <w:kern w:val="1"/>
                <w:szCs w:val="21"/>
                <w:highlight w:val="none"/>
              </w:rPr>
            </w:pPr>
            <w:r>
              <w:rPr>
                <w:rFonts w:hint="eastAsia" w:ascii="宋体" w:hAnsi="宋体" w:cs="宋体"/>
                <w:kern w:val="1"/>
                <w:szCs w:val="21"/>
                <w:highlight w:val="none"/>
              </w:rPr>
              <w:t>投标截止时间</w:t>
            </w:r>
          </w:p>
        </w:tc>
        <w:tc>
          <w:tcPr>
            <w:tcW w:w="6263" w:type="dxa"/>
            <w:vAlign w:val="center"/>
          </w:tcPr>
          <w:p w14:paraId="78A10441">
            <w:pPr>
              <w:keepNext w:val="0"/>
              <w:keepLines w:val="0"/>
              <w:pageBreakBefore w:val="0"/>
              <w:kinsoku/>
              <w:wordWrap/>
              <w:overflowPunct/>
              <w:autoSpaceDE/>
              <w:autoSpaceDN/>
              <w:bidi w:val="0"/>
              <w:spacing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投标截止时间：2025年  月  日  时  分；</w:t>
            </w:r>
          </w:p>
          <w:p w14:paraId="4A6A6E9B">
            <w:pPr>
              <w:spacing w:line="240" w:lineRule="auto"/>
              <w:rPr>
                <w:rFonts w:hint="eastAsia" w:ascii="宋体" w:hAnsi="宋体" w:cs="宋体"/>
                <w:szCs w:val="21"/>
                <w:highlight w:val="none"/>
              </w:rPr>
            </w:pPr>
            <w:r>
              <w:rPr>
                <w:rFonts w:hint="eastAsia" w:ascii="宋体" w:hAnsi="宋体" w:eastAsia="宋体" w:cs="宋体"/>
                <w:sz w:val="21"/>
                <w:szCs w:val="21"/>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tc>
      </w:tr>
      <w:tr w14:paraId="771D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886195D">
            <w:pPr>
              <w:jc w:val="center"/>
              <w:rPr>
                <w:rFonts w:hint="eastAsia" w:ascii="宋体" w:hAnsi="宋体" w:cs="宋体"/>
                <w:szCs w:val="21"/>
                <w:highlight w:val="none"/>
              </w:rPr>
            </w:pPr>
            <w:r>
              <w:rPr>
                <w:rFonts w:hint="eastAsia" w:ascii="宋体" w:hAnsi="宋体" w:cs="宋体"/>
                <w:szCs w:val="21"/>
                <w:highlight w:val="none"/>
              </w:rPr>
              <w:t>4.2.2</w:t>
            </w:r>
          </w:p>
        </w:tc>
        <w:tc>
          <w:tcPr>
            <w:tcW w:w="2891" w:type="dxa"/>
            <w:vAlign w:val="center"/>
          </w:tcPr>
          <w:p w14:paraId="2F56988B">
            <w:pPr>
              <w:jc w:val="center"/>
              <w:rPr>
                <w:rFonts w:hint="eastAsia" w:ascii="宋体" w:hAnsi="宋体" w:cs="宋体"/>
                <w:szCs w:val="21"/>
                <w:highlight w:val="none"/>
              </w:rPr>
            </w:pPr>
            <w:r>
              <w:rPr>
                <w:rFonts w:hint="eastAsia" w:ascii="宋体" w:hAnsi="宋体" w:cs="宋体"/>
                <w:spacing w:val="-10"/>
                <w:szCs w:val="21"/>
                <w:highlight w:val="none"/>
              </w:rPr>
              <w:t>递交投标文件地点</w:t>
            </w:r>
          </w:p>
        </w:tc>
        <w:tc>
          <w:tcPr>
            <w:tcW w:w="6263" w:type="dxa"/>
            <w:vAlign w:val="center"/>
          </w:tcPr>
          <w:p w14:paraId="615F6C12">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递交投标文件开始时间：   年  月  日  时  分；</w:t>
            </w:r>
          </w:p>
          <w:p w14:paraId="0D6F3348">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递交投标文件截止时间：   年  月  日  时  分；</w:t>
            </w:r>
          </w:p>
          <w:p w14:paraId="4F19EB46">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u w:val="single"/>
              </w:rPr>
              <w:t>投标人应在投标文件递交截止时间前通过广州交易集团有限公司（广州公共资源交易中心）电子招标投标交易平台递交电子投标文件。</w:t>
            </w:r>
          </w:p>
          <w:p w14:paraId="1752060D">
            <w:pPr>
              <w:ind w:firstLine="0" w:firstLineChars="0"/>
              <w:rPr>
                <w:rFonts w:hint="eastAsia" w:ascii="宋体" w:hAnsi="宋体" w:cs="宋体"/>
                <w:szCs w:val="21"/>
                <w:highlight w:val="none"/>
              </w:rPr>
            </w:pPr>
            <w:r>
              <w:rPr>
                <w:rFonts w:hint="eastAsia" w:ascii="宋体" w:hAnsi="宋体" w:eastAsia="宋体" w:cs="宋体"/>
                <w:sz w:val="21"/>
                <w:szCs w:val="21"/>
                <w:highlight w:val="none"/>
                <w:u w:val="single"/>
              </w:rPr>
              <w:t>本项目日程安排及地点信息可在广州交易集团有限公司（广州公共资源交易中心）网站进行查询。</w:t>
            </w:r>
          </w:p>
        </w:tc>
      </w:tr>
      <w:tr w14:paraId="6D02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29FF22E">
            <w:pPr>
              <w:jc w:val="center"/>
              <w:rPr>
                <w:rFonts w:hint="eastAsia" w:ascii="宋体" w:hAnsi="宋体" w:cs="宋体"/>
                <w:szCs w:val="21"/>
                <w:highlight w:val="none"/>
              </w:rPr>
            </w:pPr>
            <w:r>
              <w:rPr>
                <w:rFonts w:hint="eastAsia" w:ascii="宋体" w:hAnsi="宋体" w:cs="宋体"/>
                <w:szCs w:val="21"/>
                <w:highlight w:val="none"/>
              </w:rPr>
              <w:t>4.2.3</w:t>
            </w:r>
          </w:p>
        </w:tc>
        <w:tc>
          <w:tcPr>
            <w:tcW w:w="2891" w:type="dxa"/>
            <w:vAlign w:val="center"/>
          </w:tcPr>
          <w:p w14:paraId="391E9AA3">
            <w:pPr>
              <w:jc w:val="center"/>
              <w:rPr>
                <w:rFonts w:hint="eastAsia" w:ascii="宋体" w:hAnsi="宋体" w:cs="宋体"/>
                <w:szCs w:val="21"/>
                <w:highlight w:val="none"/>
              </w:rPr>
            </w:pPr>
            <w:r>
              <w:rPr>
                <w:rFonts w:hint="eastAsia" w:ascii="宋体" w:hAnsi="宋体" w:cs="宋体"/>
                <w:szCs w:val="21"/>
                <w:highlight w:val="none"/>
              </w:rPr>
              <w:t>是否退还</w:t>
            </w:r>
          </w:p>
          <w:p w14:paraId="2871A531">
            <w:pPr>
              <w:jc w:val="center"/>
              <w:rPr>
                <w:rFonts w:hint="eastAsia" w:ascii="宋体" w:hAnsi="宋体" w:cs="宋体"/>
                <w:szCs w:val="21"/>
                <w:highlight w:val="none"/>
              </w:rPr>
            </w:pPr>
            <w:r>
              <w:rPr>
                <w:rFonts w:hint="eastAsia" w:ascii="宋体" w:hAnsi="宋体" w:cs="宋体"/>
                <w:szCs w:val="21"/>
                <w:highlight w:val="none"/>
              </w:rPr>
              <w:t>投标文件</w:t>
            </w:r>
          </w:p>
        </w:tc>
        <w:tc>
          <w:tcPr>
            <w:tcW w:w="6263" w:type="dxa"/>
            <w:vAlign w:val="center"/>
          </w:tcPr>
          <w:p w14:paraId="61FED9D9">
            <w:pPr>
              <w:pStyle w:val="18"/>
              <w:topLinePunct/>
              <w:rPr>
                <w:rFonts w:hint="eastAsia" w:hAnsi="宋体" w:cs="宋体"/>
                <w:sz w:val="21"/>
                <w:szCs w:val="21"/>
                <w:highlight w:val="none"/>
              </w:rPr>
            </w:pPr>
            <w:r>
              <w:rPr>
                <w:rFonts w:hint="eastAsia" w:hAnsi="宋体" w:cs="宋体"/>
                <w:sz w:val="21"/>
                <w:szCs w:val="21"/>
                <w:highlight w:val="none"/>
              </w:rPr>
              <w:t>■否</w:t>
            </w:r>
          </w:p>
          <w:p w14:paraId="0FB40ADC">
            <w:pPr>
              <w:rPr>
                <w:rFonts w:hint="eastAsia" w:ascii="宋体" w:hAnsi="宋体" w:cs="宋体"/>
                <w:kern w:val="0"/>
                <w:szCs w:val="21"/>
                <w:highlight w:val="none"/>
              </w:rPr>
            </w:pPr>
            <w:r>
              <w:rPr>
                <w:rFonts w:hint="eastAsia" w:ascii="宋体" w:hAnsi="宋体" w:cs="宋体"/>
                <w:szCs w:val="21"/>
                <w:highlight w:val="none"/>
              </w:rPr>
              <w:t>□是</w:t>
            </w:r>
          </w:p>
        </w:tc>
      </w:tr>
      <w:tr w14:paraId="180C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F00703C">
            <w:pPr>
              <w:jc w:val="center"/>
              <w:rPr>
                <w:rFonts w:hint="eastAsia" w:ascii="宋体" w:hAnsi="宋体" w:cs="宋体"/>
                <w:kern w:val="0"/>
                <w:szCs w:val="21"/>
                <w:highlight w:val="none"/>
              </w:rPr>
            </w:pPr>
            <w:r>
              <w:rPr>
                <w:rFonts w:hint="eastAsia" w:ascii="宋体" w:hAnsi="宋体" w:cs="宋体"/>
                <w:szCs w:val="21"/>
                <w:highlight w:val="none"/>
              </w:rPr>
              <w:t>5.1</w:t>
            </w:r>
          </w:p>
        </w:tc>
        <w:tc>
          <w:tcPr>
            <w:tcW w:w="2891" w:type="dxa"/>
            <w:vAlign w:val="center"/>
          </w:tcPr>
          <w:p w14:paraId="437E2DE8">
            <w:pPr>
              <w:adjustRightInd w:val="0"/>
              <w:snapToGrid w:val="0"/>
              <w:jc w:val="center"/>
              <w:rPr>
                <w:rFonts w:hint="eastAsia" w:ascii="宋体" w:hAnsi="宋体" w:cs="宋体"/>
                <w:kern w:val="0"/>
                <w:szCs w:val="21"/>
                <w:highlight w:val="none"/>
              </w:rPr>
            </w:pPr>
            <w:r>
              <w:rPr>
                <w:rFonts w:hint="eastAsia" w:ascii="宋体" w:hAnsi="宋体" w:cs="宋体"/>
                <w:spacing w:val="-2"/>
                <w:kern w:val="0"/>
                <w:szCs w:val="21"/>
                <w:highlight w:val="none"/>
              </w:rPr>
              <w:t>开标时间和地点</w:t>
            </w:r>
          </w:p>
        </w:tc>
        <w:tc>
          <w:tcPr>
            <w:tcW w:w="6263" w:type="dxa"/>
            <w:vAlign w:val="center"/>
          </w:tcPr>
          <w:p w14:paraId="122B7E0F">
            <w:pPr>
              <w:pStyle w:val="180"/>
              <w:spacing w:line="440" w:lineRule="exact"/>
              <w:ind w:left="36" w:leftChars="17" w:right="36" w:rightChars="17"/>
              <w:jc w:val="both"/>
              <w:rPr>
                <w:rFonts w:hint="eastAsia" w:ascii="宋体" w:hAnsi="宋体" w:eastAsia="宋体" w:cs="宋体"/>
                <w:color w:val="auto"/>
                <w:sz w:val="21"/>
                <w:szCs w:val="21"/>
                <w:highlight w:val="none"/>
                <w:u w:val="single"/>
                <w:lang w:eastAsia="zh-CN" w:bidi="ar-SA"/>
              </w:rPr>
            </w:pPr>
            <w:r>
              <w:rPr>
                <w:rFonts w:hint="eastAsia" w:ascii="宋体" w:hAnsi="宋体" w:eastAsia="宋体" w:cs="宋体"/>
                <w:color w:val="auto"/>
                <w:sz w:val="21"/>
                <w:szCs w:val="21"/>
                <w:highlight w:val="none"/>
                <w:u w:val="single"/>
                <w:lang w:eastAsia="zh-CN" w:bidi="ar-SA"/>
              </w:rPr>
              <w:t>开标时间：同投标截止时间</w:t>
            </w:r>
            <w:r>
              <w:rPr>
                <w:rFonts w:hint="eastAsia" w:ascii="宋体" w:hAnsi="宋体" w:cs="宋体"/>
                <w:color w:val="auto"/>
                <w:sz w:val="21"/>
                <w:szCs w:val="21"/>
                <w:highlight w:val="none"/>
                <w:u w:val="single"/>
                <w:lang w:eastAsia="zh-CN" w:bidi="ar-SA"/>
              </w:rPr>
              <w:t>。</w:t>
            </w:r>
          </w:p>
          <w:p w14:paraId="70124D8C">
            <w:pPr>
              <w:adjustRightInd w:val="0"/>
              <w:snapToGrid w:val="0"/>
              <w:rPr>
                <w:rFonts w:hint="eastAsia" w:ascii="宋体" w:hAnsi="宋体" w:cs="宋体"/>
                <w:szCs w:val="21"/>
                <w:highlight w:val="none"/>
              </w:rPr>
            </w:pPr>
            <w:r>
              <w:rPr>
                <w:rFonts w:hint="eastAsia" w:ascii="宋体" w:hAnsi="宋体" w:eastAsia="宋体" w:cs="宋体"/>
                <w:color w:val="auto"/>
                <w:sz w:val="21"/>
                <w:szCs w:val="21"/>
                <w:highlight w:val="none"/>
                <w:u w:val="single"/>
                <w:lang w:eastAsia="zh-CN" w:bidi="ar-SA"/>
              </w:rPr>
              <w:t>开标地点：具体时间和地点可以到广州交易集团有限公司（广州公共资源交易中心）交易平台“建设工程→项目查询（日程安排、答疑纪要）”输入本“项目编号”或“项目名称”进行查询。</w:t>
            </w:r>
          </w:p>
        </w:tc>
      </w:tr>
      <w:tr w14:paraId="1C05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8A67894">
            <w:pPr>
              <w:jc w:val="center"/>
              <w:rPr>
                <w:rFonts w:hint="eastAsia" w:ascii="宋体" w:hAnsi="宋体" w:cs="宋体"/>
                <w:kern w:val="0"/>
                <w:szCs w:val="21"/>
                <w:highlight w:val="none"/>
              </w:rPr>
            </w:pPr>
            <w:r>
              <w:rPr>
                <w:rFonts w:hint="eastAsia" w:ascii="宋体" w:hAnsi="宋体" w:cs="宋体"/>
                <w:szCs w:val="21"/>
                <w:highlight w:val="none"/>
              </w:rPr>
              <w:t>5.2</w:t>
            </w:r>
          </w:p>
        </w:tc>
        <w:tc>
          <w:tcPr>
            <w:tcW w:w="2891" w:type="dxa"/>
            <w:vAlign w:val="center"/>
          </w:tcPr>
          <w:p w14:paraId="49C724F8">
            <w:pPr>
              <w:jc w:val="center"/>
              <w:rPr>
                <w:rFonts w:hint="eastAsia" w:ascii="宋体" w:hAnsi="宋体" w:cs="宋体"/>
                <w:kern w:val="0"/>
                <w:szCs w:val="21"/>
                <w:highlight w:val="none"/>
              </w:rPr>
            </w:pPr>
            <w:r>
              <w:rPr>
                <w:rFonts w:hint="eastAsia" w:ascii="宋体" w:hAnsi="宋体" w:cs="宋体"/>
                <w:szCs w:val="21"/>
                <w:highlight w:val="none"/>
              </w:rPr>
              <w:t>开标程序</w:t>
            </w:r>
          </w:p>
        </w:tc>
        <w:tc>
          <w:tcPr>
            <w:tcW w:w="6263" w:type="dxa"/>
            <w:vAlign w:val="center"/>
          </w:tcPr>
          <w:p w14:paraId="674EAF9F">
            <w:pPr>
              <w:jc w:val="left"/>
              <w:rPr>
                <w:rFonts w:hint="eastAsia" w:ascii="宋体" w:hAnsi="宋体" w:cs="宋体"/>
                <w:szCs w:val="21"/>
                <w:highlight w:val="none"/>
              </w:rPr>
            </w:pPr>
            <w:r>
              <w:rPr>
                <w:rFonts w:hint="eastAsia" w:ascii="宋体" w:hAnsi="宋体" w:cs="宋体"/>
                <w:szCs w:val="21"/>
                <w:highlight w:val="none"/>
              </w:rPr>
              <w:t>按下列程序进行开标：</w:t>
            </w:r>
          </w:p>
          <w:p w14:paraId="6A8768EA">
            <w:pPr>
              <w:jc w:val="left"/>
              <w:rPr>
                <w:rFonts w:hint="eastAsia" w:ascii="宋体" w:hAnsi="宋体" w:cs="宋体"/>
                <w:szCs w:val="21"/>
                <w:highlight w:val="none"/>
              </w:rPr>
            </w:pPr>
            <w:r>
              <w:rPr>
                <w:rFonts w:hint="eastAsia" w:ascii="宋体" w:hAnsi="宋体" w:cs="宋体"/>
                <w:szCs w:val="21"/>
                <w:highlight w:val="none"/>
              </w:rPr>
              <w:t>（1）宣布开标纪律；</w:t>
            </w:r>
          </w:p>
          <w:p w14:paraId="6798FC14">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b/>
                <w:szCs w:val="21"/>
                <w:highlight w:val="none"/>
                <w:u w:val="single"/>
              </w:rPr>
              <w:t>在投标截止时间后一小时内</w:t>
            </w:r>
            <w:r>
              <w:rPr>
                <w:rFonts w:hint="eastAsia" w:ascii="宋体" w:hAnsi="宋体" w:cs="宋体"/>
                <w:szCs w:val="21"/>
                <w:highlight w:val="none"/>
              </w:rPr>
              <w:t>，投标人通过递交投标文件的广州交易集团有限公司（广州公共资源交易中心）交易平台对已递交的电子投标文件进行解密。投标人完成解密后，再由招标人进行解密（投标人只用执行一次解密，招标人执行解密次数根据招标文件开标次数确定）。</w:t>
            </w:r>
          </w:p>
          <w:p w14:paraId="4BF83740">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）解密完成后，公布：a投标人名称；b投标文件递交情况；c投标文件解密情况；</w:t>
            </w:r>
            <w:r>
              <w:rPr>
                <w:rFonts w:hint="eastAsia" w:ascii="宋体" w:hAnsi="宋体" w:cs="宋体"/>
                <w:strike w:val="0"/>
                <w:szCs w:val="21"/>
                <w:highlight w:val="none"/>
              </w:rPr>
              <w:t>d投标担保递交情况；</w:t>
            </w:r>
            <w:r>
              <w:rPr>
                <w:rFonts w:hint="eastAsia" w:ascii="宋体" w:hAnsi="宋体" w:cs="宋体"/>
                <w:szCs w:val="21"/>
                <w:highlight w:val="none"/>
              </w:rPr>
              <w:t>e项目负责人（兼施工负责人）、技术负责人、专职安全员；f投标总报价</w:t>
            </w:r>
            <w:r>
              <w:rPr>
                <w:rFonts w:hint="eastAsia" w:ascii="宋体" w:hAnsi="宋体" w:cs="宋体"/>
                <w:szCs w:val="21"/>
                <w:highlight w:val="none"/>
                <w:lang w:eastAsia="zh-CN"/>
              </w:rPr>
              <w:t>【</w:t>
            </w:r>
            <w:r>
              <w:rPr>
                <w:rFonts w:hint="eastAsia" w:ascii="宋体" w:hAnsi="宋体" w:cs="宋体"/>
                <w:szCs w:val="21"/>
                <w:highlight w:val="none"/>
              </w:rPr>
              <w:t>含</w:t>
            </w:r>
            <w:r>
              <w:rPr>
                <w:rFonts w:hint="eastAsia" w:ascii="宋体" w:hAnsi="宋体" w:cs="宋体"/>
                <w:szCs w:val="21"/>
                <w:highlight w:val="none"/>
                <w:lang w:eastAsia="zh-CN"/>
              </w:rPr>
              <w:t>动迁服务费</w:t>
            </w:r>
            <w:r>
              <w:rPr>
                <w:rFonts w:hint="eastAsia" w:ascii="宋体" w:hAnsi="宋体" w:cs="宋体"/>
                <w:szCs w:val="21"/>
                <w:highlight w:val="none"/>
              </w:rPr>
              <w:t>报价、</w:t>
            </w:r>
            <w:r>
              <w:rPr>
                <w:rFonts w:hint="eastAsia" w:ascii="宋体" w:hAnsi="宋体" w:cs="宋体"/>
                <w:szCs w:val="21"/>
                <w:highlight w:val="none"/>
                <w:lang w:val="en-US" w:eastAsia="zh-CN"/>
              </w:rPr>
              <w:t>施工费</w:t>
            </w:r>
            <w:r>
              <w:rPr>
                <w:rFonts w:hint="eastAsia" w:ascii="宋体" w:hAnsi="宋体" w:cs="宋体"/>
                <w:szCs w:val="21"/>
                <w:highlight w:val="none"/>
              </w:rPr>
              <w:t>报价</w:t>
            </w:r>
            <w:r>
              <w:rPr>
                <w:rFonts w:hint="eastAsia" w:ascii="宋体" w:hAnsi="宋体" w:cs="宋体"/>
                <w:szCs w:val="21"/>
                <w:highlight w:val="none"/>
                <w:lang w:eastAsia="zh-CN"/>
              </w:rPr>
              <w:t>】</w:t>
            </w:r>
            <w:r>
              <w:rPr>
                <w:rFonts w:hint="eastAsia" w:ascii="宋体" w:hAnsi="宋体" w:cs="宋体"/>
                <w:szCs w:val="21"/>
                <w:highlight w:val="none"/>
              </w:rPr>
              <w:t>；g工期；h投标人的加密打包投标文件电脑机器特征码等主要内容，并记录在案。未在规定时间内解密的投标文件不参与开标、评标。</w:t>
            </w:r>
          </w:p>
          <w:p w14:paraId="66C9AFAA">
            <w:pPr>
              <w:jc w:val="left"/>
              <w:rPr>
                <w:rFonts w:hint="eastAsia"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）截标后，开标开始时间因故推迟的，相关评标信息仍以原定的开标开始时间的信息为准。</w:t>
            </w:r>
          </w:p>
          <w:p w14:paraId="5ECFA52A">
            <w:pPr>
              <w:jc w:val="left"/>
              <w:rPr>
                <w:rFonts w:hint="eastAsia"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）备用光盘的读取按“10 电子招标投标”第6点的规定执行。</w:t>
            </w:r>
          </w:p>
          <w:p w14:paraId="4E0AFE4C">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开标方式采用电子开标和现场开标两种模式，投标人可选择在开标室参与开标或准时在线参加开标，也可不参加开标。参加在线开标的投标人登录广州交易集团有限公司（广州公共资源交易中心）交易平台实时查看开标、唱标情况。广州交易集团有限公司（广州公共资源交易中心）交易平台生成开标记录并向社会公众公布。</w:t>
            </w:r>
          </w:p>
          <w:p w14:paraId="1AC92152">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参加现场开标的投标人对开标结果有异议的，应当在开标现场提出，同时出示本人身份证原件，招标人应当当场作出答复，并制作记录。参加电子开标的投标人对开标结果有异议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4BC1CA90">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）投标人未参加开标或在规定的时间内未提出异议的，视为对开标无异议。</w:t>
            </w:r>
          </w:p>
          <w:p w14:paraId="3FF690D6">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）开标时，两个（含两个）以上的投标人加密打包投标文件电脑机器特征码一致的，不参与下一程序，并由评标委员会否决其投标。</w:t>
            </w:r>
          </w:p>
          <w:p w14:paraId="636C3151">
            <w:pPr>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）投标人代表、招标人代表、监标人、记录人等有关人员在开标记录上签字确认；若有关人员不签字的，不影响开标程序；</w:t>
            </w:r>
          </w:p>
          <w:p w14:paraId="4C334CA5">
            <w:pPr>
              <w:jc w:val="left"/>
              <w:rPr>
                <w:rFonts w:hint="eastAsia" w:ascii="宋体" w:hAnsi="宋体" w:cs="宋体"/>
                <w:kern w:val="0"/>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）开标结束。</w:t>
            </w:r>
          </w:p>
        </w:tc>
      </w:tr>
      <w:tr w14:paraId="1011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40F2C7F">
            <w:pPr>
              <w:spacing w:line="240" w:lineRule="auto"/>
              <w:jc w:val="center"/>
              <w:rPr>
                <w:rFonts w:hint="eastAsia" w:ascii="宋体" w:hAnsi="宋体" w:cs="宋体"/>
                <w:szCs w:val="21"/>
                <w:highlight w:val="none"/>
              </w:rPr>
            </w:pPr>
            <w:r>
              <w:rPr>
                <w:rFonts w:hint="eastAsia" w:ascii="宋体" w:hAnsi="宋体" w:cs="宋体"/>
                <w:szCs w:val="21"/>
                <w:highlight w:val="none"/>
              </w:rPr>
              <w:t>6.1.1</w:t>
            </w:r>
          </w:p>
        </w:tc>
        <w:tc>
          <w:tcPr>
            <w:tcW w:w="2891" w:type="dxa"/>
            <w:vAlign w:val="center"/>
          </w:tcPr>
          <w:p w14:paraId="4C672265">
            <w:pPr>
              <w:spacing w:line="240" w:lineRule="auto"/>
              <w:jc w:val="center"/>
              <w:rPr>
                <w:rFonts w:hint="eastAsia" w:ascii="宋体" w:hAnsi="宋体" w:cs="宋体"/>
                <w:szCs w:val="21"/>
                <w:highlight w:val="none"/>
              </w:rPr>
            </w:pPr>
            <w:r>
              <w:rPr>
                <w:rFonts w:hint="eastAsia" w:ascii="宋体" w:hAnsi="宋体" w:cs="宋体"/>
                <w:szCs w:val="21"/>
                <w:highlight w:val="none"/>
              </w:rPr>
              <w:t>评标委员会的组建</w:t>
            </w:r>
          </w:p>
        </w:tc>
        <w:tc>
          <w:tcPr>
            <w:tcW w:w="6263" w:type="dxa"/>
            <w:vAlign w:val="center"/>
          </w:tcPr>
          <w:p w14:paraId="3F7B7E1B">
            <w:pPr>
              <w:pStyle w:val="43"/>
              <w:spacing w:after="0"/>
              <w:ind w:firstLine="0" w:firstLineChars="0"/>
              <w:rPr>
                <w:rFonts w:hint="eastAsia" w:ascii="宋体" w:hAnsi="宋体" w:cs="宋体"/>
                <w:kern w:val="2"/>
                <w:sz w:val="21"/>
                <w:szCs w:val="21"/>
                <w:highlight w:val="none"/>
                <w:u w:val="single"/>
              </w:rPr>
            </w:pPr>
            <w:r>
              <w:rPr>
                <w:rFonts w:hint="eastAsia" w:ascii="宋体" w:hAnsi="宋体" w:cs="宋体"/>
                <w:kern w:val="2"/>
                <w:sz w:val="21"/>
                <w:szCs w:val="21"/>
                <w:highlight w:val="none"/>
                <w:u w:val="single"/>
              </w:rPr>
              <w:t>由招标人依法依规组建。</w:t>
            </w:r>
          </w:p>
        </w:tc>
      </w:tr>
      <w:tr w14:paraId="5B12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BA2D609">
            <w:pPr>
              <w:spacing w:line="240" w:lineRule="auto"/>
              <w:jc w:val="center"/>
              <w:rPr>
                <w:rFonts w:hint="eastAsia" w:ascii="宋体" w:hAnsi="宋体" w:cs="宋体"/>
                <w:szCs w:val="21"/>
                <w:highlight w:val="none"/>
              </w:rPr>
            </w:pPr>
            <w:r>
              <w:rPr>
                <w:rFonts w:hint="eastAsia" w:ascii="宋体" w:hAnsi="宋体" w:cs="宋体"/>
                <w:szCs w:val="21"/>
                <w:highlight w:val="none"/>
              </w:rPr>
              <w:t>6.2.1</w:t>
            </w:r>
          </w:p>
        </w:tc>
        <w:tc>
          <w:tcPr>
            <w:tcW w:w="2891" w:type="dxa"/>
            <w:vAlign w:val="center"/>
          </w:tcPr>
          <w:p w14:paraId="67715739">
            <w:pPr>
              <w:spacing w:line="240" w:lineRule="auto"/>
              <w:jc w:val="center"/>
              <w:rPr>
                <w:rFonts w:hint="eastAsia" w:ascii="宋体" w:hAnsi="宋体" w:cs="宋体"/>
                <w:szCs w:val="21"/>
                <w:highlight w:val="none"/>
              </w:rPr>
            </w:pPr>
            <w:r>
              <w:rPr>
                <w:rFonts w:hint="eastAsia" w:ascii="宋体" w:hAnsi="宋体" w:cs="宋体"/>
                <w:szCs w:val="21"/>
                <w:highlight w:val="none"/>
              </w:rPr>
              <w:t>定标委员会的组建</w:t>
            </w:r>
          </w:p>
        </w:tc>
        <w:tc>
          <w:tcPr>
            <w:tcW w:w="6263" w:type="dxa"/>
            <w:vAlign w:val="center"/>
          </w:tcPr>
          <w:p w14:paraId="41772305">
            <w:pPr>
              <w:spacing w:line="240" w:lineRule="auto"/>
              <w:rPr>
                <w:rFonts w:hint="eastAsia" w:ascii="宋体" w:hAnsi="宋体" w:cs="宋体"/>
                <w:szCs w:val="21"/>
                <w:highlight w:val="none"/>
              </w:rPr>
            </w:pPr>
            <w:r>
              <w:rPr>
                <w:rFonts w:hint="eastAsia" w:ascii="宋体" w:hAnsi="宋体" w:cs="宋体"/>
                <w:szCs w:val="21"/>
                <w:highlight w:val="none"/>
                <w:u w:val="single"/>
              </w:rPr>
              <w:t>由招标人依法依规组建。</w:t>
            </w:r>
          </w:p>
        </w:tc>
      </w:tr>
      <w:tr w14:paraId="7F3C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restart"/>
            <w:vAlign w:val="center"/>
          </w:tcPr>
          <w:p w14:paraId="4347BEF4">
            <w:pPr>
              <w:spacing w:line="240" w:lineRule="auto"/>
              <w:jc w:val="center"/>
              <w:rPr>
                <w:rFonts w:hint="eastAsia" w:ascii="宋体" w:hAnsi="宋体" w:cs="宋体"/>
                <w:szCs w:val="21"/>
                <w:highlight w:val="none"/>
              </w:rPr>
            </w:pPr>
            <w:r>
              <w:rPr>
                <w:rFonts w:hint="eastAsia" w:ascii="宋体" w:hAnsi="宋体" w:cs="宋体"/>
                <w:szCs w:val="21"/>
                <w:highlight w:val="none"/>
              </w:rPr>
              <w:t>7.1</w:t>
            </w:r>
          </w:p>
        </w:tc>
        <w:tc>
          <w:tcPr>
            <w:tcW w:w="2891" w:type="dxa"/>
            <w:vAlign w:val="center"/>
          </w:tcPr>
          <w:p w14:paraId="6A217157">
            <w:pPr>
              <w:jc w:val="center"/>
              <w:rPr>
                <w:rFonts w:hint="eastAsia" w:ascii="宋体" w:hAnsi="宋体" w:cs="宋体"/>
                <w:szCs w:val="21"/>
                <w:highlight w:val="none"/>
              </w:rPr>
            </w:pPr>
            <w:r>
              <w:rPr>
                <w:rFonts w:hint="eastAsia" w:ascii="宋体" w:hAnsi="宋体" w:cs="宋体"/>
                <w:szCs w:val="21"/>
                <w:highlight w:val="none"/>
              </w:rPr>
              <w:t>是否授权评标委员会确定中标人</w:t>
            </w:r>
          </w:p>
        </w:tc>
        <w:tc>
          <w:tcPr>
            <w:tcW w:w="6263" w:type="dxa"/>
            <w:vAlign w:val="center"/>
          </w:tcPr>
          <w:p w14:paraId="0506D3B7">
            <w:pPr>
              <w:rPr>
                <w:rFonts w:hint="eastAsia" w:ascii="宋体" w:hAnsi="宋体" w:cs="宋体"/>
                <w:szCs w:val="21"/>
                <w:highlight w:val="none"/>
              </w:rPr>
            </w:pPr>
            <w:r>
              <w:rPr>
                <w:rFonts w:hint="eastAsia" w:ascii="宋体" w:hAnsi="宋体" w:cs="宋体"/>
                <w:szCs w:val="21"/>
                <w:highlight w:val="none"/>
              </w:rPr>
              <w:t>□是</w:t>
            </w:r>
          </w:p>
          <w:p w14:paraId="5DF940F4">
            <w:pPr>
              <w:rPr>
                <w:rFonts w:hint="eastAsia" w:ascii="宋体" w:hAnsi="宋体" w:cs="宋体"/>
                <w:szCs w:val="21"/>
                <w:highlight w:val="none"/>
              </w:rPr>
            </w:pPr>
            <w:r>
              <w:rPr>
                <w:rFonts w:hint="eastAsia" w:ascii="宋体" w:hAnsi="宋体" w:cs="宋体"/>
                <w:szCs w:val="21"/>
                <w:highlight w:val="none"/>
              </w:rPr>
              <w:t>■否，</w:t>
            </w:r>
            <w:r>
              <w:rPr>
                <w:rFonts w:hint="eastAsia" w:ascii="宋体" w:hAnsi="宋体" w:cs="宋体"/>
                <w:szCs w:val="21"/>
                <w:highlight w:val="none"/>
                <w:u w:val="single"/>
              </w:rPr>
              <w:t>评标委员会根据招标文件规定的评标标准和方法，对投标文件进行系统地评审和比较，向招标人推荐</w:t>
            </w:r>
            <w:bookmarkStart w:id="39" w:name="OLE_LINK6"/>
            <w:r>
              <w:rPr>
                <w:rFonts w:hint="eastAsia" w:ascii="宋体" w:hAnsi="宋体" w:cs="宋体"/>
                <w:szCs w:val="21"/>
                <w:highlight w:val="none"/>
                <w:u w:val="single"/>
              </w:rPr>
              <w:t>不排序</w:t>
            </w:r>
            <w:r>
              <w:rPr>
                <w:rFonts w:hint="eastAsia" w:ascii="宋体" w:hAnsi="宋体" w:eastAsia="宋体" w:cs="宋体"/>
                <w:sz w:val="21"/>
                <w:szCs w:val="21"/>
                <w:highlight w:val="none"/>
                <w:u w:val="single"/>
              </w:rPr>
              <w:t>中标候选人</w:t>
            </w:r>
            <w:bookmarkEnd w:id="39"/>
            <w:r>
              <w:rPr>
                <w:rFonts w:hint="eastAsia" w:ascii="宋体" w:hAnsi="宋体" w:cs="宋体"/>
                <w:szCs w:val="21"/>
                <w:highlight w:val="none"/>
                <w:u w:val="single"/>
              </w:rPr>
              <w:t>进入定标阶段。</w:t>
            </w:r>
          </w:p>
        </w:tc>
      </w:tr>
      <w:tr w14:paraId="2022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14:paraId="191E22BB">
            <w:pPr>
              <w:spacing w:line="240" w:lineRule="auto"/>
              <w:jc w:val="center"/>
              <w:rPr>
                <w:rFonts w:hint="eastAsia" w:ascii="宋体" w:hAnsi="宋体" w:cs="宋体"/>
                <w:szCs w:val="21"/>
                <w:highlight w:val="none"/>
              </w:rPr>
            </w:pPr>
          </w:p>
        </w:tc>
        <w:tc>
          <w:tcPr>
            <w:tcW w:w="2891" w:type="dxa"/>
            <w:vAlign w:val="center"/>
          </w:tcPr>
          <w:p w14:paraId="7DA6B48E">
            <w:pPr>
              <w:jc w:val="center"/>
              <w:rPr>
                <w:rFonts w:hint="eastAsia" w:ascii="宋体" w:hAnsi="宋体" w:cs="宋体"/>
                <w:szCs w:val="21"/>
                <w:highlight w:val="none"/>
              </w:rPr>
            </w:pPr>
            <w:r>
              <w:rPr>
                <w:rFonts w:hint="eastAsia" w:ascii="宋体" w:hAnsi="宋体" w:cs="宋体"/>
                <w:szCs w:val="21"/>
                <w:highlight w:val="none"/>
              </w:rPr>
              <w:t>采用评定分离</w:t>
            </w:r>
            <w:r>
              <w:rPr>
                <w:rFonts w:hint="eastAsia" w:ascii="宋体" w:hAnsi="宋体" w:cs="宋体"/>
                <w:szCs w:val="21"/>
                <w:highlight w:val="none"/>
                <w:lang w:val="en-US" w:eastAsia="zh-CN"/>
              </w:rPr>
              <w:t>评</w:t>
            </w:r>
            <w:r>
              <w:rPr>
                <w:rFonts w:hint="eastAsia" w:ascii="宋体" w:hAnsi="宋体" w:cs="宋体"/>
                <w:szCs w:val="21"/>
                <w:highlight w:val="none"/>
              </w:rPr>
              <w:t>定标办法</w:t>
            </w:r>
          </w:p>
        </w:tc>
        <w:tc>
          <w:tcPr>
            <w:tcW w:w="6263" w:type="dxa"/>
            <w:vAlign w:val="center"/>
          </w:tcPr>
          <w:p w14:paraId="06718B8A">
            <w:pPr>
              <w:spacing w:line="240" w:lineRule="auto"/>
              <w:jc w:val="left"/>
              <w:rPr>
                <w:rFonts w:hint="eastAsia" w:ascii="宋体" w:hAnsi="宋体" w:cs="宋体"/>
                <w:szCs w:val="21"/>
                <w:highlight w:val="none"/>
                <w:u w:val="single"/>
              </w:rPr>
            </w:pPr>
            <w:r>
              <w:rPr>
                <w:rFonts w:hint="eastAsia" w:ascii="宋体" w:hAnsi="宋体" w:cs="宋体"/>
                <w:szCs w:val="21"/>
                <w:highlight w:val="none"/>
                <w:u w:val="single"/>
              </w:rPr>
              <w:t>评标办法：综合评估法</w:t>
            </w:r>
          </w:p>
          <w:p w14:paraId="01E86808">
            <w:pPr>
              <w:spacing w:line="240" w:lineRule="auto"/>
              <w:jc w:val="left"/>
              <w:rPr>
                <w:rFonts w:hint="eastAsia" w:ascii="宋体" w:hAnsi="宋体" w:cs="宋体"/>
                <w:szCs w:val="21"/>
                <w:highlight w:val="none"/>
              </w:rPr>
            </w:pPr>
            <w:r>
              <w:rPr>
                <w:rFonts w:hint="eastAsia" w:ascii="宋体" w:hAnsi="宋体" w:cs="宋体"/>
                <w:szCs w:val="21"/>
                <w:highlight w:val="none"/>
                <w:u w:val="single"/>
              </w:rPr>
              <w:t>定标办法：</w:t>
            </w:r>
            <w:r>
              <w:rPr>
                <w:rFonts w:hint="eastAsia" w:ascii="宋体" w:hAnsi="宋体" w:cs="宋体"/>
                <w:sz w:val="21"/>
                <w:szCs w:val="21"/>
                <w:highlight w:val="none"/>
                <w:u w:val="single"/>
                <w:lang w:val="en-US" w:eastAsia="zh-CN"/>
              </w:rPr>
              <w:t>评分法</w:t>
            </w:r>
          </w:p>
          <w:p w14:paraId="53C8E665">
            <w:pPr>
              <w:spacing w:line="240" w:lineRule="auto"/>
              <w:jc w:val="left"/>
              <w:rPr>
                <w:rFonts w:hint="eastAsia" w:ascii="宋体" w:hAnsi="宋体" w:cs="宋体"/>
                <w:b/>
                <w:szCs w:val="21"/>
                <w:highlight w:val="none"/>
              </w:rPr>
            </w:pPr>
            <w:r>
              <w:rPr>
                <w:rFonts w:hint="eastAsia" w:ascii="宋体" w:hAnsi="宋体" w:cs="宋体"/>
                <w:b/>
                <w:szCs w:val="21"/>
                <w:highlight w:val="none"/>
                <w:u w:val="single"/>
              </w:rPr>
              <w:t>具体要求详见 第三章 评标及定标办法</w:t>
            </w:r>
          </w:p>
        </w:tc>
      </w:tr>
      <w:tr w14:paraId="210E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14:paraId="1CF1C301">
            <w:pPr>
              <w:spacing w:line="240" w:lineRule="auto"/>
              <w:jc w:val="center"/>
              <w:rPr>
                <w:rFonts w:hint="eastAsia" w:ascii="宋体" w:hAnsi="宋体" w:cs="宋体"/>
                <w:szCs w:val="21"/>
                <w:highlight w:val="none"/>
              </w:rPr>
            </w:pPr>
          </w:p>
        </w:tc>
        <w:tc>
          <w:tcPr>
            <w:tcW w:w="2891" w:type="dxa"/>
            <w:vAlign w:val="center"/>
          </w:tcPr>
          <w:p w14:paraId="4853E111">
            <w:pPr>
              <w:jc w:val="center"/>
              <w:rPr>
                <w:rFonts w:hint="eastAsia" w:ascii="宋体" w:hAnsi="宋体" w:cs="宋体"/>
                <w:szCs w:val="21"/>
                <w:highlight w:val="none"/>
              </w:rPr>
            </w:pPr>
            <w:r>
              <w:rPr>
                <w:rFonts w:hint="eastAsia" w:ascii="宋体" w:hAnsi="宋体" w:cs="宋体"/>
                <w:szCs w:val="21"/>
                <w:highlight w:val="none"/>
              </w:rPr>
              <w:t>进入定标阶段的合格的中标候选人</w:t>
            </w:r>
          </w:p>
        </w:tc>
        <w:tc>
          <w:tcPr>
            <w:tcW w:w="6263" w:type="dxa"/>
            <w:vAlign w:val="center"/>
          </w:tcPr>
          <w:p w14:paraId="4B88C00C">
            <w:pPr>
              <w:snapToGrid/>
              <w:ind w:firstLine="420" w:firstLineChars="200"/>
              <w:rPr>
                <w:rFonts w:ascii="宋体" w:hAnsi="宋体" w:eastAsia="宋体" w:cs="宋体"/>
                <w:szCs w:val="21"/>
                <w:highlight w:val="none"/>
              </w:rPr>
            </w:pPr>
            <w:bookmarkStart w:id="40" w:name="OLE_LINK142"/>
            <w:r>
              <w:rPr>
                <w:rFonts w:hint="eastAsia" w:ascii="宋体" w:hAnsi="宋体" w:eastAsia="宋体" w:cs="宋体"/>
                <w:szCs w:val="21"/>
                <w:highlight w:val="none"/>
                <w:u w:val="single"/>
              </w:rPr>
              <w:t>对于初步评审合格的投标文件（含形式评审、资格评审、响应性评审）的投标人，评标委员会采用综合评估法详细评审，推荐中标候选人。</w:t>
            </w:r>
          </w:p>
          <w:bookmarkEnd w:id="40"/>
          <w:p w14:paraId="5D210235">
            <w:pPr>
              <w:ind w:firstLine="420" w:firstLineChars="200"/>
              <w:rPr>
                <w:rFonts w:hint="eastAsia" w:ascii="宋体" w:hAnsi="宋体" w:eastAsia="宋体" w:cs="宋体"/>
                <w:sz w:val="21"/>
                <w:szCs w:val="21"/>
                <w:highlight w:val="none"/>
                <w:u w:val="single"/>
              </w:rPr>
            </w:pPr>
            <w:r>
              <w:rPr>
                <w:rFonts w:hint="eastAsia" w:ascii="宋体" w:hAnsi="宋体" w:eastAsia="宋体" w:cs="宋体"/>
                <w:color w:val="000000"/>
                <w:kern w:val="0"/>
                <w:sz w:val="21"/>
                <w:szCs w:val="21"/>
                <w:highlight w:val="none"/>
                <w:u w:val="single"/>
                <w:lang w:val="en-US" w:eastAsia="zh-CN" w:bidi="ar-SA"/>
              </w:rPr>
              <w:t>评标阶段推荐合格的中标候选人方法：</w:t>
            </w:r>
            <w:r>
              <w:rPr>
                <w:rFonts w:hint="eastAsia" w:ascii="宋体" w:hAnsi="宋体" w:eastAsia="宋体" w:cs="宋体"/>
                <w:sz w:val="21"/>
                <w:szCs w:val="21"/>
                <w:highlight w:val="none"/>
                <w:u w:val="single"/>
              </w:rPr>
              <w:t>设S（S=M+N）为通过初步评审的投标人数，其中M为低于成本警戒价的投标报价数，N为不低于成本警示价的投标报价数。</w:t>
            </w:r>
          </w:p>
          <w:p w14:paraId="4C086822">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（1）当S≥3时，按以下方式确定中标候选人：</w:t>
            </w:r>
          </w:p>
          <w:p w14:paraId="00DAAA85">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①对于投标报价低于成本警戒价的M个投标人，不参加投标报价详细评审，</w:t>
            </w:r>
            <w:r>
              <w:rPr>
                <w:rFonts w:hint="eastAsia" w:ascii="宋体" w:hAnsi="宋体" w:eastAsia="宋体" w:cs="宋体"/>
                <w:color w:val="auto"/>
                <w:szCs w:val="21"/>
                <w:highlight w:val="none"/>
                <w:u w:val="single"/>
                <w:lang w:val="en-US" w:eastAsia="zh-CN"/>
              </w:rPr>
              <w:t>经济分按“0”计算，</w:t>
            </w:r>
            <w:r>
              <w:rPr>
                <w:rFonts w:hint="eastAsia" w:ascii="宋体" w:hAnsi="宋体" w:eastAsia="宋体" w:cs="宋体"/>
                <w:sz w:val="21"/>
                <w:szCs w:val="21"/>
                <w:highlight w:val="none"/>
                <w:u w:val="single"/>
              </w:rPr>
              <w:t>但需参加</w:t>
            </w:r>
            <w:r>
              <w:rPr>
                <w:rFonts w:hint="eastAsia" w:ascii="宋体" w:hAnsi="宋体" w:eastAsia="宋体" w:cs="宋体"/>
                <w:sz w:val="21"/>
                <w:szCs w:val="21"/>
                <w:highlight w:val="none"/>
                <w:u w:val="single"/>
                <w:lang w:val="en-US" w:eastAsia="zh-CN"/>
              </w:rPr>
              <w:t>技术标</w:t>
            </w:r>
            <w:r>
              <w:rPr>
                <w:rFonts w:hint="eastAsia" w:ascii="宋体" w:hAnsi="宋体" w:eastAsia="宋体" w:cs="宋体"/>
                <w:sz w:val="21"/>
                <w:szCs w:val="21"/>
                <w:highlight w:val="none"/>
                <w:u w:val="single"/>
              </w:rPr>
              <w:t>的详细评审。评标委员会根据</w:t>
            </w:r>
            <w:r>
              <w:rPr>
                <w:rFonts w:hint="eastAsia" w:ascii="宋体" w:hAnsi="宋体" w:eastAsia="宋体" w:cs="宋体"/>
                <w:sz w:val="21"/>
                <w:szCs w:val="21"/>
                <w:highlight w:val="none"/>
                <w:u w:val="single"/>
                <w:lang w:val="en-US" w:eastAsia="zh-CN"/>
              </w:rPr>
              <w:t>技术标详细评审</w:t>
            </w:r>
            <w:r>
              <w:rPr>
                <w:rFonts w:hint="eastAsia" w:ascii="宋体" w:hAnsi="宋体" w:eastAsia="宋体" w:cs="宋体"/>
                <w:sz w:val="21"/>
                <w:szCs w:val="21"/>
                <w:highlight w:val="none"/>
                <w:u w:val="single"/>
              </w:rPr>
              <w:t>的得分由高到低排序，推荐第1名为中标候选人进入定标阶段。</w:t>
            </w:r>
          </w:p>
          <w:p w14:paraId="23384E99">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②对于投标报价不低于成本警戒价的N个投标人，需要参加</w:t>
            </w:r>
            <w:r>
              <w:rPr>
                <w:rFonts w:hint="eastAsia" w:ascii="宋体" w:hAnsi="宋体" w:eastAsia="宋体" w:cs="宋体"/>
                <w:sz w:val="21"/>
                <w:szCs w:val="21"/>
                <w:highlight w:val="none"/>
                <w:u w:val="single"/>
                <w:lang w:val="en-US" w:eastAsia="zh-CN"/>
              </w:rPr>
              <w:t>技术标详细</w:t>
            </w:r>
            <w:r>
              <w:rPr>
                <w:rFonts w:hint="eastAsia" w:ascii="宋体" w:hAnsi="宋体" w:eastAsia="宋体" w:cs="宋体"/>
                <w:sz w:val="21"/>
                <w:szCs w:val="21"/>
                <w:highlight w:val="none"/>
                <w:u w:val="single"/>
              </w:rPr>
              <w:t>评审</w:t>
            </w:r>
            <w:r>
              <w:rPr>
                <w:rFonts w:hint="eastAsia" w:ascii="宋体" w:hAnsi="宋体" w:eastAsia="宋体" w:cs="宋体"/>
                <w:sz w:val="21"/>
                <w:szCs w:val="21"/>
                <w:highlight w:val="none"/>
                <w:u w:val="single"/>
                <w:lang w:val="en-US" w:eastAsia="zh-CN"/>
              </w:rPr>
              <w:t>和经济标详细评审</w:t>
            </w:r>
            <w:r>
              <w:rPr>
                <w:rFonts w:hint="eastAsia" w:ascii="宋体" w:hAnsi="宋体" w:eastAsia="宋体" w:cs="宋体"/>
                <w:sz w:val="21"/>
                <w:szCs w:val="21"/>
                <w:highlight w:val="none"/>
                <w:u w:val="single"/>
              </w:rPr>
              <w:t>并排序</w:t>
            </w:r>
            <w:r>
              <w:rPr>
                <w:rFonts w:hint="eastAsia" w:ascii="宋体" w:hAnsi="宋体" w:eastAsia="宋体" w:cs="宋体"/>
                <w:color w:val="auto"/>
                <w:szCs w:val="21"/>
                <w:highlight w:val="none"/>
                <w:u w:val="single"/>
              </w:rPr>
              <w:t>。</w:t>
            </w:r>
          </w:p>
          <w:p w14:paraId="281A98CC">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当N&lt;3时，全部推荐为合格中标候选人。</w:t>
            </w:r>
          </w:p>
          <w:p w14:paraId="20808FFE">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当N≥3时，评标委员会根据详细评审的得分由高到低排序，推荐前7名（不足7名的，则推荐全部有效的投标人为合格中标候选人）</w:t>
            </w:r>
            <w:r>
              <w:rPr>
                <w:rFonts w:hint="eastAsia" w:ascii="宋体" w:hAnsi="宋体" w:eastAsia="宋体" w:cs="宋体"/>
                <w:sz w:val="21"/>
                <w:szCs w:val="21"/>
                <w:highlight w:val="none"/>
                <w:u w:val="single"/>
                <w:lang w:val="en-US" w:eastAsia="zh-CN"/>
              </w:rPr>
              <w:t>为</w:t>
            </w:r>
            <w:r>
              <w:rPr>
                <w:rFonts w:hint="eastAsia" w:ascii="宋体" w:hAnsi="宋体" w:eastAsia="宋体" w:cs="宋体"/>
                <w:sz w:val="21"/>
                <w:szCs w:val="21"/>
                <w:highlight w:val="none"/>
                <w:u w:val="single"/>
              </w:rPr>
              <w:t>合格中标候选人进入定标阶段。</w:t>
            </w:r>
          </w:p>
          <w:p w14:paraId="12A27582">
            <w:pPr>
              <w:snapToGrid w:val="0"/>
              <w:ind w:firstLineChars="202"/>
              <w:rPr>
                <w:rFonts w:hint="eastAsia" w:ascii="宋体" w:hAnsi="宋体" w:eastAsia="宋体" w:cs="宋体"/>
                <w:szCs w:val="21"/>
                <w:highlight w:val="none"/>
              </w:rPr>
            </w:pPr>
            <w:r>
              <w:rPr>
                <w:rFonts w:hint="eastAsia" w:ascii="宋体" w:hAnsi="宋体" w:eastAsia="宋体" w:cs="宋体"/>
                <w:kern w:val="0"/>
                <w:sz w:val="21"/>
                <w:szCs w:val="21"/>
                <w:highlight w:val="none"/>
                <w:u w:val="single"/>
                <w:lang w:val="en-US" w:eastAsia="zh-CN" w:bidi="ar-SA"/>
              </w:rPr>
              <w:t>（2）当S&lt;3时，招标人应重新招标。</w:t>
            </w:r>
          </w:p>
        </w:tc>
      </w:tr>
      <w:tr w14:paraId="6A83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45F8F81">
            <w:pPr>
              <w:jc w:val="center"/>
              <w:rPr>
                <w:rFonts w:hint="eastAsia" w:ascii="宋体" w:hAnsi="宋体" w:cs="宋体"/>
                <w:szCs w:val="21"/>
                <w:highlight w:val="none"/>
              </w:rPr>
            </w:pPr>
            <w:r>
              <w:rPr>
                <w:rFonts w:hint="eastAsia" w:ascii="宋体" w:hAnsi="宋体" w:cs="宋体"/>
                <w:szCs w:val="21"/>
                <w:highlight w:val="none"/>
              </w:rPr>
              <w:t>7.2</w:t>
            </w:r>
          </w:p>
        </w:tc>
        <w:tc>
          <w:tcPr>
            <w:tcW w:w="2891" w:type="dxa"/>
            <w:vAlign w:val="center"/>
          </w:tcPr>
          <w:p w14:paraId="635B23A8">
            <w:pPr>
              <w:jc w:val="center"/>
              <w:rPr>
                <w:rFonts w:hint="eastAsia" w:ascii="宋体" w:hAnsi="宋体" w:cs="宋体"/>
                <w:szCs w:val="21"/>
                <w:highlight w:val="none"/>
              </w:rPr>
            </w:pPr>
            <w:r>
              <w:rPr>
                <w:rFonts w:hint="eastAsia" w:ascii="宋体" w:hAnsi="宋体" w:cs="宋体"/>
                <w:szCs w:val="21"/>
                <w:highlight w:val="none"/>
              </w:rPr>
              <w:t>中标候选人公示媒介</w:t>
            </w:r>
          </w:p>
        </w:tc>
        <w:tc>
          <w:tcPr>
            <w:tcW w:w="6263" w:type="dxa"/>
            <w:vAlign w:val="center"/>
          </w:tcPr>
          <w:p w14:paraId="79837657">
            <w:pPr>
              <w:spacing w:line="240" w:lineRule="auto"/>
              <w:jc w:val="left"/>
              <w:rPr>
                <w:rFonts w:hint="eastAsia" w:ascii="宋体" w:hAnsi="宋体" w:cs="宋体"/>
                <w:szCs w:val="21"/>
                <w:highlight w:val="none"/>
                <w:u w:val="single"/>
              </w:rPr>
            </w:pPr>
            <w:r>
              <w:rPr>
                <w:rFonts w:hint="eastAsia" w:ascii="宋体" w:hAnsi="宋体" w:cs="宋体"/>
                <w:szCs w:val="21"/>
                <w:highlight w:val="none"/>
                <w:u w:val="single"/>
              </w:rPr>
              <w:t>公示媒介：中国招标投标公共服务平台、广东省招标投标监管网、广州交易集团有限公司（广州公共资源交易中心）网站</w:t>
            </w:r>
          </w:p>
          <w:p w14:paraId="3A70C3FD">
            <w:pPr>
              <w:spacing w:line="240" w:lineRule="auto"/>
              <w:jc w:val="left"/>
              <w:rPr>
                <w:rFonts w:hint="eastAsia" w:ascii="宋体" w:hAnsi="宋体" w:cs="宋体"/>
                <w:kern w:val="0"/>
                <w:szCs w:val="21"/>
                <w:highlight w:val="none"/>
              </w:rPr>
            </w:pPr>
            <w:r>
              <w:rPr>
                <w:rFonts w:hint="eastAsia" w:ascii="宋体" w:hAnsi="宋体" w:cs="宋体"/>
                <w:szCs w:val="21"/>
                <w:highlight w:val="none"/>
                <w:u w:val="single"/>
              </w:rPr>
              <w:t>公示期限：3日（最后一日须为工作日）</w:t>
            </w:r>
          </w:p>
        </w:tc>
      </w:tr>
      <w:tr w14:paraId="3640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C1C589E">
            <w:pPr>
              <w:jc w:val="center"/>
              <w:rPr>
                <w:rFonts w:hint="eastAsia" w:ascii="宋体" w:hAnsi="宋体" w:cs="宋体"/>
                <w:szCs w:val="21"/>
                <w:highlight w:val="none"/>
              </w:rPr>
            </w:pPr>
            <w:r>
              <w:rPr>
                <w:rFonts w:hint="eastAsia" w:ascii="宋体" w:hAnsi="宋体" w:cs="宋体"/>
                <w:szCs w:val="21"/>
                <w:highlight w:val="none"/>
              </w:rPr>
              <w:t>7.4.1</w:t>
            </w:r>
          </w:p>
        </w:tc>
        <w:tc>
          <w:tcPr>
            <w:tcW w:w="2891" w:type="dxa"/>
            <w:vAlign w:val="center"/>
          </w:tcPr>
          <w:p w14:paraId="754ED7EF">
            <w:pPr>
              <w:jc w:val="center"/>
              <w:rPr>
                <w:rFonts w:hint="eastAsia" w:ascii="宋体" w:hAnsi="宋体" w:cs="宋体"/>
                <w:szCs w:val="21"/>
                <w:highlight w:val="none"/>
              </w:rPr>
            </w:pPr>
            <w:r>
              <w:rPr>
                <w:rFonts w:hint="eastAsia" w:ascii="宋体" w:hAnsi="宋体" w:cs="宋体"/>
                <w:szCs w:val="21"/>
                <w:highlight w:val="none"/>
              </w:rPr>
              <w:t>履约担保</w:t>
            </w:r>
          </w:p>
        </w:tc>
        <w:tc>
          <w:tcPr>
            <w:tcW w:w="6263" w:type="dxa"/>
            <w:vAlign w:val="center"/>
          </w:tcPr>
          <w:p w14:paraId="133E240C">
            <w:pPr>
              <w:spacing w:line="240" w:lineRule="auto"/>
              <w:jc w:val="left"/>
              <w:rPr>
                <w:rFonts w:hint="default" w:ascii="宋体" w:hAnsi="宋体" w:eastAsia="宋体" w:cs="宋体"/>
                <w:kern w:val="0"/>
                <w:szCs w:val="21"/>
                <w:highlight w:val="none"/>
                <w:lang w:val="en-US" w:eastAsia="zh-CN"/>
              </w:rPr>
            </w:pPr>
            <w:r>
              <w:rPr>
                <w:rFonts w:hint="eastAsia" w:ascii="宋体" w:hAnsi="宋体" w:cs="宋体"/>
                <w:szCs w:val="21"/>
                <w:highlight w:val="none"/>
                <w:lang w:val="en-US" w:eastAsia="zh-CN"/>
              </w:rPr>
              <w:t>本项目无需提交履约担保</w:t>
            </w:r>
          </w:p>
        </w:tc>
      </w:tr>
      <w:tr w14:paraId="11AB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A488B94">
            <w:pPr>
              <w:jc w:val="center"/>
              <w:rPr>
                <w:rFonts w:hint="eastAsia" w:ascii="宋体" w:hAnsi="宋体" w:cs="宋体"/>
                <w:b/>
                <w:szCs w:val="21"/>
                <w:highlight w:val="none"/>
              </w:rPr>
            </w:pPr>
            <w:r>
              <w:rPr>
                <w:rFonts w:hint="eastAsia" w:ascii="宋体" w:hAnsi="宋体" w:cs="宋体"/>
                <w:b/>
                <w:bCs/>
                <w:szCs w:val="21"/>
                <w:highlight w:val="none"/>
              </w:rPr>
              <w:t>9</w:t>
            </w:r>
          </w:p>
        </w:tc>
        <w:tc>
          <w:tcPr>
            <w:tcW w:w="9154" w:type="dxa"/>
            <w:gridSpan w:val="2"/>
            <w:vAlign w:val="center"/>
          </w:tcPr>
          <w:p w14:paraId="7D2EBB97">
            <w:pPr>
              <w:jc w:val="left"/>
              <w:rPr>
                <w:rFonts w:hint="eastAsia" w:ascii="宋体" w:hAnsi="宋体" w:cs="宋体"/>
                <w:b/>
                <w:szCs w:val="21"/>
                <w:highlight w:val="none"/>
              </w:rPr>
            </w:pPr>
            <w:r>
              <w:rPr>
                <w:rFonts w:hint="eastAsia" w:ascii="宋体" w:hAnsi="宋体" w:cs="宋体"/>
                <w:b/>
                <w:bCs/>
                <w:szCs w:val="21"/>
                <w:highlight w:val="none"/>
              </w:rPr>
              <w:t>需要补充的其他内容</w:t>
            </w:r>
          </w:p>
        </w:tc>
      </w:tr>
      <w:tr w14:paraId="4526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B71BADC">
            <w:pPr>
              <w:widowControl/>
              <w:jc w:val="center"/>
              <w:rPr>
                <w:rFonts w:hint="eastAsia" w:ascii="宋体" w:hAnsi="宋体" w:cs="宋体"/>
                <w:kern w:val="0"/>
                <w:szCs w:val="21"/>
                <w:highlight w:val="none"/>
              </w:rPr>
            </w:pPr>
            <w:r>
              <w:rPr>
                <w:rFonts w:hint="eastAsia" w:ascii="宋体" w:hAnsi="宋体" w:cs="宋体"/>
                <w:kern w:val="0"/>
                <w:szCs w:val="21"/>
                <w:highlight w:val="none"/>
              </w:rPr>
              <w:t>9.1</w:t>
            </w:r>
          </w:p>
        </w:tc>
        <w:tc>
          <w:tcPr>
            <w:tcW w:w="9154" w:type="dxa"/>
            <w:gridSpan w:val="2"/>
            <w:vAlign w:val="center"/>
          </w:tcPr>
          <w:p w14:paraId="3B8626CE">
            <w:pPr>
              <w:widowControl/>
              <w:rPr>
                <w:rFonts w:hint="eastAsia" w:ascii="宋体" w:hAnsi="宋体" w:cs="宋体"/>
                <w:kern w:val="0"/>
                <w:szCs w:val="21"/>
                <w:highlight w:val="none"/>
              </w:rPr>
            </w:pPr>
            <w:r>
              <w:rPr>
                <w:rFonts w:hint="eastAsia" w:ascii="宋体" w:hAnsi="宋体" w:cs="宋体"/>
                <w:kern w:val="0"/>
                <w:szCs w:val="21"/>
                <w:highlight w:val="none"/>
              </w:rPr>
              <w:t>建设工程质量检测单位：</w:t>
            </w:r>
          </w:p>
          <w:p w14:paraId="367A4D97">
            <w:pPr>
              <w:widowControl/>
              <w:rPr>
                <w:rFonts w:hint="eastAsia" w:ascii="宋体" w:hAnsi="宋体" w:cs="宋体"/>
                <w:b/>
                <w:bCs/>
                <w:kern w:val="0"/>
                <w:szCs w:val="21"/>
                <w:highlight w:val="none"/>
              </w:rPr>
            </w:pPr>
            <w:r>
              <w:rPr>
                <w:rFonts w:hint="eastAsia" w:ascii="宋体" w:hAnsi="宋体" w:cs="宋体"/>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B7C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73EA25D">
            <w:pPr>
              <w:widowControl/>
              <w:jc w:val="center"/>
              <w:rPr>
                <w:rFonts w:hint="eastAsia" w:ascii="宋体" w:hAnsi="宋体" w:cs="宋体"/>
                <w:kern w:val="0"/>
                <w:szCs w:val="21"/>
                <w:highlight w:val="none"/>
              </w:rPr>
            </w:pPr>
            <w:r>
              <w:rPr>
                <w:rFonts w:hint="eastAsia" w:ascii="宋体" w:hAnsi="宋体" w:cs="宋体"/>
                <w:szCs w:val="21"/>
                <w:highlight w:val="none"/>
              </w:rPr>
              <w:t>9.2</w:t>
            </w:r>
          </w:p>
        </w:tc>
        <w:tc>
          <w:tcPr>
            <w:tcW w:w="9154" w:type="dxa"/>
            <w:gridSpan w:val="2"/>
            <w:vAlign w:val="center"/>
          </w:tcPr>
          <w:p w14:paraId="1D758E83">
            <w:pPr>
              <w:spacing w:line="240" w:lineRule="auto"/>
              <w:rPr>
                <w:rFonts w:hint="eastAsia" w:ascii="宋体" w:hAnsi="宋体" w:cs="宋体"/>
                <w:szCs w:val="21"/>
                <w:highlight w:val="none"/>
              </w:rPr>
            </w:pPr>
            <w:r>
              <w:rPr>
                <w:rFonts w:hint="eastAsia" w:ascii="宋体" w:hAnsi="宋体" w:cs="宋体"/>
                <w:szCs w:val="21"/>
                <w:highlight w:val="none"/>
              </w:rPr>
              <w:t>在招标和合同实施期间，招标人要求投标人和承包人遵守最高的道德标准。</w:t>
            </w:r>
          </w:p>
          <w:p w14:paraId="563A0BB0">
            <w:pPr>
              <w:spacing w:line="240" w:lineRule="auto"/>
              <w:rPr>
                <w:rFonts w:hint="eastAsia" w:ascii="宋体" w:hAnsi="宋体" w:cs="宋体"/>
                <w:szCs w:val="21"/>
                <w:highlight w:val="none"/>
              </w:rPr>
            </w:pPr>
            <w:r>
              <w:rPr>
                <w:rFonts w:hint="eastAsia" w:ascii="宋体" w:hAnsi="宋体" w:cs="宋体"/>
                <w:szCs w:val="21"/>
                <w:highlight w:val="none"/>
              </w:rPr>
              <w:t>1、对本条款的规定，特定义如下词汇：</w:t>
            </w:r>
          </w:p>
          <w:p w14:paraId="711F7103">
            <w:pPr>
              <w:spacing w:line="240" w:lineRule="auto"/>
              <w:rPr>
                <w:rFonts w:hint="eastAsia" w:ascii="宋体" w:hAnsi="宋体" w:cs="宋体"/>
                <w:szCs w:val="21"/>
                <w:highlight w:val="none"/>
              </w:rPr>
            </w:pPr>
            <w:r>
              <w:rPr>
                <w:rFonts w:hint="eastAsia" w:ascii="宋体" w:hAnsi="宋体" w:cs="宋体"/>
                <w:szCs w:val="21"/>
                <w:highlight w:val="none"/>
              </w:rPr>
              <w:t>1）“腐败行为”是指在招标或合同执行期间，通过提供、给予、接受或索要任何有价值的东西，从而影响招标人有关人员工作的行为；</w:t>
            </w:r>
          </w:p>
          <w:p w14:paraId="00D18F06">
            <w:pPr>
              <w:spacing w:line="240" w:lineRule="auto"/>
              <w:rPr>
                <w:rFonts w:hint="eastAsia" w:ascii="宋体" w:hAnsi="宋体" w:cs="宋体"/>
                <w:szCs w:val="21"/>
                <w:highlight w:val="none"/>
              </w:rPr>
            </w:pPr>
            <w:r>
              <w:rPr>
                <w:rFonts w:hint="eastAsia" w:ascii="宋体" w:hAnsi="宋体" w:cs="宋体"/>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435CD80">
            <w:pPr>
              <w:widowControl/>
              <w:rPr>
                <w:rFonts w:hint="eastAsia" w:ascii="宋体" w:hAnsi="宋体" w:cs="宋体"/>
                <w:kern w:val="0"/>
                <w:szCs w:val="21"/>
                <w:highlight w:val="none"/>
              </w:rPr>
            </w:pPr>
            <w:r>
              <w:rPr>
                <w:rFonts w:hint="eastAsia" w:ascii="宋体" w:hAnsi="宋体" w:cs="宋体"/>
                <w:szCs w:val="21"/>
                <w:highlight w:val="none"/>
              </w:rPr>
              <w:t>2、如果投标人被认定在本</w:t>
            </w:r>
            <w:r>
              <w:rPr>
                <w:rFonts w:hint="eastAsia" w:ascii="宋体" w:hAnsi="宋体" w:cs="宋体"/>
                <w:szCs w:val="21"/>
                <w:highlight w:val="none"/>
                <w:lang w:val="en-US" w:eastAsia="zh-CN"/>
              </w:rPr>
              <w:t>次</w:t>
            </w:r>
            <w:r>
              <w:rPr>
                <w:rFonts w:hint="eastAsia" w:ascii="宋体" w:hAnsi="宋体" w:cs="宋体"/>
                <w:szCs w:val="21"/>
                <w:highlight w:val="none"/>
              </w:rPr>
              <w:t>招标的竞争中有腐败或欺诈行为，则会被取消投标资格。</w:t>
            </w:r>
          </w:p>
        </w:tc>
      </w:tr>
      <w:tr w14:paraId="760C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A299061">
            <w:pPr>
              <w:widowControl/>
              <w:jc w:val="center"/>
              <w:rPr>
                <w:rFonts w:hint="eastAsia" w:ascii="宋体" w:hAnsi="宋体" w:cs="宋体"/>
                <w:szCs w:val="21"/>
                <w:highlight w:val="none"/>
              </w:rPr>
            </w:pPr>
            <w:r>
              <w:rPr>
                <w:rFonts w:hint="eastAsia" w:ascii="宋体" w:hAnsi="宋体" w:cs="宋体"/>
                <w:szCs w:val="21"/>
                <w:highlight w:val="none"/>
              </w:rPr>
              <w:t>9.3</w:t>
            </w:r>
          </w:p>
        </w:tc>
        <w:tc>
          <w:tcPr>
            <w:tcW w:w="9154" w:type="dxa"/>
            <w:gridSpan w:val="2"/>
            <w:vAlign w:val="center"/>
          </w:tcPr>
          <w:p w14:paraId="48F2E6C9">
            <w:pPr>
              <w:widowControl/>
              <w:spacing w:line="240" w:lineRule="auto"/>
              <w:rPr>
                <w:rFonts w:hint="eastAsia" w:ascii="宋体" w:hAnsi="宋体" w:cs="宋体"/>
                <w:kern w:val="1"/>
                <w:szCs w:val="21"/>
                <w:highlight w:val="none"/>
              </w:rPr>
            </w:pPr>
            <w:r>
              <w:rPr>
                <w:rFonts w:hint="eastAsia" w:ascii="宋体" w:hAnsi="宋体" w:cs="宋体"/>
                <w:kern w:val="1"/>
                <w:szCs w:val="21"/>
                <w:highlight w:val="none"/>
              </w:rPr>
              <w:t>职业健康安全管理目标：杜绝一般等级以上的伤亡事故且工伤责任事故人数为零。</w:t>
            </w:r>
          </w:p>
          <w:p w14:paraId="74A4A5FE">
            <w:pPr>
              <w:spacing w:line="240" w:lineRule="auto"/>
              <w:rPr>
                <w:rFonts w:hint="eastAsia" w:ascii="宋体" w:hAnsi="宋体" w:cs="宋体"/>
                <w:szCs w:val="21"/>
                <w:highlight w:val="none"/>
              </w:rPr>
            </w:pPr>
            <w:r>
              <w:rPr>
                <w:rFonts w:hint="eastAsia" w:ascii="宋体" w:hAnsi="宋体" w:cs="宋体"/>
                <w:kern w:val="1"/>
                <w:szCs w:val="21"/>
                <w:highlight w:val="none"/>
              </w:rPr>
              <w:t>环境管理目标：严格执行《广州市建设工程现场文明施工管理办法》（穗建质【2008】937号）</w:t>
            </w:r>
          </w:p>
        </w:tc>
      </w:tr>
      <w:tr w14:paraId="3F02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92A88DA">
            <w:pPr>
              <w:widowControl/>
              <w:jc w:val="center"/>
              <w:rPr>
                <w:rFonts w:hint="eastAsia" w:ascii="宋体" w:hAnsi="宋体" w:cs="宋体"/>
                <w:szCs w:val="21"/>
                <w:highlight w:val="none"/>
              </w:rPr>
            </w:pPr>
            <w:r>
              <w:rPr>
                <w:rFonts w:hint="eastAsia" w:ascii="宋体" w:hAnsi="宋体" w:cs="宋体"/>
                <w:szCs w:val="21"/>
                <w:highlight w:val="none"/>
              </w:rPr>
              <w:t>9.4</w:t>
            </w:r>
          </w:p>
        </w:tc>
        <w:tc>
          <w:tcPr>
            <w:tcW w:w="9154" w:type="dxa"/>
            <w:gridSpan w:val="2"/>
            <w:vAlign w:val="center"/>
          </w:tcPr>
          <w:p w14:paraId="53542296">
            <w:pPr>
              <w:spacing w:line="240" w:lineRule="auto"/>
              <w:rPr>
                <w:rFonts w:hint="eastAsia" w:ascii="宋体" w:hAnsi="宋体" w:cs="宋体"/>
                <w:szCs w:val="21"/>
                <w:highlight w:val="none"/>
              </w:rPr>
            </w:pPr>
            <w:r>
              <w:rPr>
                <w:rFonts w:hint="eastAsia" w:ascii="宋体" w:hAnsi="宋体" w:cs="宋体"/>
                <w:kern w:val="1"/>
                <w:szCs w:val="21"/>
                <w:highlight w:val="none"/>
              </w:rPr>
              <w:t>项目管理目标及规范：严格执行《建设项目工程总承包管理规范》（GB/T 50358-2017）的要求。</w:t>
            </w:r>
          </w:p>
        </w:tc>
      </w:tr>
      <w:tr w14:paraId="7C51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28E8DEC">
            <w:pPr>
              <w:widowControl/>
              <w:jc w:val="center"/>
              <w:rPr>
                <w:rFonts w:hint="eastAsia" w:ascii="宋体" w:hAnsi="宋体" w:cs="宋体"/>
                <w:szCs w:val="21"/>
                <w:highlight w:val="none"/>
              </w:rPr>
            </w:pPr>
            <w:r>
              <w:rPr>
                <w:rFonts w:hint="eastAsia" w:ascii="宋体" w:hAnsi="宋体" w:cs="宋体"/>
                <w:szCs w:val="21"/>
                <w:highlight w:val="none"/>
              </w:rPr>
              <w:t>9.5</w:t>
            </w:r>
          </w:p>
        </w:tc>
        <w:tc>
          <w:tcPr>
            <w:tcW w:w="9154" w:type="dxa"/>
            <w:gridSpan w:val="2"/>
            <w:vAlign w:val="center"/>
          </w:tcPr>
          <w:p w14:paraId="60396963">
            <w:pPr>
              <w:pStyle w:val="18"/>
              <w:topLinePunct/>
              <w:rPr>
                <w:rFonts w:hint="eastAsia" w:hAnsi="宋体" w:cs="宋体"/>
                <w:sz w:val="21"/>
                <w:szCs w:val="21"/>
                <w:highlight w:val="none"/>
                <w:u w:val="single"/>
              </w:rPr>
            </w:pPr>
            <w:r>
              <w:rPr>
                <w:rFonts w:hint="eastAsia" w:hAnsi="宋体" w:cs="宋体"/>
                <w:sz w:val="21"/>
                <w:szCs w:val="21"/>
                <w:highlight w:val="none"/>
                <w:u w:val="single"/>
              </w:rPr>
              <w:t>特别提示：投标人在本项目招标人的工程项目中存在下列行为的，将被拒绝一年内参与招标人后续工程投标。（注：拒绝投标时限由招标人视严重程度确定，最低三个月起，自招标人发出通知之日起计）：</w:t>
            </w:r>
          </w:p>
          <w:p w14:paraId="5340E7DF">
            <w:pPr>
              <w:pStyle w:val="18"/>
              <w:topLinePunct/>
              <w:rPr>
                <w:rFonts w:hint="eastAsia" w:hAnsi="宋体" w:cs="宋体"/>
                <w:sz w:val="21"/>
                <w:szCs w:val="21"/>
                <w:highlight w:val="none"/>
                <w:u w:val="single"/>
              </w:rPr>
            </w:pPr>
            <w:r>
              <w:rPr>
                <w:rFonts w:hint="eastAsia" w:hAnsi="宋体" w:cs="宋体"/>
                <w:sz w:val="21"/>
                <w:szCs w:val="21"/>
                <w:highlight w:val="none"/>
                <w:u w:val="single"/>
              </w:rPr>
              <w:t>1.将中标工程转包</w:t>
            </w:r>
            <w:r>
              <w:rPr>
                <w:rFonts w:hint="eastAsia" w:hAnsi="宋体" w:cs="宋体"/>
                <w:sz w:val="21"/>
                <w:szCs w:val="21"/>
                <w:highlight w:val="none"/>
                <w:u w:val="single"/>
                <w:lang w:eastAsia="zh-CN"/>
              </w:rPr>
              <w:t>、</w:t>
            </w:r>
            <w:r>
              <w:rPr>
                <w:rFonts w:hint="eastAsia" w:hAnsi="宋体" w:cs="宋体"/>
                <w:sz w:val="21"/>
                <w:szCs w:val="21"/>
                <w:highlight w:val="none"/>
                <w:u w:val="single"/>
              </w:rPr>
              <w:t>违法分包</w:t>
            </w:r>
            <w:r>
              <w:rPr>
                <w:rFonts w:hint="eastAsia" w:hAnsi="宋体" w:cs="宋体"/>
                <w:sz w:val="21"/>
                <w:szCs w:val="21"/>
                <w:highlight w:val="none"/>
                <w:u w:val="single"/>
                <w:lang w:val="en-US" w:eastAsia="zh-CN"/>
              </w:rPr>
              <w:t>或未经发包人书面同意</w:t>
            </w:r>
            <w:r>
              <w:rPr>
                <w:rFonts w:hint="eastAsia" w:hAnsi="宋体" w:cs="宋体"/>
                <w:sz w:val="21"/>
                <w:szCs w:val="21"/>
                <w:highlight w:val="none"/>
                <w:u w:val="single"/>
              </w:rPr>
              <w:t>的；</w:t>
            </w:r>
          </w:p>
          <w:p w14:paraId="1F2125DB">
            <w:pPr>
              <w:pStyle w:val="18"/>
              <w:topLinePunct/>
              <w:rPr>
                <w:rFonts w:hint="eastAsia" w:hAnsi="宋体" w:cs="宋体"/>
                <w:sz w:val="21"/>
                <w:szCs w:val="21"/>
                <w:highlight w:val="none"/>
                <w:u w:val="single"/>
              </w:rPr>
            </w:pPr>
            <w:r>
              <w:rPr>
                <w:rFonts w:hint="eastAsia" w:hAnsi="宋体" w:cs="宋体"/>
                <w:sz w:val="21"/>
                <w:szCs w:val="21"/>
                <w:highlight w:val="none"/>
                <w:u w:val="single"/>
              </w:rPr>
              <w:t>2.在中标工程中不执行质量、安全生产相关规定，造成质量或安全事故的；</w:t>
            </w:r>
          </w:p>
          <w:p w14:paraId="5B2AD744">
            <w:pPr>
              <w:pStyle w:val="18"/>
              <w:topLinePunct/>
              <w:rPr>
                <w:rFonts w:hint="eastAsia" w:hAnsi="宋体" w:cs="宋体"/>
                <w:sz w:val="21"/>
                <w:szCs w:val="21"/>
                <w:highlight w:val="none"/>
                <w:u w:val="single"/>
              </w:rPr>
            </w:pPr>
            <w:r>
              <w:rPr>
                <w:rFonts w:hint="eastAsia" w:hAnsi="宋体" w:cs="宋体"/>
                <w:sz w:val="21"/>
                <w:szCs w:val="21"/>
                <w:highlight w:val="none"/>
                <w:u w:val="single"/>
              </w:rPr>
              <w:t>3.出让投标资格的；</w:t>
            </w:r>
          </w:p>
          <w:p w14:paraId="43E13448">
            <w:pPr>
              <w:pStyle w:val="18"/>
              <w:topLinePunct/>
              <w:rPr>
                <w:rFonts w:hint="eastAsia" w:hAnsi="宋体" w:cs="宋体"/>
                <w:sz w:val="21"/>
                <w:szCs w:val="21"/>
                <w:highlight w:val="none"/>
                <w:u w:val="single"/>
              </w:rPr>
            </w:pPr>
            <w:r>
              <w:rPr>
                <w:rFonts w:hint="eastAsia" w:hAnsi="宋体" w:cs="宋体"/>
                <w:sz w:val="21"/>
                <w:szCs w:val="21"/>
                <w:highlight w:val="none"/>
                <w:u w:val="single"/>
              </w:rPr>
              <w:t>4.存在围标或串通投标情形的；</w:t>
            </w:r>
          </w:p>
          <w:p w14:paraId="50B00A69">
            <w:pPr>
              <w:pStyle w:val="18"/>
              <w:topLinePunct/>
              <w:rPr>
                <w:rFonts w:hint="eastAsia" w:hAnsi="宋体" w:cs="宋体"/>
                <w:sz w:val="21"/>
                <w:szCs w:val="21"/>
                <w:highlight w:val="none"/>
                <w:u w:val="single"/>
              </w:rPr>
            </w:pPr>
            <w:r>
              <w:rPr>
                <w:rFonts w:hint="eastAsia" w:hAnsi="宋体" w:cs="宋体"/>
                <w:sz w:val="21"/>
                <w:szCs w:val="21"/>
                <w:highlight w:val="none"/>
                <w:u w:val="single"/>
              </w:rPr>
              <w:t>5.在投标文件中提供虚假材料的；</w:t>
            </w:r>
          </w:p>
          <w:p w14:paraId="25EC3100">
            <w:pPr>
              <w:pStyle w:val="18"/>
              <w:topLinePunct/>
              <w:rPr>
                <w:rFonts w:hint="eastAsia" w:hAnsi="宋体" w:cs="宋体"/>
                <w:sz w:val="21"/>
                <w:szCs w:val="21"/>
                <w:highlight w:val="none"/>
                <w:u w:val="single"/>
              </w:rPr>
            </w:pPr>
            <w:r>
              <w:rPr>
                <w:rFonts w:hint="eastAsia" w:hAnsi="宋体" w:cs="宋体"/>
                <w:sz w:val="21"/>
                <w:szCs w:val="21"/>
                <w:highlight w:val="none"/>
                <w:u w:val="single"/>
              </w:rPr>
              <w:t>6.存在少放、不放业绩、奖项等客观评审资料，减少自身竞争力情形的；</w:t>
            </w:r>
          </w:p>
          <w:p w14:paraId="36F2428D">
            <w:pPr>
              <w:pStyle w:val="18"/>
              <w:topLinePunct/>
              <w:rPr>
                <w:rFonts w:hint="eastAsia" w:hAnsi="宋体" w:cs="宋体"/>
                <w:sz w:val="21"/>
                <w:szCs w:val="21"/>
                <w:highlight w:val="none"/>
                <w:u w:val="single"/>
              </w:rPr>
            </w:pPr>
            <w:r>
              <w:rPr>
                <w:rFonts w:hint="eastAsia" w:hAnsi="宋体" w:cs="宋体"/>
                <w:sz w:val="21"/>
                <w:szCs w:val="21"/>
                <w:highlight w:val="none"/>
                <w:u w:val="single"/>
              </w:rPr>
              <w:t>7.存在弄虚作假骗取中标、行贿情形的；</w:t>
            </w:r>
          </w:p>
          <w:p w14:paraId="652F4946">
            <w:pPr>
              <w:pStyle w:val="18"/>
              <w:topLinePunct/>
              <w:rPr>
                <w:rFonts w:hint="eastAsia" w:hAnsi="宋体" w:cs="宋体"/>
                <w:sz w:val="21"/>
                <w:szCs w:val="21"/>
                <w:highlight w:val="none"/>
                <w:u w:val="single"/>
              </w:rPr>
            </w:pPr>
            <w:r>
              <w:rPr>
                <w:rFonts w:hint="eastAsia" w:hAnsi="宋体" w:cs="宋体"/>
                <w:sz w:val="21"/>
                <w:szCs w:val="21"/>
                <w:highlight w:val="none"/>
                <w:u w:val="single"/>
              </w:rPr>
              <w:t>8.由于承包人原因拖欠农民工工资的；</w:t>
            </w:r>
          </w:p>
          <w:p w14:paraId="4CE4BF83">
            <w:pPr>
              <w:pStyle w:val="18"/>
              <w:topLinePunct/>
              <w:rPr>
                <w:rFonts w:hint="eastAsia" w:hAnsi="宋体" w:cs="宋体"/>
                <w:sz w:val="21"/>
                <w:szCs w:val="21"/>
                <w:highlight w:val="none"/>
                <w:u w:val="single"/>
              </w:rPr>
            </w:pPr>
            <w:r>
              <w:rPr>
                <w:rFonts w:hint="eastAsia" w:hAnsi="宋体" w:cs="宋体"/>
                <w:sz w:val="21"/>
                <w:szCs w:val="21"/>
                <w:highlight w:val="none"/>
                <w:u w:val="single"/>
              </w:rPr>
              <w:t>9.未按照国家、省、市有关建筑施工实名制管理和工人工资支付分</w:t>
            </w:r>
            <w:r>
              <w:rPr>
                <w:rFonts w:hint="eastAsia" w:hAnsi="宋体" w:cs="宋体"/>
                <w:sz w:val="21"/>
                <w:szCs w:val="21"/>
                <w:highlight w:val="none"/>
                <w:u w:val="single"/>
                <w:lang w:val="en-US" w:eastAsia="zh-CN"/>
              </w:rPr>
              <w:t>账</w:t>
            </w:r>
            <w:r>
              <w:rPr>
                <w:rFonts w:hint="eastAsia" w:hAnsi="宋体" w:cs="宋体"/>
                <w:sz w:val="21"/>
                <w:szCs w:val="21"/>
                <w:highlight w:val="none"/>
                <w:u w:val="single"/>
              </w:rPr>
              <w:t>管理的规定执行，被行政监管部门处罚的；</w:t>
            </w:r>
          </w:p>
          <w:p w14:paraId="0EA333BC">
            <w:pPr>
              <w:pStyle w:val="18"/>
              <w:topLinePunct/>
              <w:rPr>
                <w:rFonts w:hint="eastAsia" w:hAnsi="宋体" w:cs="宋体"/>
                <w:sz w:val="21"/>
                <w:szCs w:val="21"/>
                <w:highlight w:val="none"/>
                <w:u w:val="single"/>
              </w:rPr>
            </w:pPr>
            <w:r>
              <w:rPr>
                <w:rFonts w:hint="eastAsia" w:hAnsi="宋体" w:cs="宋体"/>
                <w:sz w:val="21"/>
                <w:szCs w:val="21"/>
                <w:highlight w:val="none"/>
                <w:u w:val="single"/>
              </w:rPr>
              <w:t>10.承包人因合同履行过错行为被生效法律文书认定承担违约或侵权责任的；</w:t>
            </w:r>
          </w:p>
          <w:p w14:paraId="4F32FB34">
            <w:pPr>
              <w:pStyle w:val="18"/>
              <w:topLinePunct/>
              <w:rPr>
                <w:rFonts w:hint="eastAsia" w:hAnsi="宋体" w:cs="宋体"/>
                <w:sz w:val="21"/>
                <w:szCs w:val="21"/>
                <w:highlight w:val="none"/>
                <w:u w:val="single"/>
              </w:rPr>
            </w:pPr>
            <w:r>
              <w:rPr>
                <w:rFonts w:hint="eastAsia" w:hAnsi="宋体" w:cs="宋体"/>
                <w:sz w:val="21"/>
                <w:szCs w:val="21"/>
                <w:highlight w:val="none"/>
                <w:u w:val="single"/>
              </w:rPr>
              <w:t>11.由于承包人原因提交竣工结算申请时间超过两年的；</w:t>
            </w:r>
          </w:p>
          <w:p w14:paraId="6E5D004F">
            <w:pPr>
              <w:pStyle w:val="18"/>
              <w:topLinePunct/>
              <w:rPr>
                <w:rFonts w:hint="eastAsia" w:hAnsi="宋体" w:cs="宋体"/>
                <w:sz w:val="21"/>
                <w:szCs w:val="21"/>
                <w:highlight w:val="none"/>
                <w:u w:val="single"/>
              </w:rPr>
            </w:pPr>
            <w:r>
              <w:rPr>
                <w:rFonts w:hint="eastAsia" w:hAnsi="宋体" w:cs="宋体"/>
                <w:sz w:val="21"/>
                <w:szCs w:val="21"/>
                <w:highlight w:val="none"/>
                <w:u w:val="single"/>
              </w:rPr>
              <w:t>12.由于承包人原因未按合同约定工期完工超过两年的。</w:t>
            </w:r>
          </w:p>
          <w:p w14:paraId="597221C0">
            <w:pPr>
              <w:pStyle w:val="18"/>
              <w:topLinePunct/>
              <w:rPr>
                <w:rFonts w:hint="eastAsia" w:hAnsi="宋体" w:cs="宋体"/>
                <w:sz w:val="21"/>
                <w:szCs w:val="21"/>
                <w:highlight w:val="none"/>
                <w:u w:val="single"/>
              </w:rPr>
            </w:pPr>
            <w:r>
              <w:rPr>
                <w:rFonts w:hint="eastAsia" w:hAnsi="宋体" w:cs="宋体"/>
                <w:sz w:val="21"/>
                <w:szCs w:val="21"/>
                <w:highlight w:val="none"/>
                <w:u w:val="single"/>
              </w:rPr>
              <w:t>13.承包人未按投标文件中的项目分包计划情况如实开展工作，在合同执行过程中，若承包人未按该分包计划执行，承包人将被按严重违约进行处罚，发包人有权视情况认为存在不诚信行为或不充分履约行为的；</w:t>
            </w:r>
          </w:p>
          <w:p w14:paraId="40982A50">
            <w:pPr>
              <w:spacing w:line="240" w:lineRule="auto"/>
              <w:rPr>
                <w:rFonts w:hint="eastAsia" w:ascii="宋体" w:hAnsi="宋体" w:cs="宋体"/>
                <w:kern w:val="1"/>
                <w:szCs w:val="21"/>
                <w:highlight w:val="none"/>
              </w:rPr>
            </w:pPr>
            <w:r>
              <w:rPr>
                <w:rFonts w:hint="eastAsia" w:ascii="宋体" w:hAnsi="宋体" w:cs="宋体"/>
                <w:szCs w:val="21"/>
                <w:highlight w:val="none"/>
                <w:u w:val="single"/>
              </w:rPr>
              <w:t>14.承包人如出现更换项目负责人的情况，发包人有权视情况认为存在不诚信行为或不充分履约行为的。</w:t>
            </w:r>
          </w:p>
        </w:tc>
      </w:tr>
      <w:tr w14:paraId="663D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517E1C59">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6</w:t>
            </w:r>
          </w:p>
        </w:tc>
        <w:tc>
          <w:tcPr>
            <w:tcW w:w="9154" w:type="dxa"/>
            <w:gridSpan w:val="2"/>
            <w:vAlign w:val="center"/>
          </w:tcPr>
          <w:p w14:paraId="74DBC091">
            <w:pPr>
              <w:pStyle w:val="18"/>
              <w:topLinePunct/>
              <w:rPr>
                <w:rFonts w:hint="eastAsia" w:hAnsi="宋体" w:cs="宋体"/>
                <w:kern w:val="1"/>
                <w:sz w:val="21"/>
                <w:szCs w:val="21"/>
                <w:highlight w:val="none"/>
              </w:rPr>
            </w:pPr>
            <w:r>
              <w:rPr>
                <w:rFonts w:hint="eastAsia" w:hAnsi="宋体" w:cs="宋体"/>
                <w:kern w:val="1"/>
                <w:sz w:val="21"/>
                <w:szCs w:val="21"/>
                <w:highlight w:val="none"/>
              </w:rPr>
              <w:t>招标失败的情形：满足资格审查合格条件或通过初步评审的投标申请人不足3名时为招标失败。招标人分析招标失败原因，修正招标方案，报有关管理部门核准后，重新组织招标。</w:t>
            </w:r>
          </w:p>
        </w:tc>
      </w:tr>
      <w:tr w14:paraId="5CAF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29CD679">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7</w:t>
            </w:r>
          </w:p>
        </w:tc>
        <w:tc>
          <w:tcPr>
            <w:tcW w:w="9154" w:type="dxa"/>
            <w:gridSpan w:val="2"/>
            <w:vAlign w:val="center"/>
          </w:tcPr>
          <w:p w14:paraId="6A53F4D9">
            <w:pPr>
              <w:pStyle w:val="18"/>
              <w:topLinePunct/>
              <w:rPr>
                <w:rFonts w:hint="eastAsia" w:hAnsi="宋体" w:cs="宋体"/>
                <w:kern w:val="1"/>
                <w:sz w:val="21"/>
                <w:szCs w:val="21"/>
                <w:highlight w:val="none"/>
              </w:rPr>
            </w:pPr>
            <w:r>
              <w:rPr>
                <w:rFonts w:hint="eastAsia" w:hAnsi="宋体" w:cs="宋体"/>
                <w:kern w:val="1"/>
                <w:sz w:val="21"/>
                <w:szCs w:val="21"/>
                <w:highlight w:val="none"/>
              </w:rPr>
              <w:t>保修期限：按照《建设工程质量管理条例》规定。</w:t>
            </w:r>
          </w:p>
        </w:tc>
      </w:tr>
      <w:tr w14:paraId="3869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97ECC17">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8</w:t>
            </w:r>
          </w:p>
        </w:tc>
        <w:tc>
          <w:tcPr>
            <w:tcW w:w="9154" w:type="dxa"/>
            <w:gridSpan w:val="2"/>
            <w:vAlign w:val="center"/>
          </w:tcPr>
          <w:p w14:paraId="4A51168A">
            <w:pPr>
              <w:pStyle w:val="18"/>
              <w:topLinePunct/>
              <w:rPr>
                <w:rFonts w:hint="eastAsia" w:hAnsi="宋体" w:cs="宋体"/>
                <w:kern w:val="1"/>
                <w:sz w:val="21"/>
                <w:szCs w:val="21"/>
                <w:highlight w:val="none"/>
              </w:rPr>
            </w:pPr>
            <w:r>
              <w:rPr>
                <w:rFonts w:hint="eastAsia" w:hAnsi="宋体" w:cs="宋体"/>
                <w:kern w:val="1"/>
                <w:sz w:val="21"/>
                <w:szCs w:val="21"/>
                <w:highlight w:val="none"/>
              </w:rPr>
              <w:t>项目中涉及政府采购说明：按法律法规必须进行政府采购或招标人（发包人）认为有个别专业工程必须进行政府采购，则由招标人（发包人）另行组织采购，采购费用在本项目施工费合同价款中相应扣除。采购工程的总包管理协调费包含在本项目设计采购施工总承包单位中标价中，总承包单位不另计总包管理协调费。</w:t>
            </w:r>
          </w:p>
        </w:tc>
      </w:tr>
      <w:tr w14:paraId="0141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DBACE11">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9</w:t>
            </w:r>
          </w:p>
        </w:tc>
        <w:tc>
          <w:tcPr>
            <w:tcW w:w="9154" w:type="dxa"/>
            <w:gridSpan w:val="2"/>
            <w:vAlign w:val="center"/>
          </w:tcPr>
          <w:p w14:paraId="36640BA4">
            <w:pPr>
              <w:pStyle w:val="18"/>
              <w:topLinePunct/>
              <w:rPr>
                <w:rFonts w:hint="eastAsia" w:hAnsi="宋体" w:cs="宋体"/>
                <w:kern w:val="1"/>
                <w:sz w:val="21"/>
                <w:szCs w:val="21"/>
                <w:highlight w:val="none"/>
              </w:rPr>
            </w:pPr>
            <w:r>
              <w:rPr>
                <w:rFonts w:hint="eastAsia" w:hAnsi="宋体" w:cs="宋体"/>
                <w:kern w:val="1"/>
                <w:sz w:val="21"/>
                <w:szCs w:val="21"/>
                <w:highlight w:val="none"/>
              </w:rPr>
              <w:t>合同签订：招标人与中标人将于中标通知书发出之日起30日内，按照招标文件和中标人的投标文件商定和签订合同，招标人和中标人不得另行订立背离合同实质性内容的其他协议。</w:t>
            </w:r>
          </w:p>
        </w:tc>
      </w:tr>
      <w:tr w14:paraId="3099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7BAC1998">
            <w:pPr>
              <w:widowControl/>
              <w:jc w:val="center"/>
              <w:rPr>
                <w:rFonts w:hint="eastAsia" w:ascii="宋体" w:hAnsi="宋体" w:cs="宋体"/>
                <w:kern w:val="1"/>
                <w:szCs w:val="21"/>
                <w:highlight w:val="none"/>
              </w:rPr>
            </w:pPr>
            <w:r>
              <w:rPr>
                <w:rFonts w:hint="eastAsia" w:ascii="宋体" w:hAnsi="宋体" w:cs="宋体"/>
                <w:kern w:val="1"/>
                <w:szCs w:val="21"/>
                <w:highlight w:val="none"/>
              </w:rPr>
              <w:t>9.1</w:t>
            </w:r>
            <w:r>
              <w:rPr>
                <w:rFonts w:hint="eastAsia" w:ascii="宋体" w:hAnsi="宋体" w:cs="宋体"/>
                <w:kern w:val="1"/>
                <w:szCs w:val="21"/>
                <w:highlight w:val="none"/>
                <w:lang w:val="en-US" w:eastAsia="zh-CN"/>
              </w:rPr>
              <w:t>0</w:t>
            </w:r>
          </w:p>
        </w:tc>
        <w:tc>
          <w:tcPr>
            <w:tcW w:w="9154" w:type="dxa"/>
            <w:gridSpan w:val="2"/>
            <w:vAlign w:val="center"/>
          </w:tcPr>
          <w:p w14:paraId="0C89EEA5">
            <w:pPr>
              <w:pStyle w:val="18"/>
              <w:topLinePunct/>
              <w:rPr>
                <w:rFonts w:hint="eastAsia" w:hAnsi="宋体" w:cs="宋体"/>
                <w:kern w:val="1"/>
                <w:sz w:val="21"/>
                <w:szCs w:val="21"/>
                <w:highlight w:val="none"/>
              </w:rPr>
            </w:pPr>
            <w:r>
              <w:rPr>
                <w:rFonts w:hint="eastAsia" w:hAnsi="宋体" w:cs="宋体"/>
                <w:kern w:val="1"/>
                <w:sz w:val="21"/>
                <w:szCs w:val="21"/>
                <w:highlight w:val="none"/>
              </w:rPr>
              <w:t>中标人提交纸质投标文件要求：中标通知书发出后3天内投标人需将在广州交易集团有限公司（广州公共资源交易中心）网站下载的投标文件打印，投标文件需与中标人在广州交易集团有限公司（广州公共资源交易中心）网站提交的投标文件一致，投标人加盖公章，一正4副（加盖公章），合共5套投标文件提供给招标人，相关费用由投标人支付。应保证纸质版投标文件与在交易平台提交的电子版投标文件完全一致，如出现不一致则以交易平台提交的电子版投标文件为准。</w:t>
            </w:r>
          </w:p>
        </w:tc>
      </w:tr>
      <w:tr w14:paraId="7B16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77F3B6F">
            <w:pPr>
              <w:widowControl/>
              <w:jc w:val="center"/>
              <w:rPr>
                <w:rFonts w:hint="eastAsia" w:ascii="宋体" w:hAnsi="宋体" w:cs="宋体"/>
                <w:kern w:val="1"/>
                <w:szCs w:val="21"/>
                <w:highlight w:val="none"/>
              </w:rPr>
            </w:pPr>
            <w:r>
              <w:rPr>
                <w:rFonts w:hint="eastAsia" w:ascii="宋体" w:hAnsi="宋体" w:cs="宋体"/>
                <w:kern w:val="1"/>
                <w:szCs w:val="21"/>
                <w:highlight w:val="none"/>
              </w:rPr>
              <w:t>9.1</w:t>
            </w:r>
            <w:r>
              <w:rPr>
                <w:rFonts w:hint="eastAsia" w:ascii="宋体" w:hAnsi="宋体" w:cs="宋体"/>
                <w:kern w:val="1"/>
                <w:szCs w:val="21"/>
                <w:highlight w:val="none"/>
                <w:lang w:val="en-US" w:eastAsia="zh-CN"/>
              </w:rPr>
              <w:t>1</w:t>
            </w:r>
          </w:p>
        </w:tc>
        <w:tc>
          <w:tcPr>
            <w:tcW w:w="9154" w:type="dxa"/>
            <w:gridSpan w:val="2"/>
            <w:vAlign w:val="center"/>
          </w:tcPr>
          <w:p w14:paraId="4CA2B318">
            <w:pPr>
              <w:widowControl/>
              <w:rPr>
                <w:rFonts w:hint="default" w:ascii="宋体" w:hAnsi="宋体" w:eastAsia="宋体" w:cs="宋体"/>
                <w:kern w:val="1"/>
                <w:szCs w:val="21"/>
                <w:highlight w:val="none"/>
                <w:lang w:val="en-US" w:eastAsia="zh-CN"/>
              </w:rPr>
            </w:pPr>
            <w:r>
              <w:rPr>
                <w:rFonts w:hint="eastAsia" w:ascii="宋体" w:hAnsi="宋体" w:cs="宋体"/>
                <w:kern w:val="1"/>
                <w:szCs w:val="21"/>
                <w:highlight w:val="none"/>
              </w:rPr>
              <w:t>招标代理费：本项目招标代理服务费由中标人（若为联合体投标，指联合体主办方）支付，收费标准按招标人与招标代理单位签订的招标代理合同约定执行</w:t>
            </w:r>
            <w:r>
              <w:rPr>
                <w:rFonts w:hint="eastAsia" w:ascii="宋体" w:hAnsi="宋体" w:cs="宋体"/>
                <w:kern w:val="1"/>
                <w:szCs w:val="21"/>
                <w:highlight w:val="none"/>
                <w:lang w:eastAsia="zh-CN"/>
              </w:rPr>
              <w:t>，</w:t>
            </w:r>
            <w:r>
              <w:rPr>
                <w:rFonts w:hint="eastAsia" w:ascii="宋体" w:hAnsi="宋体" w:cs="宋体"/>
                <w:kern w:val="1"/>
                <w:szCs w:val="21"/>
                <w:highlight w:val="none"/>
              </w:rPr>
              <w:t>并在领取中标通知书前将此费用支付给招标代理单位。</w:t>
            </w:r>
            <w:r>
              <w:rPr>
                <w:rFonts w:hint="eastAsia" w:ascii="宋体" w:hAnsi="宋体" w:cs="宋体"/>
                <w:kern w:val="1"/>
                <w:szCs w:val="21"/>
                <w:highlight w:val="none"/>
                <w:lang w:val="en-US" w:eastAsia="zh-CN"/>
              </w:rPr>
              <w:t>本费用在中标人投标报价内考虑，不再另行支付</w:t>
            </w:r>
            <w:r>
              <w:rPr>
                <w:rFonts w:hint="eastAsia" w:ascii="宋体" w:hAnsi="宋体" w:cs="宋体"/>
                <w:kern w:val="1"/>
                <w:szCs w:val="21"/>
                <w:highlight w:val="none"/>
              </w:rPr>
              <w:t>。</w:t>
            </w:r>
            <w:r>
              <w:rPr>
                <w:rFonts w:hint="eastAsia" w:ascii="宋体" w:hAnsi="宋体" w:cs="宋体"/>
                <w:kern w:val="1"/>
                <w:szCs w:val="21"/>
                <w:highlight w:val="none"/>
                <w:lang w:val="en-US" w:eastAsia="zh-CN"/>
              </w:rPr>
              <w:t>发票由招标代理单位直接向中标人开具。</w:t>
            </w:r>
          </w:p>
        </w:tc>
      </w:tr>
      <w:tr w14:paraId="36BB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3FDCB8C8">
            <w:pPr>
              <w:widowControl/>
              <w:jc w:val="center"/>
              <w:rPr>
                <w:rFonts w:hint="eastAsia" w:ascii="宋体" w:hAnsi="宋体" w:cs="宋体"/>
                <w:kern w:val="1"/>
                <w:szCs w:val="21"/>
                <w:highlight w:val="none"/>
              </w:rPr>
            </w:pPr>
            <w:r>
              <w:rPr>
                <w:rFonts w:hint="eastAsia" w:ascii="宋体" w:hAnsi="宋体" w:cs="宋体"/>
                <w:szCs w:val="21"/>
                <w:highlight w:val="none"/>
              </w:rPr>
              <w:t>9.1</w:t>
            </w:r>
            <w:r>
              <w:rPr>
                <w:rFonts w:hint="eastAsia" w:ascii="宋体" w:hAnsi="宋体" w:cs="宋体"/>
                <w:szCs w:val="21"/>
                <w:highlight w:val="none"/>
                <w:lang w:val="en-US" w:eastAsia="zh-CN"/>
              </w:rPr>
              <w:t>2</w:t>
            </w:r>
          </w:p>
        </w:tc>
        <w:tc>
          <w:tcPr>
            <w:tcW w:w="9154" w:type="dxa"/>
            <w:gridSpan w:val="2"/>
            <w:vAlign w:val="center"/>
          </w:tcPr>
          <w:p w14:paraId="4415F5A6">
            <w:pPr>
              <w:widowControl/>
              <w:rPr>
                <w:rFonts w:hint="eastAsia" w:ascii="宋体" w:hAnsi="宋体" w:cs="宋体"/>
                <w:kern w:val="1"/>
                <w:szCs w:val="21"/>
                <w:highlight w:val="none"/>
              </w:rPr>
            </w:pPr>
            <w:r>
              <w:rPr>
                <w:rFonts w:hint="eastAsia" w:ascii="宋体" w:hAnsi="宋体" w:cs="宋体"/>
                <w:szCs w:val="21"/>
                <w:highlight w:val="none"/>
                <w:u w:val="single"/>
              </w:rPr>
              <w:t>交易服务费：须在中标候选人公示结束之日起3个工作日之内根据政府相关文件规定向广州交易集团有限公司（广州公共资源交易中心）缴纳交易服务费，本费用在中标人</w:t>
            </w:r>
            <w:r>
              <w:rPr>
                <w:rFonts w:hint="eastAsia" w:ascii="宋体" w:hAnsi="宋体" w:cs="宋体"/>
                <w:szCs w:val="21"/>
                <w:highlight w:val="none"/>
                <w:u w:val="single"/>
                <w:lang w:val="en-US" w:eastAsia="zh-CN"/>
              </w:rPr>
              <w:t>投标报价内考虑，不再另行支付</w:t>
            </w:r>
            <w:r>
              <w:rPr>
                <w:rFonts w:hint="eastAsia" w:ascii="宋体" w:hAnsi="宋体" w:cs="宋体"/>
                <w:szCs w:val="21"/>
                <w:highlight w:val="none"/>
                <w:u w:val="single"/>
              </w:rPr>
              <w:t>。具体操作要求详见广州交易集团有限公司（广州公共资源交易中心）有关指引，或自行咨询交易中心。该费用由广州交易集团有限公司（广州公共资源交易中心）收取</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发票事宜由中标人自行咨询交易中心</w:t>
            </w:r>
            <w:r>
              <w:rPr>
                <w:rFonts w:hint="eastAsia" w:ascii="宋体" w:hAnsi="宋体" w:cs="宋体"/>
                <w:szCs w:val="21"/>
                <w:highlight w:val="none"/>
                <w:u w:val="single"/>
              </w:rPr>
              <w:t>。</w:t>
            </w:r>
          </w:p>
        </w:tc>
      </w:tr>
      <w:tr w14:paraId="6B55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4CAD35DE">
            <w:pPr>
              <w:jc w:val="center"/>
              <w:rPr>
                <w:rFonts w:hint="eastAsia" w:ascii="宋体" w:hAnsi="宋体" w:cs="宋体"/>
                <w:szCs w:val="21"/>
                <w:highlight w:val="none"/>
              </w:rPr>
            </w:pPr>
            <w:r>
              <w:rPr>
                <w:rFonts w:hint="eastAsia" w:ascii="宋体" w:hAnsi="宋体" w:cs="宋体"/>
                <w:szCs w:val="21"/>
                <w:highlight w:val="none"/>
              </w:rPr>
              <w:t>10</w:t>
            </w:r>
          </w:p>
        </w:tc>
        <w:tc>
          <w:tcPr>
            <w:tcW w:w="2891" w:type="dxa"/>
            <w:vAlign w:val="center"/>
          </w:tcPr>
          <w:p w14:paraId="700A67AD">
            <w:pPr>
              <w:jc w:val="center"/>
              <w:rPr>
                <w:rFonts w:hint="eastAsia" w:ascii="宋体" w:hAnsi="宋体" w:cs="宋体"/>
                <w:szCs w:val="21"/>
                <w:highlight w:val="none"/>
              </w:rPr>
            </w:pPr>
            <w:r>
              <w:rPr>
                <w:rFonts w:hint="eastAsia" w:ascii="宋体" w:hAnsi="宋体" w:cs="宋体"/>
                <w:szCs w:val="21"/>
                <w:highlight w:val="none"/>
              </w:rPr>
              <w:t>电子招标投标</w:t>
            </w:r>
          </w:p>
        </w:tc>
        <w:tc>
          <w:tcPr>
            <w:tcW w:w="6263" w:type="dxa"/>
            <w:vAlign w:val="center"/>
          </w:tcPr>
          <w:p w14:paraId="022EC0B9">
            <w:pPr>
              <w:pStyle w:val="18"/>
              <w:topLinePunct/>
              <w:rPr>
                <w:rFonts w:hint="eastAsia" w:hAnsi="宋体" w:cs="宋体"/>
                <w:sz w:val="21"/>
                <w:szCs w:val="21"/>
                <w:highlight w:val="none"/>
              </w:rPr>
            </w:pPr>
            <w:r>
              <w:rPr>
                <w:rFonts w:hint="eastAsia" w:hAnsi="宋体" w:cs="宋体"/>
                <w:sz w:val="21"/>
                <w:szCs w:val="21"/>
                <w:highlight w:val="none"/>
              </w:rPr>
              <w:t>□否</w:t>
            </w:r>
          </w:p>
          <w:p w14:paraId="23507F3F">
            <w:pPr>
              <w:rPr>
                <w:rFonts w:hint="eastAsia" w:ascii="宋体" w:hAnsi="宋体" w:cs="宋体"/>
                <w:szCs w:val="21"/>
                <w:highlight w:val="none"/>
              </w:rPr>
            </w:pPr>
            <w:r>
              <w:rPr>
                <w:rFonts w:hint="eastAsia" w:ascii="宋体" w:hAnsi="宋体" w:cs="宋体"/>
                <w:szCs w:val="21"/>
                <w:highlight w:val="none"/>
              </w:rPr>
              <w:t>■是，具体要求：</w:t>
            </w:r>
          </w:p>
          <w:p w14:paraId="234701B7">
            <w:pPr>
              <w:rPr>
                <w:rFonts w:hint="eastAsia" w:ascii="宋体" w:hAnsi="宋体" w:cs="宋体"/>
                <w:szCs w:val="21"/>
                <w:highlight w:val="none"/>
              </w:rPr>
            </w:pPr>
            <w:r>
              <w:rPr>
                <w:rFonts w:hint="eastAsia" w:ascii="宋体" w:hAnsi="宋体" w:cs="宋体"/>
                <w:szCs w:val="21"/>
                <w:highlight w:val="none"/>
              </w:rPr>
              <w:t>1、投标文件形式：投标文件全部采用电子文档，投标文件所附证书证件均为原件扫描件，并采用单位数字证书，按招标文件要求加盖电子印章。投标文件中需个人签字或盖章的，应加盖个人电子印章或在线下完成后扫描上传。按照交易平台关于全流程电子化项目的相关指南进行操作。</w:t>
            </w:r>
          </w:p>
          <w:p w14:paraId="3E9C9339">
            <w:pPr>
              <w:rPr>
                <w:rFonts w:hint="eastAsia" w:ascii="宋体" w:hAnsi="宋体" w:cs="宋体"/>
                <w:szCs w:val="21"/>
                <w:highlight w:val="none"/>
              </w:rPr>
            </w:pPr>
            <w:r>
              <w:rPr>
                <w:rFonts w:hint="eastAsia" w:ascii="宋体" w:hAnsi="宋体" w:cs="宋体"/>
                <w:szCs w:val="21"/>
                <w:highlight w:val="none"/>
              </w:rPr>
              <w:t>2、投标文件的修改与撤回：投标人修改或撤回已递交的投标文件，需在广州交易集团有限公司（广州公共资源交易中心）交易平台发出撤回通知，并按要求加盖电子印章。广州交易集团有限公司（广州公共资源交易中心）电子招标投标交易平台收到通知后，即时向投标人发出确认回执通知。</w:t>
            </w:r>
          </w:p>
          <w:p w14:paraId="4155D93E">
            <w:pPr>
              <w:rPr>
                <w:rFonts w:hint="eastAsia" w:ascii="宋体" w:hAnsi="宋体" w:cs="宋体"/>
                <w:szCs w:val="21"/>
                <w:highlight w:val="none"/>
              </w:rPr>
            </w:pPr>
            <w:r>
              <w:rPr>
                <w:rFonts w:hint="eastAsia" w:ascii="宋体" w:hAnsi="宋体" w:cs="宋体"/>
                <w:szCs w:val="21"/>
                <w:highlight w:val="none"/>
              </w:rPr>
              <w:t>3、备用光盘(或U盘)：</w:t>
            </w:r>
          </w:p>
          <w:p w14:paraId="10207F5E">
            <w:pPr>
              <w:rPr>
                <w:rFonts w:hint="eastAsia" w:ascii="宋体" w:hAnsi="宋体" w:cs="宋体"/>
                <w:szCs w:val="21"/>
                <w:highlight w:val="none"/>
              </w:rPr>
            </w:pPr>
            <w:r>
              <w:rPr>
                <w:rFonts w:hint="eastAsia" w:ascii="宋体" w:hAnsi="宋体" w:cs="宋体"/>
                <w:szCs w:val="21"/>
                <w:highlight w:val="none"/>
              </w:rPr>
              <w:t>（1）投标人可使用投标文件制作工具生成非加密的电子投标文件载入备用光盘(或U盘)，并分别用不透明信封密封。在规定的时间、地点提交备用，具体要求：①备用光盘(或U盘)：</w:t>
            </w:r>
            <w:r>
              <w:rPr>
                <w:rFonts w:hint="eastAsia" w:ascii="宋体" w:hAnsi="宋体" w:cs="宋体"/>
                <w:szCs w:val="21"/>
                <w:highlight w:val="none"/>
                <w:lang w:eastAsia="zh-CN"/>
              </w:rPr>
              <w:t>技术标</w:t>
            </w:r>
            <w:r>
              <w:rPr>
                <w:rFonts w:hint="eastAsia" w:ascii="宋体" w:hAnsi="宋体" w:cs="宋体"/>
                <w:szCs w:val="21"/>
                <w:highlight w:val="none"/>
              </w:rPr>
              <w:t>投标文件（含资格审查文件）；</w:t>
            </w:r>
          </w:p>
          <w:p w14:paraId="68A759D7">
            <w:pPr>
              <w:rPr>
                <w:rFonts w:hint="eastAsia" w:ascii="宋体" w:hAnsi="宋体" w:cs="宋体"/>
                <w:szCs w:val="21"/>
                <w:highlight w:val="none"/>
              </w:rPr>
            </w:pPr>
            <w:r>
              <w:rPr>
                <w:rFonts w:hint="eastAsia" w:ascii="宋体" w:hAnsi="宋体" w:cs="宋体"/>
                <w:szCs w:val="21"/>
                <w:highlight w:val="none"/>
              </w:rPr>
              <w:t>（2）封装方式:①备用光盘(或U盘)信封封面写明：项目名称、</w:t>
            </w:r>
            <w:r>
              <w:rPr>
                <w:rFonts w:hint="eastAsia" w:ascii="宋体" w:hAnsi="宋体" w:cs="宋体"/>
                <w:szCs w:val="21"/>
                <w:highlight w:val="none"/>
                <w:u w:val="single"/>
              </w:rPr>
              <w:t>****</w:t>
            </w:r>
            <w:r>
              <w:rPr>
                <w:rFonts w:hint="eastAsia" w:ascii="宋体" w:hAnsi="宋体" w:cs="宋体"/>
                <w:szCs w:val="21"/>
                <w:highlight w:val="none"/>
              </w:rPr>
              <w:t>投标文件、投标人单位名称、“年月日”并加盖投标人公章（联合体投标的，由牵头单位签署、盖章）；</w:t>
            </w:r>
          </w:p>
          <w:p w14:paraId="3EAF2BC4">
            <w:pPr>
              <w:rPr>
                <w:rFonts w:hint="eastAsia" w:ascii="宋体" w:hAnsi="宋体" w:cs="宋体"/>
                <w:szCs w:val="21"/>
                <w:highlight w:val="none"/>
              </w:rPr>
            </w:pPr>
            <w:r>
              <w:rPr>
                <w:rFonts w:hint="eastAsia" w:ascii="宋体" w:hAnsi="宋体" w:cs="宋体"/>
                <w:szCs w:val="21"/>
                <w:highlight w:val="none"/>
              </w:rPr>
              <w:t>（3）备用光盘(或U盘)份数：共1份。</w:t>
            </w:r>
          </w:p>
          <w:p w14:paraId="58E9FA9E">
            <w:pPr>
              <w:rPr>
                <w:rFonts w:hint="eastAsia" w:ascii="宋体" w:hAnsi="宋体" w:cs="宋体"/>
                <w:szCs w:val="21"/>
                <w:highlight w:val="none"/>
              </w:rPr>
            </w:pPr>
            <w:r>
              <w:rPr>
                <w:rFonts w:hint="eastAsia" w:ascii="宋体" w:hAnsi="宋体" w:cs="宋体"/>
                <w:szCs w:val="21"/>
                <w:highlight w:val="none"/>
              </w:rPr>
              <w:t>（4）投标文件备用光盘(或U盘)无法读取或导入的，则视为未提交投标文件备用光盘(或U盘)。如果投标人没有按规定通过广州交易集团有限公司（广州公共资源交易中心）交易平台网上递交电子投标文件的，不再读取提交的备用光盘(或U盘)。投标人也可不提交投标文件备用光盘(或U盘)。</w:t>
            </w:r>
          </w:p>
          <w:p w14:paraId="4C3276D6">
            <w:pPr>
              <w:rPr>
                <w:rFonts w:hint="eastAsia" w:ascii="宋体" w:hAnsi="宋体" w:cs="宋体"/>
                <w:szCs w:val="21"/>
                <w:highlight w:val="none"/>
              </w:rPr>
            </w:pPr>
            <w:r>
              <w:rPr>
                <w:rFonts w:hint="eastAsia" w:ascii="宋体" w:hAnsi="宋体" w:cs="宋体"/>
                <w:szCs w:val="21"/>
                <w:highlight w:val="none"/>
              </w:rPr>
              <w:t>4、投标文件的递交：</w:t>
            </w:r>
          </w:p>
          <w:p w14:paraId="25E020CD">
            <w:pPr>
              <w:rPr>
                <w:rFonts w:hint="eastAsia" w:ascii="宋体" w:hAnsi="宋体" w:cs="宋体"/>
                <w:szCs w:val="21"/>
                <w:highlight w:val="none"/>
              </w:rPr>
            </w:pPr>
            <w:r>
              <w:rPr>
                <w:rFonts w:hint="eastAsia" w:ascii="宋体" w:hAnsi="宋体" w:cs="宋体"/>
                <w:szCs w:val="21"/>
                <w:highlight w:val="none"/>
              </w:rPr>
              <w:t>（1）投标文件递交的截止时间（投标截止时间，下同）为年月  日时分，投标人应在截止时间前通过电子招标投标交易平台递交电子投标文件。（具体时间以广州交易集团有限公司（广州公共资源交易中心）网站发布为准。）</w:t>
            </w:r>
          </w:p>
          <w:p w14:paraId="10C9CAD8">
            <w:pPr>
              <w:rPr>
                <w:rFonts w:hint="eastAsia" w:ascii="宋体" w:hAnsi="宋体" w:cs="宋体"/>
                <w:szCs w:val="21"/>
                <w:highlight w:val="none"/>
              </w:rPr>
            </w:pPr>
            <w:r>
              <w:rPr>
                <w:rFonts w:hint="eastAsia" w:ascii="宋体" w:hAnsi="宋体" w:cs="宋体"/>
                <w:szCs w:val="21"/>
                <w:highlight w:val="none"/>
              </w:rPr>
              <w:t>（2）提交投标文件备用光盘(或U盘)。</w:t>
            </w:r>
          </w:p>
          <w:p w14:paraId="374F60B1">
            <w:pPr>
              <w:rPr>
                <w:rFonts w:hint="eastAsia" w:ascii="宋体" w:hAnsi="宋体" w:cs="宋体"/>
                <w:szCs w:val="21"/>
                <w:highlight w:val="none"/>
              </w:rPr>
            </w:pPr>
            <w:r>
              <w:rPr>
                <w:rFonts w:hint="eastAsia" w:ascii="宋体" w:hAnsi="宋体" w:cs="宋体"/>
                <w:szCs w:val="21"/>
                <w:highlight w:val="none"/>
              </w:rPr>
              <w:t>投标文件备用光盘(或U盘)递交时间：年月日时分至年月日时  分，地点：    。（具体时间和地点以广州交易集团有限公司（广州公共资源交易中心）网站发布为准。）</w:t>
            </w:r>
          </w:p>
          <w:p w14:paraId="7A5E2C2E">
            <w:pPr>
              <w:rPr>
                <w:rFonts w:hint="eastAsia" w:ascii="宋体" w:hAnsi="宋体" w:cs="宋体"/>
                <w:szCs w:val="21"/>
                <w:highlight w:val="none"/>
              </w:rPr>
            </w:pPr>
            <w:r>
              <w:rPr>
                <w:rFonts w:hint="eastAsia" w:ascii="宋体" w:hAnsi="宋体" w:cs="宋体"/>
                <w:szCs w:val="21"/>
                <w:highlight w:val="none"/>
              </w:rPr>
              <w:t>（3）投标人完成电子投标上传后，电子招标投标交易平台即时向投标人发出递交回执通知。递交时间以递交回执通知载明的传输时间为准。</w:t>
            </w:r>
          </w:p>
          <w:p w14:paraId="560318E1">
            <w:pPr>
              <w:rPr>
                <w:rFonts w:hint="eastAsia" w:ascii="宋体" w:hAnsi="宋体" w:cs="宋体"/>
                <w:szCs w:val="21"/>
                <w:highlight w:val="none"/>
              </w:rPr>
            </w:pPr>
            <w:r>
              <w:rPr>
                <w:rFonts w:hint="eastAsia" w:ascii="宋体" w:hAnsi="宋体" w:cs="宋体"/>
                <w:szCs w:val="21"/>
                <w:highlight w:val="none"/>
              </w:rPr>
              <w:t>（4）逾期送达的投标文件，电子招标投标交易平台将予以拒收。</w:t>
            </w:r>
          </w:p>
          <w:p w14:paraId="2A97EA14">
            <w:pPr>
              <w:rPr>
                <w:rFonts w:hint="eastAsia" w:ascii="宋体" w:hAnsi="宋体" w:cs="宋体"/>
                <w:szCs w:val="21"/>
                <w:highlight w:val="none"/>
              </w:rPr>
            </w:pPr>
            <w:r>
              <w:rPr>
                <w:rFonts w:hint="eastAsia" w:ascii="宋体" w:hAnsi="宋体" w:cs="宋体"/>
                <w:szCs w:val="21"/>
                <w:highlight w:val="none"/>
              </w:rPr>
              <w:t>5、投标文件加密要求：</w:t>
            </w:r>
          </w:p>
          <w:p w14:paraId="38701E98">
            <w:pPr>
              <w:rPr>
                <w:rFonts w:hint="eastAsia" w:ascii="宋体" w:hAnsi="宋体" w:cs="宋体"/>
                <w:szCs w:val="21"/>
                <w:highlight w:val="none"/>
              </w:rPr>
            </w:pPr>
            <w:r>
              <w:rPr>
                <w:rFonts w:hint="eastAsia" w:ascii="宋体" w:hAnsi="宋体" w:cs="宋体"/>
                <w:szCs w:val="21"/>
                <w:highlight w:val="none"/>
              </w:rPr>
              <w:t>（1）网上递交的电子投标文件须进行加密。具体操作详见广州交易集团有限公司（广州公共资源交易中心）交易平台相关操作指南。</w:t>
            </w:r>
          </w:p>
          <w:p w14:paraId="56878DB4">
            <w:pPr>
              <w:rPr>
                <w:rFonts w:hint="eastAsia" w:ascii="宋体" w:hAnsi="宋体" w:cs="宋体"/>
                <w:szCs w:val="21"/>
                <w:highlight w:val="none"/>
              </w:rPr>
            </w:pPr>
            <w:r>
              <w:rPr>
                <w:rFonts w:hint="eastAsia" w:ascii="宋体" w:hAnsi="宋体" w:cs="宋体"/>
                <w:szCs w:val="21"/>
                <w:highlight w:val="none"/>
              </w:rPr>
              <w:t>（2）未按要求加密的投标文件，招标人将予以拒收。</w:t>
            </w:r>
          </w:p>
          <w:p w14:paraId="1E506368">
            <w:pPr>
              <w:rPr>
                <w:rFonts w:hint="eastAsia" w:ascii="宋体" w:hAnsi="宋体" w:cs="宋体"/>
                <w:szCs w:val="21"/>
                <w:highlight w:val="none"/>
              </w:rPr>
            </w:pPr>
            <w:r>
              <w:rPr>
                <w:rFonts w:hint="eastAsia" w:ascii="宋体" w:hAnsi="宋体" w:cs="宋体"/>
                <w:szCs w:val="21"/>
                <w:highlight w:val="none"/>
              </w:rPr>
              <w:t>6、投标文件解密失败的补救方案：</w:t>
            </w:r>
          </w:p>
          <w:p w14:paraId="740C529A">
            <w:pPr>
              <w:rPr>
                <w:rFonts w:hint="eastAsia"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备用光盘(或U盘)内容，继续开标程序。若出现招标人无法正常解密或导入开标系统的情况，在开标现场读取已成功解密、以及因投标人之外的原因导致电子投标文件解密失败的投标人递交的备用光盘(或U盘)内容。出现上述情况的，评标委员会对其投标文件的评审以备用光盘(或U盘)内容为准。因投标人之外原因解密失败且未递交备用光盘(或U盘)的，视为撤回投标文件。</w:t>
            </w:r>
          </w:p>
          <w:p w14:paraId="07DC54AE">
            <w:pPr>
              <w:rPr>
                <w:rFonts w:hint="eastAsia" w:ascii="宋体" w:hAnsi="宋体" w:cs="宋体"/>
                <w:szCs w:val="21"/>
                <w:highlight w:val="none"/>
              </w:rPr>
            </w:pPr>
            <w:r>
              <w:rPr>
                <w:rFonts w:hint="eastAsia" w:ascii="宋体" w:hAnsi="宋体" w:cs="宋体"/>
                <w:szCs w:val="21"/>
                <w:highlight w:val="none"/>
              </w:rPr>
              <w:t>除发生上述情况外，开标评标均以投标人通过广州交易集团有限公司（广州公共资源交易中心）交易平台网上递交的电子投标文件为准。</w:t>
            </w:r>
          </w:p>
        </w:tc>
      </w:tr>
      <w:tr w14:paraId="3A82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0E2B33BF">
            <w:pPr>
              <w:jc w:val="center"/>
              <w:rPr>
                <w:rFonts w:hint="eastAsia" w:ascii="宋体" w:hAnsi="宋体" w:cs="宋体"/>
                <w:szCs w:val="21"/>
                <w:highlight w:val="none"/>
              </w:rPr>
            </w:pPr>
            <w:r>
              <w:rPr>
                <w:rFonts w:hint="eastAsia" w:ascii="宋体" w:hAnsi="宋体" w:cs="宋体"/>
                <w:szCs w:val="21"/>
                <w:highlight w:val="none"/>
              </w:rPr>
              <w:t>12</w:t>
            </w:r>
          </w:p>
        </w:tc>
        <w:tc>
          <w:tcPr>
            <w:tcW w:w="2891" w:type="dxa"/>
            <w:vAlign w:val="center"/>
          </w:tcPr>
          <w:p w14:paraId="00BA36DC">
            <w:pPr>
              <w:jc w:val="center"/>
              <w:rPr>
                <w:rFonts w:hint="eastAsia" w:ascii="宋体" w:hAnsi="宋体" w:eastAsia="宋体" w:cs="宋体"/>
                <w:szCs w:val="21"/>
                <w:highlight w:val="none"/>
                <w:lang w:eastAsia="zh-CN"/>
              </w:rPr>
            </w:pPr>
            <w:r>
              <w:rPr>
                <w:rFonts w:hint="eastAsia" w:ascii="宋体" w:hAnsi="宋体" w:cs="宋体"/>
                <w:szCs w:val="21"/>
                <w:highlight w:val="none"/>
              </w:rPr>
              <w:t>工程成本</w:t>
            </w:r>
            <w:r>
              <w:rPr>
                <w:rFonts w:hint="eastAsia" w:ascii="宋体" w:hAnsi="宋体" w:cs="宋体"/>
                <w:szCs w:val="21"/>
                <w:highlight w:val="none"/>
                <w:lang w:eastAsia="zh-CN"/>
              </w:rPr>
              <w:t>警示价</w:t>
            </w:r>
          </w:p>
        </w:tc>
        <w:tc>
          <w:tcPr>
            <w:tcW w:w="6263" w:type="dxa"/>
            <w:vAlign w:val="center"/>
          </w:tcPr>
          <w:p w14:paraId="3E681E8B">
            <w:pPr>
              <w:pStyle w:val="18"/>
              <w:topLinePunct/>
              <w:rPr>
                <w:rFonts w:hint="eastAsia" w:hAnsi="宋体" w:cs="宋体"/>
                <w:sz w:val="21"/>
                <w:szCs w:val="21"/>
                <w:highlight w:val="none"/>
              </w:rPr>
            </w:pPr>
            <w:bookmarkStart w:id="41" w:name="OLE_LINK149"/>
            <w:bookmarkStart w:id="42" w:name="OLE_LINK150"/>
            <w:r>
              <w:rPr>
                <w:rFonts w:hint="eastAsia" w:hAnsi="宋体" w:cs="宋体"/>
                <w:sz w:val="21"/>
                <w:szCs w:val="21"/>
                <w:highlight w:val="none"/>
              </w:rPr>
              <w:t>成本</w:t>
            </w:r>
            <w:bookmarkEnd w:id="41"/>
            <w:r>
              <w:rPr>
                <w:rFonts w:hint="eastAsia" w:hAnsi="宋体" w:cs="宋体"/>
                <w:sz w:val="21"/>
                <w:szCs w:val="21"/>
                <w:highlight w:val="none"/>
                <w:lang w:eastAsia="zh-CN"/>
              </w:rPr>
              <w:t>警示价</w:t>
            </w:r>
            <w:r>
              <w:rPr>
                <w:rFonts w:hint="eastAsia" w:hAnsi="宋体" w:cs="宋体"/>
                <w:sz w:val="21"/>
                <w:szCs w:val="21"/>
                <w:highlight w:val="none"/>
              </w:rPr>
              <w:t>按最高投标限价的</w:t>
            </w:r>
            <w:r>
              <w:rPr>
                <w:rFonts w:hint="eastAsia" w:hAnsi="宋体" w:cs="宋体"/>
                <w:sz w:val="21"/>
                <w:szCs w:val="21"/>
                <w:highlight w:val="none"/>
                <w:u w:val="single"/>
                <w:lang w:val="en-US" w:eastAsia="zh-CN"/>
              </w:rPr>
              <w:t>85</w:t>
            </w:r>
            <w:r>
              <w:rPr>
                <w:rFonts w:hint="eastAsia" w:hAnsi="宋体" w:cs="宋体"/>
                <w:sz w:val="21"/>
                <w:szCs w:val="21"/>
                <w:highlight w:val="none"/>
                <w:u w:val="single"/>
              </w:rPr>
              <w:t>%</w:t>
            </w:r>
            <w:r>
              <w:rPr>
                <w:rFonts w:hint="eastAsia" w:hAnsi="宋体" w:cs="宋体"/>
                <w:sz w:val="21"/>
                <w:szCs w:val="21"/>
                <w:highlight w:val="none"/>
              </w:rPr>
              <w:t>设置</w:t>
            </w:r>
            <w:bookmarkEnd w:id="42"/>
            <w:r>
              <w:rPr>
                <w:rFonts w:hint="eastAsia" w:hAnsi="宋体" w:cs="宋体"/>
                <w:sz w:val="21"/>
                <w:szCs w:val="21"/>
                <w:highlight w:val="none"/>
              </w:rPr>
              <w:t>，为</w:t>
            </w:r>
            <w:r>
              <w:rPr>
                <w:rFonts w:hint="eastAsia" w:hAnsi="宋体" w:cs="宋体"/>
                <w:sz w:val="21"/>
                <w:szCs w:val="21"/>
                <w:highlight w:val="none"/>
                <w:u w:val="single"/>
                <w:lang w:val="en-US" w:eastAsia="zh-CN"/>
              </w:rPr>
              <w:t xml:space="preserve"> 114283928.44 </w:t>
            </w:r>
            <w:r>
              <w:rPr>
                <w:rFonts w:hint="eastAsia" w:hAnsi="宋体" w:cs="宋体"/>
                <w:sz w:val="21"/>
                <w:szCs w:val="21"/>
                <w:highlight w:val="none"/>
              </w:rPr>
              <w:t>元。对低于该</w:t>
            </w:r>
            <w:r>
              <w:rPr>
                <w:rFonts w:hint="eastAsia" w:hAnsi="宋体" w:cs="宋体"/>
                <w:sz w:val="21"/>
                <w:szCs w:val="21"/>
                <w:highlight w:val="none"/>
                <w:lang w:eastAsia="zh-CN"/>
              </w:rPr>
              <w:t>警示价</w:t>
            </w:r>
            <w:r>
              <w:rPr>
                <w:rFonts w:hint="eastAsia" w:hAnsi="宋体" w:cs="宋体"/>
                <w:sz w:val="21"/>
                <w:szCs w:val="21"/>
                <w:highlight w:val="none"/>
              </w:rPr>
              <w:t>的投标报价，投标人必须提供详细的报价说明，并提交详细的报价不低于成本价的证明材料，证明其报价合理性。报价说明包括但不限于：单价、措施性费用、单价分析表、主要材料价格表、投标人成本分析人工费（近一个月的人员工资表、社保证明及工作时间网络图等）、公司办公费（租赁合同或产权证明、固定资产摊分证明等）、办公设备费（电脑发票、软件发票等）。供评标委员会评审，由评标委员会判定其是否低于企业成本。在评标过程中，评标委员会发现投标人的报价明显低于其他投标报价或者低于成本</w:t>
            </w:r>
            <w:r>
              <w:rPr>
                <w:rFonts w:hint="eastAsia" w:hAnsi="宋体" w:cs="宋体"/>
                <w:sz w:val="21"/>
                <w:szCs w:val="21"/>
                <w:highlight w:val="none"/>
                <w:lang w:eastAsia="zh-CN"/>
              </w:rPr>
              <w:t>警示价</w:t>
            </w:r>
            <w:r>
              <w:rPr>
                <w:rFonts w:hint="eastAsia" w:hAnsi="宋体" w:cs="宋体"/>
                <w:sz w:val="21"/>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3A63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6461263">
            <w:pPr>
              <w:jc w:val="center"/>
              <w:rPr>
                <w:rFonts w:hint="eastAsia" w:ascii="宋体" w:hAnsi="宋体" w:cs="宋体"/>
                <w:szCs w:val="21"/>
                <w:highlight w:val="none"/>
              </w:rPr>
            </w:pPr>
            <w:r>
              <w:rPr>
                <w:rFonts w:hint="eastAsia" w:ascii="宋体" w:hAnsi="宋体" w:cs="宋体"/>
                <w:szCs w:val="21"/>
                <w:highlight w:val="none"/>
              </w:rPr>
              <w:t>14</w:t>
            </w:r>
          </w:p>
        </w:tc>
        <w:tc>
          <w:tcPr>
            <w:tcW w:w="2891" w:type="dxa"/>
            <w:vAlign w:val="center"/>
          </w:tcPr>
          <w:p w14:paraId="3407EB66">
            <w:pPr>
              <w:jc w:val="center"/>
              <w:rPr>
                <w:rFonts w:hint="eastAsia" w:ascii="宋体" w:hAnsi="宋体" w:cs="宋体"/>
                <w:szCs w:val="21"/>
                <w:highlight w:val="none"/>
              </w:rPr>
            </w:pPr>
            <w:r>
              <w:rPr>
                <w:rFonts w:hint="eastAsia" w:ascii="宋体" w:hAnsi="宋体" w:cs="宋体"/>
                <w:szCs w:val="21"/>
                <w:highlight w:val="none"/>
              </w:rPr>
              <w:t>招标人对中标人参与“百千万工程”的具体要求</w:t>
            </w:r>
          </w:p>
        </w:tc>
        <w:tc>
          <w:tcPr>
            <w:tcW w:w="6263" w:type="dxa"/>
            <w:vAlign w:val="center"/>
          </w:tcPr>
          <w:p w14:paraId="22378A43">
            <w:pPr>
              <w:spacing w:line="240" w:lineRule="auto"/>
              <w:rPr>
                <w:rFonts w:hint="eastAsia" w:ascii="宋体" w:hAnsi="宋体" w:cs="宋体"/>
                <w:szCs w:val="21"/>
                <w:highlight w:val="none"/>
              </w:rPr>
            </w:pPr>
            <w:r>
              <w:rPr>
                <w:rFonts w:hint="eastAsia" w:ascii="宋体" w:hAnsi="宋体" w:cs="宋体"/>
                <w:szCs w:val="21"/>
                <w:highlight w:val="none"/>
              </w:rPr>
              <w:t>说明与要求：</w:t>
            </w:r>
          </w:p>
          <w:p w14:paraId="33E70285">
            <w:pPr>
              <w:spacing w:line="240" w:lineRule="auto"/>
              <w:rPr>
                <w:rFonts w:hint="eastAsia" w:ascii="宋体" w:hAnsi="宋体" w:cs="宋体"/>
                <w:szCs w:val="21"/>
                <w:highlight w:val="none"/>
              </w:rPr>
            </w:pPr>
            <w:r>
              <w:rPr>
                <w:rFonts w:hint="eastAsia" w:ascii="宋体" w:hAnsi="宋体" w:cs="宋体"/>
                <w:szCs w:val="21"/>
                <w:highlight w:val="none"/>
              </w:rPr>
              <w:t>■具体要求在中标后按照投标承诺和招标人的要求执行。</w:t>
            </w:r>
          </w:p>
          <w:p w14:paraId="012073DE">
            <w:pPr>
              <w:pStyle w:val="18"/>
              <w:topLinePunct/>
              <w:rPr>
                <w:rFonts w:hint="eastAsia" w:hAnsi="宋体" w:cs="宋体"/>
                <w:sz w:val="21"/>
                <w:szCs w:val="21"/>
                <w:highlight w:val="none"/>
              </w:rPr>
            </w:pPr>
            <w:r>
              <w:rPr>
                <w:rFonts w:hint="eastAsia" w:hAnsi="宋体" w:cs="宋体"/>
                <w:sz w:val="21"/>
                <w:szCs w:val="21"/>
                <w:highlight w:val="none"/>
              </w:rPr>
              <w:t>□具体要求：无。</w:t>
            </w:r>
          </w:p>
        </w:tc>
      </w:tr>
      <w:tr w14:paraId="24F1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E656104">
            <w:pPr>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2891" w:type="dxa"/>
            <w:vAlign w:val="center"/>
          </w:tcPr>
          <w:p w14:paraId="07DFD31D">
            <w:pPr>
              <w:jc w:val="center"/>
              <w:rPr>
                <w:rFonts w:hint="eastAsia" w:ascii="宋体" w:hAnsi="宋体" w:cs="宋体"/>
                <w:kern w:val="0"/>
                <w:szCs w:val="21"/>
                <w:highlight w:val="none"/>
              </w:rPr>
            </w:pPr>
            <w:r>
              <w:rPr>
                <w:rFonts w:hint="eastAsia" w:ascii="宋体" w:hAnsi="宋体" w:cs="宋体"/>
                <w:kern w:val="0"/>
                <w:szCs w:val="21"/>
                <w:highlight w:val="none"/>
              </w:rPr>
              <w:t>施工实名制</w:t>
            </w:r>
          </w:p>
        </w:tc>
        <w:tc>
          <w:tcPr>
            <w:tcW w:w="6263" w:type="dxa"/>
            <w:vAlign w:val="center"/>
          </w:tcPr>
          <w:p w14:paraId="74DA3DB4">
            <w:pPr>
              <w:pStyle w:val="18"/>
              <w:topLinePunct/>
              <w:rPr>
                <w:rFonts w:hint="eastAsia" w:hAnsi="宋体" w:cs="宋体"/>
                <w:sz w:val="21"/>
                <w:szCs w:val="21"/>
                <w:highlight w:val="none"/>
              </w:rPr>
            </w:pPr>
            <w:r>
              <w:rPr>
                <w:rFonts w:hint="eastAsia" w:hAnsi="宋体" w:cs="宋体"/>
                <w:sz w:val="21"/>
                <w:szCs w:val="21"/>
                <w:highlight w:val="none"/>
              </w:rPr>
              <w:t>按相关部门最新文件执行。</w:t>
            </w:r>
          </w:p>
        </w:tc>
      </w:tr>
      <w:tr w14:paraId="5269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229AD565">
            <w:pPr>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2891" w:type="dxa"/>
            <w:vAlign w:val="center"/>
          </w:tcPr>
          <w:p w14:paraId="626EB881">
            <w:pPr>
              <w:jc w:val="center"/>
              <w:rPr>
                <w:rFonts w:hint="eastAsia" w:ascii="宋体" w:hAnsi="宋体" w:cs="宋体"/>
                <w:kern w:val="0"/>
                <w:szCs w:val="21"/>
                <w:highlight w:val="none"/>
              </w:rPr>
            </w:pPr>
            <w:r>
              <w:rPr>
                <w:rFonts w:hint="eastAsia" w:ascii="宋体" w:hAnsi="宋体" w:cs="宋体"/>
                <w:kern w:val="0"/>
                <w:szCs w:val="21"/>
                <w:highlight w:val="none"/>
              </w:rPr>
              <w:t>工人工资分账管理</w:t>
            </w:r>
          </w:p>
        </w:tc>
        <w:tc>
          <w:tcPr>
            <w:tcW w:w="6263" w:type="dxa"/>
            <w:vAlign w:val="center"/>
          </w:tcPr>
          <w:p w14:paraId="5C2D5D50">
            <w:pPr>
              <w:pStyle w:val="18"/>
              <w:topLinePunct/>
              <w:rPr>
                <w:rFonts w:hint="eastAsia" w:hAnsi="宋体" w:cs="宋体"/>
                <w:sz w:val="21"/>
                <w:szCs w:val="21"/>
                <w:highlight w:val="none"/>
              </w:rPr>
            </w:pPr>
            <w:r>
              <w:rPr>
                <w:rFonts w:hint="eastAsia" w:hAnsi="宋体" w:cs="宋体"/>
                <w:sz w:val="21"/>
                <w:szCs w:val="21"/>
                <w:highlight w:val="none"/>
              </w:rPr>
              <w:t>按相关部门最新文件执行。</w:t>
            </w:r>
          </w:p>
        </w:tc>
      </w:tr>
      <w:tr w14:paraId="78CD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63FF033F">
            <w:pPr>
              <w:jc w:val="center"/>
              <w:rPr>
                <w:rFonts w:hint="eastAsia" w:ascii="宋体" w:hAnsi="宋体" w:eastAsia="宋体" w:cs="宋体"/>
                <w:kern w:val="0"/>
                <w:szCs w:val="21"/>
                <w:highlight w:val="none"/>
                <w:lang w:eastAsia="zh-CN"/>
              </w:rPr>
            </w:pPr>
            <w:bookmarkStart w:id="43" w:name="_Toc49303759"/>
            <w:r>
              <w:rPr>
                <w:rFonts w:hint="eastAsia" w:ascii="宋体" w:hAnsi="宋体" w:cs="宋体"/>
                <w:kern w:val="0"/>
                <w:szCs w:val="21"/>
                <w:highlight w:val="none"/>
              </w:rPr>
              <w:t>1</w:t>
            </w:r>
            <w:r>
              <w:rPr>
                <w:rFonts w:hint="eastAsia" w:ascii="宋体" w:hAnsi="宋体" w:cs="宋体"/>
                <w:kern w:val="0"/>
                <w:szCs w:val="21"/>
                <w:highlight w:val="none"/>
                <w:lang w:val="en-US" w:eastAsia="zh-CN"/>
              </w:rPr>
              <w:t>7</w:t>
            </w:r>
          </w:p>
        </w:tc>
        <w:tc>
          <w:tcPr>
            <w:tcW w:w="2891" w:type="dxa"/>
            <w:vAlign w:val="center"/>
          </w:tcPr>
          <w:p w14:paraId="4833A265">
            <w:pPr>
              <w:jc w:val="center"/>
              <w:rPr>
                <w:rFonts w:hint="eastAsia" w:ascii="宋体" w:hAnsi="宋体" w:cs="宋体"/>
                <w:kern w:val="0"/>
                <w:szCs w:val="21"/>
                <w:highlight w:val="none"/>
              </w:rPr>
            </w:pPr>
            <w:r>
              <w:rPr>
                <w:rFonts w:hint="eastAsia" w:ascii="宋体" w:hAnsi="宋体" w:cs="宋体"/>
                <w:sz w:val="21"/>
                <w:szCs w:val="21"/>
                <w:highlight w:val="none"/>
                <w:u w:val="single"/>
              </w:rPr>
              <w:t>绿色发展理念</w:t>
            </w:r>
          </w:p>
        </w:tc>
        <w:tc>
          <w:tcPr>
            <w:tcW w:w="6263" w:type="dxa"/>
            <w:vAlign w:val="center"/>
          </w:tcPr>
          <w:p w14:paraId="7367FD96">
            <w:pPr>
              <w:pStyle w:val="18"/>
              <w:topLinePunct/>
              <w:rPr>
                <w:rFonts w:hint="eastAsia" w:hAnsi="宋体" w:cs="宋体"/>
                <w:sz w:val="21"/>
                <w:szCs w:val="21"/>
                <w:highlight w:val="none"/>
              </w:rPr>
            </w:pPr>
            <w:r>
              <w:rPr>
                <w:rFonts w:hint="eastAsia" w:hAnsi="宋体" w:cs="宋体"/>
                <w:sz w:val="21"/>
                <w:szCs w:val="21"/>
                <w:highlight w:val="none"/>
                <w:u w:val="single"/>
              </w:rPr>
              <w:t>为贯彻绿色发展理念，本项目应积极使用氢燃料电池泥头车等新能源工程车，要求投入的新能源工程车占投入的建筑垃圾自卸车（渣土车）总数比例不低于40%，并确保使用的新能源工程车运出的土方数总数比例不低于40%，否则按合同违约处理。</w:t>
            </w:r>
          </w:p>
        </w:tc>
      </w:tr>
    </w:tbl>
    <w:p w14:paraId="1778F776">
      <w:pPr>
        <w:pStyle w:val="4"/>
        <w:spacing w:line="360" w:lineRule="auto"/>
        <w:rPr>
          <w:rFonts w:ascii="宋体" w:hAnsi="宋体" w:eastAsia="宋体"/>
          <w:highlight w:val="none"/>
        </w:rPr>
      </w:pPr>
      <w:r>
        <w:rPr>
          <w:rFonts w:hint="eastAsia" w:ascii="宋体" w:hAnsi="宋体" w:eastAsia="宋体"/>
          <w:highlight w:val="none"/>
        </w:rPr>
        <w:br w:type="page"/>
      </w:r>
      <w:bookmarkStart w:id="44" w:name="_Toc165358751"/>
      <w:bookmarkStart w:id="45" w:name="_Toc165358616"/>
      <w:bookmarkStart w:id="46" w:name="_Toc86413262"/>
      <w:r>
        <w:rPr>
          <w:rFonts w:hint="eastAsia" w:ascii="宋体" w:hAnsi="宋体" w:eastAsia="宋体"/>
          <w:highlight w:val="none"/>
        </w:rPr>
        <w:t>1. 总则</w:t>
      </w:r>
      <w:bookmarkEnd w:id="43"/>
      <w:bookmarkEnd w:id="44"/>
      <w:bookmarkEnd w:id="45"/>
      <w:bookmarkEnd w:id="46"/>
    </w:p>
    <w:p w14:paraId="31001CED">
      <w:pPr>
        <w:pStyle w:val="5"/>
        <w:spacing w:line="360" w:lineRule="auto"/>
        <w:ind w:firstLine="118"/>
        <w:rPr>
          <w:rFonts w:ascii="宋体" w:eastAsia="宋体"/>
          <w:b/>
          <w:sz w:val="24"/>
          <w:szCs w:val="24"/>
          <w:highlight w:val="none"/>
        </w:rPr>
      </w:pPr>
      <w:bookmarkStart w:id="47" w:name="_Toc165358617"/>
      <w:bookmarkStart w:id="48" w:name="_Toc165358752"/>
      <w:bookmarkStart w:id="49" w:name="_Toc86413263"/>
      <w:r>
        <w:rPr>
          <w:rFonts w:hint="eastAsia" w:ascii="宋体" w:eastAsia="宋体"/>
          <w:b/>
          <w:sz w:val="24"/>
          <w:szCs w:val="24"/>
          <w:highlight w:val="none"/>
        </w:rPr>
        <w:t>1.1 项目概况</w:t>
      </w:r>
      <w:bookmarkEnd w:id="47"/>
      <w:bookmarkEnd w:id="48"/>
      <w:bookmarkEnd w:id="49"/>
    </w:p>
    <w:p w14:paraId="0B0088E5">
      <w:pPr>
        <w:spacing w:line="360" w:lineRule="auto"/>
        <w:ind w:firstLine="420" w:firstLineChars="200"/>
        <w:rPr>
          <w:rFonts w:ascii="宋体" w:hAnsi="宋体"/>
          <w:highlight w:val="none"/>
        </w:rPr>
      </w:pPr>
      <w:r>
        <w:rPr>
          <w:rFonts w:hint="eastAsia" w:ascii="宋体" w:hAnsi="宋体"/>
          <w:highlight w:val="none"/>
        </w:rPr>
        <w:t>1.1.1 根据《中华人民共和国招标投标法》等有关法律、法规和规章的规定，本招标项目已具备招标条件，现对该项目进行公开招标。</w:t>
      </w:r>
    </w:p>
    <w:p w14:paraId="7E8A5867">
      <w:pPr>
        <w:spacing w:line="360" w:lineRule="auto"/>
        <w:ind w:firstLine="420" w:firstLineChars="200"/>
        <w:rPr>
          <w:rFonts w:ascii="宋体" w:hAnsi="宋体"/>
          <w:highlight w:val="none"/>
        </w:rPr>
      </w:pPr>
      <w:r>
        <w:rPr>
          <w:rFonts w:hint="eastAsia" w:ascii="宋体" w:hAnsi="宋体"/>
          <w:highlight w:val="none"/>
        </w:rPr>
        <w:t>1.1.2 招标人：见投标人须知前附表。</w:t>
      </w:r>
    </w:p>
    <w:p w14:paraId="51FDBCC3">
      <w:pPr>
        <w:spacing w:line="360" w:lineRule="auto"/>
        <w:ind w:firstLine="420" w:firstLineChars="200"/>
        <w:rPr>
          <w:rFonts w:ascii="宋体" w:hAnsi="宋体"/>
          <w:highlight w:val="none"/>
        </w:rPr>
      </w:pPr>
      <w:r>
        <w:rPr>
          <w:rFonts w:hint="eastAsia" w:ascii="宋体" w:hAnsi="宋体"/>
          <w:highlight w:val="none"/>
        </w:rPr>
        <w:t>1.1.3 招标代理机构：见投标人须知前附表。</w:t>
      </w:r>
    </w:p>
    <w:p w14:paraId="358460FC">
      <w:pPr>
        <w:spacing w:line="360" w:lineRule="auto"/>
        <w:ind w:firstLine="420" w:firstLineChars="200"/>
        <w:rPr>
          <w:rFonts w:ascii="宋体" w:hAnsi="宋体"/>
          <w:highlight w:val="none"/>
        </w:rPr>
      </w:pPr>
      <w:r>
        <w:rPr>
          <w:rFonts w:hint="eastAsia" w:ascii="宋体" w:hAnsi="宋体"/>
          <w:highlight w:val="none"/>
        </w:rPr>
        <w:t>1.1.4 招标项目名称：见投标人须知前附表。</w:t>
      </w:r>
    </w:p>
    <w:p w14:paraId="196A2F1A">
      <w:pPr>
        <w:spacing w:line="360" w:lineRule="auto"/>
        <w:ind w:firstLine="420" w:firstLineChars="200"/>
        <w:rPr>
          <w:rFonts w:ascii="宋体" w:hAnsi="宋体"/>
          <w:highlight w:val="none"/>
        </w:rPr>
      </w:pPr>
      <w:r>
        <w:rPr>
          <w:rFonts w:hint="eastAsia" w:ascii="宋体" w:hAnsi="宋体"/>
          <w:highlight w:val="none"/>
        </w:rPr>
        <w:t>1.1.5 项目建设地点：见投标人须知前附表。</w:t>
      </w:r>
    </w:p>
    <w:p w14:paraId="5D88E4E1">
      <w:pPr>
        <w:pStyle w:val="5"/>
        <w:spacing w:line="360" w:lineRule="auto"/>
        <w:ind w:firstLine="118"/>
        <w:rPr>
          <w:rFonts w:ascii="宋体" w:eastAsia="宋体"/>
          <w:b/>
          <w:sz w:val="24"/>
          <w:szCs w:val="24"/>
          <w:highlight w:val="none"/>
        </w:rPr>
      </w:pPr>
      <w:bookmarkStart w:id="50" w:name="_Toc86413264"/>
      <w:bookmarkStart w:id="51" w:name="_Toc165358618"/>
      <w:bookmarkStart w:id="52" w:name="_Toc165358753"/>
      <w:r>
        <w:rPr>
          <w:rFonts w:hint="eastAsia" w:ascii="宋体" w:eastAsia="宋体"/>
          <w:b/>
          <w:sz w:val="24"/>
          <w:szCs w:val="24"/>
          <w:highlight w:val="none"/>
        </w:rPr>
        <w:t>1.2 项目的资金来源和落实情况</w:t>
      </w:r>
      <w:bookmarkEnd w:id="50"/>
      <w:bookmarkEnd w:id="51"/>
      <w:bookmarkEnd w:id="52"/>
    </w:p>
    <w:p w14:paraId="747B92AC">
      <w:pPr>
        <w:spacing w:line="360" w:lineRule="auto"/>
        <w:ind w:firstLine="420" w:firstLineChars="200"/>
        <w:rPr>
          <w:rFonts w:ascii="宋体" w:hAnsi="宋体"/>
          <w:highlight w:val="none"/>
        </w:rPr>
      </w:pPr>
      <w:r>
        <w:rPr>
          <w:rFonts w:hint="eastAsia" w:ascii="宋体" w:hAnsi="宋体"/>
          <w:highlight w:val="none"/>
        </w:rPr>
        <w:t>1.2.1 资金来源及比例：见投标人须知前附表。</w:t>
      </w:r>
    </w:p>
    <w:p w14:paraId="55D98F9D">
      <w:pPr>
        <w:spacing w:line="360" w:lineRule="auto"/>
        <w:ind w:firstLine="420" w:firstLineChars="200"/>
        <w:rPr>
          <w:rFonts w:ascii="宋体" w:hAnsi="宋体"/>
          <w:highlight w:val="none"/>
        </w:rPr>
      </w:pPr>
      <w:r>
        <w:rPr>
          <w:rFonts w:hint="eastAsia" w:ascii="宋体" w:hAnsi="宋体"/>
          <w:highlight w:val="none"/>
        </w:rPr>
        <w:t>1.2.2 资金落实情况：见投标人须知前附表。</w:t>
      </w:r>
    </w:p>
    <w:p w14:paraId="69F10F23">
      <w:pPr>
        <w:pStyle w:val="5"/>
        <w:spacing w:line="360" w:lineRule="auto"/>
        <w:ind w:firstLine="118"/>
        <w:rPr>
          <w:rFonts w:ascii="宋体" w:eastAsia="宋体"/>
          <w:b/>
          <w:sz w:val="24"/>
          <w:szCs w:val="24"/>
          <w:highlight w:val="none"/>
        </w:rPr>
      </w:pPr>
      <w:bookmarkStart w:id="53" w:name="_Toc86413265"/>
      <w:bookmarkStart w:id="54" w:name="_Toc165358754"/>
      <w:bookmarkStart w:id="55" w:name="_Toc165358619"/>
      <w:r>
        <w:rPr>
          <w:rFonts w:hint="eastAsia" w:ascii="宋体" w:eastAsia="宋体"/>
          <w:b/>
          <w:sz w:val="24"/>
          <w:szCs w:val="24"/>
          <w:highlight w:val="none"/>
        </w:rPr>
        <w:t>1.3 招标范围、计划工期和质量标准</w:t>
      </w:r>
      <w:bookmarkEnd w:id="53"/>
      <w:bookmarkEnd w:id="54"/>
      <w:bookmarkEnd w:id="55"/>
    </w:p>
    <w:p w14:paraId="39A383B5">
      <w:pPr>
        <w:spacing w:line="360" w:lineRule="auto"/>
        <w:ind w:firstLine="420" w:firstLineChars="200"/>
        <w:rPr>
          <w:rFonts w:ascii="宋体" w:hAnsi="宋体"/>
          <w:highlight w:val="none"/>
        </w:rPr>
      </w:pPr>
      <w:r>
        <w:rPr>
          <w:rFonts w:hint="eastAsia" w:ascii="宋体" w:hAnsi="宋体"/>
          <w:highlight w:val="none"/>
        </w:rPr>
        <w:t>1.3.1 招标范围：见投标人须知前附表。</w:t>
      </w:r>
    </w:p>
    <w:p w14:paraId="5980ADF9">
      <w:pPr>
        <w:spacing w:line="360" w:lineRule="auto"/>
        <w:ind w:firstLine="420" w:firstLineChars="200"/>
        <w:rPr>
          <w:rFonts w:ascii="宋体" w:hAnsi="宋体"/>
          <w:highlight w:val="none"/>
        </w:rPr>
      </w:pPr>
      <w:r>
        <w:rPr>
          <w:rFonts w:hint="eastAsia" w:ascii="宋体" w:hAnsi="宋体"/>
          <w:highlight w:val="none"/>
        </w:rPr>
        <w:t>1.3.2 计划工期：见投标人须知前附表。</w:t>
      </w:r>
    </w:p>
    <w:p w14:paraId="1CA5EE86">
      <w:pPr>
        <w:spacing w:line="360" w:lineRule="auto"/>
        <w:ind w:firstLine="420" w:firstLineChars="200"/>
        <w:rPr>
          <w:rFonts w:ascii="宋体" w:hAnsi="宋体"/>
          <w:highlight w:val="none"/>
        </w:rPr>
      </w:pPr>
      <w:r>
        <w:rPr>
          <w:rFonts w:hint="eastAsia" w:ascii="宋体" w:hAnsi="宋体"/>
          <w:highlight w:val="none"/>
        </w:rPr>
        <w:t>1.3.3 质量标准：见投标人须知前附表。</w:t>
      </w:r>
    </w:p>
    <w:p w14:paraId="55E893A0">
      <w:pPr>
        <w:pStyle w:val="5"/>
        <w:spacing w:line="360" w:lineRule="auto"/>
        <w:ind w:firstLine="118"/>
        <w:rPr>
          <w:rFonts w:ascii="宋体" w:eastAsia="宋体"/>
          <w:b/>
          <w:sz w:val="24"/>
          <w:szCs w:val="24"/>
          <w:highlight w:val="none"/>
        </w:rPr>
      </w:pPr>
      <w:bookmarkStart w:id="56" w:name="_Toc165358620"/>
      <w:bookmarkStart w:id="57" w:name="_Toc86413266"/>
      <w:bookmarkStart w:id="58" w:name="_Toc165358755"/>
      <w:r>
        <w:rPr>
          <w:rFonts w:hint="eastAsia" w:ascii="宋体" w:eastAsia="宋体"/>
          <w:b/>
          <w:sz w:val="24"/>
          <w:szCs w:val="24"/>
          <w:highlight w:val="none"/>
        </w:rPr>
        <w:t>1.4投标人资格要求（适用于未进行资格预审的）</w:t>
      </w:r>
      <w:bookmarkEnd w:id="56"/>
      <w:bookmarkEnd w:id="57"/>
      <w:bookmarkEnd w:id="58"/>
    </w:p>
    <w:p w14:paraId="37A7A4FB">
      <w:pPr>
        <w:spacing w:line="400" w:lineRule="exact"/>
        <w:ind w:firstLine="420" w:firstLineChars="200"/>
        <w:rPr>
          <w:rFonts w:ascii="宋体" w:hAnsi="宋体" w:cs="宋体"/>
          <w:highlight w:val="none"/>
        </w:rPr>
      </w:pPr>
      <w:bookmarkStart w:id="59" w:name="_Toc86413267"/>
      <w:r>
        <w:rPr>
          <w:rFonts w:hint="eastAsia" w:ascii="宋体" w:hAnsi="宋体" w:cs="宋体"/>
          <w:highlight w:val="none"/>
        </w:rPr>
        <w:t>1.4.1 投标人应具备承担本招标项目资质条件、能力和信誉。</w:t>
      </w:r>
    </w:p>
    <w:p w14:paraId="3B30AA14">
      <w:pPr>
        <w:spacing w:line="400" w:lineRule="exact"/>
        <w:ind w:firstLine="315" w:firstLineChars="150"/>
        <w:rPr>
          <w:rFonts w:ascii="宋体" w:hAnsi="宋体" w:cs="宋体"/>
          <w:highlight w:val="none"/>
        </w:rPr>
      </w:pPr>
      <w:r>
        <w:rPr>
          <w:rFonts w:hint="eastAsia" w:ascii="宋体" w:hAnsi="宋体" w:cs="宋体"/>
          <w:highlight w:val="none"/>
        </w:rPr>
        <w:t>（1）资质要求：见投标人须知前附表；</w:t>
      </w:r>
    </w:p>
    <w:p w14:paraId="3EBB99D2">
      <w:pPr>
        <w:spacing w:line="400" w:lineRule="exact"/>
        <w:ind w:firstLine="315" w:firstLineChars="150"/>
        <w:rPr>
          <w:rFonts w:ascii="宋体" w:hAnsi="宋体" w:cs="宋体"/>
          <w:highlight w:val="none"/>
        </w:rPr>
      </w:pPr>
      <w:r>
        <w:rPr>
          <w:rFonts w:hint="eastAsia" w:ascii="宋体" w:hAnsi="宋体" w:cs="宋体"/>
          <w:highlight w:val="none"/>
        </w:rPr>
        <w:t>（2）财务要求：见投标人须知前附表；</w:t>
      </w:r>
    </w:p>
    <w:p w14:paraId="4B4C4133">
      <w:pPr>
        <w:spacing w:line="400" w:lineRule="exact"/>
        <w:ind w:firstLine="315" w:firstLineChars="150"/>
        <w:rPr>
          <w:rFonts w:ascii="宋体" w:hAnsi="宋体" w:cs="宋体"/>
          <w:highlight w:val="none"/>
        </w:rPr>
      </w:pPr>
      <w:r>
        <w:rPr>
          <w:rFonts w:hint="eastAsia" w:ascii="宋体" w:hAnsi="宋体" w:cs="宋体"/>
          <w:highlight w:val="none"/>
        </w:rPr>
        <w:t>（3）业绩要求：见投标人须知前附表；</w:t>
      </w:r>
    </w:p>
    <w:p w14:paraId="56CAE3B6">
      <w:pPr>
        <w:spacing w:line="400" w:lineRule="exact"/>
        <w:ind w:firstLine="315" w:firstLineChars="150"/>
        <w:rPr>
          <w:rFonts w:ascii="宋体" w:hAnsi="宋体" w:cs="宋体"/>
          <w:highlight w:val="none"/>
        </w:rPr>
      </w:pPr>
      <w:r>
        <w:rPr>
          <w:rFonts w:hint="eastAsia" w:ascii="宋体" w:hAnsi="宋体" w:cs="宋体"/>
          <w:highlight w:val="none"/>
        </w:rPr>
        <w:t>（4）信誉要求：见投标人须知前附表；</w:t>
      </w:r>
    </w:p>
    <w:p w14:paraId="7F909F84">
      <w:pPr>
        <w:spacing w:line="400" w:lineRule="exact"/>
        <w:ind w:firstLine="315" w:firstLineChars="150"/>
        <w:rPr>
          <w:rFonts w:ascii="宋体" w:hAnsi="宋体" w:cs="宋体"/>
          <w:highlight w:val="none"/>
        </w:rPr>
      </w:pPr>
      <w:r>
        <w:rPr>
          <w:rFonts w:hint="eastAsia" w:ascii="宋体" w:hAnsi="宋体" w:cs="宋体"/>
          <w:highlight w:val="none"/>
        </w:rPr>
        <w:t>（5）项目负责人的资格要求：见投标人须知前附表；</w:t>
      </w:r>
    </w:p>
    <w:p w14:paraId="3B63D8DC">
      <w:pPr>
        <w:spacing w:line="400" w:lineRule="exact"/>
        <w:ind w:firstLine="315" w:firstLineChars="150"/>
        <w:rPr>
          <w:rFonts w:ascii="宋体" w:hAnsi="宋体" w:cs="宋体"/>
          <w:strike/>
          <w:dstrike w:val="0"/>
          <w:highlight w:val="none"/>
        </w:rPr>
      </w:pPr>
      <w:r>
        <w:rPr>
          <w:rFonts w:hint="eastAsia" w:ascii="宋体" w:hAnsi="宋体" w:cs="宋体"/>
          <w:strike/>
          <w:dstrike w:val="0"/>
          <w:highlight w:val="none"/>
        </w:rPr>
        <w:t>（6）设计负责人的资格要求：见投标人须知前附表；</w:t>
      </w:r>
    </w:p>
    <w:p w14:paraId="2233D636">
      <w:pPr>
        <w:spacing w:line="400" w:lineRule="exact"/>
        <w:ind w:firstLine="315" w:firstLineChars="150"/>
        <w:rPr>
          <w:rFonts w:ascii="宋体" w:hAnsi="宋体" w:cs="宋体"/>
          <w:highlight w:val="none"/>
        </w:rPr>
      </w:pPr>
      <w:r>
        <w:rPr>
          <w:rFonts w:hint="eastAsia" w:ascii="宋体" w:hAnsi="宋体" w:cs="宋体"/>
          <w:highlight w:val="none"/>
        </w:rPr>
        <w:t>（7）技术负责人的资格要求：见投标人须知前附表；</w:t>
      </w:r>
    </w:p>
    <w:p w14:paraId="4B557BE2">
      <w:pPr>
        <w:spacing w:line="400" w:lineRule="exact"/>
        <w:ind w:firstLine="315" w:firstLineChars="150"/>
        <w:rPr>
          <w:rFonts w:ascii="宋体" w:hAnsi="宋体" w:cs="宋体"/>
          <w:highlight w:val="none"/>
        </w:rPr>
      </w:pPr>
      <w:r>
        <w:rPr>
          <w:rFonts w:hint="eastAsia" w:ascii="宋体" w:hAnsi="宋体" w:cs="宋体"/>
          <w:highlight w:val="none"/>
        </w:rPr>
        <w:t>（8）施工机械设备：见投标人须知前附表；</w:t>
      </w:r>
    </w:p>
    <w:p w14:paraId="0CE9B3A5">
      <w:pPr>
        <w:spacing w:line="400" w:lineRule="exact"/>
        <w:ind w:firstLine="315" w:firstLineChars="150"/>
        <w:rPr>
          <w:rFonts w:ascii="宋体" w:hAnsi="宋体" w:cs="宋体"/>
          <w:highlight w:val="none"/>
        </w:rPr>
      </w:pPr>
      <w:r>
        <w:rPr>
          <w:rFonts w:hint="eastAsia" w:ascii="宋体" w:hAnsi="宋体" w:cs="宋体"/>
          <w:highlight w:val="none"/>
        </w:rPr>
        <w:t>（9）项目管理机构及人员：见投标人须知前附表；</w:t>
      </w:r>
    </w:p>
    <w:p w14:paraId="42F01477">
      <w:pPr>
        <w:spacing w:line="400" w:lineRule="exact"/>
        <w:ind w:firstLine="315" w:firstLineChars="150"/>
        <w:rPr>
          <w:rFonts w:ascii="宋体" w:hAnsi="宋体" w:cs="宋体"/>
          <w:highlight w:val="none"/>
        </w:rPr>
      </w:pPr>
      <w:r>
        <w:rPr>
          <w:rFonts w:hint="eastAsia" w:ascii="宋体" w:hAnsi="宋体" w:cs="宋体"/>
          <w:highlight w:val="none"/>
        </w:rPr>
        <w:t>（10）其他要求：见投标人须知前附表。</w:t>
      </w:r>
    </w:p>
    <w:p w14:paraId="6917F020">
      <w:pPr>
        <w:spacing w:line="400" w:lineRule="exact"/>
        <w:ind w:firstLine="420" w:firstLineChars="200"/>
        <w:rPr>
          <w:rFonts w:ascii="宋体" w:hAnsi="宋体" w:cs="宋体"/>
          <w:highlight w:val="none"/>
        </w:rPr>
      </w:pPr>
      <w:r>
        <w:rPr>
          <w:rFonts w:hint="eastAsia" w:ascii="宋体" w:hAnsi="宋体" w:cs="宋体"/>
          <w:highlight w:val="none"/>
        </w:rPr>
        <w:t xml:space="preserve">1.4.2 投标人须知前附表规定接受联合体投标的，除应符合本章第1.4.1项和投标人须知前附表的要求外，还应遵守以下规定： </w:t>
      </w:r>
    </w:p>
    <w:p w14:paraId="78A8EAAD">
      <w:pPr>
        <w:spacing w:line="400" w:lineRule="exact"/>
        <w:ind w:firstLine="315" w:firstLineChars="150"/>
        <w:rPr>
          <w:rFonts w:ascii="宋体" w:hAnsi="宋体" w:cs="宋体"/>
          <w:highlight w:val="none"/>
        </w:rPr>
      </w:pPr>
      <w:r>
        <w:rPr>
          <w:rFonts w:hint="eastAsia" w:ascii="宋体" w:hAnsi="宋体" w:cs="宋体"/>
          <w:highlight w:val="none"/>
        </w:rPr>
        <w:t>（1）联合体各方应按招标文件提供的格式签订联合体工作协议，明确联合体牵头单位和各方权利义务；</w:t>
      </w:r>
    </w:p>
    <w:p w14:paraId="23C40F9D">
      <w:pPr>
        <w:spacing w:line="400" w:lineRule="exact"/>
        <w:ind w:firstLine="315" w:firstLineChars="150"/>
        <w:rPr>
          <w:rFonts w:ascii="宋体" w:hAnsi="宋体" w:cs="宋体"/>
          <w:highlight w:val="none"/>
        </w:rPr>
      </w:pPr>
      <w:r>
        <w:rPr>
          <w:rFonts w:hint="eastAsia" w:ascii="宋体" w:hAnsi="宋体" w:cs="宋体"/>
          <w:highlight w:val="none"/>
        </w:rPr>
        <w:t>（2）由同一专业的单位组成的联合体，按照资质等级较低的单位确定资质等级；</w:t>
      </w:r>
    </w:p>
    <w:p w14:paraId="727B0AF4">
      <w:pPr>
        <w:spacing w:line="400" w:lineRule="exact"/>
        <w:ind w:firstLine="315" w:firstLineChars="150"/>
        <w:rPr>
          <w:rFonts w:ascii="宋体" w:hAnsi="宋体" w:cs="宋体"/>
          <w:highlight w:val="none"/>
        </w:rPr>
      </w:pPr>
      <w:r>
        <w:rPr>
          <w:rFonts w:hint="eastAsia" w:ascii="宋体" w:hAnsi="宋体" w:cs="宋体"/>
          <w:highlight w:val="none"/>
        </w:rPr>
        <w:t>（3）联合体各方不得再以自己名义单独或参加其他联合体在本招标项目中投标。</w:t>
      </w:r>
    </w:p>
    <w:p w14:paraId="050C10B3">
      <w:pPr>
        <w:spacing w:line="400" w:lineRule="exact"/>
        <w:ind w:firstLine="420" w:firstLineChars="200"/>
        <w:rPr>
          <w:rFonts w:ascii="宋体" w:hAnsi="宋体" w:cs="宋体"/>
          <w:highlight w:val="none"/>
        </w:rPr>
      </w:pPr>
      <w:r>
        <w:rPr>
          <w:rFonts w:hint="eastAsia" w:ascii="宋体" w:hAnsi="宋体" w:cs="宋体"/>
          <w:highlight w:val="none"/>
        </w:rPr>
        <w:t>1.4.3 投标人不得存在下列情形之一：</w:t>
      </w:r>
    </w:p>
    <w:p w14:paraId="1B8F91C7">
      <w:pPr>
        <w:spacing w:line="400" w:lineRule="exact"/>
        <w:ind w:firstLine="315" w:firstLineChars="150"/>
        <w:rPr>
          <w:rFonts w:ascii="宋体" w:hAnsi="宋体" w:cs="宋体"/>
          <w:highlight w:val="none"/>
          <w:u w:val="single"/>
        </w:rPr>
      </w:pPr>
      <w:r>
        <w:rPr>
          <w:rFonts w:hint="eastAsia" w:ascii="宋体" w:hAnsi="宋体" w:cs="宋体"/>
          <w:highlight w:val="none"/>
          <w:u w:val="single"/>
        </w:rPr>
        <w:t>投标人不得存在的情形以招标公告及《</w:t>
      </w:r>
      <w:r>
        <w:rPr>
          <w:rFonts w:hint="eastAsia" w:ascii="宋体" w:hAnsi="宋体" w:cs="宋体"/>
          <w:highlight w:val="none"/>
          <w:u w:val="single"/>
          <w:lang w:eastAsia="zh-CN"/>
        </w:rPr>
        <w:t>投标申请人声明</w:t>
      </w:r>
      <w:r>
        <w:rPr>
          <w:rFonts w:hint="eastAsia" w:ascii="宋体" w:hAnsi="宋体" w:cs="宋体"/>
          <w:highlight w:val="none"/>
          <w:u w:val="single"/>
        </w:rPr>
        <w:t>》规定为准。</w:t>
      </w:r>
    </w:p>
    <w:p w14:paraId="04AB92A1">
      <w:pPr>
        <w:spacing w:line="400" w:lineRule="exact"/>
        <w:ind w:firstLine="420" w:firstLineChars="200"/>
        <w:rPr>
          <w:rFonts w:ascii="宋体" w:hAnsi="宋体" w:cs="宋体"/>
          <w:highlight w:val="none"/>
        </w:rPr>
      </w:pPr>
      <w:r>
        <w:rPr>
          <w:rFonts w:hint="eastAsia" w:ascii="宋体" w:hAnsi="宋体" w:cs="宋体"/>
          <w:highlight w:val="none"/>
        </w:rPr>
        <w:t>1.4.4 单位负责人为同一人或者存在控股、管理关系的不同单位，不得同时参加本招标项目投标。</w:t>
      </w:r>
    </w:p>
    <w:p w14:paraId="69553494">
      <w:pPr>
        <w:pStyle w:val="5"/>
        <w:spacing w:line="360" w:lineRule="auto"/>
        <w:ind w:firstLine="522" w:firstLineChars="249"/>
        <w:rPr>
          <w:rFonts w:ascii="宋体" w:eastAsia="宋体" w:cs="宋体"/>
          <w:sz w:val="21"/>
          <w:szCs w:val="21"/>
          <w:highlight w:val="none"/>
          <w:u w:val="single"/>
        </w:rPr>
      </w:pPr>
      <w:bookmarkStart w:id="60" w:name="_Toc165358621"/>
      <w:bookmarkStart w:id="61" w:name="_Toc165358756"/>
      <w:r>
        <w:rPr>
          <w:rFonts w:hint="eastAsia" w:ascii="宋体" w:eastAsia="宋体" w:cs="宋体"/>
          <w:sz w:val="21"/>
          <w:szCs w:val="21"/>
          <w:highlight w:val="none"/>
          <w:u w:val="single"/>
        </w:rPr>
        <w:t>详见本项目招标公告。</w:t>
      </w:r>
      <w:bookmarkEnd w:id="60"/>
      <w:bookmarkEnd w:id="61"/>
    </w:p>
    <w:p w14:paraId="37B17007">
      <w:pPr>
        <w:pStyle w:val="5"/>
        <w:spacing w:line="360" w:lineRule="auto"/>
        <w:ind w:firstLine="118"/>
        <w:rPr>
          <w:rFonts w:ascii="宋体" w:eastAsia="宋体"/>
          <w:b/>
          <w:sz w:val="24"/>
          <w:szCs w:val="24"/>
          <w:highlight w:val="none"/>
        </w:rPr>
      </w:pPr>
      <w:bookmarkStart w:id="62" w:name="_Toc165358757"/>
      <w:bookmarkStart w:id="63" w:name="_Toc165358622"/>
      <w:r>
        <w:rPr>
          <w:rFonts w:hint="eastAsia" w:ascii="宋体" w:eastAsia="宋体"/>
          <w:b/>
          <w:sz w:val="24"/>
          <w:szCs w:val="24"/>
          <w:highlight w:val="none"/>
        </w:rPr>
        <w:t>1.5 费用承担</w:t>
      </w:r>
      <w:bookmarkEnd w:id="59"/>
      <w:bookmarkEnd w:id="62"/>
      <w:bookmarkEnd w:id="63"/>
    </w:p>
    <w:p w14:paraId="2739156B">
      <w:pPr>
        <w:spacing w:line="360" w:lineRule="auto"/>
        <w:ind w:firstLine="420" w:firstLineChars="200"/>
        <w:rPr>
          <w:rFonts w:ascii="宋体" w:hAnsi="宋体"/>
          <w:highlight w:val="none"/>
        </w:rPr>
      </w:pPr>
      <w:r>
        <w:rPr>
          <w:rFonts w:hint="eastAsia" w:ascii="宋体" w:hAnsi="宋体"/>
          <w:highlight w:val="none"/>
        </w:rPr>
        <w:t>1.5.1投标人准备和参加投标活动发生的费用自理。</w:t>
      </w:r>
    </w:p>
    <w:p w14:paraId="670E5DDD">
      <w:pPr>
        <w:spacing w:line="360"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rPr>
        <w:t>1.5.2中标人应根据有关规定，向广州交易集团有限公司（广州公共资源交易中心）缴纳交易服务费。</w:t>
      </w:r>
    </w:p>
    <w:p w14:paraId="36B2D099">
      <w:pPr>
        <w:pStyle w:val="5"/>
        <w:spacing w:line="360" w:lineRule="auto"/>
        <w:ind w:firstLine="118"/>
        <w:rPr>
          <w:rFonts w:ascii="宋体" w:eastAsia="宋体"/>
          <w:b/>
          <w:sz w:val="24"/>
          <w:szCs w:val="24"/>
          <w:highlight w:val="none"/>
        </w:rPr>
      </w:pPr>
      <w:bookmarkStart w:id="64" w:name="_Toc165358758"/>
      <w:bookmarkStart w:id="65" w:name="_Toc165358623"/>
      <w:bookmarkStart w:id="66" w:name="_Toc86413268"/>
      <w:r>
        <w:rPr>
          <w:rFonts w:hint="eastAsia" w:ascii="宋体" w:eastAsia="宋体"/>
          <w:b/>
          <w:sz w:val="24"/>
          <w:szCs w:val="24"/>
          <w:highlight w:val="none"/>
        </w:rPr>
        <w:t>1.6 保密</w:t>
      </w:r>
      <w:bookmarkEnd w:id="64"/>
      <w:bookmarkEnd w:id="65"/>
      <w:bookmarkEnd w:id="66"/>
    </w:p>
    <w:p w14:paraId="193D8C89">
      <w:pPr>
        <w:spacing w:line="360" w:lineRule="auto"/>
        <w:ind w:firstLine="420" w:firstLineChars="200"/>
        <w:rPr>
          <w:rFonts w:ascii="宋体" w:hAnsi="宋体"/>
          <w:highlight w:val="none"/>
        </w:rPr>
      </w:pPr>
      <w:r>
        <w:rPr>
          <w:rFonts w:hint="eastAsia" w:ascii="宋体" w:hAnsi="宋体"/>
          <w:highlight w:val="none"/>
        </w:rPr>
        <w:t>参与招标投标活动的各方应对招标文件和投标文件中的商业和技术等秘密保密，否则应承担相应的法律责任。</w:t>
      </w:r>
    </w:p>
    <w:p w14:paraId="532B0BCE">
      <w:pPr>
        <w:pStyle w:val="5"/>
        <w:spacing w:line="360" w:lineRule="auto"/>
        <w:ind w:firstLine="118"/>
        <w:rPr>
          <w:rFonts w:ascii="宋体" w:eastAsia="宋体"/>
          <w:b/>
          <w:sz w:val="24"/>
          <w:szCs w:val="24"/>
          <w:highlight w:val="none"/>
          <w:u w:val="single"/>
        </w:rPr>
      </w:pPr>
      <w:bookmarkStart w:id="67" w:name="_Toc165358624"/>
      <w:bookmarkStart w:id="68" w:name="_Toc86413269"/>
      <w:bookmarkStart w:id="69" w:name="_Toc165358759"/>
      <w:r>
        <w:rPr>
          <w:rFonts w:hint="eastAsia" w:ascii="宋体" w:eastAsia="宋体"/>
          <w:b/>
          <w:sz w:val="24"/>
          <w:szCs w:val="24"/>
          <w:highlight w:val="none"/>
        </w:rPr>
        <w:t>1.7 语言文字</w:t>
      </w:r>
      <w:bookmarkEnd w:id="67"/>
      <w:bookmarkEnd w:id="68"/>
      <w:bookmarkEnd w:id="69"/>
    </w:p>
    <w:p w14:paraId="18A4E9C2">
      <w:pPr>
        <w:spacing w:line="360" w:lineRule="auto"/>
        <w:ind w:firstLine="420" w:firstLineChars="200"/>
        <w:rPr>
          <w:rFonts w:ascii="宋体" w:hAnsi="宋体"/>
          <w:highlight w:val="none"/>
        </w:rPr>
      </w:pPr>
      <w:r>
        <w:rPr>
          <w:rFonts w:hint="eastAsia" w:ascii="宋体" w:hAnsi="宋体"/>
          <w:highlight w:val="none"/>
        </w:rPr>
        <w:t>1.7.1招标投标文件使用的语言文字为中文。专用术语使用外文的，应附有中文注释。</w:t>
      </w:r>
    </w:p>
    <w:p w14:paraId="29EC2488">
      <w:pPr>
        <w:pStyle w:val="5"/>
        <w:spacing w:line="360" w:lineRule="auto"/>
        <w:ind w:firstLine="118"/>
        <w:rPr>
          <w:rFonts w:ascii="宋体" w:eastAsia="宋体"/>
          <w:b/>
          <w:sz w:val="24"/>
          <w:szCs w:val="24"/>
          <w:highlight w:val="none"/>
        </w:rPr>
      </w:pPr>
      <w:bookmarkStart w:id="70" w:name="_Toc165358625"/>
      <w:bookmarkStart w:id="71" w:name="_Toc165358760"/>
      <w:bookmarkStart w:id="72" w:name="_Toc86413270"/>
      <w:r>
        <w:rPr>
          <w:rFonts w:hint="eastAsia" w:ascii="宋体" w:eastAsia="宋体"/>
          <w:b/>
          <w:sz w:val="24"/>
          <w:szCs w:val="24"/>
          <w:highlight w:val="none"/>
        </w:rPr>
        <w:t>1.8 计量单位</w:t>
      </w:r>
      <w:bookmarkEnd w:id="70"/>
      <w:bookmarkEnd w:id="71"/>
      <w:bookmarkEnd w:id="72"/>
    </w:p>
    <w:p w14:paraId="4AF25E3F">
      <w:pPr>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.8.1</w:t>
      </w:r>
      <w:r>
        <w:rPr>
          <w:rFonts w:hint="eastAsia" w:ascii="宋体" w:hAnsi="宋体"/>
          <w:highlight w:val="none"/>
        </w:rPr>
        <w:t>所有计量均采用中华人民共和国法定计量单位。</w:t>
      </w:r>
    </w:p>
    <w:p w14:paraId="376B52C7">
      <w:pPr>
        <w:pStyle w:val="28"/>
        <w:ind w:firstLine="420" w:firstLineChars="200"/>
        <w:rPr>
          <w:rFonts w:ascii="宋体" w:hAnsi="宋体"/>
          <w:sz w:val="21"/>
          <w:szCs w:val="24"/>
          <w:highlight w:val="none"/>
        </w:rPr>
      </w:pPr>
      <w:r>
        <w:rPr>
          <w:rFonts w:ascii="宋体" w:hAnsi="宋体"/>
          <w:sz w:val="21"/>
          <w:szCs w:val="24"/>
          <w:highlight w:val="none"/>
        </w:rPr>
        <w:t xml:space="preserve">1.8.2 </w:t>
      </w:r>
      <w:r>
        <w:rPr>
          <w:rFonts w:hint="eastAsia" w:ascii="宋体" w:hAnsi="宋体"/>
          <w:sz w:val="21"/>
          <w:szCs w:val="24"/>
          <w:highlight w:val="none"/>
        </w:rPr>
        <w:t>本工程投标报价采用的币种为人民币。</w:t>
      </w:r>
    </w:p>
    <w:p w14:paraId="06FB6FBC">
      <w:pPr>
        <w:pStyle w:val="5"/>
        <w:spacing w:line="360" w:lineRule="auto"/>
        <w:ind w:firstLine="118"/>
        <w:rPr>
          <w:rFonts w:ascii="宋体" w:eastAsia="宋体"/>
          <w:b/>
          <w:sz w:val="24"/>
          <w:szCs w:val="24"/>
          <w:highlight w:val="none"/>
        </w:rPr>
      </w:pPr>
      <w:bookmarkStart w:id="73" w:name="_Toc86413271"/>
      <w:bookmarkStart w:id="74" w:name="_Toc165358761"/>
      <w:bookmarkStart w:id="75" w:name="_Toc165358626"/>
      <w:r>
        <w:rPr>
          <w:rFonts w:hint="eastAsia" w:ascii="宋体" w:eastAsia="宋体"/>
          <w:b/>
          <w:sz w:val="24"/>
          <w:szCs w:val="24"/>
          <w:highlight w:val="none"/>
        </w:rPr>
        <w:t>1.9 踏勘现场</w:t>
      </w:r>
      <w:bookmarkEnd w:id="73"/>
      <w:bookmarkEnd w:id="74"/>
      <w:bookmarkEnd w:id="75"/>
    </w:p>
    <w:p w14:paraId="3AB96C1F">
      <w:pPr>
        <w:spacing w:line="360" w:lineRule="auto"/>
        <w:ind w:firstLine="420" w:firstLineChars="200"/>
        <w:rPr>
          <w:rFonts w:ascii="宋体" w:hAnsi="宋体"/>
          <w:highlight w:val="none"/>
        </w:rPr>
      </w:pPr>
      <w:r>
        <w:rPr>
          <w:rFonts w:hint="eastAsia" w:ascii="宋体" w:hAnsi="宋体"/>
          <w:highlight w:val="none"/>
        </w:rPr>
        <w:t xml:space="preserve">1.9.1 投标人须知前附表规定组织踏勘现场的，招标人按投标人须知前附表规定的时间、地点组织投标人踏勘项目现场。 </w:t>
      </w:r>
    </w:p>
    <w:p w14:paraId="5ECD952B">
      <w:pPr>
        <w:spacing w:line="360" w:lineRule="auto"/>
        <w:ind w:firstLine="420" w:firstLineChars="200"/>
        <w:rPr>
          <w:rFonts w:ascii="宋体" w:hAnsi="宋体"/>
          <w:highlight w:val="none"/>
        </w:rPr>
      </w:pPr>
      <w:r>
        <w:rPr>
          <w:rFonts w:hint="eastAsia" w:ascii="宋体" w:hAnsi="宋体"/>
          <w:highlight w:val="none"/>
        </w:rPr>
        <w:t>1.9.2 投标人踏勘现场发生的费用自理。</w:t>
      </w:r>
    </w:p>
    <w:p w14:paraId="52C2C2D8">
      <w:pPr>
        <w:spacing w:line="360" w:lineRule="auto"/>
        <w:ind w:firstLine="420" w:firstLineChars="200"/>
        <w:rPr>
          <w:rFonts w:ascii="宋体" w:hAnsi="宋体"/>
          <w:highlight w:val="none"/>
        </w:rPr>
      </w:pPr>
      <w:r>
        <w:rPr>
          <w:rFonts w:hint="eastAsia" w:ascii="宋体" w:hAnsi="宋体"/>
          <w:highlight w:val="none"/>
        </w:rPr>
        <w:t>1.9.3 除招标人的原因外，投标人自行负责在踏勘现场中所发生的人员伤亡和财产损失。</w:t>
      </w:r>
    </w:p>
    <w:p w14:paraId="5AB4C344">
      <w:pPr>
        <w:spacing w:line="360" w:lineRule="auto"/>
        <w:ind w:firstLine="420" w:firstLineChars="200"/>
        <w:rPr>
          <w:rFonts w:ascii="宋体" w:hAnsi="宋体"/>
          <w:highlight w:val="none"/>
          <w:u w:val="single"/>
        </w:rPr>
      </w:pPr>
      <w:r>
        <w:rPr>
          <w:rFonts w:hint="eastAsia" w:ascii="宋体" w:hAnsi="宋体"/>
          <w:highlight w:val="none"/>
        </w:rPr>
        <w:t>1.9.4</w:t>
      </w:r>
      <w:r>
        <w:rPr>
          <w:rFonts w:hint="eastAsia" w:ascii="宋体" w:hAnsi="宋体"/>
          <w:highlight w:val="none"/>
          <w:u w:val="single"/>
        </w:rPr>
        <w:t>现场由投标人自行踏勘，投标人不进行踏勘的，视为已熟知现场条件，自行承担相关风险。招标人不对投标人自行踏勘现场作出的判断和决策负责。招标人不对投标人自行踏勘现场作出的判断和决策负责。</w:t>
      </w:r>
    </w:p>
    <w:p w14:paraId="730361FD">
      <w:pPr>
        <w:pStyle w:val="5"/>
        <w:spacing w:line="360" w:lineRule="auto"/>
        <w:ind w:firstLine="56" w:firstLineChars="20"/>
        <w:rPr>
          <w:rFonts w:ascii="宋体" w:eastAsia="宋体"/>
          <w:highlight w:val="none"/>
        </w:rPr>
      </w:pPr>
      <w:bookmarkStart w:id="76" w:name="_Toc165358762"/>
      <w:bookmarkStart w:id="77" w:name="_Toc165358627"/>
      <w:bookmarkStart w:id="78" w:name="_Toc86413273"/>
      <w:r>
        <w:rPr>
          <w:rFonts w:hint="eastAsia" w:ascii="宋体" w:eastAsia="宋体"/>
          <w:highlight w:val="none"/>
        </w:rPr>
        <w:t>1.10 投标预备会</w:t>
      </w:r>
      <w:bookmarkEnd w:id="76"/>
      <w:bookmarkEnd w:id="77"/>
    </w:p>
    <w:p w14:paraId="41CB1740">
      <w:pPr>
        <w:pStyle w:val="5"/>
        <w:spacing w:line="360" w:lineRule="auto"/>
        <w:ind w:firstLine="522" w:firstLineChars="249"/>
        <w:rPr>
          <w:rFonts w:ascii="宋体" w:eastAsia="宋体"/>
          <w:bCs w:val="0"/>
          <w:sz w:val="21"/>
          <w:szCs w:val="24"/>
          <w:highlight w:val="none"/>
          <w:u w:val="single"/>
        </w:rPr>
      </w:pPr>
      <w:bookmarkStart w:id="79" w:name="_Toc165358763"/>
      <w:bookmarkStart w:id="80" w:name="_Toc165358628"/>
      <w:r>
        <w:rPr>
          <w:rFonts w:hint="eastAsia" w:ascii="宋体" w:eastAsia="宋体"/>
          <w:bCs w:val="0"/>
          <w:sz w:val="21"/>
          <w:szCs w:val="24"/>
          <w:highlight w:val="none"/>
          <w:u w:val="single"/>
        </w:rPr>
        <w:t>本项目不召开投标预备会。</w:t>
      </w:r>
      <w:bookmarkEnd w:id="79"/>
      <w:bookmarkEnd w:id="80"/>
    </w:p>
    <w:p w14:paraId="0C1EEEDF">
      <w:pPr>
        <w:pStyle w:val="5"/>
        <w:spacing w:line="360" w:lineRule="auto"/>
        <w:ind w:firstLine="118"/>
        <w:rPr>
          <w:rFonts w:ascii="宋体" w:eastAsia="宋体"/>
          <w:b/>
          <w:sz w:val="24"/>
          <w:szCs w:val="24"/>
          <w:highlight w:val="none"/>
        </w:rPr>
      </w:pPr>
      <w:bookmarkStart w:id="81" w:name="_Toc165358764"/>
      <w:bookmarkStart w:id="82" w:name="_Toc165358629"/>
      <w:r>
        <w:rPr>
          <w:rFonts w:hint="eastAsia" w:ascii="宋体" w:eastAsia="宋体"/>
          <w:b/>
          <w:sz w:val="24"/>
          <w:szCs w:val="24"/>
          <w:highlight w:val="none"/>
        </w:rPr>
        <w:t>1.1</w:t>
      </w:r>
      <w:r>
        <w:rPr>
          <w:rFonts w:ascii="宋体" w:eastAsia="宋体"/>
          <w:b/>
          <w:sz w:val="24"/>
          <w:szCs w:val="24"/>
          <w:highlight w:val="none"/>
        </w:rPr>
        <w:t>1</w:t>
      </w:r>
      <w:r>
        <w:rPr>
          <w:rFonts w:hint="eastAsia" w:ascii="宋体" w:eastAsia="宋体"/>
          <w:b/>
          <w:sz w:val="24"/>
          <w:szCs w:val="24"/>
          <w:highlight w:val="none"/>
        </w:rPr>
        <w:t>分包</w:t>
      </w:r>
      <w:bookmarkEnd w:id="78"/>
      <w:bookmarkEnd w:id="81"/>
      <w:bookmarkEnd w:id="82"/>
    </w:p>
    <w:p w14:paraId="297419D6">
      <w:pPr>
        <w:spacing w:line="360" w:lineRule="auto"/>
        <w:ind w:firstLine="567" w:firstLineChars="270"/>
        <w:rPr>
          <w:rFonts w:ascii="宋体" w:hAnsi="宋体"/>
          <w:highlight w:val="none"/>
        </w:rPr>
      </w:pPr>
      <w:r>
        <w:rPr>
          <w:rFonts w:hint="eastAsia" w:ascii="宋体" w:hAnsi="宋体"/>
          <w:highlight w:val="none"/>
        </w:rPr>
        <w:t>1.</w:t>
      </w:r>
      <w:r>
        <w:rPr>
          <w:rFonts w:ascii="宋体" w:hAnsi="宋体"/>
          <w:highlight w:val="none"/>
        </w:rPr>
        <w:t>11</w:t>
      </w:r>
      <w:r>
        <w:rPr>
          <w:rFonts w:hint="eastAsia" w:ascii="宋体" w:hAnsi="宋体"/>
          <w:highlight w:val="none"/>
        </w:rPr>
        <w:t>.1 投标人须知前附表规定应当由分包人实施的非主体、非关键性工作，投标人应当按照第五章“发包人要求”规定提供分包人</w:t>
      </w:r>
      <w:r>
        <w:rPr>
          <w:rFonts w:hint="eastAsia" w:ascii="宋体" w:hAnsi="宋体"/>
          <w:highlight w:val="none"/>
          <w:lang w:val="en-US" w:eastAsia="zh-CN"/>
        </w:rPr>
        <w:t>候选</w:t>
      </w:r>
      <w:r>
        <w:rPr>
          <w:rFonts w:hint="eastAsia" w:ascii="宋体" w:hAnsi="宋体"/>
          <w:highlight w:val="none"/>
        </w:rPr>
        <w:t>名单及其相应资料。</w:t>
      </w:r>
    </w:p>
    <w:p w14:paraId="15E1ADA0">
      <w:pPr>
        <w:spacing w:line="360" w:lineRule="auto"/>
        <w:ind w:firstLine="567" w:firstLineChars="270"/>
        <w:rPr>
          <w:rFonts w:ascii="宋体" w:hAnsi="宋体"/>
          <w:highlight w:val="none"/>
        </w:rPr>
      </w:pPr>
      <w:r>
        <w:rPr>
          <w:rFonts w:hint="eastAsia" w:ascii="宋体" w:hAnsi="宋体"/>
          <w:highlight w:val="none"/>
        </w:rPr>
        <w:t>1.1</w:t>
      </w:r>
      <w:r>
        <w:rPr>
          <w:rFonts w:ascii="宋体" w:hAnsi="宋体"/>
          <w:highlight w:val="none"/>
        </w:rPr>
        <w:t>1</w:t>
      </w:r>
      <w:r>
        <w:rPr>
          <w:rFonts w:hint="eastAsia" w:ascii="宋体" w:hAnsi="宋体"/>
          <w:highlight w:val="none"/>
        </w:rPr>
        <w:t>.2 招标人允许投标人在中标后将中标项目的部分非主体、非关键性工作进行分包的，应符合投标人须知前附表规定的分包内容、资质要求等限制性条件。</w:t>
      </w:r>
    </w:p>
    <w:p w14:paraId="34FF307D">
      <w:pPr>
        <w:pStyle w:val="5"/>
        <w:spacing w:line="360" w:lineRule="auto"/>
        <w:ind w:firstLine="118"/>
        <w:rPr>
          <w:rFonts w:ascii="宋体" w:eastAsia="宋体"/>
          <w:b/>
          <w:sz w:val="24"/>
          <w:szCs w:val="24"/>
          <w:highlight w:val="none"/>
        </w:rPr>
      </w:pPr>
      <w:bookmarkStart w:id="83" w:name="_Toc86413274"/>
      <w:bookmarkStart w:id="84" w:name="_Toc165358765"/>
      <w:bookmarkStart w:id="85" w:name="_Toc165358630"/>
      <w:r>
        <w:rPr>
          <w:rFonts w:hint="eastAsia" w:ascii="宋体" w:eastAsia="宋体"/>
          <w:b/>
          <w:sz w:val="24"/>
          <w:szCs w:val="24"/>
          <w:highlight w:val="none"/>
        </w:rPr>
        <w:t>1.1</w:t>
      </w:r>
      <w:r>
        <w:rPr>
          <w:rFonts w:ascii="宋体" w:eastAsia="宋体"/>
          <w:b/>
          <w:sz w:val="24"/>
          <w:szCs w:val="24"/>
          <w:highlight w:val="none"/>
        </w:rPr>
        <w:t>2</w:t>
      </w:r>
      <w:r>
        <w:rPr>
          <w:rFonts w:hint="eastAsia" w:ascii="宋体" w:eastAsia="宋体"/>
          <w:b/>
          <w:sz w:val="24"/>
          <w:szCs w:val="24"/>
          <w:highlight w:val="none"/>
        </w:rPr>
        <w:t>偏离</w:t>
      </w:r>
      <w:bookmarkEnd w:id="83"/>
      <w:bookmarkEnd w:id="84"/>
      <w:bookmarkEnd w:id="85"/>
    </w:p>
    <w:p w14:paraId="7D532DE4">
      <w:pPr>
        <w:spacing w:line="400" w:lineRule="exact"/>
        <w:ind w:firstLine="359" w:firstLineChars="171"/>
        <w:rPr>
          <w:rFonts w:ascii="宋体" w:hAnsi="宋体"/>
          <w:strike/>
          <w:highlight w:val="none"/>
        </w:rPr>
      </w:pPr>
      <w:r>
        <w:rPr>
          <w:rFonts w:hint="eastAsia" w:ascii="宋体" w:hAnsi="宋体"/>
          <w:strike/>
          <w:highlight w:val="none"/>
        </w:rPr>
        <w:t>投标人须知前附表允许投标文件偏离招标文件某些要求的，偏离应当符合招标文件规定的偏离范围和幅度。</w:t>
      </w:r>
    </w:p>
    <w:p w14:paraId="60FD1BF4">
      <w:pPr>
        <w:pStyle w:val="4"/>
        <w:spacing w:line="360" w:lineRule="auto"/>
        <w:rPr>
          <w:rFonts w:ascii="宋体" w:hAnsi="宋体" w:eastAsia="宋体"/>
          <w:highlight w:val="none"/>
        </w:rPr>
      </w:pPr>
      <w:bookmarkStart w:id="86" w:name="_Toc86413275"/>
      <w:bookmarkStart w:id="87" w:name="_Toc165358631"/>
      <w:bookmarkStart w:id="88" w:name="_Toc165358766"/>
      <w:bookmarkStart w:id="89" w:name="_Toc20791"/>
      <w:bookmarkStart w:id="90" w:name="_Toc49303760"/>
      <w:r>
        <w:rPr>
          <w:rFonts w:hint="eastAsia" w:ascii="宋体" w:hAnsi="宋体" w:eastAsia="宋体"/>
          <w:highlight w:val="none"/>
        </w:rPr>
        <w:t>2. 招标文件</w:t>
      </w:r>
      <w:bookmarkEnd w:id="86"/>
      <w:bookmarkEnd w:id="87"/>
      <w:bookmarkEnd w:id="88"/>
      <w:bookmarkEnd w:id="89"/>
      <w:bookmarkEnd w:id="90"/>
    </w:p>
    <w:p w14:paraId="056F73FA">
      <w:pPr>
        <w:pStyle w:val="5"/>
        <w:spacing w:line="360" w:lineRule="auto"/>
        <w:ind w:firstLine="118"/>
        <w:rPr>
          <w:rFonts w:ascii="宋体" w:eastAsia="宋体"/>
          <w:b/>
          <w:sz w:val="24"/>
          <w:szCs w:val="24"/>
          <w:highlight w:val="none"/>
        </w:rPr>
      </w:pPr>
      <w:bookmarkStart w:id="91" w:name="_Toc86413276"/>
      <w:bookmarkStart w:id="92" w:name="_Toc165358767"/>
      <w:bookmarkStart w:id="93" w:name="_Toc165358632"/>
      <w:r>
        <w:rPr>
          <w:rFonts w:hint="eastAsia" w:ascii="宋体" w:eastAsia="宋体"/>
          <w:b/>
          <w:sz w:val="24"/>
          <w:szCs w:val="24"/>
          <w:highlight w:val="none"/>
        </w:rPr>
        <w:t>2.1 招标文件的组成</w:t>
      </w:r>
      <w:bookmarkEnd w:id="91"/>
      <w:bookmarkEnd w:id="92"/>
      <w:bookmarkEnd w:id="93"/>
    </w:p>
    <w:p w14:paraId="1D589D10">
      <w:pPr>
        <w:spacing w:line="360" w:lineRule="auto"/>
        <w:ind w:firstLine="359" w:firstLineChars="171"/>
        <w:rPr>
          <w:rFonts w:ascii="宋体" w:hAnsi="宋体"/>
          <w:highlight w:val="none"/>
        </w:rPr>
      </w:pPr>
      <w:r>
        <w:rPr>
          <w:rFonts w:hint="eastAsia" w:ascii="宋体" w:hAnsi="宋体"/>
          <w:highlight w:val="none"/>
        </w:rPr>
        <w:t>2.1.1本招标文件包括：</w:t>
      </w:r>
    </w:p>
    <w:p w14:paraId="25DAC822">
      <w:pPr>
        <w:spacing w:line="360" w:lineRule="auto"/>
        <w:ind w:firstLine="359" w:firstLineChars="171"/>
        <w:rPr>
          <w:rFonts w:ascii="宋体" w:hAnsi="宋体"/>
          <w:highlight w:val="none"/>
          <w:u w:val="single"/>
        </w:rPr>
      </w:pPr>
      <w:r>
        <w:rPr>
          <w:rFonts w:hint="eastAsia" w:ascii="宋体" w:hAnsi="宋体"/>
          <w:highlight w:val="none"/>
          <w:u w:val="single"/>
        </w:rPr>
        <w:t>（1）招标公告；</w:t>
      </w:r>
    </w:p>
    <w:p w14:paraId="36429466">
      <w:pPr>
        <w:spacing w:line="360" w:lineRule="auto"/>
        <w:ind w:firstLine="359" w:firstLineChars="171"/>
        <w:rPr>
          <w:rFonts w:ascii="宋体" w:hAnsi="宋体"/>
          <w:highlight w:val="none"/>
          <w:u w:val="single"/>
        </w:rPr>
      </w:pPr>
      <w:r>
        <w:rPr>
          <w:rFonts w:hint="eastAsia" w:ascii="宋体" w:hAnsi="宋体"/>
          <w:highlight w:val="none"/>
          <w:u w:val="single"/>
        </w:rPr>
        <w:t>（2）投标人须知；</w:t>
      </w:r>
    </w:p>
    <w:p w14:paraId="342689A3">
      <w:pPr>
        <w:spacing w:line="360" w:lineRule="auto"/>
        <w:ind w:firstLine="359" w:firstLineChars="171"/>
        <w:rPr>
          <w:rFonts w:ascii="宋体" w:hAnsi="宋体"/>
          <w:highlight w:val="none"/>
          <w:u w:val="single"/>
        </w:rPr>
      </w:pPr>
      <w:r>
        <w:rPr>
          <w:rFonts w:hint="eastAsia" w:ascii="宋体" w:hAnsi="宋体"/>
          <w:highlight w:val="none"/>
          <w:u w:val="single"/>
        </w:rPr>
        <w:t>（3）评</w:t>
      </w:r>
      <w:r>
        <w:rPr>
          <w:rFonts w:hint="eastAsia" w:ascii="宋体" w:hAnsi="宋体"/>
          <w:highlight w:val="none"/>
          <w:u w:val="single"/>
          <w:lang w:eastAsia="zh-CN"/>
        </w:rPr>
        <w:t>（</w:t>
      </w:r>
      <w:r>
        <w:rPr>
          <w:rFonts w:hint="eastAsia" w:ascii="宋体" w:hAnsi="宋体"/>
          <w:highlight w:val="none"/>
          <w:u w:val="single"/>
          <w:lang w:val="en-US" w:eastAsia="zh-CN"/>
        </w:rPr>
        <w:t>定</w:t>
      </w:r>
      <w:r>
        <w:rPr>
          <w:rFonts w:hint="eastAsia" w:ascii="宋体" w:hAnsi="宋体"/>
          <w:highlight w:val="none"/>
          <w:u w:val="single"/>
          <w:lang w:eastAsia="zh-CN"/>
        </w:rPr>
        <w:t>）</w:t>
      </w:r>
      <w:r>
        <w:rPr>
          <w:rFonts w:hint="eastAsia" w:ascii="宋体" w:hAnsi="宋体"/>
          <w:highlight w:val="none"/>
          <w:u w:val="single"/>
        </w:rPr>
        <w:t>标办法；</w:t>
      </w:r>
    </w:p>
    <w:p w14:paraId="2D222A28">
      <w:pPr>
        <w:spacing w:line="360" w:lineRule="auto"/>
        <w:ind w:firstLine="359" w:firstLineChars="171"/>
        <w:rPr>
          <w:rFonts w:ascii="宋体" w:hAnsi="宋体"/>
          <w:highlight w:val="none"/>
          <w:u w:val="single"/>
        </w:rPr>
      </w:pPr>
      <w:r>
        <w:rPr>
          <w:rFonts w:hint="eastAsia" w:ascii="宋体" w:hAnsi="宋体"/>
          <w:highlight w:val="none"/>
          <w:u w:val="single"/>
        </w:rPr>
        <w:t>（4）合同条款及格式（另册）；</w:t>
      </w:r>
    </w:p>
    <w:p w14:paraId="17AE2429">
      <w:pPr>
        <w:spacing w:line="360" w:lineRule="auto"/>
        <w:ind w:firstLine="359" w:firstLineChars="171"/>
        <w:rPr>
          <w:rFonts w:ascii="宋体" w:hAnsi="宋体"/>
          <w:highlight w:val="none"/>
          <w:u w:val="single"/>
        </w:rPr>
      </w:pPr>
      <w:r>
        <w:rPr>
          <w:rFonts w:hint="eastAsia" w:ascii="宋体" w:hAnsi="宋体"/>
          <w:highlight w:val="none"/>
          <w:u w:val="single"/>
        </w:rPr>
        <w:t>（5）发包人要求；</w:t>
      </w:r>
    </w:p>
    <w:p w14:paraId="6090A4F3">
      <w:pPr>
        <w:spacing w:line="360" w:lineRule="auto"/>
        <w:ind w:firstLine="359" w:firstLineChars="171"/>
        <w:rPr>
          <w:rFonts w:ascii="宋体" w:hAnsi="宋体"/>
          <w:highlight w:val="none"/>
          <w:u w:val="single"/>
        </w:rPr>
      </w:pPr>
      <w:r>
        <w:rPr>
          <w:rFonts w:hint="eastAsia" w:ascii="宋体" w:hAnsi="宋体"/>
          <w:highlight w:val="none"/>
          <w:u w:val="single"/>
        </w:rPr>
        <w:t>（6）发包人提供的资料；</w:t>
      </w:r>
    </w:p>
    <w:p w14:paraId="75DB3162">
      <w:pPr>
        <w:spacing w:line="360" w:lineRule="auto"/>
        <w:ind w:firstLine="359" w:firstLineChars="171"/>
        <w:rPr>
          <w:rFonts w:ascii="宋体" w:hAnsi="宋体"/>
          <w:highlight w:val="none"/>
          <w:u w:val="single"/>
        </w:rPr>
      </w:pPr>
      <w:r>
        <w:rPr>
          <w:rFonts w:hint="eastAsia" w:ascii="宋体" w:hAnsi="宋体"/>
          <w:highlight w:val="none"/>
          <w:u w:val="single"/>
        </w:rPr>
        <w:t>（7）投标文件格式；</w:t>
      </w:r>
    </w:p>
    <w:p w14:paraId="0615D8A9">
      <w:pPr>
        <w:spacing w:line="360" w:lineRule="auto"/>
        <w:ind w:firstLine="359" w:firstLineChars="171"/>
        <w:rPr>
          <w:rFonts w:ascii="宋体" w:hAnsi="宋体"/>
          <w:highlight w:val="none"/>
          <w:u w:val="single"/>
        </w:rPr>
      </w:pPr>
      <w:r>
        <w:rPr>
          <w:rFonts w:hint="eastAsia" w:ascii="宋体" w:hAnsi="宋体"/>
          <w:highlight w:val="none"/>
          <w:u w:val="single"/>
        </w:rPr>
        <w:t>（8）投标人须知前附表规定的其他资料。</w:t>
      </w:r>
    </w:p>
    <w:p w14:paraId="3D5A8A07">
      <w:pPr>
        <w:spacing w:line="360" w:lineRule="auto"/>
        <w:ind w:firstLine="359" w:firstLineChars="171"/>
        <w:rPr>
          <w:rFonts w:ascii="宋体" w:hAnsi="宋体"/>
          <w:highlight w:val="none"/>
        </w:rPr>
      </w:pPr>
      <w:r>
        <w:rPr>
          <w:rFonts w:hint="eastAsia" w:ascii="宋体" w:hAnsi="宋体"/>
          <w:highlight w:val="none"/>
        </w:rPr>
        <w:t>2.1.2根据本章第1.10款、第2.2款和第2.3款对招标文件所作的澄清、修改，构成招标文件的组成部分。</w:t>
      </w:r>
    </w:p>
    <w:p w14:paraId="0898F489">
      <w:pPr>
        <w:spacing w:line="360" w:lineRule="auto"/>
        <w:ind w:firstLine="359" w:firstLineChars="171"/>
        <w:rPr>
          <w:rFonts w:ascii="宋体" w:hAnsi="宋体"/>
          <w:highlight w:val="none"/>
          <w:u w:val="single"/>
        </w:rPr>
      </w:pPr>
      <w:r>
        <w:rPr>
          <w:rFonts w:hint="eastAsia" w:ascii="宋体" w:hAnsi="宋体"/>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w:t>
      </w:r>
      <w:r>
        <w:rPr>
          <w:rFonts w:hint="eastAsia" w:ascii="宋体" w:hAnsi="宋体"/>
          <w:highlight w:val="none"/>
          <w:u w:val="single"/>
          <w:lang w:val="en-US" w:eastAsia="zh-CN"/>
        </w:rPr>
        <w:t>撤销</w:t>
      </w:r>
      <w:r>
        <w:rPr>
          <w:rFonts w:hint="eastAsia" w:ascii="宋体" w:hAnsi="宋体"/>
          <w:highlight w:val="none"/>
          <w:u w:val="single"/>
        </w:rPr>
        <w:t>其不符合要求的差异或保留使之成为具有响应性的投标文件。</w:t>
      </w:r>
    </w:p>
    <w:p w14:paraId="69E082EE">
      <w:pPr>
        <w:spacing w:line="360" w:lineRule="auto"/>
        <w:ind w:firstLine="359" w:firstLineChars="171"/>
        <w:rPr>
          <w:rFonts w:hint="eastAsia" w:ascii="宋体" w:hAnsi="宋体" w:eastAsia="宋体" w:cs="Times New Roman"/>
          <w:highlight w:val="none"/>
          <w:u w:val="single"/>
        </w:rPr>
      </w:pPr>
      <w:r>
        <w:rPr>
          <w:rFonts w:hint="eastAsia" w:ascii="宋体" w:hAnsi="宋体" w:eastAsia="宋体" w:cs="Times New Roman"/>
          <w:highlight w:val="none"/>
          <w:u w:val="single"/>
        </w:rPr>
        <w:t>2.1.4投标人一旦中标，招标文件的内容对招标人和中标人双方均有约束力。</w:t>
      </w:r>
    </w:p>
    <w:p w14:paraId="245AE6D0">
      <w:pPr>
        <w:spacing w:line="360" w:lineRule="auto"/>
        <w:ind w:firstLine="359" w:firstLineChars="171"/>
        <w:rPr>
          <w:rFonts w:ascii="宋体" w:hAnsi="宋体"/>
          <w:highlight w:val="none"/>
          <w:u w:val="single"/>
        </w:rPr>
      </w:pPr>
      <w:r>
        <w:rPr>
          <w:rFonts w:hint="eastAsia" w:ascii="宋体" w:hAnsi="宋体"/>
          <w:highlight w:val="none"/>
          <w:u w:val="single"/>
        </w:rPr>
        <w:t>2.1.</w:t>
      </w:r>
      <w:r>
        <w:rPr>
          <w:rFonts w:ascii="宋体" w:hAnsi="宋体"/>
          <w:highlight w:val="none"/>
          <w:u w:val="single"/>
        </w:rPr>
        <w:t xml:space="preserve">5 </w:t>
      </w:r>
      <w:r>
        <w:rPr>
          <w:rFonts w:hint="eastAsia" w:ascii="宋体" w:hAnsi="宋体"/>
          <w:highlight w:val="none"/>
          <w:u w:val="single"/>
        </w:rPr>
        <w:t>发布招标公告的同时，通过广州交易集团有限公司（广州公共资源交易中心）网站发布招标文件、最高投标限价等。</w:t>
      </w:r>
    </w:p>
    <w:p w14:paraId="2153878A">
      <w:pPr>
        <w:spacing w:line="360" w:lineRule="auto"/>
        <w:ind w:firstLine="359" w:firstLineChars="171"/>
        <w:rPr>
          <w:rFonts w:ascii="宋体" w:hAnsi="宋体"/>
          <w:highlight w:val="none"/>
          <w:u w:val="single"/>
        </w:rPr>
      </w:pPr>
      <w:r>
        <w:rPr>
          <w:rFonts w:hint="eastAsia" w:ascii="宋体" w:hAnsi="宋体"/>
          <w:highlight w:val="none"/>
          <w:u w:val="single"/>
        </w:rPr>
        <w:t>2</w:t>
      </w:r>
      <w:r>
        <w:rPr>
          <w:rFonts w:ascii="宋体" w:hAnsi="宋体"/>
          <w:highlight w:val="none"/>
          <w:u w:val="single"/>
        </w:rPr>
        <w:t>.1.6</w:t>
      </w:r>
      <w:r>
        <w:rPr>
          <w:rFonts w:hint="eastAsia" w:ascii="宋体" w:hAnsi="宋体"/>
          <w:highlight w:val="none"/>
          <w:u w:val="single"/>
        </w:rPr>
        <w:t>招标文件一经在</w:t>
      </w:r>
      <w:r>
        <w:rPr>
          <w:rFonts w:hint="eastAsia" w:ascii="宋体" w:eastAsia="宋体"/>
          <w:bCs w:val="0"/>
          <w:sz w:val="21"/>
          <w:szCs w:val="24"/>
          <w:highlight w:val="none"/>
          <w:u w:val="single"/>
        </w:rPr>
        <w:t>广州交易集团有限公司</w:t>
      </w:r>
      <w:r>
        <w:rPr>
          <w:rFonts w:hint="eastAsia" w:ascii="宋体"/>
          <w:bCs w:val="0"/>
          <w:sz w:val="21"/>
          <w:szCs w:val="24"/>
          <w:highlight w:val="none"/>
          <w:u w:val="single"/>
          <w:lang w:eastAsia="zh-CN"/>
        </w:rPr>
        <w:t>（</w:t>
      </w:r>
      <w:r>
        <w:rPr>
          <w:rFonts w:hint="eastAsia" w:ascii="宋体" w:hAnsi="宋体"/>
          <w:highlight w:val="none"/>
          <w:u w:val="single"/>
        </w:rPr>
        <w:t>广州公共资源交易中心</w:t>
      </w:r>
      <w:r>
        <w:rPr>
          <w:rFonts w:hint="eastAsia" w:ascii="宋体"/>
          <w:bCs w:val="0"/>
          <w:sz w:val="21"/>
          <w:szCs w:val="24"/>
          <w:highlight w:val="none"/>
          <w:u w:val="single"/>
          <w:lang w:eastAsia="zh-CN"/>
        </w:rPr>
        <w:t>）</w:t>
      </w:r>
      <w:r>
        <w:rPr>
          <w:rFonts w:hint="eastAsia" w:ascii="宋体" w:hAnsi="宋体"/>
          <w:highlight w:val="none"/>
          <w:u w:val="single"/>
        </w:rPr>
        <w:t>网站发布，视作已发放给所有投标人。</w:t>
      </w:r>
    </w:p>
    <w:p w14:paraId="7B35AEB4">
      <w:pPr>
        <w:pStyle w:val="23"/>
        <w:rPr>
          <w:rFonts w:hAnsi="宋体"/>
          <w:highlight w:val="none"/>
        </w:rPr>
      </w:pPr>
    </w:p>
    <w:p w14:paraId="3FF0E5FF">
      <w:pPr>
        <w:pStyle w:val="5"/>
        <w:spacing w:line="360" w:lineRule="auto"/>
        <w:ind w:firstLine="118"/>
        <w:rPr>
          <w:rFonts w:ascii="宋体" w:eastAsia="宋体"/>
          <w:b/>
          <w:sz w:val="24"/>
          <w:szCs w:val="24"/>
          <w:highlight w:val="none"/>
        </w:rPr>
      </w:pPr>
      <w:bookmarkStart w:id="94" w:name="_Toc165358633"/>
      <w:bookmarkStart w:id="95" w:name="_Toc165358768"/>
      <w:bookmarkStart w:id="96" w:name="_Toc86413277"/>
      <w:r>
        <w:rPr>
          <w:rFonts w:hint="eastAsia" w:ascii="宋体" w:eastAsia="宋体"/>
          <w:b/>
          <w:sz w:val="24"/>
          <w:szCs w:val="24"/>
          <w:highlight w:val="none"/>
        </w:rPr>
        <w:t>2.2 招标文件的澄清</w:t>
      </w:r>
      <w:bookmarkEnd w:id="94"/>
      <w:bookmarkEnd w:id="95"/>
      <w:bookmarkEnd w:id="96"/>
    </w:p>
    <w:p w14:paraId="00E6F2F5">
      <w:pPr>
        <w:pStyle w:val="5"/>
        <w:spacing w:before="0" w:after="0" w:line="360" w:lineRule="auto"/>
        <w:ind w:firstLine="424" w:firstLineChars="202"/>
        <w:rPr>
          <w:rFonts w:ascii="宋体" w:eastAsia="宋体"/>
          <w:bCs w:val="0"/>
          <w:sz w:val="21"/>
          <w:szCs w:val="24"/>
          <w:highlight w:val="none"/>
          <w:u w:val="single"/>
        </w:rPr>
      </w:pPr>
      <w:bookmarkStart w:id="97" w:name="_Toc165358634"/>
      <w:bookmarkStart w:id="98" w:name="_Toc165358769"/>
      <w:r>
        <w:rPr>
          <w:rFonts w:hint="eastAsia" w:ascii="宋体" w:eastAsia="宋体"/>
          <w:bCs w:val="0"/>
          <w:sz w:val="21"/>
          <w:szCs w:val="24"/>
          <w:highlight w:val="none"/>
          <w:u w:val="single"/>
        </w:rPr>
        <w:t>2.2.1 投标人应仔细阅读和检查招标文件的全部内容。如发现缺页或附件不全，应及时向招标人提出，以便补齐。如有疑问，可在规定的时间内通过广州交易集团有限公司（广州公共资源交易中心）网站进入提问区域将问题提交给招标人或招标代理人，提交问题时一律不得署名。</w:t>
      </w:r>
      <w:bookmarkEnd w:id="97"/>
      <w:bookmarkEnd w:id="98"/>
    </w:p>
    <w:p w14:paraId="5D171618">
      <w:pPr>
        <w:pStyle w:val="5"/>
        <w:spacing w:before="0" w:after="0" w:line="360" w:lineRule="auto"/>
        <w:ind w:firstLine="424" w:firstLineChars="202"/>
        <w:rPr>
          <w:rFonts w:ascii="宋体" w:eastAsia="宋体"/>
          <w:bCs w:val="0"/>
          <w:sz w:val="21"/>
          <w:szCs w:val="24"/>
          <w:highlight w:val="none"/>
          <w:u w:val="single"/>
        </w:rPr>
      </w:pPr>
      <w:bookmarkStart w:id="99" w:name="_Toc165358635"/>
      <w:bookmarkStart w:id="100" w:name="_Toc165358770"/>
      <w:r>
        <w:rPr>
          <w:rFonts w:hint="eastAsia" w:ascii="宋体" w:eastAsia="宋体"/>
          <w:bCs w:val="0"/>
          <w:sz w:val="21"/>
          <w:szCs w:val="24"/>
          <w:highlight w:val="none"/>
          <w:u w:val="single"/>
        </w:rPr>
        <w:t>网上答疑的操作指南为：投标人的疑问通过广州交易集团有限公司（广州公共资源交易中心）数字交易平台提交。具体操作方法详见广州交易集团有限公司（广州公共资源交易中心）网站发布的《房建市政全流程电子化项目操作专章》</w:t>
      </w:r>
      <w:bookmarkEnd w:id="99"/>
      <w:bookmarkEnd w:id="100"/>
    </w:p>
    <w:p w14:paraId="47D176D2">
      <w:pPr>
        <w:pStyle w:val="5"/>
        <w:spacing w:before="0" w:after="0" w:line="360" w:lineRule="auto"/>
        <w:ind w:firstLine="424" w:firstLineChars="202"/>
        <w:rPr>
          <w:rFonts w:ascii="宋体" w:eastAsia="宋体"/>
          <w:bCs w:val="0"/>
          <w:sz w:val="21"/>
          <w:szCs w:val="24"/>
          <w:highlight w:val="none"/>
          <w:u w:val="single"/>
        </w:rPr>
      </w:pPr>
      <w:bookmarkStart w:id="101" w:name="_Toc165358636"/>
      <w:bookmarkStart w:id="102" w:name="_Toc165358771"/>
      <w:r>
        <w:rPr>
          <w:rFonts w:hint="eastAsia" w:ascii="宋体" w:eastAsia="宋体"/>
          <w:bCs w:val="0"/>
          <w:sz w:val="21"/>
          <w:szCs w:val="24"/>
          <w:highlight w:val="none"/>
          <w:u w:val="single"/>
        </w:rPr>
        <w:t>2.2.2招标人应在投标截止时间15日前解答投标人对招标文件提出的疑问，形成答疑纪要，在交易中心网站“项目答疑纪要”专区发布。</w:t>
      </w:r>
      <w:bookmarkEnd w:id="101"/>
      <w:bookmarkEnd w:id="102"/>
    </w:p>
    <w:p w14:paraId="4AF7AC38">
      <w:pPr>
        <w:pStyle w:val="5"/>
        <w:spacing w:before="0" w:after="0" w:line="360" w:lineRule="auto"/>
        <w:ind w:firstLine="424" w:firstLineChars="202"/>
        <w:rPr>
          <w:rFonts w:ascii="宋体" w:eastAsia="宋体"/>
          <w:bCs w:val="0"/>
          <w:sz w:val="21"/>
          <w:szCs w:val="24"/>
          <w:highlight w:val="none"/>
          <w:u w:val="single"/>
        </w:rPr>
      </w:pPr>
      <w:bookmarkStart w:id="103" w:name="_Toc165358637"/>
      <w:bookmarkStart w:id="104" w:name="_Toc165358772"/>
      <w:r>
        <w:rPr>
          <w:rFonts w:hint="eastAsia" w:ascii="宋体" w:eastAsia="宋体"/>
          <w:bCs w:val="0"/>
          <w:sz w:val="21"/>
          <w:szCs w:val="24"/>
          <w:highlight w:val="none"/>
          <w:u w:val="single"/>
        </w:rPr>
        <w:t>2.2.3招标文件的澄清或修改在广州交易集团有限公司（广州公共资源交易中心）网站答疑专区网</w:t>
      </w:r>
      <w:r>
        <w:rPr>
          <w:rFonts w:hint="eastAsia" w:ascii="宋体" w:eastAsia="宋体"/>
          <w:bCs w:val="0"/>
          <w:sz w:val="21"/>
          <w:szCs w:val="24"/>
          <w:highlight w:val="none"/>
          <w:u w:val="single"/>
          <w:lang w:val="en-US" w:eastAsia="zh-CN"/>
        </w:rPr>
        <w:t>上</w:t>
      </w:r>
      <w:r>
        <w:rPr>
          <w:rFonts w:hint="eastAsia" w:ascii="宋体" w:eastAsia="宋体"/>
          <w:bCs w:val="0"/>
          <w:sz w:val="21"/>
          <w:szCs w:val="24"/>
          <w:highlight w:val="none"/>
          <w:u w:val="single"/>
        </w:rPr>
        <w:t>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bookmarkEnd w:id="103"/>
      <w:bookmarkEnd w:id="104"/>
    </w:p>
    <w:p w14:paraId="14462D70">
      <w:pPr>
        <w:pStyle w:val="5"/>
        <w:spacing w:before="0" w:after="0" w:line="360" w:lineRule="auto"/>
        <w:ind w:firstLine="424" w:firstLineChars="202"/>
        <w:rPr>
          <w:rFonts w:ascii="宋体" w:eastAsia="宋体"/>
          <w:bCs w:val="0"/>
          <w:sz w:val="21"/>
          <w:szCs w:val="24"/>
          <w:highlight w:val="none"/>
          <w:u w:val="single"/>
        </w:rPr>
      </w:pPr>
      <w:bookmarkStart w:id="105" w:name="_Toc165358773"/>
      <w:bookmarkStart w:id="106" w:name="_Toc165358638"/>
      <w:r>
        <w:rPr>
          <w:rFonts w:hint="eastAsia" w:ascii="宋体" w:eastAsia="宋体"/>
          <w:bCs w:val="0"/>
          <w:sz w:val="21"/>
          <w:szCs w:val="24"/>
          <w:highlight w:val="none"/>
          <w:u w:val="single"/>
        </w:rPr>
        <w:t>2.2.4招标答疑纪要为招标文件的一部分。投标人可在广州交易集团有限公司（广州公共资源交易中心）网站浏览、下载招标答疑纪要。</w:t>
      </w:r>
      <w:bookmarkEnd w:id="105"/>
      <w:bookmarkEnd w:id="106"/>
    </w:p>
    <w:p w14:paraId="1AE52316">
      <w:pPr>
        <w:pStyle w:val="2"/>
        <w:spacing w:after="0" w:line="360" w:lineRule="auto"/>
        <w:ind w:firstLine="424" w:firstLineChars="202"/>
        <w:rPr>
          <w:rFonts w:ascii="宋体" w:hAnsi="宋体"/>
          <w:highlight w:val="none"/>
          <w:u w:val="single"/>
        </w:rPr>
      </w:pPr>
      <w:r>
        <w:rPr>
          <w:rFonts w:hint="eastAsia" w:ascii="宋体" w:hAnsi="宋体"/>
          <w:highlight w:val="none"/>
          <w:u w:val="single"/>
        </w:rPr>
        <w:t>2.2.5若招标答疑纪要与招标文件有矛盾时，以广州交易集团有限公司（广州公共资源交易中心）网站最后发布的答疑纪要为准。</w:t>
      </w:r>
    </w:p>
    <w:p w14:paraId="6DF7A955">
      <w:pPr>
        <w:pStyle w:val="5"/>
        <w:spacing w:line="360" w:lineRule="auto"/>
        <w:ind w:firstLine="118"/>
        <w:rPr>
          <w:rFonts w:ascii="宋体" w:eastAsia="宋体"/>
          <w:b/>
          <w:sz w:val="24"/>
          <w:szCs w:val="24"/>
          <w:highlight w:val="none"/>
        </w:rPr>
      </w:pPr>
      <w:bookmarkStart w:id="107" w:name="_Toc86413278"/>
      <w:bookmarkStart w:id="108" w:name="_Toc165358774"/>
      <w:bookmarkStart w:id="109" w:name="_Toc165358639"/>
      <w:r>
        <w:rPr>
          <w:rFonts w:hint="eastAsia" w:ascii="宋体" w:eastAsia="宋体"/>
          <w:b/>
          <w:sz w:val="24"/>
          <w:szCs w:val="24"/>
          <w:highlight w:val="none"/>
        </w:rPr>
        <w:t>2.3 招标文件的修改</w:t>
      </w:r>
      <w:bookmarkEnd w:id="107"/>
      <w:bookmarkEnd w:id="108"/>
      <w:bookmarkEnd w:id="109"/>
    </w:p>
    <w:p w14:paraId="32D25B46">
      <w:pPr>
        <w:pStyle w:val="5"/>
        <w:spacing w:before="0" w:after="0" w:line="360" w:lineRule="auto"/>
        <w:ind w:firstLine="424" w:firstLineChars="202"/>
        <w:rPr>
          <w:rFonts w:ascii="宋体" w:eastAsia="宋体" w:cs="宋体"/>
          <w:bCs w:val="0"/>
          <w:sz w:val="21"/>
          <w:szCs w:val="24"/>
          <w:highlight w:val="none"/>
        </w:rPr>
      </w:pPr>
      <w:bookmarkStart w:id="110" w:name="_Toc165358775"/>
      <w:bookmarkStart w:id="111" w:name="_Toc165358640"/>
      <w:r>
        <w:rPr>
          <w:rFonts w:hint="eastAsia" w:ascii="宋体" w:eastAsia="宋体" w:cs="宋体"/>
          <w:bCs w:val="0"/>
          <w:sz w:val="21"/>
          <w:szCs w:val="24"/>
          <w:highlight w:val="none"/>
        </w:rPr>
        <w:t>2.3.1招标文件发出后,在提交投标文件截止时间15日前，招标人可对招标文件进行必要的澄清或修改。</w:t>
      </w:r>
      <w:bookmarkEnd w:id="110"/>
      <w:bookmarkEnd w:id="111"/>
    </w:p>
    <w:p w14:paraId="59432FCA">
      <w:pPr>
        <w:pStyle w:val="5"/>
        <w:spacing w:before="0" w:after="0" w:line="360" w:lineRule="auto"/>
        <w:ind w:firstLine="424" w:firstLineChars="202"/>
        <w:rPr>
          <w:rFonts w:ascii="宋体" w:eastAsia="宋体" w:cs="宋体"/>
          <w:bCs w:val="0"/>
          <w:sz w:val="21"/>
          <w:szCs w:val="24"/>
          <w:highlight w:val="none"/>
        </w:rPr>
      </w:pPr>
      <w:bookmarkStart w:id="112" w:name="_Toc165358776"/>
      <w:bookmarkStart w:id="113" w:name="_Toc165358641"/>
      <w:r>
        <w:rPr>
          <w:rFonts w:hint="eastAsia" w:ascii="宋体" w:eastAsia="宋体" w:cs="宋体"/>
          <w:bCs w:val="0"/>
          <w:sz w:val="21"/>
          <w:szCs w:val="24"/>
          <w:highlight w:val="none"/>
        </w:rPr>
        <w:t>2.3.2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bookmarkEnd w:id="112"/>
      <w:bookmarkEnd w:id="113"/>
    </w:p>
    <w:p w14:paraId="2F1CBA43">
      <w:pPr>
        <w:pStyle w:val="5"/>
        <w:spacing w:before="0" w:after="0" w:line="360" w:lineRule="auto"/>
        <w:ind w:firstLine="424" w:firstLineChars="202"/>
        <w:rPr>
          <w:rFonts w:ascii="宋体" w:eastAsia="宋体" w:cs="宋体"/>
          <w:bCs w:val="0"/>
          <w:sz w:val="21"/>
          <w:szCs w:val="24"/>
          <w:highlight w:val="none"/>
        </w:rPr>
      </w:pPr>
      <w:bookmarkStart w:id="114" w:name="_Toc165358642"/>
      <w:bookmarkStart w:id="115" w:name="_Toc165358777"/>
      <w:r>
        <w:rPr>
          <w:rFonts w:hint="eastAsia" w:ascii="宋体" w:eastAsia="宋体" w:cs="宋体"/>
          <w:bCs w:val="0"/>
          <w:sz w:val="21"/>
          <w:szCs w:val="24"/>
          <w:highlight w:val="non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bookmarkEnd w:id="114"/>
      <w:bookmarkEnd w:id="115"/>
    </w:p>
    <w:p w14:paraId="2E7D07D4">
      <w:pPr>
        <w:spacing w:line="360" w:lineRule="auto"/>
        <w:ind w:firstLine="424" w:firstLineChars="202"/>
        <w:rPr>
          <w:rFonts w:ascii="宋体" w:hAnsi="宋体" w:cs="宋体"/>
          <w:highlight w:val="none"/>
          <w:u w:val="single"/>
        </w:rPr>
      </w:pPr>
      <w:r>
        <w:rPr>
          <w:rFonts w:hint="eastAsia" w:ascii="宋体" w:hAnsi="宋体" w:cs="宋体"/>
          <w:highlight w:val="non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r>
        <w:rPr>
          <w:rFonts w:hint="eastAsia" w:ascii="宋体" w:hAnsi="宋体" w:cs="宋体"/>
          <w:szCs w:val="21"/>
          <w:highlight w:val="none"/>
        </w:rPr>
        <w:t>。</w:t>
      </w:r>
    </w:p>
    <w:p w14:paraId="20F8404C">
      <w:pPr>
        <w:pStyle w:val="4"/>
        <w:spacing w:line="360" w:lineRule="auto"/>
        <w:rPr>
          <w:rFonts w:ascii="宋体" w:hAnsi="宋体" w:eastAsia="宋体" w:cs="宋体"/>
          <w:highlight w:val="none"/>
        </w:rPr>
      </w:pPr>
      <w:bookmarkStart w:id="116" w:name="_Toc26056"/>
      <w:bookmarkStart w:id="117" w:name="_Toc49303761"/>
      <w:bookmarkStart w:id="118" w:name="_Toc165358778"/>
      <w:bookmarkStart w:id="119" w:name="_Toc86413279"/>
      <w:bookmarkStart w:id="120" w:name="_Toc165358643"/>
      <w:r>
        <w:rPr>
          <w:rFonts w:hint="eastAsia" w:ascii="宋体" w:hAnsi="宋体" w:eastAsia="宋体"/>
          <w:highlight w:val="none"/>
        </w:rPr>
        <w:t xml:space="preserve">3. </w:t>
      </w:r>
      <w:bookmarkEnd w:id="116"/>
      <w:r>
        <w:rPr>
          <w:rFonts w:hint="eastAsia" w:ascii="宋体" w:hAnsi="宋体" w:eastAsia="宋体" w:cs="宋体"/>
          <w:highlight w:val="none"/>
        </w:rPr>
        <w:t>投标文件</w:t>
      </w:r>
      <w:bookmarkEnd w:id="117"/>
      <w:bookmarkEnd w:id="118"/>
      <w:bookmarkEnd w:id="119"/>
      <w:bookmarkEnd w:id="120"/>
    </w:p>
    <w:p w14:paraId="33FDF8A6">
      <w:pPr>
        <w:pStyle w:val="5"/>
        <w:spacing w:line="360" w:lineRule="auto"/>
        <w:ind w:firstLine="118"/>
        <w:rPr>
          <w:rFonts w:hint="eastAsia" w:ascii="宋体" w:hAnsi="宋体" w:eastAsia="宋体" w:cs="Times New Roman"/>
          <w:b/>
          <w:sz w:val="24"/>
          <w:szCs w:val="24"/>
          <w:highlight w:val="none"/>
        </w:rPr>
      </w:pPr>
      <w:bookmarkStart w:id="121" w:name="_Toc165358644"/>
      <w:bookmarkStart w:id="122" w:name="_Toc165358779"/>
      <w:r>
        <w:rPr>
          <w:rFonts w:hint="eastAsia" w:ascii="宋体" w:hAnsi="宋体" w:eastAsia="宋体" w:cs="Times New Roman"/>
          <w:b/>
          <w:sz w:val="24"/>
          <w:szCs w:val="24"/>
          <w:highlight w:val="none"/>
        </w:rPr>
        <w:t>3.1投标文件的组成</w:t>
      </w:r>
      <w:bookmarkEnd w:id="121"/>
      <w:bookmarkEnd w:id="122"/>
    </w:p>
    <w:p w14:paraId="0E6C9C4C">
      <w:pPr>
        <w:snapToGrid w:val="0"/>
        <w:spacing w:line="360" w:lineRule="auto"/>
        <w:ind w:firstLine="420" w:firstLineChars="200"/>
        <w:rPr>
          <w:rFonts w:ascii="宋体" w:hAnsi="宋体"/>
          <w:highlight w:val="none"/>
          <w:u w:val="single"/>
        </w:rPr>
      </w:pPr>
      <w:r>
        <w:rPr>
          <w:rFonts w:hint="eastAsia" w:ascii="宋体" w:hAnsi="宋体" w:cs="宋体"/>
          <w:szCs w:val="21"/>
          <w:highlight w:val="none"/>
          <w:u w:val="single"/>
        </w:rPr>
        <w:t>投标文件由资格审查文件、</w:t>
      </w:r>
      <w:r>
        <w:rPr>
          <w:rFonts w:hint="eastAsia" w:ascii="宋体" w:hAnsi="宋体" w:cs="宋体"/>
          <w:szCs w:val="21"/>
          <w:highlight w:val="none"/>
          <w:u w:val="single"/>
          <w:lang w:eastAsia="zh-CN"/>
        </w:rPr>
        <w:t>技术标</w:t>
      </w:r>
      <w:r>
        <w:rPr>
          <w:rFonts w:hint="eastAsia" w:ascii="宋体" w:hAnsi="宋体" w:cs="宋体"/>
          <w:szCs w:val="21"/>
          <w:highlight w:val="none"/>
          <w:u w:val="single"/>
        </w:rPr>
        <w:t>投标文件及定标文件</w:t>
      </w:r>
      <w:r>
        <w:rPr>
          <w:rFonts w:hint="eastAsia" w:ascii="宋体" w:hAnsi="宋体"/>
          <w:highlight w:val="none"/>
          <w:u w:val="single"/>
        </w:rPr>
        <w:t>三</w:t>
      </w:r>
      <w:r>
        <w:rPr>
          <w:rFonts w:hint="eastAsia" w:ascii="宋体" w:hAnsi="宋体" w:cs="宋体"/>
          <w:szCs w:val="21"/>
          <w:highlight w:val="none"/>
          <w:u w:val="single"/>
        </w:rPr>
        <w:t>部分组成，各部分投标文件应分</w:t>
      </w:r>
      <w:r>
        <w:rPr>
          <w:rFonts w:hint="eastAsia" w:ascii="宋体" w:hAnsi="宋体"/>
          <w:highlight w:val="none"/>
          <w:u w:val="single"/>
        </w:rPr>
        <w:t>别编制。如招标文件没有格式规定的，由投标人自行编制。</w:t>
      </w:r>
    </w:p>
    <w:p w14:paraId="6AD246F7">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3.1.</w:t>
      </w:r>
      <w:r>
        <w:rPr>
          <w:rFonts w:ascii="宋体" w:hAnsi="宋体" w:cs="宋体"/>
          <w:b/>
          <w:szCs w:val="21"/>
          <w:highlight w:val="none"/>
        </w:rPr>
        <w:t>1</w:t>
      </w:r>
      <w:r>
        <w:rPr>
          <w:rFonts w:hint="eastAsia" w:ascii="宋体" w:hAnsi="宋体" w:cs="宋体"/>
          <w:b/>
          <w:szCs w:val="21"/>
          <w:highlight w:val="none"/>
        </w:rPr>
        <w:t>资格审查文件：</w:t>
      </w:r>
    </w:p>
    <w:p w14:paraId="14E7F303">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（1）封面；</w:t>
      </w:r>
    </w:p>
    <w:p w14:paraId="1C9B6AF1">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（2）目录；</w:t>
      </w:r>
    </w:p>
    <w:p w14:paraId="0621E4F1">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（3）投标单位法定代表人证明书及法人授权委托证明书</w:t>
      </w:r>
      <w:r>
        <w:rPr>
          <w:rFonts w:hint="eastAsia" w:ascii="宋体" w:hAnsi="宋体" w:cs="宋体"/>
          <w:szCs w:val="21"/>
          <w:highlight w:val="none"/>
          <w:u w:val="single"/>
          <w:lang w:val="zh-CN"/>
        </w:rPr>
        <w:t>（</w:t>
      </w:r>
      <w:r>
        <w:rPr>
          <w:rFonts w:hint="eastAsia" w:ascii="宋体" w:hAnsi="宋体" w:cs="宋体"/>
          <w:szCs w:val="21"/>
          <w:highlight w:val="none"/>
          <w:u w:val="single"/>
        </w:rPr>
        <w:t>按招标文件格式1要求填写)；</w:t>
      </w:r>
    </w:p>
    <w:p w14:paraId="0982FF67">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（4）企业营业执照（联合体投标的，联合体各方均提供）；</w:t>
      </w:r>
    </w:p>
    <w:p w14:paraId="5C1CCD94">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（5）资质证书（联合体投标的，由承接施工任务方提供）；</w:t>
      </w:r>
    </w:p>
    <w:p w14:paraId="0900C391">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（6）安全生产许可证（联合体投标的，由承接施工任务方提供）；</w:t>
      </w:r>
    </w:p>
    <w:p w14:paraId="65773E80">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（7）项目负责人（兼任施工负责人，联合体投标的，由承接施工</w:t>
      </w:r>
      <w:bookmarkStart w:id="123" w:name="OLE_LINK135"/>
      <w:bookmarkStart w:id="124" w:name="OLE_LINK136"/>
      <w:r>
        <w:rPr>
          <w:rFonts w:hint="eastAsia"/>
          <w:highlight w:val="none"/>
          <w:u w:val="single"/>
        </w:rPr>
        <w:t>任务的</w:t>
      </w:r>
      <w:bookmarkStart w:id="125" w:name="OLE_LINK132"/>
      <w:r>
        <w:rPr>
          <w:rFonts w:hint="eastAsia"/>
          <w:highlight w:val="none"/>
          <w:u w:val="single"/>
        </w:rPr>
        <w:t>主办方</w:t>
      </w:r>
      <w:bookmarkEnd w:id="123"/>
      <w:bookmarkEnd w:id="124"/>
      <w:bookmarkEnd w:id="125"/>
      <w:r>
        <w:rPr>
          <w:rFonts w:hint="eastAsia" w:ascii="宋体" w:hAnsi="宋体" w:cs="宋体"/>
          <w:szCs w:val="21"/>
          <w:highlight w:val="none"/>
          <w:u w:val="single"/>
        </w:rPr>
        <w:t>提供）的建造师注册证书（以投标登记时选取的项目负责人为准），有效期内的安全培训考核合格证（B类）或建筑施工企业项目负责人安全生产考核合格证书；</w:t>
      </w:r>
    </w:p>
    <w:p w14:paraId="3D687F52">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（8）投标人（联合体投标的，由承接施工</w:t>
      </w:r>
      <w:r>
        <w:rPr>
          <w:rFonts w:hint="eastAsia"/>
          <w:highlight w:val="none"/>
          <w:u w:val="single"/>
        </w:rPr>
        <w:t>任务的主办方</w:t>
      </w:r>
      <w:r>
        <w:rPr>
          <w:rFonts w:hint="eastAsia" w:ascii="宋体" w:hAnsi="宋体" w:cs="宋体"/>
          <w:szCs w:val="21"/>
          <w:highlight w:val="none"/>
          <w:u w:val="single"/>
        </w:rPr>
        <w:t>提供）拟派施工技术负责人职称证书；</w:t>
      </w:r>
    </w:p>
    <w:p w14:paraId="38AA3EB4">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）投标人（联合体投标的，由承接施工</w:t>
      </w:r>
      <w:r>
        <w:rPr>
          <w:rFonts w:hint="eastAsia"/>
          <w:highlight w:val="none"/>
          <w:u w:val="single"/>
        </w:rPr>
        <w:t>任务的主办方</w:t>
      </w:r>
      <w:r>
        <w:rPr>
          <w:rFonts w:hint="eastAsia" w:ascii="宋体" w:hAnsi="宋体" w:cs="宋体"/>
          <w:szCs w:val="21"/>
          <w:highlight w:val="none"/>
          <w:u w:val="single"/>
        </w:rPr>
        <w:t>提供）拟派专职安全员须具有在有效期内安全生产考核合格证（C类）或建筑施工企业专职安全生产管理人员安全生产考核合格证书（C3）（以投标登记时选取的专职安全员为准）；</w:t>
      </w:r>
    </w:p>
    <w:p w14:paraId="0EE0CE7F">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）按招标公告附件一盖章签署的《</w:t>
      </w:r>
      <w:r>
        <w:rPr>
          <w:rFonts w:hint="eastAsia" w:ascii="宋体" w:hAnsi="宋体" w:cs="宋体"/>
          <w:szCs w:val="21"/>
          <w:highlight w:val="none"/>
          <w:u w:val="single"/>
          <w:lang w:eastAsia="zh-CN"/>
        </w:rPr>
        <w:t>投标申请人声明</w:t>
      </w:r>
      <w:r>
        <w:rPr>
          <w:rFonts w:hint="eastAsia" w:ascii="宋体" w:hAnsi="宋体" w:cs="宋体"/>
          <w:szCs w:val="21"/>
          <w:highlight w:val="none"/>
          <w:u w:val="single"/>
        </w:rPr>
        <w:t>》；</w:t>
      </w:r>
    </w:p>
    <w:p w14:paraId="37FCD5D1">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 xml:space="preserve">）按招标公告附件二盖章签署的《联合体工作协议书》（如有）； </w:t>
      </w:r>
    </w:p>
    <w:p w14:paraId="36C444A2">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）资格审查前，投标人（若为联合体，指主办方）须在</w:t>
      </w:r>
      <w:r>
        <w:rPr>
          <w:rFonts w:hint="eastAsia"/>
          <w:color w:val="auto"/>
          <w:highlight w:val="none"/>
          <w:u w:val="single"/>
        </w:rPr>
        <w:t>广州市住房和城乡建设局</w:t>
      </w:r>
      <w:r>
        <w:rPr>
          <w:rFonts w:hint="eastAsia" w:ascii="宋体" w:hAnsi="宋体" w:cs="宋体"/>
          <w:szCs w:val="21"/>
          <w:highlight w:val="none"/>
          <w:u w:val="single"/>
        </w:rPr>
        <w:t>信用管理平台建立企业信用档案，及拟担任本项目的项目负责人、专职安全员是本企业信用档案中的在册人员，联合体投标的，企业信用档案和人员在册情况应与联合体共同投标协议分工对应。（需提供广州市住建行业信用管理平台企业信用档案的企业和人员信息的网上截图）。</w:t>
      </w:r>
    </w:p>
    <w:p w14:paraId="77E50486">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）投标人认为应该提供的其他资料。</w:t>
      </w:r>
    </w:p>
    <w:p w14:paraId="50352968">
      <w:pPr>
        <w:spacing w:line="360" w:lineRule="auto"/>
        <w:ind w:firstLine="422" w:firstLineChars="200"/>
        <w:rPr>
          <w:rFonts w:ascii="宋体" w:hAnsi="宋体" w:cs="宋体"/>
          <w:b/>
          <w:highlight w:val="none"/>
        </w:rPr>
      </w:pPr>
      <w:r>
        <w:rPr>
          <w:rFonts w:hint="eastAsia" w:ascii="宋体" w:hAnsi="宋体" w:cs="宋体"/>
          <w:b/>
          <w:highlight w:val="none"/>
        </w:rPr>
        <w:t>注：1.相关电子证书按规定需打印后手写本人签名的，应按照规定手写本人签名后再扫描提交。</w:t>
      </w:r>
    </w:p>
    <w:p w14:paraId="78A6306B">
      <w:pPr>
        <w:spacing w:line="360" w:lineRule="auto"/>
        <w:ind w:firstLine="422" w:firstLineChars="200"/>
        <w:rPr>
          <w:rFonts w:ascii="宋体" w:hAnsi="宋体" w:cs="宋体"/>
          <w:b/>
          <w:highlight w:val="none"/>
        </w:rPr>
      </w:pPr>
      <w:r>
        <w:rPr>
          <w:rFonts w:hint="eastAsia" w:ascii="宋体" w:hAnsi="宋体" w:cs="宋体"/>
          <w:b/>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F372400">
      <w:pPr>
        <w:spacing w:line="400" w:lineRule="exact"/>
        <w:ind w:firstLine="420" w:firstLineChars="200"/>
        <w:rPr>
          <w:rFonts w:ascii="宋体" w:hAnsi="宋体" w:cs="宋体"/>
          <w:kern w:val="0"/>
          <w:szCs w:val="21"/>
          <w:highlight w:val="none"/>
          <w:u w:val="single"/>
        </w:rPr>
      </w:pPr>
    </w:p>
    <w:p w14:paraId="66C2E834">
      <w:pPr>
        <w:snapToGrid w:val="0"/>
        <w:spacing w:line="360" w:lineRule="auto"/>
        <w:ind w:firstLine="422" w:firstLineChars="200"/>
        <w:rPr>
          <w:rFonts w:ascii="宋体" w:hAnsi="宋体" w:cs="宋体"/>
          <w:b/>
          <w:bCs/>
          <w:szCs w:val="21"/>
          <w:highlight w:val="none"/>
          <w:u w:val="single"/>
        </w:rPr>
      </w:pPr>
      <w:bookmarkStart w:id="126" w:name="_Hlk116463455"/>
      <w:r>
        <w:rPr>
          <w:rFonts w:hint="eastAsia" w:ascii="宋体" w:hAnsi="宋体" w:cs="宋体"/>
          <w:b/>
          <w:bCs/>
          <w:szCs w:val="21"/>
          <w:highlight w:val="none"/>
          <w:u w:val="single"/>
        </w:rPr>
        <w:t>3.1.2</w:t>
      </w:r>
      <w:r>
        <w:rPr>
          <w:rFonts w:hint="eastAsia" w:ascii="宋体" w:hAnsi="宋体" w:cs="宋体"/>
          <w:b/>
          <w:bCs/>
          <w:szCs w:val="21"/>
          <w:highlight w:val="none"/>
          <w:u w:val="single"/>
          <w:lang w:eastAsia="zh-CN"/>
        </w:rPr>
        <w:t>技术标</w:t>
      </w:r>
      <w:r>
        <w:rPr>
          <w:rFonts w:hint="eastAsia" w:ascii="宋体" w:hAnsi="宋体" w:cs="宋体"/>
          <w:b/>
          <w:bCs/>
          <w:szCs w:val="21"/>
          <w:highlight w:val="none"/>
          <w:u w:val="single"/>
        </w:rPr>
        <w:t>（包括但不限于以下内容：）</w:t>
      </w:r>
    </w:p>
    <w:p w14:paraId="03D4E08B">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（1）封面；</w:t>
      </w:r>
    </w:p>
    <w:p w14:paraId="6B9C706F">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（2）目录；</w:t>
      </w:r>
    </w:p>
    <w:p w14:paraId="7F30E95E">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（3）投标书(按招标文件格式2要求填写)；</w:t>
      </w:r>
    </w:p>
    <w:p w14:paraId="54D03533">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（4）投标报价表(按招标文件格式3要求填写)；</w:t>
      </w:r>
    </w:p>
    <w:p w14:paraId="62598F6F">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（5）投标人基本情况表（按招标文件格式4要求填写)；</w:t>
      </w:r>
    </w:p>
    <w:p w14:paraId="4C8FD261">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（6）投标承诺函、报价承诺书（按招标文件格式5-1、5-2要求填写)；</w:t>
      </w:r>
    </w:p>
    <w:p w14:paraId="778C0048">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（7）企业资信实力（如有，按评分表要求结合企业自身实力提供，按招标文件格式6要求填写）；</w:t>
      </w:r>
    </w:p>
    <w:p w14:paraId="538914BA">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w:t>
      </w:r>
      <w:r>
        <w:rPr>
          <w:rFonts w:ascii="宋体" w:hAnsi="宋体" w:cs="宋体"/>
          <w:szCs w:val="21"/>
          <w:highlight w:val="none"/>
          <w:u w:val="single"/>
        </w:rPr>
        <w:t>8</w:t>
      </w:r>
      <w:r>
        <w:rPr>
          <w:rFonts w:hint="eastAsia" w:ascii="宋体" w:hAnsi="宋体" w:cs="宋体"/>
          <w:szCs w:val="21"/>
          <w:highlight w:val="none"/>
          <w:u w:val="single"/>
        </w:rPr>
        <w:t>）项目团队人员配备及技术水平资料（按招标文件格式7要求填写)；</w:t>
      </w:r>
    </w:p>
    <w:p w14:paraId="60C96B4A">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w:t>
      </w:r>
      <w:r>
        <w:rPr>
          <w:rFonts w:ascii="宋体" w:hAnsi="宋体" w:cs="宋体"/>
          <w:szCs w:val="21"/>
          <w:highlight w:val="none"/>
          <w:u w:val="single"/>
        </w:rPr>
        <w:t>9</w:t>
      </w:r>
      <w:r>
        <w:rPr>
          <w:rFonts w:hint="eastAsia" w:ascii="宋体" w:hAnsi="宋体" w:cs="宋体"/>
          <w:szCs w:val="21"/>
          <w:highlight w:val="none"/>
          <w:u w:val="single"/>
        </w:rPr>
        <w:t>）投标文件编制人员名单（按招标文件提供的格式</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填写）；</w:t>
      </w:r>
    </w:p>
    <w:p w14:paraId="647C25E1">
      <w:pPr>
        <w:pStyle w:val="43"/>
        <w:spacing w:line="360" w:lineRule="auto"/>
        <w:ind w:firstLine="400" w:firstLineChars="200"/>
        <w:rPr>
          <w:rFonts w:ascii="宋体" w:hAnsi="宋体" w:cs="宋体"/>
          <w:highlight w:val="non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）投标人认为应该提供的其他资料。</w:t>
      </w:r>
      <w:bookmarkEnd w:id="126"/>
    </w:p>
    <w:p w14:paraId="3762D099">
      <w:pPr>
        <w:spacing w:line="360" w:lineRule="auto"/>
        <w:ind w:firstLine="422" w:firstLineChars="200"/>
        <w:rPr>
          <w:rFonts w:ascii="宋体" w:hAnsi="宋体" w:cs="宋体"/>
          <w:b/>
          <w:szCs w:val="21"/>
          <w:highlight w:val="none"/>
          <w:u w:val="single"/>
        </w:rPr>
      </w:pPr>
      <w:r>
        <w:rPr>
          <w:rFonts w:hint="eastAsia" w:ascii="宋体" w:hAnsi="宋体" w:cs="宋体"/>
          <w:b/>
          <w:szCs w:val="21"/>
          <w:highlight w:val="none"/>
          <w:u w:val="single"/>
        </w:rPr>
        <w:t>3.1.3定标文件主要包括：</w:t>
      </w:r>
    </w:p>
    <w:p w14:paraId="366EB047">
      <w:pPr>
        <w:spacing w:line="360"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（1）</w:t>
      </w:r>
      <w:r>
        <w:rPr>
          <w:rFonts w:hint="eastAsia" w:ascii="宋体" w:hAnsi="宋体" w:cs="宋体"/>
          <w:kern w:val="0"/>
          <w:szCs w:val="21"/>
          <w:highlight w:val="none"/>
          <w:u w:val="single"/>
          <w:lang w:val="en-US" w:eastAsia="zh-CN"/>
        </w:rPr>
        <w:t>投标人根据</w:t>
      </w:r>
      <w:r>
        <w:rPr>
          <w:rFonts w:hint="eastAsia" w:ascii="宋体" w:hAnsi="宋体" w:cs="宋体"/>
          <w:kern w:val="0"/>
          <w:szCs w:val="21"/>
          <w:highlight w:val="none"/>
          <w:u w:val="single"/>
        </w:rPr>
        <w:t>《定标因素评审表》</w:t>
      </w:r>
      <w:r>
        <w:rPr>
          <w:rFonts w:hint="eastAsia" w:ascii="宋体" w:hAnsi="宋体" w:cs="宋体"/>
          <w:kern w:val="0"/>
          <w:szCs w:val="21"/>
          <w:highlight w:val="none"/>
          <w:u w:val="single"/>
          <w:lang w:val="en-US" w:eastAsia="zh-CN"/>
        </w:rPr>
        <w:t>自行编制</w:t>
      </w:r>
      <w:r>
        <w:rPr>
          <w:rFonts w:hint="eastAsia" w:ascii="宋体" w:hAnsi="宋体" w:cs="宋体"/>
          <w:kern w:val="0"/>
          <w:szCs w:val="21"/>
          <w:highlight w:val="none"/>
          <w:u w:val="single"/>
        </w:rPr>
        <w:t>；</w:t>
      </w:r>
    </w:p>
    <w:p w14:paraId="271CA93F">
      <w:pPr>
        <w:spacing w:line="360" w:lineRule="auto"/>
        <w:ind w:firstLine="420" w:firstLineChars="200"/>
        <w:rPr>
          <w:rFonts w:ascii="宋体" w:hAnsi="宋体" w:cs="宋体"/>
          <w:highlight w:val="none"/>
          <w:u w:val="single"/>
        </w:rPr>
      </w:pPr>
      <w:r>
        <w:rPr>
          <w:rFonts w:hint="eastAsia" w:ascii="宋体" w:hAnsi="宋体" w:cs="宋体"/>
          <w:kern w:val="0"/>
          <w:szCs w:val="21"/>
          <w:highlight w:val="none"/>
          <w:u w:val="single"/>
        </w:rPr>
        <w:t>（</w:t>
      </w:r>
      <w:r>
        <w:rPr>
          <w:rFonts w:ascii="宋体" w:hAnsi="宋体" w:cs="宋体"/>
          <w:kern w:val="0"/>
          <w:szCs w:val="21"/>
          <w:highlight w:val="none"/>
          <w:u w:val="single"/>
        </w:rPr>
        <w:t>2</w:t>
      </w:r>
      <w:r>
        <w:rPr>
          <w:rFonts w:hint="eastAsia" w:ascii="宋体" w:hAnsi="宋体" w:cs="宋体"/>
          <w:kern w:val="0"/>
          <w:szCs w:val="21"/>
          <w:highlight w:val="none"/>
          <w:u w:val="single"/>
        </w:rPr>
        <w:t>）投标人认为需要提交的其它文件。</w:t>
      </w:r>
    </w:p>
    <w:p w14:paraId="6982066C">
      <w:pPr>
        <w:pStyle w:val="5"/>
        <w:spacing w:before="0" w:after="0" w:line="360" w:lineRule="auto"/>
        <w:ind w:firstLine="354" w:firstLineChars="147"/>
        <w:rPr>
          <w:rFonts w:ascii="宋体" w:eastAsia="宋体"/>
          <w:b/>
          <w:sz w:val="24"/>
          <w:szCs w:val="24"/>
          <w:highlight w:val="none"/>
        </w:rPr>
      </w:pPr>
      <w:bookmarkStart w:id="127" w:name="_Toc165358780"/>
      <w:bookmarkStart w:id="128" w:name="_Toc165358645"/>
      <w:bookmarkStart w:id="129" w:name="_Toc86413281"/>
      <w:r>
        <w:rPr>
          <w:rFonts w:hint="eastAsia" w:ascii="宋体" w:eastAsia="宋体"/>
          <w:b/>
          <w:sz w:val="24"/>
          <w:szCs w:val="24"/>
          <w:highlight w:val="none"/>
        </w:rPr>
        <w:t>3.2 投标报价</w:t>
      </w:r>
      <w:bookmarkEnd w:id="127"/>
      <w:bookmarkEnd w:id="128"/>
      <w:bookmarkEnd w:id="129"/>
    </w:p>
    <w:p w14:paraId="40E745E5">
      <w:pPr>
        <w:spacing w:line="360" w:lineRule="auto"/>
        <w:ind w:firstLine="420" w:firstLineChars="200"/>
        <w:rPr>
          <w:rFonts w:ascii="宋体" w:hAnsi="宋体" w:cs="宋体"/>
          <w:highlight w:val="none"/>
          <w:u w:val="single"/>
        </w:rPr>
      </w:pPr>
      <w:r>
        <w:rPr>
          <w:rFonts w:hint="eastAsia" w:ascii="宋体" w:hAnsi="宋体" w:cs="宋体"/>
          <w:highlight w:val="none"/>
          <w:u w:val="single"/>
        </w:rPr>
        <w:t>3.2.1 投标人应按第七章“投标文件格式”的要求填写价格。具体的投标报价方式见投标须知前附表。</w:t>
      </w:r>
    </w:p>
    <w:p w14:paraId="5F3C9307">
      <w:pPr>
        <w:spacing w:line="360" w:lineRule="auto"/>
        <w:ind w:firstLine="420" w:firstLineChars="200"/>
        <w:rPr>
          <w:rFonts w:ascii="宋体" w:hAnsi="宋体" w:cs="宋体"/>
          <w:highlight w:val="none"/>
        </w:rPr>
      </w:pPr>
      <w:r>
        <w:rPr>
          <w:rFonts w:hint="eastAsia" w:ascii="宋体" w:hAnsi="宋体" w:cs="宋体"/>
          <w:highlight w:val="none"/>
        </w:rPr>
        <w:t>3.2.2 投标人应充分了解施工场地的位置、周边环境、道路、装卸、保管、安装限制以及影响投标报价的其他要素。投标人根据投标设计，结合市场情况进行投标报价。</w:t>
      </w:r>
    </w:p>
    <w:p w14:paraId="16F485FF">
      <w:pPr>
        <w:spacing w:line="400" w:lineRule="exact"/>
        <w:ind w:firstLine="420" w:firstLineChars="200"/>
        <w:rPr>
          <w:rFonts w:ascii="宋体" w:hAnsi="宋体" w:cs="宋体"/>
          <w:highlight w:val="none"/>
        </w:rPr>
      </w:pPr>
      <w:r>
        <w:rPr>
          <w:rFonts w:hint="eastAsia" w:ascii="宋体" w:hAnsi="宋体" w:cs="宋体"/>
          <w:highlight w:val="none"/>
        </w:rPr>
        <w:t>3.2.3投标人在投标截止时间前修改投标函中的投标报价总额，应同时修改投标文件“价格清单”中的相应报价，投标报价总额为各分项金额之和。此修改须符合本章第4.3款的有关要求。</w:t>
      </w:r>
    </w:p>
    <w:p w14:paraId="34D38D7D">
      <w:pPr>
        <w:spacing w:line="360" w:lineRule="auto"/>
        <w:ind w:firstLine="420" w:firstLineChars="200"/>
        <w:rPr>
          <w:rFonts w:ascii="宋体" w:hAnsi="宋体" w:cs="宋体"/>
          <w:highlight w:val="none"/>
        </w:rPr>
      </w:pPr>
      <w:r>
        <w:rPr>
          <w:rFonts w:hint="eastAsia" w:ascii="宋体" w:hAnsi="宋体" w:cs="宋体"/>
          <w:highlight w:val="none"/>
        </w:rPr>
        <w:t>3.2.4 招标人设有最高投标限价的，投标人的投标报价不得超过最高投标限价，最高投标限价或其计算方法在投标人须知前附表中载明。</w:t>
      </w:r>
    </w:p>
    <w:p w14:paraId="2963A33A">
      <w:pPr>
        <w:spacing w:line="360" w:lineRule="auto"/>
        <w:ind w:firstLine="420" w:firstLineChars="200"/>
        <w:rPr>
          <w:rFonts w:ascii="宋体" w:hAnsi="宋体" w:cs="宋体"/>
          <w:highlight w:val="none"/>
        </w:rPr>
      </w:pPr>
      <w:r>
        <w:rPr>
          <w:rFonts w:hint="eastAsia" w:ascii="宋体" w:hAnsi="宋体" w:cs="宋体"/>
          <w:highlight w:val="none"/>
        </w:rPr>
        <w:t>3.2.5 投标报价的其他要求见投标人须知前附表。</w:t>
      </w:r>
    </w:p>
    <w:p w14:paraId="49F8FC43">
      <w:pPr>
        <w:pStyle w:val="5"/>
        <w:spacing w:line="360" w:lineRule="auto"/>
        <w:ind w:firstLine="354" w:firstLineChars="147"/>
        <w:rPr>
          <w:rFonts w:ascii="宋体" w:eastAsia="宋体"/>
          <w:b/>
          <w:sz w:val="24"/>
          <w:szCs w:val="24"/>
          <w:highlight w:val="none"/>
        </w:rPr>
      </w:pPr>
      <w:bookmarkStart w:id="130" w:name="_Toc86413282"/>
      <w:bookmarkStart w:id="131" w:name="_Toc165358781"/>
      <w:bookmarkStart w:id="132" w:name="_Toc165358646"/>
      <w:r>
        <w:rPr>
          <w:rFonts w:ascii="宋体" w:eastAsia="宋体"/>
          <w:b/>
          <w:sz w:val="24"/>
          <w:szCs w:val="24"/>
          <w:highlight w:val="none"/>
        </w:rPr>
        <w:t>3.3</w:t>
      </w:r>
      <w:r>
        <w:rPr>
          <w:rFonts w:hint="eastAsia" w:ascii="宋体" w:eastAsia="宋体"/>
          <w:b/>
          <w:sz w:val="24"/>
          <w:szCs w:val="24"/>
          <w:highlight w:val="none"/>
        </w:rPr>
        <w:t xml:space="preserve"> 投标有效期</w:t>
      </w:r>
      <w:bookmarkEnd w:id="130"/>
      <w:bookmarkEnd w:id="131"/>
      <w:bookmarkEnd w:id="132"/>
    </w:p>
    <w:p w14:paraId="2C7138FF">
      <w:pPr>
        <w:spacing w:line="360" w:lineRule="auto"/>
        <w:ind w:firstLine="420" w:firstLineChars="200"/>
        <w:rPr>
          <w:rFonts w:ascii="宋体" w:hAnsi="宋体"/>
          <w:highlight w:val="none"/>
        </w:rPr>
      </w:pPr>
      <w:r>
        <w:rPr>
          <w:rFonts w:ascii="宋体" w:hAnsi="宋体"/>
          <w:highlight w:val="none"/>
        </w:rPr>
        <w:t>3.3.1</w:t>
      </w:r>
      <w:r>
        <w:rPr>
          <w:rFonts w:hint="eastAsia" w:ascii="宋体" w:hAnsi="宋体"/>
          <w:highlight w:val="none"/>
          <w:u w:val="none"/>
        </w:rPr>
        <w:t>投标有效期按须知前附表的规定。</w:t>
      </w:r>
    </w:p>
    <w:p w14:paraId="7447BDD3">
      <w:pPr>
        <w:spacing w:line="360" w:lineRule="auto"/>
        <w:ind w:firstLine="420" w:firstLineChars="200"/>
        <w:rPr>
          <w:rFonts w:ascii="宋体" w:hAnsi="宋体"/>
          <w:highlight w:val="none"/>
        </w:rPr>
      </w:pPr>
      <w:r>
        <w:rPr>
          <w:rFonts w:ascii="宋体" w:hAnsi="宋体"/>
          <w:highlight w:val="none"/>
        </w:rPr>
        <w:t xml:space="preserve">3.3.2 </w:t>
      </w:r>
      <w:r>
        <w:rPr>
          <w:rFonts w:hint="eastAsia" w:ascii="宋体" w:hAnsi="宋体"/>
          <w:highlight w:val="none"/>
        </w:rPr>
        <w:t>在投标有效期内，投标人撤销或修改其投标文件的，应承担招标文件和法律规定的责任。</w:t>
      </w:r>
    </w:p>
    <w:p w14:paraId="1B1307FB">
      <w:pPr>
        <w:spacing w:line="360" w:lineRule="auto"/>
        <w:ind w:firstLine="420" w:firstLineChars="200"/>
        <w:rPr>
          <w:rFonts w:ascii="宋体" w:hAnsi="宋体"/>
          <w:highlight w:val="none"/>
        </w:rPr>
      </w:pPr>
      <w:r>
        <w:rPr>
          <w:rFonts w:ascii="宋体" w:hAnsi="宋体"/>
          <w:highlight w:val="none"/>
        </w:rPr>
        <w:t>3.3.3</w:t>
      </w:r>
      <w:r>
        <w:rPr>
          <w:rFonts w:hint="eastAsia" w:ascii="宋体" w:hAnsi="宋体"/>
          <w:highlight w:val="none"/>
        </w:rPr>
        <w:t>出现特殊情况需要延长投标有效期的，招标人以书面形式通知所有投标人延长投标有效期。投标人同意延长的，</w:t>
      </w:r>
      <w:r>
        <w:rPr>
          <w:rFonts w:hint="eastAsia" w:ascii="宋体" w:hAnsi="宋体"/>
          <w:strike w:val="0"/>
          <w:highlight w:val="none"/>
        </w:rPr>
        <w:t>应相应延长其投标保证金的有效期，</w:t>
      </w:r>
      <w:r>
        <w:rPr>
          <w:rFonts w:hint="eastAsia" w:ascii="宋体" w:hAnsi="宋体"/>
          <w:highlight w:val="none"/>
        </w:rPr>
        <w:t>但不得要求或被允许修改或撤销其投标文件；投标人拒绝延长的，其投标失效</w:t>
      </w:r>
      <w:r>
        <w:rPr>
          <w:rFonts w:hint="eastAsia" w:ascii="宋体" w:hAnsi="宋体"/>
          <w:strike w:val="0"/>
          <w:highlight w:val="none"/>
        </w:rPr>
        <w:t>，但投标人有权收回其投标保证金</w:t>
      </w:r>
      <w:r>
        <w:rPr>
          <w:rFonts w:hint="eastAsia" w:ascii="宋体" w:hAnsi="宋体"/>
          <w:highlight w:val="none"/>
        </w:rPr>
        <w:t>。</w:t>
      </w:r>
    </w:p>
    <w:p w14:paraId="5B5519A9">
      <w:pPr>
        <w:pStyle w:val="5"/>
        <w:spacing w:line="360" w:lineRule="auto"/>
        <w:ind w:firstLine="361" w:firstLineChars="150"/>
        <w:rPr>
          <w:rFonts w:ascii="宋体" w:eastAsia="宋体"/>
          <w:b/>
          <w:strike w:val="0"/>
          <w:sz w:val="24"/>
          <w:szCs w:val="24"/>
          <w:highlight w:val="none"/>
        </w:rPr>
      </w:pPr>
      <w:bookmarkStart w:id="133" w:name="_Toc165358647"/>
      <w:bookmarkStart w:id="134" w:name="_Toc86413283"/>
      <w:bookmarkStart w:id="135" w:name="_Toc165358782"/>
      <w:r>
        <w:rPr>
          <w:rFonts w:ascii="宋体" w:hAnsi="宋体" w:eastAsia="宋体"/>
          <w:b/>
          <w:bCs/>
          <w:strike w:val="0"/>
          <w:sz w:val="24"/>
          <w:szCs w:val="24"/>
          <w:highlight w:val="none"/>
        </w:rPr>
        <w:t>3.4</w:t>
      </w:r>
      <w:r>
        <w:rPr>
          <w:rFonts w:hint="eastAsia" w:ascii="宋体" w:hAnsi="宋体" w:eastAsia="宋体"/>
          <w:b/>
          <w:bCs/>
          <w:strike w:val="0"/>
          <w:sz w:val="24"/>
          <w:szCs w:val="24"/>
          <w:highlight w:val="none"/>
        </w:rPr>
        <w:t xml:space="preserve"> 投标保证金</w:t>
      </w:r>
      <w:bookmarkEnd w:id="133"/>
      <w:bookmarkEnd w:id="134"/>
      <w:bookmarkEnd w:id="135"/>
    </w:p>
    <w:p w14:paraId="198C55A0">
      <w:pPr>
        <w:spacing w:line="360" w:lineRule="auto"/>
        <w:ind w:firstLine="420" w:firstLineChars="200"/>
        <w:rPr>
          <w:rFonts w:hint="eastAsia" w:ascii="宋体" w:hAnsi="宋体" w:eastAsia="宋体" w:cs="宋体"/>
          <w:sz w:val="21"/>
          <w:szCs w:val="21"/>
          <w:highlight w:val="none"/>
        </w:rPr>
      </w:pPr>
      <w:bookmarkStart w:id="136" w:name="_Toc165358783"/>
      <w:bookmarkStart w:id="137" w:name="_Toc165358648"/>
      <w:r>
        <w:rPr>
          <w:rFonts w:hint="eastAsia" w:ascii="宋体" w:hAnsi="宋体" w:eastAsia="宋体" w:cs="宋体"/>
          <w:sz w:val="21"/>
          <w:szCs w:val="21"/>
          <w:highlight w:val="none"/>
        </w:rPr>
        <w:t>3.4.1 投标人在递交投标文件的同时，应按投标人须知前附表规定的金额、担保形式递交投标担保，并作为其投标文件的组成部分。联合体投标的，其投标担保由主办方递交，并应符合投标人须知前附表的规定。</w:t>
      </w:r>
      <w:bookmarkEnd w:id="136"/>
      <w:bookmarkEnd w:id="137"/>
    </w:p>
    <w:p w14:paraId="5CF18C53">
      <w:pPr>
        <w:spacing w:line="360" w:lineRule="auto"/>
        <w:ind w:firstLine="420" w:firstLineChars="200"/>
        <w:rPr>
          <w:rFonts w:hint="eastAsia" w:ascii="宋体" w:hAnsi="宋体" w:eastAsia="宋体" w:cs="宋体"/>
          <w:sz w:val="21"/>
          <w:szCs w:val="21"/>
          <w:highlight w:val="none"/>
        </w:rPr>
      </w:pPr>
      <w:bookmarkStart w:id="138" w:name="_Toc165358649"/>
      <w:bookmarkStart w:id="139" w:name="_Toc165358784"/>
      <w:r>
        <w:rPr>
          <w:rFonts w:hint="eastAsia" w:ascii="宋体" w:hAnsi="宋体" w:eastAsia="宋体" w:cs="宋体"/>
          <w:sz w:val="21"/>
          <w:szCs w:val="21"/>
          <w:highlight w:val="none"/>
        </w:rPr>
        <w:t>3.4.2 投标人不按本章第3.4.1项要求提交投标担保的，评标委员会将否决其投标。</w:t>
      </w:r>
      <w:bookmarkEnd w:id="138"/>
      <w:bookmarkEnd w:id="139"/>
    </w:p>
    <w:p w14:paraId="2B971F4B">
      <w:pPr>
        <w:spacing w:line="360" w:lineRule="auto"/>
        <w:ind w:firstLine="420" w:firstLineChars="200"/>
        <w:rPr>
          <w:rFonts w:hint="eastAsia" w:ascii="宋体" w:hAnsi="宋体" w:eastAsia="宋体" w:cs="宋体"/>
          <w:sz w:val="21"/>
          <w:szCs w:val="21"/>
          <w:highlight w:val="none"/>
        </w:rPr>
      </w:pPr>
      <w:bookmarkStart w:id="140" w:name="_Toc165358785"/>
      <w:bookmarkStart w:id="141" w:name="_Toc165358650"/>
      <w:r>
        <w:rPr>
          <w:rFonts w:hint="eastAsia" w:ascii="宋体" w:hAnsi="宋体" w:eastAsia="宋体" w:cs="宋体"/>
          <w:sz w:val="21"/>
          <w:szCs w:val="21"/>
          <w:highlight w:val="none"/>
        </w:rPr>
        <w:t>3.4.3未中标的投标担保将尽快退还，最迟不超过招标人与中标人</w:t>
      </w:r>
      <w:r>
        <w:rPr>
          <w:rFonts w:hint="eastAsia" w:ascii="宋体" w:hAnsi="宋体" w:eastAsia="宋体" w:cs="宋体"/>
          <w:sz w:val="21"/>
          <w:szCs w:val="21"/>
          <w:highlight w:val="none"/>
          <w:lang w:val="en-US" w:eastAsia="zh-CN"/>
        </w:rPr>
        <w:t>签订</w:t>
      </w:r>
      <w:r>
        <w:rPr>
          <w:rFonts w:hint="eastAsia" w:ascii="宋体" w:hAnsi="宋体" w:eastAsia="宋体" w:cs="宋体"/>
          <w:sz w:val="21"/>
          <w:szCs w:val="21"/>
          <w:highlight w:val="none"/>
        </w:rPr>
        <w:t>合同后的5个工作日。中标人的投标担保，在签署合同后予以退还。</w:t>
      </w:r>
      <w:bookmarkEnd w:id="140"/>
      <w:bookmarkEnd w:id="141"/>
    </w:p>
    <w:p w14:paraId="4A0AD696">
      <w:pPr>
        <w:spacing w:line="360" w:lineRule="auto"/>
        <w:ind w:firstLine="420" w:firstLineChars="200"/>
        <w:rPr>
          <w:rFonts w:hint="eastAsia" w:ascii="宋体" w:hAnsi="宋体" w:eastAsia="宋体" w:cs="宋体"/>
          <w:sz w:val="21"/>
          <w:szCs w:val="21"/>
          <w:highlight w:val="none"/>
        </w:rPr>
      </w:pPr>
      <w:bookmarkStart w:id="142" w:name="_Toc165358786"/>
      <w:bookmarkStart w:id="143" w:name="_Toc165358651"/>
      <w:r>
        <w:rPr>
          <w:rFonts w:hint="eastAsia" w:ascii="宋体" w:hAnsi="宋体" w:eastAsia="宋体" w:cs="宋体"/>
          <w:sz w:val="21"/>
          <w:szCs w:val="21"/>
          <w:highlight w:val="none"/>
        </w:rPr>
        <w:t>3.4.4 有下列情形之一的，投标担保将不予退还：</w:t>
      </w:r>
      <w:bookmarkEnd w:id="142"/>
      <w:bookmarkEnd w:id="143"/>
    </w:p>
    <w:p w14:paraId="4815CF65">
      <w:pPr>
        <w:spacing w:line="360" w:lineRule="auto"/>
        <w:ind w:firstLine="470" w:firstLineChars="224"/>
        <w:jc w:val="left"/>
        <w:rPr>
          <w:rFonts w:hint="eastAsia" w:ascii="宋体" w:hAnsi="宋体" w:eastAsia="宋体" w:cs="宋体"/>
          <w:strike w:val="0"/>
          <w:sz w:val="21"/>
          <w:szCs w:val="21"/>
          <w:highlight w:val="none"/>
        </w:rPr>
      </w:pPr>
      <w:bookmarkStart w:id="144" w:name="_Toc165358652"/>
      <w:bookmarkStart w:id="145" w:name="_Toc165358787"/>
      <w:r>
        <w:rPr>
          <w:rFonts w:hint="eastAsia" w:ascii="宋体" w:hAnsi="宋体" w:eastAsia="宋体" w:cs="宋体"/>
          <w:strike w:val="0"/>
          <w:sz w:val="21"/>
          <w:szCs w:val="21"/>
          <w:highlight w:val="none"/>
        </w:rPr>
        <w:t>（1）投标人在规定的投标有效期内撤销或修改其投标文件；</w:t>
      </w:r>
      <w:bookmarkEnd w:id="144"/>
      <w:bookmarkEnd w:id="145"/>
    </w:p>
    <w:p w14:paraId="42803896">
      <w:pPr>
        <w:spacing w:line="360" w:lineRule="auto"/>
        <w:ind w:firstLine="470" w:firstLineChars="224"/>
        <w:jc w:val="left"/>
        <w:rPr>
          <w:rFonts w:hint="eastAsia" w:ascii="宋体" w:hAnsi="宋体" w:eastAsia="宋体" w:cs="宋体"/>
          <w:bCs/>
          <w:strike/>
          <w:sz w:val="21"/>
          <w:szCs w:val="21"/>
          <w:highlight w:val="none"/>
        </w:rPr>
      </w:pPr>
      <w:r>
        <w:rPr>
          <w:rFonts w:hint="eastAsia" w:ascii="宋体" w:hAnsi="宋体" w:eastAsia="宋体" w:cs="宋体"/>
          <w:strike w:val="0"/>
          <w:sz w:val="21"/>
          <w:szCs w:val="21"/>
          <w:highlight w:val="none"/>
        </w:rPr>
        <w:t>（2）中标人在收到中标通知书后，无正当理由拒签合同。</w:t>
      </w:r>
      <w:bookmarkStart w:id="146" w:name="_Toc86413284"/>
    </w:p>
    <w:p w14:paraId="25D51C5D">
      <w:pPr>
        <w:pStyle w:val="5"/>
        <w:spacing w:line="360" w:lineRule="auto"/>
        <w:ind w:firstLine="0" w:firstLineChars="0"/>
        <w:rPr>
          <w:rFonts w:ascii="宋体" w:eastAsia="宋体"/>
          <w:b/>
          <w:sz w:val="24"/>
          <w:szCs w:val="24"/>
          <w:highlight w:val="none"/>
        </w:rPr>
      </w:pPr>
      <w:bookmarkStart w:id="147" w:name="_Toc165358788"/>
      <w:bookmarkStart w:id="148" w:name="_Toc165358653"/>
      <w:r>
        <w:rPr>
          <w:rFonts w:ascii="宋体" w:eastAsia="宋体"/>
          <w:b/>
          <w:sz w:val="24"/>
          <w:szCs w:val="24"/>
          <w:highlight w:val="none"/>
        </w:rPr>
        <w:t>3.5</w:t>
      </w:r>
      <w:r>
        <w:rPr>
          <w:rFonts w:hint="eastAsia" w:ascii="宋体" w:eastAsia="宋体"/>
          <w:b/>
          <w:sz w:val="24"/>
          <w:szCs w:val="24"/>
          <w:highlight w:val="none"/>
        </w:rPr>
        <w:t xml:space="preserve"> 资格审查</w:t>
      </w:r>
      <w:bookmarkEnd w:id="146"/>
      <w:r>
        <w:rPr>
          <w:rFonts w:hint="eastAsia" w:ascii="宋体" w:eastAsia="宋体"/>
          <w:b/>
          <w:sz w:val="24"/>
          <w:szCs w:val="24"/>
          <w:highlight w:val="none"/>
        </w:rPr>
        <w:t>资料</w:t>
      </w:r>
      <w:bookmarkEnd w:id="147"/>
      <w:bookmarkEnd w:id="148"/>
      <w:r>
        <w:rPr>
          <w:rFonts w:hint="eastAsia" w:ascii="宋体" w:eastAsia="宋体"/>
          <w:b/>
          <w:sz w:val="24"/>
          <w:szCs w:val="24"/>
          <w:highlight w:val="none"/>
        </w:rPr>
        <w:t>（适用于未进行资格预审的）</w:t>
      </w:r>
    </w:p>
    <w:p w14:paraId="243D67A7">
      <w:pPr>
        <w:spacing w:line="360" w:lineRule="auto"/>
        <w:ind w:firstLine="420" w:firstLineChars="200"/>
        <w:rPr>
          <w:rFonts w:ascii="宋体" w:hAnsi="宋体"/>
          <w:highlight w:val="none"/>
          <w:u w:val="single"/>
          <w:shd w:val="clear" w:color="auto" w:fill="FFFFFF"/>
        </w:rPr>
      </w:pPr>
      <w:r>
        <w:rPr>
          <w:rFonts w:hint="eastAsia" w:ascii="宋体" w:hAnsi="宋体" w:cs="新宋体"/>
          <w:highlight w:val="none"/>
          <w:u w:val="single"/>
        </w:rPr>
        <w:t>资格审查资料要求详见本章3.1.</w:t>
      </w:r>
      <w:r>
        <w:rPr>
          <w:rFonts w:ascii="宋体" w:hAnsi="宋体" w:cs="新宋体"/>
          <w:highlight w:val="none"/>
          <w:u w:val="single"/>
        </w:rPr>
        <w:t>1</w:t>
      </w:r>
      <w:r>
        <w:rPr>
          <w:rFonts w:hint="eastAsia" w:ascii="宋体" w:hAnsi="宋体" w:cs="新宋体"/>
          <w:highlight w:val="none"/>
          <w:u w:val="single"/>
        </w:rPr>
        <w:t>资格审查文件组成。</w:t>
      </w:r>
    </w:p>
    <w:p w14:paraId="557325DF">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本项目采用电子化资格后审，由评标委员会负责对投标人的资格进行审查，评标时只对通过资格审查的投标人进行下一阶段的评审。</w:t>
      </w:r>
    </w:p>
    <w:p w14:paraId="2B35E9D4">
      <w:pPr>
        <w:spacing w:line="360" w:lineRule="auto"/>
        <w:ind w:firstLine="420" w:firstLineChars="200"/>
        <w:rPr>
          <w:rFonts w:ascii="宋体" w:hAnsi="宋体"/>
          <w:highlight w:val="none"/>
          <w:u w:val="single"/>
        </w:rPr>
      </w:pPr>
      <w:r>
        <w:rPr>
          <w:rFonts w:hint="eastAsia" w:ascii="宋体" w:hAnsi="宋体" w:cs="宋体"/>
          <w:szCs w:val="21"/>
          <w:highlight w:val="none"/>
          <w:u w:val="single"/>
        </w:rPr>
        <w:t>本项目由评标委员会负责对投标人的资格进行审查。资审合格后，投标人的资格发生变化而不满足投标人合格条件，在发出中标通知书前，资格问题仍未解决的，招标人将取消其中标资格。</w:t>
      </w:r>
    </w:p>
    <w:p w14:paraId="1CD7F8D3">
      <w:pPr>
        <w:pStyle w:val="5"/>
        <w:spacing w:line="360" w:lineRule="auto"/>
        <w:ind w:firstLine="0" w:firstLineChars="0"/>
        <w:rPr>
          <w:rFonts w:ascii="宋体" w:eastAsia="宋体"/>
          <w:b/>
          <w:sz w:val="24"/>
          <w:szCs w:val="24"/>
          <w:highlight w:val="none"/>
        </w:rPr>
      </w:pPr>
      <w:bookmarkStart w:id="149" w:name="_Toc86413285"/>
      <w:bookmarkStart w:id="150" w:name="_Toc165358654"/>
      <w:bookmarkStart w:id="151" w:name="_Toc165358789"/>
      <w:r>
        <w:rPr>
          <w:rFonts w:ascii="宋体" w:eastAsia="宋体"/>
          <w:b/>
          <w:sz w:val="24"/>
          <w:szCs w:val="24"/>
          <w:highlight w:val="none"/>
        </w:rPr>
        <w:t>3.6</w:t>
      </w:r>
      <w:r>
        <w:rPr>
          <w:rFonts w:hint="eastAsia" w:ascii="宋体" w:eastAsia="宋体"/>
          <w:b/>
          <w:sz w:val="24"/>
          <w:szCs w:val="24"/>
          <w:highlight w:val="none"/>
        </w:rPr>
        <w:t xml:space="preserve"> 备选投标方案</w:t>
      </w:r>
      <w:bookmarkEnd w:id="149"/>
      <w:bookmarkEnd w:id="150"/>
      <w:bookmarkEnd w:id="151"/>
    </w:p>
    <w:p w14:paraId="63C222A7">
      <w:pPr>
        <w:spacing w:line="400" w:lineRule="exact"/>
        <w:ind w:firstLine="420" w:firstLineChars="200"/>
        <w:rPr>
          <w:rFonts w:ascii="宋体" w:hAnsi="宋体" w:cs="宋体"/>
          <w:highlight w:val="none"/>
        </w:rPr>
      </w:pPr>
      <w:bookmarkStart w:id="152" w:name="_Toc165358790"/>
      <w:bookmarkStart w:id="153" w:name="_Toc165358655"/>
      <w:bookmarkStart w:id="154" w:name="_Toc86413286"/>
      <w:r>
        <w:rPr>
          <w:rFonts w:hint="eastAsia" w:ascii="宋体" w:hAnsi="宋体" w:cs="宋体"/>
          <w:highlight w:val="none"/>
        </w:rPr>
        <w:t>除投标人须知前附表另有规定外，投标人不得递交备选投标方案。</w:t>
      </w:r>
    </w:p>
    <w:p w14:paraId="077B17EA">
      <w:pPr>
        <w:pStyle w:val="5"/>
        <w:spacing w:line="360" w:lineRule="auto"/>
        <w:ind w:firstLine="0" w:firstLineChars="0"/>
        <w:rPr>
          <w:rFonts w:ascii="宋体" w:eastAsia="宋体"/>
          <w:b/>
          <w:sz w:val="24"/>
          <w:szCs w:val="24"/>
          <w:highlight w:val="none"/>
        </w:rPr>
      </w:pPr>
      <w:r>
        <w:rPr>
          <w:rFonts w:ascii="宋体" w:eastAsia="宋体"/>
          <w:b/>
          <w:sz w:val="24"/>
          <w:szCs w:val="24"/>
          <w:highlight w:val="none"/>
        </w:rPr>
        <w:t>3.7</w:t>
      </w:r>
      <w:r>
        <w:rPr>
          <w:rFonts w:hint="eastAsia" w:ascii="宋体" w:eastAsia="宋体"/>
          <w:b/>
          <w:sz w:val="24"/>
          <w:szCs w:val="24"/>
          <w:highlight w:val="none"/>
        </w:rPr>
        <w:t xml:space="preserve"> 投标文件的编制</w:t>
      </w:r>
      <w:bookmarkEnd w:id="152"/>
      <w:bookmarkEnd w:id="153"/>
      <w:bookmarkEnd w:id="154"/>
    </w:p>
    <w:p w14:paraId="4788F928">
      <w:pPr>
        <w:spacing w:line="360" w:lineRule="auto"/>
        <w:ind w:firstLine="420" w:firstLineChars="200"/>
        <w:rPr>
          <w:rFonts w:ascii="宋体" w:hAnsi="宋体"/>
          <w:highlight w:val="none"/>
        </w:rPr>
      </w:pPr>
      <w:r>
        <w:rPr>
          <w:rFonts w:hint="eastAsia" w:ascii="宋体" w:hAnsi="宋体"/>
          <w:highlight w:val="none"/>
        </w:rPr>
        <w:t>3.7.1投标人应按第七章“投标文件格式”进行编写，</w:t>
      </w:r>
      <w:r>
        <w:rPr>
          <w:rFonts w:hint="eastAsia" w:ascii="宋体" w:hAnsi="宋体" w:cs="宋体"/>
          <w:highlight w:val="none"/>
        </w:rPr>
        <w:t>如有必要，可以增加附页，作为投标文件的组成部分。在满足招标文件实质性要求的基础上，可以提出比招标文件要求更有利于招标人的承诺。</w:t>
      </w:r>
    </w:p>
    <w:p w14:paraId="4ECF5F66">
      <w:pPr>
        <w:spacing w:line="360" w:lineRule="auto"/>
        <w:ind w:firstLine="420" w:firstLineChars="200"/>
        <w:rPr>
          <w:rFonts w:ascii="宋体" w:hAnsi="宋体"/>
          <w:highlight w:val="none"/>
        </w:rPr>
      </w:pPr>
      <w:r>
        <w:rPr>
          <w:rFonts w:hint="eastAsia" w:ascii="宋体" w:hAnsi="宋体"/>
          <w:highlight w:val="none"/>
        </w:rPr>
        <w:t>3.7.2 投标文件应当对招标文件有关招标范围、投标有效期、工期、质量标准、发包人要求等实质性内容作出响应。</w:t>
      </w:r>
    </w:p>
    <w:p w14:paraId="1D80D9A2">
      <w:pPr>
        <w:spacing w:line="360" w:lineRule="auto"/>
        <w:ind w:firstLine="420" w:firstLineChars="200"/>
        <w:rPr>
          <w:rFonts w:ascii="宋体" w:hAnsi="宋体"/>
          <w:b/>
          <w:bCs/>
          <w:highlight w:val="none"/>
          <w:u w:val="single"/>
        </w:rPr>
      </w:pPr>
      <w:r>
        <w:rPr>
          <w:rFonts w:hint="eastAsia" w:ascii="宋体" w:hAnsi="宋体"/>
          <w:highlight w:val="none"/>
        </w:rPr>
        <w:t>3.7.3</w:t>
      </w:r>
      <w:r>
        <w:rPr>
          <w:rFonts w:hint="eastAsia" w:ascii="宋体" w:hAnsi="宋体"/>
          <w:b/>
          <w:bCs/>
          <w:highlight w:val="none"/>
          <w:u w:val="single"/>
        </w:rPr>
        <w:t>投标文件全部采用电子文档，投标文件所附证书证件均为原件扫描件，并采用单位数字证书，按招标文件要求加盖电子印章。投标文件中需个人签字或盖章的，应加盖个人电子印章或在线下完成后扫描上传。按照交易平台关于全流程电子化项目的相关指南进行操作。</w:t>
      </w:r>
    </w:p>
    <w:p w14:paraId="3DB4AB99">
      <w:pPr>
        <w:spacing w:line="360" w:lineRule="auto"/>
        <w:ind w:firstLine="422" w:firstLineChars="200"/>
        <w:rPr>
          <w:rFonts w:ascii="宋体" w:hAnsi="宋体" w:cs="宋体"/>
          <w:b/>
          <w:bCs/>
          <w:szCs w:val="21"/>
          <w:highlight w:val="none"/>
          <w:u w:val="single"/>
        </w:rPr>
      </w:pPr>
      <w:r>
        <w:rPr>
          <w:rFonts w:ascii="宋体" w:hAnsi="宋体"/>
          <w:b/>
          <w:bCs/>
          <w:highlight w:val="none"/>
          <w:u w:val="single"/>
        </w:rPr>
        <w:t>3.7.4</w:t>
      </w:r>
      <w:r>
        <w:rPr>
          <w:rFonts w:hint="eastAsia" w:ascii="宋体" w:hAnsi="宋体"/>
          <w:b/>
          <w:bCs/>
          <w:highlight w:val="none"/>
          <w:u w:val="single"/>
        </w:rPr>
        <w:t>联合体投标的，除《联合体工作协议书》必须联合体各单位分别按要求进行签字或盖章外，法定代表人证明书及授权委托证明书可由联合体主办方出具，其中“单位”一栏可只填写联合体主办方名称，投标文件其他内容及落款中的“投标人”应填写联合体各方的单位全称【格式示例：(主)单位全称(成)单位全称】，若需要签字或盖章的均可由联合体主办方签字或盖章即可。</w:t>
      </w:r>
    </w:p>
    <w:p w14:paraId="27555CE9">
      <w:pPr>
        <w:pStyle w:val="4"/>
        <w:spacing w:line="360" w:lineRule="auto"/>
        <w:rPr>
          <w:rFonts w:hint="eastAsia" w:ascii="宋体" w:hAnsi="宋体" w:eastAsia="宋体" w:cs="Times New Roman"/>
          <w:highlight w:val="none"/>
        </w:rPr>
      </w:pPr>
      <w:bookmarkStart w:id="155" w:name="_Toc49303762"/>
      <w:bookmarkStart w:id="156" w:name="_Toc86413287"/>
      <w:bookmarkStart w:id="157" w:name="_Toc165358791"/>
      <w:bookmarkStart w:id="158" w:name="_Toc165358656"/>
      <w:r>
        <w:rPr>
          <w:rFonts w:hint="eastAsia" w:ascii="宋体" w:hAnsi="宋体" w:eastAsia="宋体" w:cs="Times New Roman"/>
          <w:highlight w:val="none"/>
        </w:rPr>
        <w:t>4. 投标</w:t>
      </w:r>
      <w:bookmarkEnd w:id="155"/>
      <w:bookmarkEnd w:id="156"/>
      <w:bookmarkEnd w:id="157"/>
      <w:bookmarkEnd w:id="158"/>
    </w:p>
    <w:p w14:paraId="2C07D974">
      <w:pPr>
        <w:keepNext/>
        <w:keepLines/>
        <w:spacing w:before="260" w:after="260" w:line="360" w:lineRule="auto"/>
        <w:ind w:firstLine="118" w:firstLineChars="49"/>
        <w:outlineLvl w:val="2"/>
        <w:rPr>
          <w:rFonts w:ascii="宋体" w:hAnsi="宋体" w:cs="宋体"/>
          <w:b/>
          <w:bCs/>
          <w:sz w:val="24"/>
          <w:highlight w:val="none"/>
          <w:lang w:val="zh-CN"/>
        </w:rPr>
      </w:pPr>
      <w:bookmarkStart w:id="159" w:name="_Toc86413288"/>
      <w:bookmarkStart w:id="160" w:name="_Toc165358792"/>
      <w:bookmarkStart w:id="161" w:name="_Toc165358657"/>
      <w:r>
        <w:rPr>
          <w:rFonts w:hint="eastAsia" w:ascii="宋体" w:hAnsi="宋体" w:cs="宋体"/>
          <w:b/>
          <w:bCs/>
          <w:sz w:val="24"/>
          <w:highlight w:val="none"/>
          <w:lang w:val="zh-CN"/>
        </w:rPr>
        <w:t>4.1 投标文件的加密</w:t>
      </w:r>
      <w:bookmarkEnd w:id="159"/>
      <w:bookmarkEnd w:id="160"/>
      <w:bookmarkEnd w:id="161"/>
    </w:p>
    <w:p w14:paraId="4F41954A">
      <w:pPr>
        <w:spacing w:line="360" w:lineRule="auto"/>
        <w:ind w:firstLine="420" w:firstLineChars="200"/>
        <w:rPr>
          <w:rFonts w:ascii="宋体" w:hAnsi="宋体" w:cs="宋体"/>
          <w:highlight w:val="none"/>
          <w:u w:val="single"/>
        </w:rPr>
      </w:pPr>
      <w:r>
        <w:rPr>
          <w:rFonts w:hint="eastAsia" w:ascii="宋体" w:hAnsi="宋体" w:cs="宋体"/>
          <w:highlight w:val="none"/>
          <w:u w:val="single"/>
        </w:rPr>
        <w:t>4.1.1投标人应当按照招标文件和电子招标投标交易平台的要求加密投标文件，具体操作详见：广州交易集团有限公司（广州公共资源交易中心）网站关于</w:t>
      </w:r>
      <w:r>
        <w:rPr>
          <w:rFonts w:hint="eastAsia" w:ascii="宋体" w:hAnsi="宋体" w:cs="宋体"/>
          <w:highlight w:val="none"/>
          <w:u w:val="single"/>
          <w:lang w:eastAsia="zh-CN"/>
        </w:rPr>
        <w:t>《房建市政全流程电子化项目操作专章》</w:t>
      </w:r>
      <w:r>
        <w:rPr>
          <w:rFonts w:hint="eastAsia" w:ascii="宋体" w:hAnsi="宋体" w:cs="宋体"/>
          <w:highlight w:val="none"/>
          <w:u w:val="single"/>
        </w:rPr>
        <w:t>的相关指南进行操作。</w:t>
      </w:r>
    </w:p>
    <w:p w14:paraId="5B8CCAD2">
      <w:pPr>
        <w:spacing w:line="360" w:lineRule="auto"/>
        <w:ind w:firstLine="420" w:firstLineChars="200"/>
        <w:rPr>
          <w:rFonts w:ascii="宋体" w:hAnsi="宋体" w:cs="宋体"/>
          <w:highlight w:val="none"/>
          <w:u w:val="single"/>
        </w:rPr>
      </w:pPr>
      <w:r>
        <w:rPr>
          <w:rFonts w:hint="eastAsia" w:ascii="宋体" w:hAnsi="宋体" w:cs="宋体"/>
          <w:highlight w:val="none"/>
          <w:u w:val="single"/>
        </w:rPr>
        <w:t>4.1.2未按本章第4.1.1项要求加密的电子投标文件，广州交易集团有限公司（广州公共资源交易中心）交易平台将予以拒收。</w:t>
      </w:r>
    </w:p>
    <w:p w14:paraId="62847489">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.1.3</w:t>
      </w:r>
      <w:r>
        <w:rPr>
          <w:rFonts w:hint="eastAsia" w:ascii="宋体" w:hAnsi="宋体" w:cs="宋体"/>
          <w:highlight w:val="none"/>
          <w:u w:val="single"/>
        </w:rPr>
        <w:t>如有提交备用电子投标文件，封套上应写明的内容见投标人须知前附表。</w:t>
      </w:r>
    </w:p>
    <w:p w14:paraId="028CB90F">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.1.4</w:t>
      </w:r>
      <w:r>
        <w:rPr>
          <w:rFonts w:hint="eastAsia" w:ascii="宋体" w:hAnsi="宋体" w:cs="宋体"/>
          <w:highlight w:val="none"/>
          <w:u w:val="single"/>
        </w:rPr>
        <w:t>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被授权人身份证原件按要求递交备用电子投标文件的，招标人将予以拒收。</w:t>
      </w:r>
    </w:p>
    <w:p w14:paraId="6C666CA7">
      <w:pPr>
        <w:keepNext/>
        <w:keepLines/>
        <w:spacing w:before="260" w:after="260" w:line="360" w:lineRule="auto"/>
        <w:ind w:firstLine="118" w:firstLineChars="49"/>
        <w:outlineLvl w:val="2"/>
        <w:rPr>
          <w:rFonts w:ascii="宋体" w:hAnsi="宋体" w:cs="宋体"/>
          <w:b/>
          <w:bCs/>
          <w:sz w:val="24"/>
          <w:highlight w:val="none"/>
          <w:lang w:val="zh-CN"/>
        </w:rPr>
      </w:pPr>
      <w:bookmarkStart w:id="162" w:name="_Toc86413289"/>
      <w:bookmarkStart w:id="163" w:name="_Toc165358658"/>
      <w:bookmarkStart w:id="164" w:name="_Toc165358793"/>
      <w:r>
        <w:rPr>
          <w:rFonts w:hint="eastAsia" w:ascii="宋体" w:hAnsi="宋体" w:cs="宋体"/>
          <w:b/>
          <w:bCs/>
          <w:sz w:val="24"/>
          <w:highlight w:val="none"/>
          <w:lang w:val="zh-CN"/>
        </w:rPr>
        <w:t>4.2</w:t>
      </w:r>
      <w:r>
        <w:rPr>
          <w:rFonts w:hint="eastAsia" w:ascii="宋体" w:hAnsi="宋体" w:cs="宋体"/>
          <w:b/>
          <w:bCs/>
          <w:sz w:val="24"/>
          <w:highlight w:val="none"/>
        </w:rPr>
        <w:t>投标文件的递交</w:t>
      </w:r>
      <w:bookmarkEnd w:id="162"/>
      <w:bookmarkEnd w:id="163"/>
      <w:bookmarkEnd w:id="164"/>
    </w:p>
    <w:p w14:paraId="5CA7DA04">
      <w:pPr>
        <w:spacing w:line="400" w:lineRule="exact"/>
        <w:ind w:firstLine="420" w:firstLineChars="200"/>
        <w:rPr>
          <w:rFonts w:ascii="宋体" w:hAnsi="宋体" w:cs="宋体"/>
          <w:highlight w:val="none"/>
        </w:rPr>
      </w:pPr>
      <w:r>
        <w:rPr>
          <w:rFonts w:hint="eastAsia" w:ascii="宋体" w:hAnsi="宋体" w:cs="宋体"/>
          <w:highlight w:val="none"/>
        </w:rPr>
        <w:t>4.2.1 投标人应</w:t>
      </w:r>
      <w:r>
        <w:rPr>
          <w:rFonts w:hint="eastAsia" w:ascii="宋体" w:hAnsi="宋体" w:cs="宋体"/>
          <w:highlight w:val="none"/>
          <w:lang w:val="en-US" w:eastAsia="zh-CN"/>
        </w:rPr>
        <w:t>在</w:t>
      </w:r>
      <w:r>
        <w:rPr>
          <w:rFonts w:hint="eastAsia" w:ascii="宋体" w:hAnsi="宋体" w:eastAsia="宋体" w:cs="宋体"/>
          <w:szCs w:val="24"/>
          <w:highlight w:val="none"/>
          <w:u w:val="single"/>
        </w:rPr>
        <w:t>投标人须知前附表</w:t>
      </w:r>
      <w:r>
        <w:rPr>
          <w:rFonts w:hint="eastAsia" w:ascii="宋体" w:hAnsi="宋体" w:cs="宋体"/>
          <w:highlight w:val="none"/>
        </w:rPr>
        <w:t>规定的投标截止时间前递交投标文件。</w:t>
      </w:r>
      <w:r>
        <w:rPr>
          <w:rFonts w:hint="eastAsia" w:ascii="宋体" w:hAnsi="宋体" w:cs="宋体"/>
          <w:highlight w:val="none"/>
          <w:u w:val="single"/>
        </w:rPr>
        <w:t>投标人通过广州交易集团有限公司（广州公共资源交易中心）交易平台递交电子投标文件。</w:t>
      </w:r>
    </w:p>
    <w:p w14:paraId="1E01F239">
      <w:pPr>
        <w:spacing w:line="400" w:lineRule="exact"/>
        <w:ind w:firstLine="420" w:firstLineChars="200"/>
        <w:rPr>
          <w:rFonts w:ascii="宋体" w:hAnsi="宋体" w:cs="宋体"/>
          <w:highlight w:val="none"/>
        </w:rPr>
      </w:pPr>
      <w:r>
        <w:rPr>
          <w:rFonts w:hint="eastAsia" w:ascii="宋体" w:hAnsi="宋体" w:cs="宋体"/>
          <w:highlight w:val="none"/>
        </w:rPr>
        <w:t>4.2.2 投标人递交投标文件的地点：见投标人须知前附表。</w:t>
      </w:r>
    </w:p>
    <w:p w14:paraId="48789E27">
      <w:pPr>
        <w:spacing w:line="400" w:lineRule="exact"/>
        <w:ind w:firstLine="420" w:firstLineChars="200"/>
        <w:rPr>
          <w:rFonts w:ascii="宋体" w:hAnsi="宋体" w:cs="宋体"/>
          <w:highlight w:val="none"/>
        </w:rPr>
      </w:pPr>
      <w:r>
        <w:rPr>
          <w:rFonts w:hint="eastAsia" w:ascii="宋体" w:hAnsi="宋体" w:cs="宋体"/>
          <w:highlight w:val="none"/>
        </w:rPr>
        <w:t>4.2.3 除投标人须知前附表另有规定外，投标人所递交的投标文件不予退还。</w:t>
      </w:r>
    </w:p>
    <w:p w14:paraId="4A49AC59">
      <w:pPr>
        <w:spacing w:line="400" w:lineRule="exact"/>
        <w:ind w:firstLine="420" w:firstLineChars="200"/>
        <w:rPr>
          <w:rFonts w:ascii="宋体" w:hAnsi="宋体" w:cs="宋体"/>
          <w:highlight w:val="none"/>
        </w:rPr>
      </w:pPr>
      <w:r>
        <w:rPr>
          <w:rFonts w:hint="eastAsia" w:ascii="宋体" w:hAnsi="宋体" w:cs="宋体"/>
          <w:highlight w:val="none"/>
        </w:rPr>
        <w:t xml:space="preserve">4.2.4 </w:t>
      </w:r>
      <w:r>
        <w:rPr>
          <w:rFonts w:hint="eastAsia" w:ascii="宋体" w:hAnsi="宋体" w:cs="宋体"/>
          <w:szCs w:val="21"/>
          <w:highlight w:val="none"/>
          <w:u w:val="single"/>
        </w:rPr>
        <w:t>投</w:t>
      </w:r>
      <w:r>
        <w:rPr>
          <w:rFonts w:hint="eastAsia" w:ascii="宋体" w:hAnsi="宋体" w:cs="宋体"/>
          <w:spacing w:val="-2"/>
          <w:szCs w:val="21"/>
          <w:highlight w:val="none"/>
          <w:u w:val="single"/>
        </w:rPr>
        <w:t>标</w:t>
      </w:r>
      <w:r>
        <w:rPr>
          <w:rFonts w:hint="eastAsia" w:ascii="宋体" w:hAnsi="宋体" w:cs="宋体"/>
          <w:szCs w:val="21"/>
          <w:highlight w:val="none"/>
          <w:u w:val="single"/>
        </w:rPr>
        <w:t>人</w:t>
      </w:r>
      <w:r>
        <w:rPr>
          <w:rFonts w:hint="eastAsia" w:ascii="宋体" w:hAnsi="宋体" w:cs="宋体"/>
          <w:spacing w:val="-2"/>
          <w:szCs w:val="21"/>
          <w:highlight w:val="none"/>
          <w:u w:val="single"/>
        </w:rPr>
        <w:t>完</w:t>
      </w:r>
      <w:r>
        <w:rPr>
          <w:rFonts w:hint="eastAsia" w:ascii="宋体" w:hAnsi="宋体" w:cs="宋体"/>
          <w:szCs w:val="21"/>
          <w:highlight w:val="none"/>
          <w:u w:val="single"/>
        </w:rPr>
        <w:t>成</w:t>
      </w:r>
      <w:r>
        <w:rPr>
          <w:rFonts w:hint="eastAsia" w:ascii="宋体" w:hAnsi="宋体" w:cs="宋体"/>
          <w:spacing w:val="-2"/>
          <w:szCs w:val="21"/>
          <w:highlight w:val="none"/>
          <w:u w:val="single"/>
        </w:rPr>
        <w:t>电</w:t>
      </w:r>
      <w:r>
        <w:rPr>
          <w:rFonts w:hint="eastAsia" w:ascii="宋体" w:hAnsi="宋体" w:cs="宋体"/>
          <w:szCs w:val="21"/>
          <w:highlight w:val="none"/>
          <w:u w:val="single"/>
        </w:rPr>
        <w:t>子投</w:t>
      </w:r>
      <w:r>
        <w:rPr>
          <w:rFonts w:hint="eastAsia" w:ascii="宋体" w:hAnsi="宋体" w:cs="宋体"/>
          <w:spacing w:val="-2"/>
          <w:szCs w:val="21"/>
          <w:highlight w:val="none"/>
          <w:u w:val="single"/>
        </w:rPr>
        <w:t>标</w:t>
      </w:r>
      <w:r>
        <w:rPr>
          <w:rFonts w:hint="eastAsia" w:ascii="宋体" w:hAnsi="宋体" w:cs="宋体"/>
          <w:szCs w:val="21"/>
          <w:highlight w:val="none"/>
          <w:u w:val="single"/>
        </w:rPr>
        <w:t>文</w:t>
      </w:r>
      <w:r>
        <w:rPr>
          <w:rFonts w:hint="eastAsia" w:ascii="宋体" w:hAnsi="宋体" w:cs="宋体"/>
          <w:spacing w:val="-2"/>
          <w:szCs w:val="21"/>
          <w:highlight w:val="none"/>
          <w:u w:val="single"/>
        </w:rPr>
        <w:t>件</w:t>
      </w:r>
      <w:r>
        <w:rPr>
          <w:rFonts w:hint="eastAsia" w:ascii="宋体" w:hAnsi="宋体" w:cs="宋体"/>
          <w:szCs w:val="21"/>
          <w:highlight w:val="none"/>
          <w:u w:val="single"/>
        </w:rPr>
        <w:t>上</w:t>
      </w:r>
      <w:r>
        <w:rPr>
          <w:rFonts w:hint="eastAsia" w:ascii="宋体" w:hAnsi="宋体" w:cs="宋体"/>
          <w:spacing w:val="-2"/>
          <w:szCs w:val="21"/>
          <w:highlight w:val="none"/>
          <w:u w:val="single"/>
        </w:rPr>
        <w:t>传</w:t>
      </w:r>
      <w:r>
        <w:rPr>
          <w:rFonts w:hint="eastAsia" w:ascii="宋体" w:hAnsi="宋体" w:cs="宋体"/>
          <w:szCs w:val="21"/>
          <w:highlight w:val="none"/>
          <w:u w:val="single"/>
        </w:rPr>
        <w:t>后</w:t>
      </w:r>
      <w:r>
        <w:rPr>
          <w:rFonts w:hint="eastAsia" w:ascii="宋体" w:hAnsi="宋体" w:cs="宋体"/>
          <w:spacing w:val="-5"/>
          <w:szCs w:val="21"/>
          <w:highlight w:val="none"/>
          <w:u w:val="single"/>
        </w:rPr>
        <w:t>，</w:t>
      </w:r>
      <w:r>
        <w:rPr>
          <w:rFonts w:hint="eastAsia" w:ascii="宋体" w:hAnsi="宋体" w:cs="宋体"/>
          <w:szCs w:val="21"/>
          <w:highlight w:val="none"/>
          <w:u w:val="single"/>
        </w:rPr>
        <w:t>电</w:t>
      </w:r>
      <w:r>
        <w:rPr>
          <w:rFonts w:hint="eastAsia" w:ascii="宋体" w:hAnsi="宋体" w:cs="宋体"/>
          <w:spacing w:val="-2"/>
          <w:szCs w:val="21"/>
          <w:highlight w:val="none"/>
          <w:u w:val="single"/>
        </w:rPr>
        <w:t>子</w:t>
      </w:r>
      <w:r>
        <w:rPr>
          <w:rFonts w:hint="eastAsia" w:ascii="宋体" w:hAnsi="宋体" w:cs="宋体"/>
          <w:szCs w:val="21"/>
          <w:highlight w:val="none"/>
          <w:u w:val="single"/>
        </w:rPr>
        <w:t>招标</w:t>
      </w:r>
      <w:r>
        <w:rPr>
          <w:rFonts w:hint="eastAsia" w:ascii="宋体" w:hAnsi="宋体" w:cs="宋体"/>
          <w:spacing w:val="-2"/>
          <w:szCs w:val="21"/>
          <w:highlight w:val="none"/>
          <w:u w:val="single"/>
        </w:rPr>
        <w:t>投</w:t>
      </w:r>
      <w:r>
        <w:rPr>
          <w:rFonts w:hint="eastAsia" w:ascii="宋体" w:hAnsi="宋体" w:cs="宋体"/>
          <w:szCs w:val="21"/>
          <w:highlight w:val="none"/>
          <w:u w:val="single"/>
        </w:rPr>
        <w:t>标</w:t>
      </w:r>
      <w:r>
        <w:rPr>
          <w:rFonts w:hint="eastAsia" w:ascii="宋体" w:hAnsi="宋体" w:cs="宋体"/>
          <w:spacing w:val="-2"/>
          <w:szCs w:val="21"/>
          <w:highlight w:val="none"/>
          <w:u w:val="single"/>
        </w:rPr>
        <w:t>交</w:t>
      </w:r>
      <w:r>
        <w:rPr>
          <w:rFonts w:hint="eastAsia" w:ascii="宋体" w:hAnsi="宋体" w:cs="宋体"/>
          <w:szCs w:val="21"/>
          <w:highlight w:val="none"/>
          <w:u w:val="single"/>
        </w:rPr>
        <w:t>易</w:t>
      </w:r>
      <w:r>
        <w:rPr>
          <w:rFonts w:hint="eastAsia" w:ascii="宋体" w:hAnsi="宋体" w:cs="宋体"/>
          <w:spacing w:val="-2"/>
          <w:szCs w:val="21"/>
          <w:highlight w:val="none"/>
          <w:u w:val="single"/>
        </w:rPr>
        <w:t>平</w:t>
      </w:r>
      <w:r>
        <w:rPr>
          <w:rFonts w:hint="eastAsia" w:ascii="宋体" w:hAnsi="宋体" w:cs="宋体"/>
          <w:szCs w:val="21"/>
          <w:highlight w:val="none"/>
          <w:u w:val="single"/>
        </w:rPr>
        <w:t>台</w:t>
      </w:r>
      <w:r>
        <w:rPr>
          <w:rFonts w:hint="eastAsia" w:ascii="宋体" w:hAnsi="宋体" w:cs="宋体"/>
          <w:spacing w:val="-2"/>
          <w:szCs w:val="21"/>
          <w:highlight w:val="none"/>
          <w:u w:val="single"/>
        </w:rPr>
        <w:t>即</w:t>
      </w:r>
      <w:r>
        <w:rPr>
          <w:rFonts w:hint="eastAsia" w:ascii="宋体" w:hAnsi="宋体" w:cs="宋体"/>
          <w:szCs w:val="21"/>
          <w:highlight w:val="none"/>
          <w:u w:val="single"/>
        </w:rPr>
        <w:t>时</w:t>
      </w:r>
      <w:r>
        <w:rPr>
          <w:rFonts w:hint="eastAsia" w:ascii="宋体" w:hAnsi="宋体" w:cs="宋体"/>
          <w:spacing w:val="-2"/>
          <w:szCs w:val="21"/>
          <w:highlight w:val="none"/>
          <w:u w:val="single"/>
        </w:rPr>
        <w:t>向</w:t>
      </w:r>
      <w:r>
        <w:rPr>
          <w:rFonts w:hint="eastAsia" w:ascii="宋体" w:hAnsi="宋体" w:cs="宋体"/>
          <w:szCs w:val="21"/>
          <w:highlight w:val="none"/>
          <w:u w:val="single"/>
        </w:rPr>
        <w:t>投标</w:t>
      </w:r>
      <w:r>
        <w:rPr>
          <w:rFonts w:hint="eastAsia" w:ascii="宋体" w:hAnsi="宋体" w:cs="宋体"/>
          <w:spacing w:val="-2"/>
          <w:szCs w:val="21"/>
          <w:highlight w:val="none"/>
          <w:u w:val="single"/>
        </w:rPr>
        <w:t>人</w:t>
      </w:r>
      <w:r>
        <w:rPr>
          <w:rFonts w:hint="eastAsia" w:ascii="宋体" w:hAnsi="宋体" w:cs="宋体"/>
          <w:szCs w:val="21"/>
          <w:highlight w:val="none"/>
          <w:u w:val="single"/>
        </w:rPr>
        <w:t>发</w:t>
      </w:r>
      <w:r>
        <w:rPr>
          <w:rFonts w:hint="eastAsia" w:ascii="宋体" w:hAnsi="宋体" w:cs="宋体"/>
          <w:spacing w:val="-2"/>
          <w:szCs w:val="21"/>
          <w:highlight w:val="none"/>
          <w:u w:val="single"/>
        </w:rPr>
        <w:t>出</w:t>
      </w:r>
      <w:r>
        <w:rPr>
          <w:rFonts w:hint="eastAsia" w:ascii="宋体" w:hAnsi="宋体" w:cs="宋体"/>
          <w:szCs w:val="21"/>
          <w:highlight w:val="none"/>
          <w:u w:val="single"/>
        </w:rPr>
        <w:t>递交回</w:t>
      </w:r>
      <w:r>
        <w:rPr>
          <w:rFonts w:hint="eastAsia" w:ascii="宋体" w:hAnsi="宋体" w:cs="宋体"/>
          <w:spacing w:val="-2"/>
          <w:szCs w:val="21"/>
          <w:highlight w:val="none"/>
          <w:u w:val="single"/>
        </w:rPr>
        <w:t>执</w:t>
      </w:r>
      <w:r>
        <w:rPr>
          <w:rFonts w:hint="eastAsia" w:ascii="宋体" w:hAnsi="宋体" w:cs="宋体"/>
          <w:szCs w:val="21"/>
          <w:highlight w:val="none"/>
          <w:u w:val="single"/>
        </w:rPr>
        <w:t>通</w:t>
      </w:r>
      <w:r>
        <w:rPr>
          <w:rFonts w:hint="eastAsia" w:ascii="宋体" w:hAnsi="宋体" w:cs="宋体"/>
          <w:spacing w:val="-3"/>
          <w:szCs w:val="21"/>
          <w:highlight w:val="none"/>
          <w:u w:val="single"/>
        </w:rPr>
        <w:t>知</w:t>
      </w:r>
      <w:r>
        <w:rPr>
          <w:rFonts w:hint="eastAsia" w:ascii="宋体" w:hAnsi="宋体" w:cs="宋体"/>
          <w:szCs w:val="21"/>
          <w:highlight w:val="none"/>
          <w:u w:val="single"/>
        </w:rPr>
        <w:t>。</w:t>
      </w:r>
      <w:r>
        <w:rPr>
          <w:rFonts w:hint="eastAsia" w:ascii="宋体" w:hAnsi="宋体" w:cs="宋体"/>
          <w:spacing w:val="-2"/>
          <w:szCs w:val="21"/>
          <w:highlight w:val="none"/>
          <w:u w:val="single"/>
        </w:rPr>
        <w:t>递</w:t>
      </w:r>
      <w:r>
        <w:rPr>
          <w:rFonts w:hint="eastAsia" w:ascii="宋体" w:hAnsi="宋体" w:cs="宋体"/>
          <w:szCs w:val="21"/>
          <w:highlight w:val="none"/>
          <w:u w:val="single"/>
        </w:rPr>
        <w:t>交</w:t>
      </w:r>
      <w:r>
        <w:rPr>
          <w:rFonts w:hint="eastAsia" w:ascii="宋体" w:hAnsi="宋体" w:cs="宋体"/>
          <w:spacing w:val="-2"/>
          <w:szCs w:val="21"/>
          <w:highlight w:val="none"/>
          <w:u w:val="single"/>
        </w:rPr>
        <w:t>时</w:t>
      </w:r>
      <w:r>
        <w:rPr>
          <w:rFonts w:hint="eastAsia" w:ascii="宋体" w:hAnsi="宋体" w:cs="宋体"/>
          <w:szCs w:val="21"/>
          <w:highlight w:val="none"/>
          <w:u w:val="single"/>
        </w:rPr>
        <w:t>间</w:t>
      </w:r>
      <w:r>
        <w:rPr>
          <w:rFonts w:hint="eastAsia" w:ascii="宋体" w:hAnsi="宋体" w:cs="宋体"/>
          <w:spacing w:val="-2"/>
          <w:szCs w:val="21"/>
          <w:highlight w:val="none"/>
          <w:u w:val="single"/>
        </w:rPr>
        <w:t>以</w:t>
      </w:r>
      <w:r>
        <w:rPr>
          <w:rFonts w:hint="eastAsia" w:ascii="宋体" w:hAnsi="宋体" w:cs="宋体"/>
          <w:szCs w:val="21"/>
          <w:highlight w:val="none"/>
          <w:u w:val="single"/>
        </w:rPr>
        <w:t>递交</w:t>
      </w:r>
      <w:r>
        <w:rPr>
          <w:rFonts w:hint="eastAsia" w:ascii="宋体" w:hAnsi="宋体" w:cs="宋体"/>
          <w:spacing w:val="-2"/>
          <w:szCs w:val="21"/>
          <w:highlight w:val="none"/>
          <w:u w:val="single"/>
        </w:rPr>
        <w:t>回</w:t>
      </w:r>
      <w:r>
        <w:rPr>
          <w:rFonts w:hint="eastAsia" w:ascii="宋体" w:hAnsi="宋体" w:cs="宋体"/>
          <w:szCs w:val="21"/>
          <w:highlight w:val="none"/>
          <w:u w:val="single"/>
        </w:rPr>
        <w:t>执</w:t>
      </w:r>
      <w:r>
        <w:rPr>
          <w:rFonts w:hint="eastAsia" w:ascii="宋体" w:hAnsi="宋体" w:cs="宋体"/>
          <w:spacing w:val="-2"/>
          <w:szCs w:val="21"/>
          <w:highlight w:val="none"/>
          <w:u w:val="single"/>
        </w:rPr>
        <w:t>通</w:t>
      </w:r>
      <w:r>
        <w:rPr>
          <w:rFonts w:hint="eastAsia" w:ascii="宋体" w:hAnsi="宋体" w:cs="宋体"/>
          <w:szCs w:val="21"/>
          <w:highlight w:val="none"/>
          <w:u w:val="single"/>
        </w:rPr>
        <w:t>知</w:t>
      </w:r>
      <w:r>
        <w:rPr>
          <w:rFonts w:hint="eastAsia" w:ascii="宋体" w:hAnsi="宋体" w:cs="宋体"/>
          <w:spacing w:val="-2"/>
          <w:szCs w:val="21"/>
          <w:highlight w:val="none"/>
          <w:u w:val="single"/>
        </w:rPr>
        <w:t>载</w:t>
      </w:r>
      <w:r>
        <w:rPr>
          <w:rFonts w:hint="eastAsia" w:ascii="宋体" w:hAnsi="宋体" w:cs="宋体"/>
          <w:szCs w:val="21"/>
          <w:highlight w:val="none"/>
          <w:u w:val="single"/>
        </w:rPr>
        <w:t>明</w:t>
      </w:r>
      <w:r>
        <w:rPr>
          <w:rFonts w:hint="eastAsia" w:ascii="宋体" w:hAnsi="宋体" w:cs="宋体"/>
          <w:spacing w:val="-2"/>
          <w:szCs w:val="21"/>
          <w:highlight w:val="none"/>
          <w:u w:val="single"/>
        </w:rPr>
        <w:t>的</w:t>
      </w:r>
      <w:r>
        <w:rPr>
          <w:rFonts w:hint="eastAsia" w:ascii="宋体" w:hAnsi="宋体" w:cs="宋体"/>
          <w:szCs w:val="21"/>
          <w:highlight w:val="none"/>
          <w:u w:val="single"/>
        </w:rPr>
        <w:t>传</w:t>
      </w:r>
      <w:r>
        <w:rPr>
          <w:rFonts w:hint="eastAsia" w:ascii="宋体" w:hAnsi="宋体" w:cs="宋体"/>
          <w:spacing w:val="-2"/>
          <w:szCs w:val="21"/>
          <w:highlight w:val="none"/>
          <w:u w:val="single"/>
        </w:rPr>
        <w:t>输</w:t>
      </w:r>
      <w:r>
        <w:rPr>
          <w:rFonts w:hint="eastAsia" w:ascii="宋体" w:hAnsi="宋体" w:cs="宋体"/>
          <w:szCs w:val="21"/>
          <w:highlight w:val="none"/>
          <w:u w:val="single"/>
        </w:rPr>
        <w:t>完成</w:t>
      </w:r>
      <w:r>
        <w:rPr>
          <w:rFonts w:hint="eastAsia" w:ascii="宋体" w:hAnsi="宋体" w:cs="宋体"/>
          <w:spacing w:val="-2"/>
          <w:szCs w:val="21"/>
          <w:highlight w:val="none"/>
          <w:u w:val="single"/>
        </w:rPr>
        <w:t>时</w:t>
      </w:r>
      <w:r>
        <w:rPr>
          <w:rFonts w:hint="eastAsia" w:ascii="宋体" w:hAnsi="宋体" w:cs="宋体"/>
          <w:szCs w:val="21"/>
          <w:highlight w:val="none"/>
          <w:u w:val="single"/>
        </w:rPr>
        <w:t>间</w:t>
      </w:r>
      <w:r>
        <w:rPr>
          <w:rFonts w:hint="eastAsia" w:ascii="宋体" w:hAnsi="宋体" w:cs="宋体"/>
          <w:spacing w:val="-2"/>
          <w:szCs w:val="21"/>
          <w:highlight w:val="none"/>
          <w:u w:val="single"/>
        </w:rPr>
        <w:t>为</w:t>
      </w:r>
      <w:r>
        <w:rPr>
          <w:rFonts w:hint="eastAsia" w:ascii="宋体" w:hAnsi="宋体" w:cs="宋体"/>
          <w:szCs w:val="21"/>
          <w:highlight w:val="none"/>
          <w:u w:val="single"/>
        </w:rPr>
        <w:t>准</w:t>
      </w:r>
      <w:r>
        <w:rPr>
          <w:rFonts w:hint="eastAsia" w:ascii="宋体" w:hAnsi="宋体" w:cs="宋体"/>
          <w:highlight w:val="none"/>
        </w:rPr>
        <w:t>。</w:t>
      </w:r>
    </w:p>
    <w:p w14:paraId="4AFDC645">
      <w:pPr>
        <w:spacing w:line="360" w:lineRule="auto"/>
        <w:ind w:firstLine="420" w:firstLineChars="200"/>
        <w:rPr>
          <w:rFonts w:ascii="宋体" w:hAnsi="宋体" w:cs="宋体"/>
          <w:highlight w:val="none"/>
          <w:u w:val="single"/>
        </w:rPr>
      </w:pPr>
      <w:r>
        <w:rPr>
          <w:rFonts w:hint="eastAsia" w:ascii="宋体" w:hAnsi="宋体" w:cs="宋体"/>
          <w:highlight w:val="none"/>
          <w:u w:val="single"/>
        </w:rPr>
        <w:t xml:space="preserve">4.2.5 </w:t>
      </w:r>
      <w:r>
        <w:rPr>
          <w:rFonts w:hint="eastAsia" w:ascii="宋体" w:hAnsi="宋体" w:cs="宋体"/>
          <w:spacing w:val="-2"/>
          <w:szCs w:val="21"/>
          <w:highlight w:val="none"/>
          <w:u w:val="single"/>
        </w:rPr>
        <w:t>逾</w:t>
      </w:r>
      <w:r>
        <w:rPr>
          <w:rFonts w:hint="eastAsia" w:ascii="宋体" w:hAnsi="宋体" w:cs="宋体"/>
          <w:szCs w:val="21"/>
          <w:highlight w:val="none"/>
          <w:u w:val="single"/>
        </w:rPr>
        <w:t>期</w:t>
      </w:r>
      <w:r>
        <w:rPr>
          <w:rFonts w:hint="eastAsia" w:ascii="宋体" w:hAnsi="宋体" w:cs="宋体"/>
          <w:spacing w:val="-2"/>
          <w:szCs w:val="21"/>
          <w:highlight w:val="none"/>
          <w:u w:val="single"/>
        </w:rPr>
        <w:t>送</w:t>
      </w:r>
      <w:r>
        <w:rPr>
          <w:rFonts w:hint="eastAsia" w:ascii="宋体" w:hAnsi="宋体" w:cs="宋体"/>
          <w:szCs w:val="21"/>
          <w:highlight w:val="none"/>
          <w:u w:val="single"/>
        </w:rPr>
        <w:t>达</w:t>
      </w:r>
      <w:r>
        <w:rPr>
          <w:rFonts w:hint="eastAsia" w:ascii="宋体" w:hAnsi="宋体" w:cs="宋体"/>
          <w:spacing w:val="-2"/>
          <w:szCs w:val="21"/>
          <w:highlight w:val="none"/>
          <w:u w:val="single"/>
        </w:rPr>
        <w:t>的投</w:t>
      </w:r>
      <w:r>
        <w:rPr>
          <w:rFonts w:hint="eastAsia" w:ascii="宋体" w:hAnsi="宋体" w:cs="宋体"/>
          <w:szCs w:val="21"/>
          <w:highlight w:val="none"/>
          <w:u w:val="single"/>
        </w:rPr>
        <w:t>标文</w:t>
      </w:r>
      <w:r>
        <w:rPr>
          <w:rFonts w:hint="eastAsia" w:ascii="宋体" w:hAnsi="宋体" w:cs="宋体"/>
          <w:spacing w:val="-2"/>
          <w:szCs w:val="21"/>
          <w:highlight w:val="none"/>
          <w:u w:val="single"/>
        </w:rPr>
        <w:t>件</w:t>
      </w:r>
      <w:r>
        <w:rPr>
          <w:rFonts w:hint="eastAsia" w:ascii="宋体" w:hAnsi="宋体" w:cs="宋体"/>
          <w:szCs w:val="21"/>
          <w:highlight w:val="none"/>
          <w:u w:val="single"/>
        </w:rPr>
        <w:t>，</w:t>
      </w:r>
      <w:r>
        <w:rPr>
          <w:rFonts w:hint="eastAsia" w:ascii="宋体" w:hAnsi="宋体" w:cs="宋体"/>
          <w:kern w:val="1"/>
          <w:highlight w:val="none"/>
          <w:u w:val="single"/>
        </w:rPr>
        <w:t>广州交易集团有限公司（广州公共资源交易中心）交易平台将予以拒收</w:t>
      </w:r>
      <w:r>
        <w:rPr>
          <w:rFonts w:hint="eastAsia" w:ascii="宋体" w:hAnsi="宋体" w:cs="宋体"/>
          <w:highlight w:val="none"/>
          <w:u w:val="single"/>
        </w:rPr>
        <w:t>。</w:t>
      </w:r>
    </w:p>
    <w:p w14:paraId="76126FB7">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.2.6</w:t>
      </w:r>
      <w:r>
        <w:rPr>
          <w:rFonts w:hint="eastAsia" w:ascii="宋体" w:hAnsi="宋体" w:cs="宋体"/>
          <w:highlight w:val="none"/>
          <w:u w:val="single"/>
        </w:rPr>
        <w:t>到投标截止时间止，若电子招标投标交易平台收到的投标文件少于3家的，本项目招标失败，将依法重新招标。</w:t>
      </w:r>
    </w:p>
    <w:p w14:paraId="13F0CE82">
      <w:pPr>
        <w:keepNext/>
        <w:keepLines/>
        <w:spacing w:before="260" w:after="260" w:line="360" w:lineRule="auto"/>
        <w:ind w:firstLine="118" w:firstLineChars="49"/>
        <w:outlineLvl w:val="2"/>
        <w:rPr>
          <w:rFonts w:ascii="宋体" w:hAnsi="宋体" w:cs="宋体"/>
          <w:b/>
          <w:bCs/>
          <w:sz w:val="24"/>
          <w:highlight w:val="none"/>
          <w:lang w:val="zh-CN"/>
        </w:rPr>
      </w:pPr>
      <w:bookmarkStart w:id="165" w:name="_Toc86413290"/>
      <w:bookmarkStart w:id="166" w:name="_Toc165358794"/>
      <w:bookmarkStart w:id="167" w:name="_Toc165358659"/>
      <w:r>
        <w:rPr>
          <w:rFonts w:hint="eastAsia" w:ascii="宋体" w:hAnsi="宋体" w:cs="宋体"/>
          <w:b/>
          <w:bCs/>
          <w:sz w:val="24"/>
          <w:highlight w:val="none"/>
          <w:lang w:val="zh-CN"/>
        </w:rPr>
        <w:t>4.3 投标文件的修改与撤回</w:t>
      </w:r>
      <w:bookmarkEnd w:id="165"/>
      <w:bookmarkEnd w:id="166"/>
      <w:bookmarkEnd w:id="167"/>
    </w:p>
    <w:p w14:paraId="663C9BB1">
      <w:pPr>
        <w:spacing w:line="360" w:lineRule="auto"/>
        <w:ind w:firstLine="420"/>
        <w:rPr>
          <w:rFonts w:ascii="宋体" w:hAnsi="宋体" w:cs="宋体"/>
          <w:kern w:val="1"/>
          <w:highlight w:val="none"/>
          <w:u w:val="single"/>
        </w:rPr>
      </w:pPr>
      <w:bookmarkStart w:id="168" w:name="_Toc165358795"/>
      <w:bookmarkStart w:id="169" w:name="_Toc165358660"/>
      <w:r>
        <w:rPr>
          <w:rFonts w:hint="eastAsia" w:ascii="宋体" w:hAnsi="宋体" w:cs="宋体"/>
          <w:kern w:val="1"/>
          <w:highlight w:val="none"/>
          <w:u w:val="single"/>
        </w:rPr>
        <w:t>4.3.1 在规定的投标截止时间前，投标人可以修改或撤回已递交的投标文件，但应以书面形式通知招标人。</w:t>
      </w:r>
    </w:p>
    <w:p w14:paraId="42B17A8A">
      <w:pPr>
        <w:spacing w:line="360" w:lineRule="auto"/>
        <w:ind w:firstLine="420"/>
        <w:rPr>
          <w:rFonts w:ascii="宋体" w:hAnsi="宋体" w:cs="宋体"/>
          <w:kern w:val="1"/>
          <w:highlight w:val="none"/>
          <w:u w:val="single"/>
        </w:rPr>
      </w:pPr>
      <w:r>
        <w:rPr>
          <w:rFonts w:hint="eastAsia" w:ascii="宋体" w:hAnsi="宋体" w:cs="宋体"/>
          <w:kern w:val="1"/>
          <w:highlight w:val="none"/>
          <w:u w:val="single"/>
        </w:rPr>
        <w:t>4.3.2 投标人修改或撤回已递交的投标文件，需在广州交易集团有限公司（广州公共资源交易中心）交易平台发出修改或撤回通知，并按要求加盖电子印章。广州交易集团有限公司（广州公共资源交易中心）交易平台收到通知后，即时向投标人发出确认回执通知。</w:t>
      </w:r>
    </w:p>
    <w:p w14:paraId="18CC5FF3">
      <w:pPr>
        <w:spacing w:line="360" w:lineRule="auto"/>
        <w:ind w:firstLine="420"/>
        <w:rPr>
          <w:rFonts w:ascii="宋体" w:hAnsi="宋体" w:cs="宋体"/>
          <w:kern w:val="1"/>
          <w:highlight w:val="none"/>
          <w:u w:val="single"/>
        </w:rPr>
      </w:pPr>
      <w:r>
        <w:rPr>
          <w:rFonts w:hint="eastAsia" w:ascii="宋体" w:hAnsi="宋体" w:cs="宋体"/>
          <w:kern w:val="1"/>
          <w:highlight w:val="none"/>
          <w:u w:val="single"/>
        </w:rPr>
        <w:t>4.3.3 修改后再次递交的，按4.2点的规定执行。</w:t>
      </w:r>
    </w:p>
    <w:p w14:paraId="08597204">
      <w:pPr>
        <w:spacing w:line="400" w:lineRule="exact"/>
        <w:ind w:firstLine="420" w:firstLineChars="200"/>
        <w:rPr>
          <w:rFonts w:ascii="宋体" w:hAnsi="宋体" w:cs="宋体"/>
          <w:highlight w:val="none"/>
        </w:rPr>
      </w:pPr>
      <w:r>
        <w:rPr>
          <w:rFonts w:hint="eastAsia" w:ascii="宋体" w:hAnsi="宋体" w:cs="宋体"/>
          <w:kern w:val="1"/>
          <w:highlight w:val="none"/>
          <w:u w:val="single"/>
        </w:rPr>
        <w:t>4.3.4 在投标截止时间之后，投标人不得补充、修改和更换投标文件。</w:t>
      </w:r>
    </w:p>
    <w:p w14:paraId="7E9882DC">
      <w:pPr>
        <w:keepNext/>
        <w:keepLines/>
        <w:spacing w:before="260" w:after="260" w:line="360" w:lineRule="auto"/>
        <w:ind w:firstLine="118" w:firstLineChars="49"/>
        <w:outlineLvl w:val="2"/>
        <w:rPr>
          <w:rFonts w:ascii="宋体" w:hAnsi="宋体" w:cs="宋体"/>
          <w:b/>
          <w:bCs/>
          <w:sz w:val="24"/>
          <w:highlight w:val="none"/>
          <w:lang w:val="zh-CN"/>
        </w:rPr>
      </w:pPr>
      <w:r>
        <w:rPr>
          <w:rFonts w:hint="eastAsia" w:ascii="宋体" w:hAnsi="宋体" w:cs="宋体"/>
          <w:b/>
          <w:bCs/>
          <w:sz w:val="24"/>
          <w:highlight w:val="none"/>
          <w:lang w:val="zh-CN"/>
        </w:rPr>
        <w:t>4.4 投标信息录入</w:t>
      </w:r>
      <w:bookmarkEnd w:id="168"/>
      <w:bookmarkEnd w:id="169"/>
    </w:p>
    <w:p w14:paraId="36A97BFC">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4.4.1 投标人应在上传电子投标文件前将广州交易集团有限公司（广州公共资源交易中心）交易服务系统要求的相关信息在广州交易集团有限公司</w:t>
      </w:r>
      <w:r>
        <w:rPr>
          <w:rFonts w:hint="eastAsia" w:ascii="宋体" w:hAnsi="宋体" w:cs="宋体"/>
          <w:szCs w:val="21"/>
          <w:highlight w:val="none"/>
          <w:u w:val="single"/>
          <w:lang w:eastAsia="zh-CN"/>
        </w:rPr>
        <w:t>（</w:t>
      </w:r>
      <w:r>
        <w:rPr>
          <w:rFonts w:hint="eastAsia" w:ascii="宋体" w:hAnsi="宋体" w:cs="宋体"/>
          <w:szCs w:val="21"/>
          <w:highlight w:val="none"/>
          <w:u w:val="single"/>
        </w:rPr>
        <w:t>广州公共资源交易中心</w:t>
      </w:r>
      <w:r>
        <w:rPr>
          <w:rFonts w:hint="eastAsia" w:ascii="宋体" w:hAnsi="宋体" w:cs="宋体"/>
          <w:szCs w:val="21"/>
          <w:highlight w:val="none"/>
          <w:u w:val="single"/>
          <w:lang w:eastAsia="zh-CN"/>
        </w:rPr>
        <w:t>）</w:t>
      </w:r>
      <w:r>
        <w:rPr>
          <w:rFonts w:hint="eastAsia" w:ascii="宋体" w:hAnsi="宋体" w:cs="宋体"/>
          <w:szCs w:val="21"/>
          <w:highlight w:val="none"/>
          <w:u w:val="single"/>
        </w:rPr>
        <w:t>交易服务系统中录入完毕。</w:t>
      </w:r>
    </w:p>
    <w:p w14:paraId="6B3CCA1F">
      <w:pPr>
        <w:keepNext/>
        <w:keepLines/>
        <w:spacing w:before="260" w:after="260" w:line="360" w:lineRule="auto"/>
        <w:ind w:firstLine="118" w:firstLineChars="49"/>
        <w:outlineLvl w:val="2"/>
        <w:rPr>
          <w:rFonts w:ascii="宋体" w:hAnsi="宋体" w:cs="宋体"/>
          <w:b/>
          <w:bCs/>
          <w:sz w:val="24"/>
          <w:highlight w:val="none"/>
          <w:lang w:val="zh-CN"/>
        </w:rPr>
      </w:pPr>
      <w:bookmarkStart w:id="170" w:name="_Toc165358661"/>
      <w:bookmarkStart w:id="171" w:name="_Toc3565"/>
      <w:bookmarkStart w:id="172" w:name="_Toc165358796"/>
      <w:r>
        <w:rPr>
          <w:rFonts w:hint="eastAsia" w:ascii="宋体" w:hAnsi="宋体" w:cs="宋体"/>
          <w:b/>
          <w:bCs/>
          <w:sz w:val="24"/>
          <w:highlight w:val="none"/>
          <w:lang w:val="zh-CN"/>
        </w:rPr>
        <w:t>4.5投标文件的解密</w:t>
      </w:r>
      <w:bookmarkEnd w:id="170"/>
      <w:bookmarkEnd w:id="171"/>
      <w:bookmarkEnd w:id="172"/>
    </w:p>
    <w:p w14:paraId="69CDD791">
      <w:pPr>
        <w:tabs>
          <w:tab w:val="left" w:pos="105"/>
        </w:tabs>
        <w:spacing w:line="360" w:lineRule="auto"/>
        <w:ind w:firstLine="420" w:firstLineChars="200"/>
        <w:rPr>
          <w:rFonts w:ascii="宋体" w:hAnsi="宋体" w:cs="宋体"/>
          <w:b/>
          <w:szCs w:val="21"/>
          <w:highlight w:val="none"/>
          <w:u w:val="single"/>
        </w:rPr>
      </w:pPr>
      <w:r>
        <w:rPr>
          <w:rFonts w:hint="eastAsia" w:ascii="宋体" w:hAnsi="宋体" w:cs="宋体"/>
          <w:szCs w:val="21"/>
          <w:highlight w:val="none"/>
          <w:u w:val="single"/>
        </w:rPr>
        <w:t>4.5.1</w:t>
      </w:r>
      <w:r>
        <w:rPr>
          <w:rFonts w:hint="eastAsia" w:ascii="宋体" w:hAnsi="宋体" w:cs="宋体"/>
          <w:bCs/>
          <w:szCs w:val="21"/>
          <w:highlight w:val="none"/>
          <w:u w:val="single"/>
        </w:rPr>
        <w:t>投标人必须在投标须知前附表规定的时间内</w:t>
      </w:r>
      <w:r>
        <w:rPr>
          <w:rFonts w:hint="eastAsia" w:ascii="宋体" w:hAnsi="宋体" w:cs="宋体"/>
          <w:szCs w:val="21"/>
          <w:highlight w:val="none"/>
          <w:u w:val="single"/>
        </w:rPr>
        <w:t>完成电子投标文件解密。</w:t>
      </w:r>
      <w:r>
        <w:rPr>
          <w:rFonts w:hint="eastAsia" w:ascii="宋体" w:hAnsi="宋体" w:cs="宋体"/>
          <w:b/>
          <w:szCs w:val="21"/>
          <w:highlight w:val="none"/>
          <w:u w:val="single"/>
        </w:rPr>
        <w:t>超过时间未解密的投标文件将作为放弃投标处理。</w:t>
      </w:r>
    </w:p>
    <w:p w14:paraId="39D1BF80">
      <w:pPr>
        <w:spacing w:line="360" w:lineRule="auto"/>
        <w:ind w:firstLine="420" w:firstLineChars="200"/>
        <w:rPr>
          <w:rFonts w:ascii="宋体" w:hAnsi="宋体" w:cs="宋体"/>
          <w:szCs w:val="21"/>
          <w:highlight w:val="none"/>
          <w:u w:val="single"/>
        </w:rPr>
      </w:pPr>
      <w:r>
        <w:rPr>
          <w:rFonts w:hint="eastAsia" w:ascii="宋体" w:hAnsi="宋体" w:cs="宋体"/>
          <w:bCs/>
          <w:szCs w:val="21"/>
          <w:highlight w:val="none"/>
          <w:u w:val="single"/>
        </w:rPr>
        <w:t>4.5.2电子投标文件解密应按照广州交易集团有限公司（广州公共资源交易中心）交易平台关于</w:t>
      </w:r>
      <w:r>
        <w:rPr>
          <w:rFonts w:hint="eastAsia" w:ascii="宋体" w:hAnsi="宋体" w:cs="宋体"/>
          <w:bCs/>
          <w:szCs w:val="21"/>
          <w:highlight w:val="none"/>
          <w:u w:val="single"/>
          <w:lang w:eastAsia="zh-CN"/>
        </w:rPr>
        <w:t>《房建市政全流程电子化项目操作专章》</w:t>
      </w:r>
      <w:r>
        <w:rPr>
          <w:rFonts w:hint="eastAsia" w:ascii="宋体" w:hAnsi="宋体" w:cs="宋体"/>
          <w:bCs/>
          <w:szCs w:val="21"/>
          <w:highlight w:val="none"/>
          <w:u w:val="single"/>
        </w:rPr>
        <w:t>的相关指南进行操作。</w:t>
      </w:r>
    </w:p>
    <w:p w14:paraId="30846BFE">
      <w:pPr>
        <w:spacing w:line="360" w:lineRule="auto"/>
        <w:ind w:firstLine="420" w:firstLineChars="200"/>
        <w:rPr>
          <w:rFonts w:ascii="宋体" w:hAnsi="宋体" w:cs="宋体"/>
          <w:highlight w:val="none"/>
          <w:u w:val="single"/>
        </w:rPr>
      </w:pPr>
    </w:p>
    <w:p w14:paraId="33C33039">
      <w:pPr>
        <w:pStyle w:val="4"/>
        <w:spacing w:line="360" w:lineRule="auto"/>
        <w:rPr>
          <w:rFonts w:hint="eastAsia" w:ascii="宋体" w:hAnsi="宋体" w:eastAsia="宋体" w:cs="Times New Roman"/>
          <w:highlight w:val="none"/>
        </w:rPr>
      </w:pPr>
      <w:bookmarkStart w:id="173" w:name="_Toc49303763"/>
      <w:bookmarkStart w:id="174" w:name="_Toc86413291"/>
      <w:bookmarkStart w:id="175" w:name="_Toc165358662"/>
      <w:bookmarkStart w:id="176" w:name="_Toc16007"/>
      <w:bookmarkStart w:id="177" w:name="_Toc165358797"/>
      <w:r>
        <w:rPr>
          <w:rFonts w:hint="eastAsia" w:ascii="宋体" w:hAnsi="宋体" w:eastAsia="宋体" w:cs="Times New Roman"/>
          <w:highlight w:val="none"/>
        </w:rPr>
        <w:t>5. 开标</w:t>
      </w:r>
      <w:bookmarkEnd w:id="173"/>
      <w:bookmarkEnd w:id="174"/>
      <w:bookmarkEnd w:id="175"/>
      <w:bookmarkEnd w:id="176"/>
      <w:bookmarkEnd w:id="177"/>
    </w:p>
    <w:p w14:paraId="07B08835">
      <w:pPr>
        <w:keepNext/>
        <w:keepLines/>
        <w:spacing w:line="360" w:lineRule="auto"/>
        <w:outlineLvl w:val="2"/>
        <w:rPr>
          <w:rFonts w:ascii="宋体" w:hAnsi="宋体" w:cs="宋体"/>
          <w:b/>
          <w:bCs/>
          <w:sz w:val="24"/>
          <w:szCs w:val="24"/>
          <w:highlight w:val="none"/>
          <w:lang w:val="zh-CN"/>
        </w:rPr>
      </w:pPr>
      <w:bookmarkStart w:id="178" w:name="_Toc86413292"/>
      <w:bookmarkStart w:id="179" w:name="_Toc165358798"/>
      <w:bookmarkStart w:id="180" w:name="_Toc165358663"/>
      <w:r>
        <w:rPr>
          <w:rFonts w:hint="eastAsia" w:ascii="宋体" w:hAnsi="宋体" w:cs="宋体"/>
          <w:b/>
          <w:bCs/>
          <w:sz w:val="24"/>
          <w:szCs w:val="24"/>
          <w:highlight w:val="none"/>
          <w:lang w:val="zh-CN"/>
        </w:rPr>
        <w:t>5.1 开标时间和地点</w:t>
      </w:r>
      <w:bookmarkEnd w:id="178"/>
      <w:bookmarkEnd w:id="179"/>
      <w:bookmarkEnd w:id="180"/>
    </w:p>
    <w:p w14:paraId="6B3959DB">
      <w:pPr>
        <w:spacing w:line="360" w:lineRule="auto"/>
        <w:ind w:firstLine="420" w:firstLineChars="200"/>
        <w:rPr>
          <w:rFonts w:ascii="宋体" w:hAnsi="宋体" w:cs="宋体"/>
          <w:highlight w:val="none"/>
        </w:rPr>
      </w:pPr>
      <w:r>
        <w:rPr>
          <w:rFonts w:hint="eastAsia" w:ascii="宋体" w:hAnsi="宋体" w:cs="宋体"/>
          <w:highlight w:val="none"/>
          <w:u w:val="single"/>
        </w:rPr>
        <w:t>招标人在</w:t>
      </w:r>
      <w:r>
        <w:rPr>
          <w:rFonts w:hint="eastAsia" w:ascii="宋体" w:hAnsi="宋体" w:eastAsia="宋体" w:cs="宋体"/>
          <w:szCs w:val="24"/>
          <w:highlight w:val="none"/>
          <w:u w:val="single"/>
        </w:rPr>
        <w:t>投标人须知前附表</w:t>
      </w:r>
      <w:r>
        <w:rPr>
          <w:rFonts w:hint="eastAsia" w:ascii="宋体" w:hAnsi="宋体" w:cs="宋体"/>
          <w:highlight w:val="none"/>
          <w:u w:val="single"/>
        </w:rPr>
        <w:t>规定的投标截止时间（开标时间）和地点公开开标，并邀请所有投标人的法定代表人或其委托代理人准时参加。投标人（法定代表人或其委托代理人）可自行决定是否参加开标。投标人不参加的，视为认可开标过程及结果。</w:t>
      </w:r>
    </w:p>
    <w:p w14:paraId="093D9EAF">
      <w:pPr>
        <w:spacing w:line="360" w:lineRule="auto"/>
        <w:rPr>
          <w:rFonts w:ascii="宋体" w:hAnsi="宋体" w:cs="宋体"/>
          <w:b/>
          <w:bCs/>
          <w:sz w:val="24"/>
          <w:highlight w:val="none"/>
          <w:u w:val="single"/>
          <w:lang w:val="zh-CN"/>
        </w:rPr>
      </w:pPr>
      <w:bookmarkStart w:id="181" w:name="_Toc86413293"/>
      <w:r>
        <w:rPr>
          <w:rFonts w:hint="eastAsia" w:ascii="宋体" w:hAnsi="宋体" w:cs="宋体"/>
          <w:b/>
          <w:bCs/>
          <w:sz w:val="24"/>
          <w:highlight w:val="none"/>
          <w:u w:val="single"/>
          <w:lang w:val="zh-CN"/>
        </w:rPr>
        <w:t>5.2 开标程序</w:t>
      </w:r>
      <w:bookmarkEnd w:id="181"/>
    </w:p>
    <w:p w14:paraId="0F9CC432">
      <w:pPr>
        <w:keepNext/>
        <w:keepLines/>
        <w:spacing w:line="360" w:lineRule="auto"/>
        <w:ind w:firstLine="420" w:firstLineChars="200"/>
        <w:outlineLvl w:val="2"/>
        <w:rPr>
          <w:rFonts w:ascii="宋体" w:hAnsi="宋体" w:cs="新宋体"/>
          <w:szCs w:val="21"/>
          <w:highlight w:val="none"/>
          <w:u w:val="single"/>
        </w:rPr>
      </w:pPr>
      <w:bookmarkStart w:id="182" w:name="_Toc165358664"/>
      <w:bookmarkStart w:id="183" w:name="_Toc165358799"/>
      <w:bookmarkStart w:id="184" w:name="_Toc86413308"/>
      <w:r>
        <w:rPr>
          <w:rFonts w:hint="eastAsia" w:ascii="宋体" w:hAnsi="宋体" w:cs="新宋体"/>
          <w:szCs w:val="21"/>
          <w:highlight w:val="none"/>
          <w:u w:val="single"/>
        </w:rPr>
        <w:t>5.2.1招标人按投标须知前附表第5</w:t>
      </w:r>
      <w:r>
        <w:rPr>
          <w:rFonts w:ascii="宋体" w:hAnsi="宋体" w:cs="新宋体"/>
          <w:szCs w:val="21"/>
          <w:highlight w:val="none"/>
          <w:u w:val="single"/>
        </w:rPr>
        <w:t>.1</w:t>
      </w:r>
      <w:r>
        <w:rPr>
          <w:rFonts w:hint="eastAsia" w:ascii="宋体" w:hAnsi="宋体" w:cs="新宋体"/>
          <w:szCs w:val="21"/>
          <w:highlight w:val="none"/>
          <w:u w:val="single"/>
        </w:rPr>
        <w:t>项所规定的时间和地点公开开标，并邀请所有投标人参加。截标后，开标开始时间因故推迟的，相关评标信息仍以原定的开标开始时间的信息为准。</w:t>
      </w:r>
      <w:bookmarkEnd w:id="182"/>
      <w:bookmarkEnd w:id="183"/>
    </w:p>
    <w:p w14:paraId="64BD885D">
      <w:pPr>
        <w:keepNext/>
        <w:keepLines/>
        <w:spacing w:line="360" w:lineRule="auto"/>
        <w:ind w:firstLine="420" w:firstLineChars="200"/>
        <w:outlineLvl w:val="2"/>
        <w:rPr>
          <w:rFonts w:ascii="宋体" w:hAnsi="宋体" w:cs="新宋体"/>
          <w:szCs w:val="21"/>
          <w:highlight w:val="none"/>
          <w:u w:val="single"/>
        </w:rPr>
      </w:pPr>
      <w:bookmarkStart w:id="185" w:name="_Toc165358665"/>
      <w:bookmarkStart w:id="186" w:name="_Toc165358800"/>
      <w:r>
        <w:rPr>
          <w:rFonts w:hint="eastAsia" w:ascii="宋体" w:hAnsi="宋体" w:cs="新宋体"/>
          <w:szCs w:val="21"/>
          <w:highlight w:val="none"/>
          <w:u w:val="single"/>
        </w:rPr>
        <w:t>5.2.2 开标由招标人或委托招标代理单位主持。</w:t>
      </w:r>
      <w:bookmarkEnd w:id="185"/>
      <w:bookmarkEnd w:id="186"/>
    </w:p>
    <w:p w14:paraId="4DE81372">
      <w:pPr>
        <w:keepNext/>
        <w:keepLines/>
        <w:spacing w:line="360" w:lineRule="auto"/>
        <w:ind w:firstLine="420" w:firstLineChars="200"/>
        <w:outlineLvl w:val="2"/>
        <w:rPr>
          <w:rFonts w:ascii="宋体" w:hAnsi="宋体" w:cs="新宋体"/>
          <w:szCs w:val="21"/>
          <w:highlight w:val="none"/>
          <w:u w:val="single"/>
        </w:rPr>
      </w:pPr>
      <w:bookmarkStart w:id="187" w:name="_Toc165358666"/>
      <w:bookmarkStart w:id="188" w:name="_Toc165358801"/>
      <w:r>
        <w:rPr>
          <w:rFonts w:hint="eastAsia" w:ascii="宋体" w:hAnsi="宋体" w:cs="新宋体"/>
          <w:szCs w:val="21"/>
          <w:highlight w:val="none"/>
          <w:u w:val="single"/>
        </w:rPr>
        <w:t>5.2.3开标细则：详见投标人须知前附表。</w:t>
      </w:r>
      <w:bookmarkEnd w:id="187"/>
      <w:bookmarkEnd w:id="188"/>
    </w:p>
    <w:p w14:paraId="26DAC44E">
      <w:pPr>
        <w:keepNext/>
        <w:keepLines/>
        <w:spacing w:line="360" w:lineRule="auto"/>
        <w:outlineLvl w:val="2"/>
        <w:rPr>
          <w:rFonts w:ascii="宋体" w:hAnsi="宋体" w:cs="宋体"/>
          <w:b/>
          <w:bCs/>
          <w:sz w:val="24"/>
          <w:szCs w:val="32"/>
          <w:highlight w:val="none"/>
          <w:lang w:val="zh-CN"/>
        </w:rPr>
      </w:pPr>
      <w:bookmarkStart w:id="189" w:name="_Toc165358667"/>
      <w:bookmarkStart w:id="190" w:name="_Toc165358802"/>
      <w:r>
        <w:rPr>
          <w:rFonts w:hint="eastAsia" w:ascii="宋体" w:hAnsi="宋体" w:cs="宋体"/>
          <w:b/>
          <w:bCs/>
          <w:sz w:val="24"/>
          <w:szCs w:val="32"/>
          <w:highlight w:val="none"/>
          <w:lang w:val="zh-CN"/>
        </w:rPr>
        <w:t>5.3 开标异议</w:t>
      </w:r>
      <w:bookmarkEnd w:id="184"/>
      <w:bookmarkEnd w:id="189"/>
      <w:bookmarkEnd w:id="190"/>
    </w:p>
    <w:p w14:paraId="06E87172">
      <w:pPr>
        <w:keepNext/>
        <w:keepLines/>
        <w:spacing w:line="360" w:lineRule="auto"/>
        <w:ind w:firstLine="420" w:firstLineChars="200"/>
        <w:outlineLvl w:val="1"/>
        <w:rPr>
          <w:rFonts w:ascii="宋体" w:hAnsi="宋体" w:cs="宋体"/>
          <w:highlight w:val="none"/>
        </w:rPr>
      </w:pPr>
      <w:bookmarkStart w:id="191" w:name="_Toc165358668"/>
      <w:bookmarkStart w:id="192" w:name="_Toc165358803"/>
      <w:r>
        <w:rPr>
          <w:rFonts w:hint="eastAsia" w:ascii="宋体" w:hAnsi="宋体" w:cs="宋体"/>
          <w:highlight w:val="none"/>
        </w:rPr>
        <w:t>投标人对开标有异议的，应当在</w:t>
      </w:r>
      <w:r>
        <w:rPr>
          <w:rFonts w:hint="eastAsia" w:ascii="宋体" w:hAnsi="宋体" w:cs="宋体"/>
          <w:highlight w:val="none"/>
          <w:u w:val="single"/>
        </w:rPr>
        <w:t>广州交易集团有限公司（广州公共资源交易中心）交易平台规定的时间内</w:t>
      </w:r>
      <w:r>
        <w:rPr>
          <w:rFonts w:hint="eastAsia" w:ascii="宋体" w:hAnsi="宋体" w:cs="宋体"/>
          <w:highlight w:val="none"/>
        </w:rPr>
        <w:t>提出，招标人当场作出答复，并制作记录。</w:t>
      </w:r>
      <w:bookmarkEnd w:id="191"/>
      <w:bookmarkEnd w:id="192"/>
      <w:bookmarkStart w:id="193" w:name="_Toc31673"/>
      <w:bookmarkStart w:id="194" w:name="_Toc49303764"/>
      <w:bookmarkStart w:id="195" w:name="_Toc86413309"/>
    </w:p>
    <w:p w14:paraId="79BB6DAC">
      <w:pPr>
        <w:pStyle w:val="4"/>
        <w:spacing w:line="360" w:lineRule="auto"/>
        <w:rPr>
          <w:rFonts w:hint="eastAsia" w:ascii="宋体" w:hAnsi="宋体" w:eastAsia="宋体" w:cs="Times New Roman"/>
          <w:highlight w:val="none"/>
        </w:rPr>
      </w:pPr>
      <w:bookmarkStart w:id="196" w:name="_Toc165358804"/>
      <w:bookmarkStart w:id="197" w:name="_Toc165358669"/>
      <w:r>
        <w:rPr>
          <w:rFonts w:hint="eastAsia" w:ascii="宋体" w:hAnsi="宋体" w:eastAsia="宋体" w:cs="Times New Roman"/>
          <w:highlight w:val="none"/>
        </w:rPr>
        <w:t>6. 评（定）标</w:t>
      </w:r>
      <w:bookmarkEnd w:id="193"/>
      <w:bookmarkEnd w:id="194"/>
      <w:bookmarkEnd w:id="195"/>
      <w:bookmarkEnd w:id="196"/>
      <w:bookmarkEnd w:id="197"/>
    </w:p>
    <w:p w14:paraId="6FAE6B05">
      <w:pPr>
        <w:keepNext/>
        <w:keepLines/>
        <w:spacing w:line="360" w:lineRule="auto"/>
        <w:outlineLvl w:val="2"/>
        <w:rPr>
          <w:rFonts w:hint="eastAsia" w:ascii="宋体" w:hAnsi="宋体" w:eastAsia="宋体" w:cs="宋体"/>
          <w:b/>
          <w:bCs/>
          <w:sz w:val="24"/>
          <w:szCs w:val="32"/>
          <w:highlight w:val="none"/>
          <w:lang w:val="zh-CN"/>
        </w:rPr>
      </w:pPr>
      <w:bookmarkStart w:id="198" w:name="_Toc86413310"/>
      <w:bookmarkStart w:id="199" w:name="_Toc165358670"/>
      <w:bookmarkStart w:id="200" w:name="_Toc165358805"/>
      <w:r>
        <w:rPr>
          <w:rFonts w:hint="eastAsia" w:ascii="宋体" w:hAnsi="宋体" w:eastAsia="宋体" w:cs="宋体"/>
          <w:b/>
          <w:bCs/>
          <w:sz w:val="24"/>
          <w:szCs w:val="32"/>
          <w:highlight w:val="none"/>
          <w:lang w:val="zh-CN"/>
        </w:rPr>
        <w:t>6.1 评标委员会</w:t>
      </w:r>
      <w:bookmarkEnd w:id="198"/>
      <w:bookmarkEnd w:id="199"/>
      <w:bookmarkEnd w:id="200"/>
    </w:p>
    <w:p w14:paraId="2F99E461">
      <w:pPr>
        <w:spacing w:line="400" w:lineRule="exact"/>
        <w:ind w:firstLine="420" w:firstLineChars="200"/>
        <w:rPr>
          <w:rFonts w:ascii="宋体" w:hAnsi="宋体" w:cs="宋体"/>
          <w:highlight w:val="none"/>
        </w:rPr>
      </w:pPr>
      <w:r>
        <w:rPr>
          <w:rFonts w:hint="eastAsia" w:ascii="宋体" w:hAnsi="宋体" w:cs="宋体"/>
          <w:highlight w:val="none"/>
        </w:rPr>
        <w:t>6.1.1 评标由招标人依法组建的评标委员会负责。评标委员会</w:t>
      </w:r>
      <w:r>
        <w:rPr>
          <w:rFonts w:hint="eastAsia" w:ascii="宋体" w:hAnsi="宋体" w:cs="宋体"/>
          <w:highlight w:val="none"/>
          <w:u w:val="single"/>
        </w:rPr>
        <w:t>由招标人依法组建</w:t>
      </w:r>
      <w:r>
        <w:rPr>
          <w:rFonts w:hint="eastAsia" w:ascii="宋体" w:hAnsi="宋体" w:cs="宋体"/>
          <w:highlight w:val="none"/>
        </w:rPr>
        <w:t>。</w:t>
      </w:r>
    </w:p>
    <w:p w14:paraId="3FB49E72">
      <w:pPr>
        <w:spacing w:line="400" w:lineRule="exact"/>
        <w:ind w:firstLine="420" w:firstLineChars="200"/>
        <w:rPr>
          <w:rFonts w:ascii="宋体" w:hAnsi="宋体" w:cs="宋体"/>
          <w:highlight w:val="none"/>
        </w:rPr>
      </w:pPr>
      <w:r>
        <w:rPr>
          <w:rFonts w:hint="eastAsia" w:ascii="宋体" w:hAnsi="宋体" w:cs="宋体"/>
          <w:highlight w:val="none"/>
        </w:rPr>
        <w:t>6.1.2 评标委员会成员有下列情形之一的，应当回避：</w:t>
      </w:r>
    </w:p>
    <w:p w14:paraId="7645A5AC">
      <w:pPr>
        <w:spacing w:line="400" w:lineRule="exact"/>
        <w:ind w:firstLine="718" w:firstLineChars="342"/>
        <w:rPr>
          <w:rFonts w:ascii="宋体" w:hAnsi="宋体" w:cs="宋体"/>
          <w:highlight w:val="none"/>
        </w:rPr>
      </w:pPr>
      <w:r>
        <w:rPr>
          <w:rFonts w:hint="eastAsia" w:ascii="宋体" w:hAnsi="宋体" w:cs="宋体"/>
          <w:highlight w:val="none"/>
        </w:rPr>
        <w:t>（1）投标人或投标人主要负责人的近亲属；</w:t>
      </w:r>
    </w:p>
    <w:p w14:paraId="3BA88D8E">
      <w:pPr>
        <w:spacing w:line="400" w:lineRule="exact"/>
        <w:ind w:firstLine="718" w:firstLineChars="342"/>
        <w:rPr>
          <w:rFonts w:ascii="宋体" w:hAnsi="宋体" w:cs="宋体"/>
          <w:highlight w:val="none"/>
        </w:rPr>
      </w:pPr>
      <w:r>
        <w:rPr>
          <w:rFonts w:hint="eastAsia" w:ascii="宋体" w:hAnsi="宋体" w:cs="宋体"/>
          <w:highlight w:val="none"/>
        </w:rPr>
        <w:t>（2）项目主管部门或者行政监督部门的人员；</w:t>
      </w:r>
    </w:p>
    <w:p w14:paraId="0693FA4A">
      <w:pPr>
        <w:spacing w:line="400" w:lineRule="exact"/>
        <w:ind w:firstLine="718" w:firstLineChars="342"/>
        <w:rPr>
          <w:rFonts w:ascii="宋体" w:hAnsi="宋体" w:cs="宋体"/>
          <w:highlight w:val="none"/>
        </w:rPr>
      </w:pPr>
      <w:r>
        <w:rPr>
          <w:rFonts w:hint="eastAsia" w:ascii="宋体" w:hAnsi="宋体" w:cs="宋体"/>
          <w:highlight w:val="none"/>
        </w:rPr>
        <w:t>（3）与投标人有经济利益关系，可能影响对投标公正评审的；</w:t>
      </w:r>
    </w:p>
    <w:p w14:paraId="4CFFA7CB">
      <w:pPr>
        <w:spacing w:line="400" w:lineRule="exact"/>
        <w:ind w:firstLine="718" w:firstLineChars="342"/>
        <w:rPr>
          <w:rFonts w:ascii="宋体" w:hAnsi="宋体" w:cs="宋体"/>
          <w:highlight w:val="none"/>
        </w:rPr>
      </w:pPr>
      <w:r>
        <w:rPr>
          <w:rFonts w:hint="eastAsia" w:ascii="宋体" w:hAnsi="宋体" w:cs="宋体"/>
          <w:highlight w:val="none"/>
        </w:rPr>
        <w:t>（4）曾因在招标、评标以及其他与招标投标有关活动中从事违法行为而受过行政处罚或刑事处罚的；</w:t>
      </w:r>
    </w:p>
    <w:p w14:paraId="597FAB10">
      <w:pPr>
        <w:spacing w:line="400" w:lineRule="exact"/>
        <w:ind w:firstLine="718" w:firstLineChars="342"/>
        <w:rPr>
          <w:rFonts w:ascii="宋体" w:hAnsi="宋体" w:cs="宋体"/>
          <w:highlight w:val="none"/>
        </w:rPr>
      </w:pPr>
      <w:r>
        <w:rPr>
          <w:rFonts w:hint="eastAsia" w:ascii="宋体" w:hAnsi="宋体" w:cs="宋体"/>
          <w:highlight w:val="none"/>
        </w:rPr>
        <w:t>（5）与投标人有其他利害关系。</w:t>
      </w:r>
    </w:p>
    <w:p w14:paraId="2259F73A">
      <w:pPr>
        <w:spacing w:line="400" w:lineRule="exact"/>
        <w:ind w:firstLine="422" w:firstLineChars="200"/>
        <w:rPr>
          <w:rFonts w:ascii="宋体" w:hAnsi="宋体" w:cs="宋体"/>
          <w:b/>
          <w:highlight w:val="none"/>
          <w:u w:val="single"/>
        </w:rPr>
      </w:pPr>
      <w:r>
        <w:rPr>
          <w:rFonts w:hint="eastAsia" w:ascii="宋体" w:hAnsi="宋体" w:cs="宋体"/>
          <w:b/>
          <w:highlight w:val="none"/>
          <w:u w:val="single"/>
        </w:rPr>
        <w:t>6.1.3 评标工作开始前，应了解评标专家的职责及守则，认真阅读附件二《评标委员会成员声明》的内容并签名，签字后方可进行评标。</w:t>
      </w:r>
    </w:p>
    <w:p w14:paraId="0D49A706">
      <w:pPr>
        <w:spacing w:line="360" w:lineRule="auto"/>
        <w:ind w:firstLine="420" w:firstLineChars="200"/>
        <w:rPr>
          <w:rFonts w:ascii="宋体" w:hAnsi="宋体" w:cs="宋体"/>
          <w:highlight w:val="none"/>
          <w:u w:val="single"/>
        </w:rPr>
      </w:pPr>
      <w:r>
        <w:rPr>
          <w:rFonts w:hint="eastAsia" w:ascii="宋体" w:hAnsi="宋体" w:cs="宋体"/>
          <w:highlight w:val="none"/>
          <w:u w:val="single"/>
        </w:rPr>
        <w:t>6.1.4 评标委员会的职责及守则：</w:t>
      </w:r>
    </w:p>
    <w:p w14:paraId="64E4DCE8">
      <w:pPr>
        <w:spacing w:line="360" w:lineRule="auto"/>
        <w:ind w:firstLine="420" w:firstLineChars="200"/>
        <w:rPr>
          <w:rFonts w:ascii="宋体" w:hAnsi="宋体" w:cs="宋体"/>
          <w:highlight w:val="none"/>
          <w:u w:val="single"/>
        </w:rPr>
      </w:pPr>
      <w:r>
        <w:rPr>
          <w:rFonts w:hint="eastAsia" w:ascii="宋体" w:hAnsi="宋体" w:cs="宋体"/>
          <w:highlight w:val="none"/>
          <w:u w:val="single"/>
        </w:rPr>
        <w:t>（1）根据评标细则，对投标文件进行认真评审，完成评审报告；</w:t>
      </w:r>
    </w:p>
    <w:p w14:paraId="08E4F29E">
      <w:pPr>
        <w:spacing w:line="360" w:lineRule="auto"/>
        <w:ind w:firstLine="420" w:firstLineChars="200"/>
        <w:rPr>
          <w:rFonts w:ascii="宋体" w:hAnsi="宋体" w:cs="宋体"/>
          <w:highlight w:val="none"/>
          <w:u w:val="single"/>
        </w:rPr>
      </w:pPr>
      <w:r>
        <w:rPr>
          <w:rFonts w:hint="eastAsia" w:ascii="宋体" w:hAnsi="宋体" w:cs="宋体"/>
          <w:highlight w:val="none"/>
          <w:u w:val="single"/>
        </w:rPr>
        <w:t>（2）向招标人报告评审意见，推荐合格的中标候选人。</w:t>
      </w:r>
    </w:p>
    <w:p w14:paraId="403C9C21">
      <w:pPr>
        <w:spacing w:line="360" w:lineRule="auto"/>
        <w:ind w:firstLine="420" w:firstLineChars="200"/>
        <w:rPr>
          <w:rFonts w:ascii="宋体" w:hAnsi="宋体" w:cs="宋体"/>
          <w:highlight w:val="none"/>
          <w:u w:val="single"/>
        </w:rPr>
      </w:pPr>
      <w:r>
        <w:rPr>
          <w:rFonts w:hint="eastAsia" w:ascii="宋体" w:hAnsi="宋体" w:cs="宋体"/>
          <w:highlight w:val="none"/>
          <w:u w:val="single"/>
        </w:rPr>
        <w:t>（3）所有参加评标人员必须遵守国家、地方政府制定的有关工程招标投标的法则、规定，遵守有关工程招标投标的保密制度；如有违反者，给予行政处分；情节严重，构成犯罪的，由司法机关依法追究其刑事责任。</w:t>
      </w:r>
    </w:p>
    <w:p w14:paraId="5F30B8C4">
      <w:pPr>
        <w:spacing w:line="360" w:lineRule="auto"/>
        <w:ind w:firstLine="420" w:firstLineChars="200"/>
        <w:rPr>
          <w:rFonts w:ascii="宋体" w:hAnsi="宋体" w:cs="宋体"/>
          <w:highlight w:val="none"/>
        </w:rPr>
      </w:pPr>
      <w:r>
        <w:rPr>
          <w:rFonts w:hint="eastAsia" w:ascii="宋体" w:hAnsi="宋体" w:cs="宋体"/>
          <w:highlight w:val="none"/>
          <w:u w:val="single"/>
        </w:rPr>
        <w:t>6.1.5 评标过程中，评标委员会成员有回避事由、擅离职守或者因健康等原因不能继续评标的，招标人有权更换。被更换的评标委员会成员作出的评审结论无效，由更换后的评标委员会成员重新进行评审。</w:t>
      </w:r>
    </w:p>
    <w:p w14:paraId="657AB2F2">
      <w:pPr>
        <w:keepNext/>
        <w:keepLines/>
        <w:spacing w:line="360" w:lineRule="auto"/>
        <w:outlineLvl w:val="2"/>
        <w:rPr>
          <w:rFonts w:hint="eastAsia" w:ascii="宋体" w:hAnsi="宋体" w:eastAsia="宋体" w:cs="宋体"/>
          <w:b/>
          <w:bCs/>
          <w:sz w:val="24"/>
          <w:szCs w:val="32"/>
          <w:highlight w:val="none"/>
          <w:lang w:val="zh-CN"/>
        </w:rPr>
      </w:pPr>
      <w:bookmarkStart w:id="201" w:name="_Toc165358806"/>
      <w:bookmarkStart w:id="202" w:name="_Toc165358671"/>
      <w:bookmarkStart w:id="203" w:name="_Toc86413311"/>
      <w:r>
        <w:rPr>
          <w:rFonts w:hint="eastAsia" w:ascii="宋体" w:hAnsi="宋体" w:eastAsia="宋体" w:cs="宋体"/>
          <w:b/>
          <w:bCs/>
          <w:sz w:val="24"/>
          <w:szCs w:val="32"/>
          <w:highlight w:val="none"/>
          <w:lang w:val="zh-CN"/>
        </w:rPr>
        <w:t>6.2 定标委员会</w:t>
      </w:r>
      <w:bookmarkEnd w:id="201"/>
      <w:bookmarkEnd w:id="202"/>
      <w:bookmarkEnd w:id="203"/>
    </w:p>
    <w:p w14:paraId="629E2430">
      <w:pPr>
        <w:pStyle w:val="2"/>
        <w:ind w:firstLine="420" w:firstLineChars="200"/>
        <w:rPr>
          <w:rFonts w:ascii="宋体" w:hAnsi="宋体"/>
          <w:highlight w:val="none"/>
        </w:rPr>
      </w:pPr>
      <w:r>
        <w:rPr>
          <w:rFonts w:hint="eastAsia" w:ascii="宋体" w:hAnsi="宋体" w:cs="宋体"/>
          <w:szCs w:val="21"/>
          <w:highlight w:val="none"/>
          <w:u w:val="single"/>
        </w:rPr>
        <w:t>定标委员会由招标人依法依规组建，定标委员会成员于约定时间到达定标室参加由招标人组织的定标会。</w:t>
      </w:r>
    </w:p>
    <w:p w14:paraId="7DD4112B">
      <w:pPr>
        <w:keepNext/>
        <w:keepLines/>
        <w:spacing w:line="360" w:lineRule="auto"/>
        <w:outlineLvl w:val="2"/>
        <w:rPr>
          <w:rFonts w:hint="eastAsia" w:ascii="宋体" w:hAnsi="宋体" w:eastAsia="宋体" w:cs="宋体"/>
          <w:b/>
          <w:bCs/>
          <w:sz w:val="24"/>
          <w:szCs w:val="32"/>
          <w:highlight w:val="none"/>
          <w:lang w:val="zh-CN"/>
        </w:rPr>
      </w:pPr>
      <w:bookmarkStart w:id="204" w:name="_Toc86413312"/>
      <w:bookmarkStart w:id="205" w:name="_Toc165358807"/>
      <w:bookmarkStart w:id="206" w:name="_Toc165358672"/>
      <w:r>
        <w:rPr>
          <w:rFonts w:hint="eastAsia" w:ascii="宋体" w:hAnsi="宋体" w:eastAsia="宋体" w:cs="宋体"/>
          <w:b/>
          <w:bCs/>
          <w:sz w:val="24"/>
          <w:szCs w:val="32"/>
          <w:highlight w:val="none"/>
          <w:lang w:val="zh-CN"/>
        </w:rPr>
        <w:t>6.3评（定）标办法、原则</w:t>
      </w:r>
      <w:bookmarkEnd w:id="204"/>
      <w:bookmarkEnd w:id="205"/>
      <w:bookmarkEnd w:id="206"/>
    </w:p>
    <w:p w14:paraId="053B57A3">
      <w:pPr>
        <w:spacing w:line="360" w:lineRule="auto"/>
        <w:ind w:firstLine="420" w:firstLineChars="200"/>
        <w:rPr>
          <w:rFonts w:ascii="宋体" w:hAnsi="宋体" w:cs="宋体"/>
          <w:highlight w:val="none"/>
          <w:u w:val="single"/>
        </w:rPr>
      </w:pPr>
      <w:r>
        <w:rPr>
          <w:rFonts w:hint="eastAsia" w:ascii="宋体" w:hAnsi="宋体" w:cs="宋体"/>
          <w:highlight w:val="none"/>
          <w:u w:val="single"/>
        </w:rPr>
        <w:t>本项目评（定）标办法采用评定分离评标法。评标办法采用</w:t>
      </w:r>
      <w:bookmarkStart w:id="207" w:name="OLE_LINK137"/>
      <w:r>
        <w:rPr>
          <w:rFonts w:hint="eastAsia" w:ascii="宋体" w:hAnsi="宋体" w:eastAsia="宋体" w:cs="宋体"/>
          <w:sz w:val="21"/>
          <w:szCs w:val="24"/>
          <w:highlight w:val="none"/>
          <w:u w:val="single"/>
        </w:rPr>
        <w:t>综合评估法</w:t>
      </w:r>
      <w:bookmarkEnd w:id="207"/>
      <w:r>
        <w:rPr>
          <w:rFonts w:hint="eastAsia" w:ascii="宋体" w:hAnsi="宋体" w:cs="宋体"/>
          <w:highlight w:val="none"/>
          <w:u w:val="single"/>
        </w:rPr>
        <w:t>，</w:t>
      </w:r>
      <w:r>
        <w:rPr>
          <w:rFonts w:hint="eastAsia" w:ascii="宋体" w:hAnsi="宋体" w:cs="宋体"/>
          <w:b/>
          <w:highlight w:val="none"/>
          <w:u w:val="single"/>
        </w:rPr>
        <w:t>定标办法</w:t>
      </w:r>
      <w:r>
        <w:rPr>
          <w:rFonts w:hint="eastAsia" w:ascii="宋体" w:hAnsi="宋体"/>
          <w:szCs w:val="21"/>
          <w:highlight w:val="none"/>
          <w:u w:val="single"/>
        </w:rPr>
        <w:t>采</w:t>
      </w:r>
      <w:r>
        <w:rPr>
          <w:rFonts w:hint="eastAsia" w:ascii="宋体" w:hAnsi="宋体" w:cs="宋体"/>
          <w:b/>
          <w:szCs w:val="24"/>
          <w:highlight w:val="none"/>
          <w:u w:val="single"/>
        </w:rPr>
        <w:t>用</w:t>
      </w:r>
      <w:r>
        <w:rPr>
          <w:rFonts w:hint="eastAsia" w:ascii="宋体" w:hAnsi="宋体" w:cs="宋体"/>
          <w:b/>
          <w:sz w:val="21"/>
          <w:szCs w:val="24"/>
          <w:highlight w:val="none"/>
          <w:u w:val="single"/>
          <w:lang w:val="en-US" w:eastAsia="zh-CN"/>
        </w:rPr>
        <w:t>评分法</w:t>
      </w:r>
      <w:r>
        <w:rPr>
          <w:rFonts w:hint="eastAsia" w:ascii="宋体" w:hAnsi="宋体" w:cs="宋体"/>
          <w:highlight w:val="none"/>
          <w:u w:val="single"/>
        </w:rPr>
        <w:t>。评标、定标活动遵循公平、公正、科学和择优的原则。</w:t>
      </w:r>
    </w:p>
    <w:p w14:paraId="0B61ED87">
      <w:pPr>
        <w:keepNext/>
        <w:keepLines/>
        <w:spacing w:line="360" w:lineRule="auto"/>
        <w:outlineLvl w:val="2"/>
        <w:rPr>
          <w:rFonts w:hint="eastAsia" w:ascii="宋体" w:hAnsi="宋体" w:eastAsia="宋体" w:cs="宋体"/>
          <w:b/>
          <w:bCs/>
          <w:sz w:val="24"/>
          <w:szCs w:val="32"/>
          <w:highlight w:val="none"/>
          <w:lang w:val="zh-CN"/>
        </w:rPr>
      </w:pPr>
      <w:bookmarkStart w:id="208" w:name="_Toc165358808"/>
      <w:bookmarkStart w:id="209" w:name="_Toc86413313"/>
      <w:bookmarkStart w:id="210" w:name="_Toc165358673"/>
      <w:r>
        <w:rPr>
          <w:rFonts w:hint="eastAsia" w:ascii="宋体" w:hAnsi="宋体" w:eastAsia="宋体" w:cs="宋体"/>
          <w:b/>
          <w:bCs/>
          <w:sz w:val="24"/>
          <w:szCs w:val="32"/>
          <w:highlight w:val="none"/>
          <w:lang w:val="zh-CN"/>
        </w:rPr>
        <w:t>6.4评标</w:t>
      </w:r>
      <w:bookmarkEnd w:id="208"/>
      <w:bookmarkEnd w:id="209"/>
      <w:bookmarkEnd w:id="210"/>
    </w:p>
    <w:p w14:paraId="2EE38F21">
      <w:pPr>
        <w:spacing w:line="400" w:lineRule="exact"/>
        <w:ind w:firstLine="420" w:firstLineChars="200"/>
        <w:jc w:val="left"/>
        <w:rPr>
          <w:rFonts w:ascii="宋体" w:hAnsi="宋体" w:cs="宋体"/>
          <w:highlight w:val="none"/>
          <w:u w:val="single"/>
        </w:rPr>
      </w:pPr>
      <w:r>
        <w:rPr>
          <w:rFonts w:hint="eastAsia" w:ascii="宋体" w:hAnsi="宋体" w:cs="宋体"/>
          <w:highlight w:val="none"/>
        </w:rPr>
        <w:t>6.4.1</w:t>
      </w:r>
      <w:r>
        <w:rPr>
          <w:rFonts w:hint="eastAsia" w:ascii="宋体" w:hAnsi="宋体" w:cs="宋体"/>
          <w:highlight w:val="none"/>
          <w:u w:val="single"/>
        </w:rPr>
        <w:t xml:space="preserve">评标委员会按照第三章“评（定）标办法”中评标阶段规定的方法、评审因素、标准和程序对投标文件进行评审。第三章“评（定）标办法”没有规定的方法、评审因素和标准，不作为评标依据。 </w:t>
      </w:r>
    </w:p>
    <w:p w14:paraId="3F5CF6C2">
      <w:pPr>
        <w:spacing w:line="400" w:lineRule="exact"/>
        <w:ind w:firstLine="420" w:firstLineChars="200"/>
        <w:jc w:val="left"/>
        <w:rPr>
          <w:rFonts w:ascii="宋体" w:hAnsi="宋体" w:cs="宋体"/>
          <w:highlight w:val="none"/>
          <w:u w:val="single"/>
        </w:rPr>
      </w:pPr>
      <w:r>
        <w:rPr>
          <w:rFonts w:hint="eastAsia" w:ascii="宋体" w:hAnsi="宋体" w:cs="宋体"/>
          <w:highlight w:val="none"/>
        </w:rPr>
        <w:t>6.4.2</w:t>
      </w:r>
      <w:r>
        <w:rPr>
          <w:rFonts w:hint="eastAsia" w:ascii="宋体" w:hAnsi="宋体" w:cs="宋体"/>
          <w:highlight w:val="none"/>
          <w:u w:val="single"/>
        </w:rPr>
        <w:t>评标完成后，评标委员会根据初步评审的情况编写评标报告，并向招标人提交评标报告。</w:t>
      </w:r>
    </w:p>
    <w:p w14:paraId="2D90567A">
      <w:pPr>
        <w:keepNext/>
        <w:keepLines/>
        <w:spacing w:line="360" w:lineRule="auto"/>
        <w:outlineLvl w:val="2"/>
        <w:rPr>
          <w:rFonts w:hint="eastAsia" w:ascii="宋体" w:hAnsi="宋体" w:eastAsia="宋体" w:cs="宋体"/>
          <w:b/>
          <w:bCs/>
          <w:sz w:val="24"/>
          <w:szCs w:val="32"/>
          <w:highlight w:val="none"/>
          <w:lang w:val="zh-CN"/>
        </w:rPr>
      </w:pPr>
      <w:r>
        <w:rPr>
          <w:rFonts w:hint="eastAsia" w:ascii="宋体" w:hAnsi="宋体" w:eastAsia="宋体" w:cs="宋体"/>
          <w:b/>
          <w:bCs/>
          <w:sz w:val="24"/>
          <w:szCs w:val="32"/>
          <w:highlight w:val="none"/>
          <w:lang w:val="zh-CN"/>
        </w:rPr>
        <w:t>6.5定标</w:t>
      </w:r>
    </w:p>
    <w:p w14:paraId="41144BC8">
      <w:pPr>
        <w:spacing w:line="400" w:lineRule="exact"/>
        <w:ind w:firstLine="420" w:firstLineChars="200"/>
        <w:jc w:val="left"/>
        <w:rPr>
          <w:rFonts w:ascii="宋体" w:hAnsi="宋体" w:cs="宋体"/>
          <w:highlight w:val="none"/>
          <w:u w:val="single"/>
        </w:rPr>
      </w:pPr>
      <w:r>
        <w:rPr>
          <w:rFonts w:hint="eastAsia" w:ascii="宋体" w:hAnsi="宋体" w:cs="宋体"/>
          <w:highlight w:val="none"/>
          <w:u w:val="single"/>
        </w:rPr>
        <w:t>6.5.1招标人在</w:t>
      </w:r>
      <w:r>
        <w:rPr>
          <w:rFonts w:hint="eastAsia" w:ascii="宋体" w:hAnsi="宋体" w:eastAsia="宋体" w:cs="宋体"/>
          <w:sz w:val="21"/>
          <w:szCs w:val="24"/>
          <w:highlight w:val="none"/>
          <w:u w:val="single"/>
          <w:lang w:val="en-US" w:eastAsia="zh-CN"/>
        </w:rPr>
        <w:t>中标候选人公示期满之日起5个工作日内</w:t>
      </w:r>
      <w:r>
        <w:rPr>
          <w:rFonts w:hint="eastAsia" w:ascii="宋体" w:hAnsi="宋体" w:cs="宋体"/>
          <w:highlight w:val="none"/>
          <w:u w:val="single"/>
        </w:rPr>
        <w:t>，在广州交易集团有限公司</w:t>
      </w:r>
      <w:r>
        <w:rPr>
          <w:rFonts w:hint="eastAsia" w:ascii="宋体" w:hAnsi="宋体" w:cs="宋体"/>
          <w:highlight w:val="none"/>
          <w:u w:val="single"/>
          <w:lang w:eastAsia="zh-CN"/>
        </w:rPr>
        <w:t>（</w:t>
      </w:r>
      <w:r>
        <w:rPr>
          <w:rFonts w:hint="eastAsia" w:ascii="宋体" w:hAnsi="宋体" w:cs="宋体"/>
          <w:highlight w:val="none"/>
          <w:u w:val="single"/>
        </w:rPr>
        <w:t>广州公共资源交易中心</w:t>
      </w:r>
      <w:r>
        <w:rPr>
          <w:rFonts w:hint="eastAsia" w:ascii="宋体" w:hAnsi="宋体" w:cs="宋体"/>
          <w:highlight w:val="none"/>
          <w:u w:val="single"/>
          <w:lang w:eastAsia="zh-CN"/>
        </w:rPr>
        <w:t>）</w:t>
      </w:r>
      <w:r>
        <w:rPr>
          <w:rFonts w:hint="eastAsia" w:ascii="宋体" w:hAnsi="宋体" w:cs="宋体"/>
          <w:highlight w:val="none"/>
          <w:u w:val="single"/>
        </w:rPr>
        <w:t>举行定标会议完成定标工作。</w:t>
      </w:r>
    </w:p>
    <w:p w14:paraId="0AB9506C">
      <w:pPr>
        <w:spacing w:line="400" w:lineRule="exact"/>
        <w:ind w:firstLine="420" w:firstLineChars="200"/>
        <w:jc w:val="left"/>
        <w:rPr>
          <w:rFonts w:ascii="宋体" w:hAnsi="宋体" w:cs="宋体"/>
          <w:highlight w:val="none"/>
          <w:u w:val="single"/>
        </w:rPr>
      </w:pPr>
      <w:r>
        <w:rPr>
          <w:rFonts w:hint="eastAsia" w:ascii="宋体" w:hAnsi="宋体" w:cs="宋体"/>
          <w:highlight w:val="none"/>
          <w:u w:val="single"/>
        </w:rPr>
        <w:t xml:space="preserve">6.5.2定标委员会按照第三章“评（定）标办法”中定标阶段规定的方法、定标因素、标准和程序对定标文件进行评审。第三章“评（定）标办法”没有规定的方法、定标因素和标准，不作为定标依据。 </w:t>
      </w:r>
    </w:p>
    <w:p w14:paraId="4174B467">
      <w:pPr>
        <w:pStyle w:val="2"/>
        <w:ind w:firstLine="420"/>
        <w:rPr>
          <w:rFonts w:ascii="宋体" w:hAnsi="宋体" w:cs="宋体"/>
          <w:highlight w:val="none"/>
          <w:u w:val="single"/>
        </w:rPr>
      </w:pPr>
      <w:r>
        <w:rPr>
          <w:rFonts w:hint="eastAsia" w:ascii="宋体" w:hAnsi="宋体" w:cs="宋体"/>
          <w:highlight w:val="none"/>
          <w:u w:val="single"/>
        </w:rPr>
        <w:t>6.5.3定标委员会根据定标评审情况确定中标人后，撰写及签署定标报告并向招标人提交书面定标报告。</w:t>
      </w:r>
    </w:p>
    <w:p w14:paraId="0F3CFC11">
      <w:pPr>
        <w:rPr>
          <w:rFonts w:ascii="宋体" w:hAnsi="宋体"/>
          <w:highlight w:val="none"/>
        </w:rPr>
      </w:pPr>
    </w:p>
    <w:p w14:paraId="07EB00BD">
      <w:pPr>
        <w:keepNext/>
        <w:keepLines/>
        <w:spacing w:line="360" w:lineRule="auto"/>
        <w:outlineLvl w:val="2"/>
        <w:rPr>
          <w:rFonts w:hint="eastAsia" w:ascii="宋体" w:hAnsi="宋体" w:eastAsia="宋体" w:cs="宋体"/>
          <w:b/>
          <w:bCs/>
          <w:sz w:val="24"/>
          <w:szCs w:val="32"/>
          <w:highlight w:val="none"/>
          <w:lang w:val="zh-CN"/>
        </w:rPr>
      </w:pPr>
      <w:bookmarkStart w:id="211" w:name="_Toc153268587"/>
      <w:bookmarkStart w:id="212" w:name="_Toc104901277"/>
      <w:r>
        <w:rPr>
          <w:rFonts w:hint="eastAsia" w:ascii="宋体" w:hAnsi="宋体" w:eastAsia="宋体" w:cs="宋体"/>
          <w:b/>
          <w:bCs/>
          <w:sz w:val="24"/>
          <w:szCs w:val="32"/>
          <w:highlight w:val="none"/>
          <w:lang w:val="zh-CN"/>
        </w:rPr>
        <w:t>6.6评标过程的保密</w:t>
      </w:r>
      <w:bookmarkEnd w:id="211"/>
      <w:bookmarkEnd w:id="212"/>
    </w:p>
    <w:p w14:paraId="60C7DD86">
      <w:pPr>
        <w:spacing w:line="400" w:lineRule="exact"/>
        <w:ind w:firstLine="420" w:firstLineChars="200"/>
        <w:jc w:val="left"/>
        <w:rPr>
          <w:rFonts w:ascii="宋体" w:hAnsi="宋体" w:cs="宋体"/>
          <w:highlight w:val="none"/>
        </w:rPr>
      </w:pPr>
      <w:r>
        <w:rPr>
          <w:rFonts w:hint="eastAsia" w:ascii="宋体" w:hAnsi="宋体" w:cs="宋体"/>
          <w:highlight w:val="none"/>
        </w:rPr>
        <w:t>6.6.1 开标后，直至授予中标人合同为止，凡属于对资格审查文件和投标文件的审查、澄清、评价和比较有关的资料以及中标候选人的推荐情况，与评标有关的其他任何情况均严格保密。</w:t>
      </w:r>
    </w:p>
    <w:p w14:paraId="255A4F59">
      <w:pPr>
        <w:spacing w:line="400" w:lineRule="exact"/>
        <w:ind w:firstLine="420" w:firstLineChars="200"/>
        <w:jc w:val="left"/>
        <w:rPr>
          <w:rFonts w:ascii="宋体" w:hAnsi="宋体" w:cs="宋体"/>
          <w:highlight w:val="none"/>
        </w:rPr>
      </w:pPr>
      <w:r>
        <w:rPr>
          <w:rFonts w:hint="eastAsia" w:ascii="宋体" w:hAnsi="宋体" w:cs="宋体"/>
          <w:highlight w:val="none"/>
        </w:rPr>
        <w:t>6.6.2 在资格审查文件和投标文件的评审和比较、中标候选人推荐以及授予合同的过程中，投标人向招标人和评标委员会施加影响的任何行为，都将会导致其投标被拒绝。</w:t>
      </w:r>
    </w:p>
    <w:p w14:paraId="0C8172FF">
      <w:pPr>
        <w:spacing w:line="400" w:lineRule="exact"/>
        <w:ind w:firstLine="420" w:firstLineChars="200"/>
        <w:jc w:val="left"/>
        <w:rPr>
          <w:rFonts w:ascii="宋体" w:hAnsi="宋体" w:cs="宋体"/>
          <w:highlight w:val="none"/>
        </w:rPr>
      </w:pPr>
      <w:r>
        <w:rPr>
          <w:rFonts w:hint="eastAsia" w:ascii="宋体" w:hAnsi="宋体" w:cs="宋体"/>
          <w:highlight w:val="none"/>
        </w:rPr>
        <w:t>6.6.3 中标人确定后，招标人不对未中标人就评标过程以及未能中标原因作出任何解释。未中标人不得向评标委员会组成人员或其他有关人员索问评标过程的情况和材料。</w:t>
      </w:r>
    </w:p>
    <w:p w14:paraId="44357EF7">
      <w:pPr>
        <w:pStyle w:val="44"/>
        <w:rPr>
          <w:rFonts w:ascii="宋体" w:hAnsi="宋体"/>
          <w:highlight w:val="none"/>
        </w:rPr>
      </w:pPr>
    </w:p>
    <w:p w14:paraId="517BCD7B">
      <w:pPr>
        <w:pStyle w:val="4"/>
        <w:spacing w:line="360" w:lineRule="auto"/>
        <w:rPr>
          <w:rFonts w:hint="eastAsia" w:ascii="宋体" w:hAnsi="宋体" w:eastAsia="宋体" w:cs="Times New Roman"/>
          <w:highlight w:val="none"/>
        </w:rPr>
      </w:pPr>
      <w:bookmarkStart w:id="213" w:name="_Toc13256"/>
      <w:bookmarkStart w:id="214" w:name="_Toc165358809"/>
      <w:bookmarkStart w:id="215" w:name="_Toc165358674"/>
      <w:bookmarkStart w:id="216" w:name="_Toc5620333"/>
      <w:bookmarkStart w:id="217" w:name="_Toc3304"/>
      <w:r>
        <w:rPr>
          <w:rFonts w:hint="eastAsia" w:ascii="宋体" w:hAnsi="宋体" w:eastAsia="宋体" w:cs="Times New Roman"/>
          <w:highlight w:val="none"/>
        </w:rPr>
        <w:t>7. 合同授予</w:t>
      </w:r>
      <w:bookmarkEnd w:id="213"/>
      <w:bookmarkEnd w:id="214"/>
      <w:bookmarkEnd w:id="215"/>
      <w:bookmarkEnd w:id="216"/>
      <w:bookmarkEnd w:id="217"/>
    </w:p>
    <w:p w14:paraId="7A6DED25">
      <w:pPr>
        <w:keepNext/>
        <w:keepLines/>
        <w:spacing w:line="360" w:lineRule="auto"/>
        <w:outlineLvl w:val="2"/>
        <w:rPr>
          <w:rFonts w:hint="eastAsia" w:ascii="宋体" w:hAnsi="宋体" w:eastAsia="宋体" w:cs="宋体"/>
          <w:b/>
          <w:bCs/>
          <w:sz w:val="24"/>
          <w:szCs w:val="32"/>
          <w:highlight w:val="none"/>
          <w:lang w:val="zh-CN"/>
        </w:rPr>
      </w:pPr>
      <w:bookmarkStart w:id="218" w:name="_Toc165358810"/>
      <w:bookmarkStart w:id="219" w:name="_Toc86413315"/>
      <w:bookmarkStart w:id="220" w:name="_Toc165358675"/>
      <w:r>
        <w:rPr>
          <w:rFonts w:hint="eastAsia" w:ascii="宋体" w:hAnsi="宋体" w:eastAsia="宋体" w:cs="宋体"/>
          <w:b/>
          <w:bCs/>
          <w:sz w:val="24"/>
          <w:szCs w:val="32"/>
          <w:highlight w:val="none"/>
          <w:lang w:val="zh-CN"/>
        </w:rPr>
        <w:t>7.1 定标方式</w:t>
      </w:r>
      <w:bookmarkEnd w:id="218"/>
      <w:bookmarkEnd w:id="219"/>
      <w:bookmarkEnd w:id="220"/>
    </w:p>
    <w:p w14:paraId="6528AEAA">
      <w:pPr>
        <w:keepNext/>
        <w:keepLines/>
        <w:spacing w:line="360" w:lineRule="auto"/>
        <w:ind w:firstLine="420" w:firstLineChars="200"/>
        <w:outlineLvl w:val="2"/>
        <w:rPr>
          <w:rFonts w:ascii="宋体" w:hAnsi="宋体" w:cs="宋体"/>
          <w:highlight w:val="none"/>
          <w:u w:val="single"/>
        </w:rPr>
      </w:pPr>
      <w:bookmarkStart w:id="221" w:name="_Toc86413316"/>
      <w:bookmarkStart w:id="222" w:name="_Toc165358811"/>
      <w:bookmarkStart w:id="223" w:name="_Toc165358676"/>
      <w:r>
        <w:rPr>
          <w:rFonts w:hint="eastAsia" w:ascii="宋体" w:hAnsi="宋体" w:cs="宋体"/>
          <w:highlight w:val="none"/>
          <w:u w:val="single"/>
        </w:rPr>
        <w:t>7</w:t>
      </w:r>
      <w:r>
        <w:rPr>
          <w:rFonts w:ascii="宋体" w:hAnsi="宋体" w:cs="宋体"/>
          <w:highlight w:val="none"/>
          <w:u w:val="single"/>
        </w:rPr>
        <w:t>.1.1</w:t>
      </w:r>
      <w:r>
        <w:rPr>
          <w:rFonts w:hint="eastAsia" w:ascii="宋体" w:hAnsi="宋体" w:cs="宋体"/>
          <w:highlight w:val="none"/>
          <w:u w:val="single"/>
        </w:rPr>
        <w:t>定标方式方法根据第三章“评（定）标办法”执行。</w:t>
      </w:r>
      <w:bookmarkEnd w:id="221"/>
      <w:bookmarkEnd w:id="222"/>
      <w:bookmarkEnd w:id="223"/>
      <w:r>
        <w:rPr>
          <w:rFonts w:ascii="宋体" w:hAnsi="宋体" w:cs="宋体"/>
          <w:highlight w:val="none"/>
          <w:u w:val="single"/>
        </w:rPr>
        <w:tab/>
      </w:r>
    </w:p>
    <w:p w14:paraId="1028BF7E">
      <w:pPr>
        <w:spacing w:line="360" w:lineRule="auto"/>
        <w:ind w:firstLine="420" w:firstLineChars="200"/>
        <w:rPr>
          <w:rFonts w:ascii="宋体" w:hAnsi="宋体" w:cs="宋体"/>
          <w:highlight w:val="none"/>
          <w:u w:val="single"/>
        </w:rPr>
      </w:pPr>
      <w:r>
        <w:rPr>
          <w:rFonts w:ascii="宋体" w:hAnsi="宋体" w:cs="宋体"/>
          <w:highlight w:val="none"/>
          <w:u w:val="single"/>
        </w:rPr>
        <w:t>7.1.2</w:t>
      </w:r>
      <w:r>
        <w:rPr>
          <w:rFonts w:hint="eastAsia" w:ascii="宋体" w:hAnsi="宋体" w:cs="宋体"/>
          <w:highlight w:val="none"/>
          <w:u w:val="single"/>
        </w:rPr>
        <w:t>中标人放弃中标、或被取消中标资格，或因不可抗力提出不能履行合同，招标人可从其他合格的中标候选人中采用原定标办法，由原定标委员会重新确定中标人，也可以重新招标。</w:t>
      </w:r>
    </w:p>
    <w:p w14:paraId="46CB3852">
      <w:pPr>
        <w:spacing w:line="360" w:lineRule="auto"/>
        <w:ind w:firstLine="420" w:firstLineChars="200"/>
        <w:rPr>
          <w:rFonts w:ascii="宋体" w:hAnsi="宋体"/>
          <w:highlight w:val="none"/>
        </w:rPr>
      </w:pPr>
      <w:r>
        <w:rPr>
          <w:rFonts w:ascii="宋体" w:hAnsi="宋体" w:cs="宋体"/>
          <w:highlight w:val="none"/>
          <w:u w:val="single"/>
        </w:rPr>
        <w:t>7.1.3</w:t>
      </w:r>
      <w:r>
        <w:rPr>
          <w:rFonts w:hint="eastAsia" w:ascii="宋体" w:hAnsi="宋体" w:cs="宋体"/>
          <w:highlight w:val="none"/>
          <w:u w:val="single"/>
        </w:rPr>
        <w:t>定标后出现中标人不符合法定情形的，招标人可从其他合格的中标候选人中采用原定标办法，由原定标委员会确定中标人，也可以重新招标。</w:t>
      </w:r>
    </w:p>
    <w:p w14:paraId="51CCF21B">
      <w:pPr>
        <w:keepNext/>
        <w:keepLines/>
        <w:spacing w:line="360" w:lineRule="auto"/>
        <w:outlineLvl w:val="2"/>
        <w:rPr>
          <w:rFonts w:hint="eastAsia" w:ascii="宋体" w:hAnsi="宋体" w:eastAsia="宋体" w:cs="宋体"/>
          <w:b/>
          <w:bCs/>
          <w:sz w:val="24"/>
          <w:szCs w:val="32"/>
          <w:highlight w:val="none"/>
          <w:lang w:val="zh-CN"/>
        </w:rPr>
      </w:pPr>
      <w:bookmarkStart w:id="224" w:name="_Toc165358812"/>
      <w:bookmarkStart w:id="225" w:name="_Toc86413317"/>
      <w:bookmarkStart w:id="226" w:name="_Toc165358677"/>
      <w:r>
        <w:rPr>
          <w:rFonts w:hint="eastAsia" w:ascii="宋体" w:hAnsi="宋体" w:eastAsia="宋体" w:cs="宋体"/>
          <w:b/>
          <w:bCs/>
          <w:sz w:val="24"/>
          <w:szCs w:val="32"/>
          <w:highlight w:val="none"/>
          <w:lang w:val="zh-CN"/>
        </w:rPr>
        <w:t>7.2 中标候选人公示</w:t>
      </w:r>
      <w:bookmarkEnd w:id="224"/>
      <w:bookmarkEnd w:id="225"/>
      <w:bookmarkEnd w:id="226"/>
    </w:p>
    <w:p w14:paraId="0E85043E">
      <w:pPr>
        <w:spacing w:line="360" w:lineRule="auto"/>
        <w:ind w:firstLine="420"/>
        <w:rPr>
          <w:rFonts w:ascii="宋体" w:hAnsi="宋体" w:cs="宋体"/>
          <w:kern w:val="1"/>
          <w:szCs w:val="21"/>
          <w:highlight w:val="none"/>
          <w:u w:val="single"/>
        </w:rPr>
      </w:pPr>
      <w:bookmarkStart w:id="227" w:name="_Toc165358813"/>
      <w:bookmarkStart w:id="228" w:name="_Toc86413318"/>
      <w:bookmarkStart w:id="229" w:name="_Toc165358678"/>
      <w:r>
        <w:rPr>
          <w:rFonts w:hint="eastAsia" w:ascii="宋体" w:hAnsi="宋体" w:cs="宋体"/>
          <w:kern w:val="1"/>
          <w:szCs w:val="21"/>
          <w:highlight w:val="none"/>
        </w:rPr>
        <w:t>7.2.1</w:t>
      </w:r>
      <w:r>
        <w:rPr>
          <w:rFonts w:hint="eastAsia" w:ascii="宋体" w:hAnsi="宋体" w:cs="宋体"/>
          <w:kern w:val="1"/>
          <w:highlight w:val="none"/>
        </w:rPr>
        <w:t>招标人在投标人须知前附表规定的媒介公示中标候选人</w:t>
      </w:r>
      <w:r>
        <w:rPr>
          <w:rFonts w:hint="eastAsia" w:ascii="宋体" w:hAnsi="宋体" w:cs="宋体"/>
          <w:kern w:val="1"/>
          <w:szCs w:val="21"/>
          <w:highlight w:val="none"/>
        </w:rPr>
        <w:t>。</w:t>
      </w:r>
      <w:r>
        <w:rPr>
          <w:rFonts w:hint="eastAsia" w:ascii="宋体" w:hAnsi="宋体" w:cs="宋体"/>
          <w:kern w:val="1"/>
          <w:szCs w:val="21"/>
          <w:highlight w:val="none"/>
          <w:u w:val="single"/>
        </w:rPr>
        <w:t>公示时间为三天（最后一天应为工作日，否则将公示期的最后一天顺延至下一个工作日）。</w:t>
      </w:r>
    </w:p>
    <w:p w14:paraId="4AF46CAD">
      <w:pPr>
        <w:spacing w:line="360" w:lineRule="auto"/>
        <w:ind w:firstLine="420" w:firstLineChars="200"/>
        <w:rPr>
          <w:rFonts w:ascii="宋体" w:hAnsi="宋体" w:cs="宋体"/>
          <w:kern w:val="1"/>
          <w:szCs w:val="21"/>
          <w:highlight w:val="none"/>
          <w:u w:val="single"/>
        </w:rPr>
      </w:pPr>
      <w:r>
        <w:rPr>
          <w:rFonts w:hint="eastAsia" w:ascii="宋体" w:hAnsi="宋体" w:cs="宋体"/>
          <w:kern w:val="1"/>
          <w:szCs w:val="21"/>
          <w:highlight w:val="none"/>
          <w:u w:val="single"/>
        </w:rPr>
        <w:t>7.2.2在产生中标候选人后，招标人将中标候选人的投标文件商务部分文件的电子文件（包括人员、业绩、奖项等资料）要求提供资料的电子版在广州交易集团有限公司（广州公共资源交易中心）网站和广东省招标投标监管网公开。</w:t>
      </w:r>
    </w:p>
    <w:p w14:paraId="4113F3F2">
      <w:pPr>
        <w:spacing w:line="360" w:lineRule="auto"/>
        <w:ind w:firstLine="422" w:firstLineChars="200"/>
        <w:rPr>
          <w:rFonts w:ascii="宋体" w:hAnsi="宋体" w:cs="宋体"/>
          <w:b/>
          <w:highlight w:val="none"/>
        </w:rPr>
      </w:pPr>
      <w:r>
        <w:rPr>
          <w:rFonts w:hint="eastAsia" w:ascii="宋体" w:hAnsi="宋体" w:cs="宋体"/>
          <w:b/>
          <w:kern w:val="1"/>
          <w:szCs w:val="21"/>
          <w:highlight w:val="none"/>
          <w:u w:val="single"/>
        </w:rPr>
        <w:t>7</w:t>
      </w:r>
      <w:r>
        <w:rPr>
          <w:rFonts w:ascii="宋体" w:hAnsi="宋体" w:cs="宋体"/>
          <w:b/>
          <w:kern w:val="1"/>
          <w:szCs w:val="21"/>
          <w:highlight w:val="none"/>
          <w:u w:val="single"/>
        </w:rPr>
        <w:t xml:space="preserve">.2.3 </w:t>
      </w:r>
      <w:r>
        <w:rPr>
          <w:rFonts w:hint="eastAsia" w:ascii="宋体" w:hAnsi="宋体" w:cs="宋体"/>
          <w:b/>
          <w:kern w:val="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265652E">
      <w:pPr>
        <w:keepNext/>
        <w:keepLines/>
        <w:spacing w:line="360" w:lineRule="auto"/>
        <w:outlineLvl w:val="2"/>
        <w:rPr>
          <w:rFonts w:hint="eastAsia" w:ascii="宋体" w:hAnsi="宋体" w:eastAsia="宋体" w:cs="宋体"/>
          <w:b/>
          <w:bCs/>
          <w:sz w:val="24"/>
          <w:szCs w:val="32"/>
          <w:highlight w:val="none"/>
          <w:lang w:val="zh-CN"/>
        </w:rPr>
      </w:pPr>
      <w:r>
        <w:rPr>
          <w:rFonts w:hint="eastAsia" w:ascii="宋体" w:hAnsi="宋体" w:eastAsia="宋体" w:cs="宋体"/>
          <w:b/>
          <w:bCs/>
          <w:sz w:val="24"/>
          <w:szCs w:val="32"/>
          <w:highlight w:val="none"/>
          <w:lang w:val="zh-CN"/>
        </w:rPr>
        <w:t>7.3 中标通知</w:t>
      </w:r>
      <w:bookmarkEnd w:id="227"/>
      <w:bookmarkEnd w:id="228"/>
      <w:bookmarkEnd w:id="229"/>
    </w:p>
    <w:p w14:paraId="4D131CFB">
      <w:pPr>
        <w:spacing w:line="400" w:lineRule="exact"/>
        <w:ind w:firstLine="420" w:firstLineChars="200"/>
        <w:rPr>
          <w:rFonts w:ascii="宋体" w:hAnsi="宋体" w:cs="宋体"/>
          <w:highlight w:val="none"/>
        </w:rPr>
      </w:pPr>
      <w:r>
        <w:rPr>
          <w:rFonts w:hint="eastAsia" w:ascii="宋体" w:hAnsi="宋体" w:cs="宋体"/>
          <w:highlight w:val="none"/>
        </w:rPr>
        <w:t>7.3.1 中标公示后，在本章第3.3 款规定的投标有效期内，招标人以书面形式向中标人发出中标通知书，中标通知书发出前须经广州交易集团有限公司（广州公共资源交易中心）盖章确认。</w:t>
      </w:r>
    </w:p>
    <w:p w14:paraId="4B40A592">
      <w:pPr>
        <w:spacing w:line="400" w:lineRule="exact"/>
        <w:ind w:firstLine="420" w:firstLineChars="200"/>
        <w:rPr>
          <w:rFonts w:ascii="宋体" w:hAnsi="宋体" w:cs="宋体"/>
          <w:highlight w:val="none"/>
        </w:rPr>
      </w:pPr>
      <w:bookmarkStart w:id="230" w:name="_Toc86413319"/>
      <w:bookmarkStart w:id="231" w:name="_Toc165358679"/>
      <w:bookmarkStart w:id="232" w:name="_Toc165358814"/>
      <w:r>
        <w:rPr>
          <w:rFonts w:hint="eastAsia" w:ascii="宋体" w:hAnsi="宋体" w:cs="宋体"/>
          <w:highlight w:val="none"/>
        </w:rPr>
        <w:t>7.3.2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35153384">
      <w:pPr>
        <w:spacing w:line="400" w:lineRule="exact"/>
        <w:ind w:firstLine="420" w:firstLineChars="200"/>
        <w:rPr>
          <w:rFonts w:ascii="宋体" w:hAnsi="宋体" w:cs="宋体"/>
          <w:highlight w:val="none"/>
        </w:rPr>
      </w:pPr>
      <w:r>
        <w:rPr>
          <w:rFonts w:hint="eastAsia" w:ascii="宋体" w:hAnsi="宋体" w:cs="宋体"/>
          <w:highlight w:val="none"/>
        </w:rPr>
        <w:t>7.3.3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087B346E">
      <w:pPr>
        <w:keepNext/>
        <w:keepLines/>
        <w:spacing w:line="360" w:lineRule="auto"/>
        <w:outlineLvl w:val="2"/>
        <w:rPr>
          <w:rFonts w:hint="eastAsia" w:ascii="宋体" w:hAnsi="宋体" w:eastAsia="宋体" w:cs="宋体"/>
          <w:b/>
          <w:bCs/>
          <w:sz w:val="24"/>
          <w:szCs w:val="32"/>
          <w:highlight w:val="none"/>
          <w:lang w:val="zh-CN"/>
        </w:rPr>
      </w:pPr>
      <w:r>
        <w:rPr>
          <w:rFonts w:hint="eastAsia" w:ascii="宋体" w:hAnsi="宋体" w:eastAsia="宋体" w:cs="宋体"/>
          <w:b/>
          <w:bCs/>
          <w:sz w:val="24"/>
          <w:szCs w:val="32"/>
          <w:highlight w:val="none"/>
          <w:lang w:val="zh-CN"/>
        </w:rPr>
        <w:t>7.4 履约担保</w:t>
      </w:r>
      <w:bookmarkEnd w:id="230"/>
      <w:bookmarkEnd w:id="231"/>
      <w:bookmarkEnd w:id="232"/>
    </w:p>
    <w:p w14:paraId="51FDA102">
      <w:pPr>
        <w:spacing w:line="400" w:lineRule="exact"/>
        <w:ind w:firstLine="420" w:firstLineChars="200"/>
        <w:rPr>
          <w:rFonts w:hint="default" w:ascii="宋体" w:hAnsi="宋体" w:eastAsia="宋体" w:cs="宋体"/>
          <w:highlight w:val="none"/>
          <w:lang w:val="en-US" w:eastAsia="zh-CN"/>
        </w:rPr>
      </w:pPr>
      <w:r>
        <w:rPr>
          <w:rFonts w:hint="eastAsia" w:ascii="宋体" w:hAnsi="宋体" w:cs="宋体"/>
          <w:highlight w:val="none"/>
        </w:rPr>
        <w:t>7.4.1</w:t>
      </w:r>
      <w:r>
        <w:rPr>
          <w:rFonts w:hint="eastAsia" w:ascii="宋体" w:hAnsi="宋体" w:cs="宋体"/>
          <w:highlight w:val="none"/>
          <w:u w:val="single"/>
          <w:lang w:val="en-US" w:eastAsia="zh-CN"/>
        </w:rPr>
        <w:t>本项目无需提交履约担保。</w:t>
      </w:r>
    </w:p>
    <w:p w14:paraId="7A711506">
      <w:pPr>
        <w:keepNext/>
        <w:keepLines/>
        <w:spacing w:line="360" w:lineRule="auto"/>
        <w:outlineLvl w:val="2"/>
        <w:rPr>
          <w:rFonts w:hint="eastAsia" w:ascii="宋体" w:hAnsi="宋体" w:eastAsia="宋体" w:cs="宋体"/>
          <w:b/>
          <w:bCs/>
          <w:sz w:val="24"/>
          <w:szCs w:val="32"/>
          <w:highlight w:val="none"/>
          <w:lang w:val="zh-CN"/>
        </w:rPr>
      </w:pPr>
      <w:bookmarkStart w:id="233" w:name="_Toc86413320"/>
      <w:bookmarkStart w:id="234" w:name="_Toc165358815"/>
      <w:bookmarkStart w:id="235" w:name="_Toc165358680"/>
      <w:r>
        <w:rPr>
          <w:rFonts w:hint="eastAsia" w:ascii="宋体" w:hAnsi="宋体" w:eastAsia="宋体" w:cs="宋体"/>
          <w:b/>
          <w:bCs/>
          <w:sz w:val="24"/>
          <w:szCs w:val="32"/>
          <w:highlight w:val="none"/>
          <w:lang w:val="zh-CN"/>
        </w:rPr>
        <w:t>7.5 签订合同</w:t>
      </w:r>
      <w:bookmarkEnd w:id="233"/>
      <w:bookmarkEnd w:id="234"/>
      <w:bookmarkEnd w:id="235"/>
    </w:p>
    <w:p w14:paraId="6FFCA19A">
      <w:pPr>
        <w:spacing w:line="400" w:lineRule="exact"/>
        <w:ind w:firstLine="420" w:firstLineChars="200"/>
        <w:rPr>
          <w:rFonts w:ascii="宋体" w:hAnsi="宋体" w:cs="宋体"/>
          <w:highlight w:val="none"/>
        </w:rPr>
      </w:pPr>
      <w:r>
        <w:rPr>
          <w:rFonts w:hint="eastAsia" w:ascii="宋体" w:hAnsi="宋体" w:cs="宋体"/>
          <w:highlight w:val="none"/>
        </w:rPr>
        <w:t>7.5.1招标人和中标人应当自中标通知书发出之日起30天内，根据招标文件和中标人的投标文件订立书面合同。中标人无正当理由拒签合同的，招标人取消其中标资格，</w:t>
      </w:r>
      <w:r>
        <w:rPr>
          <w:rFonts w:hint="eastAsia" w:ascii="宋体" w:hAnsi="宋体" w:cs="宋体"/>
          <w:highlight w:val="none"/>
          <w:u w:val="single"/>
        </w:rPr>
        <w:t>给招标人造成的损失，中标人还应当予以赔偿</w:t>
      </w:r>
      <w:r>
        <w:rPr>
          <w:rFonts w:hint="eastAsia" w:ascii="宋体" w:hAnsi="宋体" w:cs="宋体"/>
          <w:highlight w:val="none"/>
        </w:rPr>
        <w:t xml:space="preserve">。 </w:t>
      </w:r>
    </w:p>
    <w:p w14:paraId="4EB5741A">
      <w:pPr>
        <w:spacing w:line="400" w:lineRule="exact"/>
        <w:ind w:firstLine="420" w:firstLineChars="200"/>
        <w:rPr>
          <w:rFonts w:hint="eastAsia" w:ascii="宋体" w:hAnsi="宋体" w:cs="宋体"/>
          <w:highlight w:val="none"/>
        </w:rPr>
      </w:pPr>
      <w:r>
        <w:rPr>
          <w:rFonts w:hint="eastAsia" w:ascii="宋体" w:hAnsi="宋体" w:cs="宋体"/>
          <w:highlight w:val="none"/>
        </w:rPr>
        <w:t>7.5.2 发出中标通知书后，招标人无正当理由拒签合同的，招标人向中标人退还投标保证金；给中标人造成损失的，还应当赔偿损失。</w:t>
      </w:r>
    </w:p>
    <w:p w14:paraId="2E91948A">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7.5.3非经招标人同意，中标人在投标过程中使用的银行名称及账号至完成结算</w:t>
      </w:r>
      <w:r>
        <w:rPr>
          <w:rFonts w:hint="eastAsia" w:ascii="宋体" w:hAnsi="宋体" w:cs="宋体"/>
          <w:szCs w:val="21"/>
          <w:highlight w:val="none"/>
          <w:u w:val="single"/>
          <w:lang w:val="en-US" w:eastAsia="zh-CN"/>
        </w:rPr>
        <w:t>前</w:t>
      </w:r>
      <w:r>
        <w:rPr>
          <w:rFonts w:hint="eastAsia" w:ascii="宋体" w:hAnsi="宋体" w:cs="宋体"/>
          <w:szCs w:val="21"/>
          <w:highlight w:val="none"/>
          <w:u w:val="single"/>
        </w:rPr>
        <w:t>不得变更，否则招标人有权停止款项的拨付及解除合同，</w:t>
      </w:r>
      <w:r>
        <w:rPr>
          <w:rFonts w:hint="eastAsia" w:ascii="宋体" w:hAnsi="宋体" w:cs="宋体"/>
          <w:szCs w:val="21"/>
          <w:highlight w:val="none"/>
          <w:u w:val="single"/>
          <w:lang w:val="en-US" w:eastAsia="zh-CN"/>
        </w:rPr>
        <w:t>不视为招标人违约，</w:t>
      </w:r>
      <w:r>
        <w:rPr>
          <w:rFonts w:hint="eastAsia" w:ascii="宋体" w:hAnsi="宋体" w:cs="宋体"/>
          <w:szCs w:val="21"/>
          <w:highlight w:val="none"/>
          <w:u w:val="single"/>
        </w:rPr>
        <w:t>由此造成的一切责任由中标人承担。</w:t>
      </w:r>
    </w:p>
    <w:p w14:paraId="7D921CBA">
      <w:pPr>
        <w:spacing w:line="400" w:lineRule="exact"/>
        <w:ind w:firstLine="420" w:firstLineChars="200"/>
        <w:rPr>
          <w:rFonts w:ascii="宋体" w:hAnsi="宋体" w:cs="宋体"/>
          <w:highlight w:val="none"/>
        </w:rPr>
      </w:pPr>
      <w:r>
        <w:rPr>
          <w:rFonts w:hint="eastAsia" w:ascii="宋体" w:hAnsi="宋体" w:cs="宋体"/>
          <w:szCs w:val="21"/>
          <w:highlight w:val="none"/>
          <w:u w:val="single"/>
        </w:rPr>
        <w:t>7.5.4 招标人支付工程款时，中标人应按招标人要求，提供工程所在地合法增值税发票。</w:t>
      </w:r>
    </w:p>
    <w:p w14:paraId="7FD3562D">
      <w:pPr>
        <w:pStyle w:val="23"/>
        <w:rPr>
          <w:rFonts w:hAnsi="宋体"/>
          <w:highlight w:val="none"/>
        </w:rPr>
      </w:pPr>
    </w:p>
    <w:p w14:paraId="621566B7">
      <w:pPr>
        <w:pStyle w:val="4"/>
        <w:spacing w:line="360" w:lineRule="auto"/>
        <w:rPr>
          <w:rFonts w:hint="eastAsia" w:ascii="宋体" w:hAnsi="宋体" w:eastAsia="宋体" w:cs="Times New Roman"/>
          <w:highlight w:val="none"/>
        </w:rPr>
      </w:pPr>
      <w:bookmarkStart w:id="236" w:name="_Toc49303766"/>
      <w:bookmarkStart w:id="237" w:name="_Toc86413321"/>
      <w:bookmarkStart w:id="238" w:name="_Toc165358681"/>
      <w:bookmarkStart w:id="239" w:name="_Toc31841"/>
      <w:bookmarkStart w:id="240" w:name="_Toc165358816"/>
      <w:r>
        <w:rPr>
          <w:rFonts w:hint="eastAsia" w:ascii="宋体" w:hAnsi="宋体" w:eastAsia="宋体" w:cs="Times New Roman"/>
          <w:highlight w:val="none"/>
        </w:rPr>
        <w:t>8. 纪律和监督</w:t>
      </w:r>
      <w:bookmarkEnd w:id="236"/>
      <w:bookmarkEnd w:id="237"/>
      <w:bookmarkEnd w:id="238"/>
      <w:bookmarkEnd w:id="239"/>
      <w:bookmarkEnd w:id="240"/>
    </w:p>
    <w:p w14:paraId="3057A5F8">
      <w:pPr>
        <w:keepNext/>
        <w:keepLines/>
        <w:spacing w:line="360" w:lineRule="auto"/>
        <w:outlineLvl w:val="2"/>
        <w:rPr>
          <w:rFonts w:hint="eastAsia" w:ascii="宋体" w:hAnsi="宋体" w:eastAsia="宋体" w:cs="宋体"/>
          <w:b/>
          <w:bCs/>
          <w:sz w:val="24"/>
          <w:szCs w:val="32"/>
          <w:highlight w:val="none"/>
          <w:lang w:val="zh-CN"/>
        </w:rPr>
      </w:pPr>
      <w:bookmarkStart w:id="241" w:name="_Toc86413322"/>
      <w:bookmarkStart w:id="242" w:name="_Toc165358817"/>
      <w:bookmarkStart w:id="243" w:name="_Toc165358682"/>
      <w:bookmarkStart w:id="244" w:name="_Toc24400"/>
      <w:r>
        <w:rPr>
          <w:rFonts w:hint="eastAsia" w:ascii="宋体" w:hAnsi="宋体" w:eastAsia="宋体" w:cs="宋体"/>
          <w:b/>
          <w:bCs/>
          <w:sz w:val="24"/>
          <w:szCs w:val="32"/>
          <w:highlight w:val="none"/>
          <w:lang w:val="zh-CN"/>
        </w:rPr>
        <w:t>8.1 对招标人的纪律要求</w:t>
      </w:r>
      <w:bookmarkEnd w:id="241"/>
      <w:bookmarkEnd w:id="242"/>
      <w:bookmarkEnd w:id="243"/>
      <w:bookmarkEnd w:id="244"/>
    </w:p>
    <w:p w14:paraId="38EE92C8">
      <w:pPr>
        <w:spacing w:line="360" w:lineRule="auto"/>
        <w:ind w:firstLine="420" w:firstLineChars="200"/>
        <w:rPr>
          <w:rFonts w:ascii="宋体" w:hAnsi="宋体" w:cs="宋体"/>
          <w:highlight w:val="none"/>
        </w:rPr>
      </w:pPr>
      <w:r>
        <w:rPr>
          <w:rFonts w:hint="eastAsia" w:ascii="宋体" w:hAnsi="宋体" w:cs="宋体"/>
          <w:highlight w:val="none"/>
        </w:rPr>
        <w:t>招标人不得泄漏招标投标活动中应当保密的情况和资料，不得与投标人串通损害国家利益、社会公共利益或者他人合法权益。</w:t>
      </w:r>
    </w:p>
    <w:p w14:paraId="258B7F1A">
      <w:pPr>
        <w:keepNext/>
        <w:keepLines/>
        <w:spacing w:line="360" w:lineRule="auto"/>
        <w:outlineLvl w:val="2"/>
        <w:rPr>
          <w:rFonts w:hint="eastAsia" w:ascii="宋体" w:hAnsi="宋体" w:eastAsia="宋体" w:cs="宋体"/>
          <w:b/>
          <w:bCs/>
          <w:sz w:val="24"/>
          <w:szCs w:val="32"/>
          <w:highlight w:val="none"/>
          <w:lang w:val="zh-CN"/>
        </w:rPr>
      </w:pPr>
      <w:bookmarkStart w:id="245" w:name="_Toc165358818"/>
      <w:bookmarkStart w:id="246" w:name="_Toc86413323"/>
      <w:bookmarkStart w:id="247" w:name="_Toc165358683"/>
      <w:r>
        <w:rPr>
          <w:rFonts w:hint="eastAsia" w:ascii="宋体" w:hAnsi="宋体" w:eastAsia="宋体" w:cs="宋体"/>
          <w:b/>
          <w:bCs/>
          <w:sz w:val="24"/>
          <w:szCs w:val="32"/>
          <w:highlight w:val="none"/>
          <w:lang w:val="zh-CN"/>
        </w:rPr>
        <w:t>8.2 对投标人的纪律要求</w:t>
      </w:r>
      <w:bookmarkEnd w:id="245"/>
      <w:bookmarkEnd w:id="246"/>
      <w:bookmarkEnd w:id="247"/>
    </w:p>
    <w:p w14:paraId="5695CB70">
      <w:pPr>
        <w:spacing w:line="360" w:lineRule="auto"/>
        <w:ind w:firstLine="420" w:firstLineChars="200"/>
        <w:rPr>
          <w:rFonts w:ascii="宋体" w:hAnsi="宋体" w:cs="宋体"/>
          <w:highlight w:val="none"/>
        </w:rPr>
      </w:pPr>
      <w:r>
        <w:rPr>
          <w:rFonts w:hint="eastAsia" w:ascii="宋体" w:hAnsi="宋体" w:cs="宋体"/>
          <w:highlight w:val="none"/>
        </w:rPr>
        <w:t>8.2.1投标人不得相互串通投标或者与招标人串通投标，不得向招标人或者评标委员会成员行贿谋取中标，不得以他人名义投标或者以其他方式弄虚作假骗取中标；投标人不得以任何方式干扰、影响评标工作。</w:t>
      </w:r>
    </w:p>
    <w:p w14:paraId="7C513F7F">
      <w:pPr>
        <w:keepNext/>
        <w:keepLines/>
        <w:spacing w:line="360" w:lineRule="auto"/>
        <w:outlineLvl w:val="2"/>
        <w:rPr>
          <w:rFonts w:hint="eastAsia" w:ascii="宋体" w:hAnsi="宋体" w:eastAsia="宋体" w:cs="宋体"/>
          <w:b/>
          <w:bCs/>
          <w:sz w:val="24"/>
          <w:szCs w:val="32"/>
          <w:highlight w:val="none"/>
          <w:lang w:val="zh-CN"/>
        </w:rPr>
      </w:pPr>
      <w:bookmarkStart w:id="248" w:name="_Toc165358819"/>
      <w:bookmarkStart w:id="249" w:name="_Toc86413324"/>
      <w:bookmarkStart w:id="250" w:name="_Toc165358684"/>
      <w:r>
        <w:rPr>
          <w:rFonts w:hint="eastAsia" w:ascii="宋体" w:hAnsi="宋体" w:eastAsia="宋体" w:cs="宋体"/>
          <w:b/>
          <w:bCs/>
          <w:sz w:val="24"/>
          <w:szCs w:val="32"/>
          <w:highlight w:val="none"/>
          <w:lang w:val="zh-CN"/>
        </w:rPr>
        <w:t>8.3 对评标委员会成员的纪律要求</w:t>
      </w:r>
      <w:bookmarkEnd w:id="248"/>
      <w:bookmarkEnd w:id="249"/>
      <w:bookmarkEnd w:id="250"/>
    </w:p>
    <w:p w14:paraId="6EA40F29">
      <w:pPr>
        <w:spacing w:line="360" w:lineRule="auto"/>
        <w:ind w:firstLine="420" w:firstLineChars="200"/>
        <w:rPr>
          <w:rFonts w:ascii="宋体" w:hAnsi="宋体" w:cs="宋体"/>
          <w:highlight w:val="none"/>
        </w:rPr>
      </w:pPr>
      <w:r>
        <w:rPr>
          <w:rFonts w:hint="eastAsia" w:ascii="宋体" w:hAnsi="宋体" w:cs="宋体"/>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定）标办法”没有规定的评审因素和标准进行评标。</w:t>
      </w:r>
    </w:p>
    <w:p w14:paraId="0F07BC8C">
      <w:pPr>
        <w:keepNext/>
        <w:keepLines/>
        <w:spacing w:line="360" w:lineRule="auto"/>
        <w:outlineLvl w:val="2"/>
        <w:rPr>
          <w:rFonts w:hint="eastAsia" w:ascii="宋体" w:hAnsi="宋体" w:eastAsia="宋体" w:cs="宋体"/>
          <w:b/>
          <w:bCs/>
          <w:sz w:val="24"/>
          <w:szCs w:val="32"/>
          <w:highlight w:val="none"/>
          <w:lang w:val="zh-CN"/>
        </w:rPr>
      </w:pPr>
      <w:bookmarkStart w:id="251" w:name="_Toc165358685"/>
      <w:bookmarkStart w:id="252" w:name="_Toc165358820"/>
      <w:bookmarkStart w:id="253" w:name="_Toc86413325"/>
      <w:r>
        <w:rPr>
          <w:rFonts w:hint="eastAsia" w:ascii="宋体" w:hAnsi="宋体" w:eastAsia="宋体" w:cs="宋体"/>
          <w:b/>
          <w:bCs/>
          <w:sz w:val="24"/>
          <w:szCs w:val="32"/>
          <w:highlight w:val="none"/>
          <w:lang w:val="zh-CN"/>
        </w:rPr>
        <w:t>8.4 对与评标活动有关的工作人员的纪律要求</w:t>
      </w:r>
      <w:bookmarkEnd w:id="251"/>
      <w:bookmarkEnd w:id="252"/>
      <w:bookmarkEnd w:id="253"/>
    </w:p>
    <w:p w14:paraId="389A7254">
      <w:pPr>
        <w:spacing w:line="360" w:lineRule="auto"/>
        <w:ind w:firstLine="420" w:firstLineChars="200"/>
        <w:rPr>
          <w:rFonts w:ascii="宋体" w:hAnsi="宋体" w:cs="宋体"/>
          <w:highlight w:val="none"/>
        </w:rPr>
      </w:pPr>
      <w:r>
        <w:rPr>
          <w:rFonts w:hint="eastAsia" w:ascii="宋体" w:hAnsi="宋体" w:cs="宋体"/>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50FE4DC">
      <w:pPr>
        <w:keepNext/>
        <w:keepLines/>
        <w:spacing w:line="360" w:lineRule="auto"/>
        <w:outlineLvl w:val="2"/>
        <w:rPr>
          <w:rFonts w:hint="eastAsia" w:ascii="宋体" w:hAnsi="宋体" w:eastAsia="宋体" w:cs="宋体"/>
          <w:b/>
          <w:bCs/>
          <w:sz w:val="24"/>
          <w:szCs w:val="32"/>
          <w:highlight w:val="none"/>
          <w:lang w:val="zh-CN"/>
        </w:rPr>
      </w:pPr>
      <w:bookmarkStart w:id="254" w:name="_Toc165358821"/>
      <w:bookmarkStart w:id="255" w:name="_Toc86413326"/>
      <w:bookmarkStart w:id="256" w:name="_Toc165358686"/>
      <w:r>
        <w:rPr>
          <w:rFonts w:hint="eastAsia" w:ascii="宋体" w:hAnsi="宋体" w:eastAsia="宋体" w:cs="宋体"/>
          <w:b/>
          <w:bCs/>
          <w:sz w:val="24"/>
          <w:szCs w:val="32"/>
          <w:highlight w:val="none"/>
          <w:lang w:val="zh-CN"/>
        </w:rPr>
        <w:t>8.5 投诉</w:t>
      </w:r>
      <w:bookmarkEnd w:id="254"/>
      <w:bookmarkEnd w:id="255"/>
      <w:bookmarkEnd w:id="256"/>
    </w:p>
    <w:p w14:paraId="4440B667">
      <w:pPr>
        <w:spacing w:line="360" w:lineRule="auto"/>
        <w:ind w:firstLine="420" w:firstLineChars="200"/>
        <w:rPr>
          <w:rFonts w:ascii="宋体" w:hAnsi="宋体" w:cs="宋体"/>
          <w:highlight w:val="none"/>
        </w:rPr>
      </w:pPr>
      <w:r>
        <w:rPr>
          <w:rFonts w:hint="eastAsia" w:ascii="宋体" w:hAnsi="宋体" w:cs="宋体"/>
          <w:highlight w:val="none"/>
        </w:rPr>
        <w:t>投标人和其他利害关系人认为本次招标活动违反法律、法规和规章规定的，有权向有关行政监督部门投诉。</w:t>
      </w:r>
    </w:p>
    <w:p w14:paraId="069672BB">
      <w:pPr>
        <w:pStyle w:val="4"/>
        <w:spacing w:line="360" w:lineRule="auto"/>
        <w:rPr>
          <w:rFonts w:hint="eastAsia" w:ascii="宋体" w:hAnsi="宋体" w:eastAsia="宋体" w:cs="Times New Roman"/>
          <w:highlight w:val="none"/>
        </w:rPr>
      </w:pPr>
      <w:bookmarkStart w:id="257" w:name="_Toc49303767"/>
      <w:bookmarkStart w:id="258" w:name="_Toc7949"/>
      <w:bookmarkStart w:id="259" w:name="_Toc165358822"/>
      <w:bookmarkStart w:id="260" w:name="_Toc86413327"/>
      <w:bookmarkStart w:id="261" w:name="_Toc165358687"/>
      <w:r>
        <w:rPr>
          <w:rFonts w:hint="eastAsia" w:ascii="宋体" w:hAnsi="宋体" w:eastAsia="宋体" w:cs="Times New Roman"/>
          <w:highlight w:val="none"/>
        </w:rPr>
        <w:t>9. 需要补充的其他内容</w:t>
      </w:r>
      <w:bookmarkEnd w:id="257"/>
      <w:bookmarkEnd w:id="258"/>
      <w:bookmarkEnd w:id="259"/>
      <w:bookmarkEnd w:id="260"/>
      <w:bookmarkEnd w:id="261"/>
    </w:p>
    <w:p w14:paraId="005DEBBD">
      <w:pPr>
        <w:spacing w:line="360" w:lineRule="auto"/>
        <w:ind w:firstLine="420" w:firstLineChars="200"/>
        <w:rPr>
          <w:rFonts w:ascii="宋体" w:hAnsi="宋体" w:cs="宋体"/>
          <w:highlight w:val="none"/>
        </w:rPr>
      </w:pPr>
      <w:r>
        <w:rPr>
          <w:rFonts w:hint="eastAsia" w:ascii="宋体" w:hAnsi="宋体" w:cs="宋体"/>
          <w:highlight w:val="none"/>
        </w:rPr>
        <w:t>需要补充的其他内容：见投标人须知前附表。</w:t>
      </w:r>
    </w:p>
    <w:p w14:paraId="4435EE34">
      <w:pPr>
        <w:pStyle w:val="4"/>
        <w:spacing w:line="360" w:lineRule="auto"/>
        <w:rPr>
          <w:rFonts w:hint="eastAsia" w:ascii="宋体" w:hAnsi="宋体" w:eastAsia="宋体" w:cs="Times New Roman"/>
          <w:highlight w:val="none"/>
        </w:rPr>
      </w:pPr>
      <w:bookmarkStart w:id="262" w:name="_Toc25384"/>
      <w:bookmarkStart w:id="263" w:name="_Toc86413328"/>
      <w:bookmarkStart w:id="264" w:name="_Toc165358823"/>
      <w:bookmarkStart w:id="265" w:name="_Toc165358688"/>
      <w:bookmarkStart w:id="266" w:name="_Toc49303768"/>
      <w:r>
        <w:rPr>
          <w:rFonts w:hint="eastAsia" w:ascii="宋体" w:hAnsi="宋体" w:eastAsia="宋体" w:cs="Times New Roman"/>
          <w:highlight w:val="none"/>
        </w:rPr>
        <w:t>10. 电子招标投标</w:t>
      </w:r>
      <w:bookmarkEnd w:id="262"/>
      <w:bookmarkEnd w:id="263"/>
      <w:bookmarkEnd w:id="264"/>
      <w:bookmarkEnd w:id="265"/>
      <w:bookmarkEnd w:id="266"/>
    </w:p>
    <w:p w14:paraId="33EA87D2">
      <w:pPr>
        <w:spacing w:line="400" w:lineRule="exact"/>
        <w:ind w:firstLine="420" w:firstLineChars="200"/>
        <w:rPr>
          <w:rFonts w:ascii="宋体" w:hAnsi="宋体" w:cs="宋体"/>
          <w:highlight w:val="none"/>
          <w:u w:val="single"/>
        </w:rPr>
      </w:pPr>
      <w:r>
        <w:rPr>
          <w:rFonts w:hint="eastAsia" w:ascii="宋体" w:hAnsi="宋体" w:cs="宋体"/>
          <w:highlight w:val="none"/>
          <w:u w:val="single"/>
        </w:rPr>
        <w:t>采用电子招标投标，对投标文件的编制、密封和标记、递交、开标、评标等具体要求，见投标人须知前附表。</w:t>
      </w:r>
    </w:p>
    <w:p w14:paraId="36453678">
      <w:pPr>
        <w:pStyle w:val="44"/>
        <w:rPr>
          <w:rFonts w:ascii="宋体" w:hAnsi="宋体"/>
          <w:highlight w:val="none"/>
        </w:rPr>
      </w:pPr>
    </w:p>
    <w:p w14:paraId="286A9D93">
      <w:pPr>
        <w:spacing w:line="360" w:lineRule="auto"/>
        <w:ind w:firstLine="420" w:firstLineChars="200"/>
        <w:rPr>
          <w:rFonts w:ascii="宋体" w:hAnsi="宋体" w:cs="宋体"/>
          <w:highlight w:val="none"/>
          <w:u w:val="single"/>
        </w:rPr>
      </w:pPr>
    </w:p>
    <w:p w14:paraId="06630A25">
      <w:pPr>
        <w:pStyle w:val="23"/>
        <w:rPr>
          <w:rFonts w:hAnsi="宋体"/>
          <w:highlight w:val="none"/>
        </w:rPr>
        <w:sectPr>
          <w:footerReference r:id="rId7" w:type="default"/>
          <w:pgSz w:w="11906" w:h="16838"/>
          <w:pgMar w:top="1134" w:right="1417" w:bottom="1134" w:left="1417" w:header="851" w:footer="567" w:gutter="0"/>
          <w:pgNumType w:fmt="decimal" w:start="1"/>
          <w:cols w:space="720" w:num="1"/>
          <w:docGrid w:type="lines" w:linePitch="312" w:charSpace="0"/>
        </w:sectPr>
      </w:pPr>
    </w:p>
    <w:p w14:paraId="03C9BE03">
      <w:pPr>
        <w:pStyle w:val="5"/>
        <w:spacing w:line="240" w:lineRule="auto"/>
        <w:rPr>
          <w:rFonts w:hint="eastAsia" w:ascii="宋体" w:eastAsia="宋体"/>
          <w:highlight w:val="none"/>
        </w:rPr>
      </w:pPr>
      <w:bookmarkStart w:id="267" w:name="_Toc86413329"/>
      <w:bookmarkStart w:id="268" w:name="_Toc165358689"/>
      <w:bookmarkStart w:id="269" w:name="_Toc165358824"/>
      <w:r>
        <w:rPr>
          <w:rFonts w:hint="eastAsia" w:ascii="宋体" w:eastAsia="宋体"/>
          <w:highlight w:val="none"/>
        </w:rPr>
        <w:t>附件一：开标记录表</w:t>
      </w:r>
      <w:bookmarkEnd w:id="267"/>
    </w:p>
    <w:p w14:paraId="1F53635A">
      <w:pPr>
        <w:jc w:val="center"/>
        <w:rPr>
          <w:rFonts w:hint="eastAsia" w:ascii="宋体" w:hAnsi="宋体" w:eastAsia="宋体" w:cs="宋体"/>
          <w:sz w:val="28"/>
          <w:szCs w:val="28"/>
          <w:highlight w:val="none"/>
        </w:rPr>
      </w:pPr>
      <w:r>
        <w:rPr>
          <w:rStyle w:val="47"/>
          <w:rFonts w:hint="eastAsia" w:ascii="宋体" w:hAnsi="宋体" w:eastAsia="宋体" w:cs="宋体"/>
          <w:bCs w:val="0"/>
          <w:sz w:val="28"/>
          <w:szCs w:val="28"/>
          <w:highlight w:val="none"/>
        </w:rPr>
        <w:t>（仅供参考，具体按交易中心系统导出为准）</w:t>
      </w:r>
      <w:bookmarkEnd w:id="268"/>
      <w:bookmarkEnd w:id="269"/>
    </w:p>
    <w:p w14:paraId="11ECE051">
      <w:pPr>
        <w:jc w:val="center"/>
        <w:rPr>
          <w:rFonts w:ascii="宋体" w:hAnsi="宋体" w:cs="宋体"/>
          <w:sz w:val="28"/>
          <w:szCs w:val="28"/>
          <w:highlight w:val="none"/>
        </w:rPr>
      </w:pPr>
      <w:r>
        <w:rPr>
          <w:rFonts w:hint="eastAsia" w:ascii="宋体" w:hAnsi="宋体" w:cs="宋体"/>
          <w:sz w:val="28"/>
          <w:szCs w:val="28"/>
          <w:highlight w:val="none"/>
        </w:rPr>
        <w:t>开标记录表</w:t>
      </w:r>
    </w:p>
    <w:p w14:paraId="4D38A9AA">
      <w:pPr>
        <w:ind w:right="420"/>
        <w:jc w:val="right"/>
        <w:rPr>
          <w:rFonts w:ascii="宋体" w:hAnsi="宋体" w:cs="宋体"/>
          <w:highlight w:val="none"/>
        </w:rPr>
      </w:pPr>
      <w:r>
        <w:rPr>
          <w:rFonts w:hint="eastAsia" w:ascii="宋体" w:hAnsi="宋体" w:cs="宋体"/>
          <w:highlight w:val="none"/>
        </w:rPr>
        <w:t>开标时间：年月日时分</w:t>
      </w:r>
    </w:p>
    <w:tbl>
      <w:tblPr>
        <w:tblStyle w:val="45"/>
        <w:tblW w:w="13151" w:type="dxa"/>
        <w:jc w:val="center"/>
        <w:tblLayout w:type="fixed"/>
        <w:tblCellMar>
          <w:top w:w="0" w:type="dxa"/>
          <w:left w:w="108" w:type="dxa"/>
          <w:bottom w:w="0" w:type="dxa"/>
          <w:right w:w="108" w:type="dxa"/>
        </w:tblCellMar>
      </w:tblPr>
      <w:tblGrid>
        <w:gridCol w:w="698"/>
        <w:gridCol w:w="2044"/>
        <w:gridCol w:w="1050"/>
        <w:gridCol w:w="900"/>
        <w:gridCol w:w="1240"/>
        <w:gridCol w:w="708"/>
        <w:gridCol w:w="708"/>
        <w:gridCol w:w="915"/>
        <w:gridCol w:w="776"/>
        <w:gridCol w:w="896"/>
        <w:gridCol w:w="1197"/>
        <w:gridCol w:w="1316"/>
        <w:gridCol w:w="703"/>
      </w:tblGrid>
      <w:tr w14:paraId="033BB0E1">
        <w:tblPrEx>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2A0F7BE4">
            <w:pPr>
              <w:jc w:val="center"/>
              <w:rPr>
                <w:rFonts w:ascii="宋体" w:hAnsi="宋体" w:cs="宋体"/>
                <w:kern w:val="1"/>
                <w:sz w:val="18"/>
                <w:szCs w:val="18"/>
                <w:highlight w:val="none"/>
              </w:rPr>
            </w:pPr>
            <w:r>
              <w:rPr>
                <w:rFonts w:hint="eastAsia" w:ascii="宋体" w:hAnsi="宋体" w:cs="宋体"/>
                <w:kern w:val="1"/>
                <w:sz w:val="18"/>
                <w:szCs w:val="18"/>
                <w:highlight w:val="none"/>
              </w:rPr>
              <w:t>序号</w:t>
            </w:r>
          </w:p>
        </w:tc>
        <w:tc>
          <w:tcPr>
            <w:tcW w:w="2044" w:type="dxa"/>
            <w:tcBorders>
              <w:top w:val="single" w:color="000000" w:sz="4" w:space="0"/>
              <w:left w:val="single" w:color="000000" w:sz="4" w:space="0"/>
              <w:bottom w:val="single" w:color="000000" w:sz="4" w:space="0"/>
              <w:right w:val="single" w:color="000000" w:sz="4" w:space="0"/>
            </w:tcBorders>
            <w:vAlign w:val="center"/>
          </w:tcPr>
          <w:p w14:paraId="58738E52">
            <w:pPr>
              <w:jc w:val="center"/>
              <w:rPr>
                <w:rFonts w:ascii="宋体" w:hAnsi="宋体" w:cs="宋体"/>
                <w:kern w:val="1"/>
                <w:sz w:val="18"/>
                <w:szCs w:val="18"/>
                <w:highlight w:val="none"/>
              </w:rPr>
            </w:pPr>
            <w:r>
              <w:rPr>
                <w:rFonts w:hint="eastAsia" w:ascii="宋体" w:hAnsi="宋体" w:cs="宋体"/>
                <w:kern w:val="1"/>
                <w:sz w:val="18"/>
                <w:szCs w:val="18"/>
                <w:highlight w:val="none"/>
              </w:rPr>
              <w:t>投标人名称</w:t>
            </w:r>
          </w:p>
        </w:tc>
        <w:tc>
          <w:tcPr>
            <w:tcW w:w="1050" w:type="dxa"/>
            <w:tcBorders>
              <w:top w:val="single" w:color="000000" w:sz="4" w:space="0"/>
              <w:left w:val="single" w:color="000000" w:sz="4" w:space="0"/>
              <w:bottom w:val="single" w:color="000000" w:sz="4" w:space="0"/>
              <w:right w:val="single" w:color="000000" w:sz="4" w:space="0"/>
            </w:tcBorders>
            <w:vAlign w:val="center"/>
          </w:tcPr>
          <w:p w14:paraId="4B31E5C0">
            <w:pPr>
              <w:jc w:val="center"/>
              <w:rPr>
                <w:rFonts w:ascii="宋体" w:hAnsi="宋体" w:cs="宋体"/>
                <w:kern w:val="1"/>
                <w:sz w:val="18"/>
                <w:szCs w:val="18"/>
                <w:highlight w:val="none"/>
              </w:rPr>
            </w:pPr>
            <w:r>
              <w:rPr>
                <w:rFonts w:hint="eastAsia" w:ascii="宋体" w:hAnsi="宋体" w:cs="宋体"/>
                <w:kern w:val="1"/>
                <w:sz w:val="18"/>
                <w:szCs w:val="18"/>
                <w:highlight w:val="none"/>
              </w:rPr>
              <w:t>投标文件解密情况</w:t>
            </w:r>
          </w:p>
        </w:tc>
        <w:tc>
          <w:tcPr>
            <w:tcW w:w="900" w:type="dxa"/>
            <w:tcBorders>
              <w:top w:val="single" w:color="000000" w:sz="4" w:space="0"/>
              <w:left w:val="single" w:color="000000" w:sz="4" w:space="0"/>
              <w:bottom w:val="single" w:color="000000" w:sz="4" w:space="0"/>
              <w:right w:val="single" w:color="000000" w:sz="4" w:space="0"/>
            </w:tcBorders>
            <w:vAlign w:val="center"/>
          </w:tcPr>
          <w:p w14:paraId="30215991">
            <w:pPr>
              <w:jc w:val="center"/>
              <w:rPr>
                <w:rFonts w:ascii="宋体" w:hAnsi="宋体" w:cs="宋体"/>
                <w:kern w:val="1"/>
                <w:sz w:val="18"/>
                <w:szCs w:val="18"/>
                <w:highlight w:val="none"/>
              </w:rPr>
            </w:pPr>
            <w:r>
              <w:rPr>
                <w:rFonts w:hint="eastAsia" w:ascii="宋体" w:hAnsi="宋体" w:cs="宋体"/>
                <w:kern w:val="1"/>
                <w:sz w:val="18"/>
                <w:szCs w:val="18"/>
                <w:highlight w:val="none"/>
              </w:rPr>
              <w:t>工期</w:t>
            </w:r>
          </w:p>
        </w:tc>
        <w:tc>
          <w:tcPr>
            <w:tcW w:w="1240" w:type="dxa"/>
            <w:tcBorders>
              <w:top w:val="single" w:color="000000" w:sz="4" w:space="0"/>
              <w:left w:val="single" w:color="000000" w:sz="4" w:space="0"/>
              <w:right w:val="single" w:color="auto" w:sz="4" w:space="0"/>
            </w:tcBorders>
            <w:vAlign w:val="center"/>
          </w:tcPr>
          <w:p w14:paraId="3DF3E363">
            <w:pPr>
              <w:jc w:val="center"/>
              <w:rPr>
                <w:rFonts w:ascii="宋体" w:hAnsi="宋体" w:cs="宋体"/>
                <w:kern w:val="1"/>
                <w:sz w:val="18"/>
                <w:szCs w:val="18"/>
                <w:highlight w:val="none"/>
              </w:rPr>
            </w:pPr>
            <w:r>
              <w:rPr>
                <w:rFonts w:hint="eastAsia" w:ascii="宋体" w:hAnsi="宋体" w:cs="宋体"/>
                <w:kern w:val="1"/>
                <w:sz w:val="18"/>
                <w:szCs w:val="18"/>
                <w:highlight w:val="none"/>
              </w:rPr>
              <w:t>项目负责人（兼施工负责人）</w:t>
            </w:r>
          </w:p>
        </w:tc>
        <w:tc>
          <w:tcPr>
            <w:tcW w:w="708" w:type="dxa"/>
            <w:tcBorders>
              <w:top w:val="single" w:color="000000" w:sz="4" w:space="0"/>
              <w:left w:val="single" w:color="000000" w:sz="4" w:space="0"/>
              <w:right w:val="single" w:color="auto" w:sz="4" w:space="0"/>
            </w:tcBorders>
            <w:vAlign w:val="center"/>
          </w:tcPr>
          <w:p w14:paraId="3EDA0AC2">
            <w:pPr>
              <w:jc w:val="center"/>
              <w:rPr>
                <w:rFonts w:ascii="宋体" w:hAnsi="宋体" w:cs="宋体"/>
                <w:kern w:val="1"/>
                <w:sz w:val="18"/>
                <w:szCs w:val="18"/>
                <w:highlight w:val="none"/>
              </w:rPr>
            </w:pPr>
            <w:bookmarkStart w:id="270" w:name="OLE_LINK8"/>
            <w:bookmarkStart w:id="271" w:name="OLE_LINK9"/>
            <w:r>
              <w:rPr>
                <w:rFonts w:hint="eastAsia" w:ascii="宋体" w:hAnsi="宋体" w:cs="宋体"/>
                <w:kern w:val="1"/>
                <w:sz w:val="18"/>
                <w:szCs w:val="18"/>
                <w:highlight w:val="none"/>
              </w:rPr>
              <w:t>技术负责人</w:t>
            </w:r>
            <w:bookmarkEnd w:id="270"/>
            <w:bookmarkEnd w:id="271"/>
          </w:p>
        </w:tc>
        <w:tc>
          <w:tcPr>
            <w:tcW w:w="708" w:type="dxa"/>
            <w:tcBorders>
              <w:top w:val="single" w:color="000000" w:sz="4" w:space="0"/>
              <w:left w:val="single" w:color="000000" w:sz="4" w:space="0"/>
              <w:right w:val="single" w:color="auto" w:sz="4" w:space="0"/>
            </w:tcBorders>
            <w:vAlign w:val="center"/>
          </w:tcPr>
          <w:p w14:paraId="195E1730">
            <w:pPr>
              <w:jc w:val="center"/>
              <w:rPr>
                <w:rFonts w:ascii="宋体" w:hAnsi="宋体" w:cs="宋体"/>
                <w:kern w:val="1"/>
                <w:sz w:val="18"/>
                <w:szCs w:val="18"/>
                <w:highlight w:val="none"/>
              </w:rPr>
            </w:pPr>
            <w:bookmarkStart w:id="272" w:name="OLE_LINK12"/>
            <w:bookmarkStart w:id="273" w:name="OLE_LINK15"/>
            <w:r>
              <w:rPr>
                <w:rFonts w:hint="eastAsia" w:ascii="宋体" w:hAnsi="宋体" w:cs="宋体"/>
                <w:kern w:val="1"/>
                <w:sz w:val="18"/>
                <w:szCs w:val="18"/>
                <w:highlight w:val="none"/>
              </w:rPr>
              <w:t>专职安全员</w:t>
            </w:r>
            <w:bookmarkEnd w:id="272"/>
            <w:bookmarkEnd w:id="273"/>
          </w:p>
        </w:tc>
        <w:tc>
          <w:tcPr>
            <w:tcW w:w="915" w:type="dxa"/>
            <w:tcBorders>
              <w:top w:val="single" w:color="000000" w:sz="4" w:space="0"/>
              <w:left w:val="single" w:color="000000" w:sz="4" w:space="0"/>
              <w:right w:val="single" w:color="000000" w:sz="4" w:space="0"/>
            </w:tcBorders>
            <w:vAlign w:val="center"/>
          </w:tcPr>
          <w:p w14:paraId="52C9D330">
            <w:pPr>
              <w:jc w:val="center"/>
              <w:rPr>
                <w:rFonts w:ascii="宋体" w:hAnsi="宋体" w:cs="宋体"/>
                <w:kern w:val="1"/>
                <w:sz w:val="18"/>
                <w:szCs w:val="18"/>
                <w:highlight w:val="none"/>
              </w:rPr>
            </w:pPr>
            <w:bookmarkStart w:id="274" w:name="OLE_LINK17"/>
            <w:bookmarkStart w:id="275" w:name="OLE_LINK16"/>
            <w:r>
              <w:rPr>
                <w:rFonts w:hint="eastAsia" w:ascii="宋体" w:hAnsi="宋体" w:cs="宋体"/>
                <w:kern w:val="1"/>
                <w:sz w:val="18"/>
                <w:szCs w:val="18"/>
                <w:highlight w:val="none"/>
              </w:rPr>
              <w:t>投标总报价</w:t>
            </w:r>
            <w:bookmarkEnd w:id="274"/>
            <w:bookmarkEnd w:id="275"/>
            <w:r>
              <w:rPr>
                <w:rFonts w:hint="eastAsia" w:ascii="宋体" w:hAnsi="宋体" w:cs="宋体"/>
                <w:kern w:val="1"/>
                <w:sz w:val="18"/>
                <w:szCs w:val="18"/>
                <w:highlight w:val="none"/>
              </w:rPr>
              <w:t>（人民币：元）</w:t>
            </w:r>
          </w:p>
        </w:tc>
        <w:tc>
          <w:tcPr>
            <w:tcW w:w="776" w:type="dxa"/>
            <w:tcBorders>
              <w:top w:val="single" w:color="000000" w:sz="4" w:space="0"/>
              <w:left w:val="single" w:color="000000" w:sz="4" w:space="0"/>
              <w:bottom w:val="single" w:color="000000" w:sz="4" w:space="0"/>
              <w:right w:val="single" w:color="000000" w:sz="4" w:space="0"/>
            </w:tcBorders>
            <w:vAlign w:val="center"/>
          </w:tcPr>
          <w:p w14:paraId="7B88FD28">
            <w:pPr>
              <w:jc w:val="center"/>
              <w:rPr>
                <w:rFonts w:ascii="宋体" w:hAnsi="宋体" w:cs="宋体"/>
                <w:kern w:val="1"/>
                <w:highlight w:val="none"/>
              </w:rPr>
            </w:pPr>
            <w:r>
              <w:rPr>
                <w:rFonts w:hint="eastAsia" w:ascii="宋体" w:hAnsi="宋体" w:cs="宋体"/>
                <w:kern w:val="1"/>
                <w:sz w:val="18"/>
                <w:szCs w:val="18"/>
                <w:highlight w:val="none"/>
                <w:lang w:eastAsia="zh-CN"/>
              </w:rPr>
              <w:t>动迁服务费</w:t>
            </w:r>
            <w:r>
              <w:rPr>
                <w:rFonts w:hint="eastAsia" w:ascii="宋体" w:hAnsi="宋体" w:cs="宋体"/>
                <w:kern w:val="1"/>
                <w:sz w:val="18"/>
                <w:szCs w:val="18"/>
                <w:highlight w:val="none"/>
              </w:rPr>
              <w:t>（人民币：元）</w:t>
            </w:r>
          </w:p>
        </w:tc>
        <w:tc>
          <w:tcPr>
            <w:tcW w:w="896" w:type="dxa"/>
            <w:tcBorders>
              <w:top w:val="single" w:color="000000" w:sz="4" w:space="0"/>
              <w:left w:val="single" w:color="000000" w:sz="4" w:space="0"/>
              <w:bottom w:val="single" w:color="000000" w:sz="4" w:space="0"/>
              <w:right w:val="single" w:color="000000" w:sz="4" w:space="0"/>
            </w:tcBorders>
            <w:vAlign w:val="center"/>
          </w:tcPr>
          <w:p w14:paraId="275D9D29">
            <w:pPr>
              <w:jc w:val="center"/>
              <w:rPr>
                <w:rFonts w:ascii="宋体" w:hAnsi="宋体" w:cs="宋体"/>
                <w:kern w:val="1"/>
                <w:sz w:val="18"/>
                <w:szCs w:val="18"/>
                <w:highlight w:val="none"/>
              </w:rPr>
            </w:pPr>
            <w:bookmarkStart w:id="276" w:name="OLE_LINK25"/>
            <w:bookmarkStart w:id="277" w:name="OLE_LINK26"/>
            <w:r>
              <w:rPr>
                <w:rFonts w:hint="eastAsia" w:ascii="宋体" w:hAnsi="宋体" w:cs="宋体"/>
                <w:kern w:val="1"/>
                <w:sz w:val="18"/>
                <w:szCs w:val="18"/>
                <w:highlight w:val="none"/>
                <w:lang w:val="en-US" w:eastAsia="zh-CN"/>
              </w:rPr>
              <w:t>施工费</w:t>
            </w:r>
            <w:r>
              <w:rPr>
                <w:rFonts w:hint="eastAsia" w:ascii="宋体" w:hAnsi="宋体" w:cs="宋体"/>
                <w:kern w:val="1"/>
                <w:sz w:val="18"/>
                <w:szCs w:val="18"/>
                <w:highlight w:val="none"/>
              </w:rPr>
              <w:t>（人民币：元）</w:t>
            </w:r>
            <w:bookmarkEnd w:id="276"/>
            <w:bookmarkEnd w:id="277"/>
          </w:p>
        </w:tc>
        <w:tc>
          <w:tcPr>
            <w:tcW w:w="1197" w:type="dxa"/>
            <w:tcBorders>
              <w:top w:val="single" w:color="000000" w:sz="4" w:space="0"/>
              <w:left w:val="single" w:color="000000" w:sz="4" w:space="0"/>
              <w:right w:val="single" w:color="000000" w:sz="4" w:space="0"/>
            </w:tcBorders>
            <w:vAlign w:val="center"/>
          </w:tcPr>
          <w:p w14:paraId="43D15AEA">
            <w:pPr>
              <w:jc w:val="center"/>
              <w:rPr>
                <w:rFonts w:ascii="宋体" w:hAnsi="宋体" w:cs="宋体"/>
                <w:kern w:val="1"/>
                <w:sz w:val="18"/>
                <w:szCs w:val="18"/>
                <w:highlight w:val="none"/>
              </w:rPr>
            </w:pPr>
            <w:r>
              <w:rPr>
                <w:rFonts w:hint="eastAsia" w:ascii="宋体" w:hAnsi="宋体" w:cs="宋体"/>
                <w:kern w:val="1"/>
                <w:sz w:val="18"/>
                <w:szCs w:val="18"/>
                <w:highlight w:val="none"/>
              </w:rPr>
              <w:t>投标担保</w:t>
            </w:r>
          </w:p>
        </w:tc>
        <w:tc>
          <w:tcPr>
            <w:tcW w:w="1316" w:type="dxa"/>
            <w:tcBorders>
              <w:top w:val="single" w:color="000000" w:sz="4" w:space="0"/>
              <w:left w:val="single" w:color="000000" w:sz="4" w:space="0"/>
              <w:right w:val="single" w:color="000000" w:sz="4" w:space="0"/>
            </w:tcBorders>
            <w:vAlign w:val="center"/>
          </w:tcPr>
          <w:p w14:paraId="32A5AB11">
            <w:pPr>
              <w:jc w:val="center"/>
              <w:rPr>
                <w:rFonts w:ascii="宋体" w:hAnsi="宋体" w:cs="宋体"/>
                <w:kern w:val="1"/>
                <w:sz w:val="18"/>
                <w:szCs w:val="18"/>
                <w:highlight w:val="none"/>
              </w:rPr>
            </w:pPr>
            <w:r>
              <w:rPr>
                <w:rFonts w:hint="eastAsia" w:ascii="宋体" w:hAnsi="宋体" w:cs="宋体"/>
                <w:kern w:val="1"/>
                <w:sz w:val="18"/>
                <w:szCs w:val="18"/>
                <w:highlight w:val="none"/>
              </w:rPr>
              <w:t>投标人代表签名</w:t>
            </w:r>
          </w:p>
        </w:tc>
        <w:tc>
          <w:tcPr>
            <w:tcW w:w="703" w:type="dxa"/>
            <w:tcBorders>
              <w:top w:val="single" w:color="000000" w:sz="4" w:space="0"/>
              <w:left w:val="single" w:color="000000" w:sz="4" w:space="0"/>
              <w:right w:val="single" w:color="000000" w:sz="4" w:space="0"/>
            </w:tcBorders>
            <w:vAlign w:val="center"/>
          </w:tcPr>
          <w:p w14:paraId="3C94C399">
            <w:pPr>
              <w:jc w:val="center"/>
              <w:rPr>
                <w:rFonts w:ascii="宋体" w:hAnsi="宋体" w:cs="宋体"/>
                <w:kern w:val="1"/>
                <w:sz w:val="18"/>
                <w:szCs w:val="18"/>
                <w:highlight w:val="none"/>
              </w:rPr>
            </w:pPr>
            <w:r>
              <w:rPr>
                <w:rFonts w:hint="eastAsia" w:ascii="宋体" w:hAnsi="宋体" w:cs="宋体"/>
                <w:kern w:val="1"/>
                <w:sz w:val="18"/>
                <w:szCs w:val="18"/>
                <w:highlight w:val="none"/>
              </w:rPr>
              <w:t>备注</w:t>
            </w:r>
          </w:p>
        </w:tc>
      </w:tr>
      <w:tr w14:paraId="031053BE">
        <w:tblPrEx>
          <w:tblCellMar>
            <w:top w:w="0" w:type="dxa"/>
            <w:left w:w="108" w:type="dxa"/>
            <w:bottom w:w="0" w:type="dxa"/>
            <w:right w:w="108" w:type="dxa"/>
          </w:tblCellMar>
        </w:tblPrEx>
        <w:trPr>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1886D0EA">
            <w:pPr>
              <w:spacing w:line="620" w:lineRule="exact"/>
              <w:jc w:val="center"/>
              <w:rPr>
                <w:rFonts w:ascii="宋体" w:hAnsi="宋体" w:cs="宋体"/>
                <w:kern w:val="1"/>
                <w:szCs w:val="21"/>
                <w:highlight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14:paraId="585CF9F1">
            <w:pPr>
              <w:spacing w:line="620" w:lineRule="exact"/>
              <w:jc w:val="center"/>
              <w:rPr>
                <w:rFonts w:ascii="宋体" w:hAnsi="宋体" w:cs="宋体"/>
                <w:kern w:val="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30AA312">
            <w:pPr>
              <w:spacing w:line="620" w:lineRule="exact"/>
              <w:jc w:val="center"/>
              <w:rPr>
                <w:rFonts w:ascii="宋体" w:hAnsi="宋体" w:cs="宋体"/>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052EA9A">
            <w:pPr>
              <w:spacing w:line="620" w:lineRule="exact"/>
              <w:jc w:val="center"/>
              <w:rPr>
                <w:rFonts w:ascii="宋体" w:hAnsi="宋体" w:cs="宋体"/>
                <w:kern w:val="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4EF9E787">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A9059F7">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46AFB6C">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5AF93C7">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74F1F31D">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32EE2528">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4DBCB318">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1214A942">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7D2727ED">
            <w:pPr>
              <w:spacing w:line="620" w:lineRule="exact"/>
              <w:jc w:val="center"/>
              <w:rPr>
                <w:rFonts w:ascii="宋体" w:hAnsi="宋体" w:cs="宋体"/>
                <w:kern w:val="1"/>
                <w:szCs w:val="21"/>
                <w:highlight w:val="none"/>
              </w:rPr>
            </w:pPr>
          </w:p>
        </w:tc>
      </w:tr>
      <w:tr w14:paraId="7DB4BF25">
        <w:tblPrEx>
          <w:tblCellMar>
            <w:top w:w="0" w:type="dxa"/>
            <w:left w:w="108" w:type="dxa"/>
            <w:bottom w:w="0" w:type="dxa"/>
            <w:right w:w="108" w:type="dxa"/>
          </w:tblCellMar>
        </w:tblPrEx>
        <w:trPr>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3FF35264">
            <w:pPr>
              <w:spacing w:line="620" w:lineRule="exact"/>
              <w:jc w:val="center"/>
              <w:rPr>
                <w:rFonts w:ascii="宋体" w:hAnsi="宋体" w:cs="宋体"/>
                <w:kern w:val="1"/>
                <w:szCs w:val="21"/>
                <w:highlight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14:paraId="2E680E77">
            <w:pPr>
              <w:spacing w:line="620" w:lineRule="exact"/>
              <w:jc w:val="center"/>
              <w:rPr>
                <w:rFonts w:ascii="宋体" w:hAnsi="宋体" w:cs="宋体"/>
                <w:kern w:val="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DC7ECE5">
            <w:pPr>
              <w:spacing w:line="620" w:lineRule="exact"/>
              <w:jc w:val="center"/>
              <w:rPr>
                <w:rFonts w:ascii="宋体" w:hAnsi="宋体" w:cs="宋体"/>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280437F">
            <w:pPr>
              <w:spacing w:line="620" w:lineRule="exact"/>
              <w:jc w:val="center"/>
              <w:rPr>
                <w:rFonts w:ascii="宋体" w:hAnsi="宋体" w:cs="宋体"/>
                <w:kern w:val="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2C149F43">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59128EE">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CAB1B34">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2CB2E9F9">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6B1C8F76">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1254B027">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1A5B4DF1">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6A61761D">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46C86D4E">
            <w:pPr>
              <w:spacing w:line="620" w:lineRule="exact"/>
              <w:jc w:val="center"/>
              <w:rPr>
                <w:rFonts w:ascii="宋体" w:hAnsi="宋体" w:cs="宋体"/>
                <w:kern w:val="1"/>
                <w:szCs w:val="21"/>
                <w:highlight w:val="none"/>
              </w:rPr>
            </w:pPr>
          </w:p>
        </w:tc>
      </w:tr>
      <w:tr w14:paraId="715F347A">
        <w:tblPrEx>
          <w:tblCellMar>
            <w:top w:w="0" w:type="dxa"/>
            <w:left w:w="108" w:type="dxa"/>
            <w:bottom w:w="0" w:type="dxa"/>
            <w:right w:w="108" w:type="dxa"/>
          </w:tblCellMar>
        </w:tblPrEx>
        <w:trPr>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3AC88244">
            <w:pPr>
              <w:spacing w:line="620" w:lineRule="exact"/>
              <w:jc w:val="center"/>
              <w:rPr>
                <w:rFonts w:ascii="宋体" w:hAnsi="宋体" w:cs="宋体"/>
                <w:kern w:val="1"/>
                <w:szCs w:val="21"/>
                <w:highlight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14:paraId="44C8D34D">
            <w:pPr>
              <w:spacing w:line="620" w:lineRule="exact"/>
              <w:jc w:val="center"/>
              <w:rPr>
                <w:rFonts w:ascii="宋体" w:hAnsi="宋体" w:cs="宋体"/>
                <w:kern w:val="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95E1E30">
            <w:pPr>
              <w:spacing w:line="620" w:lineRule="exact"/>
              <w:jc w:val="center"/>
              <w:rPr>
                <w:rFonts w:ascii="宋体" w:hAnsi="宋体" w:cs="宋体"/>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05C44F8">
            <w:pPr>
              <w:spacing w:line="620" w:lineRule="exact"/>
              <w:jc w:val="center"/>
              <w:rPr>
                <w:rFonts w:ascii="宋体" w:hAnsi="宋体" w:cs="宋体"/>
                <w:kern w:val="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5690CEFE">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EABA35C">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EFE09D5">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A1827CA">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40A6B724">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5027661C">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7AFB0BC6">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334D0487">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07694010">
            <w:pPr>
              <w:spacing w:line="620" w:lineRule="exact"/>
              <w:jc w:val="center"/>
              <w:rPr>
                <w:rFonts w:ascii="宋体" w:hAnsi="宋体" w:cs="宋体"/>
                <w:kern w:val="1"/>
                <w:szCs w:val="21"/>
                <w:highlight w:val="none"/>
              </w:rPr>
            </w:pPr>
          </w:p>
        </w:tc>
      </w:tr>
      <w:tr w14:paraId="0646DBAC">
        <w:tblPrEx>
          <w:tblCellMar>
            <w:top w:w="0" w:type="dxa"/>
            <w:left w:w="108" w:type="dxa"/>
            <w:bottom w:w="0" w:type="dxa"/>
            <w:right w:w="108" w:type="dxa"/>
          </w:tblCellMar>
        </w:tblPrEx>
        <w:trPr>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46DA3087">
            <w:pPr>
              <w:spacing w:line="620" w:lineRule="exact"/>
              <w:jc w:val="center"/>
              <w:rPr>
                <w:rFonts w:ascii="宋体" w:hAnsi="宋体" w:cs="宋体"/>
                <w:kern w:val="1"/>
                <w:szCs w:val="21"/>
                <w:highlight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14:paraId="164E13E4">
            <w:pPr>
              <w:spacing w:line="620" w:lineRule="exact"/>
              <w:jc w:val="center"/>
              <w:rPr>
                <w:rFonts w:ascii="宋体" w:hAnsi="宋体" w:cs="宋体"/>
                <w:kern w:val="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F50B3D3">
            <w:pPr>
              <w:spacing w:line="620" w:lineRule="exact"/>
              <w:jc w:val="center"/>
              <w:rPr>
                <w:rFonts w:ascii="宋体" w:hAnsi="宋体" w:cs="宋体"/>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3068A96">
            <w:pPr>
              <w:spacing w:line="620" w:lineRule="exact"/>
              <w:jc w:val="center"/>
              <w:rPr>
                <w:rFonts w:ascii="宋体" w:hAnsi="宋体" w:cs="宋体"/>
                <w:kern w:val="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0C41B942">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5B81ED25">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053F06E">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26DE89A">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40608DAE">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4358CF57">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677C60BE">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0EFF6EC7">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69054333">
            <w:pPr>
              <w:spacing w:line="620" w:lineRule="exact"/>
              <w:jc w:val="center"/>
              <w:rPr>
                <w:rFonts w:ascii="宋体" w:hAnsi="宋体" w:cs="宋体"/>
                <w:kern w:val="1"/>
                <w:szCs w:val="21"/>
                <w:highlight w:val="none"/>
              </w:rPr>
            </w:pPr>
          </w:p>
        </w:tc>
      </w:tr>
      <w:tr w14:paraId="7962FEDE">
        <w:tblPrEx>
          <w:tblCellMar>
            <w:top w:w="0" w:type="dxa"/>
            <w:left w:w="108" w:type="dxa"/>
            <w:bottom w:w="0" w:type="dxa"/>
            <w:right w:w="108" w:type="dxa"/>
          </w:tblCellMar>
        </w:tblPrEx>
        <w:trPr>
          <w:trHeight w:val="577"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3872CAFE">
            <w:pPr>
              <w:spacing w:line="620" w:lineRule="exact"/>
              <w:jc w:val="center"/>
              <w:rPr>
                <w:rFonts w:ascii="宋体" w:hAnsi="宋体" w:cs="宋体"/>
                <w:kern w:val="1"/>
                <w:szCs w:val="21"/>
                <w:highlight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14:paraId="6921DB28">
            <w:pPr>
              <w:spacing w:line="620" w:lineRule="exact"/>
              <w:jc w:val="center"/>
              <w:rPr>
                <w:rFonts w:ascii="宋体" w:hAnsi="宋体" w:cs="宋体"/>
                <w:kern w:val="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84FB926">
            <w:pPr>
              <w:spacing w:line="620" w:lineRule="exact"/>
              <w:jc w:val="center"/>
              <w:rPr>
                <w:rFonts w:ascii="宋体" w:hAnsi="宋体" w:cs="宋体"/>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2D83091">
            <w:pPr>
              <w:spacing w:line="620" w:lineRule="exact"/>
              <w:jc w:val="center"/>
              <w:rPr>
                <w:rFonts w:ascii="宋体" w:hAnsi="宋体" w:cs="宋体"/>
                <w:kern w:val="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4A07FE91">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EA132E8">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DE8F837">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B7E4F98">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4C333C57">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56E2CB87">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1CDB4172">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42BE9623">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470AC31B">
            <w:pPr>
              <w:spacing w:line="620" w:lineRule="exact"/>
              <w:jc w:val="center"/>
              <w:rPr>
                <w:rFonts w:ascii="宋体" w:hAnsi="宋体" w:cs="宋体"/>
                <w:kern w:val="1"/>
                <w:szCs w:val="21"/>
                <w:highlight w:val="none"/>
              </w:rPr>
            </w:pPr>
          </w:p>
        </w:tc>
      </w:tr>
      <w:tr w14:paraId="4C065C5E">
        <w:tblPrEx>
          <w:tblCellMar>
            <w:top w:w="0" w:type="dxa"/>
            <w:left w:w="108" w:type="dxa"/>
            <w:bottom w:w="0" w:type="dxa"/>
            <w:right w:w="108" w:type="dxa"/>
          </w:tblCellMar>
        </w:tblPrEx>
        <w:trPr>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242FDEE2">
            <w:pPr>
              <w:spacing w:line="620" w:lineRule="exact"/>
              <w:jc w:val="center"/>
              <w:rPr>
                <w:rFonts w:ascii="宋体" w:hAnsi="宋体" w:cs="宋体"/>
                <w:kern w:val="1"/>
                <w:szCs w:val="21"/>
                <w:highlight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14:paraId="64831D80">
            <w:pPr>
              <w:spacing w:line="620" w:lineRule="exact"/>
              <w:jc w:val="center"/>
              <w:rPr>
                <w:rFonts w:ascii="宋体" w:hAnsi="宋体" w:cs="宋体"/>
                <w:kern w:val="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E538C19">
            <w:pPr>
              <w:spacing w:line="620" w:lineRule="exact"/>
              <w:jc w:val="center"/>
              <w:rPr>
                <w:rFonts w:ascii="宋体" w:hAnsi="宋体" w:cs="宋体"/>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E105EDA">
            <w:pPr>
              <w:spacing w:line="620" w:lineRule="exact"/>
              <w:jc w:val="center"/>
              <w:rPr>
                <w:rFonts w:ascii="宋体" w:hAnsi="宋体" w:cs="宋体"/>
                <w:kern w:val="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2CB71676">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4DE7ECB">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C62D202">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9D771C9">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7D19859D">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14:paraId="034F2835">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14:paraId="7939A804">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14:paraId="74714949">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14:paraId="6DE02E52">
            <w:pPr>
              <w:spacing w:line="620" w:lineRule="exact"/>
              <w:jc w:val="center"/>
              <w:rPr>
                <w:rFonts w:ascii="宋体" w:hAnsi="宋体" w:cs="宋体"/>
                <w:kern w:val="1"/>
                <w:szCs w:val="21"/>
                <w:highlight w:val="none"/>
              </w:rPr>
            </w:pPr>
          </w:p>
        </w:tc>
      </w:tr>
    </w:tbl>
    <w:p w14:paraId="6C9061CA">
      <w:pPr>
        <w:spacing w:line="360" w:lineRule="auto"/>
        <w:ind w:firstLine="630" w:firstLineChars="300"/>
        <w:rPr>
          <w:rFonts w:ascii="宋体" w:hAnsi="宋体"/>
          <w:highlight w:val="none"/>
          <w:u w:val="single"/>
        </w:rPr>
      </w:pPr>
      <w:r>
        <w:rPr>
          <w:rFonts w:hint="eastAsia" w:ascii="宋体" w:hAnsi="宋体" w:cs="宋体"/>
          <w:highlight w:val="none"/>
        </w:rPr>
        <w:t>招标代理代表：                  招标人代表：               交易中心见证人：</w:t>
      </w:r>
    </w:p>
    <w:p w14:paraId="41FF5909">
      <w:pPr>
        <w:pStyle w:val="23"/>
        <w:rPr>
          <w:rFonts w:hAnsi="宋体"/>
          <w:highlight w:val="none"/>
          <w:u w:val="single"/>
        </w:rPr>
      </w:pPr>
    </w:p>
    <w:p w14:paraId="52D25076">
      <w:pPr>
        <w:pStyle w:val="23"/>
        <w:rPr>
          <w:rFonts w:hAnsi="宋体"/>
          <w:highlight w:val="none"/>
          <w:u w:val="single"/>
        </w:rPr>
      </w:pPr>
      <w:r>
        <w:rPr>
          <w:rFonts w:hint="eastAsia" w:hAnsi="宋体"/>
          <w:highlight w:val="none"/>
          <w:u w:val="single"/>
        </w:rPr>
        <w:t>本表仅供参考，具体以开标时的开标记录表为准。</w:t>
      </w:r>
    </w:p>
    <w:p w14:paraId="2D3528D9">
      <w:pPr>
        <w:pStyle w:val="2"/>
        <w:rPr>
          <w:rFonts w:ascii="宋体" w:hAnsi="宋体"/>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pgNumType w:fmt="decimal"/>
          <w:cols w:space="720" w:num="1"/>
          <w:docGrid w:linePitch="312" w:charSpace="0"/>
        </w:sectPr>
      </w:pPr>
    </w:p>
    <w:p w14:paraId="325084FD">
      <w:pPr>
        <w:pStyle w:val="5"/>
        <w:keepNext/>
        <w:keepLines/>
        <w:spacing w:before="120" w:after="120" w:line="240" w:lineRule="auto"/>
        <w:rPr>
          <w:rFonts w:hint="eastAsia" w:ascii="宋体" w:hAnsi="宋体" w:eastAsia="宋体" w:cs="Times New Roman"/>
          <w:szCs w:val="28"/>
          <w:highlight w:val="none"/>
        </w:rPr>
      </w:pPr>
      <w:bookmarkStart w:id="278" w:name="_Toc7969"/>
      <w:r>
        <w:rPr>
          <w:rFonts w:hint="eastAsia" w:ascii="宋体" w:hAnsi="宋体" w:eastAsia="宋体" w:cs="Times New Roman"/>
          <w:szCs w:val="28"/>
          <w:highlight w:val="none"/>
        </w:rPr>
        <w:t>附件二：《评标委员会成员声明》</w:t>
      </w:r>
    </w:p>
    <w:p w14:paraId="41E16724">
      <w:pPr>
        <w:spacing w:line="360" w:lineRule="auto"/>
        <w:ind w:firstLine="560" w:firstLineChars="200"/>
        <w:jc w:val="center"/>
        <w:rPr>
          <w:rFonts w:ascii="宋体" w:hAnsi="宋体"/>
          <w:sz w:val="28"/>
          <w:szCs w:val="28"/>
          <w:highlight w:val="none"/>
        </w:rPr>
      </w:pPr>
      <w:r>
        <w:rPr>
          <w:rFonts w:hint="eastAsia" w:ascii="宋体" w:hAnsi="宋体"/>
          <w:sz w:val="28"/>
          <w:szCs w:val="28"/>
          <w:highlight w:val="none"/>
        </w:rPr>
        <w:t>评标委员会成员声明</w:t>
      </w:r>
    </w:p>
    <w:p w14:paraId="7222F2EC">
      <w:pPr>
        <w:spacing w:line="360" w:lineRule="auto"/>
        <w:rPr>
          <w:rFonts w:ascii="宋体" w:hAnsi="宋体"/>
          <w:szCs w:val="21"/>
          <w:highlight w:val="none"/>
        </w:rPr>
      </w:pPr>
      <w:r>
        <w:rPr>
          <w:rFonts w:hint="eastAsia" w:ascii="宋体" w:hAnsi="宋体"/>
          <w:szCs w:val="21"/>
          <w:highlight w:val="none"/>
          <w:u w:val="single"/>
        </w:rPr>
        <w:t xml:space="preserve">   本项目招标人  </w:t>
      </w:r>
      <w:r>
        <w:rPr>
          <w:rFonts w:hint="eastAsia" w:ascii="宋体" w:hAnsi="宋体"/>
          <w:szCs w:val="21"/>
          <w:highlight w:val="none"/>
        </w:rPr>
        <w:t>：</w:t>
      </w:r>
    </w:p>
    <w:p w14:paraId="649A09B7">
      <w:pPr>
        <w:spacing w:line="360" w:lineRule="auto"/>
        <w:ind w:firstLine="420" w:firstLineChars="200"/>
        <w:rPr>
          <w:rFonts w:ascii="宋体" w:hAnsi="宋体"/>
          <w:szCs w:val="21"/>
          <w:highlight w:val="none"/>
        </w:rPr>
      </w:pPr>
      <w:r>
        <w:rPr>
          <w:rFonts w:hint="eastAsia" w:ascii="宋体" w:hAnsi="宋体"/>
          <w:szCs w:val="21"/>
          <w:highlight w:val="none"/>
        </w:rPr>
        <w:t>本人就参与项目的评标工作，作出郑重声明：</w:t>
      </w:r>
    </w:p>
    <w:p w14:paraId="3738EAB2">
      <w:pPr>
        <w:spacing w:line="360" w:lineRule="auto"/>
        <w:ind w:firstLine="420" w:firstLineChars="200"/>
        <w:rPr>
          <w:rFonts w:ascii="宋体" w:hAnsi="宋体"/>
          <w:szCs w:val="21"/>
          <w:highlight w:val="none"/>
        </w:rPr>
      </w:pPr>
      <w:r>
        <w:rPr>
          <w:rFonts w:hint="eastAsia" w:ascii="宋体" w:hAnsi="宋体"/>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95F1B90">
      <w:pPr>
        <w:spacing w:line="360" w:lineRule="auto"/>
        <w:ind w:firstLine="420" w:firstLineChars="200"/>
        <w:rPr>
          <w:rFonts w:ascii="宋体" w:hAnsi="宋体"/>
          <w:szCs w:val="21"/>
          <w:highlight w:val="none"/>
        </w:rPr>
      </w:pPr>
      <w:r>
        <w:rPr>
          <w:rFonts w:hint="eastAsia" w:ascii="宋体" w:hAnsi="宋体"/>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D40A1C2">
      <w:pPr>
        <w:spacing w:line="360" w:lineRule="auto"/>
        <w:ind w:firstLine="420" w:firstLineChars="200"/>
        <w:rPr>
          <w:rFonts w:ascii="宋体" w:hAnsi="宋体"/>
          <w:szCs w:val="21"/>
          <w:highlight w:val="none"/>
        </w:rPr>
      </w:pPr>
      <w:r>
        <w:rPr>
          <w:rFonts w:hint="eastAsia" w:ascii="宋体" w:hAnsi="宋体"/>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F12A6EB">
      <w:pPr>
        <w:spacing w:line="360" w:lineRule="auto"/>
        <w:ind w:firstLine="420" w:firstLineChars="200"/>
        <w:rPr>
          <w:rFonts w:ascii="宋体" w:hAnsi="宋体"/>
          <w:szCs w:val="21"/>
          <w:highlight w:val="none"/>
        </w:rPr>
      </w:pPr>
      <w:r>
        <w:rPr>
          <w:rFonts w:hint="eastAsia" w:ascii="宋体" w:hAnsi="宋体"/>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A10CC50">
      <w:pPr>
        <w:spacing w:line="360" w:lineRule="auto"/>
        <w:ind w:firstLine="420" w:firstLineChars="200"/>
        <w:rPr>
          <w:rFonts w:ascii="宋体" w:hAnsi="宋体"/>
          <w:szCs w:val="21"/>
          <w:highlight w:val="none"/>
        </w:rPr>
      </w:pPr>
      <w:r>
        <w:rPr>
          <w:rFonts w:hint="eastAsia" w:ascii="宋体" w:hAnsi="宋体"/>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27995B3">
      <w:pPr>
        <w:spacing w:line="360" w:lineRule="auto"/>
        <w:ind w:firstLine="420" w:firstLineChars="200"/>
        <w:rPr>
          <w:rFonts w:ascii="宋体" w:hAnsi="宋体"/>
          <w:szCs w:val="21"/>
          <w:highlight w:val="none"/>
        </w:rPr>
      </w:pPr>
      <w:r>
        <w:rPr>
          <w:rFonts w:hint="eastAsia" w:ascii="宋体" w:hAnsi="宋体"/>
          <w:szCs w:val="21"/>
          <w:highlight w:val="none"/>
        </w:rPr>
        <w:t>如果本人违反上述声明内容，造成的后果由本人自行承担。</w:t>
      </w:r>
    </w:p>
    <w:p w14:paraId="4036C168">
      <w:pPr>
        <w:spacing w:line="360" w:lineRule="auto"/>
        <w:ind w:firstLine="420" w:firstLineChars="200"/>
        <w:rPr>
          <w:rFonts w:ascii="宋体" w:hAnsi="宋体"/>
          <w:szCs w:val="21"/>
          <w:highlight w:val="none"/>
        </w:rPr>
      </w:pPr>
    </w:p>
    <w:p w14:paraId="732E3C2D">
      <w:pPr>
        <w:spacing w:line="360" w:lineRule="auto"/>
        <w:ind w:firstLine="420" w:firstLineChars="200"/>
        <w:rPr>
          <w:rFonts w:ascii="宋体" w:hAnsi="宋体"/>
          <w:szCs w:val="21"/>
          <w:highlight w:val="none"/>
          <w:u w:val="single"/>
        </w:rPr>
      </w:pPr>
      <w:r>
        <w:rPr>
          <w:rFonts w:hint="eastAsia" w:ascii="宋体" w:hAnsi="宋体"/>
          <w:szCs w:val="21"/>
          <w:highlight w:val="none"/>
        </w:rPr>
        <w:t xml:space="preserve">                             声明人：</w:t>
      </w:r>
      <w:r>
        <w:rPr>
          <w:rFonts w:hint="eastAsia" w:ascii="宋体" w:hAnsi="宋体"/>
          <w:szCs w:val="21"/>
          <w:highlight w:val="none"/>
          <w:u w:val="single"/>
        </w:rPr>
        <w:t xml:space="preserve">（签名）  </w:t>
      </w:r>
    </w:p>
    <w:p w14:paraId="6838E84E">
      <w:pPr>
        <w:pStyle w:val="2"/>
        <w:rPr>
          <w:rFonts w:ascii="宋体" w:hAnsi="宋体"/>
          <w:highlight w:val="none"/>
        </w:rPr>
      </w:pPr>
    </w:p>
    <w:p w14:paraId="596D6BB1">
      <w:pPr>
        <w:pStyle w:val="2"/>
        <w:rPr>
          <w:rFonts w:ascii="宋体" w:hAnsi="宋体"/>
          <w:highlight w:val="none"/>
        </w:rPr>
      </w:pPr>
    </w:p>
    <w:p w14:paraId="3466CDBB">
      <w:pPr>
        <w:pStyle w:val="2"/>
        <w:rPr>
          <w:rFonts w:ascii="宋体" w:hAnsi="宋体"/>
          <w:highlight w:val="none"/>
        </w:rPr>
      </w:pPr>
    </w:p>
    <w:p w14:paraId="24C90319">
      <w:pPr>
        <w:pStyle w:val="2"/>
        <w:rPr>
          <w:rFonts w:ascii="宋体" w:hAnsi="宋体"/>
          <w:highlight w:val="none"/>
        </w:rPr>
      </w:pPr>
    </w:p>
    <w:p w14:paraId="2EBAF32F">
      <w:pPr>
        <w:pStyle w:val="2"/>
        <w:rPr>
          <w:rFonts w:ascii="宋体" w:hAnsi="宋体"/>
          <w:highlight w:val="none"/>
        </w:rPr>
      </w:pPr>
    </w:p>
    <w:p w14:paraId="4413B47D">
      <w:pPr>
        <w:pStyle w:val="2"/>
        <w:rPr>
          <w:rFonts w:ascii="宋体" w:hAnsi="宋体"/>
          <w:highlight w:val="none"/>
        </w:rPr>
      </w:pPr>
    </w:p>
    <w:p w14:paraId="7134E504">
      <w:pPr>
        <w:pStyle w:val="2"/>
        <w:rPr>
          <w:rFonts w:ascii="宋体" w:hAnsi="宋体"/>
          <w:highlight w:val="none"/>
        </w:rPr>
      </w:pPr>
    </w:p>
    <w:p w14:paraId="3135BC91">
      <w:pPr>
        <w:pStyle w:val="2"/>
        <w:rPr>
          <w:rFonts w:ascii="宋体" w:hAnsi="宋体"/>
          <w:sz w:val="28"/>
          <w:szCs w:val="28"/>
          <w:highlight w:val="none"/>
        </w:rPr>
      </w:pPr>
      <w:r>
        <w:rPr>
          <w:rFonts w:hint="eastAsia" w:ascii="宋体" w:hAnsi="宋体"/>
          <w:highlight w:val="none"/>
        </w:rPr>
        <w:t>附件三：问题澄清通知</w:t>
      </w:r>
      <w:bookmarkEnd w:id="278"/>
    </w:p>
    <w:p w14:paraId="0E4E7E39">
      <w:pPr>
        <w:spacing w:line="440" w:lineRule="exact"/>
        <w:jc w:val="center"/>
        <w:rPr>
          <w:rFonts w:ascii="宋体" w:hAnsi="宋体" w:cs="宋体"/>
          <w:szCs w:val="21"/>
          <w:highlight w:val="none"/>
        </w:rPr>
      </w:pPr>
    </w:p>
    <w:p w14:paraId="0AFA05C7">
      <w:pPr>
        <w:spacing w:line="440" w:lineRule="exact"/>
        <w:jc w:val="center"/>
        <w:rPr>
          <w:rFonts w:ascii="宋体" w:hAnsi="宋体" w:cs="宋体"/>
          <w:sz w:val="28"/>
          <w:szCs w:val="28"/>
          <w:highlight w:val="none"/>
        </w:rPr>
      </w:pPr>
      <w:r>
        <w:rPr>
          <w:rFonts w:hint="eastAsia" w:ascii="宋体" w:hAnsi="宋体" w:cs="宋体"/>
          <w:sz w:val="28"/>
          <w:szCs w:val="28"/>
          <w:highlight w:val="none"/>
        </w:rPr>
        <w:t>问题澄清通知</w:t>
      </w:r>
    </w:p>
    <w:p w14:paraId="73F0C7A1">
      <w:pPr>
        <w:spacing w:line="440" w:lineRule="exact"/>
        <w:rPr>
          <w:rFonts w:ascii="宋体" w:hAnsi="宋体" w:cs="宋体"/>
          <w:szCs w:val="21"/>
          <w:highlight w:val="none"/>
        </w:rPr>
      </w:pPr>
      <w:r>
        <w:rPr>
          <w:rFonts w:hint="eastAsia" w:ascii="宋体" w:hAnsi="宋体" w:cs="宋体"/>
          <w:szCs w:val="21"/>
          <w:highlight w:val="none"/>
        </w:rPr>
        <w:t xml:space="preserve">                               编号：</w:t>
      </w:r>
    </w:p>
    <w:p w14:paraId="065FC5D2">
      <w:pPr>
        <w:spacing w:line="440" w:lineRule="exact"/>
        <w:rPr>
          <w:rFonts w:ascii="宋体" w:hAnsi="宋体" w:cs="宋体"/>
          <w:szCs w:val="21"/>
          <w:highlight w:val="none"/>
        </w:rPr>
      </w:pPr>
    </w:p>
    <w:p w14:paraId="4F0A2B3A">
      <w:pPr>
        <w:spacing w:line="440" w:lineRule="exact"/>
        <w:rPr>
          <w:rFonts w:ascii="宋体" w:hAnsi="宋体" w:cs="宋体"/>
          <w:szCs w:val="21"/>
          <w:highlight w:val="none"/>
        </w:rPr>
      </w:pPr>
      <w:r>
        <w:rPr>
          <w:rFonts w:hint="eastAsia" w:ascii="宋体" w:hAnsi="宋体" w:cs="宋体"/>
          <w:szCs w:val="21"/>
          <w:highlight w:val="none"/>
        </w:rPr>
        <w:t>（投标人名称）：</w:t>
      </w:r>
    </w:p>
    <w:p w14:paraId="2877D578">
      <w:pPr>
        <w:spacing w:line="440" w:lineRule="exact"/>
        <w:rPr>
          <w:rFonts w:ascii="宋体" w:hAnsi="宋体" w:cs="宋体"/>
          <w:szCs w:val="21"/>
          <w:highlight w:val="none"/>
        </w:rPr>
      </w:pPr>
    </w:p>
    <w:p w14:paraId="2CEB135E">
      <w:pPr>
        <w:spacing w:line="44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（项目名称）招标的评标委员会，对你方的投标文件进行了仔细的审查，现需你方对下列问题以书面形式予以澄清：</w:t>
      </w:r>
    </w:p>
    <w:p w14:paraId="2CA0E408">
      <w:pPr>
        <w:spacing w:line="440" w:lineRule="exact"/>
        <w:rPr>
          <w:rFonts w:ascii="宋体" w:hAnsi="宋体" w:cs="宋体"/>
          <w:szCs w:val="21"/>
          <w:highlight w:val="none"/>
        </w:rPr>
      </w:pPr>
      <w:r>
        <w:rPr>
          <w:rFonts w:hint="eastAsia" w:ascii="宋体" w:hAnsi="宋体" w:cs="宋体"/>
          <w:szCs w:val="21"/>
          <w:highlight w:val="none"/>
        </w:rPr>
        <w:t>　　</w:t>
      </w:r>
    </w:p>
    <w:p w14:paraId="1C79B5EE">
      <w:pPr>
        <w:spacing w:line="440" w:lineRule="exact"/>
        <w:rPr>
          <w:rFonts w:ascii="宋体" w:hAnsi="宋体" w:cs="宋体"/>
          <w:szCs w:val="21"/>
          <w:highlight w:val="none"/>
        </w:rPr>
      </w:pPr>
      <w:r>
        <w:rPr>
          <w:rFonts w:hint="eastAsia" w:ascii="宋体" w:hAnsi="宋体" w:cs="宋体"/>
          <w:szCs w:val="21"/>
          <w:highlight w:val="none"/>
        </w:rPr>
        <w:t xml:space="preserve">    1.</w:t>
      </w:r>
    </w:p>
    <w:p w14:paraId="6B65C6D2">
      <w:pPr>
        <w:spacing w:line="440" w:lineRule="exact"/>
        <w:rPr>
          <w:rFonts w:ascii="宋体" w:hAnsi="宋体" w:cs="宋体"/>
          <w:szCs w:val="21"/>
          <w:highlight w:val="none"/>
        </w:rPr>
      </w:pPr>
      <w:r>
        <w:rPr>
          <w:rFonts w:hint="eastAsia" w:ascii="宋体" w:hAnsi="宋体" w:cs="宋体"/>
          <w:szCs w:val="21"/>
          <w:highlight w:val="none"/>
        </w:rPr>
        <w:t xml:space="preserve">    2.</w:t>
      </w:r>
    </w:p>
    <w:p w14:paraId="4ECCD770">
      <w:pPr>
        <w:spacing w:line="440" w:lineRule="exact"/>
        <w:rPr>
          <w:rFonts w:ascii="宋体" w:hAnsi="宋体" w:cs="宋体"/>
          <w:szCs w:val="21"/>
          <w:highlight w:val="none"/>
        </w:rPr>
      </w:pPr>
      <w:r>
        <w:rPr>
          <w:rFonts w:hint="eastAsia" w:ascii="宋体" w:hAnsi="宋体" w:cs="宋体"/>
          <w:szCs w:val="21"/>
          <w:highlight w:val="none"/>
        </w:rPr>
        <w:t xml:space="preserve">     ......   </w:t>
      </w:r>
    </w:p>
    <w:p w14:paraId="0FC9B66C">
      <w:pPr>
        <w:spacing w:line="440" w:lineRule="exact"/>
        <w:rPr>
          <w:rFonts w:ascii="宋体" w:hAnsi="宋体" w:cs="宋体"/>
          <w:szCs w:val="21"/>
          <w:highlight w:val="none"/>
        </w:rPr>
      </w:pPr>
      <w:r>
        <w:rPr>
          <w:rFonts w:hint="eastAsia" w:ascii="宋体" w:hAnsi="宋体" w:cs="宋体"/>
          <w:szCs w:val="21"/>
          <w:highlight w:val="none"/>
        </w:rPr>
        <w:t>　　　</w:t>
      </w:r>
    </w:p>
    <w:p w14:paraId="24AC0EA4">
      <w:pPr>
        <w:spacing w:line="440" w:lineRule="exact"/>
        <w:rPr>
          <w:rFonts w:ascii="宋体" w:hAnsi="宋体" w:cs="宋体"/>
          <w:szCs w:val="21"/>
          <w:highlight w:val="none"/>
        </w:rPr>
      </w:pPr>
      <w:r>
        <w:rPr>
          <w:rFonts w:hint="eastAsia" w:ascii="宋体" w:hAnsi="宋体" w:cs="宋体"/>
          <w:szCs w:val="21"/>
          <w:highlight w:val="none"/>
        </w:rPr>
        <w:t>　　请将上述问题的澄清于年月日时前递交至（详细地址）或传真至</w:t>
      </w:r>
      <w:bookmarkStart w:id="279" w:name="_Toc247527607"/>
      <w:bookmarkStart w:id="280" w:name="_Toc439246049"/>
      <w:bookmarkStart w:id="281" w:name="_Toc439240650"/>
      <w:bookmarkStart w:id="282" w:name="_Toc152045582"/>
      <w:bookmarkStart w:id="283" w:name="_Toc300835003"/>
      <w:bookmarkStart w:id="284" w:name="_Toc152042359"/>
      <w:bookmarkStart w:id="285" w:name="_Toc357089563"/>
      <w:bookmarkStart w:id="286" w:name="_Toc144974549"/>
      <w:bookmarkStart w:id="287" w:name="_Toc356469229"/>
      <w:bookmarkStart w:id="288" w:name="_Toc247514006"/>
      <w:r>
        <w:rPr>
          <w:rFonts w:hint="eastAsia" w:ascii="宋体" w:hAnsi="宋体" w:cs="宋体"/>
          <w:szCs w:val="21"/>
          <w:highlight w:val="none"/>
        </w:rPr>
        <w:t>（传真号码</w:t>
      </w:r>
      <w:bookmarkEnd w:id="279"/>
      <w:bookmarkEnd w:id="280"/>
      <w:bookmarkEnd w:id="281"/>
      <w:bookmarkEnd w:id="282"/>
      <w:bookmarkEnd w:id="283"/>
      <w:bookmarkEnd w:id="284"/>
      <w:bookmarkEnd w:id="285"/>
      <w:bookmarkEnd w:id="286"/>
      <w:bookmarkEnd w:id="287"/>
      <w:bookmarkEnd w:id="288"/>
      <w:r>
        <w:rPr>
          <w:rFonts w:hint="eastAsia" w:ascii="宋体" w:hAnsi="宋体" w:cs="宋体"/>
          <w:szCs w:val="21"/>
          <w:highlight w:val="none"/>
        </w:rPr>
        <w:t>）。采用传真方式的，应在年月日时前将原件递交至（详细地址）。</w:t>
      </w:r>
    </w:p>
    <w:p w14:paraId="75DE6940">
      <w:pPr>
        <w:spacing w:line="440" w:lineRule="exact"/>
        <w:rPr>
          <w:rFonts w:ascii="宋体" w:hAnsi="宋体" w:cs="宋体"/>
          <w:szCs w:val="21"/>
          <w:highlight w:val="none"/>
        </w:rPr>
      </w:pPr>
    </w:p>
    <w:p w14:paraId="34BD59ED">
      <w:pPr>
        <w:spacing w:line="440" w:lineRule="exact"/>
        <w:rPr>
          <w:rFonts w:ascii="宋体" w:hAnsi="宋体" w:cs="宋体"/>
          <w:szCs w:val="21"/>
          <w:highlight w:val="none"/>
        </w:rPr>
      </w:pPr>
    </w:p>
    <w:p w14:paraId="5C86FCEB">
      <w:pPr>
        <w:spacing w:line="440" w:lineRule="exact"/>
        <w:jc w:val="center"/>
        <w:rPr>
          <w:rFonts w:ascii="宋体" w:hAnsi="宋体" w:cs="宋体"/>
          <w:szCs w:val="21"/>
          <w:highlight w:val="none"/>
        </w:rPr>
      </w:pPr>
      <w:r>
        <w:rPr>
          <w:rFonts w:hint="eastAsia" w:ascii="宋体" w:hAnsi="宋体" w:cs="宋体"/>
          <w:szCs w:val="21"/>
          <w:highlight w:val="none"/>
        </w:rPr>
        <w:t>评标委员会</w:t>
      </w:r>
    </w:p>
    <w:p w14:paraId="24F0ED5D">
      <w:pPr>
        <w:spacing w:line="440" w:lineRule="exact"/>
        <w:rPr>
          <w:rFonts w:ascii="宋体" w:hAnsi="宋体" w:cs="宋体"/>
          <w:szCs w:val="21"/>
          <w:highlight w:val="none"/>
        </w:rPr>
      </w:pPr>
    </w:p>
    <w:p w14:paraId="092DE913">
      <w:pPr>
        <w:spacing w:line="440" w:lineRule="exact"/>
        <w:ind w:firstLine="5670" w:firstLineChars="2700"/>
        <w:rPr>
          <w:rFonts w:ascii="宋体" w:hAnsi="宋体" w:cs="宋体"/>
          <w:szCs w:val="21"/>
          <w:highlight w:val="none"/>
        </w:rPr>
      </w:pPr>
      <w:r>
        <w:rPr>
          <w:rFonts w:hint="eastAsia" w:ascii="宋体" w:hAnsi="宋体" w:cs="宋体"/>
          <w:szCs w:val="21"/>
          <w:highlight w:val="none"/>
        </w:rPr>
        <w:t>年  月  日</w:t>
      </w:r>
    </w:p>
    <w:p w14:paraId="73B9307B">
      <w:pPr>
        <w:spacing w:line="400" w:lineRule="exact"/>
        <w:rPr>
          <w:rFonts w:ascii="宋体" w:hAnsi="宋体" w:cs="宋体"/>
          <w:highlight w:val="none"/>
        </w:rPr>
      </w:pPr>
    </w:p>
    <w:p w14:paraId="24445526">
      <w:pPr>
        <w:spacing w:line="400" w:lineRule="exact"/>
        <w:rPr>
          <w:rFonts w:ascii="宋体" w:hAnsi="宋体" w:cs="宋体"/>
          <w:highlight w:val="none"/>
        </w:rPr>
      </w:pPr>
      <w:r>
        <w:rPr>
          <w:rFonts w:hint="eastAsia" w:ascii="宋体" w:hAnsi="宋体" w:cs="宋体"/>
          <w:highlight w:val="none"/>
        </w:rPr>
        <w:br w:type="page"/>
      </w:r>
    </w:p>
    <w:p w14:paraId="33643477">
      <w:pPr>
        <w:pStyle w:val="2"/>
        <w:rPr>
          <w:rFonts w:ascii="宋体" w:hAnsi="宋体"/>
          <w:highlight w:val="none"/>
        </w:rPr>
      </w:pPr>
      <w:bookmarkStart w:id="289" w:name="_Toc165358690"/>
      <w:bookmarkStart w:id="290" w:name="_Toc4953"/>
      <w:bookmarkStart w:id="291" w:name="_Toc165358825"/>
      <w:r>
        <w:rPr>
          <w:rFonts w:hint="eastAsia" w:ascii="宋体" w:hAnsi="宋体"/>
          <w:highlight w:val="none"/>
        </w:rPr>
        <w:t>附件四：问题的澄清</w:t>
      </w:r>
      <w:bookmarkEnd w:id="289"/>
      <w:bookmarkEnd w:id="290"/>
      <w:bookmarkEnd w:id="291"/>
    </w:p>
    <w:p w14:paraId="5BA21A66">
      <w:pPr>
        <w:spacing w:line="400" w:lineRule="exact"/>
        <w:jc w:val="center"/>
        <w:rPr>
          <w:rFonts w:ascii="宋体" w:hAnsi="宋体" w:cs="宋体"/>
          <w:sz w:val="28"/>
          <w:szCs w:val="28"/>
          <w:highlight w:val="none"/>
        </w:rPr>
      </w:pPr>
    </w:p>
    <w:p w14:paraId="1E277637">
      <w:pPr>
        <w:spacing w:line="400" w:lineRule="exact"/>
        <w:jc w:val="center"/>
        <w:rPr>
          <w:rFonts w:ascii="宋体" w:hAnsi="宋体" w:cs="宋体"/>
          <w:sz w:val="28"/>
          <w:szCs w:val="28"/>
          <w:highlight w:val="none"/>
        </w:rPr>
      </w:pPr>
      <w:r>
        <w:rPr>
          <w:rFonts w:hint="eastAsia" w:ascii="宋体" w:hAnsi="宋体" w:cs="宋体"/>
          <w:sz w:val="28"/>
          <w:szCs w:val="28"/>
          <w:highlight w:val="none"/>
        </w:rPr>
        <w:t>问题的澄清</w:t>
      </w:r>
    </w:p>
    <w:p w14:paraId="41C86263">
      <w:pPr>
        <w:spacing w:line="400" w:lineRule="exact"/>
        <w:ind w:firstLine="3465" w:firstLineChars="1650"/>
        <w:rPr>
          <w:rFonts w:ascii="宋体" w:hAnsi="宋体" w:cs="宋体"/>
          <w:highlight w:val="none"/>
        </w:rPr>
      </w:pPr>
      <w:r>
        <w:rPr>
          <w:rFonts w:hint="eastAsia" w:ascii="宋体" w:hAnsi="宋体" w:cs="宋体"/>
          <w:highlight w:val="none"/>
        </w:rPr>
        <w:t xml:space="preserve">编号： </w:t>
      </w:r>
    </w:p>
    <w:p w14:paraId="7DDDB923">
      <w:pPr>
        <w:spacing w:line="400" w:lineRule="exact"/>
        <w:rPr>
          <w:rFonts w:ascii="宋体" w:hAnsi="宋体" w:cs="宋体"/>
          <w:szCs w:val="21"/>
          <w:highlight w:val="none"/>
        </w:rPr>
      </w:pPr>
    </w:p>
    <w:p w14:paraId="669A5329">
      <w:pPr>
        <w:spacing w:line="440" w:lineRule="exact"/>
        <w:rPr>
          <w:rFonts w:ascii="宋体" w:hAnsi="宋体" w:cs="宋体"/>
          <w:szCs w:val="21"/>
          <w:highlight w:val="none"/>
        </w:rPr>
      </w:pPr>
      <w:r>
        <w:rPr>
          <w:rFonts w:hint="eastAsia" w:ascii="宋体" w:hAnsi="宋体" w:cs="宋体"/>
          <w:szCs w:val="21"/>
          <w:highlight w:val="none"/>
        </w:rPr>
        <w:t>（项目名称）招标评标委员会：</w:t>
      </w:r>
    </w:p>
    <w:p w14:paraId="42A6A003">
      <w:pPr>
        <w:spacing w:line="440" w:lineRule="exact"/>
        <w:rPr>
          <w:rFonts w:ascii="宋体" w:hAnsi="宋体" w:cs="宋体"/>
          <w:szCs w:val="21"/>
          <w:highlight w:val="none"/>
        </w:rPr>
      </w:pPr>
    </w:p>
    <w:p w14:paraId="2C2B8E5C">
      <w:pPr>
        <w:spacing w:line="440" w:lineRule="exact"/>
        <w:rPr>
          <w:rFonts w:ascii="宋体" w:hAnsi="宋体" w:cs="宋体"/>
          <w:szCs w:val="21"/>
          <w:highlight w:val="none"/>
        </w:rPr>
      </w:pPr>
      <w:r>
        <w:rPr>
          <w:rFonts w:hint="eastAsia" w:ascii="宋体" w:hAnsi="宋体" w:cs="宋体"/>
          <w:szCs w:val="21"/>
          <w:highlight w:val="none"/>
        </w:rPr>
        <w:t>　　问题澄清通知（编号：）已收悉，现澄清如下：</w:t>
      </w:r>
    </w:p>
    <w:p w14:paraId="0BD94E32">
      <w:pPr>
        <w:spacing w:line="440" w:lineRule="exact"/>
        <w:rPr>
          <w:rFonts w:ascii="宋体" w:hAnsi="宋体" w:cs="宋体"/>
          <w:szCs w:val="21"/>
          <w:highlight w:val="none"/>
        </w:rPr>
      </w:pPr>
      <w:r>
        <w:rPr>
          <w:rFonts w:hint="eastAsia" w:ascii="宋体" w:hAnsi="宋体" w:cs="宋体"/>
          <w:szCs w:val="21"/>
          <w:highlight w:val="none"/>
        </w:rPr>
        <w:t>　     1.</w:t>
      </w:r>
    </w:p>
    <w:p w14:paraId="339F2F16">
      <w:pPr>
        <w:spacing w:line="440" w:lineRule="exact"/>
        <w:rPr>
          <w:rFonts w:ascii="宋体" w:hAnsi="宋体" w:cs="宋体"/>
          <w:szCs w:val="21"/>
          <w:highlight w:val="none"/>
        </w:rPr>
      </w:pPr>
      <w:r>
        <w:rPr>
          <w:rFonts w:hint="eastAsia" w:ascii="宋体" w:hAnsi="宋体" w:cs="宋体"/>
          <w:szCs w:val="21"/>
          <w:highlight w:val="none"/>
        </w:rPr>
        <w:t>　     2.</w:t>
      </w:r>
    </w:p>
    <w:p w14:paraId="35386133">
      <w:pPr>
        <w:spacing w:line="440" w:lineRule="exact"/>
        <w:rPr>
          <w:rFonts w:ascii="宋体" w:hAnsi="宋体" w:cs="宋体"/>
          <w:szCs w:val="21"/>
          <w:highlight w:val="none"/>
        </w:rPr>
      </w:pPr>
      <w:r>
        <w:rPr>
          <w:rFonts w:hint="eastAsia" w:ascii="宋体" w:hAnsi="宋体" w:cs="宋体"/>
          <w:szCs w:val="21"/>
          <w:highlight w:val="none"/>
        </w:rPr>
        <w:t>　    .....</w:t>
      </w:r>
    </w:p>
    <w:p w14:paraId="747C0908">
      <w:pPr>
        <w:spacing w:line="440" w:lineRule="exact"/>
        <w:rPr>
          <w:rFonts w:ascii="宋体" w:hAnsi="宋体" w:cs="宋体"/>
          <w:szCs w:val="21"/>
          <w:highlight w:val="none"/>
        </w:rPr>
      </w:pPr>
    </w:p>
    <w:p w14:paraId="1E25E744">
      <w:pPr>
        <w:spacing w:line="440" w:lineRule="exact"/>
        <w:rPr>
          <w:rFonts w:ascii="宋体" w:hAnsi="宋体" w:cs="宋体"/>
          <w:szCs w:val="21"/>
          <w:highlight w:val="none"/>
        </w:rPr>
      </w:pPr>
      <w:r>
        <w:rPr>
          <w:rFonts w:hint="eastAsia" w:ascii="宋体" w:hAnsi="宋体" w:cs="宋体"/>
          <w:szCs w:val="21"/>
          <w:highlight w:val="none"/>
        </w:rPr>
        <w:t xml:space="preserve">　 </w:t>
      </w:r>
    </w:p>
    <w:p w14:paraId="7C1CE42D">
      <w:pPr>
        <w:spacing w:line="440" w:lineRule="exact"/>
        <w:rPr>
          <w:rFonts w:ascii="宋体" w:hAnsi="宋体" w:cs="宋体"/>
          <w:szCs w:val="21"/>
          <w:highlight w:val="none"/>
        </w:rPr>
      </w:pPr>
    </w:p>
    <w:p w14:paraId="691F8320">
      <w:pPr>
        <w:spacing w:line="440" w:lineRule="exact"/>
        <w:rPr>
          <w:rFonts w:ascii="宋体" w:hAnsi="宋体" w:cs="宋体"/>
          <w:szCs w:val="21"/>
          <w:highlight w:val="none"/>
        </w:rPr>
      </w:pPr>
    </w:p>
    <w:p w14:paraId="76C06CDC">
      <w:pPr>
        <w:spacing w:line="440" w:lineRule="exact"/>
        <w:rPr>
          <w:rFonts w:ascii="宋体" w:hAnsi="宋体" w:cs="宋体"/>
          <w:szCs w:val="21"/>
          <w:highlight w:val="none"/>
        </w:rPr>
      </w:pPr>
    </w:p>
    <w:p w14:paraId="18474CC2">
      <w:pPr>
        <w:spacing w:line="440" w:lineRule="exact"/>
        <w:rPr>
          <w:rFonts w:ascii="宋体" w:hAnsi="宋体" w:cs="宋体"/>
          <w:szCs w:val="21"/>
          <w:highlight w:val="none"/>
        </w:rPr>
      </w:pPr>
    </w:p>
    <w:p w14:paraId="05CA8F5D">
      <w:pPr>
        <w:spacing w:line="440" w:lineRule="exact"/>
        <w:rPr>
          <w:rFonts w:ascii="宋体" w:hAnsi="宋体" w:cs="宋体"/>
          <w:szCs w:val="21"/>
          <w:highlight w:val="none"/>
        </w:rPr>
      </w:pPr>
      <w:r>
        <w:rPr>
          <w:rFonts w:hint="eastAsia" w:ascii="宋体" w:hAnsi="宋体" w:cs="宋体"/>
          <w:szCs w:val="21"/>
          <w:highlight w:val="none"/>
        </w:rPr>
        <w:t>　　　　　　　　　　　　　　　投标人：（盖单位章）</w:t>
      </w:r>
    </w:p>
    <w:p w14:paraId="6C3E69F7">
      <w:pPr>
        <w:spacing w:line="440" w:lineRule="exact"/>
        <w:rPr>
          <w:rFonts w:ascii="宋体" w:hAnsi="宋体" w:cs="宋体"/>
          <w:szCs w:val="21"/>
          <w:highlight w:val="none"/>
        </w:rPr>
      </w:pPr>
      <w:r>
        <w:rPr>
          <w:rFonts w:hint="eastAsia" w:ascii="宋体" w:hAnsi="宋体" w:cs="宋体"/>
          <w:szCs w:val="21"/>
          <w:highlight w:val="none"/>
        </w:rPr>
        <w:t>　　　　　　　　　　　　　　　</w:t>
      </w:r>
    </w:p>
    <w:p w14:paraId="020DC176">
      <w:pPr>
        <w:spacing w:line="440" w:lineRule="exact"/>
        <w:rPr>
          <w:rFonts w:ascii="宋体" w:hAnsi="宋体" w:cs="宋体"/>
          <w:szCs w:val="21"/>
          <w:highlight w:val="none"/>
        </w:rPr>
      </w:pPr>
      <w:r>
        <w:rPr>
          <w:rFonts w:hint="eastAsia" w:ascii="宋体" w:hAnsi="宋体" w:cs="宋体"/>
          <w:szCs w:val="21"/>
          <w:highlight w:val="none"/>
        </w:rPr>
        <w:t>　　　　　　　　　　　　　　　法定代表人或其委托代理人：（签字或盖章）</w:t>
      </w:r>
    </w:p>
    <w:p w14:paraId="70DB8656">
      <w:pPr>
        <w:spacing w:line="440" w:lineRule="exact"/>
        <w:rPr>
          <w:rFonts w:ascii="宋体" w:hAnsi="宋体" w:cs="宋体"/>
          <w:szCs w:val="21"/>
          <w:highlight w:val="none"/>
        </w:rPr>
      </w:pPr>
      <w:r>
        <w:rPr>
          <w:rFonts w:hint="eastAsia" w:ascii="宋体" w:hAnsi="宋体" w:cs="宋体"/>
          <w:szCs w:val="21"/>
          <w:highlight w:val="none"/>
        </w:rPr>
        <w:t>　　　　　　</w:t>
      </w:r>
      <w:bookmarkStart w:id="292" w:name="_Toc152045583"/>
      <w:bookmarkStart w:id="293" w:name="_Toc439246050"/>
      <w:bookmarkStart w:id="294" w:name="_Toc300835004"/>
      <w:bookmarkStart w:id="295" w:name="_Toc247514007"/>
      <w:bookmarkStart w:id="296" w:name="_Toc152042360"/>
      <w:bookmarkStart w:id="297" w:name="_Toc357089564"/>
      <w:bookmarkStart w:id="298" w:name="_Toc439240651"/>
      <w:bookmarkStart w:id="299" w:name="_Toc144974550"/>
      <w:bookmarkStart w:id="300" w:name="_Toc356469230"/>
      <w:bookmarkStart w:id="301" w:name="_Toc247527608"/>
      <w:r>
        <w:rPr>
          <w:rFonts w:hint="eastAsia" w:ascii="宋体" w:hAnsi="宋体" w:cs="宋体"/>
          <w:szCs w:val="21"/>
          <w:highlight w:val="none"/>
        </w:rPr>
        <w:t>　　　　　　　　　</w:t>
      </w:r>
      <w:bookmarkEnd w:id="292"/>
      <w:bookmarkEnd w:id="293"/>
      <w:bookmarkEnd w:id="294"/>
      <w:bookmarkEnd w:id="295"/>
      <w:bookmarkEnd w:id="296"/>
      <w:bookmarkEnd w:id="297"/>
      <w:bookmarkEnd w:id="298"/>
      <w:bookmarkEnd w:id="299"/>
      <w:bookmarkEnd w:id="300"/>
      <w:bookmarkEnd w:id="301"/>
    </w:p>
    <w:p w14:paraId="21CFFAF4">
      <w:pPr>
        <w:spacing w:line="440" w:lineRule="exact"/>
        <w:rPr>
          <w:rFonts w:ascii="宋体" w:hAnsi="宋体" w:cs="宋体"/>
          <w:szCs w:val="21"/>
          <w:highlight w:val="none"/>
        </w:rPr>
      </w:pPr>
      <w:r>
        <w:rPr>
          <w:rFonts w:hint="eastAsia" w:ascii="宋体" w:hAnsi="宋体" w:cs="宋体"/>
          <w:szCs w:val="21"/>
          <w:highlight w:val="none"/>
        </w:rPr>
        <w:t>　　　　　　　　　　　　　　　        年  月   日</w:t>
      </w:r>
    </w:p>
    <w:p w14:paraId="68E63AB4">
      <w:pPr>
        <w:pStyle w:val="2"/>
        <w:rPr>
          <w:rFonts w:ascii="宋体" w:hAnsi="宋体"/>
          <w:highlight w:val="none"/>
        </w:rPr>
      </w:pPr>
    </w:p>
    <w:p w14:paraId="2917452F">
      <w:pPr>
        <w:pStyle w:val="23"/>
        <w:rPr>
          <w:rFonts w:hAnsi="宋体"/>
          <w:highlight w:val="none"/>
          <w:u w:val="single"/>
        </w:rPr>
        <w:sectPr>
          <w:pgSz w:w="11906" w:h="16838"/>
          <w:pgMar w:top="1134" w:right="1417" w:bottom="1134" w:left="1417" w:header="851" w:footer="992" w:gutter="0"/>
          <w:pgNumType w:fmt="decimal"/>
          <w:cols w:space="720" w:num="1"/>
          <w:docGrid w:linePitch="312" w:charSpace="0"/>
        </w:sectPr>
      </w:pPr>
    </w:p>
    <w:p w14:paraId="29C0355C">
      <w:pPr>
        <w:keepNext/>
        <w:keepLines/>
        <w:spacing w:line="576" w:lineRule="auto"/>
        <w:jc w:val="center"/>
        <w:outlineLvl w:val="0"/>
        <w:rPr>
          <w:rFonts w:ascii="宋体" w:hAnsi="宋体" w:cs="宋体"/>
          <w:b/>
          <w:bCs/>
          <w:kern w:val="44"/>
          <w:sz w:val="44"/>
          <w:szCs w:val="44"/>
          <w:highlight w:val="none"/>
        </w:rPr>
      </w:pPr>
      <w:bookmarkStart w:id="302" w:name="_Toc152042375"/>
      <w:bookmarkStart w:id="303" w:name="_Toc485211093"/>
      <w:bookmarkStart w:id="304" w:name="_Toc24996"/>
      <w:bookmarkStart w:id="305" w:name="_Toc247514022"/>
      <w:bookmarkStart w:id="306" w:name="_Toc165358826"/>
      <w:bookmarkStart w:id="307" w:name="_Toc13679"/>
      <w:bookmarkStart w:id="308" w:name="_Toc18849"/>
      <w:bookmarkStart w:id="309" w:name="_Toc3070"/>
      <w:bookmarkStart w:id="310" w:name="_Toc144974565"/>
      <w:bookmarkStart w:id="311" w:name="_Toc247527623"/>
      <w:bookmarkStart w:id="312" w:name="_Toc5899"/>
      <w:bookmarkStart w:id="313" w:name="_Toc152045598"/>
      <w:bookmarkStart w:id="314" w:name="_Toc5053"/>
      <w:bookmarkStart w:id="315" w:name="_Toc14000"/>
      <w:bookmarkStart w:id="316" w:name="_Toc32048"/>
      <w:bookmarkStart w:id="317" w:name="_Toc485211107"/>
      <w:bookmarkStart w:id="318" w:name="_Toc15305"/>
      <w:bookmarkStart w:id="319" w:name="_Toc25006"/>
      <w:bookmarkStart w:id="320" w:name="_Toc17999"/>
      <w:bookmarkStart w:id="321" w:name="_Toc356306516"/>
      <w:bookmarkStart w:id="322" w:name="_Toc26600"/>
      <w:bookmarkStart w:id="323" w:name="_Toc21185"/>
      <w:bookmarkStart w:id="324" w:name="_Toc27985"/>
      <w:r>
        <w:rPr>
          <w:rFonts w:hint="eastAsia" w:ascii="宋体" w:hAnsi="宋体" w:cs="宋体"/>
          <w:b/>
          <w:bCs/>
          <w:kern w:val="44"/>
          <w:sz w:val="44"/>
          <w:szCs w:val="44"/>
          <w:highlight w:val="none"/>
        </w:rPr>
        <w:t>第三章 评（定）标办法</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Start w:id="325" w:name="_Toc152045599"/>
      <w:bookmarkStart w:id="326" w:name="_Toc247527624"/>
      <w:bookmarkStart w:id="327" w:name="_Toc152042376"/>
      <w:bookmarkStart w:id="328" w:name="_Toc144974566"/>
      <w:bookmarkStart w:id="329" w:name="_Toc247514023"/>
    </w:p>
    <w:bookmarkEnd w:id="325"/>
    <w:bookmarkEnd w:id="326"/>
    <w:bookmarkEnd w:id="327"/>
    <w:bookmarkEnd w:id="328"/>
    <w:bookmarkEnd w:id="329"/>
    <w:p w14:paraId="26C5F70E">
      <w:pPr>
        <w:pStyle w:val="4"/>
        <w:spacing w:before="0" w:after="0"/>
        <w:jc w:val="center"/>
        <w:rPr>
          <w:rFonts w:ascii="宋体" w:hAnsi="宋体" w:eastAsia="宋体"/>
          <w:highlight w:val="none"/>
        </w:rPr>
      </w:pPr>
      <w:bookmarkStart w:id="330" w:name="_Toc165358692"/>
      <w:bookmarkStart w:id="331" w:name="_Toc165358827"/>
      <w:bookmarkStart w:id="332" w:name="_Toc16531"/>
      <w:bookmarkStart w:id="333" w:name="_Toc22237"/>
      <w:bookmarkStart w:id="334" w:name="_Toc28121"/>
      <w:bookmarkStart w:id="335" w:name="_Toc485211095"/>
      <w:bookmarkStart w:id="336" w:name="_Toc21694"/>
      <w:bookmarkStart w:id="337" w:name="_Toc86413334"/>
      <w:bookmarkStart w:id="338" w:name="_Toc375931097"/>
      <w:bookmarkStart w:id="339" w:name="_Toc3030"/>
      <w:bookmarkStart w:id="340" w:name="_Toc14459"/>
      <w:bookmarkStart w:id="341" w:name="_Toc8954"/>
      <w:bookmarkStart w:id="342" w:name="_Toc29426"/>
      <w:bookmarkStart w:id="343" w:name="_Toc12763"/>
      <w:r>
        <w:rPr>
          <w:rFonts w:hint="eastAsia" w:ascii="宋体" w:hAnsi="宋体" w:eastAsia="宋体"/>
          <w:highlight w:val="none"/>
        </w:rPr>
        <w:t>评标办法前附表</w:t>
      </w:r>
      <w:bookmarkEnd w:id="330"/>
      <w:bookmarkEnd w:id="331"/>
    </w:p>
    <w:tbl>
      <w:tblPr>
        <w:tblStyle w:val="45"/>
        <w:tblW w:w="996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151"/>
        <w:gridCol w:w="2968"/>
        <w:gridCol w:w="4922"/>
      </w:tblGrid>
      <w:tr w14:paraId="77B3FA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2073" w:type="dxa"/>
            <w:gridSpan w:val="2"/>
            <w:vAlign w:val="center"/>
          </w:tcPr>
          <w:p w14:paraId="7F1AB190">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968" w:type="dxa"/>
            <w:vAlign w:val="center"/>
          </w:tcPr>
          <w:p w14:paraId="257A7ED3">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4922" w:type="dxa"/>
            <w:vAlign w:val="center"/>
          </w:tcPr>
          <w:p w14:paraId="48EA4670">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68A7AF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14:paraId="10FF5B16">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151" w:type="dxa"/>
            <w:vMerge w:val="restart"/>
            <w:vAlign w:val="center"/>
          </w:tcPr>
          <w:p w14:paraId="14A0B13E">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968" w:type="dxa"/>
            <w:vAlign w:val="center"/>
          </w:tcPr>
          <w:p w14:paraId="05826C59">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4922" w:type="dxa"/>
            <w:vAlign w:val="center"/>
          </w:tcPr>
          <w:p w14:paraId="262D47A2">
            <w:pPr>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51DA2D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45043F09">
            <w:pPr>
              <w:spacing w:line="240" w:lineRule="auto"/>
              <w:jc w:val="center"/>
              <w:rPr>
                <w:rFonts w:hint="eastAsia" w:ascii="宋体" w:hAnsi="宋体" w:cs="宋体"/>
                <w:color w:val="auto"/>
                <w:szCs w:val="21"/>
                <w:highlight w:val="none"/>
              </w:rPr>
            </w:pPr>
          </w:p>
        </w:tc>
        <w:tc>
          <w:tcPr>
            <w:tcW w:w="1151" w:type="dxa"/>
            <w:vMerge w:val="continue"/>
            <w:vAlign w:val="center"/>
          </w:tcPr>
          <w:p w14:paraId="15F3D6EC">
            <w:pPr>
              <w:spacing w:line="240" w:lineRule="auto"/>
              <w:jc w:val="center"/>
              <w:rPr>
                <w:rFonts w:hint="eastAsia" w:ascii="宋体" w:hAnsi="宋体" w:cs="宋体"/>
                <w:color w:val="auto"/>
                <w:szCs w:val="21"/>
                <w:highlight w:val="none"/>
              </w:rPr>
            </w:pPr>
          </w:p>
        </w:tc>
        <w:tc>
          <w:tcPr>
            <w:tcW w:w="2968" w:type="dxa"/>
            <w:vAlign w:val="center"/>
          </w:tcPr>
          <w:p w14:paraId="14FC54F2">
            <w:pPr>
              <w:spacing w:line="240" w:lineRule="auto"/>
              <w:jc w:val="center"/>
              <w:rPr>
                <w:rFonts w:hint="eastAsia" w:ascii="宋体" w:hAnsi="宋体" w:cs="宋体"/>
                <w:color w:val="auto"/>
                <w:szCs w:val="21"/>
                <w:highlight w:val="none"/>
              </w:rPr>
            </w:pPr>
            <w:bookmarkStart w:id="344" w:name="OLE_LINK31"/>
            <w:bookmarkStart w:id="345" w:name="OLE_LINK32"/>
            <w:r>
              <w:rPr>
                <w:rFonts w:hint="eastAsia" w:ascii="宋体" w:hAnsi="宋体" w:cs="宋体"/>
                <w:color w:val="auto"/>
                <w:szCs w:val="21"/>
                <w:highlight w:val="none"/>
              </w:rPr>
              <w:t>法定代表人证明及授权</w:t>
            </w:r>
            <w:bookmarkEnd w:id="344"/>
            <w:bookmarkEnd w:id="345"/>
          </w:p>
        </w:tc>
        <w:tc>
          <w:tcPr>
            <w:tcW w:w="4922" w:type="dxa"/>
            <w:vAlign w:val="center"/>
          </w:tcPr>
          <w:p w14:paraId="18EBC2C6">
            <w:pPr>
              <w:rPr>
                <w:rFonts w:hint="eastAsia" w:ascii="宋体" w:hAnsi="宋体" w:cs="宋体"/>
                <w:color w:val="auto"/>
                <w:szCs w:val="21"/>
                <w:highlight w:val="none"/>
              </w:rPr>
            </w:pPr>
            <w:bookmarkStart w:id="346" w:name="OLE_LINK33"/>
            <w:bookmarkStart w:id="347" w:name="OLE_LINK34"/>
            <w:r>
              <w:rPr>
                <w:rFonts w:hint="eastAsia" w:ascii="宋体" w:hAnsi="宋体" w:cs="宋体"/>
                <w:color w:val="auto"/>
                <w:szCs w:val="21"/>
                <w:highlight w:val="none"/>
              </w:rPr>
              <w:t>投标文件中有有效的法定代表人证明书，或由委托代理人签字或盖章的投标文件中有法定代表人证明书和授权委托证明书</w:t>
            </w:r>
            <w:bookmarkEnd w:id="346"/>
            <w:bookmarkEnd w:id="347"/>
          </w:p>
        </w:tc>
      </w:tr>
      <w:tr w14:paraId="27B1DC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D621A7F">
            <w:pPr>
              <w:spacing w:line="240" w:lineRule="auto"/>
              <w:jc w:val="center"/>
              <w:rPr>
                <w:rFonts w:hint="eastAsia" w:ascii="宋体" w:hAnsi="宋体" w:cs="宋体"/>
                <w:color w:val="auto"/>
                <w:szCs w:val="21"/>
                <w:highlight w:val="none"/>
              </w:rPr>
            </w:pPr>
          </w:p>
        </w:tc>
        <w:tc>
          <w:tcPr>
            <w:tcW w:w="1151" w:type="dxa"/>
            <w:vMerge w:val="continue"/>
            <w:vAlign w:val="center"/>
          </w:tcPr>
          <w:p w14:paraId="6ACA56F6">
            <w:pPr>
              <w:spacing w:line="240" w:lineRule="auto"/>
              <w:jc w:val="center"/>
              <w:rPr>
                <w:rFonts w:hint="eastAsia" w:ascii="宋体" w:hAnsi="宋体" w:cs="宋体"/>
                <w:color w:val="auto"/>
                <w:szCs w:val="21"/>
                <w:highlight w:val="none"/>
              </w:rPr>
            </w:pPr>
          </w:p>
        </w:tc>
        <w:tc>
          <w:tcPr>
            <w:tcW w:w="2968" w:type="dxa"/>
            <w:vAlign w:val="center"/>
          </w:tcPr>
          <w:p w14:paraId="1BB32407">
            <w:pPr>
              <w:spacing w:line="240" w:lineRule="auto"/>
              <w:jc w:val="center"/>
              <w:rPr>
                <w:rFonts w:hint="eastAsia" w:ascii="宋体" w:hAnsi="宋体" w:cs="宋体"/>
                <w:color w:val="auto"/>
                <w:szCs w:val="21"/>
                <w:highlight w:val="none"/>
              </w:rPr>
            </w:pPr>
            <w:bookmarkStart w:id="348" w:name="OLE_LINK36"/>
            <w:bookmarkStart w:id="349" w:name="OLE_LINK35"/>
            <w:r>
              <w:rPr>
                <w:rFonts w:hint="eastAsia" w:ascii="宋体" w:hAnsi="宋体" w:cs="宋体"/>
                <w:color w:val="auto"/>
                <w:szCs w:val="21"/>
                <w:highlight w:val="none"/>
              </w:rPr>
              <w:t>投标文件格式</w:t>
            </w:r>
            <w:bookmarkEnd w:id="348"/>
            <w:bookmarkEnd w:id="349"/>
          </w:p>
        </w:tc>
        <w:tc>
          <w:tcPr>
            <w:tcW w:w="4922" w:type="dxa"/>
            <w:vAlign w:val="center"/>
          </w:tcPr>
          <w:p w14:paraId="1B462E8D">
            <w:pPr>
              <w:rPr>
                <w:rFonts w:hint="eastAsia" w:ascii="宋体" w:hAnsi="宋体" w:cs="宋体"/>
                <w:color w:val="auto"/>
                <w:szCs w:val="21"/>
                <w:highlight w:val="none"/>
              </w:rPr>
            </w:pPr>
            <w:bookmarkStart w:id="350" w:name="OLE_LINK37"/>
            <w:bookmarkStart w:id="351" w:name="OLE_LINK38"/>
            <w:r>
              <w:rPr>
                <w:rFonts w:hint="eastAsia" w:ascii="宋体" w:hAnsi="宋体" w:cs="宋体"/>
                <w:color w:val="auto"/>
                <w:szCs w:val="21"/>
                <w:highlight w:val="none"/>
              </w:rPr>
              <w:t>符合第七章“投标文件格式”（规定格式为格式2、格式5）的要求，按规定盖章签署，主要内容齐全，关键字迹清晰、能辨认；</w:t>
            </w:r>
            <w:bookmarkEnd w:id="350"/>
            <w:bookmarkEnd w:id="351"/>
          </w:p>
        </w:tc>
      </w:tr>
      <w:tr w14:paraId="0C080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71D2C665">
            <w:pPr>
              <w:spacing w:line="240" w:lineRule="auto"/>
              <w:jc w:val="center"/>
              <w:rPr>
                <w:rFonts w:hint="eastAsia" w:ascii="宋体" w:hAnsi="宋体" w:cs="宋体"/>
                <w:color w:val="auto"/>
                <w:szCs w:val="21"/>
                <w:highlight w:val="none"/>
              </w:rPr>
            </w:pPr>
          </w:p>
        </w:tc>
        <w:tc>
          <w:tcPr>
            <w:tcW w:w="1151" w:type="dxa"/>
            <w:vMerge w:val="continue"/>
            <w:vAlign w:val="center"/>
          </w:tcPr>
          <w:p w14:paraId="7ED9B81A">
            <w:pPr>
              <w:spacing w:line="240" w:lineRule="auto"/>
              <w:jc w:val="center"/>
              <w:rPr>
                <w:rFonts w:hint="eastAsia" w:ascii="宋体" w:hAnsi="宋体" w:cs="宋体"/>
                <w:color w:val="auto"/>
                <w:szCs w:val="21"/>
                <w:highlight w:val="none"/>
              </w:rPr>
            </w:pPr>
          </w:p>
        </w:tc>
        <w:tc>
          <w:tcPr>
            <w:tcW w:w="2968" w:type="dxa"/>
            <w:vAlign w:val="center"/>
          </w:tcPr>
          <w:p w14:paraId="362A9678">
            <w:pPr>
              <w:spacing w:line="240" w:lineRule="auto"/>
              <w:jc w:val="center"/>
              <w:rPr>
                <w:rFonts w:hint="eastAsia" w:ascii="宋体" w:hAnsi="宋体" w:cs="宋体"/>
                <w:color w:val="auto"/>
                <w:szCs w:val="21"/>
                <w:highlight w:val="none"/>
              </w:rPr>
            </w:pPr>
            <w:bookmarkStart w:id="352" w:name="OLE_LINK40"/>
            <w:bookmarkStart w:id="353" w:name="OLE_LINK39"/>
            <w:r>
              <w:rPr>
                <w:rFonts w:hint="eastAsia" w:ascii="宋体" w:hAnsi="宋体" w:cs="宋体"/>
                <w:color w:val="auto"/>
                <w:szCs w:val="21"/>
                <w:highlight w:val="none"/>
              </w:rPr>
              <w:t>报价唯一</w:t>
            </w:r>
            <w:bookmarkEnd w:id="352"/>
            <w:bookmarkEnd w:id="353"/>
          </w:p>
        </w:tc>
        <w:tc>
          <w:tcPr>
            <w:tcW w:w="4922" w:type="dxa"/>
            <w:vAlign w:val="center"/>
          </w:tcPr>
          <w:p w14:paraId="08D163F9">
            <w:pPr>
              <w:rPr>
                <w:rFonts w:hint="eastAsia" w:ascii="宋体" w:hAnsi="宋体" w:cs="宋体"/>
                <w:color w:val="auto"/>
                <w:szCs w:val="21"/>
                <w:highlight w:val="none"/>
              </w:rPr>
            </w:pPr>
            <w:bookmarkStart w:id="354" w:name="OLE_LINK42"/>
            <w:bookmarkStart w:id="355" w:name="OLE_LINK41"/>
            <w:r>
              <w:rPr>
                <w:rFonts w:hint="eastAsia" w:ascii="宋体" w:hAnsi="宋体" w:cs="宋体"/>
                <w:color w:val="auto"/>
                <w:szCs w:val="21"/>
                <w:highlight w:val="none"/>
                <w:u w:val="single"/>
              </w:rPr>
              <w:t>每一个报价只能有一个有效报价</w:t>
            </w:r>
            <w:bookmarkEnd w:id="354"/>
            <w:bookmarkEnd w:id="355"/>
          </w:p>
        </w:tc>
      </w:tr>
      <w:tr w14:paraId="6F64C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690B5001">
            <w:pPr>
              <w:spacing w:line="240" w:lineRule="auto"/>
              <w:jc w:val="center"/>
              <w:rPr>
                <w:rFonts w:hint="eastAsia" w:ascii="宋体" w:hAnsi="宋体" w:cs="宋体"/>
                <w:color w:val="auto"/>
                <w:szCs w:val="21"/>
                <w:highlight w:val="none"/>
              </w:rPr>
            </w:pPr>
          </w:p>
        </w:tc>
        <w:tc>
          <w:tcPr>
            <w:tcW w:w="1151" w:type="dxa"/>
            <w:vMerge w:val="continue"/>
            <w:vAlign w:val="center"/>
          </w:tcPr>
          <w:p w14:paraId="508F48B2">
            <w:pPr>
              <w:spacing w:line="240" w:lineRule="auto"/>
              <w:jc w:val="center"/>
              <w:rPr>
                <w:rFonts w:hint="eastAsia" w:ascii="宋体" w:hAnsi="宋体" w:cs="宋体"/>
                <w:color w:val="auto"/>
                <w:szCs w:val="21"/>
                <w:highlight w:val="none"/>
              </w:rPr>
            </w:pPr>
          </w:p>
        </w:tc>
        <w:tc>
          <w:tcPr>
            <w:tcW w:w="2968" w:type="dxa"/>
            <w:vAlign w:val="center"/>
          </w:tcPr>
          <w:p w14:paraId="50CC3844">
            <w:pPr>
              <w:spacing w:line="240" w:lineRule="auto"/>
              <w:jc w:val="center"/>
              <w:rPr>
                <w:rFonts w:hint="eastAsia" w:ascii="宋体" w:hAnsi="宋体" w:cs="宋体"/>
                <w:color w:val="auto"/>
                <w:szCs w:val="21"/>
                <w:highlight w:val="none"/>
              </w:rPr>
            </w:pPr>
            <w:bookmarkStart w:id="356" w:name="OLE_LINK43"/>
            <w:bookmarkStart w:id="357" w:name="OLE_LINK44"/>
            <w:r>
              <w:rPr>
                <w:rFonts w:hint="eastAsia" w:ascii="宋体" w:hAnsi="宋体" w:cs="宋体"/>
                <w:color w:val="auto"/>
                <w:szCs w:val="21"/>
                <w:highlight w:val="none"/>
              </w:rPr>
              <w:t>机器特征码一致</w:t>
            </w:r>
            <w:bookmarkEnd w:id="356"/>
            <w:bookmarkEnd w:id="357"/>
          </w:p>
        </w:tc>
        <w:tc>
          <w:tcPr>
            <w:tcW w:w="4922" w:type="dxa"/>
            <w:vAlign w:val="center"/>
          </w:tcPr>
          <w:p w14:paraId="281AE956">
            <w:pPr>
              <w:rPr>
                <w:rFonts w:hint="eastAsia" w:ascii="宋体" w:hAnsi="宋体" w:cs="宋体"/>
                <w:color w:val="auto"/>
                <w:szCs w:val="21"/>
                <w:highlight w:val="none"/>
                <w:u w:val="single"/>
              </w:rPr>
            </w:pPr>
            <w:bookmarkStart w:id="358" w:name="OLE_LINK45"/>
            <w:bookmarkStart w:id="359" w:name="OLE_LINK46"/>
            <w:r>
              <w:rPr>
                <w:rFonts w:hint="eastAsia" w:ascii="宋体" w:hAnsi="宋体" w:cs="宋体"/>
                <w:color w:val="auto"/>
                <w:szCs w:val="21"/>
                <w:highlight w:val="none"/>
                <w:u w:val="single"/>
              </w:rPr>
              <w:t>投标人与本项目其他投标人加密打包投标文件电脑机器特征码不一致的(以广州交易集团有限公司（广州公共资源交易中心）交易平台评标系统的检索信息为准)</w:t>
            </w:r>
            <w:bookmarkEnd w:id="358"/>
            <w:bookmarkEnd w:id="359"/>
          </w:p>
        </w:tc>
      </w:tr>
      <w:tr w14:paraId="09315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14:paraId="0FD88336">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151" w:type="dxa"/>
            <w:vMerge w:val="restart"/>
            <w:vAlign w:val="center"/>
          </w:tcPr>
          <w:p w14:paraId="0A945C18">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968" w:type="dxa"/>
            <w:vAlign w:val="center"/>
          </w:tcPr>
          <w:p w14:paraId="18606ECF">
            <w:pPr>
              <w:spacing w:line="240" w:lineRule="auto"/>
              <w:jc w:val="center"/>
              <w:rPr>
                <w:rFonts w:hint="eastAsia" w:ascii="宋体" w:hAnsi="宋体" w:cs="宋体"/>
                <w:color w:val="auto"/>
                <w:szCs w:val="21"/>
                <w:highlight w:val="none"/>
              </w:rPr>
            </w:pPr>
            <w:bookmarkStart w:id="360" w:name="OLE_LINK47"/>
            <w:bookmarkStart w:id="361" w:name="OLE_LINK48"/>
            <w:r>
              <w:rPr>
                <w:rFonts w:hint="eastAsia" w:ascii="宋体" w:hAnsi="宋体" w:cs="宋体"/>
                <w:color w:val="auto"/>
                <w:szCs w:val="21"/>
                <w:highlight w:val="none"/>
              </w:rPr>
              <w:t>营业执照</w:t>
            </w:r>
            <w:bookmarkEnd w:id="360"/>
            <w:bookmarkEnd w:id="361"/>
          </w:p>
        </w:tc>
        <w:tc>
          <w:tcPr>
            <w:tcW w:w="4922" w:type="dxa"/>
            <w:vAlign w:val="center"/>
          </w:tcPr>
          <w:p w14:paraId="187A3337">
            <w:pPr>
              <w:spacing w:line="240" w:lineRule="auto"/>
              <w:rPr>
                <w:rFonts w:hint="eastAsia" w:ascii="宋体" w:hAnsi="宋体" w:cs="宋体"/>
                <w:color w:val="auto"/>
                <w:szCs w:val="21"/>
                <w:highlight w:val="none"/>
              </w:rPr>
            </w:pPr>
            <w:bookmarkStart w:id="362" w:name="OLE_LINK49"/>
            <w:bookmarkStart w:id="363" w:name="OLE_LINK50"/>
            <w:r>
              <w:rPr>
                <w:rFonts w:hint="eastAsia" w:ascii="宋体" w:hAnsi="宋体" w:cs="宋体"/>
                <w:color w:val="auto"/>
                <w:szCs w:val="21"/>
                <w:highlight w:val="none"/>
              </w:rPr>
              <w:t>符合第二章“投标人须知”第1.4.1项规定</w:t>
            </w:r>
            <w:bookmarkEnd w:id="362"/>
            <w:bookmarkEnd w:id="363"/>
          </w:p>
        </w:tc>
      </w:tr>
      <w:tr w14:paraId="2E5B7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0380F596">
            <w:pPr>
              <w:spacing w:line="240" w:lineRule="auto"/>
              <w:jc w:val="center"/>
              <w:rPr>
                <w:rFonts w:hint="eastAsia" w:ascii="宋体" w:hAnsi="宋体" w:cs="宋体"/>
                <w:color w:val="auto"/>
                <w:szCs w:val="21"/>
                <w:highlight w:val="none"/>
              </w:rPr>
            </w:pPr>
          </w:p>
        </w:tc>
        <w:tc>
          <w:tcPr>
            <w:tcW w:w="1151" w:type="dxa"/>
            <w:vMerge w:val="continue"/>
            <w:vAlign w:val="center"/>
          </w:tcPr>
          <w:p w14:paraId="5DAD0078">
            <w:pPr>
              <w:spacing w:line="240" w:lineRule="auto"/>
              <w:jc w:val="center"/>
              <w:rPr>
                <w:rFonts w:hint="eastAsia" w:ascii="宋体" w:hAnsi="宋体" w:cs="宋体"/>
                <w:color w:val="auto"/>
                <w:szCs w:val="21"/>
                <w:highlight w:val="none"/>
              </w:rPr>
            </w:pPr>
          </w:p>
        </w:tc>
        <w:tc>
          <w:tcPr>
            <w:tcW w:w="2968" w:type="dxa"/>
            <w:vAlign w:val="center"/>
          </w:tcPr>
          <w:p w14:paraId="3B6B6502">
            <w:pPr>
              <w:spacing w:line="240" w:lineRule="auto"/>
              <w:jc w:val="center"/>
              <w:rPr>
                <w:rFonts w:hint="eastAsia" w:ascii="宋体" w:hAnsi="宋体" w:cs="宋体"/>
                <w:color w:val="auto"/>
                <w:szCs w:val="21"/>
                <w:highlight w:val="none"/>
              </w:rPr>
            </w:pPr>
            <w:bookmarkStart w:id="364" w:name="OLE_LINK51"/>
            <w:r>
              <w:rPr>
                <w:rFonts w:hint="eastAsia" w:ascii="宋体" w:hAnsi="宋体" w:cs="宋体"/>
                <w:color w:val="auto"/>
                <w:szCs w:val="21"/>
                <w:highlight w:val="none"/>
              </w:rPr>
              <w:t>安全生产许可证</w:t>
            </w:r>
            <w:bookmarkEnd w:id="364"/>
          </w:p>
        </w:tc>
        <w:tc>
          <w:tcPr>
            <w:tcW w:w="4922" w:type="dxa"/>
            <w:vAlign w:val="center"/>
          </w:tcPr>
          <w:p w14:paraId="3D61024E">
            <w:pPr>
              <w:spacing w:line="240" w:lineRule="auto"/>
              <w:rPr>
                <w:rFonts w:hint="eastAsia" w:ascii="宋体" w:hAnsi="宋体" w:cs="宋体"/>
                <w:color w:val="auto"/>
                <w:szCs w:val="21"/>
                <w:highlight w:val="none"/>
              </w:rPr>
            </w:pPr>
            <w:bookmarkStart w:id="365" w:name="OLE_LINK52"/>
            <w:bookmarkStart w:id="366" w:name="OLE_LINK53"/>
            <w:r>
              <w:rPr>
                <w:rFonts w:hint="eastAsia" w:ascii="宋体" w:hAnsi="宋体" w:cs="宋体"/>
                <w:color w:val="auto"/>
                <w:szCs w:val="21"/>
                <w:highlight w:val="none"/>
              </w:rPr>
              <w:t>符合第二章“投标人须知”第1.4.1项规定</w:t>
            </w:r>
            <w:bookmarkEnd w:id="365"/>
            <w:bookmarkEnd w:id="366"/>
          </w:p>
        </w:tc>
      </w:tr>
      <w:tr w14:paraId="59D3A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394EBE15">
            <w:pPr>
              <w:spacing w:line="240" w:lineRule="auto"/>
              <w:jc w:val="center"/>
              <w:rPr>
                <w:rFonts w:hint="eastAsia" w:ascii="宋体" w:hAnsi="宋体" w:cs="宋体"/>
                <w:color w:val="auto"/>
                <w:szCs w:val="21"/>
                <w:highlight w:val="none"/>
              </w:rPr>
            </w:pPr>
          </w:p>
        </w:tc>
        <w:tc>
          <w:tcPr>
            <w:tcW w:w="1151" w:type="dxa"/>
            <w:vMerge w:val="continue"/>
            <w:vAlign w:val="center"/>
          </w:tcPr>
          <w:p w14:paraId="48ECD955">
            <w:pPr>
              <w:spacing w:line="240" w:lineRule="auto"/>
              <w:jc w:val="center"/>
              <w:rPr>
                <w:rFonts w:hint="eastAsia" w:ascii="宋体" w:hAnsi="宋体" w:cs="宋体"/>
                <w:color w:val="auto"/>
                <w:szCs w:val="21"/>
                <w:highlight w:val="none"/>
              </w:rPr>
            </w:pPr>
          </w:p>
        </w:tc>
        <w:tc>
          <w:tcPr>
            <w:tcW w:w="2968" w:type="dxa"/>
            <w:vAlign w:val="center"/>
          </w:tcPr>
          <w:p w14:paraId="2A232A3E">
            <w:pPr>
              <w:spacing w:line="240" w:lineRule="auto"/>
              <w:jc w:val="center"/>
              <w:rPr>
                <w:rFonts w:hint="eastAsia" w:ascii="宋体" w:hAnsi="宋体" w:cs="宋体"/>
                <w:color w:val="auto"/>
                <w:szCs w:val="21"/>
                <w:highlight w:val="none"/>
              </w:rPr>
            </w:pPr>
            <w:bookmarkStart w:id="367" w:name="OLE_LINK55"/>
            <w:bookmarkStart w:id="368" w:name="OLE_LINK54"/>
            <w:r>
              <w:rPr>
                <w:rFonts w:hint="eastAsia" w:ascii="宋体" w:hAnsi="宋体" w:cs="宋体"/>
                <w:color w:val="auto"/>
                <w:szCs w:val="21"/>
                <w:highlight w:val="none"/>
              </w:rPr>
              <w:t>资质等级</w:t>
            </w:r>
            <w:bookmarkEnd w:id="367"/>
            <w:bookmarkEnd w:id="368"/>
          </w:p>
        </w:tc>
        <w:tc>
          <w:tcPr>
            <w:tcW w:w="4922" w:type="dxa"/>
            <w:vAlign w:val="center"/>
          </w:tcPr>
          <w:p w14:paraId="0D508438">
            <w:pPr>
              <w:spacing w:line="240" w:lineRule="auto"/>
              <w:rPr>
                <w:rFonts w:hint="eastAsia" w:ascii="宋体" w:hAnsi="宋体" w:cs="宋体"/>
                <w:color w:val="auto"/>
                <w:szCs w:val="21"/>
                <w:highlight w:val="none"/>
              </w:rPr>
            </w:pPr>
            <w:bookmarkStart w:id="369" w:name="OLE_LINK57"/>
            <w:bookmarkStart w:id="370" w:name="OLE_LINK56"/>
            <w:r>
              <w:rPr>
                <w:rFonts w:hint="eastAsia" w:ascii="宋体" w:hAnsi="宋体" w:cs="宋体"/>
                <w:color w:val="auto"/>
                <w:szCs w:val="21"/>
                <w:highlight w:val="none"/>
              </w:rPr>
              <w:t>符合第二章“投标人须知”第1.4.1项规定</w:t>
            </w:r>
            <w:bookmarkEnd w:id="369"/>
            <w:bookmarkEnd w:id="370"/>
          </w:p>
        </w:tc>
      </w:tr>
      <w:tr w14:paraId="3A5797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33171B6C">
            <w:pPr>
              <w:spacing w:line="240" w:lineRule="auto"/>
              <w:jc w:val="center"/>
              <w:rPr>
                <w:rFonts w:hint="eastAsia" w:ascii="宋体" w:hAnsi="宋体" w:cs="宋体"/>
                <w:color w:val="auto"/>
                <w:szCs w:val="21"/>
                <w:highlight w:val="none"/>
              </w:rPr>
            </w:pPr>
          </w:p>
        </w:tc>
        <w:tc>
          <w:tcPr>
            <w:tcW w:w="1151" w:type="dxa"/>
            <w:vMerge w:val="continue"/>
            <w:vAlign w:val="center"/>
          </w:tcPr>
          <w:p w14:paraId="6C7A24D0">
            <w:pPr>
              <w:spacing w:line="240" w:lineRule="auto"/>
              <w:jc w:val="center"/>
              <w:rPr>
                <w:rFonts w:hint="eastAsia" w:ascii="宋体" w:hAnsi="宋体" w:cs="宋体"/>
                <w:color w:val="auto"/>
                <w:szCs w:val="21"/>
                <w:highlight w:val="none"/>
              </w:rPr>
            </w:pPr>
          </w:p>
        </w:tc>
        <w:tc>
          <w:tcPr>
            <w:tcW w:w="2968" w:type="dxa"/>
            <w:vAlign w:val="center"/>
          </w:tcPr>
          <w:p w14:paraId="3BC37037">
            <w:pPr>
              <w:spacing w:line="240" w:lineRule="auto"/>
              <w:jc w:val="center"/>
              <w:rPr>
                <w:rFonts w:hint="eastAsia" w:ascii="宋体" w:hAnsi="宋体" w:cs="宋体"/>
                <w:color w:val="auto"/>
                <w:szCs w:val="21"/>
                <w:highlight w:val="none"/>
              </w:rPr>
            </w:pPr>
            <w:bookmarkStart w:id="371" w:name="OLE_LINK59"/>
            <w:bookmarkStart w:id="372" w:name="OLE_LINK58"/>
            <w:r>
              <w:rPr>
                <w:rFonts w:hint="eastAsia" w:ascii="宋体" w:hAnsi="宋体" w:cs="宋体"/>
                <w:color w:val="auto"/>
                <w:szCs w:val="21"/>
                <w:highlight w:val="none"/>
              </w:rPr>
              <w:t>投标申请人声明</w:t>
            </w:r>
            <w:bookmarkEnd w:id="371"/>
            <w:bookmarkEnd w:id="372"/>
          </w:p>
        </w:tc>
        <w:tc>
          <w:tcPr>
            <w:tcW w:w="4922" w:type="dxa"/>
            <w:vAlign w:val="center"/>
          </w:tcPr>
          <w:p w14:paraId="04B69D37">
            <w:pPr>
              <w:spacing w:line="240" w:lineRule="auto"/>
              <w:rPr>
                <w:rFonts w:hint="eastAsia" w:ascii="宋体" w:hAnsi="宋体" w:cs="宋体"/>
                <w:color w:val="auto"/>
                <w:szCs w:val="21"/>
                <w:highlight w:val="none"/>
              </w:rPr>
            </w:pPr>
            <w:bookmarkStart w:id="373" w:name="OLE_LINK61"/>
            <w:bookmarkStart w:id="374" w:name="OLE_LINK60"/>
            <w:r>
              <w:rPr>
                <w:rFonts w:hint="eastAsia" w:ascii="宋体" w:hAnsi="宋体" w:cs="宋体"/>
                <w:color w:val="auto"/>
                <w:szCs w:val="21"/>
                <w:highlight w:val="none"/>
              </w:rPr>
              <w:t>符合第二章“投标人须知”第1.4.1项规定</w:t>
            </w:r>
            <w:bookmarkEnd w:id="373"/>
            <w:bookmarkEnd w:id="374"/>
          </w:p>
        </w:tc>
      </w:tr>
      <w:tr w14:paraId="2ED800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59AD6E24">
            <w:pPr>
              <w:spacing w:line="240" w:lineRule="auto"/>
              <w:jc w:val="center"/>
              <w:rPr>
                <w:rFonts w:hint="eastAsia" w:ascii="宋体" w:hAnsi="宋体" w:cs="宋体"/>
                <w:color w:val="auto"/>
                <w:szCs w:val="21"/>
                <w:highlight w:val="none"/>
              </w:rPr>
            </w:pPr>
          </w:p>
        </w:tc>
        <w:tc>
          <w:tcPr>
            <w:tcW w:w="1151" w:type="dxa"/>
            <w:vMerge w:val="continue"/>
            <w:vAlign w:val="center"/>
          </w:tcPr>
          <w:p w14:paraId="1E206100">
            <w:pPr>
              <w:spacing w:line="240" w:lineRule="auto"/>
              <w:jc w:val="center"/>
              <w:rPr>
                <w:rFonts w:hint="eastAsia" w:ascii="宋体" w:hAnsi="宋体" w:cs="宋体"/>
                <w:color w:val="auto"/>
                <w:szCs w:val="21"/>
                <w:highlight w:val="none"/>
              </w:rPr>
            </w:pPr>
          </w:p>
        </w:tc>
        <w:tc>
          <w:tcPr>
            <w:tcW w:w="2968" w:type="dxa"/>
            <w:vAlign w:val="center"/>
          </w:tcPr>
          <w:p w14:paraId="2F5CCEAA">
            <w:pPr>
              <w:spacing w:line="240" w:lineRule="auto"/>
              <w:jc w:val="center"/>
              <w:rPr>
                <w:rFonts w:hint="eastAsia" w:ascii="宋体" w:hAnsi="宋体" w:cs="宋体"/>
                <w:color w:val="auto"/>
                <w:szCs w:val="21"/>
                <w:highlight w:val="none"/>
              </w:rPr>
            </w:pPr>
            <w:bookmarkStart w:id="375" w:name="OLE_LINK62"/>
            <w:bookmarkStart w:id="376" w:name="OLE_LINK63"/>
            <w:r>
              <w:rPr>
                <w:rFonts w:hint="eastAsia" w:ascii="宋体" w:hAnsi="宋体" w:cs="宋体"/>
                <w:color w:val="auto"/>
                <w:szCs w:val="21"/>
                <w:highlight w:val="none"/>
              </w:rPr>
              <w:t>项目负责人（兼施工负责人）</w:t>
            </w:r>
            <w:bookmarkEnd w:id="375"/>
            <w:bookmarkEnd w:id="376"/>
          </w:p>
        </w:tc>
        <w:tc>
          <w:tcPr>
            <w:tcW w:w="4922" w:type="dxa"/>
            <w:vAlign w:val="center"/>
          </w:tcPr>
          <w:p w14:paraId="7BA05EF0">
            <w:pPr>
              <w:spacing w:line="240" w:lineRule="auto"/>
              <w:rPr>
                <w:rFonts w:hint="eastAsia" w:ascii="宋体" w:hAnsi="宋体" w:cs="宋体"/>
                <w:color w:val="auto"/>
                <w:szCs w:val="21"/>
                <w:highlight w:val="none"/>
              </w:rPr>
            </w:pPr>
            <w:bookmarkStart w:id="377" w:name="OLE_LINK65"/>
            <w:bookmarkStart w:id="378" w:name="OLE_LINK64"/>
            <w:r>
              <w:rPr>
                <w:rFonts w:hint="eastAsia" w:ascii="宋体" w:hAnsi="宋体" w:cs="宋体"/>
                <w:color w:val="auto"/>
                <w:szCs w:val="21"/>
                <w:highlight w:val="none"/>
              </w:rPr>
              <w:t>符合第二章“投标人须知”第1.4.1项规定</w:t>
            </w:r>
            <w:bookmarkEnd w:id="377"/>
            <w:bookmarkEnd w:id="378"/>
          </w:p>
        </w:tc>
      </w:tr>
      <w:tr w14:paraId="1E99C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295B0F55">
            <w:pPr>
              <w:spacing w:line="240" w:lineRule="auto"/>
              <w:jc w:val="center"/>
              <w:rPr>
                <w:rFonts w:hint="eastAsia" w:ascii="宋体" w:hAnsi="宋体" w:cs="宋体"/>
                <w:color w:val="auto"/>
                <w:szCs w:val="21"/>
                <w:highlight w:val="none"/>
              </w:rPr>
            </w:pPr>
          </w:p>
        </w:tc>
        <w:tc>
          <w:tcPr>
            <w:tcW w:w="1151" w:type="dxa"/>
            <w:vMerge w:val="continue"/>
            <w:vAlign w:val="center"/>
          </w:tcPr>
          <w:p w14:paraId="76B34060">
            <w:pPr>
              <w:spacing w:line="240" w:lineRule="auto"/>
              <w:jc w:val="center"/>
              <w:rPr>
                <w:rFonts w:hint="eastAsia" w:ascii="宋体" w:hAnsi="宋体" w:cs="宋体"/>
                <w:color w:val="auto"/>
                <w:szCs w:val="21"/>
                <w:highlight w:val="none"/>
              </w:rPr>
            </w:pPr>
          </w:p>
        </w:tc>
        <w:tc>
          <w:tcPr>
            <w:tcW w:w="2968" w:type="dxa"/>
            <w:vAlign w:val="center"/>
          </w:tcPr>
          <w:p w14:paraId="5D7DBA10">
            <w:pPr>
              <w:spacing w:line="240" w:lineRule="auto"/>
              <w:jc w:val="center"/>
              <w:rPr>
                <w:rFonts w:hint="eastAsia" w:ascii="宋体" w:hAnsi="宋体" w:cs="宋体"/>
                <w:strike/>
                <w:dstrike w:val="0"/>
                <w:color w:val="auto"/>
                <w:szCs w:val="21"/>
                <w:highlight w:val="none"/>
              </w:rPr>
            </w:pPr>
            <w:bookmarkStart w:id="379" w:name="OLE_LINK67"/>
            <w:bookmarkStart w:id="380" w:name="OLE_LINK66"/>
            <w:r>
              <w:rPr>
                <w:rFonts w:hint="eastAsia" w:ascii="宋体" w:hAnsi="宋体" w:cs="宋体"/>
                <w:strike/>
                <w:dstrike w:val="0"/>
                <w:color w:val="auto"/>
                <w:szCs w:val="21"/>
                <w:highlight w:val="none"/>
              </w:rPr>
              <w:t>设计负责人</w:t>
            </w:r>
            <w:bookmarkEnd w:id="379"/>
            <w:bookmarkEnd w:id="380"/>
          </w:p>
        </w:tc>
        <w:tc>
          <w:tcPr>
            <w:tcW w:w="4922" w:type="dxa"/>
            <w:vAlign w:val="center"/>
          </w:tcPr>
          <w:p w14:paraId="258418D7">
            <w:pPr>
              <w:spacing w:line="240" w:lineRule="auto"/>
              <w:rPr>
                <w:rFonts w:hint="eastAsia" w:ascii="宋体" w:hAnsi="宋体" w:cs="宋体"/>
                <w:strike/>
                <w:dstrike w:val="0"/>
                <w:color w:val="auto"/>
                <w:szCs w:val="21"/>
                <w:highlight w:val="none"/>
              </w:rPr>
            </w:pPr>
            <w:bookmarkStart w:id="381" w:name="OLE_LINK69"/>
            <w:bookmarkStart w:id="382" w:name="OLE_LINK68"/>
            <w:r>
              <w:rPr>
                <w:rFonts w:hint="eastAsia" w:ascii="宋体" w:hAnsi="宋体" w:cs="宋体"/>
                <w:strike/>
                <w:dstrike w:val="0"/>
                <w:color w:val="auto"/>
                <w:szCs w:val="21"/>
                <w:highlight w:val="none"/>
              </w:rPr>
              <w:t>符合第二章“投标人须知”第1.4.1项规定</w:t>
            </w:r>
            <w:bookmarkEnd w:id="381"/>
            <w:bookmarkEnd w:id="382"/>
          </w:p>
        </w:tc>
      </w:tr>
      <w:tr w14:paraId="0C9A97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0D83614F">
            <w:pPr>
              <w:spacing w:line="240" w:lineRule="auto"/>
              <w:jc w:val="center"/>
              <w:rPr>
                <w:rFonts w:hint="eastAsia" w:ascii="宋体" w:hAnsi="宋体" w:cs="宋体"/>
                <w:color w:val="auto"/>
                <w:szCs w:val="21"/>
                <w:highlight w:val="none"/>
              </w:rPr>
            </w:pPr>
          </w:p>
        </w:tc>
        <w:tc>
          <w:tcPr>
            <w:tcW w:w="1151" w:type="dxa"/>
            <w:vMerge w:val="continue"/>
            <w:vAlign w:val="center"/>
          </w:tcPr>
          <w:p w14:paraId="50CCB143">
            <w:pPr>
              <w:spacing w:line="240" w:lineRule="auto"/>
              <w:jc w:val="center"/>
              <w:rPr>
                <w:rFonts w:hint="eastAsia" w:ascii="宋体" w:hAnsi="宋体" w:cs="宋体"/>
                <w:color w:val="auto"/>
                <w:szCs w:val="21"/>
                <w:highlight w:val="none"/>
              </w:rPr>
            </w:pPr>
          </w:p>
        </w:tc>
        <w:tc>
          <w:tcPr>
            <w:tcW w:w="2968" w:type="dxa"/>
            <w:vAlign w:val="center"/>
          </w:tcPr>
          <w:p w14:paraId="05634C75">
            <w:pPr>
              <w:spacing w:line="240" w:lineRule="auto"/>
              <w:jc w:val="center"/>
              <w:rPr>
                <w:rFonts w:hint="eastAsia" w:ascii="宋体" w:hAnsi="宋体" w:cs="宋体"/>
                <w:color w:val="auto"/>
                <w:szCs w:val="21"/>
                <w:highlight w:val="none"/>
              </w:rPr>
            </w:pPr>
            <w:bookmarkStart w:id="383" w:name="OLE_LINK70"/>
            <w:r>
              <w:rPr>
                <w:rFonts w:hint="eastAsia" w:ascii="宋体" w:hAnsi="宋体" w:cs="宋体"/>
                <w:color w:val="auto"/>
                <w:szCs w:val="21"/>
                <w:highlight w:val="none"/>
              </w:rPr>
              <w:t>技术负责人</w:t>
            </w:r>
            <w:bookmarkEnd w:id="383"/>
          </w:p>
        </w:tc>
        <w:tc>
          <w:tcPr>
            <w:tcW w:w="4922" w:type="dxa"/>
            <w:vAlign w:val="center"/>
          </w:tcPr>
          <w:p w14:paraId="5093E6A1">
            <w:pPr>
              <w:spacing w:line="240" w:lineRule="auto"/>
              <w:rPr>
                <w:rFonts w:hint="eastAsia" w:ascii="宋体" w:hAnsi="宋体" w:cs="宋体"/>
                <w:color w:val="auto"/>
                <w:szCs w:val="21"/>
                <w:highlight w:val="none"/>
              </w:rPr>
            </w:pPr>
            <w:bookmarkStart w:id="384" w:name="OLE_LINK72"/>
            <w:bookmarkStart w:id="385" w:name="OLE_LINK71"/>
            <w:r>
              <w:rPr>
                <w:rFonts w:hint="eastAsia" w:ascii="宋体" w:hAnsi="宋体" w:cs="宋体"/>
                <w:color w:val="auto"/>
                <w:szCs w:val="21"/>
                <w:highlight w:val="none"/>
              </w:rPr>
              <w:t>符合第二章“投标人须知”第1.4.1项规定</w:t>
            </w:r>
            <w:bookmarkEnd w:id="384"/>
            <w:bookmarkEnd w:id="385"/>
          </w:p>
        </w:tc>
      </w:tr>
      <w:tr w14:paraId="33EAF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7C56578A">
            <w:pPr>
              <w:spacing w:line="240" w:lineRule="auto"/>
              <w:jc w:val="center"/>
              <w:rPr>
                <w:rFonts w:hint="eastAsia" w:ascii="宋体" w:hAnsi="宋体" w:cs="宋体"/>
                <w:color w:val="auto"/>
                <w:szCs w:val="21"/>
                <w:highlight w:val="none"/>
              </w:rPr>
            </w:pPr>
          </w:p>
        </w:tc>
        <w:tc>
          <w:tcPr>
            <w:tcW w:w="1151" w:type="dxa"/>
            <w:vMerge w:val="continue"/>
            <w:vAlign w:val="center"/>
          </w:tcPr>
          <w:p w14:paraId="002274CB">
            <w:pPr>
              <w:spacing w:line="240" w:lineRule="auto"/>
              <w:jc w:val="center"/>
              <w:rPr>
                <w:rFonts w:hint="eastAsia" w:ascii="宋体" w:hAnsi="宋体" w:cs="宋体"/>
                <w:color w:val="auto"/>
                <w:szCs w:val="21"/>
                <w:highlight w:val="none"/>
              </w:rPr>
            </w:pPr>
          </w:p>
        </w:tc>
        <w:tc>
          <w:tcPr>
            <w:tcW w:w="2968" w:type="dxa"/>
            <w:vAlign w:val="center"/>
          </w:tcPr>
          <w:p w14:paraId="7FAFB0FA">
            <w:pPr>
              <w:spacing w:line="240" w:lineRule="auto"/>
              <w:jc w:val="center"/>
              <w:rPr>
                <w:rFonts w:hint="eastAsia" w:ascii="宋体" w:hAnsi="宋体" w:cs="宋体"/>
                <w:color w:val="auto"/>
                <w:szCs w:val="21"/>
                <w:highlight w:val="none"/>
              </w:rPr>
            </w:pPr>
            <w:bookmarkStart w:id="386" w:name="OLE_LINK73"/>
            <w:bookmarkStart w:id="387" w:name="OLE_LINK74"/>
            <w:r>
              <w:rPr>
                <w:rFonts w:hint="eastAsia" w:ascii="宋体" w:hAnsi="宋体" w:cs="宋体"/>
                <w:color w:val="auto"/>
                <w:szCs w:val="21"/>
                <w:highlight w:val="none"/>
              </w:rPr>
              <w:t>专职安全员</w:t>
            </w:r>
            <w:bookmarkEnd w:id="386"/>
            <w:bookmarkEnd w:id="387"/>
          </w:p>
        </w:tc>
        <w:tc>
          <w:tcPr>
            <w:tcW w:w="4922" w:type="dxa"/>
            <w:vAlign w:val="center"/>
          </w:tcPr>
          <w:p w14:paraId="2669CCF5">
            <w:pPr>
              <w:spacing w:line="240" w:lineRule="auto"/>
              <w:rPr>
                <w:rFonts w:hint="eastAsia" w:ascii="宋体" w:hAnsi="宋体" w:cs="宋体"/>
                <w:color w:val="auto"/>
                <w:szCs w:val="21"/>
                <w:highlight w:val="none"/>
              </w:rPr>
            </w:pPr>
            <w:bookmarkStart w:id="388" w:name="OLE_LINK75"/>
            <w:bookmarkStart w:id="389" w:name="OLE_LINK76"/>
            <w:r>
              <w:rPr>
                <w:rFonts w:hint="eastAsia" w:ascii="宋体" w:hAnsi="宋体" w:cs="宋体"/>
                <w:color w:val="auto"/>
                <w:szCs w:val="21"/>
                <w:highlight w:val="none"/>
              </w:rPr>
              <w:t>符合第二章“投标人须知”第1.4.1项规定</w:t>
            </w:r>
            <w:bookmarkEnd w:id="388"/>
            <w:bookmarkEnd w:id="389"/>
          </w:p>
        </w:tc>
      </w:tr>
      <w:tr w14:paraId="42777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45CB34C6">
            <w:pPr>
              <w:spacing w:line="240" w:lineRule="auto"/>
              <w:jc w:val="center"/>
              <w:rPr>
                <w:rFonts w:hint="eastAsia" w:ascii="宋体" w:hAnsi="宋体" w:cs="宋体"/>
                <w:color w:val="auto"/>
                <w:szCs w:val="21"/>
                <w:highlight w:val="none"/>
              </w:rPr>
            </w:pPr>
          </w:p>
        </w:tc>
        <w:tc>
          <w:tcPr>
            <w:tcW w:w="1151" w:type="dxa"/>
            <w:vMerge w:val="continue"/>
            <w:vAlign w:val="center"/>
          </w:tcPr>
          <w:p w14:paraId="1E5C7057">
            <w:pPr>
              <w:spacing w:line="240" w:lineRule="auto"/>
              <w:jc w:val="center"/>
              <w:rPr>
                <w:rFonts w:hint="eastAsia" w:ascii="宋体" w:hAnsi="宋体" w:cs="宋体"/>
                <w:color w:val="auto"/>
                <w:szCs w:val="21"/>
                <w:highlight w:val="none"/>
              </w:rPr>
            </w:pPr>
          </w:p>
        </w:tc>
        <w:tc>
          <w:tcPr>
            <w:tcW w:w="2968" w:type="dxa"/>
            <w:vAlign w:val="center"/>
          </w:tcPr>
          <w:p w14:paraId="1B075FC3">
            <w:pPr>
              <w:spacing w:line="240" w:lineRule="auto"/>
              <w:jc w:val="center"/>
              <w:rPr>
                <w:rFonts w:hint="eastAsia" w:ascii="宋体" w:hAnsi="宋体" w:cs="宋体"/>
                <w:color w:val="auto"/>
                <w:szCs w:val="21"/>
                <w:highlight w:val="none"/>
              </w:rPr>
            </w:pPr>
            <w:bookmarkStart w:id="390" w:name="OLE_LINK77"/>
            <w:bookmarkStart w:id="391" w:name="OLE_LINK78"/>
            <w:r>
              <w:rPr>
                <w:rFonts w:hint="eastAsia" w:ascii="宋体" w:hAnsi="宋体" w:cs="宋体"/>
                <w:color w:val="auto"/>
                <w:szCs w:val="21"/>
                <w:highlight w:val="none"/>
              </w:rPr>
              <w:t>其他要求</w:t>
            </w:r>
            <w:bookmarkEnd w:id="390"/>
            <w:bookmarkEnd w:id="391"/>
          </w:p>
        </w:tc>
        <w:tc>
          <w:tcPr>
            <w:tcW w:w="4922" w:type="dxa"/>
            <w:vAlign w:val="center"/>
          </w:tcPr>
          <w:p w14:paraId="0521E25A">
            <w:pPr>
              <w:spacing w:line="240" w:lineRule="auto"/>
              <w:rPr>
                <w:rFonts w:hint="eastAsia" w:ascii="宋体" w:hAnsi="宋体" w:cs="宋体"/>
                <w:color w:val="auto"/>
                <w:szCs w:val="21"/>
                <w:highlight w:val="none"/>
              </w:rPr>
            </w:pPr>
            <w:bookmarkStart w:id="392" w:name="OLE_LINK79"/>
            <w:r>
              <w:rPr>
                <w:rFonts w:hint="eastAsia" w:ascii="宋体" w:hAnsi="宋体" w:cs="宋体"/>
                <w:color w:val="auto"/>
                <w:szCs w:val="21"/>
                <w:highlight w:val="none"/>
              </w:rPr>
              <w:t>符合第二章“投标人须知”第1.4.1项规定</w:t>
            </w:r>
            <w:bookmarkEnd w:id="392"/>
          </w:p>
        </w:tc>
      </w:tr>
      <w:tr w14:paraId="25B08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770BB3CC">
            <w:pPr>
              <w:spacing w:line="240" w:lineRule="auto"/>
              <w:jc w:val="center"/>
              <w:rPr>
                <w:rFonts w:hint="eastAsia" w:ascii="宋体" w:hAnsi="宋体" w:cs="宋体"/>
                <w:color w:val="auto"/>
                <w:szCs w:val="21"/>
                <w:highlight w:val="none"/>
              </w:rPr>
            </w:pPr>
          </w:p>
        </w:tc>
        <w:tc>
          <w:tcPr>
            <w:tcW w:w="1151" w:type="dxa"/>
            <w:vMerge w:val="continue"/>
            <w:vAlign w:val="center"/>
          </w:tcPr>
          <w:p w14:paraId="6C26FE5F">
            <w:pPr>
              <w:spacing w:line="240" w:lineRule="auto"/>
              <w:jc w:val="center"/>
              <w:rPr>
                <w:rFonts w:hint="eastAsia" w:ascii="宋体" w:hAnsi="宋体" w:cs="宋体"/>
                <w:color w:val="auto"/>
                <w:szCs w:val="21"/>
                <w:highlight w:val="none"/>
              </w:rPr>
            </w:pPr>
          </w:p>
        </w:tc>
        <w:tc>
          <w:tcPr>
            <w:tcW w:w="2968" w:type="dxa"/>
            <w:vAlign w:val="center"/>
          </w:tcPr>
          <w:p w14:paraId="52C8920A">
            <w:pPr>
              <w:spacing w:line="240" w:lineRule="auto"/>
              <w:jc w:val="center"/>
              <w:rPr>
                <w:rFonts w:hint="eastAsia" w:ascii="宋体" w:hAnsi="宋体" w:cs="宋体"/>
                <w:color w:val="auto"/>
                <w:szCs w:val="21"/>
                <w:highlight w:val="none"/>
              </w:rPr>
            </w:pPr>
            <w:bookmarkStart w:id="393" w:name="OLE_LINK81"/>
            <w:bookmarkStart w:id="394" w:name="OLE_LINK80"/>
            <w:r>
              <w:rPr>
                <w:rFonts w:hint="eastAsia" w:ascii="宋体" w:hAnsi="宋体" w:cs="宋体"/>
                <w:color w:val="auto"/>
                <w:szCs w:val="21"/>
                <w:highlight w:val="none"/>
              </w:rPr>
              <w:t>联合体投标人</w:t>
            </w:r>
            <w:bookmarkEnd w:id="393"/>
            <w:bookmarkEnd w:id="394"/>
          </w:p>
        </w:tc>
        <w:tc>
          <w:tcPr>
            <w:tcW w:w="4922" w:type="dxa"/>
            <w:vAlign w:val="center"/>
          </w:tcPr>
          <w:p w14:paraId="0787FF6E">
            <w:pPr>
              <w:spacing w:line="240" w:lineRule="auto"/>
              <w:rPr>
                <w:rFonts w:hint="eastAsia" w:ascii="宋体" w:hAnsi="宋体" w:cs="宋体"/>
                <w:color w:val="auto"/>
                <w:szCs w:val="21"/>
                <w:highlight w:val="none"/>
              </w:rPr>
            </w:pPr>
            <w:bookmarkStart w:id="395" w:name="OLE_LINK82"/>
            <w:r>
              <w:rPr>
                <w:rFonts w:hint="eastAsia" w:ascii="宋体" w:hAnsi="宋体" w:cs="宋体"/>
                <w:color w:val="auto"/>
                <w:szCs w:val="21"/>
                <w:highlight w:val="none"/>
              </w:rPr>
              <w:t>符合第二章“投标人须知”第1.4.2项规定</w:t>
            </w:r>
            <w:bookmarkEnd w:id="395"/>
          </w:p>
        </w:tc>
      </w:tr>
      <w:tr w14:paraId="1D3A37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134C4938">
            <w:pPr>
              <w:spacing w:line="240" w:lineRule="auto"/>
              <w:jc w:val="center"/>
              <w:rPr>
                <w:rFonts w:hint="eastAsia" w:ascii="宋体" w:hAnsi="宋体" w:cs="宋体"/>
                <w:color w:val="auto"/>
                <w:szCs w:val="21"/>
                <w:highlight w:val="none"/>
              </w:rPr>
            </w:pPr>
          </w:p>
        </w:tc>
        <w:tc>
          <w:tcPr>
            <w:tcW w:w="1151" w:type="dxa"/>
            <w:vMerge w:val="continue"/>
            <w:vAlign w:val="center"/>
          </w:tcPr>
          <w:p w14:paraId="3775FB73">
            <w:pPr>
              <w:spacing w:line="240" w:lineRule="auto"/>
              <w:jc w:val="center"/>
              <w:rPr>
                <w:rFonts w:hint="eastAsia" w:ascii="宋体" w:hAnsi="宋体" w:cs="宋体"/>
                <w:color w:val="auto"/>
                <w:szCs w:val="21"/>
                <w:highlight w:val="none"/>
              </w:rPr>
            </w:pPr>
          </w:p>
        </w:tc>
        <w:tc>
          <w:tcPr>
            <w:tcW w:w="2968" w:type="dxa"/>
            <w:vAlign w:val="center"/>
          </w:tcPr>
          <w:p w14:paraId="171D4A00">
            <w:pPr>
              <w:spacing w:line="240" w:lineRule="auto"/>
              <w:jc w:val="center"/>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未在以往工程中因不充分履约行为被本项目招标人书面拒绝投标的</w:t>
            </w:r>
          </w:p>
        </w:tc>
        <w:tc>
          <w:tcPr>
            <w:tcW w:w="4922" w:type="dxa"/>
            <w:vAlign w:val="center"/>
          </w:tcPr>
          <w:p w14:paraId="4604F274">
            <w:pPr>
              <w:spacing w:line="240" w:lineRule="auto"/>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投标人无需提供资料，资格审查时，按第一章“招标公告”附件</w:t>
            </w:r>
            <w:r>
              <w:rPr>
                <w:rFonts w:hint="eastAsia" w:ascii="宋体" w:hAnsi="宋体" w:cs="宋体"/>
                <w:strike/>
                <w:dstrike w:val="0"/>
                <w:color w:val="auto"/>
                <w:szCs w:val="21"/>
                <w:highlight w:val="none"/>
                <w:lang w:val="en-US" w:eastAsia="zh-CN"/>
              </w:rPr>
              <w:t>四</w:t>
            </w:r>
            <w:r>
              <w:rPr>
                <w:rFonts w:hint="eastAsia" w:ascii="宋体" w:hAnsi="宋体" w:cs="宋体"/>
                <w:strike/>
                <w:dstrike w:val="0"/>
                <w:color w:val="auto"/>
                <w:szCs w:val="21"/>
                <w:highlight w:val="none"/>
              </w:rPr>
              <w:t>《被招标人拒绝投标的企业名单》进行评审</w:t>
            </w:r>
          </w:p>
        </w:tc>
      </w:tr>
      <w:tr w14:paraId="78A666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283AA237">
            <w:pPr>
              <w:spacing w:line="240" w:lineRule="auto"/>
              <w:jc w:val="center"/>
              <w:rPr>
                <w:rFonts w:hint="eastAsia" w:ascii="宋体" w:hAnsi="宋体" w:cs="宋体"/>
                <w:color w:val="auto"/>
                <w:szCs w:val="21"/>
                <w:highlight w:val="none"/>
              </w:rPr>
            </w:pPr>
          </w:p>
        </w:tc>
        <w:tc>
          <w:tcPr>
            <w:tcW w:w="1151" w:type="dxa"/>
            <w:vMerge w:val="continue"/>
            <w:vAlign w:val="center"/>
          </w:tcPr>
          <w:p w14:paraId="233BFE5A">
            <w:pPr>
              <w:spacing w:line="240" w:lineRule="auto"/>
              <w:jc w:val="center"/>
              <w:rPr>
                <w:rFonts w:hint="eastAsia" w:ascii="宋体" w:hAnsi="宋体" w:cs="宋体"/>
                <w:color w:val="auto"/>
                <w:szCs w:val="21"/>
                <w:highlight w:val="none"/>
              </w:rPr>
            </w:pPr>
          </w:p>
        </w:tc>
        <w:tc>
          <w:tcPr>
            <w:tcW w:w="2968" w:type="dxa"/>
            <w:vAlign w:val="center"/>
          </w:tcPr>
          <w:p w14:paraId="74989E0E">
            <w:pPr>
              <w:spacing w:line="240" w:lineRule="auto"/>
              <w:jc w:val="center"/>
              <w:rPr>
                <w:rFonts w:hint="eastAsia" w:ascii="宋体" w:hAnsi="宋体" w:cs="宋体"/>
                <w:color w:val="auto"/>
                <w:szCs w:val="21"/>
                <w:highlight w:val="none"/>
              </w:rPr>
            </w:pPr>
            <w:bookmarkStart w:id="396" w:name="OLE_LINK86"/>
            <w:bookmarkStart w:id="397" w:name="OLE_LINK87"/>
            <w:r>
              <w:rPr>
                <w:rFonts w:hint="eastAsia" w:ascii="宋体" w:hAnsi="宋体" w:cs="宋体"/>
                <w:color w:val="auto"/>
                <w:szCs w:val="21"/>
                <w:highlight w:val="none"/>
              </w:rPr>
              <w:t>投标人之间的关系</w:t>
            </w:r>
            <w:bookmarkEnd w:id="396"/>
            <w:bookmarkEnd w:id="397"/>
          </w:p>
        </w:tc>
        <w:tc>
          <w:tcPr>
            <w:tcW w:w="4922" w:type="dxa"/>
            <w:vAlign w:val="center"/>
          </w:tcPr>
          <w:p w14:paraId="386502FB">
            <w:pPr>
              <w:spacing w:line="240" w:lineRule="auto"/>
              <w:rPr>
                <w:rFonts w:hint="eastAsia" w:ascii="宋体" w:hAnsi="宋体" w:cs="宋体"/>
                <w:color w:val="auto"/>
                <w:szCs w:val="21"/>
                <w:highlight w:val="none"/>
              </w:rPr>
            </w:pPr>
            <w:bookmarkStart w:id="398" w:name="OLE_LINK88"/>
            <w:bookmarkStart w:id="399" w:name="OLE_LINK89"/>
            <w:r>
              <w:rPr>
                <w:rFonts w:hint="eastAsia" w:ascii="宋体" w:hAnsi="宋体" w:cs="宋体"/>
                <w:color w:val="auto"/>
                <w:szCs w:val="21"/>
                <w:highlight w:val="none"/>
              </w:rPr>
              <w:t>符合第一章“招标公告”规定（按投标人提供的《投标申请人声明》第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bookmarkEnd w:id="398"/>
            <w:bookmarkEnd w:id="399"/>
          </w:p>
        </w:tc>
      </w:tr>
      <w:tr w14:paraId="4E5983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5CE8B294">
            <w:pPr>
              <w:spacing w:line="240" w:lineRule="auto"/>
              <w:jc w:val="center"/>
              <w:rPr>
                <w:rFonts w:hint="eastAsia" w:ascii="宋体" w:hAnsi="宋体" w:cs="宋体"/>
                <w:color w:val="auto"/>
                <w:szCs w:val="21"/>
                <w:highlight w:val="none"/>
              </w:rPr>
            </w:pPr>
          </w:p>
        </w:tc>
        <w:tc>
          <w:tcPr>
            <w:tcW w:w="1151" w:type="dxa"/>
            <w:vMerge w:val="continue"/>
            <w:vAlign w:val="center"/>
          </w:tcPr>
          <w:p w14:paraId="5E891085">
            <w:pPr>
              <w:spacing w:line="240" w:lineRule="auto"/>
              <w:jc w:val="center"/>
              <w:rPr>
                <w:rFonts w:hint="eastAsia" w:ascii="宋体" w:hAnsi="宋体" w:cs="宋体"/>
                <w:color w:val="auto"/>
                <w:szCs w:val="21"/>
                <w:highlight w:val="none"/>
              </w:rPr>
            </w:pPr>
          </w:p>
        </w:tc>
        <w:tc>
          <w:tcPr>
            <w:tcW w:w="2968" w:type="dxa"/>
            <w:vAlign w:val="center"/>
          </w:tcPr>
          <w:p w14:paraId="54DF5863">
            <w:pPr>
              <w:spacing w:line="240" w:lineRule="auto"/>
              <w:jc w:val="center"/>
              <w:rPr>
                <w:rFonts w:hint="eastAsia" w:ascii="宋体" w:hAnsi="宋体" w:cs="宋体"/>
                <w:color w:val="auto"/>
                <w:szCs w:val="21"/>
                <w:highlight w:val="none"/>
              </w:rPr>
            </w:pPr>
            <w:bookmarkStart w:id="400" w:name="OLE_LINK90"/>
            <w:bookmarkStart w:id="401" w:name="OLE_LINK91"/>
            <w:r>
              <w:rPr>
                <w:rFonts w:hint="eastAsia" w:ascii="宋体" w:hAnsi="宋体" w:cs="宋体"/>
                <w:color w:val="auto"/>
                <w:szCs w:val="21"/>
                <w:highlight w:val="none"/>
              </w:rPr>
              <w:t>失信联合惩戒</w:t>
            </w:r>
            <w:bookmarkEnd w:id="400"/>
            <w:bookmarkEnd w:id="401"/>
          </w:p>
        </w:tc>
        <w:tc>
          <w:tcPr>
            <w:tcW w:w="4922" w:type="dxa"/>
            <w:vAlign w:val="center"/>
          </w:tcPr>
          <w:p w14:paraId="3DBF435C">
            <w:pPr>
              <w:spacing w:line="240" w:lineRule="auto"/>
              <w:rPr>
                <w:rFonts w:hint="eastAsia" w:ascii="宋体" w:hAnsi="宋体" w:cs="宋体"/>
                <w:color w:val="auto"/>
                <w:szCs w:val="21"/>
                <w:highlight w:val="none"/>
              </w:rPr>
            </w:pPr>
            <w:bookmarkStart w:id="402" w:name="OLE_LINK93"/>
            <w:bookmarkStart w:id="403" w:name="OLE_LINK92"/>
            <w:r>
              <w:rPr>
                <w:rFonts w:hint="eastAsia" w:ascii="宋体" w:hAnsi="宋体" w:cs="宋体"/>
                <w:color w:val="auto"/>
                <w:szCs w:val="21"/>
                <w:highlight w:val="none"/>
              </w:rPr>
              <w:t>符合第一章“招标公告”规定（投标人无需提供资料，按投标截止时间交易系统比对的结果进行评审）</w:t>
            </w:r>
            <w:bookmarkEnd w:id="402"/>
            <w:bookmarkEnd w:id="403"/>
          </w:p>
        </w:tc>
      </w:tr>
      <w:tr w14:paraId="205D2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14:paraId="3C3355D2">
            <w:pPr>
              <w:spacing w:line="240" w:lineRule="auto"/>
              <w:jc w:val="center"/>
              <w:rPr>
                <w:rFonts w:hint="eastAsia" w:ascii="宋体" w:hAnsi="宋体" w:cs="宋体"/>
                <w:color w:val="auto"/>
                <w:szCs w:val="21"/>
                <w:highlight w:val="none"/>
              </w:rPr>
            </w:pPr>
          </w:p>
          <w:p w14:paraId="3A8EA58E">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151" w:type="dxa"/>
            <w:vMerge w:val="restart"/>
            <w:vAlign w:val="center"/>
          </w:tcPr>
          <w:p w14:paraId="7C7D6EE7">
            <w:pPr>
              <w:spacing w:line="240" w:lineRule="auto"/>
              <w:ind w:left="-78" w:leftChars="-37" w:right="-69" w:rightChars="-33"/>
              <w:jc w:val="center"/>
              <w:rPr>
                <w:rFonts w:hint="eastAsia" w:ascii="宋体" w:hAnsi="宋体" w:cs="宋体"/>
                <w:color w:val="auto"/>
                <w:szCs w:val="21"/>
                <w:highlight w:val="none"/>
              </w:rPr>
            </w:pPr>
          </w:p>
          <w:p w14:paraId="69A5D272">
            <w:pPr>
              <w:spacing w:line="240" w:lineRule="auto"/>
              <w:ind w:left="-78" w:leftChars="-37" w:right="-69" w:rightChars="-33"/>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968" w:type="dxa"/>
            <w:vAlign w:val="center"/>
          </w:tcPr>
          <w:p w14:paraId="4743B937">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4922" w:type="dxa"/>
            <w:vAlign w:val="center"/>
          </w:tcPr>
          <w:p w14:paraId="46188C85">
            <w:pPr>
              <w:spacing w:line="240" w:lineRule="auto"/>
              <w:jc w:val="left"/>
              <w:rPr>
                <w:rFonts w:hint="eastAsia" w:ascii="宋体" w:hAnsi="宋体" w:cs="宋体"/>
                <w:color w:val="auto"/>
                <w:szCs w:val="21"/>
                <w:highlight w:val="none"/>
              </w:rPr>
            </w:pPr>
            <w:bookmarkStart w:id="404" w:name="OLE_LINK94"/>
            <w:bookmarkStart w:id="405" w:name="OLE_LINK95"/>
            <w:r>
              <w:rPr>
                <w:rFonts w:hint="eastAsia" w:ascii="宋体" w:hAnsi="宋体" w:cs="宋体"/>
                <w:color w:val="auto"/>
                <w:szCs w:val="21"/>
                <w:highlight w:val="none"/>
              </w:rPr>
              <w:t>符合第二章“投标人须知”第3.2项规定。</w:t>
            </w:r>
          </w:p>
          <w:p w14:paraId="2A3C1197">
            <w:pPr>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投标总报价不高于最高投标限价总价的，</w:t>
            </w:r>
            <w:r>
              <w:rPr>
                <w:rFonts w:hint="eastAsia" w:ascii="宋体" w:hAnsi="宋体" w:cs="宋体"/>
                <w:b/>
                <w:color w:val="auto"/>
                <w:szCs w:val="21"/>
                <w:highlight w:val="none"/>
                <w:lang w:eastAsia="zh-CN"/>
              </w:rPr>
              <w:t>动迁服务费</w:t>
            </w:r>
            <w:r>
              <w:rPr>
                <w:rFonts w:hint="eastAsia" w:ascii="宋体" w:hAnsi="宋体" w:cs="宋体"/>
                <w:b/>
                <w:color w:val="auto"/>
                <w:szCs w:val="21"/>
                <w:highlight w:val="none"/>
              </w:rPr>
              <w:t>报价不高于</w:t>
            </w:r>
            <w:r>
              <w:rPr>
                <w:rFonts w:hint="eastAsia" w:ascii="宋体" w:hAnsi="宋体" w:cs="宋体"/>
                <w:b/>
                <w:color w:val="auto"/>
                <w:szCs w:val="21"/>
                <w:highlight w:val="none"/>
                <w:lang w:eastAsia="zh-CN"/>
              </w:rPr>
              <w:t>动迁服务费</w:t>
            </w:r>
            <w:r>
              <w:rPr>
                <w:rFonts w:hint="eastAsia" w:ascii="宋体" w:hAnsi="宋体" w:cs="宋体"/>
                <w:b/>
                <w:color w:val="auto"/>
                <w:szCs w:val="21"/>
                <w:highlight w:val="none"/>
              </w:rPr>
              <w:t>最高投标限价的，</w:t>
            </w:r>
            <w:r>
              <w:rPr>
                <w:rFonts w:hint="eastAsia" w:ascii="宋体" w:hAnsi="宋体" w:cs="宋体"/>
                <w:b/>
                <w:color w:val="auto"/>
                <w:szCs w:val="21"/>
                <w:highlight w:val="none"/>
                <w:lang w:val="en-US" w:eastAsia="zh-CN"/>
              </w:rPr>
              <w:t>施工费</w:t>
            </w:r>
            <w:r>
              <w:rPr>
                <w:rFonts w:hint="eastAsia" w:ascii="宋体" w:hAnsi="宋体" w:cs="宋体"/>
                <w:b/>
                <w:color w:val="auto"/>
                <w:szCs w:val="21"/>
                <w:highlight w:val="none"/>
              </w:rPr>
              <w:t>报价不高于</w:t>
            </w:r>
            <w:r>
              <w:rPr>
                <w:rFonts w:hint="eastAsia" w:ascii="宋体" w:hAnsi="宋体" w:cs="宋体"/>
                <w:b/>
                <w:color w:val="auto"/>
                <w:szCs w:val="21"/>
                <w:highlight w:val="none"/>
                <w:lang w:val="en-US" w:eastAsia="zh-CN"/>
              </w:rPr>
              <w:t>施工费</w:t>
            </w:r>
            <w:r>
              <w:rPr>
                <w:rFonts w:hint="eastAsia" w:ascii="宋体" w:hAnsi="宋体" w:cs="宋体"/>
                <w:b/>
                <w:color w:val="auto"/>
                <w:szCs w:val="21"/>
                <w:highlight w:val="none"/>
              </w:rPr>
              <w:t>最高投标限价的</w:t>
            </w:r>
            <w:r>
              <w:rPr>
                <w:rFonts w:hint="eastAsia" w:ascii="宋体" w:hAnsi="宋体" w:eastAsia="宋体" w:cs="宋体"/>
                <w:b/>
                <w:color w:val="auto"/>
                <w:szCs w:val="21"/>
                <w:highlight w:val="none"/>
                <w:lang w:val="en-US" w:eastAsia="zh-CN"/>
              </w:rPr>
              <w:t>。</w:t>
            </w:r>
            <w:bookmarkEnd w:id="404"/>
            <w:bookmarkEnd w:id="405"/>
          </w:p>
        </w:tc>
      </w:tr>
      <w:tr w14:paraId="385377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728C5B5F">
            <w:pPr>
              <w:spacing w:line="240" w:lineRule="auto"/>
              <w:jc w:val="center"/>
              <w:rPr>
                <w:rFonts w:hint="eastAsia" w:ascii="宋体" w:hAnsi="宋体" w:cs="宋体"/>
                <w:color w:val="auto"/>
                <w:szCs w:val="21"/>
                <w:highlight w:val="none"/>
              </w:rPr>
            </w:pPr>
          </w:p>
        </w:tc>
        <w:tc>
          <w:tcPr>
            <w:tcW w:w="1151" w:type="dxa"/>
            <w:vMerge w:val="continue"/>
            <w:vAlign w:val="center"/>
          </w:tcPr>
          <w:p w14:paraId="0302C440">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6D9937A6">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4922" w:type="dxa"/>
            <w:vAlign w:val="center"/>
          </w:tcPr>
          <w:p w14:paraId="5935E9F1">
            <w:pPr>
              <w:spacing w:line="240" w:lineRule="auto"/>
              <w:jc w:val="left"/>
              <w:rPr>
                <w:rFonts w:hint="eastAsia" w:ascii="宋体" w:hAnsi="宋体" w:cs="宋体"/>
                <w:color w:val="auto"/>
                <w:szCs w:val="21"/>
                <w:highlight w:val="none"/>
              </w:rPr>
            </w:pPr>
            <w:bookmarkStart w:id="406" w:name="OLE_LINK96"/>
            <w:bookmarkStart w:id="407" w:name="OLE_LINK97"/>
            <w:r>
              <w:rPr>
                <w:rFonts w:hint="eastAsia" w:ascii="宋体" w:hAnsi="宋体" w:cs="宋体"/>
                <w:color w:val="auto"/>
                <w:szCs w:val="21"/>
                <w:highlight w:val="none"/>
              </w:rPr>
              <w:t>符合第二章“投标人须知”第1.3.1项规定（以投标承诺函为依据进行评审）</w:t>
            </w:r>
            <w:bookmarkEnd w:id="406"/>
            <w:bookmarkEnd w:id="407"/>
          </w:p>
        </w:tc>
      </w:tr>
      <w:tr w14:paraId="34C882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1E878FAB">
            <w:pPr>
              <w:spacing w:line="240" w:lineRule="auto"/>
              <w:jc w:val="center"/>
              <w:rPr>
                <w:rFonts w:hint="eastAsia" w:ascii="宋体" w:hAnsi="宋体" w:cs="宋体"/>
                <w:color w:val="auto"/>
                <w:szCs w:val="21"/>
                <w:highlight w:val="none"/>
              </w:rPr>
            </w:pPr>
          </w:p>
        </w:tc>
        <w:tc>
          <w:tcPr>
            <w:tcW w:w="1151" w:type="dxa"/>
            <w:vMerge w:val="continue"/>
            <w:vAlign w:val="center"/>
          </w:tcPr>
          <w:p w14:paraId="074CF119">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72362E4F">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922" w:type="dxa"/>
            <w:vAlign w:val="center"/>
          </w:tcPr>
          <w:p w14:paraId="55A7ED8B">
            <w:pPr>
              <w:spacing w:line="240" w:lineRule="auto"/>
              <w:jc w:val="left"/>
              <w:rPr>
                <w:rFonts w:hint="eastAsia" w:ascii="宋体" w:hAnsi="宋体" w:cs="宋体"/>
                <w:color w:val="auto"/>
                <w:szCs w:val="21"/>
                <w:highlight w:val="none"/>
              </w:rPr>
            </w:pPr>
            <w:bookmarkStart w:id="408" w:name="OLE_LINK99"/>
            <w:bookmarkStart w:id="409" w:name="OLE_LINK98"/>
            <w:r>
              <w:rPr>
                <w:rFonts w:hint="eastAsia" w:ascii="宋体" w:hAnsi="宋体" w:cs="宋体"/>
                <w:color w:val="auto"/>
                <w:szCs w:val="21"/>
                <w:highlight w:val="none"/>
              </w:rPr>
              <w:t>符合第二章“投标人须知”第1.3.2项规定（以投标书为依据进行评审）</w:t>
            </w:r>
            <w:bookmarkEnd w:id="408"/>
            <w:bookmarkEnd w:id="409"/>
          </w:p>
        </w:tc>
      </w:tr>
      <w:tr w14:paraId="0D3A2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757F9373">
            <w:pPr>
              <w:spacing w:line="240" w:lineRule="auto"/>
              <w:jc w:val="center"/>
              <w:rPr>
                <w:rFonts w:hint="eastAsia" w:ascii="宋体" w:hAnsi="宋体" w:cs="宋体"/>
                <w:color w:val="auto"/>
                <w:szCs w:val="21"/>
                <w:highlight w:val="none"/>
              </w:rPr>
            </w:pPr>
          </w:p>
        </w:tc>
        <w:tc>
          <w:tcPr>
            <w:tcW w:w="1151" w:type="dxa"/>
            <w:vMerge w:val="continue"/>
            <w:vAlign w:val="center"/>
          </w:tcPr>
          <w:p w14:paraId="4E24073D">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06C81C1B">
            <w:pPr>
              <w:spacing w:line="240" w:lineRule="auto"/>
              <w:jc w:val="center"/>
              <w:rPr>
                <w:rFonts w:hint="eastAsia" w:ascii="宋体" w:hAnsi="宋体" w:cs="宋体"/>
                <w:color w:val="auto"/>
                <w:szCs w:val="21"/>
                <w:highlight w:val="none"/>
              </w:rPr>
            </w:pPr>
            <w:bookmarkStart w:id="410" w:name="OLE_LINK101"/>
            <w:bookmarkStart w:id="411" w:name="OLE_LINK100"/>
            <w:r>
              <w:rPr>
                <w:rFonts w:hint="eastAsia" w:ascii="宋体" w:hAnsi="宋体" w:cs="宋体"/>
                <w:color w:val="auto"/>
                <w:szCs w:val="21"/>
                <w:highlight w:val="none"/>
              </w:rPr>
              <w:t>质量标准</w:t>
            </w:r>
            <w:bookmarkEnd w:id="410"/>
            <w:bookmarkEnd w:id="411"/>
          </w:p>
        </w:tc>
        <w:tc>
          <w:tcPr>
            <w:tcW w:w="4922" w:type="dxa"/>
            <w:vAlign w:val="center"/>
          </w:tcPr>
          <w:p w14:paraId="18E89083">
            <w:pPr>
              <w:spacing w:line="240" w:lineRule="auto"/>
              <w:jc w:val="left"/>
              <w:rPr>
                <w:rFonts w:hint="eastAsia" w:ascii="宋体" w:hAnsi="宋体" w:cs="宋体"/>
                <w:color w:val="auto"/>
                <w:szCs w:val="21"/>
                <w:highlight w:val="none"/>
              </w:rPr>
            </w:pPr>
            <w:bookmarkStart w:id="412" w:name="OLE_LINK102"/>
            <w:r>
              <w:rPr>
                <w:rFonts w:hint="eastAsia" w:ascii="宋体" w:hAnsi="宋体" w:cs="宋体"/>
                <w:color w:val="auto"/>
                <w:szCs w:val="21"/>
                <w:highlight w:val="none"/>
              </w:rPr>
              <w:t>符合第二章“投标人须知”第1.3.3项规定（以投标书为依据进行评审）</w:t>
            </w:r>
            <w:bookmarkEnd w:id="412"/>
          </w:p>
        </w:tc>
      </w:tr>
      <w:tr w14:paraId="76EBBC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22" w:type="dxa"/>
            <w:vMerge w:val="continue"/>
            <w:vAlign w:val="center"/>
          </w:tcPr>
          <w:p w14:paraId="629A169C">
            <w:pPr>
              <w:spacing w:line="240" w:lineRule="auto"/>
              <w:jc w:val="center"/>
              <w:rPr>
                <w:rFonts w:hint="eastAsia" w:ascii="宋体" w:hAnsi="宋体" w:cs="宋体"/>
                <w:color w:val="auto"/>
                <w:szCs w:val="21"/>
                <w:highlight w:val="none"/>
              </w:rPr>
            </w:pPr>
          </w:p>
        </w:tc>
        <w:tc>
          <w:tcPr>
            <w:tcW w:w="1151" w:type="dxa"/>
            <w:vMerge w:val="continue"/>
            <w:vAlign w:val="center"/>
          </w:tcPr>
          <w:p w14:paraId="79A93C1D">
            <w:pPr>
              <w:spacing w:line="240" w:lineRule="auto"/>
              <w:ind w:left="-78" w:leftChars="-37" w:right="-69" w:rightChars="-33"/>
              <w:jc w:val="center"/>
              <w:rPr>
                <w:rFonts w:hint="eastAsia" w:ascii="宋体" w:hAnsi="宋体" w:cs="宋体"/>
                <w:color w:val="auto"/>
                <w:szCs w:val="21"/>
                <w:highlight w:val="none"/>
              </w:rPr>
            </w:pPr>
          </w:p>
        </w:tc>
        <w:tc>
          <w:tcPr>
            <w:tcW w:w="2968" w:type="dxa"/>
            <w:tcBorders>
              <w:bottom w:val="single" w:color="auto" w:sz="4" w:space="0"/>
            </w:tcBorders>
            <w:vAlign w:val="center"/>
          </w:tcPr>
          <w:p w14:paraId="374979C1">
            <w:pPr>
              <w:spacing w:line="240" w:lineRule="auto"/>
              <w:jc w:val="center"/>
              <w:rPr>
                <w:rFonts w:hint="eastAsia" w:ascii="宋体" w:hAnsi="宋体" w:cs="宋体"/>
                <w:color w:val="auto"/>
                <w:szCs w:val="21"/>
                <w:highlight w:val="none"/>
              </w:rPr>
            </w:pPr>
            <w:bookmarkStart w:id="413" w:name="OLE_LINK103"/>
            <w:bookmarkStart w:id="414" w:name="OLE_LINK104"/>
            <w:r>
              <w:rPr>
                <w:rFonts w:hint="eastAsia" w:ascii="宋体" w:hAnsi="宋体" w:cs="宋体"/>
                <w:color w:val="auto"/>
                <w:szCs w:val="21"/>
                <w:highlight w:val="none"/>
              </w:rPr>
              <w:t>保修期限</w:t>
            </w:r>
            <w:bookmarkEnd w:id="413"/>
            <w:bookmarkEnd w:id="414"/>
          </w:p>
        </w:tc>
        <w:tc>
          <w:tcPr>
            <w:tcW w:w="4922" w:type="dxa"/>
            <w:tcBorders>
              <w:bottom w:val="single" w:color="auto" w:sz="4" w:space="0"/>
            </w:tcBorders>
            <w:vAlign w:val="center"/>
          </w:tcPr>
          <w:p w14:paraId="55FDAF3B">
            <w:pPr>
              <w:spacing w:line="240" w:lineRule="auto"/>
              <w:jc w:val="left"/>
              <w:rPr>
                <w:rFonts w:hint="eastAsia" w:ascii="宋体" w:hAnsi="宋体" w:cs="宋体"/>
                <w:color w:val="auto"/>
                <w:szCs w:val="21"/>
                <w:highlight w:val="none"/>
              </w:rPr>
            </w:pPr>
            <w:bookmarkStart w:id="415" w:name="OLE_LINK106"/>
            <w:bookmarkStart w:id="416" w:name="OLE_LINK105"/>
            <w:r>
              <w:rPr>
                <w:rFonts w:hint="eastAsia" w:ascii="宋体" w:hAnsi="宋体" w:cs="宋体"/>
                <w:color w:val="auto"/>
                <w:szCs w:val="21"/>
                <w:highlight w:val="none"/>
              </w:rPr>
              <w:t>符合第二章“投标人须知前附表”第9.</w:t>
            </w:r>
            <w:r>
              <w:rPr>
                <w:rFonts w:hint="eastAsia" w:ascii="宋体" w:hAnsi="宋体" w:cs="宋体"/>
                <w:color w:val="auto"/>
                <w:szCs w:val="21"/>
                <w:highlight w:val="none"/>
                <w:lang w:eastAsia="zh-CN"/>
              </w:rPr>
              <w:t>7</w:t>
            </w:r>
            <w:r>
              <w:rPr>
                <w:rFonts w:hint="eastAsia" w:ascii="宋体" w:hAnsi="宋体" w:cs="宋体"/>
                <w:color w:val="auto"/>
                <w:szCs w:val="21"/>
                <w:highlight w:val="none"/>
              </w:rPr>
              <w:t>项规定</w:t>
            </w:r>
            <w:bookmarkEnd w:id="415"/>
            <w:bookmarkEnd w:id="416"/>
          </w:p>
        </w:tc>
      </w:tr>
      <w:tr w14:paraId="2AB777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922" w:type="dxa"/>
            <w:vMerge w:val="continue"/>
            <w:vAlign w:val="center"/>
          </w:tcPr>
          <w:p w14:paraId="7C868A2F">
            <w:pPr>
              <w:spacing w:line="240" w:lineRule="auto"/>
              <w:jc w:val="center"/>
              <w:rPr>
                <w:rFonts w:hint="eastAsia" w:ascii="宋体" w:hAnsi="宋体" w:cs="宋体"/>
                <w:color w:val="auto"/>
                <w:szCs w:val="21"/>
                <w:highlight w:val="none"/>
              </w:rPr>
            </w:pPr>
          </w:p>
        </w:tc>
        <w:tc>
          <w:tcPr>
            <w:tcW w:w="1151" w:type="dxa"/>
            <w:vMerge w:val="continue"/>
            <w:vAlign w:val="center"/>
          </w:tcPr>
          <w:p w14:paraId="7C26A573">
            <w:pPr>
              <w:spacing w:line="240" w:lineRule="auto"/>
              <w:ind w:left="-78" w:leftChars="-37" w:right="-69" w:rightChars="-33"/>
              <w:jc w:val="center"/>
              <w:rPr>
                <w:rFonts w:hint="eastAsia" w:ascii="宋体" w:hAnsi="宋体" w:cs="宋体"/>
                <w:color w:val="auto"/>
                <w:szCs w:val="21"/>
                <w:highlight w:val="none"/>
              </w:rPr>
            </w:pPr>
          </w:p>
        </w:tc>
        <w:tc>
          <w:tcPr>
            <w:tcW w:w="2968" w:type="dxa"/>
            <w:tcBorders>
              <w:top w:val="single" w:color="auto" w:sz="4" w:space="0"/>
            </w:tcBorders>
            <w:vAlign w:val="center"/>
          </w:tcPr>
          <w:p w14:paraId="46FAD2AF">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投标保证金</w:t>
            </w:r>
          </w:p>
        </w:tc>
        <w:tc>
          <w:tcPr>
            <w:tcW w:w="4922" w:type="dxa"/>
            <w:tcBorders>
              <w:top w:val="single" w:color="auto" w:sz="4" w:space="0"/>
            </w:tcBorders>
            <w:vAlign w:val="center"/>
          </w:tcPr>
          <w:p w14:paraId="24A07692">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 3.4.1 项规定</w:t>
            </w:r>
          </w:p>
        </w:tc>
      </w:tr>
      <w:tr w14:paraId="04E36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0A2E982D">
            <w:pPr>
              <w:spacing w:line="240" w:lineRule="auto"/>
              <w:jc w:val="center"/>
              <w:rPr>
                <w:rFonts w:hint="eastAsia" w:ascii="宋体" w:hAnsi="宋体" w:cs="宋体"/>
                <w:color w:val="auto"/>
                <w:szCs w:val="21"/>
                <w:highlight w:val="none"/>
              </w:rPr>
            </w:pPr>
          </w:p>
        </w:tc>
        <w:tc>
          <w:tcPr>
            <w:tcW w:w="1151" w:type="dxa"/>
            <w:vMerge w:val="continue"/>
            <w:vAlign w:val="center"/>
          </w:tcPr>
          <w:p w14:paraId="500E54A6">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6700FFE9">
            <w:pPr>
              <w:spacing w:line="240" w:lineRule="auto"/>
              <w:jc w:val="center"/>
              <w:rPr>
                <w:rFonts w:hint="eastAsia" w:ascii="宋体" w:hAnsi="宋体" w:cs="宋体"/>
                <w:color w:val="auto"/>
                <w:szCs w:val="21"/>
                <w:highlight w:val="none"/>
              </w:rPr>
            </w:pPr>
            <w:bookmarkStart w:id="417" w:name="OLE_LINK107"/>
            <w:bookmarkStart w:id="418" w:name="OLE_LINK108"/>
            <w:r>
              <w:rPr>
                <w:rFonts w:hint="eastAsia" w:ascii="宋体" w:hAnsi="宋体" w:cs="宋体"/>
                <w:color w:val="auto"/>
                <w:szCs w:val="21"/>
                <w:highlight w:val="none"/>
              </w:rPr>
              <w:t>投标有效期</w:t>
            </w:r>
            <w:bookmarkEnd w:id="417"/>
            <w:bookmarkEnd w:id="418"/>
          </w:p>
        </w:tc>
        <w:tc>
          <w:tcPr>
            <w:tcW w:w="4922" w:type="dxa"/>
            <w:vAlign w:val="center"/>
          </w:tcPr>
          <w:p w14:paraId="405E4BEB">
            <w:pPr>
              <w:spacing w:line="240" w:lineRule="auto"/>
              <w:jc w:val="left"/>
              <w:rPr>
                <w:rFonts w:hint="eastAsia" w:ascii="宋体" w:hAnsi="宋体" w:cs="宋体"/>
                <w:color w:val="auto"/>
                <w:szCs w:val="21"/>
                <w:highlight w:val="none"/>
              </w:rPr>
            </w:pPr>
            <w:bookmarkStart w:id="419" w:name="OLE_LINK109"/>
            <w:r>
              <w:rPr>
                <w:rFonts w:hint="eastAsia" w:ascii="宋体" w:hAnsi="宋体" w:cs="宋体"/>
                <w:color w:val="auto"/>
                <w:szCs w:val="21"/>
                <w:highlight w:val="none"/>
              </w:rPr>
              <w:t>符合第二章“投标人须知”第3.3.1项规定（以投标书为依据进行评审）</w:t>
            </w:r>
            <w:bookmarkEnd w:id="419"/>
          </w:p>
        </w:tc>
      </w:tr>
      <w:tr w14:paraId="5ED8A1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011481CE">
            <w:pPr>
              <w:spacing w:line="240" w:lineRule="auto"/>
              <w:jc w:val="center"/>
              <w:rPr>
                <w:rFonts w:hint="eastAsia" w:ascii="宋体" w:hAnsi="宋体" w:cs="宋体"/>
                <w:color w:val="auto"/>
                <w:szCs w:val="21"/>
                <w:highlight w:val="none"/>
              </w:rPr>
            </w:pPr>
          </w:p>
        </w:tc>
        <w:tc>
          <w:tcPr>
            <w:tcW w:w="1151" w:type="dxa"/>
            <w:vMerge w:val="continue"/>
            <w:vAlign w:val="center"/>
          </w:tcPr>
          <w:p w14:paraId="72A72328">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7ADA3B3A">
            <w:pPr>
              <w:spacing w:line="240" w:lineRule="auto"/>
              <w:jc w:val="center"/>
              <w:rPr>
                <w:rFonts w:hint="eastAsia" w:ascii="宋体" w:hAnsi="宋体" w:cs="宋体"/>
                <w:color w:val="auto"/>
                <w:szCs w:val="21"/>
                <w:highlight w:val="none"/>
              </w:rPr>
            </w:pPr>
            <w:bookmarkStart w:id="420" w:name="OLE_LINK110"/>
            <w:bookmarkStart w:id="421" w:name="OLE_LINK111"/>
            <w:r>
              <w:rPr>
                <w:rFonts w:hint="eastAsia" w:ascii="宋体" w:hAnsi="宋体" w:cs="宋体"/>
                <w:color w:val="auto"/>
                <w:szCs w:val="21"/>
                <w:highlight w:val="none"/>
              </w:rPr>
              <w:t>合法合规性</w:t>
            </w:r>
            <w:bookmarkEnd w:id="420"/>
            <w:bookmarkEnd w:id="421"/>
          </w:p>
        </w:tc>
        <w:tc>
          <w:tcPr>
            <w:tcW w:w="4922" w:type="dxa"/>
            <w:vAlign w:val="center"/>
          </w:tcPr>
          <w:p w14:paraId="6967A00D">
            <w:pPr>
              <w:spacing w:line="240" w:lineRule="auto"/>
              <w:jc w:val="left"/>
              <w:rPr>
                <w:rFonts w:hint="eastAsia" w:ascii="宋体" w:hAnsi="宋体" w:cs="宋体"/>
                <w:color w:val="auto"/>
                <w:szCs w:val="21"/>
                <w:highlight w:val="none"/>
              </w:rPr>
            </w:pPr>
            <w:bookmarkStart w:id="422" w:name="OLE_LINK113"/>
            <w:bookmarkStart w:id="423" w:name="OLE_LINK112"/>
            <w:r>
              <w:rPr>
                <w:rFonts w:hint="eastAsia" w:ascii="宋体" w:hAnsi="宋体" w:cs="宋体"/>
                <w:color w:val="auto"/>
                <w:szCs w:val="21"/>
                <w:highlight w:val="none"/>
              </w:rPr>
              <w:t>投标人之间不存在《广东省实施&lt;中华人民共和国招标投标法&gt;办法》第十六条所禁止的情形的</w:t>
            </w:r>
            <w:bookmarkEnd w:id="422"/>
            <w:bookmarkEnd w:id="423"/>
          </w:p>
        </w:tc>
      </w:tr>
      <w:tr w14:paraId="04CC86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14:paraId="04A71790">
            <w:pPr>
              <w:spacing w:line="240" w:lineRule="auto"/>
              <w:jc w:val="center"/>
              <w:rPr>
                <w:rFonts w:hint="eastAsia" w:ascii="宋体" w:hAnsi="宋体" w:cs="宋体"/>
                <w:color w:val="auto"/>
                <w:szCs w:val="21"/>
                <w:highlight w:val="none"/>
              </w:rPr>
            </w:pPr>
          </w:p>
        </w:tc>
        <w:tc>
          <w:tcPr>
            <w:tcW w:w="1151" w:type="dxa"/>
            <w:vMerge w:val="continue"/>
            <w:vAlign w:val="center"/>
          </w:tcPr>
          <w:p w14:paraId="256DB8CF">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14:paraId="012075AE">
            <w:pPr>
              <w:spacing w:line="240" w:lineRule="auto"/>
              <w:jc w:val="center"/>
              <w:rPr>
                <w:rFonts w:hint="eastAsia" w:ascii="宋体" w:hAnsi="宋体" w:cs="宋体"/>
                <w:color w:val="auto"/>
                <w:szCs w:val="21"/>
                <w:highlight w:val="none"/>
              </w:rPr>
            </w:pPr>
            <w:bookmarkStart w:id="424" w:name="OLE_LINK115"/>
            <w:bookmarkStart w:id="425" w:name="OLE_LINK114"/>
            <w:r>
              <w:rPr>
                <w:rFonts w:hint="eastAsia" w:ascii="宋体" w:hAnsi="宋体" w:cs="宋体"/>
                <w:color w:val="auto"/>
                <w:szCs w:val="21"/>
                <w:highlight w:val="none"/>
              </w:rPr>
              <w:t>备选投标方案</w:t>
            </w:r>
            <w:bookmarkEnd w:id="424"/>
            <w:bookmarkEnd w:id="425"/>
          </w:p>
        </w:tc>
        <w:tc>
          <w:tcPr>
            <w:tcW w:w="4922" w:type="dxa"/>
            <w:vAlign w:val="center"/>
          </w:tcPr>
          <w:p w14:paraId="306634CC">
            <w:pPr>
              <w:spacing w:line="240" w:lineRule="auto"/>
              <w:rPr>
                <w:rFonts w:hint="eastAsia" w:ascii="宋体" w:hAnsi="宋体" w:cs="宋体"/>
                <w:b/>
                <w:color w:val="auto"/>
                <w:szCs w:val="21"/>
                <w:highlight w:val="none"/>
              </w:rPr>
            </w:pPr>
            <w:bookmarkStart w:id="426" w:name="OLE_LINK116"/>
            <w:bookmarkStart w:id="427" w:name="OLE_LINK117"/>
            <w:r>
              <w:rPr>
                <w:rFonts w:hint="eastAsia" w:ascii="宋体" w:hAnsi="宋体" w:cs="宋体"/>
                <w:color w:val="auto"/>
                <w:szCs w:val="21"/>
                <w:highlight w:val="none"/>
              </w:rPr>
              <w:t>投标文件不存在两个（或以上）投标方案</w:t>
            </w:r>
            <w:bookmarkEnd w:id="426"/>
            <w:bookmarkEnd w:id="427"/>
          </w:p>
        </w:tc>
      </w:tr>
      <w:tr w14:paraId="7AE74F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0167FEB2">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条款号</w:t>
            </w:r>
          </w:p>
        </w:tc>
        <w:tc>
          <w:tcPr>
            <w:tcW w:w="2968" w:type="dxa"/>
            <w:vAlign w:val="center"/>
          </w:tcPr>
          <w:p w14:paraId="7B339CD8">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条款内容</w:t>
            </w:r>
          </w:p>
        </w:tc>
        <w:tc>
          <w:tcPr>
            <w:tcW w:w="4922" w:type="dxa"/>
            <w:vAlign w:val="center"/>
          </w:tcPr>
          <w:p w14:paraId="73F2265A">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编列内容</w:t>
            </w:r>
          </w:p>
        </w:tc>
      </w:tr>
      <w:tr w14:paraId="58D026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257E6029">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968" w:type="dxa"/>
            <w:vAlign w:val="center"/>
          </w:tcPr>
          <w:p w14:paraId="50A3256A">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分值构成及</w:t>
            </w:r>
          </w:p>
          <w:p w14:paraId="40C930F9">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权重</w:t>
            </w:r>
          </w:p>
        </w:tc>
        <w:tc>
          <w:tcPr>
            <w:tcW w:w="4922" w:type="dxa"/>
            <w:vAlign w:val="center"/>
          </w:tcPr>
          <w:p w14:paraId="1E5AD3E0">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u w:val="single"/>
              </w:rPr>
              <w:t>投标人总得分（满分100分）=</w:t>
            </w:r>
            <w:r>
              <w:rPr>
                <w:rFonts w:hint="eastAsia" w:ascii="宋体" w:hAnsi="宋体" w:cs="宋体"/>
                <w:b/>
                <w:color w:val="auto"/>
                <w:szCs w:val="21"/>
                <w:highlight w:val="none"/>
                <w:u w:val="single"/>
                <w:lang w:eastAsia="zh-CN"/>
              </w:rPr>
              <w:t>技术标</w:t>
            </w:r>
            <w:r>
              <w:rPr>
                <w:rFonts w:hint="eastAsia" w:ascii="宋体" w:hAnsi="宋体" w:cs="宋体"/>
                <w:b/>
                <w:color w:val="auto"/>
                <w:szCs w:val="21"/>
                <w:highlight w:val="none"/>
                <w:u w:val="single"/>
              </w:rPr>
              <w:t>得分（</w:t>
            </w:r>
            <w:r>
              <w:rPr>
                <w:rFonts w:hint="eastAsia" w:ascii="宋体" w:hAnsi="宋体" w:cs="宋体"/>
                <w:b/>
                <w:color w:val="auto"/>
                <w:szCs w:val="21"/>
                <w:highlight w:val="none"/>
                <w:u w:val="single"/>
                <w:lang w:val="en-US" w:eastAsia="zh-CN"/>
              </w:rPr>
              <w:t>100</w:t>
            </w:r>
            <w:r>
              <w:rPr>
                <w:rFonts w:hint="eastAsia" w:ascii="宋体" w:hAnsi="宋体" w:cs="宋体"/>
                <w:b/>
                <w:color w:val="auto"/>
                <w:szCs w:val="21"/>
                <w:highlight w:val="none"/>
                <w:u w:val="single"/>
              </w:rPr>
              <w:t>分）×权重（</w:t>
            </w:r>
            <w:r>
              <w:rPr>
                <w:rFonts w:hint="eastAsia" w:ascii="宋体" w:hAnsi="宋体" w:cs="宋体"/>
                <w:b/>
                <w:color w:val="auto"/>
                <w:szCs w:val="21"/>
                <w:highlight w:val="none"/>
                <w:u w:val="single"/>
                <w:lang w:val="en-US" w:eastAsia="zh-CN"/>
              </w:rPr>
              <w:t>50</w:t>
            </w:r>
            <w:r>
              <w:rPr>
                <w:rFonts w:hint="eastAsia" w:ascii="宋体" w:hAnsi="宋体" w:cs="宋体"/>
                <w:b/>
                <w:color w:val="auto"/>
                <w:szCs w:val="21"/>
                <w:highlight w:val="none"/>
                <w:u w:val="single"/>
              </w:rPr>
              <w:t>%）+投标报价得分（100分）×权重（</w:t>
            </w:r>
            <w:r>
              <w:rPr>
                <w:rFonts w:hint="eastAsia" w:ascii="宋体" w:hAnsi="宋体" w:cs="宋体"/>
                <w:b/>
                <w:color w:val="auto"/>
                <w:szCs w:val="21"/>
                <w:highlight w:val="none"/>
                <w:u w:val="single"/>
                <w:lang w:val="en-US" w:eastAsia="zh-CN"/>
              </w:rPr>
              <w:t>50</w:t>
            </w:r>
            <w:r>
              <w:rPr>
                <w:rFonts w:hint="eastAsia" w:ascii="宋体" w:hAnsi="宋体" w:cs="宋体"/>
                <w:b/>
                <w:color w:val="auto"/>
                <w:szCs w:val="21"/>
                <w:highlight w:val="none"/>
                <w:u w:val="single"/>
              </w:rPr>
              <w:t>%）</w:t>
            </w:r>
          </w:p>
        </w:tc>
      </w:tr>
      <w:tr w14:paraId="4A9103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060F9DB5">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968" w:type="dxa"/>
            <w:vAlign w:val="center"/>
          </w:tcPr>
          <w:p w14:paraId="40DBDF9B">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4922" w:type="dxa"/>
            <w:vAlign w:val="center"/>
          </w:tcPr>
          <w:p w14:paraId="55989134">
            <w:pPr>
              <w:spacing w:line="240" w:lineRule="auto"/>
              <w:rPr>
                <w:rFonts w:hint="eastAsia" w:ascii="宋体" w:hAnsi="宋体" w:cs="宋体"/>
                <w:b/>
                <w:color w:val="auto"/>
                <w:szCs w:val="21"/>
                <w:highlight w:val="none"/>
                <w:u w:val="single"/>
              </w:rPr>
            </w:pPr>
            <w:r>
              <w:rPr>
                <w:rFonts w:hint="eastAsia" w:ascii="宋体" w:hAnsi="宋体" w:eastAsia="宋体" w:cs="宋体"/>
                <w:color w:val="auto"/>
                <w:sz w:val="21"/>
                <w:szCs w:val="21"/>
                <w:highlight w:val="none"/>
              </w:rPr>
              <w:t>经评审的</w:t>
            </w:r>
            <w:r>
              <w:rPr>
                <w:rFonts w:hint="eastAsia" w:ascii="宋体" w:hAnsi="宋体" w:cs="宋体"/>
                <w:color w:val="auto"/>
                <w:sz w:val="21"/>
                <w:szCs w:val="21"/>
                <w:highlight w:val="none"/>
                <w:lang w:val="en-US" w:eastAsia="zh-CN"/>
              </w:rPr>
              <w:t>投标报价</w:t>
            </w:r>
            <w:r>
              <w:rPr>
                <w:rFonts w:hint="eastAsia" w:ascii="宋体" w:hAnsi="宋体" w:cs="宋体"/>
                <w:color w:val="auto"/>
                <w:szCs w:val="21"/>
                <w:highlight w:val="none"/>
              </w:rPr>
              <w:t>在[成本警示价，</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rPr>
              <w:t>×95%]区间的投标报价数量为G，上述G个投标人的</w:t>
            </w:r>
            <w:r>
              <w:rPr>
                <w:rFonts w:hint="eastAsia" w:ascii="宋体" w:hAnsi="宋体" w:cs="宋体"/>
                <w:color w:val="auto"/>
                <w:szCs w:val="21"/>
                <w:highlight w:val="none"/>
                <w:lang w:eastAsia="zh-CN"/>
              </w:rPr>
              <w:t>技术标</w:t>
            </w:r>
            <w:r>
              <w:rPr>
                <w:rFonts w:hint="eastAsia" w:ascii="宋体" w:hAnsi="宋体" w:cs="宋体"/>
                <w:color w:val="auto"/>
                <w:szCs w:val="21"/>
                <w:highlight w:val="none"/>
              </w:rPr>
              <w:t>得分由高至低排序，将</w:t>
            </w:r>
            <w:r>
              <w:rPr>
                <w:rFonts w:hint="eastAsia" w:ascii="宋体" w:hAnsi="宋体" w:cs="宋体"/>
                <w:color w:val="auto"/>
                <w:szCs w:val="21"/>
                <w:highlight w:val="none"/>
                <w:lang w:eastAsia="zh-CN"/>
              </w:rPr>
              <w:t>技术标</w:t>
            </w:r>
            <w:r>
              <w:rPr>
                <w:rFonts w:hint="eastAsia" w:ascii="宋体" w:hAnsi="宋体" w:cs="宋体"/>
                <w:color w:val="auto"/>
                <w:szCs w:val="21"/>
                <w:highlight w:val="none"/>
              </w:rPr>
              <w:t>得分前H名的投标报价的算术平均值作为</w:t>
            </w:r>
            <w:r>
              <w:rPr>
                <w:rFonts w:hint="eastAsia" w:ascii="宋体" w:hAnsi="宋体" w:cs="宋体"/>
                <w:color w:val="auto"/>
                <w:szCs w:val="21"/>
                <w:highlight w:val="none"/>
                <w:lang w:eastAsia="zh-CN"/>
              </w:rPr>
              <w:t>评标基准价</w:t>
            </w:r>
            <w:r>
              <w:rPr>
                <w:rFonts w:hint="eastAsia" w:ascii="宋体" w:hAnsi="宋体" w:cs="宋体"/>
                <w:color w:val="auto"/>
                <w:szCs w:val="21"/>
                <w:highlight w:val="none"/>
              </w:rPr>
              <w:t>（如G≥10，则H=10；如1≤G&lt;10，则H=G）；若G=0的，则采用成本警示价与“</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rPr>
              <w:t>×95%”的算术平均值为</w:t>
            </w:r>
            <w:r>
              <w:rPr>
                <w:rFonts w:hint="eastAsia" w:ascii="宋体" w:hAnsi="宋体" w:cs="宋体"/>
                <w:color w:val="auto"/>
                <w:szCs w:val="21"/>
                <w:highlight w:val="none"/>
                <w:lang w:eastAsia="zh-CN"/>
              </w:rPr>
              <w:t>评标基准价</w:t>
            </w:r>
            <w:r>
              <w:rPr>
                <w:rFonts w:hint="eastAsia" w:ascii="宋体" w:hAnsi="宋体" w:cs="宋体"/>
                <w:color w:val="auto"/>
                <w:szCs w:val="21"/>
                <w:highlight w:val="none"/>
              </w:rPr>
              <w:t>。</w:t>
            </w:r>
          </w:p>
        </w:tc>
      </w:tr>
      <w:tr w14:paraId="28AC1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7969EB24">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968" w:type="dxa"/>
            <w:vAlign w:val="center"/>
          </w:tcPr>
          <w:p w14:paraId="3D59944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投标报价的偏差率</w:t>
            </w:r>
          </w:p>
          <w:p w14:paraId="6DAE75F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计算公式</w:t>
            </w:r>
          </w:p>
        </w:tc>
        <w:tc>
          <w:tcPr>
            <w:tcW w:w="4922" w:type="dxa"/>
            <w:vAlign w:val="center"/>
          </w:tcPr>
          <w:p w14:paraId="5C4622C3">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偏差率=100% ×（</w:t>
            </w:r>
            <w:r>
              <w:rPr>
                <w:rFonts w:hint="eastAsia" w:ascii="宋体" w:hAnsi="宋体" w:eastAsia="宋体" w:cs="宋体"/>
                <w:kern w:val="1"/>
                <w:szCs w:val="21"/>
                <w:highlight w:val="none"/>
              </w:rPr>
              <w:t>投标报价</w:t>
            </w:r>
            <w:r>
              <w:rPr>
                <w:rFonts w:hint="eastAsia" w:ascii="宋体" w:hAnsi="宋体" w:cs="宋体"/>
                <w:color w:val="auto"/>
                <w:szCs w:val="21"/>
                <w:highlight w:val="none"/>
              </w:rPr>
              <w:t>－评标基准价）/评标基准价</w:t>
            </w:r>
          </w:p>
        </w:tc>
      </w:tr>
      <w:tr w14:paraId="3D894C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37233B34">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2968" w:type="dxa"/>
            <w:vAlign w:val="center"/>
          </w:tcPr>
          <w:p w14:paraId="53B433D4">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技术标</w:t>
            </w:r>
            <w:r>
              <w:rPr>
                <w:rFonts w:hint="eastAsia" w:ascii="宋体" w:hAnsi="宋体" w:cs="宋体"/>
                <w:color w:val="auto"/>
                <w:szCs w:val="21"/>
                <w:highlight w:val="none"/>
              </w:rPr>
              <w:t>评分标准</w:t>
            </w:r>
          </w:p>
        </w:tc>
        <w:tc>
          <w:tcPr>
            <w:tcW w:w="4922" w:type="dxa"/>
            <w:vAlign w:val="center"/>
          </w:tcPr>
          <w:p w14:paraId="04A8673C">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见附表1《</w:t>
            </w:r>
            <w:r>
              <w:rPr>
                <w:rFonts w:hint="eastAsia" w:ascii="宋体" w:hAnsi="宋体" w:cs="宋体"/>
                <w:color w:val="auto"/>
                <w:szCs w:val="21"/>
                <w:highlight w:val="none"/>
                <w:lang w:eastAsia="zh-CN"/>
              </w:rPr>
              <w:t>技术标</w:t>
            </w:r>
            <w:r>
              <w:rPr>
                <w:rFonts w:hint="eastAsia" w:ascii="宋体" w:hAnsi="宋体" w:eastAsia="宋体" w:cs="宋体"/>
                <w:color w:val="auto"/>
                <w:szCs w:val="21"/>
                <w:highlight w:val="none"/>
                <w:lang w:eastAsia="zh-CN"/>
              </w:rPr>
              <w:t>评分表</w:t>
            </w:r>
            <w:r>
              <w:rPr>
                <w:rFonts w:hint="eastAsia" w:ascii="宋体" w:hAnsi="宋体" w:cs="宋体"/>
                <w:color w:val="auto"/>
                <w:szCs w:val="21"/>
                <w:highlight w:val="none"/>
              </w:rPr>
              <w:t>》</w:t>
            </w:r>
          </w:p>
        </w:tc>
      </w:tr>
      <w:tr w14:paraId="6F434B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14:paraId="2A202DB3">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2968" w:type="dxa"/>
            <w:vAlign w:val="center"/>
          </w:tcPr>
          <w:p w14:paraId="69F67C51">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4922" w:type="dxa"/>
            <w:vAlign w:val="center"/>
          </w:tcPr>
          <w:p w14:paraId="52910C4A">
            <w:pPr>
              <w:rPr>
                <w:rFonts w:ascii="宋体" w:hAnsi="宋体" w:eastAsia="宋体" w:cs="宋体"/>
                <w:color w:val="auto"/>
                <w:szCs w:val="21"/>
                <w:highlight w:val="none"/>
              </w:rPr>
            </w:pPr>
            <w:r>
              <w:rPr>
                <w:rFonts w:hint="eastAsia" w:ascii="宋体" w:hAnsi="宋体" w:eastAsia="宋体" w:cs="宋体"/>
                <w:color w:val="auto"/>
                <w:szCs w:val="21"/>
                <w:highlight w:val="none"/>
              </w:rPr>
              <w:t>当通过初步评审并经算术校核的投标报价等于评标基准价时得100分，投标报价每高于评标基准价1%，扣1.5分，每低于评标基准价1%，扣1分，最多扣100分，得出的投标报价得分×权重（</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%）作为投标报价得分，精确到小数点后两位。</w:t>
            </w:r>
          </w:p>
          <w:p w14:paraId="101BA187">
            <w:pPr>
              <w:spacing w:line="240" w:lineRule="auto"/>
              <w:rPr>
                <w:rFonts w:hint="eastAsia" w:ascii="宋体" w:hAnsi="宋体" w:cs="宋体"/>
                <w:color w:val="auto"/>
                <w:szCs w:val="21"/>
                <w:highlight w:val="none"/>
              </w:rPr>
            </w:pPr>
            <w:r>
              <w:rPr>
                <w:rFonts w:hint="eastAsia" w:ascii="宋体" w:hAnsi="宋体" w:eastAsia="宋体" w:cs="宋体"/>
                <w:color w:val="auto"/>
                <w:szCs w:val="21"/>
                <w:highlight w:val="none"/>
              </w:rPr>
              <w:t>对于报价低于成本警示价的投标人，不参加投标报价详细评审，但需参加</w:t>
            </w:r>
            <w:r>
              <w:rPr>
                <w:rFonts w:hint="eastAsia" w:ascii="宋体" w:hAnsi="宋体" w:cs="宋体"/>
                <w:color w:val="auto"/>
                <w:szCs w:val="21"/>
                <w:highlight w:val="none"/>
                <w:lang w:eastAsia="zh-CN"/>
              </w:rPr>
              <w:t>技术标</w:t>
            </w:r>
            <w:r>
              <w:rPr>
                <w:rFonts w:hint="eastAsia" w:ascii="宋体" w:hAnsi="宋体" w:eastAsia="宋体" w:cs="宋体"/>
                <w:color w:val="auto"/>
                <w:szCs w:val="21"/>
                <w:highlight w:val="none"/>
              </w:rPr>
              <w:t>的详细评审。评标委员会根据</w:t>
            </w:r>
            <w:r>
              <w:rPr>
                <w:rFonts w:hint="eastAsia" w:ascii="宋体" w:hAnsi="宋体" w:cs="宋体"/>
                <w:color w:val="auto"/>
                <w:szCs w:val="21"/>
                <w:highlight w:val="none"/>
                <w:lang w:eastAsia="zh-CN"/>
              </w:rPr>
              <w:t>技术标</w:t>
            </w:r>
            <w:r>
              <w:rPr>
                <w:rFonts w:hint="eastAsia" w:ascii="宋体" w:hAnsi="宋体" w:eastAsia="宋体" w:cs="宋体"/>
                <w:color w:val="auto"/>
                <w:szCs w:val="21"/>
                <w:highlight w:val="none"/>
              </w:rPr>
              <w:t>详细评审的排序，推荐的中标候选人数量为1。</w:t>
            </w:r>
          </w:p>
        </w:tc>
      </w:tr>
      <w:tr w14:paraId="211921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63" w:type="dxa"/>
            <w:gridSpan w:val="4"/>
            <w:vAlign w:val="center"/>
          </w:tcPr>
          <w:p w14:paraId="2E2A6AE6">
            <w:pPr>
              <w:spacing w:line="240" w:lineRule="auto"/>
              <w:ind w:firstLine="422"/>
              <w:rPr>
                <w:rFonts w:hint="eastAsia" w:ascii="宋体" w:hAnsi="宋体" w:cs="宋体"/>
                <w:color w:val="auto"/>
                <w:szCs w:val="21"/>
                <w:highlight w:val="none"/>
              </w:rPr>
            </w:pPr>
            <w:r>
              <w:rPr>
                <w:rFonts w:hint="eastAsia" w:ascii="宋体" w:hAnsi="宋体" w:cs="宋体"/>
                <w:b/>
                <w:color w:val="auto"/>
                <w:szCs w:val="21"/>
                <w:highlight w:val="none"/>
              </w:rPr>
              <w:t>需要补充的其他内容</w:t>
            </w:r>
          </w:p>
        </w:tc>
      </w:tr>
      <w:tr w14:paraId="6ADF1E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63" w:type="dxa"/>
            <w:gridSpan w:val="4"/>
          </w:tcPr>
          <w:p w14:paraId="3EF01927">
            <w:pPr>
              <w:ind w:firstLine="420" w:firstLineChars="200"/>
              <w:rPr>
                <w:rFonts w:hint="eastAsia" w:ascii="宋体" w:hAnsi="宋体" w:eastAsia="宋体" w:cs="宋体"/>
                <w:dstrike/>
                <w:color w:val="auto"/>
                <w:szCs w:val="21"/>
                <w:highlight w:val="none"/>
                <w:lang w:val="en-US" w:eastAsia="zh-CN"/>
              </w:rPr>
            </w:pPr>
            <w:r>
              <w:rPr>
                <w:rFonts w:hint="eastAsia" w:ascii="宋体" w:hAnsi="宋体" w:cs="宋体"/>
                <w:strike w:val="0"/>
                <w:dstrike w:val="0"/>
                <w:color w:val="auto"/>
                <w:szCs w:val="21"/>
                <w:highlight w:val="none"/>
                <w:lang w:val="en-US" w:eastAsia="zh-CN"/>
              </w:rPr>
              <w:t>无</w:t>
            </w:r>
          </w:p>
        </w:tc>
      </w:tr>
    </w:tbl>
    <w:p w14:paraId="0FDFC7B3">
      <w:pPr>
        <w:pStyle w:val="44"/>
        <w:ind w:left="0" w:leftChars="0" w:firstLine="0" w:firstLineChars="0"/>
        <w:rPr>
          <w:rFonts w:ascii="宋体" w:hAnsi="宋体"/>
          <w:highlight w:val="none"/>
        </w:rPr>
      </w:pPr>
    </w:p>
    <w:p w14:paraId="64BEF21B">
      <w:pPr>
        <w:pStyle w:val="4"/>
        <w:spacing w:before="0" w:after="0"/>
        <w:rPr>
          <w:rFonts w:ascii="宋体" w:hAnsi="宋体" w:eastAsia="宋体"/>
          <w:highlight w:val="none"/>
        </w:rPr>
        <w:sectPr>
          <w:footerReference r:id="rId14" w:type="default"/>
          <w:pgSz w:w="11906" w:h="16838"/>
          <w:pgMar w:top="1134" w:right="1417" w:bottom="1134" w:left="1417" w:header="851" w:footer="850" w:gutter="0"/>
          <w:pgNumType w:fmt="decimal"/>
          <w:cols w:space="720" w:num="1"/>
          <w:docGrid w:linePitch="312" w:charSpace="0"/>
        </w:sectPr>
      </w:pPr>
    </w:p>
    <w:bookmarkEnd w:id="332"/>
    <w:bookmarkEnd w:id="333"/>
    <w:bookmarkEnd w:id="334"/>
    <w:bookmarkEnd w:id="335"/>
    <w:bookmarkEnd w:id="336"/>
    <w:bookmarkEnd w:id="337"/>
    <w:bookmarkEnd w:id="338"/>
    <w:bookmarkEnd w:id="339"/>
    <w:bookmarkEnd w:id="340"/>
    <w:bookmarkEnd w:id="341"/>
    <w:bookmarkEnd w:id="342"/>
    <w:bookmarkEnd w:id="343"/>
    <w:p w14:paraId="2E334A88">
      <w:pPr>
        <w:pStyle w:val="4"/>
        <w:spacing w:before="0" w:after="0" w:line="360" w:lineRule="auto"/>
        <w:rPr>
          <w:rFonts w:ascii="宋体" w:hAnsi="宋体" w:eastAsia="宋体"/>
          <w:highlight w:val="none"/>
        </w:rPr>
      </w:pPr>
      <w:bookmarkStart w:id="428" w:name="_Toc165358828"/>
      <w:bookmarkStart w:id="429" w:name="_Toc165358693"/>
      <w:r>
        <w:rPr>
          <w:rFonts w:hint="eastAsia" w:ascii="宋体" w:hAnsi="宋体" w:eastAsia="宋体"/>
          <w:highlight w:val="none"/>
        </w:rPr>
        <w:t>1. 评标方法</w:t>
      </w:r>
      <w:bookmarkEnd w:id="428"/>
      <w:bookmarkEnd w:id="429"/>
    </w:p>
    <w:p w14:paraId="5CBFEF82">
      <w:pPr>
        <w:spacing w:line="360" w:lineRule="auto"/>
        <w:ind w:firstLine="420" w:firstLineChars="200"/>
        <w:rPr>
          <w:rFonts w:ascii="宋体" w:hAnsi="宋体"/>
          <w:highlight w:val="none"/>
        </w:rPr>
      </w:pPr>
      <w:r>
        <w:rPr>
          <w:rFonts w:hint="eastAsia" w:ascii="宋体" w:hAnsi="宋体"/>
          <w:highlight w:val="none"/>
        </w:rPr>
        <w:t>本次评标采用</w:t>
      </w:r>
      <w:r>
        <w:rPr>
          <w:rFonts w:hint="eastAsia" w:ascii="宋体" w:hAnsi="宋体"/>
          <w:highlight w:val="none"/>
          <w:u w:val="single"/>
          <w:lang w:val="en-US" w:eastAsia="zh-CN"/>
        </w:rPr>
        <w:t>综合评估</w:t>
      </w:r>
      <w:r>
        <w:rPr>
          <w:rFonts w:hint="eastAsia" w:ascii="宋体" w:hAnsi="宋体"/>
          <w:highlight w:val="none"/>
          <w:u w:val="single"/>
        </w:rPr>
        <w:t>法</w:t>
      </w:r>
      <w:r>
        <w:rPr>
          <w:rFonts w:hint="eastAsia" w:ascii="宋体" w:hAnsi="宋体"/>
          <w:highlight w:val="none"/>
        </w:rPr>
        <w:t>。评标委员会对满足招标文件实质性要</w:t>
      </w:r>
      <w:bookmarkStart w:id="430" w:name="_Toc443505836"/>
      <w:r>
        <w:rPr>
          <w:rFonts w:hint="eastAsia" w:ascii="宋体" w:hAnsi="宋体"/>
          <w:highlight w:val="none"/>
        </w:rPr>
        <w:t>求的投标文件，</w:t>
      </w:r>
      <w:bookmarkEnd w:id="430"/>
      <w:r>
        <w:rPr>
          <w:rFonts w:hint="eastAsia" w:ascii="宋体" w:hAnsi="宋体"/>
          <w:highlight w:val="none"/>
        </w:rPr>
        <w:t>按照本章第2.2款规定的评分标准进行打分，并按得分由高到低顺序推荐</w:t>
      </w:r>
      <w:r>
        <w:rPr>
          <w:rFonts w:hint="eastAsia" w:ascii="宋体" w:hAnsi="宋体" w:cs="宋体"/>
          <w:highlight w:val="none"/>
          <w:u w:val="single"/>
        </w:rPr>
        <w:t>合格</w:t>
      </w:r>
      <w:r>
        <w:rPr>
          <w:rFonts w:hint="eastAsia" w:ascii="宋体" w:hAnsi="宋体" w:cs="宋体"/>
          <w:highlight w:val="none"/>
          <w:u w:val="single"/>
          <w:lang w:val="en-US" w:eastAsia="zh-CN"/>
        </w:rPr>
        <w:t>的</w:t>
      </w:r>
      <w:r>
        <w:rPr>
          <w:rFonts w:hint="eastAsia" w:ascii="宋体" w:hAnsi="宋体"/>
          <w:highlight w:val="none"/>
          <w:u w:val="single"/>
        </w:rPr>
        <w:t>中标候选人进入定标阶段</w:t>
      </w:r>
      <w:r>
        <w:rPr>
          <w:rFonts w:hint="eastAsia" w:ascii="宋体" w:hAnsi="宋体"/>
          <w:highlight w:val="none"/>
        </w:rPr>
        <w:t>，但投标报价低于其成本的除外。</w:t>
      </w:r>
    </w:p>
    <w:p w14:paraId="32624814">
      <w:pPr>
        <w:spacing w:line="360" w:lineRule="auto"/>
        <w:ind w:firstLine="420" w:firstLineChars="200"/>
        <w:rPr>
          <w:rFonts w:ascii="宋体" w:hAnsi="宋体"/>
          <w:highlight w:val="none"/>
        </w:rPr>
      </w:pPr>
    </w:p>
    <w:p w14:paraId="416294C2">
      <w:pPr>
        <w:pStyle w:val="4"/>
        <w:spacing w:before="0" w:after="0" w:line="360" w:lineRule="auto"/>
        <w:rPr>
          <w:rFonts w:ascii="宋体" w:hAnsi="宋体" w:eastAsia="宋体"/>
          <w:highlight w:val="none"/>
        </w:rPr>
      </w:pPr>
      <w:bookmarkStart w:id="431" w:name="_Toc165358829"/>
      <w:bookmarkStart w:id="432" w:name="_Toc30106"/>
      <w:bookmarkStart w:id="433" w:name="_Toc165358694"/>
      <w:r>
        <w:rPr>
          <w:rFonts w:hint="eastAsia" w:ascii="宋体" w:hAnsi="宋体" w:eastAsia="宋体"/>
          <w:highlight w:val="none"/>
        </w:rPr>
        <w:t>2. 评审标准</w:t>
      </w:r>
      <w:bookmarkEnd w:id="431"/>
      <w:bookmarkEnd w:id="432"/>
      <w:bookmarkEnd w:id="433"/>
    </w:p>
    <w:p w14:paraId="16CB32A5">
      <w:pPr>
        <w:pStyle w:val="5"/>
        <w:spacing w:before="0" w:after="0" w:line="360" w:lineRule="auto"/>
        <w:rPr>
          <w:rFonts w:ascii="宋体" w:eastAsia="宋体"/>
          <w:highlight w:val="none"/>
        </w:rPr>
      </w:pPr>
      <w:bookmarkStart w:id="434" w:name="_Toc165358695"/>
      <w:bookmarkStart w:id="435" w:name="_Toc165358830"/>
      <w:bookmarkStart w:id="436" w:name="_Toc20189"/>
      <w:r>
        <w:rPr>
          <w:rFonts w:hint="eastAsia" w:ascii="宋体" w:eastAsia="宋体"/>
          <w:highlight w:val="none"/>
          <w:lang w:val="zh-CN"/>
        </w:rPr>
        <w:t>2.1 初步评审标准</w:t>
      </w:r>
      <w:bookmarkEnd w:id="434"/>
      <w:bookmarkEnd w:id="435"/>
      <w:bookmarkEnd w:id="436"/>
    </w:p>
    <w:p w14:paraId="21A5C7D6">
      <w:pPr>
        <w:spacing w:line="360" w:lineRule="auto"/>
        <w:ind w:firstLine="420" w:firstLineChars="200"/>
        <w:rPr>
          <w:rFonts w:ascii="宋体" w:hAnsi="宋体"/>
          <w:highlight w:val="none"/>
          <w:u w:val="single"/>
        </w:rPr>
      </w:pPr>
      <w:r>
        <w:rPr>
          <w:rFonts w:hint="eastAsia" w:ascii="宋体" w:hAnsi="宋体"/>
          <w:highlight w:val="none"/>
          <w:u w:val="single"/>
        </w:rPr>
        <w:t>2.1.1 形式评审标准：见评标办法前附表。</w:t>
      </w:r>
    </w:p>
    <w:p w14:paraId="7F71EFC8">
      <w:pPr>
        <w:spacing w:line="360" w:lineRule="auto"/>
        <w:ind w:firstLine="420" w:firstLineChars="200"/>
        <w:rPr>
          <w:rFonts w:ascii="宋体" w:hAnsi="宋体"/>
          <w:highlight w:val="none"/>
          <w:u w:val="single"/>
        </w:rPr>
      </w:pPr>
      <w:r>
        <w:rPr>
          <w:rFonts w:hint="eastAsia" w:ascii="宋体" w:hAnsi="宋体"/>
          <w:highlight w:val="none"/>
          <w:u w:val="single"/>
        </w:rPr>
        <w:t>2</w:t>
      </w:r>
      <w:r>
        <w:rPr>
          <w:rFonts w:ascii="宋体" w:hAnsi="宋体"/>
          <w:highlight w:val="none"/>
          <w:u w:val="single"/>
        </w:rPr>
        <w:t xml:space="preserve">.1.2 </w:t>
      </w:r>
      <w:r>
        <w:rPr>
          <w:rFonts w:hint="eastAsia" w:ascii="宋体" w:hAnsi="宋体"/>
          <w:highlight w:val="none"/>
          <w:u w:val="single"/>
        </w:rPr>
        <w:t>资格评审标准：见评标办法前附表。</w:t>
      </w:r>
    </w:p>
    <w:p w14:paraId="41191EB2">
      <w:pPr>
        <w:spacing w:line="360" w:lineRule="auto"/>
        <w:ind w:firstLine="420" w:firstLineChars="200"/>
        <w:rPr>
          <w:rFonts w:ascii="宋体" w:hAnsi="宋体"/>
          <w:highlight w:val="none"/>
          <w:u w:val="single"/>
        </w:rPr>
      </w:pPr>
      <w:r>
        <w:rPr>
          <w:rFonts w:hint="eastAsia" w:ascii="宋体" w:hAnsi="宋体"/>
          <w:highlight w:val="none"/>
          <w:u w:val="single"/>
        </w:rPr>
        <w:t>2.1.</w:t>
      </w:r>
      <w:r>
        <w:rPr>
          <w:rFonts w:ascii="宋体" w:hAnsi="宋体"/>
          <w:highlight w:val="none"/>
          <w:u w:val="single"/>
        </w:rPr>
        <w:t xml:space="preserve">3 </w:t>
      </w:r>
      <w:r>
        <w:rPr>
          <w:rFonts w:hint="eastAsia" w:ascii="宋体" w:hAnsi="宋体"/>
          <w:highlight w:val="none"/>
          <w:u w:val="single"/>
        </w:rPr>
        <w:t>响应性评审标准：见评标办法前附表。</w:t>
      </w:r>
    </w:p>
    <w:p w14:paraId="2514A3BD">
      <w:pPr>
        <w:pStyle w:val="5"/>
        <w:spacing w:before="0" w:after="0" w:line="360" w:lineRule="auto"/>
        <w:rPr>
          <w:rFonts w:ascii="宋体" w:eastAsia="宋体"/>
          <w:highlight w:val="none"/>
        </w:rPr>
      </w:pPr>
      <w:bookmarkStart w:id="437" w:name="_Toc165358696"/>
      <w:bookmarkStart w:id="438" w:name="_Toc165358831"/>
      <w:r>
        <w:rPr>
          <w:rFonts w:hint="eastAsia" w:ascii="宋体" w:eastAsia="宋体"/>
          <w:highlight w:val="none"/>
          <w:lang w:val="zh-CN"/>
        </w:rPr>
        <w:t>2.2 分值构成与评分标准</w:t>
      </w:r>
      <w:bookmarkEnd w:id="437"/>
      <w:bookmarkEnd w:id="438"/>
    </w:p>
    <w:p w14:paraId="705A6213">
      <w:pPr>
        <w:spacing w:line="360" w:lineRule="auto"/>
        <w:ind w:firstLine="420" w:firstLineChars="200"/>
        <w:rPr>
          <w:rFonts w:ascii="宋体" w:hAnsi="宋体"/>
          <w:highlight w:val="none"/>
          <w:u w:val="single"/>
        </w:rPr>
      </w:pPr>
      <w:r>
        <w:rPr>
          <w:rFonts w:hint="eastAsia" w:ascii="宋体" w:hAnsi="宋体"/>
          <w:highlight w:val="none"/>
          <w:u w:val="single"/>
        </w:rPr>
        <w:t xml:space="preserve">2.2.1 </w:t>
      </w:r>
      <w:r>
        <w:rPr>
          <w:rFonts w:ascii="宋体" w:hAnsi="宋体"/>
          <w:szCs w:val="21"/>
          <w:highlight w:val="none"/>
          <w:u w:val="single"/>
        </w:rPr>
        <w:t>分值构成</w:t>
      </w:r>
      <w:r>
        <w:rPr>
          <w:rFonts w:hint="eastAsia" w:ascii="宋体" w:hAnsi="宋体"/>
          <w:szCs w:val="21"/>
          <w:highlight w:val="none"/>
          <w:u w:val="single"/>
        </w:rPr>
        <w:t>及权重</w:t>
      </w:r>
      <w:r>
        <w:rPr>
          <w:rFonts w:hint="eastAsia" w:ascii="宋体" w:hAnsi="宋体"/>
          <w:highlight w:val="none"/>
          <w:u w:val="single"/>
        </w:rPr>
        <w:t>：见评标办法前附表。</w:t>
      </w:r>
    </w:p>
    <w:p w14:paraId="22FF7CEE">
      <w:pPr>
        <w:spacing w:line="360" w:lineRule="auto"/>
        <w:ind w:firstLine="420" w:firstLineChars="200"/>
        <w:rPr>
          <w:rFonts w:ascii="宋体" w:hAnsi="宋体"/>
          <w:highlight w:val="none"/>
          <w:u w:val="single"/>
        </w:rPr>
      </w:pPr>
      <w:r>
        <w:rPr>
          <w:rFonts w:hint="eastAsia" w:ascii="宋体" w:hAnsi="宋体"/>
          <w:highlight w:val="none"/>
          <w:u w:val="single"/>
        </w:rPr>
        <w:t>2.2.2 评分标准</w:t>
      </w:r>
    </w:p>
    <w:p w14:paraId="2342A470">
      <w:pPr>
        <w:spacing w:line="360" w:lineRule="auto"/>
        <w:ind w:firstLine="420" w:firstLineChars="200"/>
        <w:rPr>
          <w:rFonts w:ascii="宋体" w:hAnsi="宋体"/>
          <w:highlight w:val="none"/>
          <w:u w:val="single"/>
        </w:rPr>
      </w:pPr>
      <w:r>
        <w:rPr>
          <w:rFonts w:hint="eastAsia" w:ascii="宋体" w:hAnsi="宋体"/>
          <w:highlight w:val="none"/>
          <w:u w:val="single"/>
          <w:lang w:eastAsia="zh-CN"/>
        </w:rPr>
        <w:t>技术标</w:t>
      </w:r>
      <w:r>
        <w:rPr>
          <w:rFonts w:hint="eastAsia" w:ascii="宋体" w:hAnsi="宋体"/>
          <w:highlight w:val="none"/>
          <w:u w:val="single"/>
        </w:rPr>
        <w:t>评分、投标报价评分标准：见评标办法前附表。</w:t>
      </w:r>
    </w:p>
    <w:p w14:paraId="222D2DC7">
      <w:pPr>
        <w:spacing w:line="360" w:lineRule="auto"/>
        <w:ind w:firstLine="420" w:firstLineChars="200"/>
        <w:rPr>
          <w:rFonts w:ascii="宋体" w:hAnsi="宋体"/>
          <w:highlight w:val="none"/>
          <w:u w:val="single"/>
        </w:rPr>
      </w:pPr>
    </w:p>
    <w:p w14:paraId="5C5CEA6C">
      <w:pPr>
        <w:pStyle w:val="4"/>
        <w:spacing w:before="0" w:after="0" w:line="360" w:lineRule="auto"/>
        <w:rPr>
          <w:rFonts w:ascii="宋体" w:hAnsi="宋体" w:eastAsia="宋体"/>
          <w:highlight w:val="none"/>
        </w:rPr>
      </w:pPr>
      <w:bookmarkStart w:id="439" w:name="_Toc8401"/>
      <w:bookmarkStart w:id="440" w:name="_Toc505152703"/>
      <w:bookmarkStart w:id="441" w:name="_Toc165358697"/>
      <w:bookmarkStart w:id="442" w:name="_Toc480225664"/>
      <w:bookmarkStart w:id="443" w:name="_Toc443505839"/>
      <w:bookmarkStart w:id="444" w:name="_Toc165358832"/>
      <w:r>
        <w:rPr>
          <w:rFonts w:hint="eastAsia" w:ascii="宋体" w:hAnsi="宋体" w:eastAsia="宋体"/>
          <w:highlight w:val="none"/>
        </w:rPr>
        <w:t>3. 评标程序</w:t>
      </w:r>
      <w:bookmarkEnd w:id="439"/>
      <w:bookmarkEnd w:id="440"/>
      <w:bookmarkEnd w:id="441"/>
      <w:bookmarkEnd w:id="442"/>
      <w:bookmarkEnd w:id="443"/>
      <w:bookmarkEnd w:id="444"/>
    </w:p>
    <w:p w14:paraId="75382DE1">
      <w:pPr>
        <w:pStyle w:val="2"/>
        <w:spacing w:after="0" w:line="360" w:lineRule="auto"/>
        <w:rPr>
          <w:rFonts w:ascii="宋体" w:hAnsi="宋体" w:cs="宋体"/>
          <w:highlight w:val="none"/>
          <w:u w:val="single"/>
        </w:rPr>
      </w:pPr>
      <w:bookmarkStart w:id="445" w:name="_Toc503806433"/>
      <w:bookmarkStart w:id="446" w:name="_Toc47018338"/>
      <w:bookmarkStart w:id="447" w:name="_Toc47018635"/>
      <w:r>
        <w:rPr>
          <w:rFonts w:hint="eastAsia" w:ascii="宋体" w:hAnsi="宋体" w:cs="宋体"/>
          <w:highlight w:val="none"/>
          <w:u w:val="single"/>
        </w:rPr>
        <w:t>本项目采取电子评标。评标委员会为综合评标委员会，负责形式审查、资格审查、响应性审查及评标工作。</w:t>
      </w:r>
    </w:p>
    <w:p w14:paraId="609BD317">
      <w:pPr>
        <w:pStyle w:val="5"/>
        <w:spacing w:before="0" w:after="0" w:line="360" w:lineRule="auto"/>
        <w:ind w:firstLine="56" w:firstLineChars="20"/>
        <w:rPr>
          <w:rFonts w:ascii="宋体" w:eastAsia="宋体"/>
          <w:highlight w:val="none"/>
        </w:rPr>
      </w:pPr>
      <w:bookmarkStart w:id="448" w:name="_Toc165358698"/>
      <w:bookmarkStart w:id="449" w:name="_Toc165358833"/>
      <w:bookmarkStart w:id="450" w:name="_Toc14048"/>
      <w:bookmarkStart w:id="451" w:name="_Toc16960"/>
      <w:bookmarkStart w:id="452" w:name="_Toc485211100"/>
      <w:bookmarkStart w:id="453" w:name="_Toc20824"/>
      <w:r>
        <w:rPr>
          <w:rFonts w:hint="eastAsia" w:ascii="宋体" w:eastAsia="宋体"/>
          <w:highlight w:val="none"/>
        </w:rPr>
        <w:t>3.1形式评审</w:t>
      </w:r>
      <w:bookmarkEnd w:id="448"/>
      <w:bookmarkEnd w:id="449"/>
    </w:p>
    <w:p w14:paraId="2B6D5AC0">
      <w:pPr>
        <w:spacing w:line="360" w:lineRule="auto"/>
        <w:ind w:firstLine="420" w:firstLineChars="200"/>
        <w:rPr>
          <w:rFonts w:ascii="宋体" w:hAnsi="宋体" w:cs="宋体"/>
          <w:highlight w:val="none"/>
          <w:u w:val="single"/>
        </w:rPr>
      </w:pPr>
      <w:r>
        <w:rPr>
          <w:rFonts w:hint="eastAsia" w:ascii="宋体" w:hAnsi="宋体" w:cs="宋体"/>
          <w:highlight w:val="none"/>
          <w:u w:val="single"/>
        </w:rPr>
        <w:t>3.1.1形式审查中全部符合形式评审标准（详见评标办法前附表）中规定情形的，为形式审查合格。否则为形式审查不合格，经评标委员会评委共同认定后，其投标文件将被拒绝。如评标委员会评委的评审意见不一致时，以评标委员会过半数成员的意见作为评标委员会对该情形的认定结论。</w:t>
      </w:r>
    </w:p>
    <w:p w14:paraId="1E2159A4">
      <w:pPr>
        <w:spacing w:line="360" w:lineRule="auto"/>
        <w:ind w:firstLine="420" w:firstLineChars="200"/>
        <w:rPr>
          <w:rFonts w:ascii="宋体" w:hAnsi="宋体" w:cs="宋体"/>
          <w:highlight w:val="none"/>
          <w:u w:val="single"/>
        </w:rPr>
      </w:pPr>
      <w:r>
        <w:rPr>
          <w:rFonts w:hint="eastAsia" w:ascii="宋体" w:hAnsi="宋体" w:cs="宋体"/>
          <w:highlight w:val="none"/>
          <w:u w:val="single"/>
        </w:rPr>
        <w:t>3.1.2汇总形式审查情况，只有通过形式审查的投标人方可进入下一阶段评审。形式审查合格的投标人少于3名的，则本项目招标失败。</w:t>
      </w:r>
    </w:p>
    <w:p w14:paraId="3971B19E">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.1.3</w:t>
      </w:r>
      <w:r>
        <w:rPr>
          <w:rFonts w:hint="eastAsia" w:ascii="宋体" w:hAnsi="宋体" w:cs="宋体"/>
          <w:highlight w:val="none"/>
          <w:u w:val="single"/>
        </w:rPr>
        <w:t>评委发现投标文件中含义不明确、对同类问题表述不一致、有明显文字和计算错误的，应当要求投标人作必要的澄清、说明后再判定投标人是否通过形式审查、资格审查，不得直接否决投标。</w:t>
      </w:r>
    </w:p>
    <w:p w14:paraId="37A5DD3D">
      <w:pPr>
        <w:pStyle w:val="5"/>
        <w:spacing w:before="0" w:after="0" w:line="360" w:lineRule="auto"/>
        <w:ind w:firstLine="56" w:firstLineChars="20"/>
        <w:rPr>
          <w:rFonts w:ascii="宋体" w:eastAsia="宋体"/>
          <w:highlight w:val="none"/>
        </w:rPr>
      </w:pPr>
      <w:bookmarkStart w:id="454" w:name="_Toc165358699"/>
      <w:bookmarkStart w:id="455" w:name="_Toc165358834"/>
      <w:r>
        <w:rPr>
          <w:rFonts w:hint="eastAsia" w:ascii="宋体" w:eastAsia="宋体"/>
          <w:highlight w:val="none"/>
        </w:rPr>
        <w:t>3.2资格评审</w:t>
      </w:r>
      <w:bookmarkEnd w:id="454"/>
      <w:bookmarkEnd w:id="455"/>
    </w:p>
    <w:p w14:paraId="5EA6136A">
      <w:pPr>
        <w:spacing w:line="360" w:lineRule="auto"/>
        <w:ind w:firstLine="420" w:firstLineChars="200"/>
        <w:rPr>
          <w:rFonts w:ascii="宋体" w:hAnsi="宋体" w:cs="宋体"/>
          <w:highlight w:val="none"/>
          <w:u w:val="single"/>
        </w:rPr>
      </w:pPr>
      <w:r>
        <w:rPr>
          <w:rFonts w:hint="eastAsia" w:ascii="宋体" w:hAnsi="宋体" w:cs="宋体"/>
          <w:highlight w:val="none"/>
          <w:u w:val="single"/>
        </w:rPr>
        <w:t>3.2.1评标委员会对所有通过形式评审的投标人进行资格评审。资格审查文件中全部符合资格评审标准（详见评标办法前附表）中规定情形的，为资格审查合格。否则为资格审查不合格，评标委员会评委共同认定后，其投标将被拒绝。如评标委员会评委的评审意见不一致时，以评标委员会评委过半数成员的意见作为评标委员会对该情形的认定结论。只有通过资格审查的投标人方可进入下一阶段的评审。</w:t>
      </w:r>
    </w:p>
    <w:p w14:paraId="2ABDA53B">
      <w:pPr>
        <w:spacing w:line="360" w:lineRule="auto"/>
        <w:ind w:firstLine="420" w:firstLineChars="200"/>
        <w:rPr>
          <w:rFonts w:ascii="宋体" w:hAnsi="宋体" w:cs="宋体"/>
          <w:highlight w:val="none"/>
          <w:u w:val="single"/>
        </w:rPr>
      </w:pPr>
      <w:r>
        <w:rPr>
          <w:rFonts w:hint="eastAsia" w:ascii="宋体" w:hAnsi="宋体" w:cs="宋体"/>
          <w:highlight w:val="none"/>
          <w:u w:val="single"/>
        </w:rPr>
        <w:t>3.2.2汇总资格审查情况，编写资格审查报告。资格审查合格的投标人少于3名的，则本项目招标失败。</w:t>
      </w:r>
    </w:p>
    <w:p w14:paraId="1CAFD598">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2</w:t>
      </w:r>
      <w:r>
        <w:rPr>
          <w:rFonts w:hint="eastAsia" w:ascii="宋体" w:hAnsi="宋体" w:cs="宋体"/>
          <w:highlight w:val="none"/>
          <w:u w:val="single"/>
        </w:rPr>
        <w:t>.3评委发现投标文件中含义不明确、对同类问题表述不一致、有明显文字和计算错误的，应当要求投标人作必要的澄清、说明后再判定投标人是否通过形式审查、资格审查，不得直接否决投标。</w:t>
      </w:r>
    </w:p>
    <w:p w14:paraId="61043BAC">
      <w:pPr>
        <w:spacing w:line="360" w:lineRule="auto"/>
        <w:ind w:firstLine="420" w:firstLineChars="200"/>
        <w:rPr>
          <w:rFonts w:ascii="宋体" w:hAnsi="宋体" w:cs="宋体"/>
          <w:highlight w:val="none"/>
          <w:u w:val="single"/>
        </w:rPr>
      </w:pPr>
      <w:r>
        <w:rPr>
          <w:rFonts w:hint="eastAsia" w:ascii="宋体" w:hAnsi="宋体" w:cs="宋体"/>
          <w:highlight w:val="none"/>
          <w:u w:val="single"/>
        </w:rPr>
        <w:t>3.2.</w:t>
      </w:r>
      <w:r>
        <w:rPr>
          <w:rFonts w:ascii="宋体" w:hAnsi="宋体" w:cs="宋体"/>
          <w:highlight w:val="none"/>
          <w:u w:val="single"/>
        </w:rPr>
        <w:t>4</w:t>
      </w:r>
      <w:r>
        <w:rPr>
          <w:rFonts w:hint="eastAsia" w:ascii="宋体" w:hAnsi="宋体" w:cs="宋体"/>
          <w:highlight w:val="none"/>
          <w:u w:val="single"/>
        </w:rPr>
        <w:t>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143F2982">
      <w:pPr>
        <w:spacing w:line="360" w:lineRule="auto"/>
        <w:ind w:firstLine="422" w:firstLineChars="200"/>
        <w:rPr>
          <w:rFonts w:ascii="宋体" w:hAnsi="宋体" w:cs="宋体"/>
          <w:b/>
          <w:highlight w:val="none"/>
          <w:u w:val="single"/>
        </w:rPr>
      </w:pPr>
      <w:r>
        <w:rPr>
          <w:rFonts w:hint="eastAsia" w:ascii="宋体" w:hAnsi="宋体" w:cs="宋体"/>
          <w:b/>
          <w:highlight w:val="none"/>
          <w:u w:val="single"/>
        </w:rPr>
        <w:t>特别声明：资审合格后，投标人的资格发生变化而不满足投标人合格条件，在发出中标通知书前，资格问题仍未解决的，招标人将取消其中标资格。</w:t>
      </w:r>
    </w:p>
    <w:p w14:paraId="4546C420">
      <w:pPr>
        <w:pStyle w:val="5"/>
        <w:spacing w:before="0" w:after="0" w:line="360" w:lineRule="auto"/>
        <w:ind w:firstLine="56" w:firstLineChars="20"/>
        <w:rPr>
          <w:rFonts w:ascii="宋体" w:eastAsia="宋体"/>
          <w:highlight w:val="none"/>
        </w:rPr>
      </w:pPr>
      <w:bookmarkStart w:id="456" w:name="_Toc165358835"/>
      <w:bookmarkStart w:id="457" w:name="_Toc165358700"/>
      <w:r>
        <w:rPr>
          <w:rFonts w:hint="eastAsia" w:ascii="宋体" w:eastAsia="宋体"/>
          <w:highlight w:val="none"/>
        </w:rPr>
        <w:t>3.3响应性评审</w:t>
      </w:r>
      <w:bookmarkEnd w:id="456"/>
      <w:bookmarkEnd w:id="457"/>
    </w:p>
    <w:p w14:paraId="5D4EC9BB">
      <w:pPr>
        <w:spacing w:line="360" w:lineRule="auto"/>
        <w:ind w:firstLine="420" w:firstLineChars="200"/>
        <w:rPr>
          <w:rFonts w:ascii="宋体" w:hAnsi="宋体" w:cs="宋体"/>
          <w:highlight w:val="none"/>
          <w:u w:val="single"/>
        </w:rPr>
      </w:pPr>
      <w:r>
        <w:rPr>
          <w:rFonts w:hint="eastAsia" w:ascii="宋体" w:hAnsi="宋体" w:cs="宋体"/>
          <w:highlight w:val="none"/>
          <w:u w:val="single"/>
        </w:rPr>
        <w:t>3.3.1响应性审查：评标委员会评委对所有通过资格审查的投标人进行响应性评审（见评标办法前附表），投标文件通过响应性评审标准的为有效标书，否则为无效标书，经评标委员会评委共同认定后，其投标文件将被拒绝。如评标委员会评委的评审意见不一致时，以评标委员会评委过半数成员的意见作为评标委员会对该情形的认定结论。</w:t>
      </w:r>
    </w:p>
    <w:p w14:paraId="6BCBA8ED">
      <w:pPr>
        <w:spacing w:line="360" w:lineRule="auto"/>
        <w:ind w:firstLine="420" w:firstLineChars="200"/>
        <w:rPr>
          <w:rFonts w:ascii="宋体" w:hAnsi="宋体" w:cs="宋体"/>
          <w:highlight w:val="none"/>
          <w:u w:val="single"/>
        </w:rPr>
      </w:pPr>
      <w:r>
        <w:rPr>
          <w:rFonts w:hint="eastAsia" w:ascii="宋体" w:hAnsi="宋体" w:cs="宋体"/>
          <w:highlight w:val="none"/>
          <w:u w:val="single"/>
        </w:rPr>
        <w:t>3.3.2 投标人有以下情形之一的，评标委员会应当否决其投标：</w:t>
      </w:r>
    </w:p>
    <w:p w14:paraId="6F70987A">
      <w:pPr>
        <w:spacing w:line="360" w:lineRule="auto"/>
        <w:ind w:firstLine="420" w:firstLineChars="200"/>
        <w:rPr>
          <w:rFonts w:ascii="宋体" w:hAnsi="宋体" w:cs="宋体"/>
          <w:highlight w:val="none"/>
          <w:u w:val="single"/>
        </w:rPr>
      </w:pPr>
      <w:r>
        <w:rPr>
          <w:rFonts w:hint="eastAsia" w:ascii="宋体" w:hAnsi="宋体" w:cs="宋体"/>
          <w:highlight w:val="none"/>
          <w:u w:val="single"/>
        </w:rPr>
        <w:t>（1）串通投标或弄虚作假或有其他违法行为的；</w:t>
      </w:r>
    </w:p>
    <w:p w14:paraId="622E874F">
      <w:pPr>
        <w:spacing w:line="360" w:lineRule="auto"/>
        <w:ind w:firstLine="420" w:firstLineChars="200"/>
        <w:rPr>
          <w:rFonts w:ascii="宋体" w:hAnsi="宋体" w:cs="宋体"/>
          <w:highlight w:val="none"/>
          <w:u w:val="single"/>
        </w:rPr>
      </w:pPr>
      <w:r>
        <w:rPr>
          <w:rFonts w:hint="eastAsia" w:ascii="宋体" w:hAnsi="宋体" w:cs="宋体"/>
          <w:highlight w:val="none"/>
          <w:u w:val="single"/>
        </w:rPr>
        <w:t>（2）不按评标委员会要求澄清、说明或补正的。</w:t>
      </w:r>
    </w:p>
    <w:p w14:paraId="6B0EF2C3">
      <w:pPr>
        <w:spacing w:line="360" w:lineRule="auto"/>
        <w:ind w:firstLine="420" w:firstLineChars="200"/>
        <w:rPr>
          <w:rFonts w:ascii="宋体" w:hAnsi="宋体" w:cs="宋体"/>
          <w:highlight w:val="none"/>
          <w:u w:val="single"/>
        </w:rPr>
      </w:pPr>
      <w:r>
        <w:rPr>
          <w:rFonts w:hint="eastAsia" w:ascii="宋体" w:hAnsi="宋体" w:cs="宋体"/>
          <w:highlight w:val="none"/>
          <w:u w:val="single"/>
        </w:rPr>
        <w:t>3.3.3 投标报价的算术校核。评标委员会对通过响应性评审的投标文件投标报</w:t>
      </w:r>
      <w:r>
        <w:rPr>
          <w:rFonts w:hint="eastAsia" w:ascii="宋体" w:hAnsi="宋体" w:cs="宋体"/>
          <w:highlight w:val="none"/>
          <w:u w:val="single"/>
          <w:lang w:val="en-US" w:eastAsia="zh-CN"/>
        </w:rPr>
        <w:t>价</w:t>
      </w:r>
      <w:r>
        <w:rPr>
          <w:rFonts w:hint="eastAsia" w:ascii="宋体" w:hAnsi="宋体" w:cs="宋体"/>
          <w:highlight w:val="none"/>
          <w:u w:val="single"/>
        </w:rPr>
        <w:t>进行算术校核，具体标准如下：</w:t>
      </w:r>
    </w:p>
    <w:p w14:paraId="3408634D">
      <w:pPr>
        <w:spacing w:line="360" w:lineRule="auto"/>
        <w:ind w:firstLine="420" w:firstLineChars="200"/>
        <w:rPr>
          <w:rFonts w:ascii="宋体" w:hAnsi="宋体" w:cs="宋体"/>
          <w:highlight w:val="none"/>
          <w:u w:val="single"/>
        </w:rPr>
      </w:pPr>
      <w:r>
        <w:rPr>
          <w:rFonts w:hint="eastAsia" w:ascii="宋体" w:hAnsi="宋体" w:cs="宋体"/>
          <w:highlight w:val="none"/>
          <w:u w:val="single"/>
        </w:rPr>
        <w:t>（1）如果数字表示的金额和用文字表示的金额不一致时，应以文字表示的金额为准（有以下算术性错误需要修正的除外）；</w:t>
      </w:r>
    </w:p>
    <w:p w14:paraId="0E35560F">
      <w:pPr>
        <w:spacing w:line="360" w:lineRule="auto"/>
        <w:ind w:firstLine="420" w:firstLineChars="200"/>
        <w:rPr>
          <w:rFonts w:ascii="宋体" w:hAnsi="宋体" w:cs="宋体"/>
          <w:highlight w:val="none"/>
          <w:u w:val="single"/>
        </w:rPr>
      </w:pPr>
      <w:r>
        <w:rPr>
          <w:rFonts w:hint="eastAsia" w:ascii="宋体" w:hAnsi="宋体" w:cs="宋体"/>
          <w:highlight w:val="none"/>
          <w:u w:val="single"/>
        </w:rPr>
        <w:t>（2）经算术复核的投标人报价与其投标报价不一致时，按就低不就高原则确定其最终报价；</w:t>
      </w:r>
    </w:p>
    <w:p w14:paraId="760DBB95">
      <w:pPr>
        <w:spacing w:line="360" w:lineRule="auto"/>
        <w:ind w:firstLine="420" w:firstLineChars="200"/>
        <w:rPr>
          <w:rFonts w:ascii="宋体" w:hAnsi="宋体" w:cs="宋体"/>
          <w:highlight w:val="none"/>
          <w:u w:val="single"/>
        </w:rPr>
      </w:pPr>
      <w:r>
        <w:rPr>
          <w:rFonts w:hint="eastAsia" w:ascii="宋体" w:hAnsi="宋体" w:cs="宋体"/>
          <w:highlight w:val="none"/>
          <w:u w:val="singl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A76FCF3">
      <w:pPr>
        <w:spacing w:line="360" w:lineRule="auto"/>
        <w:ind w:firstLine="420" w:firstLineChars="200"/>
        <w:rPr>
          <w:rFonts w:ascii="宋体" w:hAnsi="宋体" w:cs="宋体"/>
          <w:highlight w:val="none"/>
          <w:u w:val="single"/>
        </w:rPr>
      </w:pPr>
      <w:r>
        <w:rPr>
          <w:rFonts w:hint="eastAsia" w:ascii="宋体" w:hAnsi="宋体" w:cs="宋体"/>
          <w:highlight w:val="none"/>
          <w:u w:val="single"/>
        </w:rPr>
        <w:t>（4）当合价、金额累加错误时，按就低不就高原则，如果累加修正值小于原累加值，则按累加修正值；如果累加修正值大于原累加值，则按原累加值；</w:t>
      </w:r>
    </w:p>
    <w:p w14:paraId="0BFABC0B">
      <w:pPr>
        <w:spacing w:line="360" w:lineRule="auto"/>
        <w:ind w:firstLine="420" w:firstLineChars="200"/>
        <w:rPr>
          <w:rFonts w:ascii="宋体" w:hAnsi="宋体" w:cs="宋体"/>
          <w:highlight w:val="none"/>
          <w:u w:val="single"/>
        </w:rPr>
      </w:pPr>
      <w:r>
        <w:rPr>
          <w:rFonts w:hint="eastAsia" w:ascii="宋体" w:hAnsi="宋体" w:cs="宋体"/>
          <w:highlight w:val="none"/>
          <w:u w:val="single"/>
        </w:rPr>
        <w:t>（5）如果投标人的有关规费、暂列金额、暂估价、绿色施工安全防护措施费等未按招标文件规定的金额填写的，由评标委员会按照招标文件规定的金额进行修正；</w:t>
      </w:r>
    </w:p>
    <w:p w14:paraId="7BBF2BFC">
      <w:pPr>
        <w:spacing w:line="360" w:lineRule="auto"/>
        <w:ind w:firstLine="420" w:firstLineChars="200"/>
        <w:rPr>
          <w:rFonts w:ascii="宋体" w:hAnsi="宋体" w:cs="宋体"/>
          <w:highlight w:val="none"/>
          <w:u w:val="single"/>
        </w:rPr>
      </w:pPr>
      <w:r>
        <w:rPr>
          <w:rFonts w:hint="eastAsia" w:ascii="宋体" w:hAnsi="宋体" w:cs="宋体"/>
          <w:highlight w:val="none"/>
          <w:u w:val="single"/>
        </w:rPr>
        <w:t>（6）按就低不就高原则，当修正后报价小于原报价，总价按修正后报价；当修正后报价大于原报价，总价按原报价，并在签订合同时载明在结算价中扣除修正报价与原报价的差额。</w:t>
      </w:r>
    </w:p>
    <w:p w14:paraId="698555E5">
      <w:pPr>
        <w:spacing w:line="360" w:lineRule="auto"/>
        <w:ind w:firstLine="420" w:firstLineChars="200"/>
        <w:rPr>
          <w:rFonts w:ascii="宋体" w:hAnsi="宋体" w:cs="宋体"/>
          <w:highlight w:val="none"/>
          <w:u w:val="single"/>
        </w:rPr>
      </w:pPr>
      <w:r>
        <w:rPr>
          <w:rFonts w:hint="eastAsia" w:ascii="宋体" w:hAnsi="宋体" w:cs="宋体"/>
          <w:highlight w:val="none"/>
          <w:u w:val="single"/>
        </w:rPr>
        <w:t>（</w:t>
      </w:r>
      <w:r>
        <w:rPr>
          <w:rFonts w:ascii="宋体" w:hAnsi="宋体" w:cs="宋体"/>
          <w:highlight w:val="none"/>
          <w:u w:val="single"/>
        </w:rPr>
        <w:t>7</w:t>
      </w:r>
      <w:r>
        <w:rPr>
          <w:rFonts w:hint="eastAsia" w:ascii="宋体" w:hAnsi="宋体" w:cs="宋体"/>
          <w:highlight w:val="none"/>
          <w:u w:val="single"/>
        </w:rPr>
        <w:t>）投标文件存在其他计算性错误的，按正确的方法计算并修正；</w:t>
      </w:r>
    </w:p>
    <w:p w14:paraId="2EE0277E">
      <w:pPr>
        <w:spacing w:line="360" w:lineRule="auto"/>
        <w:ind w:firstLine="420" w:firstLineChars="200"/>
        <w:rPr>
          <w:rFonts w:ascii="宋体" w:hAnsi="宋体" w:cs="宋体"/>
          <w:highlight w:val="none"/>
          <w:u w:val="single"/>
        </w:rPr>
      </w:pPr>
      <w:r>
        <w:rPr>
          <w:rFonts w:hint="eastAsia" w:ascii="宋体" w:hAnsi="宋体" w:cs="宋体"/>
          <w:highlight w:val="none"/>
          <w:u w:val="single"/>
        </w:rPr>
        <w:t>（</w:t>
      </w:r>
      <w:r>
        <w:rPr>
          <w:rFonts w:ascii="宋体" w:hAnsi="宋体" w:cs="宋体"/>
          <w:highlight w:val="none"/>
          <w:u w:val="single"/>
        </w:rPr>
        <w:t>8</w:t>
      </w:r>
      <w:r>
        <w:rPr>
          <w:rFonts w:hint="eastAsia" w:ascii="宋体" w:hAnsi="宋体" w:cs="宋体"/>
          <w:highlight w:val="none"/>
          <w:u w:val="single"/>
        </w:rPr>
        <w:t>）按上述修正错误的原则及方法调整或修正投标文件的投标报价，调整后的投标报价对投标人起约束作用。如果投标人不接受修正后的报价，则取消其投标资格，并且其投标担保也将被没收。</w:t>
      </w:r>
    </w:p>
    <w:p w14:paraId="1892071F">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.3.3</w:t>
      </w:r>
      <w:r>
        <w:rPr>
          <w:rFonts w:hint="eastAsia" w:ascii="宋体" w:hAnsi="宋体" w:cs="宋体"/>
          <w:highlight w:val="none"/>
          <w:u w:val="single"/>
        </w:rPr>
        <w:t>评委发现投标文件中含义不明确、对同类问题表述不一致、有明显文字和计算错误的，应当要求投标人作必要的澄清、说明后再判定投标人是否通过形式审查、资格审查，不得直接否决投标。</w:t>
      </w:r>
    </w:p>
    <w:bookmarkEnd w:id="450"/>
    <w:bookmarkEnd w:id="451"/>
    <w:bookmarkEnd w:id="452"/>
    <w:bookmarkEnd w:id="453"/>
    <w:p w14:paraId="6BA27F65">
      <w:pPr>
        <w:pStyle w:val="5"/>
        <w:spacing w:before="0" w:after="0" w:line="360" w:lineRule="auto"/>
        <w:rPr>
          <w:rFonts w:ascii="宋体" w:eastAsia="宋体"/>
          <w:highlight w:val="none"/>
          <w:u w:val="single"/>
          <w:lang w:val="zh-CN"/>
        </w:rPr>
      </w:pPr>
      <w:bookmarkStart w:id="458" w:name="_Toc165358701"/>
      <w:bookmarkStart w:id="459" w:name="_Toc165358836"/>
      <w:r>
        <w:rPr>
          <w:rFonts w:hint="eastAsia" w:ascii="宋体" w:eastAsia="宋体"/>
          <w:highlight w:val="none"/>
          <w:u w:val="single"/>
          <w:lang w:val="zh-CN"/>
        </w:rPr>
        <w:t>3.</w:t>
      </w:r>
      <w:r>
        <w:rPr>
          <w:rFonts w:hint="eastAsia" w:ascii="宋体" w:eastAsia="宋体"/>
          <w:highlight w:val="none"/>
          <w:u w:val="single"/>
        </w:rPr>
        <w:t>4</w:t>
      </w:r>
      <w:r>
        <w:rPr>
          <w:rFonts w:hint="eastAsia" w:ascii="宋体" w:eastAsia="宋体"/>
          <w:highlight w:val="none"/>
          <w:u w:val="single"/>
          <w:lang w:val="zh-CN"/>
        </w:rPr>
        <w:t xml:space="preserve"> 技术标评审</w:t>
      </w:r>
      <w:bookmarkEnd w:id="445"/>
      <w:bookmarkEnd w:id="446"/>
      <w:bookmarkEnd w:id="447"/>
      <w:bookmarkEnd w:id="458"/>
      <w:bookmarkEnd w:id="459"/>
    </w:p>
    <w:p w14:paraId="25F95216">
      <w:pPr>
        <w:spacing w:line="360" w:lineRule="auto"/>
        <w:ind w:firstLine="420" w:firstLineChars="200"/>
        <w:rPr>
          <w:rFonts w:ascii="宋体" w:hAnsi="宋体" w:cs="宋体"/>
          <w:highlight w:val="none"/>
          <w:u w:val="single"/>
        </w:rPr>
      </w:pPr>
      <w:bookmarkStart w:id="460" w:name="_Toc439240662"/>
      <w:bookmarkStart w:id="461" w:name="_Toc439246061"/>
      <w:r>
        <w:rPr>
          <w:rFonts w:hint="eastAsia" w:ascii="宋体" w:hAnsi="宋体" w:cs="宋体"/>
          <w:highlight w:val="none"/>
          <w:u w:val="single"/>
        </w:rPr>
        <w:t>3.4.1评标委员会按本办法附表1《</w:t>
      </w:r>
      <w:r>
        <w:rPr>
          <w:rFonts w:hint="eastAsia" w:ascii="宋体" w:hAnsi="宋体" w:cs="宋体"/>
          <w:highlight w:val="none"/>
          <w:u w:val="single"/>
          <w:lang w:eastAsia="zh-CN"/>
        </w:rPr>
        <w:t>技术标评分表</w:t>
      </w:r>
      <w:r>
        <w:rPr>
          <w:rFonts w:hint="eastAsia" w:ascii="宋体" w:hAnsi="宋体" w:cs="宋体"/>
          <w:highlight w:val="none"/>
          <w:u w:val="single"/>
        </w:rPr>
        <w:t>》对通过初步评审的投标人进行详细评分。评标委员会各成员评分汇总后的算术平均值作为</w:t>
      </w:r>
      <w:r>
        <w:rPr>
          <w:rFonts w:hint="eastAsia" w:ascii="宋体" w:hAnsi="宋体" w:cs="宋体"/>
          <w:highlight w:val="none"/>
          <w:u w:val="single"/>
          <w:lang w:eastAsia="zh-CN"/>
        </w:rPr>
        <w:t>技术标</w:t>
      </w:r>
      <w:r>
        <w:rPr>
          <w:rFonts w:hint="eastAsia" w:ascii="宋体" w:hAnsi="宋体" w:cs="宋体"/>
          <w:highlight w:val="none"/>
          <w:u w:val="single"/>
        </w:rPr>
        <w:t>得分。分数出现小数点，保留小数点后二位，第三位小数四舍五入。</w:t>
      </w:r>
    </w:p>
    <w:bookmarkEnd w:id="460"/>
    <w:bookmarkEnd w:id="461"/>
    <w:p w14:paraId="19467964">
      <w:pPr>
        <w:pStyle w:val="5"/>
        <w:spacing w:before="0" w:after="0" w:line="360" w:lineRule="auto"/>
        <w:rPr>
          <w:rFonts w:ascii="宋体" w:eastAsia="宋体"/>
          <w:highlight w:val="none"/>
          <w:u w:val="single"/>
          <w:lang w:val="zh-CN"/>
        </w:rPr>
      </w:pPr>
      <w:bookmarkStart w:id="462" w:name="_Toc165358702"/>
      <w:bookmarkStart w:id="463" w:name="_Toc165358837"/>
      <w:r>
        <w:rPr>
          <w:rFonts w:hint="eastAsia" w:ascii="宋体" w:eastAsia="宋体"/>
          <w:highlight w:val="none"/>
          <w:u w:val="single"/>
          <w:lang w:val="zh-CN"/>
        </w:rPr>
        <w:t>3.</w:t>
      </w:r>
      <w:r>
        <w:rPr>
          <w:rFonts w:hint="eastAsia" w:ascii="宋体" w:eastAsia="宋体"/>
          <w:highlight w:val="none"/>
          <w:u w:val="single"/>
        </w:rPr>
        <w:t>5</w:t>
      </w:r>
      <w:r>
        <w:rPr>
          <w:rFonts w:hint="eastAsia" w:ascii="宋体" w:eastAsia="宋体"/>
          <w:highlight w:val="none"/>
          <w:u w:val="single"/>
          <w:lang w:val="zh-CN"/>
        </w:rPr>
        <w:t xml:space="preserve"> 投标报价评审</w:t>
      </w:r>
      <w:bookmarkEnd w:id="462"/>
      <w:bookmarkEnd w:id="463"/>
    </w:p>
    <w:p w14:paraId="3C392B6E">
      <w:pPr>
        <w:spacing w:line="360" w:lineRule="auto"/>
        <w:ind w:firstLine="420"/>
        <w:rPr>
          <w:rFonts w:ascii="宋体" w:hAnsi="宋体" w:cs="宋体"/>
          <w:color w:val="auto"/>
          <w:szCs w:val="21"/>
          <w:highlight w:val="none"/>
          <w:u w:val="single"/>
        </w:rPr>
      </w:pPr>
      <w:r>
        <w:rPr>
          <w:rFonts w:hint="eastAsia" w:ascii="宋体" w:hAnsi="宋体" w:cs="宋体"/>
          <w:highlight w:val="none"/>
          <w:u w:val="single"/>
        </w:rPr>
        <w:t>3.5.1投标报价评分</w:t>
      </w:r>
      <w:r>
        <w:rPr>
          <w:rFonts w:hint="eastAsia" w:ascii="宋体" w:hAnsi="宋体" w:cs="宋体"/>
          <w:color w:val="auto"/>
          <w:szCs w:val="21"/>
          <w:highlight w:val="none"/>
          <w:u w:val="single"/>
        </w:rPr>
        <w:t>（见评标办法前附表）</w:t>
      </w:r>
    </w:p>
    <w:p w14:paraId="7C7D58C3">
      <w:pPr>
        <w:pStyle w:val="5"/>
        <w:spacing w:before="0" w:after="0" w:line="360" w:lineRule="auto"/>
        <w:rPr>
          <w:rFonts w:ascii="宋体" w:eastAsia="宋体"/>
          <w:highlight w:val="none"/>
          <w:u w:val="single"/>
          <w:lang w:val="zh-CN"/>
        </w:rPr>
      </w:pPr>
      <w:bookmarkStart w:id="464" w:name="_Toc165358703"/>
      <w:bookmarkStart w:id="465" w:name="_Toc165358838"/>
      <w:r>
        <w:rPr>
          <w:rFonts w:hint="eastAsia" w:ascii="宋体" w:eastAsia="宋体"/>
          <w:highlight w:val="none"/>
          <w:u w:val="single"/>
          <w:lang w:val="zh-CN"/>
        </w:rPr>
        <w:t>3.</w:t>
      </w:r>
      <w:r>
        <w:rPr>
          <w:rFonts w:hint="eastAsia" w:ascii="宋体" w:eastAsia="宋体"/>
          <w:highlight w:val="none"/>
          <w:u w:val="single"/>
        </w:rPr>
        <w:t>6</w:t>
      </w:r>
      <w:r>
        <w:rPr>
          <w:rFonts w:hint="eastAsia" w:ascii="宋体" w:eastAsia="宋体"/>
          <w:highlight w:val="none"/>
          <w:u w:val="single"/>
          <w:lang w:val="zh-CN"/>
        </w:rPr>
        <w:t xml:space="preserve"> 评审汇总</w:t>
      </w:r>
      <w:bookmarkEnd w:id="464"/>
      <w:bookmarkEnd w:id="465"/>
    </w:p>
    <w:p w14:paraId="69DC22A1">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rPr>
        <w:t>3.6.1 投标人总得分满分为100分，分值构成及权重见:评标办法前附表。</w:t>
      </w:r>
    </w:p>
    <w:p w14:paraId="521A2732">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rPr>
        <w:t>3.6.2 对于初步评审合格的投标文件（含形式评审、资格评审、响应性评审）的投标人，评标委员会采用综合评估法详细评审，推荐中标候选人。</w:t>
      </w:r>
    </w:p>
    <w:p w14:paraId="3CF89B43">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lang w:val="en-US" w:eastAsia="zh-CN"/>
        </w:rPr>
        <w:t>评标阶段推荐合格的中标候选人方法：</w:t>
      </w:r>
      <w:r>
        <w:rPr>
          <w:rFonts w:hint="eastAsia" w:ascii="宋体" w:hAnsi="宋体" w:eastAsia="宋体" w:cs="宋体"/>
          <w:szCs w:val="21"/>
          <w:highlight w:val="none"/>
          <w:u w:val="single"/>
        </w:rPr>
        <w:t>设S（S=M+N）为通过初步评审的投标人数，其中M为低于成本警戒价的投标报价数，N为不低于成本警示价的投标报价数。</w:t>
      </w:r>
    </w:p>
    <w:p w14:paraId="6630882C">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rPr>
        <w:t>（1）当S≥3时，按以下方式确定中标候选人：</w:t>
      </w:r>
    </w:p>
    <w:p w14:paraId="62768AF4">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rPr>
        <w:t>①对于投标报价低于成本警戒价的M个投标人，不参加投标报价详细评审，</w:t>
      </w:r>
      <w:r>
        <w:rPr>
          <w:rFonts w:hint="eastAsia" w:ascii="宋体" w:hAnsi="宋体" w:eastAsia="宋体" w:cs="宋体"/>
          <w:szCs w:val="21"/>
          <w:highlight w:val="none"/>
          <w:u w:val="single"/>
          <w:lang w:val="en-US" w:eastAsia="zh-CN"/>
        </w:rPr>
        <w:t>经济分按“0”计算，</w:t>
      </w:r>
      <w:r>
        <w:rPr>
          <w:rFonts w:hint="eastAsia" w:ascii="宋体" w:hAnsi="宋体" w:eastAsia="宋体" w:cs="宋体"/>
          <w:szCs w:val="21"/>
          <w:highlight w:val="none"/>
          <w:u w:val="single"/>
        </w:rPr>
        <w:t>但需参加</w:t>
      </w:r>
      <w:r>
        <w:rPr>
          <w:rFonts w:hint="eastAsia" w:ascii="宋体" w:hAnsi="宋体" w:eastAsia="宋体" w:cs="宋体"/>
          <w:szCs w:val="21"/>
          <w:highlight w:val="none"/>
          <w:u w:val="single"/>
          <w:lang w:val="en-US" w:eastAsia="zh-CN"/>
        </w:rPr>
        <w:t>技术标</w:t>
      </w:r>
      <w:r>
        <w:rPr>
          <w:rFonts w:hint="eastAsia" w:ascii="宋体" w:hAnsi="宋体" w:eastAsia="宋体" w:cs="宋体"/>
          <w:szCs w:val="21"/>
          <w:highlight w:val="none"/>
          <w:u w:val="single"/>
        </w:rPr>
        <w:t>的详细评审。评标委员会根据</w:t>
      </w:r>
      <w:r>
        <w:rPr>
          <w:rFonts w:hint="eastAsia" w:ascii="宋体" w:hAnsi="宋体" w:eastAsia="宋体" w:cs="宋体"/>
          <w:szCs w:val="21"/>
          <w:highlight w:val="none"/>
          <w:u w:val="single"/>
          <w:lang w:val="en-US" w:eastAsia="zh-CN"/>
        </w:rPr>
        <w:t>技术标详细评审</w:t>
      </w:r>
      <w:r>
        <w:rPr>
          <w:rFonts w:hint="eastAsia" w:ascii="宋体" w:hAnsi="宋体" w:eastAsia="宋体" w:cs="宋体"/>
          <w:szCs w:val="21"/>
          <w:highlight w:val="none"/>
          <w:u w:val="single"/>
        </w:rPr>
        <w:t>的得分由高到低排序，推荐第1名为中标候选人进入定标阶段。</w:t>
      </w:r>
    </w:p>
    <w:p w14:paraId="2AF3A2AD">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rPr>
        <w:t>②对于投标报价不低于成本警戒价的N个投标人，需要参加</w:t>
      </w:r>
      <w:r>
        <w:rPr>
          <w:rFonts w:hint="eastAsia" w:ascii="宋体" w:hAnsi="宋体" w:eastAsia="宋体" w:cs="宋体"/>
          <w:szCs w:val="21"/>
          <w:highlight w:val="none"/>
          <w:u w:val="single"/>
          <w:lang w:val="en-US" w:eastAsia="zh-CN"/>
        </w:rPr>
        <w:t>技术标详细</w:t>
      </w:r>
      <w:r>
        <w:rPr>
          <w:rFonts w:hint="eastAsia" w:ascii="宋体" w:hAnsi="宋体" w:eastAsia="宋体" w:cs="宋体"/>
          <w:szCs w:val="21"/>
          <w:highlight w:val="none"/>
          <w:u w:val="single"/>
        </w:rPr>
        <w:t>评审</w:t>
      </w:r>
      <w:r>
        <w:rPr>
          <w:rFonts w:hint="eastAsia" w:ascii="宋体" w:hAnsi="宋体" w:eastAsia="宋体" w:cs="宋体"/>
          <w:szCs w:val="21"/>
          <w:highlight w:val="none"/>
          <w:u w:val="single"/>
          <w:lang w:val="en-US" w:eastAsia="zh-CN"/>
        </w:rPr>
        <w:t>和经济标详细评审</w:t>
      </w:r>
      <w:r>
        <w:rPr>
          <w:rFonts w:hint="eastAsia" w:ascii="宋体" w:hAnsi="宋体" w:eastAsia="宋体" w:cs="宋体"/>
          <w:szCs w:val="21"/>
          <w:highlight w:val="none"/>
          <w:u w:val="single"/>
        </w:rPr>
        <w:t>并排序。</w:t>
      </w:r>
    </w:p>
    <w:p w14:paraId="4E9DECF2">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rPr>
        <w:t>当N&lt;3时，全部推荐为合格中标候选人。</w:t>
      </w:r>
    </w:p>
    <w:p w14:paraId="08D6847B">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rPr>
        <w:t>当N≥3时，评标委员会根据详细评审的得分由高到低排序，推荐前7名（不足7名的，则推荐全部有效的投标人为合格中标候选人）</w:t>
      </w:r>
      <w:r>
        <w:rPr>
          <w:rFonts w:hint="eastAsia" w:ascii="宋体" w:hAnsi="宋体" w:eastAsia="宋体" w:cs="宋体"/>
          <w:szCs w:val="21"/>
          <w:highlight w:val="none"/>
          <w:u w:val="single"/>
          <w:lang w:val="en-US" w:eastAsia="zh-CN"/>
        </w:rPr>
        <w:t>为</w:t>
      </w:r>
      <w:r>
        <w:rPr>
          <w:rFonts w:hint="eastAsia" w:ascii="宋体" w:hAnsi="宋体" w:eastAsia="宋体" w:cs="宋体"/>
          <w:szCs w:val="21"/>
          <w:highlight w:val="none"/>
          <w:u w:val="single"/>
        </w:rPr>
        <w:t>合格中标候选人进入定标阶段。</w:t>
      </w:r>
    </w:p>
    <w:p w14:paraId="75D39B06">
      <w:pPr>
        <w:snapToGrid w:val="0"/>
        <w:spacing w:line="360" w:lineRule="auto"/>
        <w:ind w:firstLine="424" w:firstLineChars="202"/>
        <w:rPr>
          <w:rFonts w:hint="eastAsia" w:ascii="宋体" w:hAnsi="宋体" w:eastAsia="宋体" w:cs="宋体"/>
          <w:szCs w:val="21"/>
          <w:highlight w:val="none"/>
          <w:u w:val="single"/>
        </w:rPr>
      </w:pPr>
      <w:r>
        <w:rPr>
          <w:rFonts w:hint="eastAsia" w:ascii="宋体" w:hAnsi="宋体" w:eastAsia="宋体" w:cs="宋体"/>
          <w:szCs w:val="21"/>
          <w:highlight w:val="none"/>
          <w:u w:val="single"/>
          <w:lang w:val="en-US" w:eastAsia="zh-CN"/>
        </w:rPr>
        <w:t>（2）当S&lt;3时，招标人应重新招标。</w:t>
      </w:r>
    </w:p>
    <w:p w14:paraId="140361A0">
      <w:pPr>
        <w:pStyle w:val="15"/>
        <w:spacing w:line="360" w:lineRule="auto"/>
        <w:rPr>
          <w:rFonts w:ascii="宋体" w:hAnsi="宋体"/>
          <w:highlight w:val="none"/>
          <w:u w:val="single"/>
        </w:rPr>
      </w:pPr>
      <w:r>
        <w:rPr>
          <w:rFonts w:hint="eastAsia" w:ascii="宋体" w:hAnsi="宋体" w:eastAsia="宋体" w:cs="Times New Roman"/>
          <w:szCs w:val="24"/>
          <w:highlight w:val="none"/>
          <w:u w:val="single"/>
        </w:rPr>
        <w:t>注：</w:t>
      </w:r>
      <w:r>
        <w:rPr>
          <w:rFonts w:hint="eastAsia" w:ascii="宋体" w:hAnsi="宋体" w:eastAsia="宋体" w:cs="宋体"/>
          <w:szCs w:val="21"/>
          <w:highlight w:val="none"/>
          <w:u w:val="single"/>
        </w:rPr>
        <w:t>编写评标报告时，</w:t>
      </w:r>
      <w:r>
        <w:rPr>
          <w:rFonts w:hint="eastAsia" w:ascii="宋体" w:hAnsi="宋体" w:eastAsia="宋体" w:cs="Times New Roman"/>
          <w:szCs w:val="24"/>
          <w:highlight w:val="none"/>
          <w:u w:val="single"/>
        </w:rPr>
        <w:t>合格中标候选人不排序，按统一社会信用代码后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位（除校验码外）大小排位，如统一社会信用代码后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位出现字母情况的，字母以“</w:t>
      </w:r>
      <w:r>
        <w:rPr>
          <w:rFonts w:ascii="宋体" w:hAnsi="宋体" w:eastAsia="宋体" w:cs="Times New Roman"/>
          <w:szCs w:val="24"/>
          <w:highlight w:val="none"/>
          <w:u w:val="single"/>
        </w:rPr>
        <w:t>0</w:t>
      </w:r>
      <w:r>
        <w:rPr>
          <w:rFonts w:hint="eastAsia" w:ascii="宋体" w:hAnsi="宋体" w:eastAsia="宋体" w:cs="Times New Roman"/>
          <w:szCs w:val="24"/>
          <w:highlight w:val="none"/>
          <w:u w:val="single"/>
        </w:rPr>
        <w:t>”进行代替大小排位，如出现后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位（除校验码外）大小一致的，则随机排位。</w:t>
      </w:r>
    </w:p>
    <w:p w14:paraId="625E4271">
      <w:pPr>
        <w:snapToGrid w:val="0"/>
        <w:spacing w:line="360" w:lineRule="auto"/>
        <w:ind w:firstLine="424" w:firstLineChars="201"/>
        <w:rPr>
          <w:rFonts w:ascii="宋体" w:hAnsi="宋体" w:cs="宋体"/>
          <w:b/>
          <w:szCs w:val="21"/>
          <w:highlight w:val="none"/>
          <w:u w:val="single"/>
        </w:rPr>
      </w:pPr>
      <w:r>
        <w:rPr>
          <w:rFonts w:hint="eastAsia" w:ascii="宋体" w:hAnsi="宋体" w:cs="宋体"/>
          <w:b/>
          <w:szCs w:val="21"/>
          <w:highlight w:val="none"/>
          <w:u w:val="single"/>
        </w:rPr>
        <w:t>3.6.3</w:t>
      </w:r>
      <w:r>
        <w:rPr>
          <w:rFonts w:hint="eastAsia" w:ascii="宋体" w:hAnsi="宋体"/>
          <w:b/>
          <w:szCs w:val="21"/>
          <w:highlight w:val="none"/>
          <w:u w:val="single"/>
        </w:rPr>
        <w:t>通过初步评审的投标人才参与投标人总得分汇总。</w:t>
      </w:r>
    </w:p>
    <w:p w14:paraId="7A11EEBE">
      <w:pPr>
        <w:spacing w:line="360" w:lineRule="auto"/>
        <w:ind w:firstLine="422" w:firstLineChars="201"/>
        <w:rPr>
          <w:rFonts w:ascii="宋体" w:hAnsi="宋体" w:cs="宋体"/>
          <w:szCs w:val="21"/>
          <w:highlight w:val="none"/>
          <w:u w:val="single"/>
        </w:rPr>
      </w:pPr>
      <w:r>
        <w:rPr>
          <w:rFonts w:hint="eastAsia" w:ascii="宋体" w:hAnsi="宋体" w:cs="宋体"/>
          <w:szCs w:val="21"/>
          <w:highlight w:val="none"/>
          <w:u w:val="single"/>
        </w:rPr>
        <w:t>3.6.4评标委员会编写、签署评标报告。评标报告由评标委员会全体成员签字，对评标结论持有异议的评标委员会成员可以书面方式阐述其不同意见和理由。</w:t>
      </w:r>
    </w:p>
    <w:p w14:paraId="3CB2015D">
      <w:pPr>
        <w:spacing w:line="360" w:lineRule="auto"/>
        <w:ind w:firstLine="422" w:firstLineChars="201"/>
        <w:rPr>
          <w:rFonts w:ascii="宋体" w:hAnsi="宋体" w:cs="宋体"/>
          <w:szCs w:val="21"/>
          <w:highlight w:val="none"/>
          <w:u w:val="single"/>
        </w:rPr>
      </w:pPr>
      <w:r>
        <w:rPr>
          <w:rFonts w:hint="eastAsia" w:ascii="宋体" w:hAnsi="宋体" w:cs="宋体"/>
          <w:szCs w:val="21"/>
          <w:highlight w:val="none"/>
          <w:u w:val="single"/>
        </w:rPr>
        <w:t>3.6.5评标委员会向招标人提交书面评标报告，评标过程中使用的文件、表格以及其他资料应当即时归还招标人（招标代理机构）。</w:t>
      </w:r>
    </w:p>
    <w:p w14:paraId="63ABB34A">
      <w:pPr>
        <w:snapToGrid w:val="0"/>
        <w:spacing w:line="360" w:lineRule="auto"/>
        <w:ind w:firstLine="422" w:firstLineChars="201"/>
        <w:rPr>
          <w:rFonts w:ascii="宋体" w:hAnsi="宋体"/>
          <w:szCs w:val="21"/>
          <w:highlight w:val="none"/>
          <w:u w:val="single"/>
        </w:rPr>
      </w:pPr>
      <w:r>
        <w:rPr>
          <w:rFonts w:hint="eastAsia" w:ascii="宋体" w:hAnsi="宋体" w:cs="宋体"/>
          <w:szCs w:val="21"/>
          <w:highlight w:val="none"/>
          <w:u w:val="single"/>
        </w:rPr>
        <w:t>3.6.6通过资格审查的投标人不足3家或经评审通过初步评审的投标人不足3家，应当依法重新招标</w:t>
      </w:r>
      <w:r>
        <w:rPr>
          <w:rFonts w:hint="eastAsia" w:ascii="宋体" w:hAnsi="宋体"/>
          <w:szCs w:val="21"/>
          <w:highlight w:val="none"/>
          <w:u w:val="single"/>
        </w:rPr>
        <w:t>。</w:t>
      </w:r>
    </w:p>
    <w:p w14:paraId="42EE7DCC">
      <w:pPr>
        <w:pStyle w:val="5"/>
        <w:spacing w:before="0" w:after="0" w:line="360" w:lineRule="auto"/>
        <w:rPr>
          <w:rFonts w:ascii="宋体" w:eastAsia="宋体"/>
          <w:highlight w:val="none"/>
          <w:u w:val="single"/>
          <w:lang w:val="zh-CN"/>
        </w:rPr>
      </w:pPr>
      <w:bookmarkStart w:id="466" w:name="_Toc165358704"/>
      <w:bookmarkStart w:id="467" w:name="_Toc165358839"/>
      <w:r>
        <w:rPr>
          <w:rFonts w:hint="eastAsia" w:ascii="宋体" w:eastAsia="宋体"/>
          <w:highlight w:val="none"/>
          <w:u w:val="single"/>
          <w:lang w:val="zh-CN"/>
        </w:rPr>
        <w:t>3.</w:t>
      </w:r>
      <w:r>
        <w:rPr>
          <w:rFonts w:hint="eastAsia" w:ascii="宋体" w:eastAsia="宋体"/>
          <w:highlight w:val="none"/>
          <w:u w:val="single"/>
        </w:rPr>
        <w:t>7</w:t>
      </w:r>
      <w:r>
        <w:rPr>
          <w:rFonts w:hint="eastAsia" w:ascii="宋体" w:eastAsia="宋体"/>
          <w:highlight w:val="none"/>
          <w:u w:val="single"/>
          <w:lang w:val="zh-CN"/>
        </w:rPr>
        <w:t xml:space="preserve"> 投标文件的澄清和补正</w:t>
      </w:r>
      <w:bookmarkEnd w:id="466"/>
      <w:bookmarkEnd w:id="467"/>
    </w:p>
    <w:p w14:paraId="7CB80173">
      <w:pPr>
        <w:spacing w:line="360" w:lineRule="auto"/>
        <w:ind w:firstLine="420" w:firstLineChars="200"/>
        <w:rPr>
          <w:rFonts w:ascii="宋体" w:hAnsi="宋体" w:cs="宋体"/>
          <w:highlight w:val="none"/>
          <w:u w:val="single"/>
        </w:rPr>
      </w:pPr>
      <w:r>
        <w:rPr>
          <w:rFonts w:hint="eastAsia" w:ascii="宋体" w:hAnsi="宋体" w:cs="宋体"/>
          <w:highlight w:val="none"/>
          <w:u w:val="single"/>
        </w:rPr>
        <w:t>3.7.1 为有助于投标文件的审查、评价和比较，评标期间，经评标委员会中超过两人（含两人）的成员以书面形式提出动议，评标委员会应当书面发出澄清通知，要求投标人对投标文件含义不明确的内容作出澄清。</w:t>
      </w:r>
    </w:p>
    <w:p w14:paraId="2861AE8B">
      <w:pPr>
        <w:spacing w:line="360" w:lineRule="auto"/>
        <w:ind w:firstLine="420" w:firstLineChars="200"/>
        <w:rPr>
          <w:rFonts w:ascii="宋体" w:hAnsi="宋体" w:cs="宋体"/>
          <w:highlight w:val="none"/>
          <w:u w:val="single"/>
        </w:rPr>
      </w:pPr>
      <w:r>
        <w:rPr>
          <w:rFonts w:hint="eastAsia" w:ascii="宋体" w:hAnsi="宋体" w:cs="宋体"/>
          <w:highlight w:val="none"/>
          <w:u w:val="single"/>
        </w:rPr>
        <w:t>3.7.2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9DFDAB5">
      <w:pPr>
        <w:spacing w:line="360" w:lineRule="auto"/>
        <w:ind w:firstLine="420" w:firstLineChars="200"/>
        <w:rPr>
          <w:rFonts w:ascii="宋体" w:hAnsi="宋体" w:cs="宋体"/>
          <w:highlight w:val="none"/>
          <w:u w:val="single"/>
        </w:rPr>
      </w:pPr>
      <w:r>
        <w:rPr>
          <w:rFonts w:hint="eastAsia" w:ascii="宋体" w:hAnsi="宋体" w:cs="宋体"/>
          <w:highlight w:val="none"/>
          <w:u w:val="single"/>
        </w:rPr>
        <w:t>3.7.3 评标委员会成员均应当阅读投标人的澄清，但应独立参考澄清对投标文件进行评审。</w:t>
      </w:r>
    </w:p>
    <w:p w14:paraId="4E2FD461">
      <w:pPr>
        <w:spacing w:line="360" w:lineRule="auto"/>
        <w:ind w:firstLine="420" w:firstLineChars="200"/>
        <w:rPr>
          <w:rFonts w:ascii="宋体" w:hAnsi="宋体" w:cs="宋体"/>
          <w:highlight w:val="none"/>
          <w:u w:val="single"/>
        </w:rPr>
      </w:pPr>
      <w:r>
        <w:rPr>
          <w:rFonts w:hint="eastAsia" w:ascii="宋体" w:hAnsi="宋体" w:cs="宋体"/>
          <w:highlight w:val="none"/>
          <w:u w:val="single"/>
        </w:rPr>
        <w:t>3.7.4 如果投标文件实质上不响应招标文件的各项要求，评标委员会相应评审将按照有效性审查标准予以拒绝，不接受投标人通过修改或撤销其不符合要求的差异或保留，使之成为具有响应性的投标。</w:t>
      </w:r>
    </w:p>
    <w:p w14:paraId="471E7340">
      <w:pPr>
        <w:pStyle w:val="5"/>
        <w:spacing w:before="0" w:after="0" w:line="360" w:lineRule="auto"/>
        <w:rPr>
          <w:rFonts w:ascii="宋体" w:eastAsia="宋体"/>
          <w:highlight w:val="none"/>
          <w:u w:val="single"/>
          <w:lang w:val="zh-CN"/>
        </w:rPr>
      </w:pPr>
      <w:bookmarkStart w:id="468" w:name="_Toc165358840"/>
      <w:bookmarkStart w:id="469" w:name="_Toc165358705"/>
      <w:r>
        <w:rPr>
          <w:rFonts w:hint="eastAsia" w:ascii="宋体" w:eastAsia="宋体"/>
          <w:highlight w:val="none"/>
          <w:u w:val="single"/>
          <w:lang w:val="zh-CN"/>
        </w:rPr>
        <w:t>3.</w:t>
      </w:r>
      <w:r>
        <w:rPr>
          <w:rFonts w:hint="eastAsia" w:ascii="宋体" w:eastAsia="宋体"/>
          <w:highlight w:val="none"/>
          <w:u w:val="single"/>
        </w:rPr>
        <w:t>8</w:t>
      </w:r>
      <w:r>
        <w:rPr>
          <w:rFonts w:hint="eastAsia" w:ascii="宋体" w:eastAsia="宋体"/>
          <w:highlight w:val="none"/>
          <w:u w:val="single"/>
          <w:lang w:val="zh-CN"/>
        </w:rPr>
        <w:t>评标结果</w:t>
      </w:r>
      <w:bookmarkEnd w:id="468"/>
      <w:bookmarkEnd w:id="469"/>
    </w:p>
    <w:p w14:paraId="47B76AF8">
      <w:pPr>
        <w:spacing w:line="360" w:lineRule="auto"/>
        <w:ind w:firstLine="424" w:firstLineChars="202"/>
        <w:rPr>
          <w:rFonts w:ascii="宋体" w:hAnsi="宋体"/>
          <w:szCs w:val="20"/>
          <w:highlight w:val="none"/>
          <w:u w:val="single"/>
        </w:rPr>
      </w:pPr>
      <w:r>
        <w:rPr>
          <w:rFonts w:ascii="宋体" w:hAnsi="宋体"/>
          <w:szCs w:val="20"/>
          <w:highlight w:val="none"/>
          <w:u w:val="single"/>
        </w:rPr>
        <w:t>3.</w:t>
      </w:r>
      <w:r>
        <w:rPr>
          <w:rFonts w:hint="eastAsia" w:ascii="宋体" w:hAnsi="宋体"/>
          <w:szCs w:val="20"/>
          <w:highlight w:val="none"/>
          <w:u w:val="single"/>
        </w:rPr>
        <w:t>8</w:t>
      </w:r>
      <w:r>
        <w:rPr>
          <w:rFonts w:ascii="宋体" w:hAnsi="宋体"/>
          <w:szCs w:val="20"/>
          <w:highlight w:val="none"/>
          <w:u w:val="single"/>
        </w:rPr>
        <w:t xml:space="preserve">.1 </w:t>
      </w:r>
      <w:r>
        <w:rPr>
          <w:rFonts w:hint="eastAsia" w:ascii="宋体" w:hAnsi="宋体"/>
          <w:szCs w:val="20"/>
          <w:highlight w:val="none"/>
          <w:u w:val="single"/>
        </w:rPr>
        <w:t>评标委员会完成评标后，应当向招标人提交书面评标报告。</w:t>
      </w:r>
    </w:p>
    <w:p w14:paraId="30411CD6">
      <w:pPr>
        <w:pStyle w:val="15"/>
        <w:spacing w:line="360" w:lineRule="auto"/>
        <w:rPr>
          <w:rFonts w:ascii="宋体" w:hAnsi="宋体"/>
          <w:highlight w:val="none"/>
        </w:rPr>
      </w:pPr>
    </w:p>
    <w:p w14:paraId="6F8980D7">
      <w:pPr>
        <w:pStyle w:val="5"/>
        <w:spacing w:before="0" w:after="0" w:line="360" w:lineRule="auto"/>
        <w:rPr>
          <w:rFonts w:ascii="宋体" w:eastAsia="宋体"/>
          <w:highlight w:val="none"/>
          <w:u w:val="single"/>
          <w:lang w:val="zh-CN"/>
        </w:rPr>
      </w:pPr>
      <w:bookmarkStart w:id="470" w:name="_Toc165358841"/>
      <w:bookmarkStart w:id="471" w:name="_Toc165358706"/>
      <w:r>
        <w:rPr>
          <w:rFonts w:hint="eastAsia" w:ascii="宋体" w:eastAsia="宋体"/>
          <w:highlight w:val="none"/>
          <w:u w:val="single"/>
          <w:lang w:val="zh-CN"/>
        </w:rPr>
        <w:t>4. 其他事项</w:t>
      </w:r>
      <w:bookmarkEnd w:id="470"/>
      <w:bookmarkEnd w:id="471"/>
    </w:p>
    <w:p w14:paraId="5694228D">
      <w:pPr>
        <w:spacing w:line="360" w:lineRule="auto"/>
        <w:ind w:firstLine="424" w:firstLineChars="202"/>
        <w:rPr>
          <w:rFonts w:ascii="宋体" w:hAnsi="宋体"/>
          <w:szCs w:val="20"/>
          <w:highlight w:val="none"/>
          <w:u w:val="single"/>
        </w:rPr>
      </w:pPr>
      <w:r>
        <w:rPr>
          <w:rFonts w:hint="eastAsia" w:ascii="宋体" w:hAnsi="宋体"/>
          <w:szCs w:val="20"/>
          <w:highlight w:val="none"/>
          <w:u w:val="single"/>
        </w:rPr>
        <w:t>因投诉生效，需要重新评标的，评标信息（含业绩、奖项等）仍以投标截止时投标人的信息为准。在评标阶段，因特殊原因需要延长投标有效期，投标人拒绝延长投标有效期的，仍参与评标，但不被推荐为合格中标候选人。</w:t>
      </w:r>
    </w:p>
    <w:p w14:paraId="737C01D5">
      <w:pPr>
        <w:pStyle w:val="2"/>
        <w:spacing w:after="0" w:line="360" w:lineRule="auto"/>
        <w:rPr>
          <w:rFonts w:ascii="宋体" w:hAnsi="宋体"/>
          <w:highlight w:val="none"/>
          <w:u w:val="single"/>
        </w:rPr>
      </w:pPr>
    </w:p>
    <w:p w14:paraId="4B2CF1EF">
      <w:pPr>
        <w:pStyle w:val="5"/>
        <w:spacing w:before="0" w:after="0" w:line="360" w:lineRule="auto"/>
        <w:rPr>
          <w:rFonts w:ascii="宋体" w:eastAsia="宋体"/>
          <w:highlight w:val="none"/>
          <w:u w:val="single"/>
          <w:lang w:val="zh-CN"/>
        </w:rPr>
      </w:pPr>
      <w:bookmarkStart w:id="472" w:name="_Toc505152704"/>
      <w:bookmarkStart w:id="473" w:name="_Toc480225665"/>
      <w:bookmarkStart w:id="474" w:name="_Toc165358842"/>
      <w:bookmarkStart w:id="475" w:name="_Toc165358707"/>
      <w:bookmarkStart w:id="476" w:name="_Toc20246"/>
      <w:r>
        <w:rPr>
          <w:rFonts w:hint="eastAsia" w:ascii="宋体" w:eastAsia="宋体"/>
          <w:highlight w:val="none"/>
          <w:u w:val="single"/>
          <w:lang w:val="zh-CN"/>
        </w:rPr>
        <w:t>5. 评标表格</w:t>
      </w:r>
      <w:bookmarkEnd w:id="472"/>
      <w:bookmarkEnd w:id="473"/>
      <w:bookmarkEnd w:id="474"/>
      <w:bookmarkEnd w:id="475"/>
      <w:bookmarkEnd w:id="476"/>
    </w:p>
    <w:p w14:paraId="03ED2186">
      <w:pPr>
        <w:spacing w:line="360" w:lineRule="auto"/>
        <w:ind w:firstLine="420" w:firstLineChars="200"/>
        <w:rPr>
          <w:rFonts w:ascii="宋体" w:hAnsi="宋体" w:cs="宋体"/>
          <w:highlight w:val="none"/>
          <w:u w:val="single"/>
        </w:rPr>
      </w:pPr>
      <w:r>
        <w:rPr>
          <w:rFonts w:hint="eastAsia" w:ascii="宋体" w:hAnsi="宋体" w:cs="宋体"/>
          <w:highlight w:val="none"/>
          <w:u w:val="single"/>
        </w:rPr>
        <w:t>见后附表。</w:t>
      </w:r>
    </w:p>
    <w:p w14:paraId="214F339D">
      <w:pPr>
        <w:pStyle w:val="2"/>
        <w:spacing w:after="0" w:line="360" w:lineRule="auto"/>
        <w:rPr>
          <w:rFonts w:ascii="宋体" w:hAnsi="宋体"/>
          <w:highlight w:val="none"/>
        </w:rPr>
        <w:sectPr>
          <w:headerReference r:id="rId16" w:type="first"/>
          <w:footerReference r:id="rId18" w:type="first"/>
          <w:headerReference r:id="rId15" w:type="even"/>
          <w:footerReference r:id="rId17" w:type="even"/>
          <w:pgSz w:w="11907" w:h="16840"/>
          <w:pgMar w:top="1440" w:right="1080" w:bottom="1440" w:left="1080" w:header="851" w:footer="992" w:gutter="0"/>
          <w:pgNumType w:fmt="decimal"/>
          <w:cols w:space="720" w:num="1"/>
          <w:docGrid w:linePitch="312" w:charSpace="0"/>
        </w:sectPr>
      </w:pPr>
    </w:p>
    <w:p w14:paraId="4E09F878">
      <w:pPr>
        <w:pStyle w:val="4"/>
        <w:rPr>
          <w:rFonts w:ascii="宋体" w:hAnsi="宋体" w:eastAsia="宋体"/>
          <w:highlight w:val="none"/>
        </w:rPr>
      </w:pPr>
      <w:bookmarkStart w:id="477" w:name="_Toc165358708"/>
      <w:bookmarkStart w:id="478" w:name="_Toc165358843"/>
      <w:r>
        <w:rPr>
          <w:rFonts w:hint="eastAsia" w:ascii="宋体" w:hAnsi="宋体" w:eastAsia="宋体"/>
          <w:highlight w:val="none"/>
        </w:rPr>
        <w:t>附表1</w:t>
      </w:r>
      <w:bookmarkEnd w:id="477"/>
      <w:bookmarkEnd w:id="478"/>
    </w:p>
    <w:p w14:paraId="03596C93">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eastAsia="zh-CN"/>
        </w:rPr>
        <w:t>技术</w:t>
      </w:r>
      <w:r>
        <w:rPr>
          <w:rFonts w:hint="eastAsia" w:ascii="宋体" w:hAnsi="宋体" w:cs="宋体"/>
          <w:b/>
          <w:sz w:val="28"/>
          <w:szCs w:val="28"/>
          <w:highlight w:val="none"/>
          <w:lang w:val="en-US" w:eastAsia="zh-CN"/>
        </w:rPr>
        <w:t>标</w:t>
      </w:r>
      <w:r>
        <w:rPr>
          <w:rFonts w:hint="eastAsia" w:ascii="宋体" w:hAnsi="宋体" w:cs="宋体"/>
          <w:b/>
          <w:sz w:val="28"/>
          <w:szCs w:val="28"/>
          <w:highlight w:val="none"/>
          <w:lang w:eastAsia="zh-CN"/>
        </w:rPr>
        <w:t>评分表</w:t>
      </w:r>
    </w:p>
    <w:tbl>
      <w:tblPr>
        <w:tblStyle w:val="45"/>
        <w:tblW w:w="14503"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503"/>
        <w:gridCol w:w="708"/>
        <w:gridCol w:w="10993"/>
      </w:tblGrid>
      <w:tr w14:paraId="1955AB1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top"/>
          </w:tcPr>
          <w:p w14:paraId="40883A0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评分项目</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CAFC87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评分内容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D8F156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10993" w:type="dxa"/>
            <w:tcBorders>
              <w:top w:val="single" w:color="auto" w:sz="4" w:space="0"/>
              <w:left w:val="single" w:color="auto" w:sz="4" w:space="0"/>
              <w:bottom w:val="single" w:color="auto" w:sz="4" w:space="0"/>
              <w:right w:val="single" w:color="auto" w:sz="4" w:space="0"/>
            </w:tcBorders>
            <w:noWrap w:val="0"/>
            <w:vAlign w:val="center"/>
          </w:tcPr>
          <w:p w14:paraId="759A9E1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评审标准</w:t>
            </w:r>
          </w:p>
        </w:tc>
      </w:tr>
      <w:tr w14:paraId="2805759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jc w:val="center"/>
        </w:trPr>
        <w:tc>
          <w:tcPr>
            <w:tcW w:w="1299" w:type="dxa"/>
            <w:vMerge w:val="restart"/>
            <w:tcBorders>
              <w:top w:val="single" w:color="auto" w:sz="4" w:space="0"/>
              <w:left w:val="single" w:color="auto" w:sz="4" w:space="0"/>
              <w:right w:val="single" w:color="auto" w:sz="4" w:space="0"/>
            </w:tcBorders>
            <w:noWrap w:val="0"/>
            <w:vAlign w:val="center"/>
          </w:tcPr>
          <w:p w14:paraId="68C2C6B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项目管理机构能力（40分）</w:t>
            </w:r>
          </w:p>
        </w:tc>
        <w:tc>
          <w:tcPr>
            <w:tcW w:w="1503" w:type="dxa"/>
            <w:tcBorders>
              <w:top w:val="single" w:color="auto" w:sz="4" w:space="0"/>
              <w:left w:val="single" w:color="auto" w:sz="4" w:space="0"/>
              <w:right w:val="single" w:color="auto" w:sz="4" w:space="0"/>
            </w:tcBorders>
            <w:noWrap w:val="0"/>
            <w:vAlign w:val="center"/>
          </w:tcPr>
          <w:p w14:paraId="28CCDDA9">
            <w:pPr>
              <w:widowControl/>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项目负责人</w:t>
            </w:r>
            <w:r>
              <w:rPr>
                <w:rFonts w:hint="eastAsia" w:ascii="宋体" w:hAnsi="宋体" w:cs="宋体"/>
                <w:kern w:val="2"/>
                <w:sz w:val="21"/>
                <w:szCs w:val="21"/>
                <w:lang w:val="en-US" w:eastAsia="zh-CN" w:bidi="ar-SA"/>
              </w:rPr>
              <w:t>（兼施工负责人）</w:t>
            </w:r>
          </w:p>
        </w:tc>
        <w:tc>
          <w:tcPr>
            <w:tcW w:w="708" w:type="dxa"/>
            <w:tcBorders>
              <w:top w:val="single" w:color="auto" w:sz="4" w:space="0"/>
              <w:left w:val="single" w:color="auto" w:sz="4" w:space="0"/>
              <w:right w:val="single" w:color="auto" w:sz="4" w:space="0"/>
            </w:tcBorders>
            <w:noWrap w:val="0"/>
            <w:vAlign w:val="center"/>
          </w:tcPr>
          <w:p w14:paraId="5A710CA0">
            <w:pPr>
              <w:widowControl/>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10993" w:type="dxa"/>
            <w:tcBorders>
              <w:top w:val="single" w:color="auto" w:sz="4" w:space="0"/>
              <w:left w:val="single" w:color="auto" w:sz="4" w:space="0"/>
              <w:right w:val="single" w:color="auto" w:sz="4" w:space="0"/>
            </w:tcBorders>
            <w:noWrap w:val="0"/>
            <w:vAlign w:val="center"/>
          </w:tcPr>
          <w:p w14:paraId="6348E24D">
            <w:pPr>
              <w:widowControl w:val="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（1）具备</w:t>
            </w:r>
            <w:r>
              <w:rPr>
                <w:rFonts w:hint="eastAsia" w:ascii="宋体" w:hAnsi="宋体" w:cs="宋体"/>
                <w:kern w:val="2"/>
                <w:sz w:val="21"/>
                <w:szCs w:val="21"/>
                <w:highlight w:val="none"/>
                <w:lang w:val="en-US" w:eastAsia="zh-CN" w:bidi="ar-SA"/>
              </w:rPr>
              <w:t>工程</w:t>
            </w:r>
            <w:r>
              <w:rPr>
                <w:rFonts w:hint="eastAsia" w:ascii="宋体" w:hAnsi="宋体" w:eastAsia="宋体" w:cs="宋体"/>
                <w:kern w:val="2"/>
                <w:sz w:val="21"/>
                <w:szCs w:val="21"/>
                <w:highlight w:val="none"/>
                <w:lang w:val="en-US" w:eastAsia="zh-CN" w:bidi="ar-SA"/>
              </w:rPr>
              <w:t>类相关专业高级工程师或以上职称，得2分；具备</w:t>
            </w:r>
            <w:r>
              <w:rPr>
                <w:rFonts w:hint="eastAsia" w:ascii="宋体" w:hAnsi="宋体" w:cs="宋体"/>
                <w:kern w:val="2"/>
                <w:sz w:val="21"/>
                <w:szCs w:val="21"/>
                <w:highlight w:val="none"/>
                <w:lang w:val="en-US" w:eastAsia="zh-CN" w:bidi="ar-SA"/>
              </w:rPr>
              <w:t>工程</w:t>
            </w:r>
            <w:r>
              <w:rPr>
                <w:rFonts w:hint="eastAsia" w:ascii="宋体" w:hAnsi="宋体" w:eastAsia="宋体" w:cs="宋体"/>
                <w:kern w:val="2"/>
                <w:sz w:val="21"/>
                <w:szCs w:val="21"/>
                <w:highlight w:val="none"/>
                <w:lang w:val="en-US" w:eastAsia="zh-CN" w:bidi="ar-SA"/>
              </w:rPr>
              <w:t>类相关专业中级工程师职称，得1分；不符合要求的，不得分。</w:t>
            </w:r>
          </w:p>
          <w:p w14:paraId="180943E3"/>
          <w:p w14:paraId="602F86AB">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）自2021年1月1日至投标截止时间止，作为项目负责人完成过质量合格的金额大于或等于</w:t>
            </w:r>
            <w:r>
              <w:rPr>
                <w:rFonts w:hint="eastAsia" w:ascii="宋体" w:hAnsi="宋体" w:eastAsia="宋体" w:cs="宋体"/>
                <w:sz w:val="21"/>
                <w:szCs w:val="21"/>
                <w:highlight w:val="none"/>
                <w:lang w:val="en-US" w:eastAsia="zh-CN"/>
              </w:rPr>
              <w:t>4000</w:t>
            </w:r>
            <w:r>
              <w:rPr>
                <w:rFonts w:hint="eastAsia" w:ascii="宋体" w:hAnsi="宋体" w:eastAsia="宋体" w:cs="宋体"/>
                <w:sz w:val="21"/>
                <w:szCs w:val="21"/>
                <w:highlight w:val="none"/>
              </w:rPr>
              <w:t>万的建筑工程施工总承包业绩或工程总承包项目的建筑工程施工部分业绩的，每项得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分，本项最高得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61CEF5AE">
            <w:pPr>
              <w:widowControl/>
              <w:jc w:val="both"/>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）自2021年1月1日至投标截止时间止，作为项目负责人完成过的建筑工程施工总承包业绩或工程总承包项目的建筑工程施工部分业绩，获得过市级或以上质量类奖项，每项得2分。本项最高得2分</w:t>
            </w:r>
          </w:p>
        </w:tc>
      </w:tr>
      <w:tr w14:paraId="4014C3C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99" w:type="dxa"/>
            <w:vMerge w:val="continue"/>
            <w:tcBorders>
              <w:left w:val="single" w:color="auto" w:sz="4" w:space="0"/>
              <w:right w:val="single" w:color="auto" w:sz="4" w:space="0"/>
            </w:tcBorders>
            <w:noWrap w:val="0"/>
            <w:vAlign w:val="center"/>
          </w:tcPr>
          <w:p w14:paraId="3467AE32">
            <w:pPr>
              <w:widowControl/>
              <w:jc w:val="center"/>
              <w:rPr>
                <w:rFonts w:hint="eastAsia" w:ascii="宋体" w:hAnsi="宋体" w:eastAsia="宋体" w:cs="宋体"/>
                <w:sz w:val="21"/>
                <w:szCs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2A681FD2">
            <w:pPr>
              <w:widowControl/>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技术负责人</w:t>
            </w:r>
          </w:p>
        </w:tc>
        <w:tc>
          <w:tcPr>
            <w:tcW w:w="708" w:type="dxa"/>
            <w:tcBorders>
              <w:left w:val="single" w:color="auto" w:sz="4" w:space="0"/>
              <w:right w:val="single" w:color="auto" w:sz="4" w:space="0"/>
            </w:tcBorders>
            <w:noWrap w:val="0"/>
            <w:vAlign w:val="center"/>
          </w:tcPr>
          <w:p w14:paraId="72A8D3C4">
            <w:pPr>
              <w:widowControl/>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10993" w:type="dxa"/>
            <w:tcBorders>
              <w:left w:val="single" w:color="auto" w:sz="4" w:space="0"/>
              <w:right w:val="single" w:color="auto" w:sz="4" w:space="0"/>
            </w:tcBorders>
            <w:noWrap w:val="0"/>
            <w:vAlign w:val="center"/>
          </w:tcPr>
          <w:p w14:paraId="0A46876B">
            <w:pPr>
              <w:widowControl w:val="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（1）具有建筑类相关专业高级工程师或以上职称的，得</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分；不符合要求的，不得分。</w:t>
            </w:r>
          </w:p>
          <w:p w14:paraId="174B5D2F">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）自2021年1月1日至投标截止时间止，作为项目</w:t>
            </w: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负责人完成过质量合格的金额大于或等于</w:t>
            </w:r>
            <w:r>
              <w:rPr>
                <w:rFonts w:hint="eastAsia" w:ascii="宋体" w:hAnsi="宋体" w:eastAsia="宋体" w:cs="宋体"/>
                <w:sz w:val="21"/>
                <w:szCs w:val="21"/>
                <w:highlight w:val="none"/>
                <w:lang w:val="en-US" w:eastAsia="zh-CN"/>
              </w:rPr>
              <w:t>4000</w:t>
            </w:r>
            <w:r>
              <w:rPr>
                <w:rFonts w:hint="eastAsia" w:ascii="宋体" w:hAnsi="宋体" w:eastAsia="宋体" w:cs="宋体"/>
                <w:sz w:val="21"/>
                <w:szCs w:val="21"/>
                <w:highlight w:val="none"/>
              </w:rPr>
              <w:t>万的建筑工程施工总承包业绩或工程总承包项目的建筑工程施工部分业绩的，每项得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分，本项最高得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553E6007">
            <w:pPr>
              <w:widowControl/>
              <w:jc w:val="both"/>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（3）自2021年1月1日至投标截止时间止，作为项目</w:t>
            </w:r>
            <w:r>
              <w:rPr>
                <w:rFonts w:hint="eastAsia" w:ascii="宋体" w:hAnsi="宋体" w:eastAsia="宋体" w:cs="宋体"/>
                <w:sz w:val="21"/>
                <w:szCs w:val="21"/>
                <w:highlight w:val="none"/>
              </w:rPr>
              <w:t>项目负责人</w:t>
            </w:r>
            <w:r>
              <w:rPr>
                <w:rFonts w:hint="eastAsia" w:ascii="宋体" w:hAnsi="宋体" w:eastAsia="宋体" w:cs="宋体"/>
                <w:sz w:val="21"/>
                <w:szCs w:val="21"/>
                <w:highlight w:val="none"/>
                <w:lang w:val="en-US" w:eastAsia="zh-CN"/>
              </w:rPr>
              <w:t>或技术负责人</w:t>
            </w:r>
            <w:r>
              <w:rPr>
                <w:rFonts w:hint="eastAsia" w:ascii="宋体" w:hAnsi="宋体" w:eastAsia="宋体" w:cs="宋体"/>
                <w:kern w:val="2"/>
                <w:sz w:val="21"/>
                <w:szCs w:val="21"/>
                <w:highlight w:val="none"/>
                <w:lang w:val="en-US" w:eastAsia="zh-CN" w:bidi="ar-SA"/>
              </w:rPr>
              <w:t>完成过的建筑工程施工总承包业绩或工程总承包项目的建筑工程施工部分业绩，获得过市级或以上质量类奖项，每项得2分。本项最高得2分</w:t>
            </w:r>
          </w:p>
        </w:tc>
      </w:tr>
      <w:tr w14:paraId="0DC2DAA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99" w:type="dxa"/>
            <w:vMerge w:val="continue"/>
            <w:tcBorders>
              <w:left w:val="single" w:color="auto" w:sz="4" w:space="0"/>
              <w:right w:val="single" w:color="auto" w:sz="4" w:space="0"/>
            </w:tcBorders>
            <w:noWrap w:val="0"/>
            <w:vAlign w:val="center"/>
          </w:tcPr>
          <w:p w14:paraId="238F79F3">
            <w:pPr>
              <w:widowControl/>
              <w:jc w:val="center"/>
              <w:rPr>
                <w:rFonts w:hint="eastAsia" w:ascii="宋体" w:hAnsi="宋体" w:eastAsia="宋体" w:cs="宋体"/>
                <w:sz w:val="21"/>
                <w:szCs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2306A843">
            <w:pPr>
              <w:widowControl/>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质量负责人</w:t>
            </w:r>
          </w:p>
        </w:tc>
        <w:tc>
          <w:tcPr>
            <w:tcW w:w="708" w:type="dxa"/>
            <w:tcBorders>
              <w:left w:val="single" w:color="auto" w:sz="4" w:space="0"/>
              <w:right w:val="single" w:color="auto" w:sz="4" w:space="0"/>
            </w:tcBorders>
            <w:noWrap w:val="0"/>
            <w:vAlign w:val="center"/>
          </w:tcPr>
          <w:p w14:paraId="3F0A8C35">
            <w:pPr>
              <w:widowControl/>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10993" w:type="dxa"/>
            <w:tcBorders>
              <w:left w:val="single" w:color="auto" w:sz="4" w:space="0"/>
              <w:right w:val="single" w:color="auto" w:sz="4" w:space="0"/>
            </w:tcBorders>
            <w:noWrap w:val="0"/>
            <w:vAlign w:val="center"/>
          </w:tcPr>
          <w:p w14:paraId="6818CA95">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（1）具有建筑类相关专业高级工程师或以上职称的，得</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分；具备建筑类相关专业中级工程师职称，得1分；不符合要求的，不得分。</w:t>
            </w:r>
          </w:p>
          <w:p w14:paraId="7113ED60">
            <w:pPr>
              <w:widowControl/>
              <w:jc w:val="both"/>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Cs w:val="21"/>
                <w:highlight w:val="none"/>
              </w:rPr>
              <w:t>工作年限在</w:t>
            </w:r>
            <w:r>
              <w:rPr>
                <w:rFonts w:hint="eastAsia" w:ascii="宋体" w:hAnsi="宋体" w:eastAsia="宋体" w:cs="宋体"/>
                <w:kern w:val="2"/>
                <w:sz w:val="21"/>
                <w:szCs w:val="21"/>
                <w:lang w:val="en-US" w:eastAsia="zh-CN" w:bidi="ar-SA"/>
              </w:rPr>
              <w:t>5年或以上（含5年）的，得2分；</w:t>
            </w:r>
            <w:r>
              <w:rPr>
                <w:rFonts w:hint="eastAsia" w:ascii="宋体" w:hAnsi="宋体" w:eastAsia="宋体" w:cs="宋体"/>
                <w:szCs w:val="21"/>
                <w:highlight w:val="none"/>
              </w:rPr>
              <w:t>工作年限在</w:t>
            </w:r>
            <w:r>
              <w:rPr>
                <w:rFonts w:hint="eastAsia" w:ascii="宋体" w:hAnsi="宋体" w:eastAsia="宋体" w:cs="宋体"/>
                <w:kern w:val="2"/>
                <w:sz w:val="21"/>
                <w:szCs w:val="21"/>
                <w:lang w:val="en-US" w:eastAsia="zh-CN" w:bidi="ar-SA"/>
              </w:rPr>
              <w:t>5年以下（不含5年）年限的，得1分。</w:t>
            </w:r>
            <w:r>
              <w:rPr>
                <w:rFonts w:hint="eastAsia" w:ascii="宋体" w:hAnsi="宋体" w:eastAsia="宋体" w:cs="宋体"/>
                <w:sz w:val="21"/>
                <w:szCs w:val="21"/>
                <w:lang w:val="en-US" w:eastAsia="zh-CN"/>
              </w:rPr>
              <w:t>未取得不得分。</w:t>
            </w:r>
          </w:p>
        </w:tc>
      </w:tr>
      <w:tr w14:paraId="478C39B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99" w:type="dxa"/>
            <w:vMerge w:val="continue"/>
            <w:tcBorders>
              <w:left w:val="single" w:color="auto" w:sz="4" w:space="0"/>
              <w:right w:val="single" w:color="auto" w:sz="4" w:space="0"/>
            </w:tcBorders>
            <w:noWrap w:val="0"/>
            <w:vAlign w:val="center"/>
          </w:tcPr>
          <w:p w14:paraId="5E0245FE">
            <w:pPr>
              <w:widowControl/>
              <w:jc w:val="center"/>
              <w:rPr>
                <w:rFonts w:hint="eastAsia" w:ascii="宋体" w:hAnsi="宋体" w:eastAsia="宋体" w:cs="宋体"/>
                <w:sz w:val="21"/>
                <w:szCs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A7ED946">
            <w:pPr>
              <w:widowControl/>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安全负责人</w:t>
            </w:r>
          </w:p>
        </w:tc>
        <w:tc>
          <w:tcPr>
            <w:tcW w:w="708" w:type="dxa"/>
            <w:tcBorders>
              <w:left w:val="single" w:color="auto" w:sz="4" w:space="0"/>
              <w:right w:val="single" w:color="auto" w:sz="4" w:space="0"/>
            </w:tcBorders>
            <w:noWrap w:val="0"/>
            <w:vAlign w:val="center"/>
          </w:tcPr>
          <w:p w14:paraId="1F788A57">
            <w:pPr>
              <w:widowControl/>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10993" w:type="dxa"/>
            <w:tcBorders>
              <w:left w:val="single" w:color="auto" w:sz="4" w:space="0"/>
              <w:right w:val="single" w:color="auto" w:sz="4" w:space="0"/>
            </w:tcBorders>
            <w:noWrap w:val="0"/>
            <w:vAlign w:val="center"/>
          </w:tcPr>
          <w:p w14:paraId="46F5BF64">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（1）具有建筑类相关专业高级工程师或以上职称的，得</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分；具备建筑类相关专业中级工程师职称，得1分；不符合要求的，不得分。</w:t>
            </w:r>
          </w:p>
          <w:p w14:paraId="5CF6B082">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（2）具有在有效期内安全生产考核合格证（A类或B类或C类或C3类），得</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w:t>
            </w:r>
          </w:p>
          <w:p w14:paraId="702166A9">
            <w:pPr>
              <w:widowControl/>
              <w:jc w:val="both"/>
              <w:rPr>
                <w:rFonts w:hint="eastAsia" w:ascii="宋体" w:hAnsi="宋体" w:eastAsia="宋体" w:cs="宋体"/>
                <w:sz w:val="21"/>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Cs w:val="21"/>
                <w:highlight w:val="none"/>
              </w:rPr>
              <w:t>工作年限在</w:t>
            </w:r>
            <w:r>
              <w:rPr>
                <w:rFonts w:hint="eastAsia" w:ascii="宋体" w:hAnsi="宋体" w:eastAsia="宋体" w:cs="宋体"/>
                <w:kern w:val="2"/>
                <w:sz w:val="21"/>
                <w:szCs w:val="21"/>
                <w:lang w:val="en-US" w:eastAsia="zh-CN" w:bidi="ar-SA"/>
              </w:rPr>
              <w:t>5年或以上（含5年）的，得2分；</w:t>
            </w:r>
            <w:r>
              <w:rPr>
                <w:rFonts w:hint="eastAsia" w:ascii="宋体" w:hAnsi="宋体" w:eastAsia="宋体" w:cs="宋体"/>
                <w:szCs w:val="21"/>
                <w:highlight w:val="none"/>
              </w:rPr>
              <w:t>工作年限在</w:t>
            </w:r>
            <w:r>
              <w:rPr>
                <w:rFonts w:hint="eastAsia" w:ascii="宋体" w:hAnsi="宋体" w:eastAsia="宋体" w:cs="宋体"/>
                <w:kern w:val="2"/>
                <w:sz w:val="21"/>
                <w:szCs w:val="21"/>
                <w:lang w:val="en-US" w:eastAsia="zh-CN" w:bidi="ar-SA"/>
              </w:rPr>
              <w:t>5年以下（不含5年）年限的，得1分。</w:t>
            </w:r>
            <w:r>
              <w:rPr>
                <w:rFonts w:hint="eastAsia" w:ascii="宋体" w:hAnsi="宋体" w:eastAsia="宋体" w:cs="宋体"/>
                <w:sz w:val="21"/>
                <w:szCs w:val="21"/>
                <w:lang w:val="en-US" w:eastAsia="zh-CN"/>
              </w:rPr>
              <w:t>未取得不得分。</w:t>
            </w:r>
          </w:p>
        </w:tc>
      </w:tr>
      <w:tr w14:paraId="317A17C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99" w:type="dxa"/>
            <w:vMerge w:val="continue"/>
            <w:tcBorders>
              <w:left w:val="single" w:color="auto" w:sz="4" w:space="0"/>
              <w:right w:val="single" w:color="auto" w:sz="4" w:space="0"/>
            </w:tcBorders>
            <w:noWrap w:val="0"/>
            <w:vAlign w:val="center"/>
          </w:tcPr>
          <w:p w14:paraId="43F77815">
            <w:pPr>
              <w:widowControl/>
              <w:jc w:val="center"/>
              <w:rPr>
                <w:rFonts w:hint="eastAsia" w:ascii="宋体" w:hAnsi="宋体" w:eastAsia="宋体" w:cs="宋体"/>
                <w:sz w:val="21"/>
                <w:szCs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9CBDD7B">
            <w:pPr>
              <w:widowControl/>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造价负责人</w:t>
            </w:r>
          </w:p>
        </w:tc>
        <w:tc>
          <w:tcPr>
            <w:tcW w:w="708" w:type="dxa"/>
            <w:tcBorders>
              <w:left w:val="single" w:color="auto" w:sz="4" w:space="0"/>
              <w:bottom w:val="single" w:color="auto" w:sz="4" w:space="0"/>
              <w:right w:val="single" w:color="auto" w:sz="4" w:space="0"/>
            </w:tcBorders>
            <w:noWrap w:val="0"/>
            <w:vAlign w:val="center"/>
          </w:tcPr>
          <w:p w14:paraId="68FB3505">
            <w:pPr>
              <w:widowControl/>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10993" w:type="dxa"/>
            <w:tcBorders>
              <w:left w:val="single" w:color="auto" w:sz="4" w:space="0"/>
              <w:bottom w:val="single" w:color="auto" w:sz="4" w:space="0"/>
              <w:right w:val="single" w:color="auto" w:sz="4" w:space="0"/>
            </w:tcBorders>
            <w:noWrap w:val="0"/>
            <w:vAlign w:val="center"/>
          </w:tcPr>
          <w:p w14:paraId="7E3468A6">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（1）具有造价类专业高级工程师或以上职称的，得</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分；具备造价类相关专业中级工程师职称，得1分；不符合要求的，不得分。</w:t>
            </w:r>
          </w:p>
          <w:p w14:paraId="0210E045">
            <w:pPr>
              <w:widowControl/>
              <w:jc w:val="both"/>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Cs w:val="21"/>
                <w:highlight w:val="none"/>
              </w:rPr>
              <w:t>工作年限在</w:t>
            </w:r>
            <w:r>
              <w:rPr>
                <w:rFonts w:hint="eastAsia" w:ascii="宋体" w:hAnsi="宋体" w:eastAsia="宋体" w:cs="宋体"/>
                <w:kern w:val="2"/>
                <w:sz w:val="21"/>
                <w:szCs w:val="21"/>
                <w:highlight w:val="none"/>
                <w:lang w:val="en-US" w:eastAsia="zh-CN" w:bidi="ar-SA"/>
              </w:rPr>
              <w:t>5年或以上(含5年)的，得2分；</w:t>
            </w:r>
            <w:r>
              <w:rPr>
                <w:rFonts w:hint="eastAsia" w:ascii="宋体" w:hAnsi="宋体" w:eastAsia="宋体" w:cs="宋体"/>
                <w:szCs w:val="21"/>
                <w:highlight w:val="none"/>
              </w:rPr>
              <w:t>工作年限在</w:t>
            </w:r>
            <w:r>
              <w:rPr>
                <w:rFonts w:hint="eastAsia" w:ascii="宋体" w:hAnsi="宋体" w:eastAsia="宋体" w:cs="宋体"/>
                <w:kern w:val="2"/>
                <w:sz w:val="21"/>
                <w:szCs w:val="21"/>
                <w:lang w:val="en-US" w:eastAsia="zh-CN" w:bidi="ar-SA"/>
              </w:rPr>
              <w:t>5年以下（不含5年）的，得1分。</w:t>
            </w:r>
            <w:r>
              <w:rPr>
                <w:rFonts w:hint="eastAsia" w:ascii="宋体" w:hAnsi="宋体" w:eastAsia="宋体" w:cs="宋体"/>
                <w:sz w:val="21"/>
                <w:szCs w:val="21"/>
                <w:lang w:val="en-US" w:eastAsia="zh-CN"/>
              </w:rPr>
              <w:t>未取得不得分。</w:t>
            </w:r>
          </w:p>
        </w:tc>
      </w:tr>
      <w:tr w14:paraId="2208FC2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99" w:type="dxa"/>
            <w:vMerge w:val="continue"/>
            <w:tcBorders>
              <w:left w:val="single" w:color="auto" w:sz="4" w:space="0"/>
              <w:right w:val="single" w:color="auto" w:sz="4" w:space="0"/>
            </w:tcBorders>
            <w:noWrap w:val="0"/>
            <w:vAlign w:val="center"/>
          </w:tcPr>
          <w:p w14:paraId="01DCB9B7">
            <w:pPr>
              <w:widowControl/>
              <w:jc w:val="center"/>
              <w:rPr>
                <w:rFonts w:hint="eastAsia" w:ascii="宋体" w:hAnsi="宋体" w:eastAsia="宋体" w:cs="宋体"/>
                <w:sz w:val="21"/>
                <w:szCs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53A816C1">
            <w:pPr>
              <w:widowControl/>
              <w:jc w:val="center"/>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施工管理机构人员配备基本要求</w:t>
            </w:r>
          </w:p>
        </w:tc>
        <w:tc>
          <w:tcPr>
            <w:tcW w:w="708" w:type="dxa"/>
            <w:tcBorders>
              <w:left w:val="single" w:color="auto" w:sz="4" w:space="0"/>
              <w:bottom w:val="single" w:color="auto" w:sz="4" w:space="0"/>
              <w:right w:val="single" w:color="auto" w:sz="4" w:space="0"/>
            </w:tcBorders>
            <w:noWrap w:val="0"/>
            <w:vAlign w:val="center"/>
          </w:tcPr>
          <w:p w14:paraId="7C1C656A">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0993" w:type="dxa"/>
            <w:tcBorders>
              <w:left w:val="single" w:color="auto" w:sz="4" w:space="0"/>
              <w:bottom w:val="single" w:color="auto" w:sz="4" w:space="0"/>
              <w:right w:val="single" w:color="auto" w:sz="4" w:space="0"/>
            </w:tcBorders>
            <w:noWrap w:val="0"/>
            <w:vAlign w:val="center"/>
          </w:tcPr>
          <w:p w14:paraId="492A717A">
            <w:pPr>
              <w:widowControl w:val="0"/>
              <w:jc w:val="both"/>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1、投标人施工管理机构人员配备满足《施工管理机构人员配备基本要求表》的得基础分6分，不满足《施工管理机构人员配备基本要求表》的得0分。</w:t>
            </w:r>
          </w:p>
        </w:tc>
      </w:tr>
      <w:tr w14:paraId="4ADA5ED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99" w:type="dxa"/>
            <w:vMerge w:val="continue"/>
            <w:tcBorders>
              <w:left w:val="single" w:color="auto" w:sz="4" w:space="0"/>
              <w:right w:val="single" w:color="auto" w:sz="4" w:space="0"/>
            </w:tcBorders>
            <w:noWrap w:val="0"/>
            <w:vAlign w:val="center"/>
          </w:tcPr>
          <w:p w14:paraId="12A5D532">
            <w:pPr>
              <w:widowControl/>
              <w:jc w:val="center"/>
              <w:rPr>
                <w:rFonts w:hint="eastAsia" w:ascii="宋体" w:hAnsi="宋体" w:eastAsia="宋体" w:cs="宋体"/>
                <w:sz w:val="21"/>
                <w:szCs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6CD562E">
            <w:pPr>
              <w:widowControl/>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动迁服务管理人员（至少委派2人或以上）</w:t>
            </w:r>
          </w:p>
        </w:tc>
        <w:tc>
          <w:tcPr>
            <w:tcW w:w="708" w:type="dxa"/>
            <w:tcBorders>
              <w:left w:val="single" w:color="auto" w:sz="4" w:space="0"/>
              <w:bottom w:val="single" w:color="auto" w:sz="4" w:space="0"/>
              <w:right w:val="single" w:color="auto" w:sz="4" w:space="0"/>
            </w:tcBorders>
            <w:noWrap w:val="0"/>
            <w:vAlign w:val="center"/>
          </w:tcPr>
          <w:p w14:paraId="684E974E">
            <w:pPr>
              <w:widowControl/>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0993" w:type="dxa"/>
            <w:tcBorders>
              <w:left w:val="single" w:color="auto" w:sz="4" w:space="0"/>
              <w:bottom w:val="single" w:color="auto" w:sz="4" w:space="0"/>
              <w:right w:val="single" w:color="auto" w:sz="4" w:space="0"/>
            </w:tcBorders>
            <w:noWrap w:val="0"/>
            <w:vAlign w:val="center"/>
          </w:tcPr>
          <w:p w14:paraId="4E59F0D2">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自2021年1月1日至投标截止时间止，完成过</w:t>
            </w:r>
            <w:r>
              <w:rPr>
                <w:rFonts w:hint="eastAsia" w:ascii="宋体" w:hAnsi="宋体" w:eastAsia="宋体" w:cs="宋体"/>
                <w:sz w:val="21"/>
                <w:szCs w:val="21"/>
                <w:highlight w:val="none"/>
                <w:lang w:val="en-US" w:eastAsia="zh-CN"/>
              </w:rPr>
              <w:t>总面积大于等于100万平方米以上房屋拆迁（或动迁）服务项目</w:t>
            </w:r>
            <w:r>
              <w:rPr>
                <w:rFonts w:hint="eastAsia" w:ascii="宋体" w:hAnsi="宋体" w:eastAsia="宋体" w:cs="宋体"/>
                <w:sz w:val="21"/>
                <w:szCs w:val="21"/>
                <w:highlight w:val="none"/>
              </w:rPr>
              <w:t>业绩</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，每</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分，本项最高得</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p>
        </w:tc>
      </w:tr>
      <w:tr w14:paraId="53E91A2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99" w:type="dxa"/>
            <w:vMerge w:val="restart"/>
            <w:tcBorders>
              <w:top w:val="single" w:color="auto" w:sz="4" w:space="0"/>
              <w:left w:val="single" w:color="auto" w:sz="4" w:space="0"/>
              <w:right w:val="single" w:color="auto" w:sz="4" w:space="0"/>
            </w:tcBorders>
            <w:noWrap w:val="0"/>
            <w:vAlign w:val="center"/>
          </w:tcPr>
          <w:p w14:paraId="2EEA0C7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企业资信（30分）</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248BA80E">
            <w:pPr>
              <w:widowControl/>
              <w:spacing w:before="0" w:beforeAutospacing="0" w:after="0" w:afterAutospacing="0"/>
              <w:ind w:left="6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类似</w:t>
            </w:r>
            <w:r>
              <w:rPr>
                <w:rFonts w:hint="eastAsia" w:ascii="宋体" w:hAnsi="宋体" w:cs="宋体"/>
                <w:kern w:val="0"/>
                <w:sz w:val="21"/>
                <w:szCs w:val="21"/>
                <w:lang w:val="en-US" w:eastAsia="zh-CN" w:bidi="ar-SA"/>
              </w:rPr>
              <w:t>施工</w:t>
            </w:r>
            <w:r>
              <w:rPr>
                <w:rFonts w:hint="eastAsia" w:ascii="宋体" w:hAnsi="宋体" w:eastAsia="宋体" w:cs="宋体"/>
                <w:kern w:val="0"/>
                <w:sz w:val="21"/>
                <w:szCs w:val="21"/>
                <w:lang w:val="en-US" w:eastAsia="zh-CN" w:bidi="ar-SA"/>
              </w:rPr>
              <w:t>业绩</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5B672CD">
            <w:pPr>
              <w:widowControl/>
              <w:spacing w:before="0" w:beforeAutospacing="0" w:after="0" w:afterAutospacing="0"/>
              <w:ind w:left="60"/>
              <w:jc w:val="center"/>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10</w:t>
            </w:r>
          </w:p>
        </w:tc>
        <w:tc>
          <w:tcPr>
            <w:tcW w:w="10993" w:type="dxa"/>
            <w:tcBorders>
              <w:top w:val="single" w:color="auto" w:sz="4" w:space="0"/>
              <w:left w:val="single" w:color="auto" w:sz="4" w:space="0"/>
              <w:bottom w:val="single" w:color="auto" w:sz="4" w:space="0"/>
              <w:right w:val="single" w:color="auto" w:sz="4" w:space="0"/>
            </w:tcBorders>
            <w:noWrap w:val="0"/>
            <w:vAlign w:val="center"/>
          </w:tcPr>
          <w:p w14:paraId="0B64E4C7">
            <w:pPr>
              <w:widowControl/>
              <w:spacing w:before="0" w:beforeAutospacing="0" w:after="0" w:afterAutospacing="0"/>
              <w:ind w:left="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zh-TW" w:eastAsia="zh-TW" w:bidi="ar-SA"/>
              </w:rPr>
              <w:t>投标人</w:t>
            </w:r>
            <w:r>
              <w:rPr>
                <w:rFonts w:hint="eastAsia" w:ascii="宋体" w:hAnsi="宋体" w:cs="宋体"/>
                <w:b w:val="0"/>
                <w:bCs w:val="0"/>
                <w:kern w:val="2"/>
                <w:sz w:val="21"/>
                <w:szCs w:val="21"/>
                <w:lang w:val="en-US" w:eastAsia="zh-CN" w:bidi="ar-SA"/>
              </w:rPr>
              <w:t>（</w:t>
            </w:r>
            <w:r>
              <w:rPr>
                <w:rFonts w:hint="eastAsia" w:ascii="宋体" w:hAnsi="宋体" w:cs="宋体"/>
                <w:b w:val="0"/>
                <w:bCs w:val="0"/>
                <w:sz w:val="21"/>
                <w:szCs w:val="21"/>
                <w:lang w:val="en-US" w:eastAsia="zh-CN"/>
              </w:rPr>
              <w:t>联合体投标的，</w:t>
            </w:r>
            <w:r>
              <w:rPr>
                <w:rFonts w:hint="eastAsia" w:ascii="宋体" w:hAnsi="宋体" w:eastAsia="宋体" w:cs="宋体"/>
                <w:b w:val="0"/>
                <w:bCs w:val="0"/>
                <w:kern w:val="2"/>
                <w:sz w:val="21"/>
                <w:szCs w:val="21"/>
                <w:lang w:val="en-US" w:eastAsia="zh-CN" w:bidi="ar-SA"/>
              </w:rPr>
              <w:t>由</w:t>
            </w:r>
            <w:r>
              <w:rPr>
                <w:rFonts w:hint="eastAsia"/>
                <w:b w:val="0"/>
                <w:bCs w:val="0"/>
                <w:color w:val="auto"/>
                <w:highlight w:val="none"/>
              </w:rPr>
              <w:t>施工</w:t>
            </w:r>
            <w:r>
              <w:rPr>
                <w:rFonts w:hint="eastAsia" w:ascii="Times New Roman" w:eastAsia="宋体"/>
                <w:b w:val="0"/>
                <w:bCs w:val="0"/>
                <w:color w:val="auto"/>
                <w:highlight w:val="none"/>
                <w:lang w:val="en-US" w:eastAsia="zh-CN"/>
              </w:rPr>
              <w:t>方提供</w:t>
            </w:r>
            <w:r>
              <w:rPr>
                <w:rFonts w:hint="eastAsia" w:ascii="宋体" w:hAnsi="宋体" w:cs="宋体"/>
                <w:b w:val="0"/>
                <w:bCs w:val="0"/>
                <w:kern w:val="2"/>
                <w:sz w:val="21"/>
                <w:szCs w:val="21"/>
                <w:lang w:val="en-US" w:eastAsia="zh-CN" w:bidi="ar-SA"/>
              </w:rPr>
              <w:t>）</w:t>
            </w:r>
            <w:r>
              <w:rPr>
                <w:rFonts w:hint="eastAsia" w:ascii="宋体" w:hAnsi="宋体" w:eastAsia="宋体" w:cs="宋体"/>
                <w:kern w:val="2"/>
                <w:sz w:val="21"/>
                <w:szCs w:val="21"/>
                <w:lang w:val="zh-TW" w:eastAsia="zh-TW" w:bidi="ar-SA"/>
              </w:rPr>
              <w:t>自202</w:t>
            </w:r>
            <w:r>
              <w:rPr>
                <w:rFonts w:hint="eastAsia" w:ascii="宋体" w:hAnsi="宋体" w:eastAsia="宋体" w:cs="宋体"/>
                <w:kern w:val="2"/>
                <w:sz w:val="21"/>
                <w:szCs w:val="21"/>
                <w:lang w:val="zh-TW" w:eastAsia="zh-CN" w:bidi="ar-SA"/>
              </w:rPr>
              <w:t>1</w:t>
            </w:r>
            <w:r>
              <w:rPr>
                <w:rFonts w:hint="eastAsia" w:ascii="宋体" w:hAnsi="宋体" w:eastAsia="宋体" w:cs="宋体"/>
                <w:kern w:val="2"/>
                <w:sz w:val="21"/>
                <w:szCs w:val="21"/>
                <w:lang w:val="zh-TW" w:eastAsia="zh-TW" w:bidi="ar-SA"/>
              </w:rPr>
              <w:t>年1月1日至投标截止时间止，完成过质量合格的金额大于或等于</w:t>
            </w:r>
            <w:r>
              <w:rPr>
                <w:rFonts w:hint="eastAsia" w:ascii="宋体" w:hAnsi="宋体" w:eastAsia="宋体" w:cs="宋体"/>
                <w:kern w:val="2"/>
                <w:sz w:val="21"/>
                <w:szCs w:val="21"/>
                <w:lang w:val="en-US" w:eastAsia="zh-CN" w:bidi="ar-SA"/>
              </w:rPr>
              <w:t>4</w:t>
            </w:r>
            <w:r>
              <w:rPr>
                <w:rFonts w:hint="eastAsia" w:ascii="宋体" w:hAnsi="宋体" w:eastAsia="宋体" w:cs="宋体"/>
                <w:kern w:val="2"/>
                <w:sz w:val="21"/>
                <w:szCs w:val="21"/>
                <w:lang w:val="zh-TW" w:eastAsia="zh-CN" w:bidi="ar-SA"/>
              </w:rPr>
              <w:t>0</w:t>
            </w:r>
            <w:r>
              <w:rPr>
                <w:rFonts w:hint="eastAsia" w:ascii="宋体" w:hAnsi="宋体" w:eastAsia="宋体" w:cs="宋体"/>
                <w:kern w:val="2"/>
                <w:sz w:val="21"/>
                <w:szCs w:val="21"/>
                <w:lang w:val="en-US" w:eastAsia="zh-CN" w:bidi="ar-SA"/>
              </w:rPr>
              <w:t>0</w:t>
            </w:r>
            <w:r>
              <w:rPr>
                <w:rFonts w:hint="eastAsia" w:ascii="宋体" w:hAnsi="宋体" w:eastAsia="宋体" w:cs="宋体"/>
                <w:kern w:val="2"/>
                <w:sz w:val="21"/>
                <w:szCs w:val="21"/>
                <w:lang w:val="zh-TW" w:eastAsia="zh-CN" w:bidi="ar-SA"/>
              </w:rPr>
              <w:t>0</w:t>
            </w:r>
            <w:r>
              <w:rPr>
                <w:rFonts w:hint="eastAsia" w:ascii="宋体" w:hAnsi="宋体" w:eastAsia="宋体" w:cs="宋体"/>
                <w:kern w:val="2"/>
                <w:sz w:val="21"/>
                <w:szCs w:val="21"/>
                <w:lang w:val="zh-TW" w:eastAsia="zh-TW" w:bidi="ar-SA"/>
              </w:rPr>
              <w:t>万的建筑工程施工总承包业绩或工程总承包项目的建筑工程施工部分业绩情况，每项得</w:t>
            </w:r>
            <w:r>
              <w:rPr>
                <w:rFonts w:hint="eastAsia" w:ascii="宋体" w:hAnsi="宋体" w:eastAsia="宋体" w:cs="宋体"/>
                <w:kern w:val="2"/>
                <w:sz w:val="21"/>
                <w:szCs w:val="21"/>
                <w:lang w:val="en-US" w:eastAsia="zh-CN" w:bidi="ar-SA"/>
              </w:rPr>
              <w:t>2.5</w:t>
            </w:r>
            <w:r>
              <w:rPr>
                <w:rFonts w:hint="eastAsia" w:ascii="宋体" w:hAnsi="宋体" w:eastAsia="宋体" w:cs="宋体"/>
                <w:kern w:val="2"/>
                <w:sz w:val="21"/>
                <w:szCs w:val="21"/>
                <w:lang w:val="zh-TW" w:eastAsia="zh-TW" w:bidi="ar-SA"/>
              </w:rPr>
              <w:t>分，本项最高得</w:t>
            </w:r>
            <w:r>
              <w:rPr>
                <w:rFonts w:hint="eastAsia" w:ascii="宋体" w:hAnsi="宋体" w:eastAsia="宋体" w:cs="宋体"/>
                <w:kern w:val="2"/>
                <w:sz w:val="21"/>
                <w:szCs w:val="21"/>
                <w:lang w:val="zh-TW" w:eastAsia="zh-CN" w:bidi="ar-SA"/>
              </w:rPr>
              <w:t>1</w:t>
            </w:r>
            <w:r>
              <w:rPr>
                <w:rFonts w:hint="eastAsia" w:ascii="宋体" w:hAnsi="宋体" w:eastAsia="宋体" w:cs="宋体"/>
                <w:kern w:val="2"/>
                <w:sz w:val="21"/>
                <w:szCs w:val="21"/>
                <w:lang w:val="en-US" w:eastAsia="zh-CN" w:bidi="ar-SA"/>
              </w:rPr>
              <w:t>0</w:t>
            </w:r>
            <w:r>
              <w:rPr>
                <w:rFonts w:hint="eastAsia" w:ascii="宋体" w:hAnsi="宋体" w:eastAsia="宋体" w:cs="宋体"/>
                <w:kern w:val="2"/>
                <w:sz w:val="21"/>
                <w:szCs w:val="21"/>
                <w:lang w:val="zh-TW" w:eastAsia="zh-TW" w:bidi="ar-SA"/>
              </w:rPr>
              <w:t>分。</w:t>
            </w:r>
          </w:p>
        </w:tc>
      </w:tr>
      <w:tr w14:paraId="6990BC3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99" w:type="dxa"/>
            <w:vMerge w:val="continue"/>
            <w:tcBorders>
              <w:left w:val="single" w:color="auto" w:sz="4" w:space="0"/>
              <w:right w:val="single" w:color="auto" w:sz="4" w:space="0"/>
            </w:tcBorders>
            <w:noWrap w:val="0"/>
            <w:vAlign w:val="center"/>
          </w:tcPr>
          <w:p w14:paraId="77EC09CC">
            <w:pPr>
              <w:widowControl/>
              <w:jc w:val="center"/>
              <w:rPr>
                <w:rFonts w:hint="eastAsia" w:ascii="宋体" w:hAnsi="宋体" w:eastAsia="宋体" w:cs="宋体"/>
                <w:color w:val="000000"/>
                <w:sz w:val="21"/>
                <w:szCs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550133F5">
            <w:pPr>
              <w:widowControl/>
              <w:spacing w:before="0" w:beforeAutospacing="0" w:after="0" w:afterAutospacing="0"/>
              <w:ind w:left="6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工程奖项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C44CF9A">
            <w:pPr>
              <w:widowControl/>
              <w:spacing w:before="0" w:beforeAutospacing="0" w:after="0" w:afterAutospacing="0"/>
              <w:ind w:left="6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0993" w:type="dxa"/>
            <w:tcBorders>
              <w:top w:val="single" w:color="auto" w:sz="4" w:space="0"/>
              <w:left w:val="single" w:color="auto" w:sz="4" w:space="0"/>
              <w:bottom w:val="single" w:color="auto" w:sz="4" w:space="0"/>
              <w:right w:val="single" w:color="auto" w:sz="4" w:space="0"/>
            </w:tcBorders>
            <w:noWrap w:val="0"/>
            <w:vAlign w:val="center"/>
          </w:tcPr>
          <w:p w14:paraId="7240F910">
            <w:pPr>
              <w:numPr>
                <w:ilvl w:val="0"/>
                <w:numId w:val="0"/>
              </w:numPr>
              <w:rPr>
                <w:rFonts w:hint="eastAsia" w:ascii="宋体" w:hAnsi="宋体" w:eastAsia="宋体" w:cs="宋体"/>
                <w:sz w:val="21"/>
                <w:szCs w:val="21"/>
              </w:rPr>
            </w:pPr>
            <w:r>
              <w:rPr>
                <w:rFonts w:hint="eastAsia" w:ascii="宋体" w:hAnsi="宋体" w:eastAsia="宋体" w:cs="宋体"/>
                <w:sz w:val="21"/>
                <w:szCs w:val="21"/>
                <w:lang w:val="zh-TW" w:eastAsia="zh-TW"/>
              </w:rPr>
              <w:t>投标人</w:t>
            </w:r>
            <w:r>
              <w:rPr>
                <w:rFonts w:hint="eastAsia" w:ascii="宋体" w:hAnsi="宋体" w:cs="宋体"/>
                <w:b w:val="0"/>
                <w:bCs w:val="0"/>
                <w:kern w:val="2"/>
                <w:sz w:val="21"/>
                <w:szCs w:val="21"/>
                <w:lang w:val="en-US" w:eastAsia="zh-CN" w:bidi="ar-SA"/>
              </w:rPr>
              <w:t>（</w:t>
            </w:r>
            <w:r>
              <w:rPr>
                <w:rFonts w:hint="eastAsia" w:ascii="宋体" w:hAnsi="宋体" w:cs="宋体"/>
                <w:b w:val="0"/>
                <w:bCs w:val="0"/>
                <w:sz w:val="21"/>
                <w:szCs w:val="21"/>
                <w:lang w:val="en-US" w:eastAsia="zh-CN"/>
              </w:rPr>
              <w:t>联合体投标的，</w:t>
            </w:r>
            <w:r>
              <w:rPr>
                <w:rFonts w:hint="eastAsia" w:ascii="宋体" w:hAnsi="宋体" w:eastAsia="宋体" w:cs="宋体"/>
                <w:b w:val="0"/>
                <w:bCs w:val="0"/>
                <w:kern w:val="2"/>
                <w:sz w:val="21"/>
                <w:szCs w:val="21"/>
                <w:lang w:val="en-US" w:eastAsia="zh-CN" w:bidi="ar-SA"/>
              </w:rPr>
              <w:t>由</w:t>
            </w:r>
            <w:r>
              <w:rPr>
                <w:rFonts w:hint="eastAsia"/>
                <w:b w:val="0"/>
                <w:bCs w:val="0"/>
                <w:color w:val="auto"/>
                <w:highlight w:val="none"/>
              </w:rPr>
              <w:t>施工</w:t>
            </w:r>
            <w:r>
              <w:rPr>
                <w:rFonts w:hint="eastAsia" w:ascii="Times New Roman" w:eastAsia="宋体"/>
                <w:b w:val="0"/>
                <w:bCs w:val="0"/>
                <w:color w:val="auto"/>
                <w:highlight w:val="none"/>
                <w:lang w:val="en-US" w:eastAsia="zh-CN"/>
              </w:rPr>
              <w:t>方提供</w:t>
            </w:r>
            <w:r>
              <w:rPr>
                <w:rFonts w:hint="eastAsia" w:ascii="宋体" w:hAnsi="宋体" w:cs="宋体"/>
                <w:b w:val="0"/>
                <w:bCs w:val="0"/>
                <w:kern w:val="2"/>
                <w:sz w:val="21"/>
                <w:szCs w:val="21"/>
                <w:lang w:val="en-US" w:eastAsia="zh-CN" w:bidi="ar-SA"/>
              </w:rPr>
              <w:t>）</w:t>
            </w:r>
            <w:r>
              <w:rPr>
                <w:rFonts w:hint="eastAsia" w:ascii="宋体" w:hAnsi="宋体" w:eastAsia="宋体" w:cs="宋体"/>
                <w:sz w:val="21"/>
                <w:szCs w:val="21"/>
                <w:lang w:val="zh-TW" w:eastAsia="zh-TW"/>
              </w:rPr>
              <w:t>自20</w:t>
            </w:r>
            <w:r>
              <w:rPr>
                <w:rFonts w:hint="eastAsia" w:ascii="宋体" w:hAnsi="宋体" w:eastAsia="宋体" w:cs="宋体"/>
                <w:sz w:val="21"/>
                <w:szCs w:val="21"/>
                <w:lang w:val="zh-TW"/>
              </w:rPr>
              <w:t>21</w:t>
            </w:r>
            <w:r>
              <w:rPr>
                <w:rFonts w:hint="eastAsia" w:ascii="宋体" w:hAnsi="宋体" w:eastAsia="宋体" w:cs="宋体"/>
                <w:sz w:val="21"/>
                <w:szCs w:val="21"/>
                <w:lang w:val="zh-TW" w:eastAsia="zh-TW"/>
              </w:rPr>
              <w:t>年1月1日至今（以获奖证书颁发时间为准），获得过国家级工程质量奖的，每个奖项得</w:t>
            </w:r>
            <w:r>
              <w:rPr>
                <w:rFonts w:hint="eastAsia" w:ascii="宋体" w:hAnsi="宋体" w:eastAsia="宋体" w:cs="宋体"/>
                <w:sz w:val="21"/>
                <w:szCs w:val="21"/>
                <w:lang w:val="en-US" w:eastAsia="zh-CN"/>
              </w:rPr>
              <w:t>3</w:t>
            </w:r>
            <w:r>
              <w:rPr>
                <w:rFonts w:hint="eastAsia" w:ascii="宋体" w:hAnsi="宋体" w:eastAsia="宋体" w:cs="宋体"/>
                <w:sz w:val="21"/>
                <w:szCs w:val="21"/>
                <w:lang w:val="zh-TW" w:eastAsia="zh-TW"/>
              </w:rPr>
              <w:t>分；获得过省级工程质量奖的，每个奖项得</w:t>
            </w:r>
            <w:r>
              <w:rPr>
                <w:rFonts w:hint="eastAsia" w:ascii="宋体" w:hAnsi="宋体" w:eastAsia="宋体" w:cs="宋体"/>
                <w:bCs/>
                <w:sz w:val="21"/>
                <w:szCs w:val="21"/>
                <w:lang w:val="en-US" w:eastAsia="zh-CN"/>
              </w:rPr>
              <w:t>2</w:t>
            </w:r>
            <w:r>
              <w:rPr>
                <w:rFonts w:hint="eastAsia" w:ascii="宋体" w:hAnsi="宋体" w:eastAsia="宋体" w:cs="宋体"/>
                <w:sz w:val="21"/>
                <w:szCs w:val="21"/>
                <w:lang w:val="zh-TW" w:eastAsia="zh-TW"/>
              </w:rPr>
              <w:t>分；获得过市级（含副省级）工程质量奖的，每个奖项得</w:t>
            </w:r>
            <w:r>
              <w:rPr>
                <w:rFonts w:hint="eastAsia" w:ascii="宋体" w:hAnsi="宋体" w:eastAsia="宋体" w:cs="宋体"/>
                <w:bCs/>
                <w:sz w:val="21"/>
                <w:szCs w:val="21"/>
                <w:lang w:val="en-US" w:eastAsia="zh-CN"/>
              </w:rPr>
              <w:t>1</w:t>
            </w:r>
            <w:r>
              <w:rPr>
                <w:rFonts w:hint="eastAsia" w:ascii="宋体" w:hAnsi="宋体" w:eastAsia="宋体" w:cs="宋体"/>
                <w:sz w:val="21"/>
                <w:szCs w:val="21"/>
                <w:lang w:val="zh-TW" w:eastAsia="zh-TW"/>
              </w:rPr>
              <w:t>分。本项最高得</w:t>
            </w:r>
            <w:r>
              <w:rPr>
                <w:rFonts w:hint="eastAsia" w:ascii="宋体" w:hAnsi="宋体" w:eastAsia="宋体" w:cs="宋体"/>
                <w:sz w:val="21"/>
                <w:szCs w:val="21"/>
                <w:lang w:val="zh-TW"/>
              </w:rPr>
              <w:t>6</w:t>
            </w:r>
            <w:r>
              <w:rPr>
                <w:rFonts w:hint="eastAsia" w:ascii="宋体" w:hAnsi="宋体" w:eastAsia="宋体" w:cs="宋体"/>
                <w:sz w:val="21"/>
                <w:szCs w:val="21"/>
                <w:lang w:val="zh-TW" w:eastAsia="zh-TW"/>
              </w:rPr>
              <w:t>分。</w:t>
            </w:r>
          </w:p>
        </w:tc>
      </w:tr>
      <w:tr w14:paraId="3F45C9B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9" w:type="dxa"/>
            <w:vMerge w:val="continue"/>
            <w:tcBorders>
              <w:left w:val="single" w:color="auto" w:sz="4" w:space="0"/>
              <w:right w:val="single" w:color="auto" w:sz="4" w:space="0"/>
            </w:tcBorders>
            <w:noWrap w:val="0"/>
            <w:vAlign w:val="center"/>
          </w:tcPr>
          <w:p w14:paraId="578AE1AC">
            <w:pPr>
              <w:widowControl/>
              <w:jc w:val="center"/>
              <w:rPr>
                <w:rFonts w:hint="eastAsia" w:ascii="宋体" w:hAnsi="宋体" w:eastAsia="宋体" w:cs="宋体"/>
                <w:color w:val="000000"/>
                <w:sz w:val="21"/>
                <w:szCs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1057C56A">
            <w:pPr>
              <w:widowControl/>
              <w:spacing w:before="0" w:beforeAutospacing="0" w:after="0" w:afterAutospacing="0"/>
              <w:ind w:left="6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工程研发能力</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0243AEE">
            <w:pPr>
              <w:widowControl/>
              <w:spacing w:before="0" w:beforeAutospacing="0" w:after="0" w:afterAutospacing="0"/>
              <w:ind w:left="6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10993" w:type="dxa"/>
            <w:tcBorders>
              <w:top w:val="single" w:color="auto" w:sz="4" w:space="0"/>
              <w:left w:val="single" w:color="auto" w:sz="4" w:space="0"/>
              <w:bottom w:val="single" w:color="auto" w:sz="4" w:space="0"/>
              <w:right w:val="single" w:color="auto" w:sz="4" w:space="0"/>
            </w:tcBorders>
            <w:noWrap w:val="0"/>
            <w:vAlign w:val="center"/>
          </w:tcPr>
          <w:p w14:paraId="30B38539">
            <w:pPr>
              <w:rPr>
                <w:rFonts w:hint="eastAsia" w:ascii="宋体" w:hAnsi="宋体" w:eastAsia="宋体" w:cs="宋体"/>
                <w:sz w:val="21"/>
                <w:szCs w:val="21"/>
                <w:lang w:val="zh-TW"/>
              </w:rPr>
            </w:pPr>
            <w:r>
              <w:rPr>
                <w:rFonts w:hint="eastAsia" w:ascii="宋体" w:hAnsi="宋体" w:eastAsia="宋体" w:cs="宋体"/>
                <w:sz w:val="21"/>
                <w:szCs w:val="21"/>
                <w:lang w:val="zh-TW"/>
              </w:rPr>
              <w:t>1、投标人</w:t>
            </w:r>
            <w:r>
              <w:rPr>
                <w:rFonts w:hint="eastAsia" w:ascii="宋体" w:hAnsi="宋体" w:cs="宋体"/>
                <w:b w:val="0"/>
                <w:bCs w:val="0"/>
                <w:kern w:val="2"/>
                <w:sz w:val="21"/>
                <w:szCs w:val="21"/>
                <w:lang w:val="en-US" w:eastAsia="zh-CN" w:bidi="ar-SA"/>
              </w:rPr>
              <w:t>（</w:t>
            </w:r>
            <w:r>
              <w:rPr>
                <w:rFonts w:hint="eastAsia" w:ascii="宋体" w:hAnsi="宋体" w:cs="宋体"/>
                <w:b w:val="0"/>
                <w:bCs w:val="0"/>
                <w:sz w:val="21"/>
                <w:szCs w:val="21"/>
                <w:lang w:val="en-US" w:eastAsia="zh-CN"/>
              </w:rPr>
              <w:t>联合体投标的，</w:t>
            </w:r>
            <w:r>
              <w:rPr>
                <w:rFonts w:hint="eastAsia" w:ascii="宋体" w:hAnsi="宋体" w:eastAsia="宋体" w:cs="宋体"/>
                <w:b w:val="0"/>
                <w:bCs w:val="0"/>
                <w:kern w:val="2"/>
                <w:sz w:val="21"/>
                <w:szCs w:val="21"/>
                <w:lang w:val="en-US" w:eastAsia="zh-CN" w:bidi="ar-SA"/>
              </w:rPr>
              <w:t>由</w:t>
            </w:r>
            <w:r>
              <w:rPr>
                <w:rFonts w:hint="eastAsia"/>
                <w:b w:val="0"/>
                <w:bCs w:val="0"/>
                <w:color w:val="auto"/>
                <w:highlight w:val="none"/>
              </w:rPr>
              <w:t>施工</w:t>
            </w:r>
            <w:r>
              <w:rPr>
                <w:rFonts w:hint="eastAsia" w:ascii="Times New Roman" w:eastAsia="宋体"/>
                <w:b w:val="0"/>
                <w:bCs w:val="0"/>
                <w:color w:val="auto"/>
                <w:highlight w:val="none"/>
                <w:lang w:val="en-US" w:eastAsia="zh-CN"/>
              </w:rPr>
              <w:t>方提供</w:t>
            </w:r>
            <w:r>
              <w:rPr>
                <w:rFonts w:hint="eastAsia" w:ascii="宋体" w:hAnsi="宋体" w:cs="宋体"/>
                <w:b w:val="0"/>
                <w:bCs w:val="0"/>
                <w:kern w:val="2"/>
                <w:sz w:val="21"/>
                <w:szCs w:val="21"/>
                <w:lang w:val="en-US" w:eastAsia="zh-CN" w:bidi="ar-SA"/>
              </w:rPr>
              <w:t>）</w:t>
            </w:r>
            <w:r>
              <w:rPr>
                <w:rFonts w:hint="eastAsia" w:ascii="宋体" w:hAnsi="宋体" w:eastAsia="宋体" w:cs="宋体"/>
                <w:sz w:val="21"/>
                <w:szCs w:val="21"/>
                <w:lang w:val="zh-TW"/>
              </w:rPr>
              <w:t>自2021年1月1日至今，作为独立完成单位获得省级（或以上）</w:t>
            </w:r>
            <w:r>
              <w:rPr>
                <w:rFonts w:hint="eastAsia" w:ascii="宋体" w:hAnsi="宋体" w:eastAsia="宋体" w:cs="宋体"/>
                <w:sz w:val="21"/>
                <w:szCs w:val="21"/>
                <w:lang w:val="en-US" w:eastAsia="zh-CN"/>
              </w:rPr>
              <w:t>科学技术奖</w:t>
            </w:r>
            <w:r>
              <w:rPr>
                <w:rFonts w:hint="eastAsia" w:ascii="宋体" w:hAnsi="宋体" w:eastAsia="宋体" w:cs="宋体"/>
                <w:sz w:val="21"/>
                <w:szCs w:val="21"/>
                <w:lang w:val="zh-TW"/>
              </w:rPr>
              <w:t>的，每一项得</w:t>
            </w:r>
            <w:r>
              <w:rPr>
                <w:rFonts w:hint="eastAsia" w:ascii="宋体" w:hAnsi="宋体" w:eastAsia="宋体" w:cs="宋体"/>
                <w:sz w:val="21"/>
                <w:szCs w:val="21"/>
                <w:lang w:val="en-US" w:eastAsia="zh-CN"/>
              </w:rPr>
              <w:t>1</w:t>
            </w:r>
            <w:r>
              <w:rPr>
                <w:rFonts w:hint="eastAsia" w:ascii="宋体" w:hAnsi="宋体" w:eastAsia="宋体" w:cs="宋体"/>
                <w:sz w:val="21"/>
                <w:szCs w:val="21"/>
                <w:lang w:val="zh-TW"/>
              </w:rPr>
              <w:t>分，最高得</w:t>
            </w:r>
            <w:r>
              <w:rPr>
                <w:rFonts w:hint="eastAsia" w:ascii="宋体" w:hAnsi="宋体" w:eastAsia="宋体" w:cs="宋体"/>
                <w:sz w:val="21"/>
                <w:szCs w:val="21"/>
                <w:lang w:val="en-US" w:eastAsia="zh-CN"/>
              </w:rPr>
              <w:t>3</w:t>
            </w:r>
            <w:r>
              <w:rPr>
                <w:rFonts w:hint="eastAsia" w:ascii="宋体" w:hAnsi="宋体" w:eastAsia="宋体" w:cs="宋体"/>
                <w:sz w:val="21"/>
                <w:szCs w:val="21"/>
                <w:lang w:val="zh-TW"/>
              </w:rPr>
              <w:t>分；不符合要求或不提供不得分。</w:t>
            </w:r>
          </w:p>
          <w:p w14:paraId="2B298A5C">
            <w:pPr>
              <w:rPr>
                <w:rFonts w:hint="eastAsia" w:ascii="宋体" w:hAnsi="宋体" w:eastAsia="宋体" w:cs="宋体"/>
                <w:sz w:val="21"/>
                <w:szCs w:val="21"/>
                <w:lang w:eastAsia="zh-TW"/>
              </w:rPr>
            </w:pPr>
            <w:r>
              <w:rPr>
                <w:rFonts w:hint="eastAsia" w:ascii="宋体" w:hAnsi="宋体" w:eastAsia="宋体" w:cs="宋体"/>
                <w:sz w:val="21"/>
                <w:szCs w:val="21"/>
              </w:rPr>
              <w:t>2、</w:t>
            </w:r>
            <w:r>
              <w:rPr>
                <w:rFonts w:hint="eastAsia" w:ascii="宋体" w:hAnsi="宋体" w:eastAsia="宋体" w:cs="宋体"/>
                <w:sz w:val="21"/>
                <w:szCs w:val="21"/>
                <w:lang w:eastAsia="zh-TW"/>
              </w:rPr>
              <w:t>投标人</w:t>
            </w:r>
            <w:r>
              <w:rPr>
                <w:rFonts w:hint="eastAsia" w:ascii="宋体" w:hAnsi="宋体" w:cs="宋体"/>
                <w:b w:val="0"/>
                <w:bCs w:val="0"/>
                <w:kern w:val="2"/>
                <w:sz w:val="21"/>
                <w:szCs w:val="21"/>
                <w:lang w:val="en-US" w:eastAsia="zh-CN" w:bidi="ar-SA"/>
              </w:rPr>
              <w:t>（</w:t>
            </w:r>
            <w:r>
              <w:rPr>
                <w:rFonts w:hint="eastAsia" w:ascii="宋体" w:hAnsi="宋体" w:cs="宋体"/>
                <w:b w:val="0"/>
                <w:bCs w:val="0"/>
                <w:sz w:val="21"/>
                <w:szCs w:val="21"/>
                <w:lang w:val="en-US" w:eastAsia="zh-CN"/>
              </w:rPr>
              <w:t>联合体投标的，</w:t>
            </w:r>
            <w:r>
              <w:rPr>
                <w:rFonts w:hint="eastAsia" w:ascii="宋体" w:hAnsi="宋体" w:eastAsia="宋体" w:cs="宋体"/>
                <w:b w:val="0"/>
                <w:bCs w:val="0"/>
                <w:kern w:val="2"/>
                <w:sz w:val="21"/>
                <w:szCs w:val="21"/>
                <w:lang w:val="en-US" w:eastAsia="zh-CN" w:bidi="ar-SA"/>
              </w:rPr>
              <w:t>由</w:t>
            </w:r>
            <w:r>
              <w:rPr>
                <w:rFonts w:hint="eastAsia"/>
                <w:b w:val="0"/>
                <w:bCs w:val="0"/>
                <w:color w:val="auto"/>
                <w:highlight w:val="none"/>
              </w:rPr>
              <w:t>施工</w:t>
            </w:r>
            <w:r>
              <w:rPr>
                <w:rFonts w:hint="eastAsia" w:ascii="Times New Roman" w:eastAsia="宋体"/>
                <w:b w:val="0"/>
                <w:bCs w:val="0"/>
                <w:color w:val="auto"/>
                <w:highlight w:val="none"/>
                <w:lang w:val="en-US" w:eastAsia="zh-CN"/>
              </w:rPr>
              <w:t>方提供</w:t>
            </w:r>
            <w:r>
              <w:rPr>
                <w:rFonts w:hint="eastAsia" w:ascii="宋体" w:hAnsi="宋体" w:cs="宋体"/>
                <w:b w:val="0"/>
                <w:bCs w:val="0"/>
                <w:kern w:val="2"/>
                <w:sz w:val="21"/>
                <w:szCs w:val="21"/>
                <w:lang w:val="en-US" w:eastAsia="zh-CN" w:bidi="ar-SA"/>
              </w:rPr>
              <w:t>）</w:t>
            </w:r>
            <w:r>
              <w:rPr>
                <w:rFonts w:hint="eastAsia" w:ascii="宋体" w:hAnsi="宋体" w:eastAsia="宋体" w:cs="宋体"/>
                <w:sz w:val="21"/>
                <w:szCs w:val="21"/>
                <w:lang w:eastAsia="zh-TW"/>
              </w:rPr>
              <w:t>自20</w:t>
            </w:r>
            <w:r>
              <w:rPr>
                <w:rFonts w:hint="eastAsia" w:ascii="宋体" w:hAnsi="宋体" w:eastAsia="宋体" w:cs="宋体"/>
                <w:sz w:val="21"/>
                <w:szCs w:val="21"/>
              </w:rPr>
              <w:t>21</w:t>
            </w:r>
            <w:r>
              <w:rPr>
                <w:rFonts w:hint="eastAsia" w:ascii="宋体" w:hAnsi="宋体" w:eastAsia="宋体" w:cs="宋体"/>
                <w:sz w:val="21"/>
                <w:szCs w:val="21"/>
                <w:lang w:eastAsia="zh-TW"/>
              </w:rPr>
              <w:t>年1月1日至今，获得由国家知识产权局颁发的工程建设类实用新型专利证书或发明专利证书，每项得</w:t>
            </w:r>
            <w:r>
              <w:rPr>
                <w:rFonts w:hint="eastAsia" w:ascii="宋体" w:hAnsi="宋体" w:eastAsia="宋体" w:cs="宋体"/>
                <w:bCs/>
                <w:sz w:val="21"/>
                <w:szCs w:val="21"/>
                <w:lang w:val="en-US" w:eastAsia="zh-CN"/>
              </w:rPr>
              <w:t>1</w:t>
            </w:r>
            <w:r>
              <w:rPr>
                <w:rFonts w:hint="eastAsia" w:ascii="宋体" w:hAnsi="宋体" w:eastAsia="宋体" w:cs="宋体"/>
                <w:sz w:val="21"/>
                <w:szCs w:val="21"/>
              </w:rPr>
              <w:t>分，本项最多</w:t>
            </w:r>
            <w:r>
              <w:rPr>
                <w:rFonts w:hint="eastAsia" w:ascii="宋体" w:hAnsi="宋体" w:eastAsia="宋体" w:cs="宋体"/>
                <w:sz w:val="21"/>
                <w:szCs w:val="21"/>
                <w:lang w:eastAsia="zh-TW"/>
              </w:rPr>
              <w:t>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TW"/>
              </w:rPr>
              <w:t>分</w:t>
            </w:r>
            <w:r>
              <w:rPr>
                <w:rFonts w:hint="eastAsia" w:ascii="宋体" w:hAnsi="宋体" w:eastAsia="宋体" w:cs="宋体"/>
                <w:sz w:val="21"/>
                <w:szCs w:val="21"/>
              </w:rPr>
              <w:t>；</w:t>
            </w:r>
            <w:r>
              <w:rPr>
                <w:rFonts w:hint="eastAsia" w:ascii="宋体" w:hAnsi="宋体" w:eastAsia="宋体" w:cs="宋体"/>
                <w:sz w:val="21"/>
                <w:szCs w:val="21"/>
                <w:lang w:eastAsia="zh-TW"/>
              </w:rPr>
              <w:t>不符合要求或不提供不得分。</w:t>
            </w:r>
          </w:p>
          <w:p w14:paraId="0651DEE2">
            <w:pPr>
              <w:rPr>
                <w:rFonts w:hint="eastAsia" w:ascii="宋体" w:hAnsi="宋体" w:eastAsia="宋体" w:cs="宋体"/>
                <w:sz w:val="21"/>
                <w:szCs w:val="21"/>
                <w:lang w:eastAsia="zh-TW"/>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bCs/>
                <w:sz w:val="21"/>
                <w:szCs w:val="21"/>
                <w:lang w:eastAsia="zh-TW"/>
              </w:rPr>
              <w:t>投标人</w:t>
            </w:r>
            <w:r>
              <w:rPr>
                <w:rFonts w:hint="eastAsia" w:ascii="宋体" w:hAnsi="宋体" w:cs="宋体"/>
                <w:b w:val="0"/>
                <w:bCs w:val="0"/>
                <w:kern w:val="2"/>
                <w:sz w:val="21"/>
                <w:szCs w:val="21"/>
                <w:lang w:val="en-US" w:eastAsia="zh-CN" w:bidi="ar-SA"/>
              </w:rPr>
              <w:t>（</w:t>
            </w:r>
            <w:r>
              <w:rPr>
                <w:rFonts w:hint="eastAsia" w:ascii="宋体" w:hAnsi="宋体" w:cs="宋体"/>
                <w:b w:val="0"/>
                <w:bCs w:val="0"/>
                <w:sz w:val="21"/>
                <w:szCs w:val="21"/>
                <w:lang w:val="en-US" w:eastAsia="zh-CN"/>
              </w:rPr>
              <w:t>联合体投标的，</w:t>
            </w:r>
            <w:r>
              <w:rPr>
                <w:rFonts w:hint="eastAsia" w:ascii="宋体" w:hAnsi="宋体" w:eastAsia="宋体" w:cs="宋体"/>
                <w:b w:val="0"/>
                <w:bCs w:val="0"/>
                <w:kern w:val="2"/>
                <w:sz w:val="21"/>
                <w:szCs w:val="21"/>
                <w:lang w:val="en-US" w:eastAsia="zh-CN" w:bidi="ar-SA"/>
              </w:rPr>
              <w:t>由</w:t>
            </w:r>
            <w:r>
              <w:rPr>
                <w:rFonts w:hint="eastAsia"/>
                <w:b w:val="0"/>
                <w:bCs w:val="0"/>
                <w:color w:val="auto"/>
                <w:highlight w:val="none"/>
              </w:rPr>
              <w:t>施工</w:t>
            </w:r>
            <w:r>
              <w:rPr>
                <w:rFonts w:hint="eastAsia" w:ascii="Times New Roman" w:eastAsia="宋体"/>
                <w:b w:val="0"/>
                <w:bCs w:val="0"/>
                <w:color w:val="auto"/>
                <w:highlight w:val="none"/>
                <w:lang w:val="en-US" w:eastAsia="zh-CN"/>
              </w:rPr>
              <w:t>方提供</w:t>
            </w:r>
            <w:r>
              <w:rPr>
                <w:rFonts w:hint="eastAsia" w:ascii="宋体" w:hAnsi="宋体" w:cs="宋体"/>
                <w:b w:val="0"/>
                <w:bCs w:val="0"/>
                <w:kern w:val="2"/>
                <w:sz w:val="21"/>
                <w:szCs w:val="21"/>
                <w:lang w:val="en-US" w:eastAsia="zh-CN" w:bidi="ar-SA"/>
              </w:rPr>
              <w:t>）</w:t>
            </w:r>
            <w:r>
              <w:rPr>
                <w:rFonts w:hint="eastAsia" w:ascii="宋体" w:hAnsi="宋体" w:eastAsia="宋体" w:cs="宋体"/>
                <w:bCs/>
                <w:sz w:val="21"/>
                <w:szCs w:val="21"/>
                <w:lang w:eastAsia="zh-TW"/>
              </w:rPr>
              <w:t>自20</w:t>
            </w:r>
            <w:r>
              <w:rPr>
                <w:rFonts w:hint="eastAsia" w:ascii="宋体" w:hAnsi="宋体" w:eastAsia="宋体" w:cs="宋体"/>
                <w:bCs/>
                <w:sz w:val="21"/>
                <w:szCs w:val="21"/>
              </w:rPr>
              <w:t>21</w:t>
            </w:r>
            <w:r>
              <w:rPr>
                <w:rFonts w:hint="eastAsia" w:ascii="宋体" w:hAnsi="宋体" w:eastAsia="宋体" w:cs="宋体"/>
                <w:bCs/>
                <w:sz w:val="21"/>
                <w:szCs w:val="21"/>
                <w:lang w:eastAsia="zh-TW"/>
              </w:rPr>
              <w:t>年1月1日至投标截止</w:t>
            </w:r>
            <w:r>
              <w:rPr>
                <w:rFonts w:hint="eastAsia" w:ascii="宋体" w:hAnsi="宋体" w:eastAsia="宋体" w:cs="宋体"/>
                <w:sz w:val="21"/>
                <w:szCs w:val="21"/>
              </w:rPr>
              <w:t>时间</w:t>
            </w:r>
            <w:r>
              <w:rPr>
                <w:rFonts w:hint="eastAsia" w:ascii="宋体" w:hAnsi="宋体" w:eastAsia="宋体" w:cs="宋体"/>
                <w:bCs/>
                <w:sz w:val="21"/>
                <w:szCs w:val="21"/>
                <w:lang w:eastAsia="zh-TW"/>
              </w:rPr>
              <w:t>止，获得过工程类软件著作权登记证书的，每项得</w:t>
            </w:r>
            <w:r>
              <w:rPr>
                <w:rFonts w:hint="eastAsia" w:ascii="宋体" w:hAnsi="宋体" w:eastAsia="宋体" w:cs="宋体"/>
                <w:bCs/>
                <w:sz w:val="21"/>
                <w:szCs w:val="21"/>
                <w:lang w:val="en-US" w:eastAsia="zh-CN"/>
              </w:rPr>
              <w:t>0.5</w:t>
            </w:r>
            <w:r>
              <w:rPr>
                <w:rFonts w:hint="eastAsia" w:ascii="宋体" w:hAnsi="宋体" w:eastAsia="宋体" w:cs="宋体"/>
                <w:bCs/>
                <w:sz w:val="21"/>
                <w:szCs w:val="21"/>
                <w:lang w:eastAsia="zh-TW"/>
              </w:rPr>
              <w:t>分，本项最多得</w:t>
            </w:r>
            <w:r>
              <w:rPr>
                <w:rFonts w:hint="eastAsia" w:ascii="宋体" w:hAnsi="宋体" w:eastAsia="宋体" w:cs="宋体"/>
                <w:bCs/>
                <w:sz w:val="21"/>
                <w:szCs w:val="21"/>
              </w:rPr>
              <w:t>2</w:t>
            </w:r>
            <w:r>
              <w:rPr>
                <w:rFonts w:hint="eastAsia" w:ascii="宋体" w:hAnsi="宋体" w:eastAsia="宋体" w:cs="宋体"/>
                <w:bCs/>
                <w:sz w:val="21"/>
                <w:szCs w:val="21"/>
                <w:lang w:eastAsia="zh-TW"/>
              </w:rPr>
              <w:t>分。</w:t>
            </w:r>
            <w:r>
              <w:rPr>
                <w:rFonts w:hint="eastAsia" w:ascii="宋体" w:hAnsi="宋体" w:eastAsia="宋体" w:cs="宋体"/>
                <w:sz w:val="21"/>
                <w:szCs w:val="21"/>
                <w:lang w:eastAsia="zh-TW"/>
              </w:rPr>
              <w:t>不符合要求或不提供不得分。</w:t>
            </w:r>
          </w:p>
        </w:tc>
      </w:tr>
      <w:tr w14:paraId="1978F18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99" w:type="dxa"/>
            <w:vMerge w:val="continue"/>
            <w:tcBorders>
              <w:left w:val="single" w:color="auto" w:sz="4" w:space="0"/>
              <w:right w:val="single" w:color="auto" w:sz="4" w:space="0"/>
            </w:tcBorders>
            <w:noWrap w:val="0"/>
            <w:vAlign w:val="center"/>
          </w:tcPr>
          <w:p w14:paraId="2A1AD9E1">
            <w:pPr>
              <w:widowControl/>
              <w:jc w:val="center"/>
              <w:rPr>
                <w:rFonts w:hint="eastAsia" w:ascii="宋体" w:hAnsi="宋体" w:eastAsia="宋体" w:cs="宋体"/>
                <w:color w:val="000000"/>
                <w:sz w:val="21"/>
                <w:szCs w:val="21"/>
                <w:lang w:eastAsia="zh-TW"/>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1A38C92F">
            <w:pPr>
              <w:widowControl/>
              <w:spacing w:before="0" w:beforeAutospacing="0" w:after="0" w:afterAutospacing="0"/>
              <w:ind w:left="6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第三方评价</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E5244B8">
            <w:pPr>
              <w:widowControl/>
              <w:spacing w:before="0" w:beforeAutospacing="0" w:after="0" w:afterAutospacing="0"/>
              <w:ind w:left="6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0993" w:type="dxa"/>
            <w:tcBorders>
              <w:top w:val="single" w:color="auto" w:sz="4" w:space="0"/>
              <w:left w:val="single" w:color="auto" w:sz="4" w:space="0"/>
              <w:bottom w:val="single" w:color="auto" w:sz="4" w:space="0"/>
              <w:right w:val="single" w:color="auto" w:sz="4" w:space="0"/>
            </w:tcBorders>
            <w:noWrap w:val="0"/>
            <w:vAlign w:val="center"/>
          </w:tcPr>
          <w:p w14:paraId="663D7E3A">
            <w:pPr>
              <w:rPr>
                <w:rFonts w:hint="eastAsia" w:ascii="宋体" w:hAnsi="宋体" w:eastAsia="宋体" w:cs="宋体"/>
                <w:sz w:val="21"/>
                <w:szCs w:val="21"/>
              </w:rPr>
            </w:pPr>
            <w:r>
              <w:rPr>
                <w:rFonts w:hint="eastAsia" w:ascii="宋体" w:hAnsi="宋体" w:eastAsia="宋体" w:cs="宋体"/>
                <w:sz w:val="21"/>
                <w:szCs w:val="21"/>
              </w:rPr>
              <w:t>1、投标人</w:t>
            </w:r>
            <w:r>
              <w:rPr>
                <w:rFonts w:hint="eastAsia" w:ascii="宋体" w:hAnsi="宋体" w:cs="宋体"/>
                <w:b w:val="0"/>
                <w:bCs w:val="0"/>
                <w:kern w:val="2"/>
                <w:sz w:val="21"/>
                <w:szCs w:val="21"/>
                <w:lang w:val="en-US" w:eastAsia="zh-CN" w:bidi="ar-SA"/>
              </w:rPr>
              <w:t>（</w:t>
            </w:r>
            <w:r>
              <w:rPr>
                <w:rFonts w:hint="eastAsia" w:ascii="宋体" w:hAnsi="宋体" w:cs="宋体"/>
                <w:b w:val="0"/>
                <w:bCs w:val="0"/>
                <w:sz w:val="21"/>
                <w:szCs w:val="21"/>
                <w:lang w:val="en-US" w:eastAsia="zh-CN"/>
              </w:rPr>
              <w:t>联合体投标的，</w:t>
            </w:r>
            <w:r>
              <w:rPr>
                <w:rFonts w:hint="eastAsia" w:ascii="宋体" w:hAnsi="宋体" w:eastAsia="宋体" w:cs="宋体"/>
                <w:b w:val="0"/>
                <w:bCs w:val="0"/>
                <w:kern w:val="2"/>
                <w:sz w:val="21"/>
                <w:szCs w:val="21"/>
                <w:lang w:val="en-US" w:eastAsia="zh-CN" w:bidi="ar-SA"/>
              </w:rPr>
              <w:t>由</w:t>
            </w:r>
            <w:r>
              <w:rPr>
                <w:rFonts w:hint="eastAsia"/>
                <w:b w:val="0"/>
                <w:bCs w:val="0"/>
                <w:color w:val="auto"/>
                <w:highlight w:val="none"/>
              </w:rPr>
              <w:t>施工</w:t>
            </w:r>
            <w:r>
              <w:rPr>
                <w:rFonts w:hint="eastAsia" w:ascii="Times New Roman" w:eastAsia="宋体"/>
                <w:b w:val="0"/>
                <w:bCs w:val="0"/>
                <w:color w:val="auto"/>
                <w:highlight w:val="none"/>
                <w:lang w:val="en-US" w:eastAsia="zh-CN"/>
              </w:rPr>
              <w:t>方提供</w:t>
            </w:r>
            <w:r>
              <w:rPr>
                <w:rFonts w:hint="eastAsia" w:ascii="宋体" w:hAnsi="宋体" w:cs="宋体"/>
                <w:b w:val="0"/>
                <w:bCs w:val="0"/>
                <w:kern w:val="2"/>
                <w:sz w:val="21"/>
                <w:szCs w:val="21"/>
                <w:lang w:val="en-US" w:eastAsia="zh-CN" w:bidi="ar-SA"/>
              </w:rPr>
              <w:t>）</w:t>
            </w:r>
            <w:r>
              <w:rPr>
                <w:rFonts w:hint="eastAsia" w:ascii="宋体" w:hAnsi="宋体" w:eastAsia="宋体" w:cs="宋体"/>
                <w:sz w:val="21"/>
                <w:szCs w:val="21"/>
              </w:rPr>
              <w:t>获得过第三方机构颁发的“AAA”信用等级证书（须在有效期内，提供证书扫描件），得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TW"/>
              </w:rPr>
              <w:t>不符合要求或不提供不得分。</w:t>
            </w:r>
          </w:p>
          <w:p w14:paraId="1413C2A2">
            <w:pP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eastAsia="zh-TW"/>
              </w:rPr>
              <w:t>投标人</w:t>
            </w:r>
            <w:r>
              <w:rPr>
                <w:rFonts w:hint="eastAsia" w:ascii="宋体" w:hAnsi="宋体" w:cs="宋体"/>
                <w:b w:val="0"/>
                <w:bCs w:val="0"/>
                <w:kern w:val="2"/>
                <w:sz w:val="21"/>
                <w:szCs w:val="21"/>
                <w:lang w:val="en-US" w:eastAsia="zh-CN" w:bidi="ar-SA"/>
              </w:rPr>
              <w:t>（</w:t>
            </w:r>
            <w:r>
              <w:rPr>
                <w:rFonts w:hint="eastAsia" w:ascii="宋体" w:hAnsi="宋体" w:cs="宋体"/>
                <w:b w:val="0"/>
                <w:bCs w:val="0"/>
                <w:sz w:val="21"/>
                <w:szCs w:val="21"/>
                <w:lang w:val="en-US" w:eastAsia="zh-CN"/>
              </w:rPr>
              <w:t>联合体投标的，</w:t>
            </w:r>
            <w:r>
              <w:rPr>
                <w:rFonts w:hint="eastAsia" w:ascii="宋体" w:hAnsi="宋体" w:eastAsia="宋体" w:cs="宋体"/>
                <w:b w:val="0"/>
                <w:bCs w:val="0"/>
                <w:kern w:val="2"/>
                <w:sz w:val="21"/>
                <w:szCs w:val="21"/>
                <w:lang w:val="en-US" w:eastAsia="zh-CN" w:bidi="ar-SA"/>
              </w:rPr>
              <w:t>由</w:t>
            </w:r>
            <w:r>
              <w:rPr>
                <w:rFonts w:hint="eastAsia"/>
                <w:b w:val="0"/>
                <w:bCs w:val="0"/>
                <w:color w:val="auto"/>
                <w:highlight w:val="none"/>
              </w:rPr>
              <w:t>施工</w:t>
            </w:r>
            <w:r>
              <w:rPr>
                <w:rFonts w:hint="eastAsia" w:ascii="Times New Roman" w:eastAsia="宋体"/>
                <w:b w:val="0"/>
                <w:bCs w:val="0"/>
                <w:color w:val="auto"/>
                <w:highlight w:val="none"/>
                <w:lang w:val="en-US" w:eastAsia="zh-CN"/>
              </w:rPr>
              <w:t>方提供</w:t>
            </w:r>
            <w:r>
              <w:rPr>
                <w:rFonts w:hint="eastAsia" w:ascii="宋体" w:hAnsi="宋体" w:cs="宋体"/>
                <w:b w:val="0"/>
                <w:bCs w:val="0"/>
                <w:kern w:val="2"/>
                <w:sz w:val="21"/>
                <w:szCs w:val="21"/>
                <w:lang w:val="en-US" w:eastAsia="zh-CN" w:bidi="ar-SA"/>
              </w:rPr>
              <w:t>）</w:t>
            </w:r>
            <w:r>
              <w:rPr>
                <w:rFonts w:hint="eastAsia" w:ascii="宋体" w:hAnsi="宋体" w:eastAsia="宋体" w:cs="宋体"/>
                <w:sz w:val="21"/>
                <w:szCs w:val="21"/>
                <w:lang w:eastAsia="zh-TW"/>
              </w:rPr>
              <w:t>具有</w:t>
            </w:r>
            <w:r>
              <w:rPr>
                <w:rFonts w:hint="eastAsia" w:ascii="宋体" w:hAnsi="宋体" w:eastAsia="宋体" w:cs="宋体"/>
                <w:sz w:val="21"/>
                <w:szCs w:val="21"/>
              </w:rPr>
              <w:t>有效的</w:t>
            </w:r>
            <w:r>
              <w:rPr>
                <w:rFonts w:hint="eastAsia" w:ascii="宋体" w:hAnsi="宋体" w:eastAsia="宋体" w:cs="宋体"/>
                <w:color w:val="auto"/>
                <w:szCs w:val="22"/>
                <w:highlight w:val="none"/>
              </w:rPr>
              <w:t>质量体系认证证书、环境管理体系认证证书、职业健康安全管理体系认证</w:t>
            </w:r>
            <w:r>
              <w:rPr>
                <w:rFonts w:hint="eastAsia" w:ascii="宋体" w:hAnsi="宋体" w:eastAsia="宋体" w:cs="宋体"/>
                <w:bCs/>
                <w:sz w:val="21"/>
                <w:szCs w:val="21"/>
                <w:lang w:val="en-US" w:eastAsia="zh-CN"/>
              </w:rPr>
              <w:t>证书的，每个得1分，最高得3分</w:t>
            </w:r>
            <w:r>
              <w:rPr>
                <w:rFonts w:hint="eastAsia" w:ascii="宋体" w:hAnsi="宋体" w:eastAsia="宋体" w:cs="宋体"/>
                <w:sz w:val="21"/>
                <w:szCs w:val="21"/>
                <w:lang w:eastAsia="zh-TW"/>
              </w:rPr>
              <w:t>。不符合要求或不提供不得分。</w:t>
            </w:r>
          </w:p>
        </w:tc>
      </w:tr>
      <w:tr w14:paraId="45B2951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9" w:type="dxa"/>
            <w:tcBorders>
              <w:left w:val="single" w:color="auto" w:sz="4" w:space="0"/>
              <w:right w:val="single" w:color="auto" w:sz="4" w:space="0"/>
            </w:tcBorders>
            <w:noWrap w:val="0"/>
            <w:vAlign w:val="center"/>
          </w:tcPr>
          <w:p w14:paraId="75CF288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（30分）</w:t>
            </w:r>
          </w:p>
        </w:tc>
        <w:tc>
          <w:tcPr>
            <w:tcW w:w="15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10B21">
            <w:pPr>
              <w:jc w:val="center"/>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lang w:val="en-US" w:eastAsia="zh-CN"/>
              </w:rPr>
              <w:t>答辩因素</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rPr>
              <w:t>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7B5D5">
            <w:pPr>
              <w:jc w:val="center"/>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lang w:val="en-US" w:eastAsia="zh-CN"/>
              </w:rPr>
              <w:t>0</w:t>
            </w:r>
          </w:p>
        </w:tc>
        <w:tc>
          <w:tcPr>
            <w:tcW w:w="10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2FD05">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投标人派本项目拟投入项目负责人</w:t>
            </w:r>
            <w:r>
              <w:rPr>
                <w:rFonts w:hint="eastAsia" w:ascii="宋体" w:hAnsi="宋体" w:eastAsia="宋体" w:cs="宋体"/>
                <w:color w:val="auto"/>
                <w:sz w:val="21"/>
                <w:szCs w:val="21"/>
                <w:highlight w:val="none"/>
                <w:lang w:val="en-US" w:eastAsia="zh-CN"/>
              </w:rPr>
              <w:t>或技术负责人</w:t>
            </w:r>
            <w:r>
              <w:rPr>
                <w:rFonts w:hint="eastAsia" w:ascii="宋体" w:hAnsi="宋体" w:eastAsia="宋体" w:cs="宋体"/>
                <w:color w:val="auto"/>
                <w:sz w:val="21"/>
                <w:szCs w:val="21"/>
                <w:highlight w:val="none"/>
              </w:rPr>
              <w:t>进行现场答辩：</w:t>
            </w:r>
          </w:p>
          <w:p w14:paraId="1EF4785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1.答辩</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对本项目履约能力和履约水平的介绍，介绍时间不超过10分钟；介绍内容包括但不限于：项目管理人员配备、施工安全、工期及质量管理，</w:t>
            </w:r>
            <w:r>
              <w:rPr>
                <w:rFonts w:hint="eastAsia" w:ascii="宋体" w:hAnsi="宋体" w:cs="宋体"/>
                <w:color w:val="auto"/>
                <w:sz w:val="21"/>
                <w:szCs w:val="21"/>
                <w:highlight w:val="none"/>
                <w:lang w:val="en-US" w:eastAsia="zh-CN"/>
              </w:rPr>
              <w:t>旧改拆迁拆除项目的</w:t>
            </w:r>
            <w:r>
              <w:rPr>
                <w:rFonts w:hint="eastAsia" w:ascii="宋体" w:hAnsi="宋体" w:eastAsia="宋体" w:cs="宋体"/>
                <w:color w:val="auto"/>
                <w:sz w:val="21"/>
                <w:szCs w:val="21"/>
                <w:highlight w:val="none"/>
              </w:rPr>
              <w:t>重点和难点的分析和应对措施，</w:t>
            </w:r>
            <w:r>
              <w:rPr>
                <w:rFonts w:hint="eastAsia" w:ascii="宋体" w:hAnsi="宋体" w:cs="宋体"/>
                <w:color w:val="auto"/>
                <w:sz w:val="21"/>
                <w:szCs w:val="21"/>
                <w:highlight w:val="none"/>
                <w:lang w:val="en-US" w:eastAsia="zh-CN"/>
              </w:rPr>
              <w:t>拆迁工作与拆除工作的相互协调，进度保障措施等</w:t>
            </w:r>
            <w:r>
              <w:rPr>
                <w:rFonts w:hint="eastAsia" w:ascii="宋体" w:hAnsi="宋体" w:eastAsia="宋体" w:cs="宋体"/>
                <w:color w:val="auto"/>
                <w:sz w:val="21"/>
                <w:szCs w:val="21"/>
                <w:highlight w:val="none"/>
              </w:rPr>
              <w:t>结合本项目的特点及投标人的资源情况，提出实施本项目的优势，合理、可行。</w:t>
            </w:r>
          </w:p>
          <w:p w14:paraId="49954959">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表现优秀得[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)分，良好得[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)分，差得[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分。本小项最高得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00C399F9">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2.答辩</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就本项目接受</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标委员会提问并进行问答：表现优秀得[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)分，良好得[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)分，差得[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)分。本小项最高得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5195F80C">
            <w:pPr>
              <w:jc w:val="both"/>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sz w:val="21"/>
                <w:szCs w:val="21"/>
                <w:highlight w:val="none"/>
              </w:rPr>
              <w:t>3.投标人未按要求参加现场答辩，以上两项均为0分。</w:t>
            </w:r>
          </w:p>
        </w:tc>
      </w:tr>
      <w:tr w14:paraId="4A09B37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02" w:type="dxa"/>
            <w:gridSpan w:val="2"/>
            <w:tcBorders>
              <w:top w:val="single" w:color="auto" w:sz="4" w:space="0"/>
              <w:left w:val="single" w:color="auto" w:sz="4" w:space="0"/>
              <w:bottom w:val="single" w:color="auto" w:sz="4" w:space="0"/>
              <w:right w:val="single" w:color="auto" w:sz="4" w:space="0"/>
            </w:tcBorders>
            <w:noWrap w:val="0"/>
            <w:vAlign w:val="center"/>
          </w:tcPr>
          <w:p w14:paraId="2265F99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E91268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0993" w:type="dxa"/>
            <w:tcBorders>
              <w:top w:val="single" w:color="auto" w:sz="4" w:space="0"/>
              <w:left w:val="single" w:color="auto" w:sz="4" w:space="0"/>
              <w:bottom w:val="single" w:color="auto" w:sz="4" w:space="0"/>
              <w:right w:val="single" w:color="auto" w:sz="4" w:space="0"/>
            </w:tcBorders>
            <w:noWrap w:val="0"/>
            <w:vAlign w:val="top"/>
          </w:tcPr>
          <w:p w14:paraId="3C2C4A44">
            <w:pPr>
              <w:widowControl/>
              <w:jc w:val="center"/>
              <w:rPr>
                <w:rFonts w:hint="eastAsia" w:ascii="宋体" w:hAnsi="宋体" w:eastAsia="宋体" w:cs="宋体"/>
                <w:color w:val="000000"/>
                <w:sz w:val="21"/>
                <w:szCs w:val="21"/>
              </w:rPr>
            </w:pPr>
          </w:p>
        </w:tc>
      </w:tr>
    </w:tbl>
    <w:p w14:paraId="2B2B5D46">
      <w:pPr>
        <w:tabs>
          <w:tab w:val="left" w:pos="0"/>
        </w:tabs>
        <w:spacing w:line="240" w:lineRule="auto"/>
        <w:rPr>
          <w:rFonts w:hint="eastAsia" w:ascii="宋体" w:hAnsi="宋体" w:eastAsia="宋体" w:cs="宋体"/>
          <w:b/>
          <w:sz w:val="21"/>
          <w:szCs w:val="21"/>
        </w:rPr>
      </w:pPr>
      <w:r>
        <w:rPr>
          <w:rFonts w:hint="eastAsia" w:ascii="宋体" w:hAnsi="宋体" w:eastAsia="宋体" w:cs="宋体"/>
          <w:b/>
          <w:sz w:val="21"/>
          <w:szCs w:val="21"/>
        </w:rPr>
        <w:t>1.【项目管理机构能力】：</w:t>
      </w:r>
      <w:r>
        <w:rPr>
          <w:rFonts w:hint="eastAsia" w:ascii="宋体" w:hAnsi="宋体" w:eastAsia="宋体" w:cs="宋体"/>
          <w:bCs/>
          <w:sz w:val="21"/>
          <w:szCs w:val="21"/>
        </w:rPr>
        <w:t>（1）所有人员必须按要求提供相应证明材料和在本投标人2025年</w:t>
      </w:r>
      <w:r>
        <w:rPr>
          <w:rFonts w:hint="eastAsia" w:ascii="宋体" w:hAnsi="宋体" w:cs="宋体"/>
          <w:bCs/>
          <w:sz w:val="21"/>
          <w:szCs w:val="21"/>
          <w:lang w:val="en-US" w:eastAsia="zh-CN"/>
        </w:rPr>
        <w:t>8</w:t>
      </w:r>
      <w:r>
        <w:rPr>
          <w:rFonts w:hint="eastAsia" w:ascii="宋体" w:hAnsi="宋体" w:eastAsia="宋体" w:cs="宋体"/>
          <w:bCs/>
          <w:sz w:val="21"/>
          <w:szCs w:val="21"/>
        </w:rPr>
        <w:t>月由社保行政主管部门出具的在投标人单位购买社保证明资料）扫描件并加盖投标人电子印章（未按要求提供完整相关资料的人员，该人员不作为评分依据)。</w:t>
      </w:r>
    </w:p>
    <w:p w14:paraId="59DE2E44">
      <w:pPr>
        <w:tabs>
          <w:tab w:val="left" w:pos="0"/>
        </w:tabs>
        <w:spacing w:line="240" w:lineRule="auto"/>
        <w:rPr>
          <w:rFonts w:hint="default" w:ascii="宋体" w:hAnsi="宋体" w:eastAsia="宋体" w:cs="宋体"/>
          <w:bCs/>
          <w:sz w:val="21"/>
          <w:szCs w:val="21"/>
          <w:lang w:val="en-US" w:eastAsia="zh-CN"/>
        </w:rPr>
      </w:pPr>
      <w:r>
        <w:rPr>
          <w:rFonts w:hint="eastAsia" w:ascii="宋体" w:hAnsi="宋体" w:eastAsia="宋体" w:cs="宋体"/>
          <w:bCs/>
          <w:sz w:val="21"/>
          <w:szCs w:val="21"/>
        </w:rPr>
        <w:t>（2）所有人员均不可兼任，人员须提供对应要求的职称证书、安全生产考核合格证等相关证明材料扫描件，不提供或提供不齐全不得分。每人只能以最高级别的职称或学历计算得分，所有岗位人员不能重复。同一人员提供多个证书的，按最高得分项计算一次得分。</w:t>
      </w:r>
      <w:r>
        <w:rPr>
          <w:rFonts w:hint="eastAsia" w:ascii="宋体" w:hAnsi="宋体" w:eastAsia="宋体" w:cs="宋体"/>
          <w:szCs w:val="21"/>
          <w:highlight w:val="none"/>
        </w:rPr>
        <w:t>工作年限时间以大专或以上的毕业证发证时间至投标截止时间为准。</w:t>
      </w:r>
      <w:r>
        <w:rPr>
          <w:rFonts w:hint="eastAsia" w:ascii="宋体" w:hAnsi="宋体" w:eastAsia="宋体" w:cs="宋体"/>
          <w:bCs/>
          <w:sz w:val="21"/>
          <w:szCs w:val="21"/>
        </w:rPr>
        <w:t>造价负责人</w:t>
      </w:r>
      <w:r>
        <w:rPr>
          <w:rFonts w:hint="eastAsia" w:ascii="宋体" w:hAnsi="宋体" w:eastAsia="宋体" w:cs="宋体"/>
          <w:bCs/>
          <w:sz w:val="21"/>
          <w:szCs w:val="21"/>
          <w:lang w:val="en-US" w:eastAsia="zh-CN"/>
        </w:rPr>
        <w:t>中</w:t>
      </w:r>
      <w:r>
        <w:rPr>
          <w:rFonts w:hint="eastAsia" w:ascii="宋体" w:hAnsi="宋体" w:eastAsia="宋体" w:cs="宋体"/>
          <w:bCs/>
          <w:sz w:val="21"/>
          <w:szCs w:val="21"/>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cs="宋体"/>
          <w:bCs/>
          <w:sz w:val="21"/>
          <w:szCs w:val="21"/>
          <w:lang w:val="en-US" w:eastAsia="zh-CN"/>
        </w:rPr>
        <w:t>联合体投标的，项目负责人</w:t>
      </w:r>
      <w:r>
        <w:rPr>
          <w:rFonts w:hint="eastAsia" w:ascii="宋体" w:hAnsi="宋体" w:cs="宋体"/>
          <w:kern w:val="2"/>
          <w:sz w:val="21"/>
          <w:szCs w:val="21"/>
          <w:lang w:val="en-US" w:eastAsia="zh-CN" w:bidi="ar-SA"/>
        </w:rPr>
        <w:t>（兼施工负责人）、技术负责人、</w:t>
      </w:r>
      <w:r>
        <w:rPr>
          <w:rFonts w:hint="eastAsia" w:ascii="宋体" w:hAnsi="宋体" w:eastAsia="宋体" w:cs="宋体"/>
          <w:kern w:val="2"/>
          <w:sz w:val="21"/>
          <w:szCs w:val="21"/>
          <w:lang w:val="en-US" w:eastAsia="zh-CN" w:bidi="ar-SA"/>
        </w:rPr>
        <w:t>质量负责人、安全负责人、造价负责人及施工管理机构人员配备由</w:t>
      </w:r>
      <w:r>
        <w:rPr>
          <w:rFonts w:hint="eastAsia"/>
          <w:color w:val="auto"/>
          <w:highlight w:val="none"/>
        </w:rPr>
        <w:t>施工</w:t>
      </w:r>
      <w:r>
        <w:rPr>
          <w:rFonts w:hint="eastAsia"/>
          <w:color w:val="auto"/>
          <w:highlight w:val="none"/>
          <w:lang w:val="en-US" w:eastAsia="zh-CN"/>
        </w:rPr>
        <w:t>方提供，</w:t>
      </w:r>
      <w:r>
        <w:rPr>
          <w:rFonts w:hint="eastAsia" w:ascii="宋体" w:hAnsi="宋体" w:cs="宋体"/>
          <w:kern w:val="2"/>
          <w:sz w:val="21"/>
          <w:szCs w:val="21"/>
          <w:lang w:val="en-US" w:eastAsia="zh-CN" w:bidi="ar-SA"/>
        </w:rPr>
        <w:t>协助动迁管理人员由动迁服务方提供。</w:t>
      </w:r>
    </w:p>
    <w:p w14:paraId="0D77580B">
      <w:pPr>
        <w:tabs>
          <w:tab w:val="left" w:pos="0"/>
        </w:tabs>
        <w:spacing w:line="240" w:lineRule="auto"/>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rPr>
        <w:t>）关于负责人的项目经验：</w:t>
      </w:r>
    </w:p>
    <w:p w14:paraId="42AC0819">
      <w:pPr>
        <w:tabs>
          <w:tab w:val="left" w:pos="0"/>
        </w:tabs>
        <w:spacing w:line="240" w:lineRule="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kern w:val="2"/>
          <w:sz w:val="21"/>
          <w:szCs w:val="21"/>
          <w:lang w:val="en-US" w:eastAsia="zh-CN" w:bidi="ar-SA"/>
        </w:rPr>
        <w:t>项目负责人</w:t>
      </w:r>
      <w:r>
        <w:rPr>
          <w:rFonts w:hint="eastAsia" w:ascii="宋体" w:hAnsi="宋体" w:cs="宋体"/>
          <w:kern w:val="2"/>
          <w:sz w:val="21"/>
          <w:szCs w:val="21"/>
          <w:lang w:val="en-US" w:eastAsia="zh-CN" w:bidi="ar-SA"/>
        </w:rPr>
        <w:t>（兼施工负责人）：</w:t>
      </w:r>
      <w:r>
        <w:rPr>
          <w:rFonts w:hint="eastAsia" w:ascii="宋体" w:hAnsi="宋体" w:eastAsia="宋体" w:cs="宋体"/>
          <w:bCs/>
          <w:sz w:val="21"/>
          <w:szCs w:val="21"/>
        </w:rPr>
        <w:t>须同时提供以下业绩证明文件扫描件并加盖投标人电子印章：①中标通知书或免招标证明。②业绩施工合同或协议，施工合同或协议需载明对应的工程金额及内容；若合同或协议不能清晰体现的，则需建设单位提供的盖章证明资料中载明的工程金额及内容为准。③竣工验收文件，竣工验收文件至少具有建设单位</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或代建单位</w:t>
      </w:r>
      <w:r>
        <w:rPr>
          <w:rFonts w:hint="eastAsia" w:ascii="宋体" w:hAnsi="宋体" w:eastAsia="宋体" w:cs="宋体"/>
          <w:bCs/>
          <w:sz w:val="21"/>
          <w:szCs w:val="21"/>
          <w:lang w:eastAsia="zh-CN"/>
        </w:rPr>
        <w:t>）</w:t>
      </w:r>
      <w:r>
        <w:rPr>
          <w:rFonts w:hint="eastAsia" w:ascii="宋体" w:hAnsi="宋体" w:eastAsia="宋体" w:cs="宋体"/>
          <w:bCs/>
          <w:sz w:val="21"/>
          <w:szCs w:val="21"/>
        </w:rPr>
        <w:t>、设计、施工和监理单位的盖章，竣工验收材料需体现项目负责人</w:t>
      </w:r>
      <w:r>
        <w:rPr>
          <w:rFonts w:hint="eastAsia" w:ascii="宋体" w:hAnsi="宋体" w:eastAsia="宋体" w:cs="宋体"/>
          <w:bCs/>
          <w:sz w:val="21"/>
          <w:szCs w:val="21"/>
          <w:lang w:val="en-US" w:eastAsia="zh-CN"/>
        </w:rPr>
        <w:t>或技术负责人</w:t>
      </w:r>
      <w:r>
        <w:rPr>
          <w:rFonts w:hint="eastAsia" w:ascii="宋体" w:hAnsi="宋体" w:eastAsia="宋体" w:cs="宋体"/>
          <w:bCs/>
          <w:sz w:val="21"/>
          <w:szCs w:val="21"/>
        </w:rPr>
        <w:t>姓名及职务；完成时间以竣工验收文件为准，</w:t>
      </w:r>
      <w:r>
        <w:rPr>
          <w:rFonts w:hint="eastAsia" w:ascii="宋体" w:hAnsi="宋体" w:eastAsia="宋体" w:cs="宋体"/>
          <w:sz w:val="21"/>
          <w:szCs w:val="21"/>
        </w:rPr>
        <w:t>金额以中标通知书为准，中标通知书上没有金额或免招标的，以施工合同或协议为准</w:t>
      </w:r>
      <w:r>
        <w:rPr>
          <w:rFonts w:hint="eastAsia" w:ascii="宋体" w:hAnsi="宋体" w:eastAsia="宋体" w:cs="宋体"/>
          <w:bCs/>
          <w:sz w:val="21"/>
          <w:szCs w:val="21"/>
        </w:rPr>
        <w:t>。未按要求提供证明材料不得分。</w:t>
      </w:r>
    </w:p>
    <w:p w14:paraId="1B22998E">
      <w:pPr>
        <w:pStyle w:val="15"/>
        <w:spacing w:line="240" w:lineRule="auto"/>
        <w:ind w:left="0" w:leftChars="0" w:firstLine="0" w:firstLineChars="0"/>
        <w:rPr>
          <w:rFonts w:hint="default" w:eastAsia="宋体"/>
          <w:lang w:val="en-US" w:eastAsia="zh-CN"/>
        </w:rPr>
      </w:pPr>
      <w:r>
        <w:rPr>
          <w:rFonts w:hint="eastAsia" w:ascii="宋体" w:hAnsi="宋体" w:cs="宋体"/>
          <w:bCs/>
          <w:sz w:val="21"/>
          <w:szCs w:val="21"/>
          <w:lang w:val="en-US" w:eastAsia="zh-CN"/>
        </w:rPr>
        <w:t>2）</w:t>
      </w:r>
      <w:r>
        <w:rPr>
          <w:rFonts w:hint="eastAsia" w:ascii="宋体" w:hAnsi="宋体" w:cs="宋体"/>
          <w:kern w:val="2"/>
          <w:sz w:val="21"/>
          <w:szCs w:val="21"/>
          <w:lang w:val="en-US" w:eastAsia="zh-CN" w:bidi="ar-SA"/>
        </w:rPr>
        <w:t>动迁服务管理人员：总面积可由多个服务项目业绩相加，</w:t>
      </w:r>
      <w:r>
        <w:rPr>
          <w:rFonts w:hint="eastAsia" w:ascii="宋体" w:hAnsi="宋体" w:eastAsia="宋体" w:cs="宋体"/>
          <w:bCs/>
          <w:sz w:val="21"/>
          <w:szCs w:val="21"/>
        </w:rPr>
        <w:t>须同时提供以下业绩证明文件扫描件并加盖投标人电子印章：①</w:t>
      </w:r>
      <w:r>
        <w:rPr>
          <w:rFonts w:hint="eastAsia" w:ascii="宋体" w:hAnsi="宋体" w:eastAsia="宋体" w:cs="宋体"/>
          <w:bCs/>
          <w:sz w:val="21"/>
          <w:szCs w:val="21"/>
          <w:lang w:val="en-US" w:eastAsia="zh-CN"/>
        </w:rPr>
        <w:t>业绩经验汇总表（多个业绩经验相加的，列明单个合同拆迁服务面积及合计总面积），拆迁服务</w:t>
      </w:r>
      <w:r>
        <w:rPr>
          <w:rFonts w:hint="eastAsia" w:ascii="宋体" w:hAnsi="宋体" w:eastAsia="宋体" w:cs="宋体"/>
          <w:bCs/>
          <w:sz w:val="21"/>
          <w:szCs w:val="21"/>
        </w:rPr>
        <w:t>合同或协议</w:t>
      </w:r>
      <w:r>
        <w:rPr>
          <w:rFonts w:hint="eastAsia" w:ascii="宋体" w:hAnsi="宋体" w:eastAsia="宋体" w:cs="宋体"/>
          <w:bCs/>
          <w:sz w:val="21"/>
          <w:szCs w:val="21"/>
          <w:lang w:eastAsia="zh-CN"/>
        </w:rPr>
        <w:t>；</w:t>
      </w:r>
      <w:r>
        <w:rPr>
          <w:rFonts w:hint="eastAsia" w:ascii="宋体" w:hAnsi="宋体" w:eastAsia="宋体" w:cs="宋体"/>
          <w:bCs/>
          <w:sz w:val="21"/>
          <w:szCs w:val="21"/>
        </w:rPr>
        <w:t>②若合同或协议不能清晰体现</w:t>
      </w:r>
      <w:r>
        <w:rPr>
          <w:rFonts w:hint="eastAsia" w:ascii="宋体" w:hAnsi="宋体" w:eastAsia="宋体" w:cs="宋体"/>
          <w:bCs/>
          <w:sz w:val="21"/>
          <w:szCs w:val="21"/>
          <w:lang w:val="en-US" w:eastAsia="zh-CN"/>
        </w:rPr>
        <w:t>管理人员姓名及服务面积</w:t>
      </w:r>
      <w:r>
        <w:rPr>
          <w:rFonts w:hint="eastAsia" w:ascii="宋体" w:hAnsi="宋体" w:eastAsia="宋体" w:cs="宋体"/>
          <w:bCs/>
          <w:sz w:val="21"/>
          <w:szCs w:val="21"/>
        </w:rPr>
        <w:t>的，则需</w:t>
      </w:r>
      <w:r>
        <w:rPr>
          <w:rFonts w:hint="eastAsia" w:ascii="宋体" w:hAnsi="宋体" w:eastAsia="宋体" w:cs="宋体"/>
          <w:bCs/>
          <w:sz w:val="21"/>
          <w:szCs w:val="21"/>
          <w:lang w:val="en-US" w:eastAsia="zh-CN"/>
        </w:rPr>
        <w:t>合同甲方</w:t>
      </w:r>
      <w:r>
        <w:rPr>
          <w:rFonts w:hint="eastAsia" w:ascii="宋体" w:hAnsi="宋体" w:eastAsia="宋体" w:cs="宋体"/>
          <w:bCs/>
          <w:sz w:val="21"/>
          <w:szCs w:val="21"/>
        </w:rPr>
        <w:t>提供的盖章证明资料中载明的</w:t>
      </w:r>
      <w:r>
        <w:rPr>
          <w:rFonts w:hint="eastAsia" w:ascii="宋体" w:hAnsi="宋体" w:eastAsia="宋体" w:cs="宋体"/>
          <w:bCs/>
          <w:sz w:val="21"/>
          <w:szCs w:val="21"/>
          <w:lang w:val="en-US" w:eastAsia="zh-CN"/>
        </w:rPr>
        <w:t>服务人员</w:t>
      </w:r>
      <w:r>
        <w:rPr>
          <w:rFonts w:hint="eastAsia" w:ascii="宋体" w:hAnsi="宋体" w:eastAsia="宋体" w:cs="宋体"/>
          <w:bCs/>
          <w:sz w:val="21"/>
          <w:szCs w:val="21"/>
        </w:rPr>
        <w:t>及</w:t>
      </w:r>
      <w:r>
        <w:rPr>
          <w:rFonts w:hint="eastAsia" w:ascii="宋体" w:hAnsi="宋体" w:eastAsia="宋体" w:cs="宋体"/>
          <w:bCs/>
          <w:sz w:val="21"/>
          <w:szCs w:val="21"/>
          <w:lang w:val="en-US" w:eastAsia="zh-CN"/>
        </w:rPr>
        <w:t>服务面积</w:t>
      </w:r>
      <w:r>
        <w:rPr>
          <w:rFonts w:hint="eastAsia" w:ascii="宋体" w:hAnsi="宋体" w:eastAsia="宋体" w:cs="宋体"/>
          <w:bCs/>
          <w:sz w:val="21"/>
          <w:szCs w:val="21"/>
        </w:rPr>
        <w:t>为准。③</w:t>
      </w:r>
      <w:r>
        <w:rPr>
          <w:rFonts w:hint="eastAsia" w:ascii="宋体" w:hAnsi="宋体" w:eastAsia="宋体" w:cs="宋体"/>
          <w:bCs/>
          <w:sz w:val="21"/>
          <w:szCs w:val="21"/>
          <w:lang w:val="en-US" w:eastAsia="zh-CN"/>
        </w:rPr>
        <w:t>结项</w:t>
      </w:r>
      <w:r>
        <w:rPr>
          <w:rFonts w:hint="eastAsia" w:ascii="宋体" w:hAnsi="宋体" w:eastAsia="宋体" w:cs="宋体"/>
          <w:bCs/>
          <w:sz w:val="21"/>
          <w:szCs w:val="21"/>
        </w:rPr>
        <w:t>验收文件；完成时间以验收文件为准。未按要求提供证明材料不得分。</w:t>
      </w:r>
    </w:p>
    <w:p w14:paraId="73E1F46D">
      <w:pPr>
        <w:tabs>
          <w:tab w:val="left" w:pos="0"/>
        </w:tabs>
        <w:spacing w:line="240" w:lineRule="auto"/>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4</w:t>
      </w:r>
      <w:r>
        <w:rPr>
          <w:rFonts w:hint="eastAsia" w:ascii="宋体" w:hAnsi="宋体" w:eastAsia="宋体" w:cs="宋体"/>
          <w:bCs/>
          <w:sz w:val="21"/>
          <w:szCs w:val="21"/>
        </w:rPr>
        <w:t>）有少一人或有任一人员不满足对应“基本要求”或未按对应备注要求提供的齐全且有效的材料的，均视为不满足《施工管理机构人员配备基本要求表》。</w:t>
      </w:r>
    </w:p>
    <w:p w14:paraId="1211459C">
      <w:pPr>
        <w:widowControl/>
        <w:shd w:val="clear" w:color="auto" w:fill="FFFFFF"/>
        <w:spacing w:before="0" w:beforeAutospacing="0" w:after="0" w:afterAutospacing="0"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b/>
          <w:bCs/>
          <w:kern w:val="0"/>
          <w:sz w:val="21"/>
          <w:szCs w:val="21"/>
          <w:lang w:val="en-US" w:eastAsia="zh-CN" w:bidi="ar-SA"/>
        </w:rPr>
        <w:t>2.</w:t>
      </w:r>
      <w:r>
        <w:rPr>
          <w:rFonts w:hint="eastAsia" w:ascii="宋体" w:hAnsi="宋体" w:eastAsia="宋体" w:cs="宋体"/>
          <w:b/>
          <w:kern w:val="2"/>
          <w:sz w:val="21"/>
          <w:szCs w:val="21"/>
          <w:lang w:val="en-US" w:eastAsia="zh-CN" w:bidi="ar-SA"/>
        </w:rPr>
        <w:t>【类似</w:t>
      </w:r>
      <w:r>
        <w:rPr>
          <w:rFonts w:hint="eastAsia" w:ascii="宋体" w:hAnsi="宋体" w:cs="宋体"/>
          <w:b/>
          <w:kern w:val="2"/>
          <w:sz w:val="21"/>
          <w:szCs w:val="21"/>
          <w:lang w:val="en-US" w:eastAsia="zh-CN" w:bidi="ar-SA"/>
        </w:rPr>
        <w:t>施工</w:t>
      </w:r>
      <w:r>
        <w:rPr>
          <w:rFonts w:hint="eastAsia" w:ascii="宋体" w:hAnsi="宋体" w:eastAsia="宋体" w:cs="宋体"/>
          <w:b/>
          <w:kern w:val="2"/>
          <w:sz w:val="21"/>
          <w:szCs w:val="21"/>
          <w:lang w:val="en-US" w:eastAsia="zh-CN" w:bidi="ar-SA"/>
        </w:rPr>
        <w:t>业绩】</w:t>
      </w:r>
      <w:r>
        <w:rPr>
          <w:rFonts w:hint="eastAsia" w:ascii="宋体" w:hAnsi="宋体" w:cs="宋体"/>
          <w:b/>
          <w:bCs/>
          <w:kern w:val="2"/>
          <w:sz w:val="21"/>
          <w:szCs w:val="21"/>
          <w:lang w:val="en-US" w:eastAsia="zh-CN" w:bidi="ar-SA"/>
        </w:rPr>
        <w:t>（</w:t>
      </w:r>
      <w:r>
        <w:rPr>
          <w:rFonts w:hint="eastAsia" w:ascii="宋体" w:hAnsi="宋体" w:cs="宋体"/>
          <w:b/>
          <w:bCs/>
          <w:sz w:val="21"/>
          <w:szCs w:val="21"/>
          <w:lang w:val="en-US" w:eastAsia="zh-CN"/>
        </w:rPr>
        <w:t>联合体投标的，</w:t>
      </w:r>
      <w:r>
        <w:rPr>
          <w:rFonts w:hint="eastAsia" w:ascii="宋体" w:hAnsi="宋体" w:eastAsia="宋体" w:cs="宋体"/>
          <w:b/>
          <w:bCs/>
          <w:kern w:val="2"/>
          <w:sz w:val="21"/>
          <w:szCs w:val="21"/>
          <w:lang w:val="en-US" w:eastAsia="zh-CN" w:bidi="ar-SA"/>
        </w:rPr>
        <w:t>由</w:t>
      </w:r>
      <w:r>
        <w:rPr>
          <w:rFonts w:hint="eastAsia"/>
          <w:b/>
          <w:bCs/>
          <w:color w:val="auto"/>
          <w:highlight w:val="none"/>
        </w:rPr>
        <w:t>施工</w:t>
      </w:r>
      <w:r>
        <w:rPr>
          <w:rFonts w:hint="eastAsia" w:ascii="Times New Roman" w:eastAsia="宋体"/>
          <w:b/>
          <w:bCs/>
          <w:color w:val="auto"/>
          <w:highlight w:val="none"/>
          <w:lang w:val="en-US" w:eastAsia="zh-CN"/>
        </w:rPr>
        <w:t>方提供</w:t>
      </w:r>
      <w:r>
        <w:rPr>
          <w:rFonts w:hint="eastAsia" w:ascii="宋体" w:hAnsi="宋体" w:cs="宋体"/>
          <w:b/>
          <w:bCs/>
          <w:kern w:val="2"/>
          <w:sz w:val="21"/>
          <w:szCs w:val="21"/>
          <w:lang w:val="en-US" w:eastAsia="zh-CN" w:bidi="ar-SA"/>
        </w:rPr>
        <w:t>）</w:t>
      </w:r>
      <w:r>
        <w:rPr>
          <w:rFonts w:hint="eastAsia" w:ascii="宋体" w:hAnsi="宋体" w:eastAsia="宋体" w:cs="宋体"/>
          <w:b/>
          <w:kern w:val="2"/>
          <w:sz w:val="21"/>
          <w:szCs w:val="21"/>
          <w:lang w:val="en-US" w:eastAsia="zh-CN" w:bidi="ar-SA"/>
        </w:rPr>
        <w:t>：</w:t>
      </w:r>
      <w:r>
        <w:rPr>
          <w:rFonts w:hint="eastAsia" w:ascii="宋体" w:hAnsi="宋体" w:eastAsia="宋体" w:cs="宋体"/>
          <w:kern w:val="2"/>
          <w:sz w:val="21"/>
          <w:szCs w:val="21"/>
          <w:lang w:val="en-US" w:eastAsia="zh-CN" w:bidi="ar-SA"/>
        </w:rPr>
        <w:t>须同时提供以下业绩证明文件扫描件并加盖投标人电子印章：</w:t>
      </w:r>
    </w:p>
    <w:p w14:paraId="7367EAD2">
      <w:pPr>
        <w:widowControl/>
        <w:shd w:val="clear" w:color="auto" w:fill="FFFFFF"/>
        <w:spacing w:before="0" w:beforeAutospacing="0" w:after="0" w:afterAutospacing="0"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通知书或免招标证明。（2）业绩施工合同或协议，施工合同或协议需载明对应的工程金额及内容；若合同或协议不能清晰体现的，则需建设单位提供的盖章证明资料中载明的工程金额及内容为准。（3）竣工验收文件，验收文件至少具有建设单位</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或代建单位</w:t>
      </w:r>
      <w:r>
        <w:rPr>
          <w:rFonts w:hint="eastAsia" w:ascii="宋体" w:hAnsi="宋体" w:eastAsia="宋体" w:cs="宋体"/>
          <w:bCs/>
          <w:sz w:val="21"/>
          <w:szCs w:val="21"/>
          <w:lang w:eastAsia="zh-CN"/>
        </w:rPr>
        <w:t>）</w:t>
      </w:r>
      <w:r>
        <w:rPr>
          <w:rFonts w:hint="eastAsia" w:ascii="宋体" w:hAnsi="宋体" w:eastAsia="宋体" w:cs="宋体"/>
          <w:kern w:val="2"/>
          <w:sz w:val="21"/>
          <w:szCs w:val="21"/>
          <w:lang w:val="en-US" w:eastAsia="zh-CN" w:bidi="ar-SA"/>
        </w:rPr>
        <w:t>、设计、施工和监理单位盖章；完成时间以竣工验收文件为准，金额以中标通知书为准，中标通知书上没有金额或免招标的，以施工合同或协议为准。未按要求提供上述证明文件的不计分。</w:t>
      </w:r>
    </w:p>
    <w:p w14:paraId="54FF50E5">
      <w:pPr>
        <w:tabs>
          <w:tab w:val="left" w:pos="0"/>
        </w:tabs>
        <w:spacing w:line="240" w:lineRule="auto"/>
        <w:rPr>
          <w:rFonts w:hint="eastAsia" w:ascii="宋体" w:hAnsi="宋体" w:eastAsia="宋体" w:cs="宋体"/>
          <w:sz w:val="21"/>
          <w:szCs w:val="21"/>
        </w:rPr>
      </w:pPr>
      <w:r>
        <w:rPr>
          <w:rFonts w:hint="eastAsia" w:ascii="宋体" w:hAnsi="宋体" w:eastAsia="宋体" w:cs="宋体"/>
          <w:b/>
          <w:bCs/>
          <w:sz w:val="21"/>
          <w:szCs w:val="21"/>
        </w:rPr>
        <w:t>3.</w:t>
      </w:r>
      <w:r>
        <w:rPr>
          <w:rFonts w:hint="eastAsia" w:ascii="宋体" w:hAnsi="宋体" w:eastAsia="宋体" w:cs="宋体"/>
          <w:b/>
          <w:sz w:val="21"/>
          <w:szCs w:val="21"/>
        </w:rPr>
        <w:t>【工程获奖】</w:t>
      </w:r>
      <w:r>
        <w:rPr>
          <w:rFonts w:hint="eastAsia" w:ascii="宋体" w:hAnsi="宋体" w:cs="宋体"/>
          <w:b/>
          <w:bCs/>
          <w:kern w:val="2"/>
          <w:sz w:val="21"/>
          <w:szCs w:val="21"/>
          <w:lang w:val="en-US" w:eastAsia="zh-CN" w:bidi="ar-SA"/>
        </w:rPr>
        <w:t>（</w:t>
      </w:r>
      <w:r>
        <w:rPr>
          <w:rFonts w:hint="eastAsia" w:ascii="宋体" w:hAnsi="宋体" w:cs="宋体"/>
          <w:b/>
          <w:bCs/>
          <w:sz w:val="21"/>
          <w:szCs w:val="21"/>
          <w:lang w:val="en-US" w:eastAsia="zh-CN"/>
        </w:rPr>
        <w:t>联合体投标的，</w:t>
      </w:r>
      <w:r>
        <w:rPr>
          <w:rFonts w:hint="eastAsia" w:ascii="宋体" w:hAnsi="宋体" w:eastAsia="宋体" w:cs="宋体"/>
          <w:b/>
          <w:bCs/>
          <w:kern w:val="2"/>
          <w:sz w:val="21"/>
          <w:szCs w:val="21"/>
          <w:lang w:val="en-US" w:eastAsia="zh-CN" w:bidi="ar-SA"/>
        </w:rPr>
        <w:t>由</w:t>
      </w:r>
      <w:r>
        <w:rPr>
          <w:rFonts w:hint="eastAsia"/>
          <w:b/>
          <w:bCs/>
          <w:color w:val="auto"/>
          <w:highlight w:val="none"/>
        </w:rPr>
        <w:t>施工</w:t>
      </w:r>
      <w:r>
        <w:rPr>
          <w:rFonts w:hint="eastAsia" w:ascii="Times New Roman" w:eastAsia="宋体"/>
          <w:b/>
          <w:bCs/>
          <w:color w:val="auto"/>
          <w:highlight w:val="none"/>
          <w:lang w:val="en-US" w:eastAsia="zh-CN"/>
        </w:rPr>
        <w:t>方提供</w:t>
      </w:r>
      <w:r>
        <w:rPr>
          <w:rFonts w:hint="eastAsia" w:ascii="宋体" w:hAnsi="宋体" w:cs="宋体"/>
          <w:b/>
          <w:bCs/>
          <w:kern w:val="2"/>
          <w:sz w:val="21"/>
          <w:szCs w:val="21"/>
          <w:lang w:val="en-US" w:eastAsia="zh-CN" w:bidi="ar-SA"/>
        </w:rPr>
        <w:t>）</w:t>
      </w:r>
      <w:r>
        <w:rPr>
          <w:rFonts w:hint="eastAsia" w:ascii="宋体" w:hAnsi="宋体" w:eastAsia="宋体" w:cs="宋体"/>
          <w:b/>
          <w:sz w:val="21"/>
          <w:szCs w:val="21"/>
        </w:rPr>
        <w:t>：</w:t>
      </w:r>
      <w:r>
        <w:rPr>
          <w:rFonts w:hint="eastAsia" w:ascii="宋体" w:hAnsi="宋体" w:eastAsia="宋体" w:cs="宋体"/>
          <w:sz w:val="21"/>
          <w:szCs w:val="21"/>
        </w:rPr>
        <w:t>（1）①国家级奖项指的是中国建设工程鲁班奖、国家优质工程金质奖、国家优质工程奖、中国土木工程詹天佑奖、中国（全国）建筑工程装饰奖（不含设计和幕墙类获奖）和国家优质工程奖银质奖；省级奖项是指由省级建设行政主管部门或行业协会（学会）颁发（行业协会（学会）须在民政部门备案）的质量奖项（指</w:t>
      </w:r>
      <w:r>
        <w:rPr>
          <w:rFonts w:hint="eastAsia" w:ascii="宋体" w:hAnsi="宋体" w:eastAsia="宋体" w:cs="宋体"/>
          <w:bCs/>
          <w:sz w:val="21"/>
          <w:szCs w:val="21"/>
          <w:lang w:val="zh-TW" w:eastAsia="zh-TW"/>
        </w:rPr>
        <w:t>省级奖项指省级建设工程优质奖、省级优秀建筑装饰工程奖、省级土木工程詹天佑故乡杯、省级建设工程优质结构奖</w:t>
      </w:r>
      <w:r>
        <w:rPr>
          <w:rFonts w:hint="eastAsia" w:ascii="宋体" w:hAnsi="宋体" w:eastAsia="宋体" w:cs="宋体"/>
          <w:bCs/>
          <w:sz w:val="21"/>
          <w:szCs w:val="21"/>
          <w:lang w:val="zh-TW"/>
        </w:rPr>
        <w:t>、</w:t>
      </w:r>
      <w:r>
        <w:rPr>
          <w:rFonts w:hint="eastAsia" w:ascii="宋体" w:hAnsi="宋体" w:eastAsia="宋体" w:cs="宋体"/>
          <w:sz w:val="21"/>
          <w:szCs w:val="21"/>
        </w:rPr>
        <w:t>粤钢奖等同类奖项）；市级（含副省级）奖项是指由市级（含副省级）建设行政主管部门或行业协会颁发（行业协会须在民政部门备案）的质量奖项。其它如安全文明、绿色施工、技术创新、QC成果、技术应用类奖项不参与计分；②只计算房建类工程获得的质量奖项，其他非房建项目，如：路桥、铁路、水利、电力、化工、冶金、市政等获奖不参与计分。</w:t>
      </w:r>
    </w:p>
    <w:p w14:paraId="56FF17FD">
      <w:pPr>
        <w:spacing w:line="240" w:lineRule="auto"/>
        <w:rPr>
          <w:rFonts w:hint="eastAsia" w:ascii="宋体" w:hAnsi="宋体" w:eastAsia="宋体" w:cs="宋体"/>
          <w:sz w:val="21"/>
          <w:szCs w:val="21"/>
        </w:rPr>
      </w:pPr>
      <w:r>
        <w:rPr>
          <w:rFonts w:hint="eastAsia" w:ascii="宋体" w:hAnsi="宋体" w:eastAsia="宋体" w:cs="宋体"/>
          <w:sz w:val="21"/>
          <w:szCs w:val="21"/>
        </w:rPr>
        <w:t>（2）投标人须提交获奖证书扫描件，时间以获奖证书颁发时间为准，并加盖投标人电子印章，不符合上述条件的不予评审。同一项目获得多个奖项的，该项目获奖只按其中一个奖项所在最高级别计算一次分数，不得重复计算。</w:t>
      </w:r>
    </w:p>
    <w:p w14:paraId="525364BB">
      <w:pPr>
        <w:spacing w:line="240" w:lineRule="auto"/>
        <w:rPr>
          <w:rFonts w:hint="eastAsia" w:ascii="宋体" w:hAnsi="宋体" w:eastAsia="宋体" w:cs="宋体"/>
          <w:sz w:val="21"/>
          <w:szCs w:val="21"/>
        </w:rPr>
      </w:pPr>
      <w:r>
        <w:rPr>
          <w:rFonts w:hint="eastAsia" w:ascii="宋体" w:hAnsi="宋体" w:eastAsia="宋体" w:cs="宋体"/>
          <w:sz w:val="21"/>
          <w:szCs w:val="21"/>
        </w:rPr>
        <w:t>（3）不符合上述要求的不计分。</w:t>
      </w:r>
    </w:p>
    <w:p w14:paraId="2A98A626">
      <w:pPr>
        <w:spacing w:line="240" w:lineRule="auto"/>
        <w:rPr>
          <w:rFonts w:hint="eastAsia" w:ascii="宋体" w:hAnsi="宋体" w:eastAsia="宋体" w:cs="宋体"/>
          <w:sz w:val="21"/>
          <w:szCs w:val="21"/>
        </w:rPr>
      </w:pPr>
      <w:r>
        <w:rPr>
          <w:rFonts w:hint="eastAsia" w:ascii="宋体" w:hAnsi="宋体" w:eastAsia="宋体" w:cs="宋体"/>
          <w:b/>
          <w:sz w:val="21"/>
          <w:szCs w:val="21"/>
        </w:rPr>
        <w:t>4.【工程研发能力】</w:t>
      </w:r>
      <w:r>
        <w:rPr>
          <w:rFonts w:hint="eastAsia" w:ascii="宋体" w:hAnsi="宋体" w:cs="宋体"/>
          <w:b/>
          <w:bCs/>
          <w:kern w:val="2"/>
          <w:sz w:val="21"/>
          <w:szCs w:val="21"/>
          <w:lang w:val="en-US" w:eastAsia="zh-CN" w:bidi="ar-SA"/>
        </w:rPr>
        <w:t>（</w:t>
      </w:r>
      <w:r>
        <w:rPr>
          <w:rFonts w:hint="eastAsia" w:ascii="宋体" w:hAnsi="宋体" w:cs="宋体"/>
          <w:b/>
          <w:bCs/>
          <w:sz w:val="21"/>
          <w:szCs w:val="21"/>
          <w:lang w:val="en-US" w:eastAsia="zh-CN"/>
        </w:rPr>
        <w:t>联合体投标的，</w:t>
      </w:r>
      <w:r>
        <w:rPr>
          <w:rFonts w:hint="eastAsia" w:ascii="宋体" w:hAnsi="宋体" w:eastAsia="宋体" w:cs="宋体"/>
          <w:b/>
          <w:bCs/>
          <w:kern w:val="2"/>
          <w:sz w:val="21"/>
          <w:szCs w:val="21"/>
          <w:lang w:val="en-US" w:eastAsia="zh-CN" w:bidi="ar-SA"/>
        </w:rPr>
        <w:t>由</w:t>
      </w:r>
      <w:r>
        <w:rPr>
          <w:rFonts w:hint="eastAsia"/>
          <w:b/>
          <w:bCs/>
          <w:color w:val="auto"/>
          <w:highlight w:val="none"/>
        </w:rPr>
        <w:t>施工</w:t>
      </w:r>
      <w:r>
        <w:rPr>
          <w:rFonts w:hint="eastAsia" w:ascii="Times New Roman" w:eastAsia="宋体"/>
          <w:b/>
          <w:bCs/>
          <w:color w:val="auto"/>
          <w:highlight w:val="none"/>
          <w:lang w:val="en-US" w:eastAsia="zh-CN"/>
        </w:rPr>
        <w:t>方提供</w:t>
      </w:r>
      <w:r>
        <w:rPr>
          <w:rFonts w:hint="eastAsia" w:ascii="宋体" w:hAnsi="宋体" w:cs="宋体"/>
          <w:b/>
          <w:bCs/>
          <w:kern w:val="2"/>
          <w:sz w:val="21"/>
          <w:szCs w:val="21"/>
          <w:lang w:val="en-US" w:eastAsia="zh-CN" w:bidi="ar-SA"/>
        </w:rPr>
        <w:t>）</w:t>
      </w:r>
      <w:r>
        <w:rPr>
          <w:rFonts w:hint="eastAsia" w:ascii="宋体" w:hAnsi="宋体" w:eastAsia="宋体" w:cs="宋体"/>
          <w:b/>
          <w:sz w:val="21"/>
          <w:szCs w:val="21"/>
        </w:rPr>
        <w:t>：</w:t>
      </w:r>
      <w:r>
        <w:rPr>
          <w:rFonts w:hint="eastAsia" w:ascii="宋体" w:hAnsi="宋体" w:eastAsia="宋体" w:cs="宋体"/>
          <w:sz w:val="21"/>
          <w:szCs w:val="21"/>
        </w:rPr>
        <w:t>（1）</w:t>
      </w:r>
      <w:r>
        <w:rPr>
          <w:rFonts w:hint="eastAsia" w:ascii="宋体" w:hAnsi="宋体" w:eastAsia="宋体" w:cs="宋体"/>
          <w:sz w:val="21"/>
          <w:szCs w:val="21"/>
          <w:lang w:val="en-US" w:eastAsia="zh-CN"/>
        </w:rPr>
        <w:t>科学技术奖</w:t>
      </w:r>
      <w:r>
        <w:rPr>
          <w:rFonts w:hint="eastAsia" w:ascii="宋体" w:hAnsi="宋体" w:eastAsia="宋体" w:cs="宋体"/>
          <w:sz w:val="21"/>
          <w:szCs w:val="21"/>
        </w:rPr>
        <w:t>证书以投标人所提供的证书原件扫描件为准，时间以</w:t>
      </w:r>
      <w:r>
        <w:rPr>
          <w:rFonts w:hint="eastAsia" w:ascii="宋体" w:hAnsi="宋体" w:eastAsia="宋体" w:cs="宋体"/>
          <w:sz w:val="21"/>
          <w:szCs w:val="21"/>
          <w:lang w:val="en-US" w:eastAsia="zh-CN"/>
        </w:rPr>
        <w:t>科学技术奖</w:t>
      </w:r>
      <w:r>
        <w:rPr>
          <w:rFonts w:hint="eastAsia" w:ascii="宋体" w:hAnsi="宋体" w:eastAsia="宋体" w:cs="宋体"/>
          <w:sz w:val="21"/>
          <w:szCs w:val="21"/>
        </w:rPr>
        <w:t>证书颁发时间为准。(2)提交专利证书原件彩色扫描件和中华人民共和国国家知识产权局网站（http://cpquery.cnipa.gov.cn）的查询结果的网页截图并加盖企业电子印章，未提供不计分。（</w:t>
      </w:r>
      <w:r>
        <w:rPr>
          <w:rFonts w:hint="eastAsia" w:ascii="宋体" w:hAnsi="宋体" w:eastAsia="宋体" w:cs="宋体"/>
          <w:sz w:val="21"/>
          <w:szCs w:val="21"/>
          <w:lang w:val="en-US" w:eastAsia="zh-CN"/>
        </w:rPr>
        <w:t>3</w:t>
      </w:r>
      <w:r>
        <w:rPr>
          <w:rFonts w:hint="eastAsia" w:ascii="宋体" w:hAnsi="宋体" w:eastAsia="宋体" w:cs="宋体"/>
          <w:sz w:val="21"/>
          <w:szCs w:val="21"/>
        </w:rPr>
        <w:t>）工程类软件著作权登记证书：须提供证书原件扫描件并加盖投标人电子印章，软件著作权以证书上所列单位名称为准，时间以加盖国家版权局登记专用章处时间为准。同时提供软件著作权在中国版权保护中心（http://www.ccopyright.com.cn/）的查询网页截图并加盖投标人电子印章，未按要求提供上述资料或无该证书的不得分。</w:t>
      </w:r>
    </w:p>
    <w:p w14:paraId="54BFDD4C">
      <w:pPr>
        <w:spacing w:line="240" w:lineRule="auto"/>
        <w:rPr>
          <w:rFonts w:hint="eastAsia" w:ascii="宋体" w:hAnsi="宋体" w:eastAsia="宋体" w:cs="宋体"/>
          <w:sz w:val="21"/>
          <w:szCs w:val="21"/>
        </w:rPr>
      </w:pPr>
      <w:r>
        <w:rPr>
          <w:rFonts w:hint="eastAsia" w:ascii="宋体" w:hAnsi="宋体" w:eastAsia="宋体" w:cs="宋体"/>
          <w:b/>
          <w:bCs/>
          <w:sz w:val="21"/>
          <w:szCs w:val="21"/>
        </w:rPr>
        <w:t>5.【第三方评价】</w:t>
      </w:r>
      <w:r>
        <w:rPr>
          <w:rFonts w:hint="eastAsia" w:ascii="宋体" w:hAnsi="宋体" w:cs="宋体"/>
          <w:b/>
          <w:bCs/>
          <w:kern w:val="2"/>
          <w:sz w:val="21"/>
          <w:szCs w:val="21"/>
          <w:lang w:val="en-US" w:eastAsia="zh-CN" w:bidi="ar-SA"/>
        </w:rPr>
        <w:t>（</w:t>
      </w:r>
      <w:r>
        <w:rPr>
          <w:rFonts w:hint="eastAsia" w:ascii="宋体" w:hAnsi="宋体" w:cs="宋体"/>
          <w:b/>
          <w:bCs/>
          <w:sz w:val="21"/>
          <w:szCs w:val="21"/>
          <w:lang w:val="en-US" w:eastAsia="zh-CN"/>
        </w:rPr>
        <w:t>联合体投标的，</w:t>
      </w:r>
      <w:r>
        <w:rPr>
          <w:rFonts w:hint="eastAsia" w:ascii="宋体" w:hAnsi="宋体" w:eastAsia="宋体" w:cs="宋体"/>
          <w:b/>
          <w:bCs/>
          <w:kern w:val="2"/>
          <w:sz w:val="21"/>
          <w:szCs w:val="21"/>
          <w:lang w:val="en-US" w:eastAsia="zh-CN" w:bidi="ar-SA"/>
        </w:rPr>
        <w:t>由</w:t>
      </w:r>
      <w:r>
        <w:rPr>
          <w:rFonts w:hint="eastAsia"/>
          <w:b/>
          <w:bCs/>
          <w:color w:val="auto"/>
          <w:highlight w:val="none"/>
        </w:rPr>
        <w:t>施工</w:t>
      </w:r>
      <w:r>
        <w:rPr>
          <w:rFonts w:hint="eastAsia" w:ascii="Times New Roman" w:eastAsia="宋体"/>
          <w:b/>
          <w:bCs/>
          <w:color w:val="auto"/>
          <w:highlight w:val="none"/>
          <w:lang w:val="en-US" w:eastAsia="zh-CN"/>
        </w:rPr>
        <w:t>方提供</w:t>
      </w:r>
      <w:r>
        <w:rPr>
          <w:rFonts w:hint="eastAsia" w:ascii="宋体" w:hAnsi="宋体" w:cs="宋体"/>
          <w:b/>
          <w:bCs/>
          <w:kern w:val="2"/>
          <w:sz w:val="21"/>
          <w:szCs w:val="21"/>
          <w:lang w:val="en-US" w:eastAsia="zh-CN" w:bidi="ar-SA"/>
        </w:rPr>
        <w:t>）</w:t>
      </w:r>
      <w:r>
        <w:rPr>
          <w:rFonts w:hint="eastAsia" w:ascii="宋体" w:hAnsi="宋体" w:eastAsia="宋体" w:cs="宋体"/>
          <w:b/>
          <w:bCs/>
          <w:sz w:val="21"/>
          <w:szCs w:val="21"/>
        </w:rPr>
        <w:t>：</w:t>
      </w:r>
      <w:r>
        <w:rPr>
          <w:rFonts w:hint="eastAsia" w:ascii="宋体" w:hAnsi="宋体" w:eastAsia="宋体" w:cs="宋体"/>
          <w:sz w:val="21"/>
          <w:szCs w:val="21"/>
        </w:rPr>
        <w:t>需提供相关的证书或证明文件并加盖投标人电子印章。未按要求的不得分。证书颁发机构为协会（学会）的，协会（学会）须在民政部门备案，否则不予计算得分。</w:t>
      </w:r>
    </w:p>
    <w:p w14:paraId="1E0A1E6A">
      <w:pPr>
        <w:widowControl w:val="0"/>
        <w:spacing w:line="240" w:lineRule="auto"/>
        <w:ind w:firstLine="0"/>
        <w:jc w:val="both"/>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6.</w:t>
      </w:r>
      <w:r>
        <w:rPr>
          <w:rFonts w:hint="eastAsia" w:ascii="宋体" w:hAnsi="宋体" w:eastAsia="宋体" w:cs="宋体"/>
          <w:b/>
          <w:bCs/>
          <w:kern w:val="2"/>
          <w:sz w:val="21"/>
          <w:szCs w:val="21"/>
          <w:lang w:val="en-US" w:eastAsia="zh-CN" w:bidi="ar-SA"/>
        </w:rPr>
        <w:t>答辩要求：</w:t>
      </w:r>
    </w:p>
    <w:p w14:paraId="1D973F36">
      <w:pPr>
        <w:spacing w:line="240" w:lineRule="auto"/>
        <w:rPr>
          <w:rFonts w:hint="eastAsia" w:ascii="宋体" w:hAnsi="宋体" w:eastAsia="宋体" w:cs="宋体"/>
          <w:sz w:val="21"/>
          <w:szCs w:val="21"/>
        </w:rPr>
      </w:pPr>
      <w:r>
        <w:rPr>
          <w:rFonts w:hint="eastAsia" w:ascii="宋体" w:hAnsi="宋体" w:eastAsia="宋体" w:cs="宋体"/>
          <w:sz w:val="21"/>
          <w:szCs w:val="21"/>
        </w:rPr>
        <w:t>（1）答辩人员组成：答辩小组由投标人拟派至本项目的项目负责人、技术负责人中1人或2人构成。</w:t>
      </w:r>
    </w:p>
    <w:p w14:paraId="5649AA64">
      <w:pPr>
        <w:spacing w:line="240" w:lineRule="auto"/>
        <w:rPr>
          <w:rFonts w:hint="eastAsia" w:ascii="宋体" w:hAnsi="宋体" w:eastAsia="宋体" w:cs="宋体"/>
          <w:sz w:val="21"/>
          <w:szCs w:val="21"/>
        </w:rPr>
      </w:pPr>
      <w:r>
        <w:rPr>
          <w:rFonts w:hint="eastAsia" w:ascii="宋体" w:hAnsi="宋体" w:eastAsia="宋体" w:cs="宋体"/>
          <w:sz w:val="21"/>
          <w:szCs w:val="21"/>
        </w:rPr>
        <w:t>（2）答辩通知：①电话或短信通知时间：评标当日（首日）上午8:30-9:00；②签到时间：评标当日（首日）上午11:00-12:00。</w:t>
      </w:r>
    </w:p>
    <w:p w14:paraId="6720C1B3">
      <w:pPr>
        <w:spacing w:line="240" w:lineRule="auto"/>
        <w:rPr>
          <w:rFonts w:hint="eastAsia" w:ascii="宋体" w:hAnsi="宋体" w:eastAsia="宋体" w:cs="宋体"/>
          <w:sz w:val="21"/>
          <w:szCs w:val="21"/>
        </w:rPr>
      </w:pPr>
      <w:r>
        <w:rPr>
          <w:rFonts w:hint="eastAsia" w:ascii="宋体" w:hAnsi="宋体" w:eastAsia="宋体" w:cs="宋体"/>
          <w:sz w:val="21"/>
          <w:szCs w:val="21"/>
        </w:rPr>
        <w:t>本项目评标当日（首日），招标代理在上述相应时间依据《开标记录表》中从小到大的序号，通过电话或短信方式，联系投标人在广州交易集团有限公司（广州公共资源交易中心）交易平台投标登记的被授权人电话。各投标人有义务确保评标当日（评标时间为开标后五个工作日内进行）投标登记的被授权人联系电话畅通有效。若电话无法接通，招标代理将以短信留言告知答辩时间，短信发送后即视为投标人已接收答辩通知。若投标人的答辩人员因未及时收信而错过答辩环节，由此丧失答辩资格的不利后果由投标人自行承担。</w:t>
      </w:r>
    </w:p>
    <w:p w14:paraId="41948F67">
      <w:pPr>
        <w:spacing w:line="240" w:lineRule="auto"/>
        <w:rPr>
          <w:rFonts w:hint="eastAsia" w:ascii="宋体" w:hAnsi="宋体" w:eastAsia="宋体" w:cs="宋体"/>
          <w:sz w:val="21"/>
          <w:szCs w:val="21"/>
        </w:rPr>
      </w:pPr>
      <w:r>
        <w:rPr>
          <w:rFonts w:hint="eastAsia" w:ascii="宋体" w:hAnsi="宋体" w:eastAsia="宋体" w:cs="宋体"/>
          <w:sz w:val="21"/>
          <w:szCs w:val="21"/>
        </w:rPr>
        <w:t>（3）答辩人员的到场要求：投标人的答辩人员需在评标当日（首日），按招标代理通知的具体时间与地点，前往指定场地办理签到手续。参加答辩时，应按要求在规定时间内签到，并向招标人或招标代理提交以下材料（所有材料均需加盖单位公章）：法定代表人证明书（格式自拟）、法人身份证正反面复印件、授权委托书（格式自拟，需列明所有参加答辩人员姓名、身份证号码、拟任本项目职务）、答辩人员身份证正反面复印件、2025年</w:t>
      </w:r>
      <w:r>
        <w:rPr>
          <w:rFonts w:hint="eastAsia" w:ascii="宋体" w:hAnsi="宋体" w:cs="宋体"/>
          <w:sz w:val="21"/>
          <w:szCs w:val="21"/>
          <w:lang w:val="en-US" w:eastAsia="zh-CN"/>
        </w:rPr>
        <w:t>8</w:t>
      </w:r>
      <w:r>
        <w:rPr>
          <w:rFonts w:hint="eastAsia" w:ascii="宋体" w:hAnsi="宋体" w:eastAsia="宋体" w:cs="宋体"/>
          <w:sz w:val="21"/>
          <w:szCs w:val="21"/>
        </w:rPr>
        <w:t>月社保证明复印件。参与答辩人员须出示身份证原件，经招标代理核对身份无误后完成签到。未能出示上述证明文件或文件不齐全，或未在规定时间内签到的投标人，不得参加答辩环节，相关不利后果由投标人自行承担。</w:t>
      </w:r>
    </w:p>
    <w:p w14:paraId="2549FFC3">
      <w:pPr>
        <w:spacing w:line="240" w:lineRule="auto"/>
        <w:rPr>
          <w:rFonts w:hint="eastAsia" w:ascii="宋体" w:hAnsi="宋体" w:eastAsia="宋体" w:cs="宋体"/>
          <w:sz w:val="21"/>
          <w:szCs w:val="21"/>
        </w:rPr>
      </w:pPr>
      <w:r>
        <w:rPr>
          <w:rFonts w:hint="eastAsia" w:ascii="宋体" w:hAnsi="宋体" w:eastAsia="宋体" w:cs="宋体"/>
          <w:sz w:val="21"/>
          <w:szCs w:val="21"/>
        </w:rPr>
        <w:t>（4）答辩顺序：答辩顺序依据《开标记录表》（以交易中心系统生成的 PDF 版为准）从小到大的序号确定。评标当天签到截止后，答辩人员按照《开标记录表》序号依次进场答辩。投标人应提前做好答辩准备工作，若因自身原因无法参加答辩，视为自动放弃。答辩仅在首次评标时开展，无论投标人是否存在被否决投标情况，或项目是否存在复核、重评情形，已确定的答辩评分均不作更改。投标人参与答辩并不意味着其通过资格审查或有效性审查。</w:t>
      </w:r>
    </w:p>
    <w:p w14:paraId="38C52F26">
      <w:pPr>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（5）答辩时长控制：每家投标人答辩总时长控制在10分钟内，其中陈述时间5分钟，答辩时间5分钟；若超出规定时间，评委有权打断并结束陈述或答辩。</w:t>
      </w:r>
    </w:p>
    <w:p w14:paraId="406A81B2">
      <w:pPr>
        <w:widowControl w:val="0"/>
        <w:spacing w:line="240" w:lineRule="auto"/>
        <w:ind w:firstLine="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7.评标委员会成员评分的算术平均值，即为该投标人的评审得分（若分数出现小数点时，保留到小数点后两位，第三位小数四舍五入）。投标人满足多个档次的，按最高档得分。</w:t>
      </w:r>
    </w:p>
    <w:p w14:paraId="5148ECF9">
      <w:pPr>
        <w:pStyle w:val="39"/>
        <w:numPr>
          <w:ilvl w:val="0"/>
          <w:numId w:val="0"/>
        </w:numPr>
        <w:snapToGrid w:val="0"/>
        <w:spacing w:before="0" w:beforeAutospacing="0" w:after="0" w:afterAutospacing="0" w:line="240" w:lineRule="auto"/>
        <w:ind w:firstLine="420" w:firstLineChars="200"/>
        <w:jc w:val="both"/>
        <w:rPr>
          <w:rFonts w:hint="eastAsia" w:ascii="宋体" w:hAnsi="宋体" w:eastAsia="宋体" w:cs="宋体"/>
          <w:sz w:val="21"/>
          <w:szCs w:val="21"/>
        </w:rPr>
      </w:pPr>
    </w:p>
    <w:p w14:paraId="592E0405">
      <w:pPr>
        <w:pStyle w:val="39"/>
        <w:numPr>
          <w:ilvl w:val="0"/>
          <w:numId w:val="0"/>
        </w:numPr>
        <w:snapToGrid w:val="0"/>
        <w:spacing w:before="0" w:beforeAutospacing="0" w:after="0" w:afterAutospacing="0" w:line="240" w:lineRule="auto"/>
        <w:ind w:firstLine="420" w:firstLineChars="200"/>
        <w:jc w:val="both"/>
        <w:rPr>
          <w:rFonts w:hint="eastAsia" w:ascii="宋体" w:hAnsi="宋体" w:eastAsiaTheme="minorEastAsia"/>
          <w:kern w:val="2"/>
          <w:highlight w:val="none"/>
          <w:lang w:val="en-US" w:eastAsia="zh-CN"/>
        </w:rPr>
      </w:pPr>
      <w:r>
        <w:rPr>
          <w:rFonts w:hint="eastAsia" w:ascii="宋体" w:hAnsi="宋体" w:eastAsia="宋体" w:cs="宋体"/>
          <w:sz w:val="21"/>
          <w:szCs w:val="21"/>
        </w:rPr>
        <w:t xml:space="preserve">评委签名：                     日期： </w:t>
      </w:r>
      <w:r>
        <w:rPr>
          <w:rFonts w:hint="eastAsia" w:ascii="宋体" w:hAnsi="宋体" w:eastAsia="宋体" w:cs="宋体"/>
          <w:color w:val="auto"/>
          <w:sz w:val="21"/>
          <w:szCs w:val="21"/>
          <w:highlight w:val="none"/>
        </w:rPr>
        <w:t>。</w:t>
      </w:r>
    </w:p>
    <w:p w14:paraId="148302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等线" w:cs="宋体"/>
          <w:b/>
          <w:kern w:val="0"/>
          <w:sz w:val="32"/>
          <w:szCs w:val="32"/>
          <w:lang w:val="en-US" w:eastAsia="zh-CN"/>
        </w:rPr>
      </w:pPr>
    </w:p>
    <w:p w14:paraId="4BBFFF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等线" w:cs="宋体"/>
          <w:b/>
          <w:kern w:val="0"/>
          <w:sz w:val="32"/>
          <w:szCs w:val="32"/>
          <w:lang w:val="en-US" w:eastAsia="zh-CN"/>
        </w:rPr>
      </w:pPr>
    </w:p>
    <w:p w14:paraId="3D4888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等线" w:cs="宋体"/>
          <w:b/>
          <w:kern w:val="0"/>
          <w:sz w:val="32"/>
          <w:szCs w:val="32"/>
        </w:rPr>
      </w:pPr>
      <w:r>
        <w:rPr>
          <w:rFonts w:hint="eastAsia" w:ascii="宋体" w:hAnsi="宋体" w:eastAsia="等线" w:cs="宋体"/>
          <w:b/>
          <w:kern w:val="0"/>
          <w:sz w:val="32"/>
          <w:szCs w:val="32"/>
          <w:lang w:val="en-US" w:eastAsia="zh-CN"/>
        </w:rPr>
        <w:t>施工</w:t>
      </w:r>
      <w:r>
        <w:rPr>
          <w:rFonts w:hint="eastAsia" w:ascii="宋体" w:hAnsi="宋体" w:eastAsia="等线" w:cs="宋体"/>
          <w:b/>
          <w:kern w:val="0"/>
          <w:sz w:val="32"/>
          <w:szCs w:val="32"/>
        </w:rPr>
        <w:t>管理机构人员配备基本要求表</w:t>
      </w:r>
    </w:p>
    <w:tbl>
      <w:tblPr>
        <w:tblStyle w:val="45"/>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0"/>
        <w:gridCol w:w="917"/>
        <w:gridCol w:w="6599"/>
        <w:gridCol w:w="4997"/>
      </w:tblGrid>
      <w:tr w14:paraId="49A3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19" w:type="pct"/>
            <w:noWrap w:val="0"/>
            <w:vAlign w:val="center"/>
          </w:tcPr>
          <w:p w14:paraId="05BF9077">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515" w:type="pct"/>
            <w:noWrap w:val="0"/>
            <w:vAlign w:val="center"/>
          </w:tcPr>
          <w:p w14:paraId="3DF1A6E4">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项目管理团队</w:t>
            </w:r>
          </w:p>
        </w:tc>
        <w:tc>
          <w:tcPr>
            <w:tcW w:w="305" w:type="pct"/>
            <w:noWrap w:val="0"/>
            <w:vAlign w:val="center"/>
          </w:tcPr>
          <w:p w14:paraId="1C568FB2">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2196" w:type="pct"/>
            <w:noWrap w:val="0"/>
            <w:vAlign w:val="center"/>
          </w:tcPr>
          <w:p w14:paraId="3873D5AF">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基本要求</w:t>
            </w:r>
          </w:p>
        </w:tc>
        <w:tc>
          <w:tcPr>
            <w:tcW w:w="1663" w:type="pct"/>
            <w:noWrap w:val="0"/>
            <w:vAlign w:val="center"/>
          </w:tcPr>
          <w:p w14:paraId="26D04D68">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提供资料</w:t>
            </w:r>
          </w:p>
        </w:tc>
      </w:tr>
      <w:tr w14:paraId="38B5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71D9BC42">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15" w:type="pct"/>
            <w:noWrap w:val="0"/>
            <w:vAlign w:val="center"/>
          </w:tcPr>
          <w:p w14:paraId="251E3B17">
            <w:pPr>
              <w:widowControl/>
              <w:spacing w:line="240" w:lineRule="auto"/>
              <w:ind w:left="-48" w:leftChars="-23"/>
              <w:jc w:val="center"/>
              <w:rPr>
                <w:rFonts w:hint="eastAsia" w:ascii="宋体" w:hAnsi="宋体" w:eastAsia="宋体" w:cs="宋体"/>
                <w:kern w:val="0"/>
                <w:sz w:val="21"/>
                <w:szCs w:val="21"/>
              </w:rPr>
            </w:pPr>
            <w:r>
              <w:rPr>
                <w:rFonts w:hint="eastAsia" w:ascii="宋体" w:hAnsi="宋体" w:cs="宋体"/>
                <w:kern w:val="0"/>
                <w:sz w:val="21"/>
                <w:szCs w:val="21"/>
                <w:lang w:val="en-US" w:eastAsia="zh-CN"/>
              </w:rPr>
              <w:t>施工</w:t>
            </w:r>
            <w:r>
              <w:rPr>
                <w:rFonts w:hint="eastAsia" w:ascii="宋体" w:hAnsi="宋体" w:eastAsia="宋体" w:cs="宋体"/>
                <w:kern w:val="0"/>
                <w:sz w:val="21"/>
                <w:szCs w:val="21"/>
              </w:rPr>
              <w:t>负责人</w:t>
            </w:r>
          </w:p>
        </w:tc>
        <w:tc>
          <w:tcPr>
            <w:tcW w:w="305" w:type="pct"/>
            <w:noWrap w:val="0"/>
            <w:vAlign w:val="center"/>
          </w:tcPr>
          <w:p w14:paraId="60C172CF">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5BD98432">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kern w:val="0"/>
                <w:sz w:val="21"/>
                <w:szCs w:val="21"/>
              </w:rPr>
              <w:t>按招标公告要求</w:t>
            </w:r>
          </w:p>
        </w:tc>
        <w:tc>
          <w:tcPr>
            <w:tcW w:w="1663" w:type="pct"/>
            <w:noWrap w:val="0"/>
            <w:vAlign w:val="center"/>
          </w:tcPr>
          <w:p w14:paraId="38C02B2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按招标公告要求提供资料</w:t>
            </w:r>
          </w:p>
        </w:tc>
      </w:tr>
      <w:tr w14:paraId="5E7F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10720F91">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15" w:type="pct"/>
            <w:noWrap w:val="0"/>
            <w:vAlign w:val="center"/>
          </w:tcPr>
          <w:p w14:paraId="662F4D91">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技术负责人</w:t>
            </w:r>
          </w:p>
        </w:tc>
        <w:tc>
          <w:tcPr>
            <w:tcW w:w="305" w:type="pct"/>
            <w:noWrap w:val="0"/>
            <w:vAlign w:val="center"/>
          </w:tcPr>
          <w:p w14:paraId="403846E1">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3592FE99">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sz w:val="21"/>
                <w:szCs w:val="21"/>
                <w:shd w:val="clear" w:color="auto" w:fill="FFFFFF"/>
              </w:rPr>
              <w:t>按招标公告要求</w:t>
            </w:r>
          </w:p>
        </w:tc>
        <w:tc>
          <w:tcPr>
            <w:tcW w:w="1663" w:type="pct"/>
            <w:noWrap w:val="0"/>
            <w:vAlign w:val="center"/>
          </w:tcPr>
          <w:p w14:paraId="1425A20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按招标公告要求提供资料</w:t>
            </w:r>
          </w:p>
        </w:tc>
      </w:tr>
      <w:tr w14:paraId="5310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38A30DE0">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515" w:type="pct"/>
            <w:noWrap w:val="0"/>
            <w:vAlign w:val="center"/>
          </w:tcPr>
          <w:p w14:paraId="5853E86C">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sz w:val="21"/>
                <w:szCs w:val="21"/>
              </w:rPr>
              <w:t>专职安全员</w:t>
            </w:r>
          </w:p>
        </w:tc>
        <w:tc>
          <w:tcPr>
            <w:tcW w:w="305" w:type="pct"/>
            <w:noWrap w:val="0"/>
            <w:vAlign w:val="center"/>
          </w:tcPr>
          <w:p w14:paraId="1868CB80">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4BA9DB42">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kern w:val="0"/>
                <w:sz w:val="21"/>
                <w:szCs w:val="21"/>
              </w:rPr>
              <w:t>按招标公告要求</w:t>
            </w:r>
          </w:p>
        </w:tc>
        <w:tc>
          <w:tcPr>
            <w:tcW w:w="1663" w:type="pct"/>
            <w:noWrap w:val="0"/>
            <w:vAlign w:val="center"/>
          </w:tcPr>
          <w:p w14:paraId="1D617F4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按招标公告要求提供资料</w:t>
            </w:r>
          </w:p>
        </w:tc>
      </w:tr>
      <w:tr w14:paraId="0423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19" w:type="pct"/>
            <w:noWrap w:val="0"/>
            <w:vAlign w:val="center"/>
          </w:tcPr>
          <w:p w14:paraId="2F09B8DA">
            <w:pPr>
              <w:widowControl/>
              <w:spacing w:line="240" w:lineRule="auto"/>
              <w:ind w:left="-48" w:leftChars="-23"/>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515" w:type="pct"/>
            <w:noWrap w:val="0"/>
            <w:vAlign w:val="center"/>
          </w:tcPr>
          <w:p w14:paraId="23A058A0">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安全负责人</w:t>
            </w:r>
          </w:p>
        </w:tc>
        <w:tc>
          <w:tcPr>
            <w:tcW w:w="305" w:type="pct"/>
            <w:noWrap w:val="0"/>
            <w:vAlign w:val="center"/>
          </w:tcPr>
          <w:p w14:paraId="54924D75">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5CCFA605">
            <w:pPr>
              <w:widowControl/>
              <w:spacing w:line="240" w:lineRule="auto"/>
              <w:ind w:left="-48" w:leftChars="-23"/>
              <w:jc w:val="left"/>
              <w:rPr>
                <w:rFonts w:hint="eastAsia" w:ascii="宋体" w:hAnsi="宋体" w:eastAsia="宋体" w:cs="宋体"/>
                <w:sz w:val="21"/>
                <w:szCs w:val="21"/>
              </w:rPr>
            </w:pPr>
            <w:r>
              <w:rPr>
                <w:rFonts w:hint="eastAsia" w:ascii="宋体" w:hAnsi="宋体" w:eastAsia="宋体" w:cs="宋体"/>
                <w:sz w:val="21"/>
                <w:szCs w:val="21"/>
              </w:rPr>
              <w:t>具有有效的“建筑施工安全”类别的注册安全工程师注册证书</w:t>
            </w:r>
          </w:p>
        </w:tc>
        <w:tc>
          <w:tcPr>
            <w:tcW w:w="1663" w:type="pct"/>
            <w:noWrap w:val="0"/>
            <w:vAlign w:val="center"/>
          </w:tcPr>
          <w:p w14:paraId="10BB7170">
            <w:pPr>
              <w:widowControl/>
              <w:spacing w:before="46" w:beforeLines="15" w:after="46" w:afterLines="15"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提供安全工程师注册证书、“注册安全工程师注册管理系统（http://rmocse.chinasafety.ac.cn）”查询结果截图</w:t>
            </w:r>
          </w:p>
        </w:tc>
      </w:tr>
      <w:tr w14:paraId="6CE2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4E37AC8D">
            <w:pPr>
              <w:widowControl/>
              <w:spacing w:line="240" w:lineRule="auto"/>
              <w:ind w:left="-48" w:leftChars="-23"/>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515" w:type="pct"/>
            <w:noWrap w:val="0"/>
            <w:vAlign w:val="center"/>
          </w:tcPr>
          <w:p w14:paraId="277C6271">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bCs/>
                <w:sz w:val="21"/>
                <w:szCs w:val="21"/>
              </w:rPr>
              <w:t>造价负责人</w:t>
            </w:r>
          </w:p>
        </w:tc>
        <w:tc>
          <w:tcPr>
            <w:tcW w:w="305" w:type="pct"/>
            <w:noWrap w:val="0"/>
            <w:vAlign w:val="center"/>
          </w:tcPr>
          <w:p w14:paraId="1E80D29D">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4E3CA15F">
            <w:pPr>
              <w:widowControl/>
              <w:spacing w:line="240" w:lineRule="auto"/>
              <w:ind w:left="-48" w:leftChars="-23"/>
              <w:rPr>
                <w:rFonts w:hint="eastAsia" w:ascii="宋体" w:hAnsi="宋体" w:eastAsia="宋体" w:cs="宋体"/>
                <w:sz w:val="21"/>
                <w:szCs w:val="21"/>
              </w:rPr>
            </w:pPr>
            <w:r>
              <w:rPr>
                <w:rFonts w:hint="eastAsia" w:ascii="宋体" w:hAnsi="宋体" w:eastAsia="宋体" w:cs="宋体"/>
                <w:sz w:val="21"/>
                <w:szCs w:val="21"/>
              </w:rPr>
              <w:t>具有有效期内的土建专业</w:t>
            </w:r>
            <w:r>
              <w:rPr>
                <w:rFonts w:hint="eastAsia" w:ascii="宋体" w:hAnsi="宋体" w:eastAsia="宋体" w:cs="宋体"/>
                <w:sz w:val="21"/>
                <w:szCs w:val="21"/>
                <w:lang w:val="en-US" w:eastAsia="zh-CN"/>
              </w:rPr>
              <w:t>二</w:t>
            </w:r>
            <w:r>
              <w:rPr>
                <w:rFonts w:hint="eastAsia" w:ascii="宋体" w:hAnsi="宋体" w:eastAsia="宋体" w:cs="宋体"/>
                <w:sz w:val="21"/>
                <w:szCs w:val="21"/>
              </w:rPr>
              <w:t>级注册造价工程师执业资格</w:t>
            </w:r>
          </w:p>
        </w:tc>
        <w:tc>
          <w:tcPr>
            <w:tcW w:w="1663" w:type="pct"/>
            <w:noWrap w:val="0"/>
            <w:vAlign w:val="center"/>
          </w:tcPr>
          <w:p w14:paraId="30C5357C">
            <w:pPr>
              <w:widowControl/>
              <w:spacing w:before="46" w:beforeLines="15" w:after="46" w:afterLines="15" w:line="240" w:lineRule="auto"/>
              <w:ind w:left="-48" w:leftChars="-23"/>
              <w:jc w:val="center"/>
              <w:rPr>
                <w:rFonts w:hint="eastAsia" w:ascii="宋体" w:hAnsi="宋体" w:eastAsia="宋体" w:cs="宋体"/>
                <w:kern w:val="0"/>
                <w:sz w:val="21"/>
                <w:szCs w:val="21"/>
              </w:rPr>
            </w:pPr>
            <w:r>
              <w:rPr>
                <w:rFonts w:hint="eastAsia" w:ascii="宋体" w:hAnsi="宋体" w:eastAsia="宋体" w:cs="宋体"/>
                <w:sz w:val="21"/>
                <w:szCs w:val="21"/>
              </w:rPr>
              <w:t>须提供造价工程师注册证书、“全国工程造价咨询管理系统”（https://zaojiasys.jianshe99.com/cecamanage/）查询结果截图</w:t>
            </w:r>
          </w:p>
        </w:tc>
      </w:tr>
      <w:tr w14:paraId="2E2C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61C5FC3B">
            <w:pPr>
              <w:widowControl/>
              <w:spacing w:line="240" w:lineRule="auto"/>
              <w:ind w:left="-48" w:leftChars="-2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15" w:type="pct"/>
            <w:noWrap w:val="0"/>
            <w:vAlign w:val="center"/>
          </w:tcPr>
          <w:p w14:paraId="6E563CE0">
            <w:pPr>
              <w:widowControl/>
              <w:spacing w:line="240" w:lineRule="auto"/>
              <w:ind w:left="-48" w:leftChars="-23"/>
              <w:jc w:val="center"/>
              <w:rPr>
                <w:rFonts w:hint="eastAsia" w:ascii="宋体" w:hAnsi="宋体" w:eastAsia="宋体" w:cs="宋体"/>
                <w:bCs/>
                <w:kern w:val="44"/>
                <w:sz w:val="21"/>
                <w:szCs w:val="21"/>
                <w:lang w:val="en-US" w:eastAsia="zh-CN"/>
              </w:rPr>
            </w:pPr>
            <w:r>
              <w:rPr>
                <w:rFonts w:hint="eastAsia" w:ascii="宋体" w:hAnsi="宋体" w:eastAsia="宋体" w:cs="宋体"/>
                <w:kern w:val="0"/>
                <w:sz w:val="21"/>
                <w:szCs w:val="21"/>
              </w:rPr>
              <w:t>结构</w:t>
            </w:r>
            <w:r>
              <w:rPr>
                <w:rFonts w:hint="eastAsia" w:ascii="宋体" w:hAnsi="宋体" w:eastAsia="宋体" w:cs="宋体"/>
                <w:kern w:val="0"/>
                <w:sz w:val="21"/>
                <w:szCs w:val="21"/>
                <w:lang w:val="en-US" w:eastAsia="zh-CN"/>
              </w:rPr>
              <w:t>工程师</w:t>
            </w:r>
          </w:p>
        </w:tc>
        <w:tc>
          <w:tcPr>
            <w:tcW w:w="305" w:type="pct"/>
            <w:noWrap w:val="0"/>
            <w:vAlign w:val="center"/>
          </w:tcPr>
          <w:p w14:paraId="6E10ABD5">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0D3E14AF">
            <w:pPr>
              <w:widowControl/>
              <w:spacing w:line="240" w:lineRule="auto"/>
              <w:ind w:left="-48" w:leftChars="-23"/>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具有</w:t>
            </w:r>
            <w:r>
              <w:rPr>
                <w:rFonts w:hint="eastAsia" w:ascii="宋体" w:hAnsi="宋体" w:eastAsia="宋体" w:cs="宋体"/>
                <w:kern w:val="0"/>
                <w:sz w:val="21"/>
                <w:szCs w:val="21"/>
              </w:rPr>
              <w:t>结构</w:t>
            </w:r>
            <w:r>
              <w:rPr>
                <w:rFonts w:hint="eastAsia" w:ascii="宋体" w:hAnsi="宋体" w:eastAsia="宋体" w:cs="宋体"/>
                <w:kern w:val="0"/>
                <w:sz w:val="21"/>
                <w:szCs w:val="21"/>
                <w:lang w:val="en-US" w:eastAsia="zh-CN"/>
              </w:rPr>
              <w:t>工程</w:t>
            </w:r>
            <w:r>
              <w:rPr>
                <w:rFonts w:hint="eastAsia" w:ascii="宋体" w:hAnsi="宋体" w:eastAsia="宋体" w:cs="宋体"/>
                <w:sz w:val="21"/>
                <w:szCs w:val="21"/>
              </w:rPr>
              <w:t>中级</w:t>
            </w:r>
            <w:r>
              <w:rPr>
                <w:rFonts w:hint="eastAsia" w:ascii="宋体" w:hAnsi="宋体" w:eastAsia="宋体" w:cs="宋体"/>
                <w:kern w:val="0"/>
                <w:sz w:val="21"/>
                <w:szCs w:val="21"/>
                <w:lang w:val="en-US" w:eastAsia="zh-CN"/>
              </w:rPr>
              <w:t>或以上职称证书</w:t>
            </w:r>
          </w:p>
        </w:tc>
        <w:tc>
          <w:tcPr>
            <w:tcW w:w="1663" w:type="pct"/>
            <w:noWrap w:val="0"/>
            <w:vAlign w:val="center"/>
          </w:tcPr>
          <w:p w14:paraId="697395D4">
            <w:pPr>
              <w:widowControl/>
              <w:spacing w:before="46" w:beforeLines="15" w:after="46" w:afterLines="15" w:line="240" w:lineRule="auto"/>
              <w:ind w:left="-48" w:leftChars="-23"/>
              <w:jc w:val="center"/>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kern w:val="0"/>
                <w:sz w:val="21"/>
                <w:szCs w:val="21"/>
                <w:lang w:val="en-US" w:eastAsia="zh-CN"/>
              </w:rPr>
              <w:t>职称证书</w:t>
            </w:r>
          </w:p>
        </w:tc>
      </w:tr>
      <w:tr w14:paraId="55B2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077EF404">
            <w:pPr>
              <w:widowControl/>
              <w:spacing w:line="240" w:lineRule="auto"/>
              <w:ind w:left="-48" w:leftChars="-2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515" w:type="pct"/>
            <w:noWrap w:val="0"/>
            <w:vAlign w:val="center"/>
          </w:tcPr>
          <w:p w14:paraId="6FFA542D">
            <w:pPr>
              <w:widowControl/>
              <w:spacing w:line="240" w:lineRule="auto"/>
              <w:ind w:left="-48" w:leftChars="-23"/>
              <w:jc w:val="center"/>
              <w:rPr>
                <w:rFonts w:hint="eastAsia" w:ascii="宋体" w:hAnsi="宋体" w:eastAsia="宋体" w:cs="宋体"/>
                <w:bCs/>
                <w:kern w:val="44"/>
                <w:sz w:val="21"/>
                <w:szCs w:val="21"/>
                <w:lang w:val="en-US" w:eastAsia="zh-CN"/>
              </w:rPr>
            </w:pPr>
            <w:r>
              <w:rPr>
                <w:rFonts w:hint="eastAsia" w:ascii="宋体" w:hAnsi="宋体" w:eastAsia="宋体" w:cs="宋体"/>
                <w:bCs/>
                <w:kern w:val="44"/>
                <w:sz w:val="21"/>
                <w:szCs w:val="21"/>
                <w:lang w:val="en-US" w:eastAsia="zh-CN"/>
              </w:rPr>
              <w:t>给排水工程师</w:t>
            </w:r>
          </w:p>
        </w:tc>
        <w:tc>
          <w:tcPr>
            <w:tcW w:w="305" w:type="pct"/>
            <w:noWrap w:val="0"/>
            <w:vAlign w:val="center"/>
          </w:tcPr>
          <w:p w14:paraId="4368003C">
            <w:pPr>
              <w:widowControl/>
              <w:spacing w:line="240" w:lineRule="auto"/>
              <w:ind w:left="-44" w:leftChars="-2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2196" w:type="pct"/>
            <w:noWrap w:val="0"/>
            <w:vAlign w:val="center"/>
          </w:tcPr>
          <w:p w14:paraId="5A94E613">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sz w:val="21"/>
                <w:szCs w:val="21"/>
              </w:rPr>
              <w:t>具有</w:t>
            </w:r>
            <w:r>
              <w:rPr>
                <w:rFonts w:hint="eastAsia" w:ascii="宋体" w:hAnsi="宋体" w:eastAsia="宋体" w:cs="宋体"/>
                <w:kern w:val="0"/>
                <w:sz w:val="21"/>
                <w:szCs w:val="21"/>
              </w:rPr>
              <w:t>给水排水施工</w:t>
            </w:r>
            <w:r>
              <w:rPr>
                <w:rFonts w:hint="eastAsia" w:ascii="宋体" w:hAnsi="宋体" w:eastAsia="宋体" w:cs="宋体"/>
                <w:sz w:val="21"/>
                <w:szCs w:val="21"/>
              </w:rPr>
              <w:t>中级</w:t>
            </w:r>
            <w:r>
              <w:rPr>
                <w:rFonts w:hint="eastAsia" w:ascii="宋体" w:hAnsi="宋体" w:eastAsia="宋体" w:cs="宋体"/>
                <w:kern w:val="0"/>
                <w:sz w:val="21"/>
                <w:szCs w:val="21"/>
                <w:lang w:val="en-US" w:eastAsia="zh-CN"/>
              </w:rPr>
              <w:t>或以上职称证书</w:t>
            </w:r>
          </w:p>
        </w:tc>
        <w:tc>
          <w:tcPr>
            <w:tcW w:w="1663" w:type="pct"/>
            <w:noWrap w:val="0"/>
            <w:vAlign w:val="center"/>
          </w:tcPr>
          <w:p w14:paraId="446A3B6D">
            <w:pPr>
              <w:widowControl/>
              <w:spacing w:before="46" w:beforeLines="15" w:after="46" w:afterLines="15" w:line="240" w:lineRule="auto"/>
              <w:ind w:left="-48" w:leftChars="-23"/>
              <w:jc w:val="center"/>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kern w:val="0"/>
                <w:sz w:val="21"/>
                <w:szCs w:val="21"/>
                <w:lang w:val="en-US" w:eastAsia="zh-CN"/>
              </w:rPr>
              <w:t>职称证书</w:t>
            </w:r>
          </w:p>
        </w:tc>
      </w:tr>
      <w:tr w14:paraId="4BBF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5C12854B">
            <w:pPr>
              <w:widowControl/>
              <w:spacing w:line="240" w:lineRule="auto"/>
              <w:ind w:left="-48" w:leftChars="-23"/>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15" w:type="pct"/>
            <w:noWrap w:val="0"/>
            <w:vAlign w:val="center"/>
          </w:tcPr>
          <w:p w14:paraId="19100A44">
            <w:pPr>
              <w:widowControl/>
              <w:spacing w:line="240" w:lineRule="auto"/>
              <w:ind w:left="-48" w:leftChars="-23"/>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园林工程师</w:t>
            </w:r>
          </w:p>
        </w:tc>
        <w:tc>
          <w:tcPr>
            <w:tcW w:w="305" w:type="pct"/>
            <w:noWrap w:val="0"/>
            <w:vAlign w:val="center"/>
          </w:tcPr>
          <w:p w14:paraId="04CCD2D2">
            <w:pPr>
              <w:widowControl/>
              <w:spacing w:line="240" w:lineRule="auto"/>
              <w:ind w:left="-44" w:leftChars="-2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2196" w:type="pct"/>
            <w:noWrap w:val="0"/>
            <w:vAlign w:val="center"/>
          </w:tcPr>
          <w:p w14:paraId="6A43F8CD">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sz w:val="21"/>
                <w:szCs w:val="21"/>
              </w:rPr>
              <w:t>具有</w:t>
            </w:r>
            <w:r>
              <w:rPr>
                <w:rFonts w:hint="eastAsia" w:ascii="宋体" w:hAnsi="宋体" w:eastAsia="宋体" w:cs="宋体"/>
                <w:kern w:val="0"/>
                <w:sz w:val="21"/>
                <w:szCs w:val="21"/>
              </w:rPr>
              <w:t>风景园林</w:t>
            </w:r>
            <w:r>
              <w:rPr>
                <w:rFonts w:hint="eastAsia" w:ascii="宋体" w:hAnsi="宋体" w:eastAsia="宋体" w:cs="宋体"/>
                <w:sz w:val="21"/>
                <w:szCs w:val="21"/>
              </w:rPr>
              <w:t>中级</w:t>
            </w:r>
            <w:r>
              <w:rPr>
                <w:rFonts w:hint="eastAsia" w:ascii="宋体" w:hAnsi="宋体" w:eastAsia="宋体" w:cs="宋体"/>
                <w:kern w:val="0"/>
                <w:sz w:val="21"/>
                <w:szCs w:val="21"/>
                <w:lang w:val="en-US" w:eastAsia="zh-CN"/>
              </w:rPr>
              <w:t>或以上职称证书</w:t>
            </w:r>
          </w:p>
        </w:tc>
        <w:tc>
          <w:tcPr>
            <w:tcW w:w="1663" w:type="pct"/>
            <w:noWrap w:val="0"/>
            <w:vAlign w:val="center"/>
          </w:tcPr>
          <w:p w14:paraId="093F0491">
            <w:pPr>
              <w:widowControl/>
              <w:spacing w:before="46" w:beforeLines="15" w:after="46" w:afterLines="15" w:line="240" w:lineRule="auto"/>
              <w:ind w:left="-48" w:leftChars="-23"/>
              <w:jc w:val="center"/>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kern w:val="0"/>
                <w:sz w:val="21"/>
                <w:szCs w:val="21"/>
                <w:lang w:val="en-US" w:eastAsia="zh-CN"/>
              </w:rPr>
              <w:t>职称证书</w:t>
            </w:r>
          </w:p>
        </w:tc>
      </w:tr>
      <w:tr w14:paraId="7703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1EE5F48A">
            <w:pPr>
              <w:widowControl/>
              <w:spacing w:line="240" w:lineRule="auto"/>
              <w:ind w:left="-48" w:leftChars="-23"/>
              <w:jc w:val="center"/>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8</w:t>
            </w:r>
          </w:p>
        </w:tc>
        <w:tc>
          <w:tcPr>
            <w:tcW w:w="515" w:type="pct"/>
            <w:noWrap w:val="0"/>
            <w:vAlign w:val="center"/>
          </w:tcPr>
          <w:p w14:paraId="75916229">
            <w:pPr>
              <w:widowControl/>
              <w:spacing w:line="240" w:lineRule="auto"/>
              <w:ind w:left="-48" w:leftChars="-23"/>
              <w:jc w:val="center"/>
              <w:rPr>
                <w:rFonts w:hint="eastAsia" w:ascii="宋体" w:hAnsi="宋体" w:eastAsia="宋体" w:cs="宋体"/>
                <w:bCs/>
                <w:kern w:val="44"/>
                <w:sz w:val="21"/>
                <w:szCs w:val="21"/>
                <w:lang w:val="en-US" w:eastAsia="zh-CN"/>
              </w:rPr>
            </w:pPr>
            <w:r>
              <w:rPr>
                <w:rFonts w:hint="eastAsia" w:ascii="宋体" w:hAnsi="宋体" w:eastAsia="宋体" w:cs="宋体"/>
                <w:kern w:val="0"/>
                <w:sz w:val="21"/>
                <w:szCs w:val="21"/>
              </w:rPr>
              <w:t>质量员</w:t>
            </w:r>
          </w:p>
        </w:tc>
        <w:tc>
          <w:tcPr>
            <w:tcW w:w="305" w:type="pct"/>
            <w:noWrap w:val="0"/>
            <w:vAlign w:val="center"/>
          </w:tcPr>
          <w:p w14:paraId="46BB6267">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0C5E427F">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kern w:val="0"/>
                <w:sz w:val="21"/>
                <w:szCs w:val="21"/>
              </w:rPr>
              <w:t>具有土建质量员</w:t>
            </w:r>
            <w:r>
              <w:rPr>
                <w:rFonts w:hint="eastAsia" w:ascii="宋体" w:hAnsi="宋体" w:eastAsia="宋体" w:cs="宋体"/>
                <w:sz w:val="21"/>
                <w:szCs w:val="21"/>
              </w:rPr>
              <w:t>培训证或岗位证</w:t>
            </w:r>
          </w:p>
        </w:tc>
        <w:tc>
          <w:tcPr>
            <w:tcW w:w="1663" w:type="pct"/>
            <w:noWrap w:val="0"/>
            <w:vAlign w:val="center"/>
          </w:tcPr>
          <w:p w14:paraId="5418C159">
            <w:pPr>
              <w:widowControl/>
              <w:spacing w:before="46" w:beforeLines="15" w:after="46" w:afterLines="15" w:line="240" w:lineRule="auto"/>
              <w:ind w:left="-48" w:leftChars="-23"/>
              <w:jc w:val="center"/>
              <w:rPr>
                <w:rFonts w:hint="eastAsia" w:ascii="宋体" w:hAnsi="宋体" w:eastAsia="宋体" w:cs="宋体"/>
                <w:sz w:val="21"/>
                <w:szCs w:val="21"/>
              </w:rPr>
            </w:pPr>
            <w:r>
              <w:rPr>
                <w:rFonts w:hint="eastAsia" w:ascii="宋体" w:hAnsi="宋体" w:eastAsia="宋体" w:cs="宋体"/>
                <w:sz w:val="21"/>
                <w:szCs w:val="21"/>
              </w:rPr>
              <w:t>提供培训合格证或岗位证</w:t>
            </w:r>
          </w:p>
        </w:tc>
      </w:tr>
      <w:tr w14:paraId="2CD7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023AC768">
            <w:pPr>
              <w:widowControl/>
              <w:spacing w:line="240" w:lineRule="auto"/>
              <w:ind w:left="-48" w:leftChars="-23"/>
              <w:jc w:val="center"/>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9</w:t>
            </w:r>
          </w:p>
        </w:tc>
        <w:tc>
          <w:tcPr>
            <w:tcW w:w="515" w:type="pct"/>
            <w:noWrap w:val="0"/>
            <w:vAlign w:val="center"/>
          </w:tcPr>
          <w:p w14:paraId="4BDB4B26">
            <w:pPr>
              <w:widowControl/>
              <w:spacing w:line="240" w:lineRule="auto"/>
              <w:ind w:left="-48" w:leftChars="-23"/>
              <w:jc w:val="center"/>
              <w:rPr>
                <w:rFonts w:hint="eastAsia" w:ascii="宋体" w:hAnsi="宋体" w:eastAsia="宋体" w:cs="宋体"/>
                <w:kern w:val="0"/>
                <w:sz w:val="21"/>
                <w:szCs w:val="21"/>
                <w:lang w:eastAsia="zh-CN"/>
              </w:rPr>
            </w:pPr>
            <w:r>
              <w:rPr>
                <w:rFonts w:hint="eastAsia" w:ascii="宋体" w:hAnsi="宋体" w:eastAsia="宋体" w:cs="宋体"/>
                <w:bCs/>
                <w:kern w:val="44"/>
                <w:sz w:val="21"/>
                <w:szCs w:val="21"/>
                <w:lang w:val="en-US" w:eastAsia="zh-CN"/>
              </w:rPr>
              <w:t>施工员</w:t>
            </w:r>
          </w:p>
        </w:tc>
        <w:tc>
          <w:tcPr>
            <w:tcW w:w="305" w:type="pct"/>
            <w:noWrap w:val="0"/>
            <w:vAlign w:val="center"/>
          </w:tcPr>
          <w:p w14:paraId="20B69661">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730618E0">
            <w:pPr>
              <w:widowControl/>
              <w:spacing w:line="240" w:lineRule="auto"/>
              <w:ind w:left="-48" w:leftChars="-23"/>
              <w:jc w:val="left"/>
              <w:rPr>
                <w:rFonts w:hint="eastAsia" w:ascii="宋体" w:hAnsi="宋体" w:eastAsia="宋体" w:cs="宋体"/>
                <w:sz w:val="21"/>
                <w:szCs w:val="21"/>
              </w:rPr>
            </w:pPr>
            <w:r>
              <w:rPr>
                <w:rFonts w:hint="eastAsia" w:ascii="宋体" w:hAnsi="宋体" w:eastAsia="宋体" w:cs="宋体"/>
                <w:kern w:val="0"/>
                <w:sz w:val="21"/>
                <w:szCs w:val="21"/>
              </w:rPr>
              <w:t>具有土建施工员</w:t>
            </w:r>
            <w:r>
              <w:rPr>
                <w:rFonts w:hint="eastAsia" w:ascii="宋体" w:hAnsi="宋体" w:eastAsia="宋体" w:cs="宋体"/>
                <w:sz w:val="21"/>
                <w:szCs w:val="21"/>
              </w:rPr>
              <w:t>培训证或岗位证</w:t>
            </w:r>
          </w:p>
        </w:tc>
        <w:tc>
          <w:tcPr>
            <w:tcW w:w="1663" w:type="pct"/>
            <w:noWrap w:val="0"/>
            <w:vAlign w:val="center"/>
          </w:tcPr>
          <w:p w14:paraId="339F78E1">
            <w:pPr>
              <w:widowControl/>
              <w:spacing w:before="46" w:beforeLines="15" w:after="46" w:afterLines="15" w:line="240" w:lineRule="auto"/>
              <w:ind w:left="-48" w:leftChars="-23"/>
              <w:jc w:val="center"/>
              <w:rPr>
                <w:rFonts w:hint="eastAsia" w:ascii="宋体" w:hAnsi="宋体" w:eastAsia="宋体" w:cs="宋体"/>
                <w:kern w:val="0"/>
                <w:sz w:val="21"/>
                <w:szCs w:val="21"/>
              </w:rPr>
            </w:pPr>
            <w:r>
              <w:rPr>
                <w:rFonts w:hint="eastAsia" w:ascii="宋体" w:hAnsi="宋体" w:eastAsia="宋体" w:cs="宋体"/>
                <w:sz w:val="21"/>
                <w:szCs w:val="21"/>
              </w:rPr>
              <w:t>提供培训合格证或岗位证</w:t>
            </w:r>
          </w:p>
        </w:tc>
      </w:tr>
      <w:tr w14:paraId="0B4B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noWrap w:val="0"/>
            <w:vAlign w:val="center"/>
          </w:tcPr>
          <w:p w14:paraId="29C9BA6A">
            <w:pPr>
              <w:widowControl/>
              <w:spacing w:line="240" w:lineRule="auto"/>
              <w:ind w:left="-48" w:leftChars="-23"/>
              <w:jc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10</w:t>
            </w:r>
          </w:p>
        </w:tc>
        <w:tc>
          <w:tcPr>
            <w:tcW w:w="515" w:type="pct"/>
            <w:noWrap w:val="0"/>
            <w:vAlign w:val="center"/>
          </w:tcPr>
          <w:p w14:paraId="59AAA5A5">
            <w:pPr>
              <w:widowControl/>
              <w:spacing w:line="240" w:lineRule="auto"/>
              <w:ind w:left="-48" w:leftChars="-23"/>
              <w:jc w:val="center"/>
              <w:rPr>
                <w:rFonts w:hint="eastAsia" w:ascii="宋体" w:hAnsi="宋体" w:eastAsia="宋体" w:cs="宋体"/>
                <w:sz w:val="21"/>
                <w:szCs w:val="21"/>
              </w:rPr>
            </w:pPr>
            <w:r>
              <w:rPr>
                <w:rFonts w:hint="eastAsia" w:ascii="宋体" w:hAnsi="宋体" w:eastAsia="宋体" w:cs="宋体"/>
                <w:kern w:val="0"/>
                <w:sz w:val="21"/>
                <w:szCs w:val="21"/>
              </w:rPr>
              <w:t>材料员</w:t>
            </w:r>
          </w:p>
        </w:tc>
        <w:tc>
          <w:tcPr>
            <w:tcW w:w="305" w:type="pct"/>
            <w:noWrap w:val="0"/>
            <w:vAlign w:val="center"/>
          </w:tcPr>
          <w:p w14:paraId="5C2A7290">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53B25A80">
            <w:pPr>
              <w:widowControl/>
              <w:spacing w:line="240" w:lineRule="auto"/>
              <w:ind w:left="-48" w:leftChars="-23"/>
              <w:jc w:val="left"/>
              <w:rPr>
                <w:rFonts w:hint="eastAsia" w:ascii="宋体" w:hAnsi="宋体" w:eastAsia="宋体" w:cs="宋体"/>
                <w:sz w:val="21"/>
                <w:szCs w:val="21"/>
              </w:rPr>
            </w:pPr>
            <w:r>
              <w:rPr>
                <w:rFonts w:hint="eastAsia" w:ascii="宋体" w:hAnsi="宋体" w:eastAsia="宋体" w:cs="宋体"/>
                <w:kern w:val="0"/>
                <w:sz w:val="21"/>
                <w:szCs w:val="21"/>
              </w:rPr>
              <w:t>具有材料员</w:t>
            </w:r>
            <w:r>
              <w:rPr>
                <w:rFonts w:hint="eastAsia" w:ascii="宋体" w:hAnsi="宋体" w:eastAsia="宋体" w:cs="宋体"/>
                <w:sz w:val="21"/>
                <w:szCs w:val="21"/>
              </w:rPr>
              <w:t>培训证或岗位证</w:t>
            </w:r>
          </w:p>
        </w:tc>
        <w:tc>
          <w:tcPr>
            <w:tcW w:w="1663" w:type="pct"/>
            <w:noWrap w:val="0"/>
            <w:vAlign w:val="top"/>
          </w:tcPr>
          <w:p w14:paraId="3FDA4255">
            <w:pPr>
              <w:widowControl/>
              <w:spacing w:before="46" w:beforeLines="15" w:after="46" w:afterLines="15" w:line="240" w:lineRule="auto"/>
              <w:ind w:left="-48" w:leftChars="-23"/>
              <w:jc w:val="center"/>
              <w:rPr>
                <w:rFonts w:hint="eastAsia" w:ascii="宋体" w:hAnsi="宋体" w:eastAsia="宋体" w:cs="宋体"/>
                <w:kern w:val="0"/>
                <w:sz w:val="21"/>
                <w:szCs w:val="21"/>
              </w:rPr>
            </w:pPr>
            <w:r>
              <w:rPr>
                <w:rFonts w:hint="eastAsia" w:ascii="宋体" w:hAnsi="宋体" w:eastAsia="宋体" w:cs="宋体"/>
                <w:sz w:val="21"/>
                <w:szCs w:val="21"/>
              </w:rPr>
              <w:t>提供培训合格证或岗位证</w:t>
            </w:r>
          </w:p>
        </w:tc>
      </w:tr>
      <w:tr w14:paraId="43D6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19" w:type="pct"/>
            <w:noWrap w:val="0"/>
            <w:vAlign w:val="center"/>
          </w:tcPr>
          <w:p w14:paraId="43F1340A">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sz w:val="21"/>
                <w:szCs w:val="21"/>
              </w:rPr>
              <w:t>11</w:t>
            </w:r>
          </w:p>
        </w:tc>
        <w:tc>
          <w:tcPr>
            <w:tcW w:w="515" w:type="pct"/>
            <w:noWrap w:val="0"/>
            <w:vAlign w:val="center"/>
          </w:tcPr>
          <w:p w14:paraId="21690704">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资料员</w:t>
            </w:r>
          </w:p>
        </w:tc>
        <w:tc>
          <w:tcPr>
            <w:tcW w:w="305" w:type="pct"/>
            <w:noWrap w:val="0"/>
            <w:vAlign w:val="center"/>
          </w:tcPr>
          <w:p w14:paraId="1E460025">
            <w:pPr>
              <w:widowControl/>
              <w:spacing w:line="240" w:lineRule="auto"/>
              <w:ind w:left="-44" w:leftChars="-2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96" w:type="pct"/>
            <w:noWrap w:val="0"/>
            <w:vAlign w:val="center"/>
          </w:tcPr>
          <w:p w14:paraId="0F5A4D90">
            <w:pPr>
              <w:widowControl/>
              <w:spacing w:line="240" w:lineRule="auto"/>
              <w:ind w:left="-48" w:leftChars="-23"/>
              <w:jc w:val="left"/>
              <w:rPr>
                <w:rFonts w:hint="eastAsia" w:ascii="宋体" w:hAnsi="宋体" w:eastAsia="宋体" w:cs="宋体"/>
                <w:sz w:val="21"/>
                <w:szCs w:val="21"/>
              </w:rPr>
            </w:pPr>
            <w:r>
              <w:rPr>
                <w:rFonts w:hint="eastAsia" w:ascii="宋体" w:hAnsi="宋体" w:eastAsia="宋体" w:cs="宋体"/>
                <w:kern w:val="0"/>
                <w:sz w:val="21"/>
                <w:szCs w:val="21"/>
              </w:rPr>
              <w:t>具有资料员</w:t>
            </w:r>
            <w:r>
              <w:rPr>
                <w:rFonts w:hint="eastAsia" w:ascii="宋体" w:hAnsi="宋体" w:eastAsia="宋体" w:cs="宋体"/>
                <w:sz w:val="21"/>
                <w:szCs w:val="21"/>
              </w:rPr>
              <w:t>培训证或岗位证</w:t>
            </w:r>
          </w:p>
        </w:tc>
        <w:tc>
          <w:tcPr>
            <w:tcW w:w="1663" w:type="pct"/>
            <w:noWrap w:val="0"/>
            <w:vAlign w:val="top"/>
          </w:tcPr>
          <w:p w14:paraId="4484551D">
            <w:pPr>
              <w:widowControl/>
              <w:spacing w:before="46" w:beforeLines="15" w:after="46" w:afterLines="15" w:line="240" w:lineRule="auto"/>
              <w:ind w:left="-48" w:leftChars="-23"/>
              <w:jc w:val="center"/>
              <w:rPr>
                <w:rFonts w:hint="eastAsia" w:ascii="宋体" w:hAnsi="宋体" w:eastAsia="宋体" w:cs="宋体"/>
                <w:kern w:val="0"/>
                <w:sz w:val="21"/>
                <w:szCs w:val="21"/>
              </w:rPr>
            </w:pPr>
            <w:r>
              <w:rPr>
                <w:rFonts w:hint="eastAsia" w:ascii="宋体" w:hAnsi="宋体" w:eastAsia="宋体" w:cs="宋体"/>
                <w:sz w:val="21"/>
                <w:szCs w:val="21"/>
              </w:rPr>
              <w:t>提供培训合格证或岗位证</w:t>
            </w:r>
          </w:p>
        </w:tc>
      </w:tr>
    </w:tbl>
    <w:p w14:paraId="5B1EFAC6">
      <w:pPr>
        <w:widowControl w:val="0"/>
        <w:jc w:val="both"/>
        <w:rPr>
          <w:rFonts w:hint="eastAsia" w:ascii="宋体" w:hAnsi="宋体" w:eastAsia="宋体" w:cs="宋体"/>
          <w:kern w:val="2"/>
          <w:sz w:val="21"/>
          <w:szCs w:val="21"/>
          <w:lang w:val="zh-TW" w:eastAsia="zh-TW" w:bidi="zh-TW"/>
        </w:rPr>
      </w:pPr>
      <w:r>
        <w:rPr>
          <w:rFonts w:hint="eastAsia" w:ascii="宋体" w:hAnsi="宋体" w:eastAsia="宋体" w:cs="宋体"/>
          <w:kern w:val="2"/>
          <w:sz w:val="21"/>
          <w:szCs w:val="21"/>
          <w:lang w:val="zh-TW" w:eastAsia="zh-TW" w:bidi="zh-TW"/>
        </w:rPr>
        <w:t>注：</w:t>
      </w:r>
    </w:p>
    <w:p w14:paraId="1E926A9B">
      <w:pPr>
        <w:widowControl w:val="0"/>
        <w:spacing w:line="240" w:lineRule="auto"/>
        <w:jc w:val="both"/>
        <w:rPr>
          <w:rFonts w:hint="eastAsia" w:ascii="宋体" w:hAnsi="宋体" w:eastAsia="宋体" w:cs="宋体"/>
          <w:kern w:val="2"/>
          <w:sz w:val="21"/>
          <w:szCs w:val="21"/>
          <w:lang w:val="zh-TW" w:eastAsia="zh-TW" w:bidi="zh-TW"/>
        </w:rPr>
      </w:pPr>
      <w:r>
        <w:rPr>
          <w:rFonts w:hint="eastAsia" w:ascii="宋体" w:hAnsi="宋体" w:eastAsia="宋体" w:cs="宋体"/>
          <w:kern w:val="2"/>
          <w:sz w:val="21"/>
          <w:szCs w:val="21"/>
          <w:lang w:val="zh-TW" w:eastAsia="zh-TW" w:bidi="zh-TW"/>
        </w:rPr>
        <w:t>1</w:t>
      </w:r>
      <w:r>
        <w:rPr>
          <w:rFonts w:hint="eastAsia" w:ascii="宋体" w:hAnsi="宋体" w:eastAsia="宋体" w:cs="宋体"/>
          <w:kern w:val="2"/>
          <w:sz w:val="21"/>
          <w:szCs w:val="21"/>
          <w:lang w:val="zh-TW" w:eastAsia="zh-CN" w:bidi="zh-TW"/>
        </w:rPr>
        <w:t>.</w:t>
      </w:r>
      <w:r>
        <w:rPr>
          <w:rFonts w:hint="eastAsia" w:ascii="宋体" w:hAnsi="宋体" w:eastAsia="宋体" w:cs="宋体"/>
          <w:kern w:val="2"/>
          <w:sz w:val="21"/>
          <w:szCs w:val="21"/>
          <w:lang w:val="zh-TW" w:eastAsia="zh-TW" w:bidi="zh-TW"/>
        </w:rPr>
        <w:t>①所有人员岗位不能相互兼任。②所有人员必须按要求提供相应证明材料和在本投标人（不含子母公司人员，如投标申请人为集团公司，则不含集团下属分公司，专指集团本部人员，同样下属公司也不得使用集团公司的人员）202</w:t>
      </w:r>
      <w:r>
        <w:rPr>
          <w:rFonts w:hint="eastAsia" w:ascii="宋体" w:hAnsi="宋体" w:eastAsia="宋体" w:cs="宋体"/>
          <w:kern w:val="2"/>
          <w:sz w:val="21"/>
          <w:szCs w:val="21"/>
          <w:lang w:val="en-US" w:eastAsia="zh-CN" w:bidi="zh-TW"/>
        </w:rPr>
        <w:t>5</w:t>
      </w:r>
      <w:r>
        <w:rPr>
          <w:rFonts w:hint="eastAsia" w:ascii="宋体" w:hAnsi="宋体" w:eastAsia="宋体" w:cs="宋体"/>
          <w:kern w:val="2"/>
          <w:sz w:val="21"/>
          <w:szCs w:val="21"/>
          <w:lang w:val="zh-TW" w:eastAsia="zh-TW" w:bidi="zh-TW"/>
        </w:rPr>
        <w:t>年</w:t>
      </w:r>
      <w:r>
        <w:rPr>
          <w:rFonts w:hint="eastAsia" w:ascii="宋体" w:hAnsi="宋体" w:eastAsia="宋体" w:cs="宋体"/>
          <w:kern w:val="2"/>
          <w:sz w:val="21"/>
          <w:szCs w:val="21"/>
          <w:lang w:val="en-US" w:eastAsia="zh-CN" w:bidi="zh-TW"/>
        </w:rPr>
        <w:t>7</w:t>
      </w:r>
      <w:r>
        <w:rPr>
          <w:rFonts w:hint="eastAsia" w:ascii="宋体" w:hAnsi="宋体" w:eastAsia="宋体" w:cs="宋体"/>
          <w:kern w:val="2"/>
          <w:sz w:val="21"/>
          <w:szCs w:val="21"/>
          <w:lang w:val="zh-TW" w:eastAsia="zh-TW" w:bidi="zh-TW"/>
        </w:rPr>
        <w:t>月由社保行政主管部门出具的在投标人单位购买社保证明资料）扫描件并加盖投标人电子印章（未按要求提供完整相关资料的人员，该人员不作为评分依据)。</w:t>
      </w:r>
    </w:p>
    <w:p w14:paraId="56E54463">
      <w:pPr>
        <w:widowControl w:val="0"/>
        <w:spacing w:line="240" w:lineRule="auto"/>
        <w:jc w:val="both"/>
        <w:rPr>
          <w:rFonts w:hint="eastAsia" w:ascii="宋体" w:hAnsi="宋体" w:eastAsia="宋体" w:cs="宋体"/>
          <w:kern w:val="2"/>
          <w:sz w:val="21"/>
          <w:szCs w:val="21"/>
          <w:lang w:val="zh-TW" w:eastAsia="zh-TW" w:bidi="zh-TW"/>
        </w:rPr>
      </w:pPr>
      <w:r>
        <w:rPr>
          <w:rFonts w:hint="eastAsia" w:ascii="宋体" w:hAnsi="宋体" w:eastAsia="宋体" w:cs="宋体"/>
          <w:kern w:val="2"/>
          <w:sz w:val="21"/>
          <w:szCs w:val="21"/>
          <w:lang w:val="zh-TW" w:eastAsia="zh-TW" w:bidi="zh-TW"/>
        </w:rPr>
        <w:t>2</w:t>
      </w:r>
      <w:r>
        <w:rPr>
          <w:rFonts w:hint="eastAsia" w:ascii="宋体" w:hAnsi="宋体" w:eastAsia="宋体" w:cs="宋体"/>
          <w:kern w:val="2"/>
          <w:sz w:val="21"/>
          <w:szCs w:val="21"/>
          <w:lang w:val="zh-TW" w:eastAsia="zh-CN" w:bidi="zh-TW"/>
        </w:rPr>
        <w:t>.</w:t>
      </w:r>
      <w:r>
        <w:rPr>
          <w:rFonts w:hint="eastAsia" w:ascii="宋体" w:hAnsi="宋体" w:eastAsia="宋体" w:cs="宋体"/>
          <w:kern w:val="2"/>
          <w:sz w:val="21"/>
          <w:szCs w:val="21"/>
          <w:lang w:val="zh-TW" w:eastAsia="zh-TW" w:bidi="zh-TW"/>
        </w:rPr>
        <w:t>投标人须按上表要求提交相应的证明文件原件</w:t>
      </w:r>
      <w:r>
        <w:rPr>
          <w:rFonts w:hint="eastAsia" w:ascii="宋体" w:hAnsi="宋体" w:eastAsia="宋体" w:cs="宋体"/>
          <w:kern w:val="2"/>
          <w:sz w:val="21"/>
          <w:szCs w:val="21"/>
          <w:lang w:val="en-US" w:eastAsia="zh-CN" w:bidi="zh-TW"/>
        </w:rPr>
        <w:t>清晰</w:t>
      </w:r>
      <w:r>
        <w:rPr>
          <w:rFonts w:hint="eastAsia" w:ascii="宋体" w:hAnsi="宋体" w:eastAsia="宋体" w:cs="宋体"/>
          <w:kern w:val="2"/>
          <w:sz w:val="21"/>
          <w:szCs w:val="21"/>
          <w:lang w:val="zh-TW" w:eastAsia="zh-TW" w:bidi="zh-TW"/>
        </w:rPr>
        <w:t>扫描件并加盖投标人电子印章，否则将不予以计分，具体为：</w:t>
      </w:r>
    </w:p>
    <w:p w14:paraId="66216BCA">
      <w:pPr>
        <w:widowControl w:val="0"/>
        <w:spacing w:line="240" w:lineRule="auto"/>
        <w:jc w:val="both"/>
        <w:rPr>
          <w:rFonts w:hint="eastAsia" w:ascii="宋体" w:hAnsi="宋体" w:eastAsia="宋体" w:cs="宋体"/>
          <w:kern w:val="2"/>
          <w:sz w:val="21"/>
          <w:szCs w:val="21"/>
          <w:lang w:val="zh-TW" w:eastAsia="zh-TW" w:bidi="zh-TW"/>
        </w:rPr>
      </w:pPr>
      <w:r>
        <w:rPr>
          <w:rFonts w:hint="eastAsia" w:ascii="宋体" w:hAnsi="宋体" w:eastAsia="宋体" w:cs="宋体"/>
          <w:kern w:val="2"/>
          <w:sz w:val="21"/>
          <w:szCs w:val="21"/>
          <w:lang w:val="zh-TW" w:eastAsia="zh-TW" w:bidi="zh-TW"/>
        </w:rPr>
        <w:t>（1）单位在册人员提交第1点所述的社保证明文件的原件清晰扫描件；（2）技术职称提交职称证书的原件清晰扫描件：（3）注册类人员提供注册证书的原件清晰扫描件（证书在有效期内且注册单位必须与投标人一致）（4）培训证或岗位证原件清晰扫描件；</w:t>
      </w:r>
    </w:p>
    <w:p w14:paraId="24839BAC">
      <w:pPr>
        <w:widowControl w:val="0"/>
        <w:spacing w:line="240" w:lineRule="auto"/>
        <w:jc w:val="both"/>
        <w:rPr>
          <w:rFonts w:hint="eastAsia" w:ascii="宋体" w:hAnsi="宋体" w:eastAsia="宋体" w:cs="宋体"/>
          <w:kern w:val="2"/>
          <w:sz w:val="21"/>
          <w:szCs w:val="21"/>
          <w:lang w:val="zh-TW" w:eastAsia="zh-TW" w:bidi="zh-TW"/>
        </w:rPr>
      </w:pPr>
      <w:r>
        <w:rPr>
          <w:rFonts w:hint="eastAsia" w:ascii="宋体" w:hAnsi="宋体" w:eastAsia="宋体" w:cs="宋体"/>
          <w:kern w:val="2"/>
          <w:sz w:val="21"/>
          <w:szCs w:val="21"/>
          <w:lang w:val="zh-TW" w:eastAsia="zh-TW" w:bidi="zh-TW"/>
        </w:rPr>
        <w:t>3</w:t>
      </w:r>
      <w:r>
        <w:rPr>
          <w:rFonts w:hint="eastAsia" w:ascii="宋体" w:hAnsi="宋体" w:eastAsia="宋体" w:cs="宋体"/>
          <w:kern w:val="2"/>
          <w:sz w:val="21"/>
          <w:szCs w:val="21"/>
          <w:lang w:val="zh-TW" w:eastAsia="zh-CN" w:bidi="zh-TW"/>
        </w:rPr>
        <w:t>.</w:t>
      </w:r>
      <w:r>
        <w:rPr>
          <w:rFonts w:hint="eastAsia" w:ascii="宋体" w:hAnsi="宋体" w:eastAsia="宋体" w:cs="宋体"/>
          <w:kern w:val="2"/>
          <w:sz w:val="21"/>
          <w:szCs w:val="21"/>
          <w:lang w:val="zh-TW" w:eastAsia="zh-TW" w:bidi="zh-TW"/>
        </w:rPr>
        <w:t>以上人员配置除项目负责人、技术负责人和专职安全员外只作为评分标准，不作为废标条件。</w:t>
      </w:r>
    </w:p>
    <w:p w14:paraId="77943103">
      <w:pPr>
        <w:tabs>
          <w:tab w:val="right" w:leader="dot" w:pos="9060"/>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sz w:val="21"/>
          <w:szCs w:val="21"/>
          <w:lang w:val="zh-TW" w:bidi="zh-TW"/>
        </w:rPr>
        <w:t>4.</w:t>
      </w:r>
      <w:r>
        <w:rPr>
          <w:rFonts w:hint="eastAsia" w:ascii="宋体" w:hAnsi="宋体" w:eastAsia="宋体" w:cs="宋体"/>
          <w:sz w:val="21"/>
          <w:szCs w:val="21"/>
        </w:rPr>
        <w:t>其他工程技术人员由投标人按工程内容自行考虑并予以配置。</w:t>
      </w:r>
    </w:p>
    <w:p w14:paraId="69DD81C9">
      <w:pPr>
        <w:adjustRightInd w:val="0"/>
        <w:snapToGrid w:val="0"/>
        <w:spacing w:line="360" w:lineRule="auto"/>
        <w:ind w:firstLine="482" w:firstLineChars="200"/>
        <w:rPr>
          <w:rFonts w:ascii="宋体" w:hAnsi="宋体"/>
          <w:highlight w:val="none"/>
        </w:rPr>
      </w:pPr>
      <w:r>
        <w:rPr>
          <w:rFonts w:ascii="宋体" w:hAnsi="宋体"/>
          <w:b/>
          <w:sz w:val="24"/>
          <w:highlight w:val="none"/>
        </w:rPr>
        <w:br w:type="page"/>
      </w:r>
    </w:p>
    <w:p w14:paraId="059F46E5">
      <w:pPr>
        <w:ind w:firstLine="482"/>
        <w:jc w:val="left"/>
        <w:rPr>
          <w:rFonts w:ascii="宋体" w:hAnsi="宋体"/>
          <w:b/>
          <w:sz w:val="24"/>
          <w:highlight w:val="none"/>
        </w:rPr>
        <w:sectPr>
          <w:pgSz w:w="16838" w:h="11906" w:orient="landscape"/>
          <w:pgMar w:top="1440" w:right="1080" w:bottom="1440" w:left="1080" w:header="850" w:footer="992" w:gutter="0"/>
          <w:pgNumType w:fmt="decimal"/>
          <w:cols w:space="720" w:num="1"/>
          <w:docGrid w:type="lines" w:linePitch="426" w:charSpace="0"/>
        </w:sectPr>
      </w:pPr>
    </w:p>
    <w:p w14:paraId="1F8AED7F">
      <w:pPr>
        <w:pStyle w:val="4"/>
        <w:jc w:val="center"/>
        <w:rPr>
          <w:rFonts w:ascii="宋体" w:hAnsi="宋体" w:eastAsia="宋体"/>
          <w:highlight w:val="none"/>
        </w:rPr>
      </w:pPr>
      <w:bookmarkStart w:id="479" w:name="_Toc165358845"/>
      <w:r>
        <w:rPr>
          <w:rFonts w:hint="eastAsia" w:ascii="宋体" w:hAnsi="宋体" w:eastAsia="宋体"/>
          <w:highlight w:val="none"/>
          <w:u w:val="single"/>
        </w:rPr>
        <w:t>定标办法</w:t>
      </w:r>
      <w:bookmarkEnd w:id="479"/>
    </w:p>
    <w:p w14:paraId="75FAD859">
      <w:pPr>
        <w:spacing w:before="0" w:after="0"/>
        <w:ind w:firstLineChars="20"/>
        <w:outlineLvl w:val="1"/>
        <w:rPr>
          <w:rFonts w:hint="eastAsia" w:ascii="宋体" w:hAnsi="宋体" w:eastAsia="宋体" w:cs="宋体"/>
          <w:b/>
          <w:bCs/>
          <w:kern w:val="0"/>
          <w:sz w:val="32"/>
          <w:szCs w:val="32"/>
          <w:highlight w:val="none"/>
        </w:rPr>
      </w:pPr>
      <w:bookmarkStart w:id="480" w:name="_Toc165358846"/>
      <w:bookmarkStart w:id="481" w:name="_Toc1140"/>
      <w:bookmarkStart w:id="482" w:name="_Toc5544"/>
      <w:bookmarkStart w:id="483" w:name="_Toc7530"/>
      <w:bookmarkStart w:id="484" w:name="_Toc28700"/>
      <w:bookmarkStart w:id="485" w:name="_Toc4464"/>
      <w:bookmarkStart w:id="486" w:name="_Toc10171"/>
      <w:bookmarkStart w:id="487" w:name="_Toc27351"/>
      <w:bookmarkStart w:id="488" w:name="_Toc12040"/>
      <w:bookmarkStart w:id="489" w:name="_Toc2504"/>
      <w:r>
        <w:rPr>
          <w:rFonts w:hint="eastAsia" w:ascii="宋体" w:hAnsi="宋体" w:eastAsia="宋体" w:cs="宋体"/>
          <w:b/>
          <w:bCs/>
          <w:kern w:val="0"/>
          <w:sz w:val="32"/>
          <w:szCs w:val="32"/>
          <w:highlight w:val="none"/>
        </w:rPr>
        <w:t>1.定标办法、程序和细则</w:t>
      </w:r>
      <w:bookmarkEnd w:id="480"/>
    </w:p>
    <w:p w14:paraId="75070736">
      <w:pPr>
        <w:spacing w:line="360" w:lineRule="auto"/>
        <w:ind w:firstLine="420" w:firstLineChars="200"/>
        <w:rPr>
          <w:rFonts w:ascii="宋体" w:hAnsi="宋体" w:cs="宋体"/>
          <w:highlight w:val="none"/>
          <w:u w:val="single"/>
        </w:rPr>
      </w:pPr>
      <w:r>
        <w:rPr>
          <w:rFonts w:hint="eastAsia" w:ascii="宋体" w:hAnsi="宋体" w:cs="宋体"/>
          <w:highlight w:val="none"/>
          <w:u w:val="single"/>
        </w:rPr>
        <w:t>1.1 评标结束后，招标人须公示合格的中标候选人，公示期为三天。定标由招标人依法依规组建的定标委员会负责，成员数量为5人或以上单数。在评标委员会推荐的合格中标候选人中推荐中标人。</w:t>
      </w:r>
    </w:p>
    <w:p w14:paraId="49369977">
      <w:pPr>
        <w:spacing w:line="360" w:lineRule="auto"/>
        <w:ind w:firstLine="420" w:firstLineChars="200"/>
        <w:rPr>
          <w:rFonts w:ascii="宋体" w:hAnsi="宋体" w:cs="宋体"/>
          <w:highlight w:val="none"/>
          <w:u w:val="single"/>
        </w:rPr>
      </w:pPr>
      <w:r>
        <w:rPr>
          <w:rFonts w:hint="eastAsia" w:ascii="宋体" w:hAnsi="宋体" w:cs="宋体"/>
          <w:highlight w:val="none"/>
          <w:u w:val="single"/>
        </w:rPr>
        <w:t>1.2 定标时间和地点：</w:t>
      </w:r>
    </w:p>
    <w:p w14:paraId="25EA193B">
      <w:pPr>
        <w:spacing w:line="360" w:lineRule="auto"/>
        <w:ind w:firstLine="420" w:firstLineChars="200"/>
        <w:rPr>
          <w:rFonts w:ascii="宋体" w:hAnsi="宋体" w:cs="宋体"/>
          <w:highlight w:val="none"/>
          <w:u w:val="single"/>
        </w:rPr>
      </w:pPr>
      <w:r>
        <w:rPr>
          <w:rFonts w:hint="eastAsia" w:ascii="宋体" w:hAnsi="宋体" w:cs="宋体"/>
          <w:highlight w:val="none"/>
          <w:u w:val="single"/>
        </w:rPr>
        <w:t>招标人在</w:t>
      </w:r>
      <w:r>
        <w:rPr>
          <w:rFonts w:hint="eastAsia" w:ascii="宋体" w:hAnsi="宋体" w:eastAsia="宋体" w:cs="宋体"/>
          <w:sz w:val="21"/>
          <w:szCs w:val="24"/>
          <w:highlight w:val="none"/>
          <w:u w:val="single"/>
          <w:lang w:val="en-US" w:eastAsia="zh-CN"/>
        </w:rPr>
        <w:t>中标候选人公示期满之日起5个工作日内</w:t>
      </w:r>
      <w:r>
        <w:rPr>
          <w:rFonts w:hint="eastAsia" w:ascii="宋体" w:hAnsi="宋体" w:cs="宋体"/>
          <w:highlight w:val="none"/>
          <w:u w:val="single"/>
        </w:rPr>
        <w:t>在广州交易集团有限公司（广州公共资源交易中心）举行定标会议，招标人按规定程序在投标人须知的时间和地点完成定标工作。</w:t>
      </w:r>
    </w:p>
    <w:p w14:paraId="094CFB58">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1.3定标规则及程序</w:t>
      </w:r>
    </w:p>
    <w:p w14:paraId="38F1882E">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1.3.1 本项目采用“</w:t>
      </w:r>
      <w:r>
        <w:rPr>
          <w:rFonts w:hint="eastAsia" w:ascii="宋体" w:hAnsi="宋体" w:cs="宋体"/>
          <w:highlight w:val="none"/>
          <w:u w:val="single"/>
          <w:lang w:val="en-US" w:eastAsia="zh-CN"/>
        </w:rPr>
        <w:t>评分法</w:t>
      </w:r>
      <w:r>
        <w:rPr>
          <w:rFonts w:hint="eastAsia" w:ascii="宋体" w:hAnsi="宋体" w:cs="宋体"/>
          <w:szCs w:val="21"/>
          <w:highlight w:val="none"/>
          <w:u w:val="single"/>
        </w:rPr>
        <w:t>”定标，</w:t>
      </w:r>
      <w:r>
        <w:rPr>
          <w:rFonts w:hint="eastAsia" w:ascii="宋体" w:hAnsi="宋体" w:cs="宋体"/>
          <w:highlight w:val="none"/>
          <w:u w:val="single"/>
        </w:rPr>
        <w:t>决出中标人，并推荐得分最高的为中标人。定标结束后，定标委员会向招标人递交定标报告，定标方法如下：</w:t>
      </w:r>
    </w:p>
    <w:p w14:paraId="003F81B9">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1.3.2 定标工作开始后，</w:t>
      </w:r>
      <w:r>
        <w:rPr>
          <w:rFonts w:hint="eastAsia" w:ascii="宋体" w:hAnsi="宋体" w:cs="宋体"/>
          <w:szCs w:val="21"/>
          <w:highlight w:val="none"/>
          <w:u w:val="single"/>
          <w:lang w:val="en-US" w:eastAsia="zh-CN"/>
        </w:rPr>
        <w:t>由</w:t>
      </w:r>
      <w:r>
        <w:rPr>
          <w:rFonts w:hint="eastAsia" w:ascii="宋体" w:hAnsi="宋体" w:cs="宋体"/>
          <w:szCs w:val="21"/>
          <w:highlight w:val="none"/>
          <w:u w:val="single"/>
        </w:rPr>
        <w:t>定标委员会</w:t>
      </w:r>
      <w:r>
        <w:rPr>
          <w:rFonts w:hint="eastAsia" w:ascii="宋体" w:hAnsi="宋体" w:cs="宋体"/>
          <w:szCs w:val="21"/>
          <w:highlight w:val="none"/>
          <w:u w:val="single"/>
          <w:lang w:val="en-US" w:eastAsia="zh-CN"/>
        </w:rPr>
        <w:t>负责人（</w:t>
      </w:r>
      <w:r>
        <w:rPr>
          <w:rFonts w:hint="eastAsia" w:ascii="宋体" w:hAnsi="宋体" w:cs="宋体"/>
          <w:szCs w:val="21"/>
          <w:highlight w:val="none"/>
          <w:u w:val="single"/>
        </w:rPr>
        <w:t>组长</w:t>
      </w:r>
      <w:r>
        <w:rPr>
          <w:rFonts w:hint="eastAsia" w:ascii="宋体" w:hAnsi="宋体" w:cs="宋体"/>
          <w:szCs w:val="21"/>
          <w:highlight w:val="none"/>
          <w:u w:val="single"/>
          <w:lang w:val="en-US" w:eastAsia="zh-CN"/>
        </w:rPr>
        <w:t>）</w:t>
      </w:r>
      <w:r>
        <w:rPr>
          <w:rFonts w:hint="eastAsia" w:ascii="宋体" w:hAnsi="宋体" w:cs="宋体"/>
          <w:szCs w:val="21"/>
          <w:highlight w:val="none"/>
          <w:u w:val="single"/>
        </w:rPr>
        <w:t>主持当次定标会议。</w:t>
      </w:r>
    </w:p>
    <w:p w14:paraId="638E8015">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1.3.3 定标辅助资料为评标阶段的评标报告、投标人提交的投标文件与定标文件。</w:t>
      </w:r>
    </w:p>
    <w:p w14:paraId="37553D71">
      <w:pPr>
        <w:spacing w:line="360" w:lineRule="auto"/>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u w:val="single"/>
        </w:rPr>
        <w:t>1.3.4 定标委员会根据定标辅助资料，在同等条件下，定标因素具体评价标准详见附表：《定标因素评审表》</w:t>
      </w:r>
      <w:r>
        <w:rPr>
          <w:rFonts w:hint="eastAsia" w:ascii="宋体" w:hAnsi="宋体" w:cs="宋体"/>
          <w:szCs w:val="21"/>
          <w:highlight w:val="none"/>
          <w:u w:val="single"/>
          <w:lang w:eastAsia="zh-CN"/>
        </w:rPr>
        <w:t>。</w:t>
      </w:r>
    </w:p>
    <w:p w14:paraId="06506C42">
      <w:pPr>
        <w:spacing w:line="360" w:lineRule="auto"/>
        <w:ind w:firstLine="420" w:firstLineChars="200"/>
        <w:rPr>
          <w:rFonts w:ascii="宋体" w:hAnsi="宋体" w:eastAsia="宋体" w:cs="宋体"/>
          <w:highlight w:val="none"/>
          <w:u w:val="single"/>
        </w:rPr>
      </w:pPr>
      <w:r>
        <w:rPr>
          <w:rFonts w:hint="eastAsia" w:ascii="宋体" w:hAnsi="宋体" w:eastAsia="宋体" w:cs="宋体"/>
          <w:highlight w:val="none"/>
          <w:u w:val="single"/>
        </w:rPr>
        <w:t>1.3.5 将所有定标委员会成员对同一投标人的评分进行相加，总分最高的为中标人。</w:t>
      </w:r>
    </w:p>
    <w:p w14:paraId="4746A547">
      <w:pPr>
        <w:spacing w:line="360" w:lineRule="auto"/>
        <w:ind w:firstLine="420" w:firstLineChars="200"/>
        <w:rPr>
          <w:rFonts w:ascii="宋体" w:hAnsi="宋体" w:eastAsia="宋体" w:cs="宋体"/>
          <w:highlight w:val="none"/>
          <w:u w:val="single"/>
        </w:rPr>
      </w:pPr>
      <w:r>
        <w:rPr>
          <w:rFonts w:hint="eastAsia" w:ascii="宋体" w:hAnsi="宋体" w:eastAsia="宋体" w:cs="宋体"/>
          <w:highlight w:val="none"/>
          <w:u w:val="single"/>
        </w:rPr>
        <w:t>1.3.6定标委员会根据评分情况确定第一名为中标人。</w:t>
      </w:r>
    </w:p>
    <w:p w14:paraId="33C05BBC">
      <w:pPr>
        <w:spacing w:line="360" w:lineRule="auto"/>
        <w:ind w:firstLine="420" w:firstLineChars="200"/>
        <w:rPr>
          <w:rFonts w:ascii="宋体" w:hAnsi="宋体" w:cs="宋体"/>
          <w:szCs w:val="21"/>
          <w:highlight w:val="none"/>
          <w:u w:val="single"/>
        </w:rPr>
      </w:pPr>
      <w:r>
        <w:rPr>
          <w:rFonts w:hint="eastAsia" w:ascii="宋体" w:hAnsi="宋体" w:eastAsia="宋体" w:cs="宋体"/>
          <w:szCs w:val="21"/>
          <w:highlight w:val="none"/>
          <w:u w:val="single"/>
        </w:rPr>
        <w:t>1.3.7 编写定标报告，定标委员会全体确认后签署定标报告。</w:t>
      </w:r>
      <w:r>
        <w:rPr>
          <w:rFonts w:hint="eastAsia" w:ascii="宋体" w:hAnsi="宋体" w:eastAsia="宋体" w:cs="宋体"/>
          <w:highlight w:val="none"/>
          <w:u w:val="single"/>
        </w:rPr>
        <w:t>定标报告由定标委员会全体成员签字，对定标结论持有异议的成员应以书面方式阐述其不同意见和理由。</w:t>
      </w:r>
    </w:p>
    <w:p w14:paraId="393206ED">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1.4因质疑或投诉生效，需要重新评标或定标的，评标、定标信息仍以投标截止时投标人的信息为准。因特殊原因需要延长投标有效期，投标人拒绝延长投标有效期的，仍参与</w:t>
      </w:r>
      <w:bookmarkStart w:id="490" w:name="_Hlk186402684"/>
      <w:r>
        <w:rPr>
          <w:rFonts w:hint="eastAsia" w:ascii="宋体" w:hAnsi="宋体" w:cs="宋体"/>
          <w:highlight w:val="none"/>
          <w:u w:val="single"/>
        </w:rPr>
        <w:t>重新</w:t>
      </w:r>
      <w:bookmarkEnd w:id="490"/>
      <w:r>
        <w:rPr>
          <w:rFonts w:hint="eastAsia" w:ascii="宋体" w:hAnsi="宋体" w:cs="宋体"/>
          <w:szCs w:val="21"/>
          <w:highlight w:val="none"/>
          <w:u w:val="single"/>
        </w:rPr>
        <w:t>评标、定标，但不被推荐为中标候选人</w:t>
      </w:r>
      <w:r>
        <w:rPr>
          <w:rFonts w:hint="eastAsia" w:ascii="宋体" w:hAnsi="宋体" w:cs="宋体"/>
          <w:highlight w:val="none"/>
          <w:u w:val="single"/>
        </w:rPr>
        <w:t>或中标人</w:t>
      </w:r>
      <w:r>
        <w:rPr>
          <w:rFonts w:hint="eastAsia" w:ascii="宋体" w:hAnsi="宋体" w:cs="宋体"/>
          <w:szCs w:val="21"/>
          <w:highlight w:val="none"/>
          <w:u w:val="single"/>
        </w:rPr>
        <w:t>。</w:t>
      </w:r>
    </w:p>
    <w:p w14:paraId="50F2AD38">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1.5定标委员会向招标人提交书面定标报告后即解散，定标过程中使用的文件、表格以及其他资料不得私自带离。</w:t>
      </w:r>
    </w:p>
    <w:p w14:paraId="3C479C85">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1.6招标人应当在定标工作完成后的3日内公示中标结果。</w:t>
      </w:r>
      <w:r>
        <w:rPr>
          <w:rFonts w:hint="eastAsia" w:ascii="宋体" w:hAnsi="宋体" w:cs="宋体"/>
          <w:highlight w:val="none"/>
          <w:u w:val="single"/>
        </w:rPr>
        <w:t>公示内容包括：定标时间、所有合格的中标候选人的评分结果、中标人等内容。</w:t>
      </w:r>
    </w:p>
    <w:p w14:paraId="0FFE1039">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1.7定标后出现中标人不符合法定情形的，招标人可从其他合格的中标候选人中采用原定标办法，由原定标委员会确定中标人，也可以重新招标。</w:t>
      </w:r>
    </w:p>
    <w:p w14:paraId="635C5CE3">
      <w:pPr>
        <w:spacing w:line="360" w:lineRule="auto"/>
        <w:ind w:firstLine="420" w:firstLineChars="200"/>
        <w:rPr>
          <w:rFonts w:ascii="宋体" w:hAnsi="宋体" w:cs="宋体"/>
          <w:highlight w:val="none"/>
          <w:u w:val="single"/>
        </w:rPr>
      </w:pPr>
      <w:r>
        <w:rPr>
          <w:rFonts w:hint="eastAsia" w:ascii="宋体" w:hAnsi="宋体" w:cs="宋体"/>
          <w:szCs w:val="21"/>
          <w:highlight w:val="none"/>
          <w:u w:val="single"/>
        </w:rPr>
        <w:t>1.8</w:t>
      </w:r>
      <w:r>
        <w:rPr>
          <w:rFonts w:hint="eastAsia" w:ascii="宋体" w:hAnsi="宋体" w:cs="宋体"/>
          <w:highlight w:val="none"/>
          <w:u w:val="single"/>
        </w:rPr>
        <w:t>中标人放弃中标、因不可抗力不能履行合同，或者被查实存在影响中标结果的违法行为等不符合法定情形，不符合中标条件的，招标人可以从其他合格的中标候选人中采用原定标办法，由原定标委员会确定中标人，也可以重新招标。</w:t>
      </w:r>
    </w:p>
    <w:p w14:paraId="0951FA0A">
      <w:pPr>
        <w:pStyle w:val="23"/>
        <w:rPr>
          <w:rFonts w:hAnsi="宋体"/>
          <w:highlight w:val="none"/>
        </w:rPr>
      </w:pPr>
    </w:p>
    <w:p w14:paraId="725D987A">
      <w:pPr>
        <w:keepNext/>
        <w:keepLines/>
        <w:spacing w:line="360" w:lineRule="auto"/>
        <w:outlineLvl w:val="1"/>
        <w:rPr>
          <w:rFonts w:ascii="宋体" w:hAnsi="宋体" w:cs="宋体"/>
          <w:b/>
          <w:bCs/>
          <w:kern w:val="0"/>
          <w:sz w:val="32"/>
          <w:szCs w:val="32"/>
          <w:highlight w:val="none"/>
        </w:rPr>
      </w:pPr>
      <w:bookmarkStart w:id="491" w:name="_Toc485211106"/>
      <w:bookmarkStart w:id="492" w:name="_Toc165358847"/>
      <w:bookmarkStart w:id="493" w:name="_Toc12943"/>
      <w:bookmarkStart w:id="494" w:name="_Toc29753"/>
      <w:bookmarkStart w:id="495" w:name="_Toc7183"/>
      <w:bookmarkStart w:id="496" w:name="_Toc14911"/>
      <w:bookmarkStart w:id="497" w:name="_Toc375931100"/>
      <w:bookmarkStart w:id="498" w:name="_Toc26117"/>
      <w:bookmarkStart w:id="499" w:name="_Toc30003"/>
      <w:bookmarkStart w:id="500" w:name="_Toc26712"/>
      <w:bookmarkStart w:id="501" w:name="_Toc20085"/>
      <w:bookmarkStart w:id="502" w:name="_Toc86413342"/>
      <w:bookmarkStart w:id="503" w:name="_Toc930"/>
      <w:r>
        <w:rPr>
          <w:rFonts w:hint="eastAsia" w:ascii="宋体" w:hAnsi="宋体" w:cs="宋体"/>
          <w:b/>
          <w:bCs/>
          <w:kern w:val="0"/>
          <w:sz w:val="32"/>
          <w:szCs w:val="32"/>
          <w:highlight w:val="none"/>
        </w:rPr>
        <w:t>2. 定标表格</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0170346C">
      <w:pPr>
        <w:spacing w:line="360" w:lineRule="auto"/>
        <w:ind w:firstLine="420" w:firstLineChars="200"/>
        <w:rPr>
          <w:rFonts w:ascii="宋体" w:hAnsi="宋体" w:cs="宋体"/>
          <w:highlight w:val="none"/>
        </w:rPr>
      </w:pPr>
      <w:r>
        <w:rPr>
          <w:rFonts w:hint="eastAsia" w:ascii="宋体" w:hAnsi="宋体" w:cs="宋体"/>
          <w:highlight w:val="none"/>
        </w:rPr>
        <w:t>见后附。</w:t>
      </w:r>
    </w:p>
    <w:p w14:paraId="72629BEA">
      <w:pPr>
        <w:rPr>
          <w:rFonts w:ascii="宋体" w:hAnsi="宋体"/>
          <w:highlight w:val="none"/>
        </w:rPr>
      </w:pPr>
    </w:p>
    <w:p w14:paraId="1110C695">
      <w:pPr>
        <w:pStyle w:val="23"/>
        <w:rPr>
          <w:rFonts w:hAnsi="宋体"/>
          <w:highlight w:val="none"/>
        </w:rPr>
      </w:pPr>
    </w:p>
    <w:p w14:paraId="1031F6B9">
      <w:pPr>
        <w:rPr>
          <w:rFonts w:ascii="宋体" w:hAnsi="宋体"/>
          <w:highlight w:val="none"/>
        </w:rPr>
      </w:pPr>
    </w:p>
    <w:p w14:paraId="11EFE591">
      <w:pPr>
        <w:pStyle w:val="23"/>
        <w:rPr>
          <w:rFonts w:hAnsi="宋体"/>
          <w:highlight w:val="none"/>
        </w:rPr>
      </w:pPr>
    </w:p>
    <w:p w14:paraId="6A79B421">
      <w:pPr>
        <w:rPr>
          <w:rFonts w:ascii="宋体" w:hAnsi="宋体"/>
          <w:highlight w:val="none"/>
        </w:rPr>
        <w:sectPr>
          <w:pgSz w:w="11905" w:h="16838"/>
          <w:pgMar w:top="1134" w:right="1417" w:bottom="1134" w:left="1417" w:header="567" w:footer="850" w:gutter="0"/>
          <w:pgNumType w:fmt="decimal"/>
          <w:cols w:space="720" w:num="1"/>
          <w:docGrid w:linePitch="312" w:charSpace="0"/>
        </w:sectPr>
      </w:pPr>
      <w:r>
        <w:rPr>
          <w:rFonts w:hint="eastAsia" w:ascii="宋体" w:hAnsi="宋体"/>
          <w:highlight w:val="none"/>
        </w:rPr>
        <w:cr/>
      </w:r>
    </w:p>
    <w:p w14:paraId="694A3185">
      <w:pPr>
        <w:pStyle w:val="5"/>
        <w:spacing w:before="0" w:after="0" w:line="360" w:lineRule="auto"/>
        <w:ind w:firstLine="0" w:firstLineChars="0"/>
        <w:rPr>
          <w:rFonts w:ascii="宋体" w:eastAsia="宋体"/>
          <w:b/>
          <w:highlight w:val="none"/>
        </w:rPr>
      </w:pPr>
      <w:bookmarkStart w:id="504" w:name="_Toc183701653"/>
      <w:r>
        <w:rPr>
          <w:rFonts w:hint="eastAsia" w:ascii="宋体" w:eastAsia="宋体"/>
          <w:b/>
          <w:highlight w:val="none"/>
        </w:rPr>
        <w:t>定标附表</w:t>
      </w:r>
      <w:bookmarkEnd w:id="504"/>
    </w:p>
    <w:bookmarkEnd w:id="481"/>
    <w:bookmarkEnd w:id="482"/>
    <w:bookmarkEnd w:id="483"/>
    <w:bookmarkEnd w:id="484"/>
    <w:bookmarkEnd w:id="485"/>
    <w:bookmarkEnd w:id="486"/>
    <w:bookmarkEnd w:id="487"/>
    <w:bookmarkEnd w:id="488"/>
    <w:bookmarkEnd w:id="489"/>
    <w:p w14:paraId="6F8D8B61">
      <w:pPr>
        <w:jc w:val="center"/>
        <w:rPr>
          <w:rFonts w:hint="eastAsia" w:ascii="宋体" w:hAnsi="宋体" w:eastAsia="宋体" w:cs="宋体"/>
          <w:b/>
          <w:color w:val="auto"/>
          <w:sz w:val="32"/>
          <w:szCs w:val="32"/>
          <w:highlight w:val="none"/>
        </w:rPr>
      </w:pPr>
      <w:bookmarkStart w:id="505" w:name="_Toc165358849"/>
      <w:r>
        <w:rPr>
          <w:rFonts w:hint="eastAsia" w:ascii="宋体" w:hAnsi="宋体" w:eastAsia="宋体" w:cs="宋体"/>
          <w:b/>
          <w:color w:val="auto"/>
          <w:sz w:val="32"/>
          <w:szCs w:val="32"/>
          <w:highlight w:val="none"/>
        </w:rPr>
        <w:t>定标因素表</w:t>
      </w:r>
    </w:p>
    <w:tbl>
      <w:tblPr>
        <w:tblStyle w:val="45"/>
        <w:tblW w:w="14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71"/>
        <w:gridCol w:w="11973"/>
      </w:tblGrid>
      <w:tr w14:paraId="10B5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E98B82F">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3C4BA5B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11973" w:type="dxa"/>
            <w:tcBorders>
              <w:top w:val="single" w:color="auto" w:sz="4" w:space="0"/>
              <w:left w:val="single" w:color="auto" w:sz="4" w:space="0"/>
              <w:bottom w:val="single" w:color="auto" w:sz="4" w:space="0"/>
              <w:right w:val="single" w:color="auto" w:sz="4" w:space="0"/>
            </w:tcBorders>
            <w:noWrap w:val="0"/>
            <w:vAlign w:val="center"/>
          </w:tcPr>
          <w:p w14:paraId="4280244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定标评价的内容</w:t>
            </w:r>
          </w:p>
        </w:tc>
      </w:tr>
      <w:tr w14:paraId="2532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92" w:type="dxa"/>
            <w:vMerge w:val="restart"/>
            <w:tcBorders>
              <w:top w:val="single" w:color="auto" w:sz="4" w:space="0"/>
              <w:left w:val="single" w:color="auto" w:sz="4" w:space="0"/>
              <w:right w:val="single" w:color="auto" w:sz="4" w:space="0"/>
            </w:tcBorders>
            <w:noWrap w:val="0"/>
            <w:vAlign w:val="center"/>
          </w:tcPr>
          <w:p w14:paraId="362E462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1" w:type="dxa"/>
            <w:vMerge w:val="restart"/>
            <w:tcBorders>
              <w:top w:val="single" w:color="auto" w:sz="4" w:space="0"/>
              <w:left w:val="single" w:color="auto" w:sz="4" w:space="0"/>
              <w:right w:val="single" w:color="auto" w:sz="4" w:space="0"/>
            </w:tcBorders>
            <w:noWrap w:val="0"/>
            <w:vAlign w:val="center"/>
          </w:tcPr>
          <w:p w14:paraId="2BE9926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方案因素</w:t>
            </w:r>
          </w:p>
          <w:p w14:paraId="1D88EDF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0分）</w:t>
            </w:r>
          </w:p>
        </w:tc>
        <w:tc>
          <w:tcPr>
            <w:tcW w:w="11973" w:type="dxa"/>
            <w:tcBorders>
              <w:top w:val="single" w:color="auto" w:sz="4" w:space="0"/>
              <w:left w:val="single" w:color="auto" w:sz="4" w:space="0"/>
              <w:bottom w:val="single" w:color="auto" w:sz="4" w:space="0"/>
              <w:right w:val="single" w:color="auto" w:sz="4" w:space="0"/>
            </w:tcBorders>
            <w:noWrap w:val="0"/>
            <w:vAlign w:val="center"/>
          </w:tcPr>
          <w:p w14:paraId="34951CF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1、定标委员会对合格的中标候选人的</w:t>
            </w:r>
            <w:r>
              <w:rPr>
                <w:rFonts w:hint="eastAsia" w:ascii="宋体" w:hAnsi="宋体" w:eastAsia="宋体" w:cs="宋体"/>
                <w:b/>
                <w:bCs/>
                <w:color w:val="auto"/>
                <w:szCs w:val="21"/>
                <w:highlight w:val="none"/>
                <w:lang w:val="en-US" w:eastAsia="zh-CN"/>
              </w:rPr>
              <w:t>施工组织方案</w:t>
            </w:r>
            <w:r>
              <w:rPr>
                <w:rFonts w:hint="eastAsia" w:ascii="宋体" w:hAnsi="宋体" w:eastAsia="宋体" w:cs="宋体"/>
                <w:b/>
                <w:bCs/>
                <w:color w:val="auto"/>
                <w:szCs w:val="21"/>
                <w:highlight w:val="none"/>
              </w:rPr>
              <w:t>进行评审：</w:t>
            </w:r>
          </w:p>
          <w:p w14:paraId="6457FE5C">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针对本项目</w:t>
            </w:r>
            <w:r>
              <w:rPr>
                <w:rFonts w:hint="eastAsia" w:ascii="宋体" w:hAnsi="宋体" w:eastAsia="宋体"/>
                <w:color w:val="auto"/>
                <w:szCs w:val="21"/>
                <w:highlight w:val="none"/>
              </w:rPr>
              <w:t>编制了</w:t>
            </w:r>
            <w:r>
              <w:rPr>
                <w:rFonts w:hint="eastAsia" w:ascii="宋体" w:hAnsi="宋体" w:eastAsia="宋体"/>
                <w:color w:val="auto"/>
                <w:szCs w:val="21"/>
                <w:highlight w:val="none"/>
                <w:lang w:val="en-US" w:eastAsia="zh-CN"/>
              </w:rPr>
              <w:t>完善的施工组织方案，包括</w:t>
            </w:r>
            <w:r>
              <w:rPr>
                <w:rFonts w:hint="eastAsia" w:ascii="宋体" w:hAnsi="宋体" w:eastAsia="宋体"/>
                <w:color w:val="auto"/>
                <w:szCs w:val="21"/>
                <w:highlight w:val="none"/>
              </w:rPr>
              <w:t>施工质量</w:t>
            </w:r>
            <w:r>
              <w:rPr>
                <w:rFonts w:hint="eastAsia" w:ascii="宋体" w:hAnsi="宋体" w:eastAsia="宋体"/>
                <w:color w:val="auto"/>
                <w:szCs w:val="21"/>
                <w:highlight w:val="none"/>
                <w:lang w:val="en-US" w:eastAsia="zh-CN"/>
              </w:rPr>
              <w:t>管理措施、安全文明施工控制措施、施工进度控制措施、应急响应保障措施、绿色节能控制措施等内容，施工组织方案各项措施具体、可行、针对性强，措施完善的，得[30,20）分；</w:t>
            </w:r>
          </w:p>
          <w:p w14:paraId="4438A127">
            <w:pPr>
              <w:pStyle w:val="15"/>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r>
              <w:rPr>
                <w:rFonts w:hint="eastAsia" w:ascii="宋体" w:hAnsi="宋体" w:eastAsia="宋体" w:cs="宋体"/>
                <w:color w:val="auto"/>
                <w:szCs w:val="21"/>
                <w:highlight w:val="none"/>
                <w:lang w:val="en-US" w:eastAsia="zh-CN"/>
              </w:rPr>
              <w:t>针对本项目</w:t>
            </w:r>
            <w:r>
              <w:rPr>
                <w:rFonts w:hint="eastAsia" w:ascii="宋体" w:hAnsi="宋体" w:eastAsia="宋体"/>
                <w:color w:val="auto"/>
                <w:szCs w:val="21"/>
                <w:highlight w:val="none"/>
              </w:rPr>
              <w:t>编制了</w:t>
            </w:r>
            <w:r>
              <w:rPr>
                <w:rFonts w:hint="eastAsia" w:ascii="宋体" w:hAnsi="宋体" w:eastAsia="宋体"/>
                <w:color w:val="auto"/>
                <w:szCs w:val="21"/>
                <w:highlight w:val="none"/>
                <w:lang w:val="en-US" w:eastAsia="zh-CN"/>
              </w:rPr>
              <w:t>完善的施工组织方案，包括</w:t>
            </w:r>
            <w:r>
              <w:rPr>
                <w:rFonts w:hint="eastAsia" w:ascii="宋体" w:hAnsi="宋体" w:eastAsia="宋体"/>
                <w:color w:val="auto"/>
                <w:szCs w:val="21"/>
                <w:highlight w:val="none"/>
              </w:rPr>
              <w:t>施工质量</w:t>
            </w:r>
            <w:r>
              <w:rPr>
                <w:rFonts w:hint="eastAsia" w:ascii="宋体" w:hAnsi="宋体" w:eastAsia="宋体"/>
                <w:color w:val="auto"/>
                <w:szCs w:val="21"/>
                <w:highlight w:val="none"/>
                <w:lang w:val="en-US" w:eastAsia="zh-CN"/>
              </w:rPr>
              <w:t>管理措施、安全文明施工控制措施、施工进度控制措施、应急响应保障措施、绿色节能控制措施等内容，施工组织方案各项措施</w:t>
            </w:r>
            <w:r>
              <w:rPr>
                <w:rFonts w:hint="eastAsia" w:ascii="宋体" w:hAnsi="宋体" w:cs="宋体"/>
                <w:color w:val="auto"/>
                <w:szCs w:val="21"/>
                <w:highlight w:val="none"/>
              </w:rPr>
              <w:t>较具体、较可行</w:t>
            </w:r>
            <w:r>
              <w:rPr>
                <w:rFonts w:hint="eastAsia" w:ascii="宋体" w:hAnsi="宋体" w:eastAsia="宋体"/>
                <w:color w:val="auto"/>
                <w:szCs w:val="21"/>
                <w:highlight w:val="none"/>
                <w:lang w:val="en-US" w:eastAsia="zh-CN"/>
              </w:rPr>
              <w:t>，得[20,10）分；</w:t>
            </w:r>
          </w:p>
          <w:p w14:paraId="0636D6D3">
            <w:pPr>
              <w:pStyle w:val="15"/>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color w:val="auto"/>
                <w:szCs w:val="21"/>
                <w:highlight w:val="none"/>
              </w:rPr>
            </w:pPr>
            <w:r>
              <w:rPr>
                <w:rFonts w:hint="eastAsia" w:ascii="宋体" w:hAnsi="宋体" w:eastAsia="宋体"/>
                <w:color w:val="auto"/>
                <w:szCs w:val="21"/>
                <w:highlight w:val="none"/>
                <w:lang w:val="en-US" w:eastAsia="zh-CN"/>
              </w:rPr>
              <w:t>（3）</w:t>
            </w:r>
            <w:r>
              <w:rPr>
                <w:rFonts w:hint="eastAsia" w:ascii="宋体" w:hAnsi="宋体" w:eastAsia="宋体" w:cs="宋体"/>
                <w:color w:val="auto"/>
                <w:szCs w:val="21"/>
                <w:highlight w:val="none"/>
                <w:lang w:val="en-US" w:eastAsia="zh-CN"/>
              </w:rPr>
              <w:t>针对本项目</w:t>
            </w:r>
            <w:r>
              <w:rPr>
                <w:rFonts w:hint="eastAsia" w:ascii="宋体" w:hAnsi="宋体" w:eastAsia="宋体"/>
                <w:color w:val="auto"/>
                <w:szCs w:val="21"/>
                <w:highlight w:val="none"/>
              </w:rPr>
              <w:t>编制了</w:t>
            </w:r>
            <w:r>
              <w:rPr>
                <w:rFonts w:hint="eastAsia" w:ascii="宋体" w:hAnsi="宋体" w:eastAsia="宋体"/>
                <w:color w:val="auto"/>
                <w:szCs w:val="21"/>
                <w:highlight w:val="none"/>
                <w:lang w:val="en-US" w:eastAsia="zh-CN"/>
              </w:rPr>
              <w:t>完善的施工组织方案，包括</w:t>
            </w:r>
            <w:r>
              <w:rPr>
                <w:rFonts w:hint="eastAsia" w:ascii="宋体" w:hAnsi="宋体" w:eastAsia="宋体"/>
                <w:color w:val="auto"/>
                <w:szCs w:val="21"/>
                <w:highlight w:val="none"/>
              </w:rPr>
              <w:t>施工质量</w:t>
            </w:r>
            <w:r>
              <w:rPr>
                <w:rFonts w:hint="eastAsia" w:ascii="宋体" w:hAnsi="宋体" w:eastAsia="宋体"/>
                <w:color w:val="auto"/>
                <w:szCs w:val="21"/>
                <w:highlight w:val="none"/>
                <w:lang w:val="en-US" w:eastAsia="zh-CN"/>
              </w:rPr>
              <w:t>管理措施、安全文明施工控制措施、施工进度控制措施、应急响应保障措施、绿色节能控制措施等内容，施工组织方案各项措施</w:t>
            </w:r>
            <w:r>
              <w:rPr>
                <w:rFonts w:hint="eastAsia" w:ascii="宋体" w:hAnsi="宋体" w:cs="宋体"/>
                <w:color w:val="auto"/>
                <w:szCs w:val="21"/>
                <w:highlight w:val="none"/>
              </w:rPr>
              <w:t>不具体、针对性不强，得[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,0）分。</w:t>
            </w:r>
          </w:p>
          <w:p w14:paraId="0B7F8144">
            <w:pPr>
              <w:pStyle w:val="15"/>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不满足前述要求者或不提供内容的，得0分。</w:t>
            </w:r>
          </w:p>
        </w:tc>
      </w:tr>
      <w:tr w14:paraId="6B3F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992" w:type="dxa"/>
            <w:vMerge w:val="continue"/>
            <w:tcBorders>
              <w:left w:val="single" w:color="auto" w:sz="4" w:space="0"/>
              <w:right w:val="single" w:color="auto" w:sz="4" w:space="0"/>
            </w:tcBorders>
            <w:noWrap w:val="0"/>
            <w:vAlign w:val="center"/>
          </w:tcPr>
          <w:p w14:paraId="559B7898">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olor w:val="auto"/>
                <w:szCs w:val="21"/>
                <w:highlight w:val="none"/>
              </w:rPr>
            </w:pPr>
          </w:p>
        </w:tc>
        <w:tc>
          <w:tcPr>
            <w:tcW w:w="1271" w:type="dxa"/>
            <w:vMerge w:val="continue"/>
            <w:tcBorders>
              <w:left w:val="single" w:color="auto" w:sz="4" w:space="0"/>
              <w:right w:val="single" w:color="auto" w:sz="4" w:space="0"/>
            </w:tcBorders>
            <w:noWrap w:val="0"/>
            <w:vAlign w:val="center"/>
          </w:tcPr>
          <w:p w14:paraId="29E02B0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olor w:val="auto"/>
                <w:szCs w:val="21"/>
                <w:highlight w:val="none"/>
              </w:rPr>
            </w:pPr>
          </w:p>
        </w:tc>
        <w:tc>
          <w:tcPr>
            <w:tcW w:w="11973" w:type="dxa"/>
            <w:tcBorders>
              <w:top w:val="single" w:color="auto" w:sz="4" w:space="0"/>
              <w:left w:val="single" w:color="auto" w:sz="4" w:space="0"/>
              <w:bottom w:val="single" w:color="auto" w:sz="4" w:space="0"/>
              <w:right w:val="single" w:color="auto" w:sz="4" w:space="0"/>
            </w:tcBorders>
            <w:noWrap w:val="0"/>
            <w:vAlign w:val="center"/>
          </w:tcPr>
          <w:p w14:paraId="395723FD">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、定标委员会对合格的中标候选人的</w:t>
            </w:r>
            <w:r>
              <w:rPr>
                <w:rFonts w:hint="eastAsia" w:ascii="宋体" w:hAnsi="宋体" w:cs="宋体"/>
                <w:b/>
                <w:bCs/>
                <w:color w:val="auto"/>
                <w:szCs w:val="21"/>
                <w:highlight w:val="none"/>
                <w:lang w:val="en-US" w:eastAsia="zh-CN"/>
              </w:rPr>
              <w:t>动迁</w:t>
            </w:r>
            <w:r>
              <w:rPr>
                <w:rFonts w:hint="eastAsia" w:ascii="宋体" w:hAnsi="宋体" w:eastAsia="宋体" w:cs="宋体"/>
                <w:b/>
                <w:bCs/>
                <w:color w:val="auto"/>
                <w:szCs w:val="21"/>
                <w:highlight w:val="none"/>
                <w:lang w:val="en-US" w:eastAsia="zh-CN"/>
              </w:rPr>
              <w:t>服务方案</w:t>
            </w:r>
            <w:r>
              <w:rPr>
                <w:rFonts w:hint="eastAsia" w:ascii="宋体" w:hAnsi="宋体" w:eastAsia="宋体" w:cs="宋体"/>
                <w:b/>
                <w:bCs/>
                <w:color w:val="auto"/>
                <w:szCs w:val="21"/>
                <w:highlight w:val="none"/>
              </w:rPr>
              <w:t>进行评审：</w:t>
            </w:r>
          </w:p>
          <w:p w14:paraId="301019F8">
            <w:pPr>
              <w:keepNext w:val="0"/>
              <w:keepLines w:val="0"/>
              <w:pageBreakBefore w:val="0"/>
              <w:kinsoku/>
              <w:wordWrap/>
              <w:overflowPunct/>
              <w:topLinePunct w:val="0"/>
              <w:autoSpaceDE/>
              <w:autoSpaceDN/>
              <w:bidi w:val="0"/>
              <w:adjustRightInd w:val="0"/>
              <w:snapToGrid w:val="0"/>
              <w:spacing w:line="360" w:lineRule="auto"/>
              <w:ind w:left="7"/>
              <w:jc w:val="left"/>
              <w:textAlignment w:val="auto"/>
              <w:rPr>
                <w:rFonts w:hint="eastAsia" w:ascii="宋体" w:hAnsi="宋体" w:cs="宋体"/>
                <w:color w:val="auto"/>
                <w:kern w:val="0"/>
                <w:szCs w:val="22"/>
                <w:highlight w:val="none"/>
              </w:rPr>
            </w:pPr>
            <w:r>
              <w:rPr>
                <w:rFonts w:hint="eastAsia" w:ascii="宋体" w:hAnsi="宋体" w:cs="宋体"/>
                <w:color w:val="auto"/>
                <w:highlight w:val="none"/>
                <w:lang w:val="en-US" w:eastAsia="zh-CN"/>
              </w:rPr>
              <w:t>（1）针对本项目动迁服务部分制定完善的服务人员配置方案、突发事件的处理措施和应急预案、</w:t>
            </w:r>
            <w:r>
              <w:rPr>
                <w:rFonts w:hint="eastAsia" w:ascii="宋体" w:hAnsi="宋体" w:cs="宋体"/>
                <w:color w:val="auto"/>
                <w:highlight w:val="none"/>
              </w:rPr>
              <w:t>工作计划进度安排</w:t>
            </w:r>
            <w:r>
              <w:rPr>
                <w:rFonts w:hint="eastAsia" w:ascii="宋体" w:hAnsi="宋体" w:cs="宋体"/>
                <w:color w:val="auto"/>
                <w:highlight w:val="none"/>
                <w:lang w:eastAsia="zh-CN"/>
              </w:rPr>
              <w:t>，</w:t>
            </w:r>
            <w:r>
              <w:rPr>
                <w:rFonts w:hint="eastAsia" w:ascii="宋体" w:hAnsi="宋体" w:cs="宋体"/>
                <w:color w:val="auto"/>
                <w:kern w:val="0"/>
                <w:szCs w:val="22"/>
                <w:highlight w:val="none"/>
              </w:rPr>
              <w:t>科学合理、</w:t>
            </w:r>
            <w:r>
              <w:rPr>
                <w:rFonts w:ascii="Calibri" w:hAnsi="Calibri" w:cs="Times New Roman"/>
              </w:rPr>
              <w:t>合理化建议准确</w:t>
            </w:r>
            <w:r>
              <w:rPr>
                <w:rFonts w:hint="eastAsia" w:ascii="Calibri" w:hAnsi="Calibri" w:cs="Times New Roman"/>
                <w:lang w:eastAsia="zh-CN"/>
              </w:rPr>
              <w:t>，</w:t>
            </w:r>
            <w:r>
              <w:rPr>
                <w:rFonts w:hint="eastAsia" w:ascii="宋体" w:hAnsi="宋体" w:cs="宋体"/>
                <w:color w:val="auto"/>
                <w:kern w:val="0"/>
                <w:szCs w:val="22"/>
                <w:highlight w:val="none"/>
              </w:rPr>
              <w:t>针对性强</w:t>
            </w:r>
            <w:r>
              <w:rPr>
                <w:rFonts w:hint="eastAsia" w:ascii="宋体" w:hAnsi="宋体" w:cs="宋体"/>
                <w:color w:val="auto"/>
                <w:kern w:val="0"/>
                <w:szCs w:val="22"/>
                <w:highlight w:val="none"/>
                <w:lang w:eastAsia="zh-CN"/>
              </w:rPr>
              <w:t>，</w:t>
            </w:r>
            <w:r>
              <w:rPr>
                <w:rFonts w:hint="eastAsia" w:ascii="宋体" w:hAnsi="宋体" w:eastAsia="宋体"/>
                <w:color w:val="auto"/>
                <w:szCs w:val="21"/>
                <w:highlight w:val="none"/>
                <w:lang w:val="en-US" w:eastAsia="zh-CN"/>
              </w:rPr>
              <w:t>得[30,20）分；</w:t>
            </w:r>
          </w:p>
          <w:p w14:paraId="6BF66835">
            <w:pPr>
              <w:keepNext w:val="0"/>
              <w:keepLines w:val="0"/>
              <w:pageBreakBefore w:val="0"/>
              <w:kinsoku/>
              <w:wordWrap/>
              <w:overflowPunct/>
              <w:topLinePunct w:val="0"/>
              <w:autoSpaceDE/>
              <w:autoSpaceDN/>
              <w:bidi w:val="0"/>
              <w:adjustRightInd w:val="0"/>
              <w:snapToGrid w:val="0"/>
              <w:spacing w:line="360" w:lineRule="auto"/>
              <w:ind w:left="7"/>
              <w:jc w:val="left"/>
              <w:textAlignment w:val="auto"/>
              <w:rPr>
                <w:rFonts w:hint="eastAsia" w:ascii="宋体" w:hAnsi="宋体" w:cs="宋体"/>
                <w:color w:val="auto"/>
                <w:kern w:val="0"/>
                <w:szCs w:val="22"/>
                <w:highlight w:val="none"/>
              </w:rPr>
            </w:pPr>
            <w:r>
              <w:rPr>
                <w:rFonts w:hint="eastAsia" w:ascii="宋体" w:hAnsi="宋体" w:cs="宋体"/>
                <w:color w:val="auto"/>
                <w:kern w:val="0"/>
                <w:szCs w:val="22"/>
                <w:highlight w:val="none"/>
                <w:lang w:val="en-US" w:eastAsia="zh-CN"/>
              </w:rPr>
              <w:t>（2）</w:t>
            </w:r>
            <w:r>
              <w:rPr>
                <w:rFonts w:hint="eastAsia" w:ascii="宋体" w:hAnsi="宋体" w:cs="宋体"/>
                <w:color w:val="auto"/>
                <w:highlight w:val="none"/>
                <w:lang w:val="en-US" w:eastAsia="zh-CN"/>
              </w:rPr>
              <w:t>针对本项目动迁服务部分制定的服务人员配置方案、突发事件的处理措施和应急预案、</w:t>
            </w:r>
            <w:r>
              <w:rPr>
                <w:rFonts w:hint="eastAsia" w:ascii="宋体" w:hAnsi="宋体" w:cs="宋体"/>
                <w:color w:val="auto"/>
                <w:highlight w:val="none"/>
              </w:rPr>
              <w:t>工作计划进度安排</w:t>
            </w:r>
            <w:r>
              <w:rPr>
                <w:rFonts w:hint="eastAsia" w:ascii="宋体" w:hAnsi="宋体" w:cs="宋体"/>
                <w:color w:val="auto"/>
                <w:highlight w:val="none"/>
                <w:lang w:eastAsia="zh-CN"/>
              </w:rPr>
              <w:t>，</w:t>
            </w:r>
            <w:r>
              <w:rPr>
                <w:rFonts w:hint="eastAsia" w:ascii="宋体" w:hAnsi="宋体" w:cs="宋体"/>
                <w:color w:val="auto"/>
                <w:kern w:val="0"/>
                <w:szCs w:val="22"/>
                <w:highlight w:val="none"/>
              </w:rPr>
              <w:t>科学合理、</w:t>
            </w:r>
            <w:r>
              <w:rPr>
                <w:rFonts w:hint="eastAsia" w:ascii="宋体" w:hAnsi="宋体" w:cs="宋体"/>
                <w:color w:val="auto"/>
                <w:kern w:val="0"/>
                <w:szCs w:val="22"/>
                <w:highlight w:val="none"/>
                <w:lang w:val="en-US" w:eastAsia="zh-CN"/>
              </w:rPr>
              <w:t>建议</w:t>
            </w:r>
            <w:r>
              <w:rPr>
                <w:rFonts w:ascii="Calibri" w:hAnsi="Calibri" w:cs="Times New Roman"/>
              </w:rPr>
              <w:t>具有一定的准确性</w:t>
            </w:r>
            <w:r>
              <w:rPr>
                <w:rFonts w:hint="eastAsia" w:ascii="Calibri" w:hAnsi="Calibri" w:cs="Times New Roman"/>
                <w:lang w:eastAsia="zh-CN"/>
              </w:rPr>
              <w:t>，</w:t>
            </w:r>
            <w:r>
              <w:rPr>
                <w:rFonts w:hint="eastAsia" w:ascii="宋体" w:hAnsi="宋体" w:cs="宋体"/>
                <w:color w:val="auto"/>
                <w:kern w:val="0"/>
                <w:szCs w:val="22"/>
                <w:highlight w:val="none"/>
                <w:lang w:val="en-US" w:eastAsia="zh-CN"/>
              </w:rPr>
              <w:t>有一定</w:t>
            </w:r>
            <w:r>
              <w:rPr>
                <w:rFonts w:hint="eastAsia" w:ascii="宋体" w:hAnsi="宋体" w:cs="宋体"/>
                <w:color w:val="auto"/>
                <w:kern w:val="0"/>
                <w:szCs w:val="22"/>
                <w:highlight w:val="none"/>
              </w:rPr>
              <w:t>针对性，</w:t>
            </w:r>
            <w:r>
              <w:rPr>
                <w:rFonts w:hint="eastAsia" w:ascii="宋体" w:hAnsi="宋体" w:eastAsia="宋体"/>
                <w:color w:val="auto"/>
                <w:szCs w:val="21"/>
                <w:highlight w:val="none"/>
                <w:lang w:val="en-US" w:eastAsia="zh-CN"/>
              </w:rPr>
              <w:t>得[20,10）分</w:t>
            </w:r>
            <w:r>
              <w:rPr>
                <w:rFonts w:hint="eastAsia" w:ascii="宋体" w:hAnsi="宋体" w:cs="宋体"/>
                <w:color w:val="auto"/>
                <w:kern w:val="0"/>
                <w:szCs w:val="22"/>
                <w:highlight w:val="none"/>
              </w:rPr>
              <w:t>；</w:t>
            </w:r>
          </w:p>
          <w:p w14:paraId="1CCE5345">
            <w:pPr>
              <w:keepNext w:val="0"/>
              <w:keepLines w:val="0"/>
              <w:pageBreakBefore w:val="0"/>
              <w:kinsoku/>
              <w:wordWrap/>
              <w:overflowPunct/>
              <w:topLinePunct w:val="0"/>
              <w:autoSpaceDE/>
              <w:autoSpaceDN/>
              <w:bidi w:val="0"/>
              <w:adjustRightInd w:val="0"/>
              <w:snapToGrid w:val="0"/>
              <w:spacing w:line="360" w:lineRule="auto"/>
              <w:ind w:left="7"/>
              <w:jc w:val="left"/>
              <w:textAlignment w:val="auto"/>
              <w:rPr>
                <w:rFonts w:hint="eastAsia" w:ascii="宋体" w:hAnsi="宋体" w:cs="宋体"/>
                <w:color w:val="auto"/>
                <w:kern w:val="0"/>
                <w:szCs w:val="22"/>
                <w:highlight w:val="none"/>
              </w:rPr>
            </w:pPr>
            <w:r>
              <w:rPr>
                <w:rFonts w:hint="eastAsia" w:ascii="宋体" w:hAnsi="宋体" w:cs="宋体"/>
                <w:color w:val="auto"/>
                <w:kern w:val="0"/>
                <w:szCs w:val="22"/>
                <w:highlight w:val="none"/>
                <w:lang w:val="en-US" w:eastAsia="zh-CN"/>
              </w:rPr>
              <w:t>（3）</w:t>
            </w:r>
            <w:r>
              <w:rPr>
                <w:rFonts w:hint="eastAsia" w:ascii="宋体" w:hAnsi="宋体" w:cs="宋体"/>
                <w:color w:val="auto"/>
                <w:highlight w:val="none"/>
                <w:lang w:val="en-US" w:eastAsia="zh-CN"/>
              </w:rPr>
              <w:t>针对本项目动迁服务部分制定的服务人员配置方案、突发事件的处理措施和应急预案、</w:t>
            </w:r>
            <w:r>
              <w:rPr>
                <w:rFonts w:hint="eastAsia" w:ascii="宋体" w:hAnsi="宋体" w:cs="宋体"/>
                <w:color w:val="auto"/>
                <w:highlight w:val="none"/>
              </w:rPr>
              <w:t>工作计划进度安排</w:t>
            </w:r>
            <w:r>
              <w:rPr>
                <w:rFonts w:hint="eastAsia" w:ascii="宋体" w:hAnsi="宋体" w:cs="宋体"/>
                <w:color w:val="auto"/>
                <w:highlight w:val="none"/>
                <w:lang w:eastAsia="zh-CN"/>
              </w:rPr>
              <w:t>，</w:t>
            </w:r>
            <w:r>
              <w:rPr>
                <w:rFonts w:ascii="Calibri" w:hAnsi="Calibri" w:cs="Times New Roman"/>
              </w:rPr>
              <w:t>不够全面的</w:t>
            </w:r>
            <w:r>
              <w:rPr>
                <w:rFonts w:hint="eastAsia" w:ascii="宋体" w:hAnsi="宋体" w:cs="宋体"/>
                <w:color w:val="auto"/>
                <w:kern w:val="0"/>
                <w:szCs w:val="22"/>
                <w:highlight w:val="none"/>
              </w:rPr>
              <w:t>，针对性不强，</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,0）分</w:t>
            </w:r>
            <w:r>
              <w:rPr>
                <w:rFonts w:hint="eastAsia" w:ascii="宋体" w:hAnsi="宋体" w:cs="宋体"/>
                <w:color w:val="auto"/>
                <w:kern w:val="0"/>
                <w:szCs w:val="22"/>
                <w:highlight w:val="none"/>
              </w:rPr>
              <w:t>；</w:t>
            </w:r>
          </w:p>
          <w:p w14:paraId="08AE31D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不满足前述要求者或不提供内容的，得0分。</w:t>
            </w:r>
          </w:p>
        </w:tc>
      </w:tr>
      <w:tr w14:paraId="3347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2" w:type="dxa"/>
            <w:vMerge w:val="continue"/>
            <w:tcBorders>
              <w:left w:val="single" w:color="auto" w:sz="4" w:space="0"/>
              <w:right w:val="single" w:color="auto" w:sz="4" w:space="0"/>
            </w:tcBorders>
            <w:noWrap w:val="0"/>
            <w:vAlign w:val="center"/>
          </w:tcPr>
          <w:p w14:paraId="0C76C82E">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p>
        </w:tc>
        <w:tc>
          <w:tcPr>
            <w:tcW w:w="1271" w:type="dxa"/>
            <w:vMerge w:val="continue"/>
            <w:tcBorders>
              <w:left w:val="single" w:color="auto" w:sz="4" w:space="0"/>
              <w:right w:val="single" w:color="auto" w:sz="4" w:space="0"/>
            </w:tcBorders>
            <w:noWrap w:val="0"/>
            <w:vAlign w:val="center"/>
          </w:tcPr>
          <w:p w14:paraId="44F58C6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p>
        </w:tc>
        <w:tc>
          <w:tcPr>
            <w:tcW w:w="11973" w:type="dxa"/>
            <w:tcBorders>
              <w:top w:val="single" w:color="auto" w:sz="4" w:space="0"/>
              <w:left w:val="single" w:color="auto" w:sz="4" w:space="0"/>
              <w:bottom w:val="single" w:color="auto" w:sz="4" w:space="0"/>
              <w:right w:val="single" w:color="auto" w:sz="4" w:space="0"/>
            </w:tcBorders>
            <w:noWrap w:val="0"/>
            <w:vAlign w:val="center"/>
          </w:tcPr>
          <w:p w14:paraId="3F2AAA28">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eastAsia="宋体" w:cs="宋体"/>
                <w:b/>
                <w:bCs/>
                <w:szCs w:val="21"/>
                <w:highlight w:val="none"/>
              </w:rPr>
            </w:pP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定标委员会对合格的中标候选人的农民工工资保障措施进行评审：</w:t>
            </w:r>
          </w:p>
          <w:p w14:paraId="0E26B75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rPr>
              <w:t>针对本项目制定应急周转资金制度、工程款支付担保制度，从农民工工资保障等方面提出详细的保证措施，措施完善、可行</w:t>
            </w:r>
            <w:r>
              <w:rPr>
                <w:rFonts w:hint="eastAsia" w:ascii="宋体" w:hAnsi="宋体" w:eastAsia="宋体" w:cs="宋体"/>
                <w:szCs w:val="21"/>
                <w:highlight w:val="none"/>
                <w:lang w:val="en-US" w:eastAsia="zh-CN"/>
              </w:rPr>
              <w:t>性</w:t>
            </w:r>
            <w:r>
              <w:rPr>
                <w:rFonts w:hint="eastAsia" w:ascii="宋体" w:hAnsi="宋体" w:eastAsia="宋体" w:cs="宋体"/>
                <w:szCs w:val="21"/>
                <w:highlight w:val="none"/>
              </w:rPr>
              <w:t>强的，得（</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]分；</w:t>
            </w:r>
          </w:p>
          <w:p w14:paraId="01D9BCC8">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针对本项目制定应急周转资金制度、工程款支付担保制度，从农民工工资保障等方面提出详细的保证措施，措施较好的，得（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p>
          <w:p w14:paraId="29A90DE3">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针对本项目制定应急周转资金制度、工程款支付担保制度，从农民工工资保障等方面提出详细的保证措施，措施一般的，得（</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ascii="宋体" w:hAnsi="宋体" w:eastAsia="宋体" w:cs="宋体"/>
                <w:szCs w:val="21"/>
                <w:highlight w:val="none"/>
              </w:rPr>
              <w:t>分；</w:t>
            </w:r>
          </w:p>
          <w:p w14:paraId="73C4C2C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4</w:t>
            </w:r>
            <w:r>
              <w:rPr>
                <w:rFonts w:hint="eastAsia" w:ascii="宋体" w:hAnsi="宋体" w:eastAsia="宋体" w:cs="宋体"/>
                <w:szCs w:val="21"/>
                <w:highlight w:val="none"/>
              </w:rPr>
              <w:t>）不满足前述要求者或不提供的内容的，得</w:t>
            </w:r>
            <w:r>
              <w:rPr>
                <w:rFonts w:hint="eastAsia" w:ascii="宋体" w:hAnsi="宋体" w:eastAsia="宋体" w:cs="宋体"/>
                <w:szCs w:val="21"/>
                <w:highlight w:val="none"/>
                <w:lang w:val="en-US" w:eastAsia="zh-CN"/>
              </w:rPr>
              <w:t>0</w:t>
            </w:r>
            <w:r>
              <w:rPr>
                <w:rFonts w:ascii="宋体" w:hAnsi="宋体" w:eastAsia="宋体" w:cs="宋体"/>
                <w:szCs w:val="21"/>
                <w:highlight w:val="none"/>
              </w:rPr>
              <w:t>分。</w:t>
            </w:r>
          </w:p>
        </w:tc>
      </w:tr>
      <w:tr w14:paraId="1CAE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AB1050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731A522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价格因素</w:t>
            </w:r>
          </w:p>
          <w:p w14:paraId="36C3764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（20分）</w:t>
            </w:r>
          </w:p>
        </w:tc>
        <w:tc>
          <w:tcPr>
            <w:tcW w:w="11973" w:type="dxa"/>
            <w:tcBorders>
              <w:top w:val="single" w:color="auto" w:sz="4" w:space="0"/>
              <w:left w:val="single" w:color="auto" w:sz="4" w:space="0"/>
              <w:bottom w:val="single" w:color="auto" w:sz="4" w:space="0"/>
              <w:right w:val="single" w:color="auto" w:sz="4" w:space="0"/>
            </w:tcBorders>
            <w:noWrap w:val="0"/>
            <w:vAlign w:val="center"/>
          </w:tcPr>
          <w:p w14:paraId="13C5A1B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b/>
                <w:bCs/>
                <w:color w:val="auto"/>
                <w:kern w:val="0"/>
                <w:szCs w:val="21"/>
                <w:highlight w:val="none"/>
                <w:lang w:bidi="ar"/>
              </w:rPr>
            </w:pPr>
            <w:r>
              <w:rPr>
                <w:rFonts w:hint="eastAsia" w:ascii="宋体" w:hAnsi="宋体" w:eastAsia="宋体"/>
                <w:b/>
                <w:bCs/>
                <w:color w:val="auto"/>
                <w:kern w:val="0"/>
                <w:szCs w:val="21"/>
                <w:highlight w:val="none"/>
                <w:lang w:bidi="ar"/>
              </w:rPr>
              <w:t>定标委员会对合格的中标候选人投标报价进行评审：</w:t>
            </w:r>
          </w:p>
          <w:p w14:paraId="41487A3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olor w:val="auto"/>
                <w:kern w:val="0"/>
                <w:szCs w:val="21"/>
                <w:highlight w:val="none"/>
                <w:lang w:bidi="ar"/>
              </w:rPr>
            </w:pPr>
            <w:r>
              <w:rPr>
                <w:rFonts w:hint="eastAsia" w:ascii="宋体" w:hAnsi="宋体" w:eastAsia="宋体"/>
                <w:color w:val="auto"/>
                <w:kern w:val="0"/>
                <w:szCs w:val="21"/>
                <w:highlight w:val="none"/>
                <w:lang w:bidi="ar"/>
              </w:rPr>
              <w:t>投标报价得分＝（评标基准价/投标报价）×价格分值。</w:t>
            </w:r>
          </w:p>
          <w:p w14:paraId="60AC5D7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olor w:val="auto"/>
                <w:kern w:val="0"/>
                <w:szCs w:val="21"/>
                <w:highlight w:val="none"/>
                <w:lang w:bidi="ar"/>
              </w:rPr>
              <w:t>注：合格的中标候选人的最低投标报价为评标基准价；如合格的中标候选人的最低投标报价存在低于成本警戒价的，应以成本警戒价为评标基准价，且低于成本警戒价的合格的中标候选人不需要参与价格因素评审，按满分计；</w:t>
            </w:r>
          </w:p>
        </w:tc>
      </w:tr>
    </w:tbl>
    <w:p w14:paraId="1F94E22C">
      <w:pPr>
        <w:numPr>
          <w:ilvl w:val="0"/>
          <w:numId w:val="0"/>
        </w:numPr>
        <w:ind w:left="420" w:leftChars="0" w:firstLine="420" w:firstLineChars="0"/>
        <w:rPr>
          <w:rFonts w:hint="eastAsia" w:ascii="宋体" w:hAnsi="宋体" w:eastAsia="宋体" w:cs="Times New Roman"/>
          <w:color w:val="auto"/>
          <w:szCs w:val="21"/>
          <w:highlight w:val="none"/>
        </w:rPr>
        <w:sectPr>
          <w:headerReference r:id="rId19" w:type="default"/>
          <w:footerReference r:id="rId20" w:type="default"/>
          <w:pgSz w:w="16838" w:h="11905" w:orient="landscape"/>
          <w:pgMar w:top="1417" w:right="1134" w:bottom="1417" w:left="1134" w:header="567" w:footer="850" w:gutter="0"/>
          <w:pgNumType w:fmt="decimal"/>
          <w:cols w:space="0" w:num="1"/>
          <w:rtlGutter w:val="0"/>
          <w:docGrid w:linePitch="312" w:charSpace="0"/>
        </w:sectPr>
      </w:pPr>
    </w:p>
    <w:p w14:paraId="5EC9BB45">
      <w:pPr>
        <w:pStyle w:val="15"/>
        <w:rPr>
          <w:rFonts w:hint="eastAsia"/>
        </w:rPr>
      </w:pPr>
    </w:p>
    <w:p w14:paraId="3E3D9448">
      <w:pPr>
        <w:pStyle w:val="3"/>
        <w:jc w:val="center"/>
        <w:rPr>
          <w:rFonts w:ascii="宋体" w:hAnsi="宋体"/>
          <w:highlight w:val="none"/>
        </w:rPr>
      </w:pPr>
      <w:bookmarkStart w:id="506" w:name="_Toc14445"/>
      <w:r>
        <w:rPr>
          <w:rFonts w:hint="eastAsia" w:ascii="宋体" w:hAnsi="宋体"/>
          <w:highlight w:val="none"/>
        </w:rPr>
        <w:t>第四章 合同条款及格式</w:t>
      </w:r>
      <w:bookmarkEnd w:id="317"/>
      <w:bookmarkEnd w:id="318"/>
      <w:bookmarkEnd w:id="319"/>
      <w:bookmarkEnd w:id="320"/>
      <w:bookmarkEnd w:id="321"/>
      <w:bookmarkEnd w:id="322"/>
      <w:bookmarkEnd w:id="323"/>
      <w:bookmarkEnd w:id="324"/>
      <w:r>
        <w:rPr>
          <w:rFonts w:hint="eastAsia" w:ascii="宋体" w:hAnsi="宋体"/>
          <w:highlight w:val="none"/>
        </w:rPr>
        <w:t>（另册）</w:t>
      </w:r>
      <w:bookmarkEnd w:id="505"/>
      <w:bookmarkEnd w:id="506"/>
    </w:p>
    <w:p w14:paraId="3845577D">
      <w:pPr>
        <w:pStyle w:val="2"/>
        <w:rPr>
          <w:rFonts w:ascii="宋体" w:hAnsi="宋体"/>
          <w:highlight w:val="none"/>
        </w:rPr>
      </w:pPr>
      <w:bookmarkStart w:id="507" w:name="_Toc8354"/>
      <w:bookmarkStart w:id="508" w:name="_Toc485211108"/>
      <w:bookmarkStart w:id="509" w:name="_Toc20279"/>
      <w:bookmarkStart w:id="510" w:name="_Toc31278"/>
      <w:bookmarkStart w:id="511" w:name="_Toc16503"/>
      <w:bookmarkStart w:id="512" w:name="_Toc13085"/>
      <w:bookmarkStart w:id="513" w:name="_Toc23508"/>
    </w:p>
    <w:p w14:paraId="41BDE7A7">
      <w:pPr>
        <w:pStyle w:val="3"/>
        <w:tabs>
          <w:tab w:val="center" w:pos="4814"/>
          <w:tab w:val="left" w:pos="7279"/>
        </w:tabs>
        <w:jc w:val="center"/>
        <w:rPr>
          <w:rFonts w:ascii="宋体" w:hAnsi="宋体"/>
          <w:highlight w:val="none"/>
        </w:rPr>
      </w:pPr>
      <w:bookmarkStart w:id="514" w:name="_Toc165358850"/>
      <w:r>
        <w:rPr>
          <w:rFonts w:hint="eastAsia" w:ascii="宋体" w:hAnsi="宋体"/>
          <w:highlight w:val="none"/>
        </w:rPr>
        <w:br w:type="page"/>
      </w:r>
      <w:bookmarkStart w:id="515" w:name="_Toc30737"/>
      <w:r>
        <w:rPr>
          <w:rFonts w:hint="eastAsia" w:ascii="宋体" w:hAnsi="宋体"/>
          <w:highlight w:val="none"/>
        </w:rPr>
        <w:t>第五章 发包人要求</w:t>
      </w:r>
      <w:bookmarkEnd w:id="507"/>
      <w:bookmarkEnd w:id="508"/>
      <w:bookmarkEnd w:id="509"/>
      <w:bookmarkEnd w:id="510"/>
      <w:bookmarkEnd w:id="511"/>
      <w:bookmarkEnd w:id="512"/>
      <w:bookmarkEnd w:id="513"/>
      <w:bookmarkEnd w:id="514"/>
      <w:bookmarkEnd w:id="515"/>
    </w:p>
    <w:p w14:paraId="6B560761">
      <w:pPr>
        <w:numPr>
          <w:ilvl w:val="-1"/>
          <w:numId w:val="0"/>
        </w:numPr>
        <w:jc w:val="center"/>
        <w:rPr>
          <w:rFonts w:hint="default" w:ascii="宋体" w:hAnsi="宋体"/>
          <w:b w:val="0"/>
          <w:bCs w:val="0"/>
          <w:sz w:val="44"/>
          <w:szCs w:val="44"/>
          <w:highlight w:val="none"/>
          <w:lang w:val="en-US" w:eastAsia="zh-CN"/>
        </w:rPr>
      </w:pPr>
      <w:bookmarkStart w:id="516" w:name="_Toc32638"/>
      <w:bookmarkStart w:id="517" w:name="_Toc4263"/>
      <w:bookmarkStart w:id="518" w:name="_Toc300835206"/>
      <w:bookmarkStart w:id="519" w:name="_Toc20047"/>
      <w:bookmarkStart w:id="520" w:name="_Toc3793"/>
      <w:bookmarkStart w:id="521" w:name="_Toc32652"/>
      <w:bookmarkStart w:id="522" w:name="_Toc22440"/>
      <w:bookmarkStart w:id="523" w:name="_Toc485211110"/>
      <w:bookmarkStart w:id="524" w:name="_Toc165358851"/>
      <w:r>
        <w:rPr>
          <w:rFonts w:hint="eastAsia" w:ascii="宋体" w:hAnsi="宋体"/>
          <w:b w:val="0"/>
          <w:bCs w:val="0"/>
          <w:sz w:val="44"/>
          <w:szCs w:val="44"/>
          <w:highlight w:val="none"/>
          <w:lang w:val="en-US" w:eastAsia="zh-CN"/>
        </w:rPr>
        <w:t>（一）工程建设标准</w:t>
      </w:r>
    </w:p>
    <w:p w14:paraId="265C7BDF">
      <w:pPr>
        <w:spacing w:line="360" w:lineRule="auto"/>
        <w:ind w:firstLine="560" w:firstLineChars="200"/>
        <w:jc w:val="left"/>
        <w:rPr>
          <w:rFonts w:hint="eastAsia" w:ascii="宋体" w:hAnsi="宋体" w:eastAsia="宋体" w:cs="宋体"/>
          <w:sz w:val="28"/>
          <w:szCs w:val="36"/>
          <w:highlight w:val="none"/>
          <w:u w:val="single"/>
          <w:lang w:val="en-US" w:eastAsia="zh-CN"/>
        </w:rPr>
      </w:pPr>
    </w:p>
    <w:p w14:paraId="6D6404F4">
      <w:pPr>
        <w:spacing w:line="360" w:lineRule="auto"/>
        <w:ind w:firstLine="560" w:firstLineChars="200"/>
        <w:jc w:val="left"/>
        <w:rPr>
          <w:rFonts w:hint="eastAsia" w:ascii="宋体" w:hAnsi="宋体" w:eastAsia="宋体" w:cs="宋体"/>
          <w:sz w:val="28"/>
          <w:szCs w:val="36"/>
          <w:highlight w:val="none"/>
          <w:u w:val="single"/>
          <w:lang w:val="en-US" w:eastAsia="zh-CN"/>
        </w:rPr>
      </w:pPr>
      <w:r>
        <w:rPr>
          <w:rFonts w:hint="eastAsia" w:ascii="宋体" w:hAnsi="宋体" w:eastAsia="宋体" w:cs="宋体"/>
          <w:sz w:val="28"/>
          <w:szCs w:val="36"/>
          <w:highlight w:val="none"/>
          <w:u w:val="single"/>
          <w:lang w:val="en-US" w:eastAsia="zh-CN"/>
        </w:rPr>
        <w:t>以现行的中华人民共和国及有关部委颁布的标准、规范、和规程。若施工时期建设主管部门颁布新的规范、标准，则按照新的规范、标准执行。</w:t>
      </w:r>
    </w:p>
    <w:p w14:paraId="5D529FB4">
      <w:pPr>
        <w:spacing w:line="360" w:lineRule="auto"/>
        <w:ind w:firstLine="560" w:firstLineChars="200"/>
        <w:jc w:val="left"/>
        <w:rPr>
          <w:rFonts w:hint="eastAsia" w:ascii="宋体" w:hAnsi="宋体" w:eastAsia="宋体" w:cs="宋体"/>
          <w:sz w:val="28"/>
          <w:szCs w:val="36"/>
          <w:highlight w:val="none"/>
          <w:u w:val="single"/>
          <w:lang w:val="en-US" w:eastAsia="zh-CN"/>
        </w:rPr>
      </w:pPr>
    </w:p>
    <w:p w14:paraId="1DFED3D2">
      <w:pPr>
        <w:numPr>
          <w:ilvl w:val="-1"/>
          <w:numId w:val="0"/>
        </w:numPr>
        <w:jc w:val="center"/>
        <w:rPr>
          <w:rFonts w:hint="default" w:ascii="宋体" w:hAnsi="宋体"/>
          <w:b w:val="0"/>
          <w:bCs w:val="0"/>
          <w:sz w:val="32"/>
          <w:szCs w:val="32"/>
          <w:highlight w:val="none"/>
          <w:u w:val="single"/>
          <w:lang w:val="en-US" w:eastAsia="zh-CN"/>
        </w:rPr>
      </w:pPr>
    </w:p>
    <w:p w14:paraId="22EE0287">
      <w:pPr>
        <w:autoSpaceDE w:val="0"/>
        <w:autoSpaceDN w:val="0"/>
        <w:adjustRightInd w:val="0"/>
        <w:spacing w:line="360" w:lineRule="auto"/>
        <w:jc w:val="center"/>
        <w:rPr>
          <w:rFonts w:ascii="宋体" w:hAnsi="宋体" w:cs="Arial"/>
          <w:sz w:val="44"/>
          <w:szCs w:val="44"/>
          <w:highlight w:val="none"/>
        </w:rPr>
      </w:pPr>
      <w:r>
        <w:rPr>
          <w:rFonts w:hint="eastAsia" w:ascii="宋体" w:hAnsi="宋体"/>
          <w:b w:val="0"/>
          <w:bCs w:val="0"/>
          <w:highlight w:val="none"/>
        </w:rPr>
        <w:br w:type="page"/>
      </w:r>
      <w:r>
        <w:rPr>
          <w:rFonts w:hint="eastAsia" w:ascii="宋体" w:hAnsi="宋体"/>
          <w:b w:val="0"/>
          <w:bCs w:val="0"/>
          <w:sz w:val="44"/>
          <w:szCs w:val="44"/>
          <w:highlight w:val="none"/>
          <w:lang w:eastAsia="zh-CN"/>
        </w:rPr>
        <w:t>（</w:t>
      </w:r>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lang w:eastAsia="zh-CN"/>
        </w:rPr>
        <w:t>）</w:t>
      </w:r>
      <w:r>
        <w:rPr>
          <w:rFonts w:hint="eastAsia" w:ascii="宋体" w:hAnsi="宋体" w:cs="Arial"/>
          <w:sz w:val="44"/>
          <w:szCs w:val="44"/>
          <w:highlight w:val="none"/>
        </w:rPr>
        <w:t>施工现场建筑垃圾源头减量的具体要求</w:t>
      </w:r>
    </w:p>
    <w:p w14:paraId="6387CDF5">
      <w:pPr>
        <w:rPr>
          <w:rFonts w:ascii="宋体" w:hAnsi="宋体" w:cs="Arial"/>
          <w:b/>
          <w:bCs/>
          <w:kern w:val="0"/>
          <w:szCs w:val="21"/>
          <w:highlight w:val="none"/>
        </w:rPr>
      </w:pPr>
    </w:p>
    <w:p w14:paraId="30EF90C6">
      <w:pPr>
        <w:rPr>
          <w:rFonts w:ascii="宋体" w:hAnsi="宋体" w:cs="宋体"/>
          <w:highlight w:val="none"/>
          <w:u w:val="single"/>
        </w:rPr>
      </w:pPr>
    </w:p>
    <w:p w14:paraId="4D186AF0">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1、具体按施工图纸、中华人民共和国现行技术和验收规范、图纸中规定的其它技术和验收标准、遵照招标人相关规定要求为准。</w:t>
      </w:r>
    </w:p>
    <w:p w14:paraId="588A9FF1">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2、依据设计文件的要求，本招标工程项目的材料、设备、施工须达到中华人民共和国以及省、市或行业的工程建设标准、规范的要求。</w:t>
      </w:r>
    </w:p>
    <w:p w14:paraId="2BC9145A">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3、施工现场建筑垃圾源头减量的具体要求和建筑垃圾综合利用产品的使用要求：</w:t>
      </w:r>
    </w:p>
    <w:p w14:paraId="19D22096">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（1）施工单位应当建立建筑垃圾管理台账，分类收集、贮存和及时清运施工过程中产生的建筑垃圾，采取有效措施防止混合已分类的建筑垃圾；</w:t>
      </w:r>
    </w:p>
    <w:p w14:paraId="50CB6A23">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（2）施工单位应优化施工组织设计，实现精准下料、精细管理，降低建筑材料损耗率；</w:t>
      </w:r>
    </w:p>
    <w:p w14:paraId="5EE8F9CF">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（3）施工单位应严格按要求控制进场材料和设备的质量，减少因质量问题导致的返工或修补。加强对已完工工程的成品保护，避免二次损坏；</w:t>
      </w:r>
    </w:p>
    <w:p w14:paraId="425907FD">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（4）施工单位应实时统计并监控建筑垃圾产生量，及时采取针对性措施降低建筑垃圾排放量；</w:t>
      </w:r>
    </w:p>
    <w:p w14:paraId="276702C4">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（5）鼓励中标人选择技术指标符合设计要求及满足使用功能的建筑垃圾综合利用产品；</w:t>
      </w:r>
    </w:p>
    <w:p w14:paraId="2E1F4219">
      <w:pPr>
        <w:numPr>
          <w:ilvl w:val="-1"/>
          <w:numId w:val="0"/>
        </w:num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（6）其他要求详见《广东省建筑垃圾管理条例》相关规定及合同有关约定等。</w:t>
      </w:r>
    </w:p>
    <w:p w14:paraId="437758AE">
      <w:pPr>
        <w:numPr>
          <w:ilvl w:val="-1"/>
          <w:numId w:val="0"/>
        </w:numPr>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br w:type="page"/>
      </w:r>
    </w:p>
    <w:p w14:paraId="570C347F">
      <w:pPr>
        <w:pStyle w:val="15"/>
        <w:rPr>
          <w:rFonts w:hint="default"/>
          <w:highlight w:val="none"/>
          <w:lang w:val="en-US" w:eastAsia="zh-CN"/>
        </w:rPr>
      </w:pPr>
    </w:p>
    <w:p w14:paraId="443EB491">
      <w:pPr>
        <w:jc w:val="center"/>
        <w:rPr>
          <w:rFonts w:hint="eastAsia" w:ascii="宋体" w:hAnsi="宋体"/>
          <w:b w:val="0"/>
          <w:bCs w:val="0"/>
          <w:highlight w:val="none"/>
        </w:rPr>
      </w:pPr>
      <w:r>
        <w:rPr>
          <w:rFonts w:hint="eastAsia" w:ascii="宋体" w:hAnsi="宋体"/>
          <w:b w:val="0"/>
          <w:bCs w:val="0"/>
          <w:sz w:val="44"/>
          <w:szCs w:val="44"/>
          <w:highlight w:val="none"/>
          <w:lang w:eastAsia="zh-CN"/>
        </w:rPr>
        <w:t>（</w:t>
      </w:r>
      <w:r>
        <w:rPr>
          <w:rFonts w:hint="eastAsia" w:ascii="宋体" w:hAnsi="宋体"/>
          <w:b w:val="0"/>
          <w:bCs w:val="0"/>
          <w:sz w:val="44"/>
          <w:szCs w:val="44"/>
          <w:highlight w:val="none"/>
          <w:lang w:val="en-US" w:eastAsia="zh-CN"/>
        </w:rPr>
        <w:t>三</w:t>
      </w:r>
      <w:r>
        <w:rPr>
          <w:rFonts w:hint="eastAsia" w:ascii="宋体" w:hAnsi="宋体"/>
          <w:b w:val="0"/>
          <w:bCs w:val="0"/>
          <w:sz w:val="44"/>
          <w:szCs w:val="44"/>
          <w:highlight w:val="none"/>
          <w:lang w:eastAsia="zh-CN"/>
        </w:rPr>
        <w:t>）</w:t>
      </w:r>
      <w:r>
        <w:rPr>
          <w:rFonts w:hint="eastAsia" w:ascii="宋体" w:hAnsi="宋体" w:cs="Arial"/>
          <w:sz w:val="44"/>
          <w:szCs w:val="44"/>
          <w:highlight w:val="none"/>
          <w:lang w:val="en-US" w:eastAsia="zh-CN"/>
        </w:rPr>
        <w:t>拆迁服务工作</w:t>
      </w:r>
      <w:r>
        <w:rPr>
          <w:rFonts w:hint="eastAsia" w:ascii="宋体" w:hAnsi="宋体" w:cs="Arial"/>
          <w:sz w:val="44"/>
          <w:szCs w:val="44"/>
          <w:highlight w:val="none"/>
        </w:rPr>
        <w:t>要求</w:t>
      </w:r>
    </w:p>
    <w:p w14:paraId="1E57FA7B">
      <w:pPr>
        <w:spacing w:line="360" w:lineRule="auto"/>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一</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服务范围：</w:t>
      </w:r>
    </w:p>
    <w:p w14:paraId="51E004E7">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CN"/>
        </w:rPr>
        <w:t>1</w:t>
      </w:r>
      <w:r>
        <w:rPr>
          <w:rFonts w:hint="eastAsia" w:ascii="宋体" w:hAnsi="宋体" w:eastAsia="宋体" w:cs="宋体"/>
          <w:sz w:val="28"/>
          <w:szCs w:val="36"/>
          <w:highlight w:val="none"/>
          <w:u w:val="single"/>
          <w:lang w:val="en-US" w:eastAsia="zh-Hans"/>
        </w:rPr>
        <w:t>.本</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服务红线范围、占地面积，建筑面积、栋数、户数等数据以</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提供及确认的资料为准。</w:t>
      </w:r>
    </w:p>
    <w:p w14:paraId="7941685E">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CN"/>
        </w:rPr>
        <w:t>2</w:t>
      </w:r>
      <w:r>
        <w:rPr>
          <w:rFonts w:hint="eastAsia" w:ascii="宋体" w:hAnsi="宋体" w:eastAsia="宋体" w:cs="宋体"/>
          <w:sz w:val="28"/>
          <w:szCs w:val="36"/>
          <w:highlight w:val="none"/>
          <w:u w:val="single"/>
          <w:lang w:val="en-US" w:eastAsia="zh-Hans"/>
        </w:rPr>
        <w:t>.本</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服务范围包含住宅类房屋和非住宅类房屋，其中住宅类房屋包含村民宅基地、国有土地上的其他私人住宅类房屋等；非住宅类房屋包括土地性质为集体或国有土地的</w:t>
      </w:r>
      <w:r>
        <w:rPr>
          <w:rFonts w:hint="eastAsia" w:ascii="宋体" w:hAnsi="宋体" w:eastAsia="宋体" w:cs="宋体"/>
          <w:sz w:val="28"/>
          <w:szCs w:val="36"/>
          <w:highlight w:val="none"/>
          <w:u w:val="single"/>
          <w:lang w:val="en-US" w:eastAsia="zh-CN"/>
        </w:rPr>
        <w:t>南岗</w:t>
      </w:r>
      <w:r>
        <w:rPr>
          <w:rFonts w:hint="default" w:ascii="宋体" w:hAnsi="宋体" w:eastAsia="宋体" w:cs="宋体"/>
          <w:sz w:val="28"/>
          <w:szCs w:val="36"/>
          <w:highlight w:val="none"/>
          <w:u w:val="single"/>
          <w:lang w:val="en-US" w:eastAsia="zh-CN"/>
        </w:rPr>
        <w:t>街道南岗村（</w:t>
      </w:r>
      <w:r>
        <w:rPr>
          <w:rFonts w:hint="eastAsia" w:ascii="宋体" w:hAnsi="宋体" w:eastAsia="宋体" w:cs="宋体"/>
          <w:sz w:val="28"/>
          <w:szCs w:val="36"/>
          <w:highlight w:val="none"/>
          <w:u w:val="single"/>
          <w:lang w:val="en-US" w:eastAsia="zh-CN"/>
        </w:rPr>
        <w:t>南片</w:t>
      </w:r>
      <w:r>
        <w:rPr>
          <w:rFonts w:hint="default" w:ascii="宋体" w:hAnsi="宋体" w:eastAsia="宋体" w:cs="宋体"/>
          <w:sz w:val="28"/>
          <w:szCs w:val="36"/>
          <w:highlight w:val="none"/>
          <w:u w:val="single"/>
          <w:lang w:val="en-US" w:eastAsia="zh-CN"/>
        </w:rPr>
        <w:t>）</w:t>
      </w:r>
      <w:r>
        <w:rPr>
          <w:rFonts w:hint="eastAsia" w:ascii="宋体" w:hAnsi="宋体" w:eastAsia="宋体" w:cs="宋体"/>
          <w:sz w:val="28"/>
          <w:szCs w:val="36"/>
          <w:highlight w:val="none"/>
          <w:u w:val="single"/>
          <w:lang w:val="en-US" w:eastAsia="zh-Hans"/>
        </w:rPr>
        <w:t>经济物业、国有非住宅物业等。</w:t>
      </w:r>
    </w:p>
    <w:p w14:paraId="79EB3DC2">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CN"/>
        </w:rPr>
        <w:t>3</w:t>
      </w:r>
      <w:r>
        <w:rPr>
          <w:rFonts w:hint="eastAsia" w:ascii="宋体" w:hAnsi="宋体" w:eastAsia="宋体" w:cs="宋体"/>
          <w:sz w:val="28"/>
          <w:szCs w:val="36"/>
          <w:highlight w:val="none"/>
          <w:u w:val="single"/>
          <w:lang w:val="en-US" w:eastAsia="zh-Hans"/>
        </w:rPr>
        <w:t>.本合同履行过程中，</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有权调整</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服务范围等并通知</w:t>
      </w:r>
      <w:r>
        <w:rPr>
          <w:rFonts w:hint="eastAsia" w:ascii="宋体" w:hAnsi="宋体" w:eastAsia="宋体" w:cs="宋体"/>
          <w:sz w:val="28"/>
          <w:szCs w:val="36"/>
          <w:highlight w:val="none"/>
          <w:u w:val="single"/>
          <w:lang w:val="en-US" w:eastAsia="zh-CN"/>
        </w:rPr>
        <w:t>中标人</w:t>
      </w:r>
      <w:r>
        <w:rPr>
          <w:rFonts w:hint="eastAsia" w:ascii="宋体" w:hAnsi="宋体" w:eastAsia="宋体" w:cs="宋体"/>
          <w:sz w:val="28"/>
          <w:szCs w:val="36"/>
          <w:highlight w:val="none"/>
          <w:u w:val="single"/>
          <w:lang w:val="en-US" w:eastAsia="zh-Hans"/>
        </w:rPr>
        <w:t>按调整后的内容执行；如在本合同履行过程中，</w:t>
      </w:r>
      <w:r>
        <w:rPr>
          <w:rFonts w:hint="eastAsia" w:ascii="宋体" w:hAnsi="宋体" w:eastAsia="宋体" w:cs="宋体"/>
          <w:sz w:val="28"/>
          <w:szCs w:val="36"/>
          <w:highlight w:val="none"/>
          <w:u w:val="single"/>
          <w:lang w:val="en-US" w:eastAsia="zh-CN"/>
        </w:rPr>
        <w:t>中标人</w:t>
      </w:r>
      <w:r>
        <w:rPr>
          <w:rFonts w:hint="eastAsia" w:ascii="宋体" w:hAnsi="宋体" w:eastAsia="宋体" w:cs="宋体"/>
          <w:sz w:val="28"/>
          <w:szCs w:val="36"/>
          <w:highlight w:val="none"/>
          <w:u w:val="single"/>
          <w:lang w:val="en-US" w:eastAsia="zh-Hans"/>
        </w:rPr>
        <w:t>发现实际</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服务位置、范围、栋数、户数、面积数据等与</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提供的资料不一致的，应及时向</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提出，经</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审核确认并同意后方可调整。</w:t>
      </w:r>
    </w:p>
    <w:p w14:paraId="464BAC6B">
      <w:pPr>
        <w:spacing w:line="360" w:lineRule="auto"/>
        <w:ind w:firstLine="560" w:firstLineChars="200"/>
        <w:jc w:val="left"/>
        <w:rPr>
          <w:rFonts w:hint="eastAsia" w:ascii="宋体" w:hAnsi="宋体" w:eastAsia="宋体" w:cs="宋体"/>
          <w:sz w:val="28"/>
          <w:szCs w:val="36"/>
          <w:highlight w:val="none"/>
          <w:u w:val="single"/>
          <w:lang w:val="en-US" w:eastAsia="zh-CN"/>
        </w:rPr>
      </w:pPr>
      <w:r>
        <w:rPr>
          <w:rFonts w:hint="eastAsia" w:ascii="宋体" w:hAnsi="宋体" w:eastAsia="宋体" w:cs="宋体"/>
          <w:sz w:val="28"/>
          <w:szCs w:val="36"/>
          <w:highlight w:val="none"/>
          <w:u w:val="single"/>
          <w:lang w:val="en-US" w:eastAsia="zh-CN"/>
        </w:rPr>
        <w:t>4</w:t>
      </w:r>
      <w:r>
        <w:rPr>
          <w:rFonts w:hint="eastAsia" w:ascii="宋体" w:hAnsi="宋体" w:eastAsia="宋体" w:cs="宋体"/>
          <w:sz w:val="28"/>
          <w:szCs w:val="36"/>
          <w:highlight w:val="none"/>
          <w:u w:val="single"/>
          <w:lang w:val="en-US" w:eastAsia="zh-Hans"/>
        </w:rPr>
        <w:t>.本合同</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量的计算：私宅以栋视为一宗、集体物业以闲置补偿合同或临迁费合同的约定视为一宗，</w:t>
      </w:r>
      <w:r>
        <w:rPr>
          <w:rFonts w:hint="eastAsia" w:ascii="宋体" w:hAnsi="宋体" w:eastAsia="宋体" w:cs="宋体"/>
          <w:sz w:val="28"/>
          <w:szCs w:val="36"/>
          <w:highlight w:val="none"/>
          <w:u w:val="single"/>
          <w:lang w:val="en-US" w:eastAsia="zh-CN"/>
        </w:rPr>
        <w:t>中标人</w:t>
      </w:r>
      <w:r>
        <w:rPr>
          <w:rFonts w:hint="eastAsia" w:ascii="宋体" w:hAnsi="宋体" w:eastAsia="宋体" w:cs="宋体"/>
          <w:sz w:val="28"/>
          <w:szCs w:val="36"/>
          <w:highlight w:val="none"/>
          <w:u w:val="single"/>
          <w:lang w:val="en-US" w:eastAsia="zh-Hans"/>
        </w:rPr>
        <w:t>需包干至项目范围内所有私宅及集体物业全部交付。</w:t>
      </w:r>
    </w:p>
    <w:p w14:paraId="6BEC344B">
      <w:pPr>
        <w:spacing w:line="360" w:lineRule="auto"/>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CN"/>
        </w:rPr>
        <w:t>二、中标人</w:t>
      </w:r>
      <w:r>
        <w:rPr>
          <w:rFonts w:hint="eastAsia" w:ascii="宋体" w:hAnsi="宋体" w:eastAsia="宋体" w:cs="宋体"/>
          <w:sz w:val="28"/>
          <w:szCs w:val="36"/>
          <w:highlight w:val="none"/>
          <w:u w:val="single"/>
          <w:lang w:val="en-US" w:eastAsia="zh-Hans"/>
        </w:rPr>
        <w:t>的工作内容包括但不限于以下：</w:t>
      </w:r>
    </w:p>
    <w:p w14:paraId="683AC7B4">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1.组织并落实合同约定的</w:t>
      </w:r>
      <w:r>
        <w:rPr>
          <w:rFonts w:hint="eastAsia" w:ascii="宋体" w:hAnsi="宋体" w:eastAsia="宋体" w:cs="宋体"/>
          <w:sz w:val="28"/>
          <w:szCs w:val="36"/>
          <w:highlight w:val="none"/>
          <w:u w:val="single"/>
          <w:lang w:val="en-US" w:eastAsia="zh-CN"/>
        </w:rPr>
        <w:t>全部拆迁</w:t>
      </w:r>
      <w:r>
        <w:rPr>
          <w:rFonts w:hint="eastAsia" w:ascii="宋体" w:hAnsi="宋体" w:eastAsia="宋体" w:cs="宋体"/>
          <w:sz w:val="28"/>
          <w:szCs w:val="36"/>
          <w:highlight w:val="none"/>
          <w:u w:val="single"/>
          <w:lang w:val="en-US" w:eastAsia="zh-Hans"/>
        </w:rPr>
        <w:t>工作；</w:t>
      </w:r>
    </w:p>
    <w:p w14:paraId="5B25945C">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2.</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方案宣讲、现场咨询答疑、入户宣传；</w:t>
      </w:r>
    </w:p>
    <w:p w14:paraId="7B27CEEC">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3.代表</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进行拆迁补偿谈判，负责动员、促成并组织相关被拆迁人签订补偿协议等，相关协议应使用</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提供的版本，补偿标准须按</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提供的拆迁补偿方案执行，超出标准的补偿</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不予承担，由</w:t>
      </w:r>
      <w:r>
        <w:rPr>
          <w:rFonts w:hint="eastAsia" w:ascii="宋体" w:hAnsi="宋体" w:eastAsia="宋体" w:cs="宋体"/>
          <w:sz w:val="28"/>
          <w:szCs w:val="36"/>
          <w:highlight w:val="none"/>
          <w:u w:val="single"/>
          <w:lang w:val="en-US" w:eastAsia="zh-CN"/>
        </w:rPr>
        <w:t>中标人</w:t>
      </w:r>
      <w:r>
        <w:rPr>
          <w:rFonts w:hint="eastAsia" w:ascii="宋体" w:hAnsi="宋体" w:eastAsia="宋体" w:cs="宋体"/>
          <w:sz w:val="28"/>
          <w:szCs w:val="36"/>
          <w:highlight w:val="none"/>
          <w:u w:val="single"/>
          <w:lang w:val="en-US" w:eastAsia="zh-Hans"/>
        </w:rPr>
        <w:t>自行负责解决，</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书面确认同意的除外；</w:t>
      </w:r>
    </w:p>
    <w:p w14:paraId="19C25E66">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4.被拆迁人签订补偿协议等相关文件后，应及时提交</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审核，如</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发现有误的，</w:t>
      </w:r>
      <w:r>
        <w:rPr>
          <w:rFonts w:hint="eastAsia" w:ascii="宋体" w:hAnsi="宋体" w:eastAsia="宋体" w:cs="宋体"/>
          <w:sz w:val="28"/>
          <w:szCs w:val="36"/>
          <w:highlight w:val="none"/>
          <w:u w:val="single"/>
          <w:lang w:val="en-US" w:eastAsia="zh-CN"/>
        </w:rPr>
        <w:t>中标人</w:t>
      </w:r>
      <w:r>
        <w:rPr>
          <w:rFonts w:hint="eastAsia" w:ascii="宋体" w:hAnsi="宋体" w:eastAsia="宋体" w:cs="宋体"/>
          <w:sz w:val="28"/>
          <w:szCs w:val="36"/>
          <w:highlight w:val="none"/>
          <w:u w:val="single"/>
          <w:lang w:val="en-US" w:eastAsia="zh-Hans"/>
        </w:rPr>
        <w:t>应按</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要求重新组织相关被拆迁人签订；</w:t>
      </w:r>
    </w:p>
    <w:p w14:paraId="79A2EF31">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5.</w:t>
      </w:r>
      <w:r>
        <w:rPr>
          <w:rFonts w:hint="eastAsia" w:ascii="宋体" w:hAnsi="宋体" w:eastAsia="宋体" w:cs="宋体"/>
          <w:sz w:val="28"/>
          <w:szCs w:val="36"/>
          <w:highlight w:val="none"/>
          <w:u w:val="single"/>
          <w:lang w:val="en-US" w:eastAsia="zh-CN"/>
        </w:rPr>
        <w:t>负责</w:t>
      </w:r>
      <w:r>
        <w:rPr>
          <w:rFonts w:hint="eastAsia" w:ascii="宋体" w:hAnsi="宋体" w:eastAsia="宋体" w:cs="宋体"/>
          <w:sz w:val="28"/>
          <w:szCs w:val="36"/>
          <w:highlight w:val="none"/>
          <w:u w:val="single"/>
          <w:lang w:val="en-US" w:eastAsia="zh-Hans"/>
        </w:rPr>
        <w:t>动员、组织被拆迁人按照已签订的补偿协议的约定及时腾空、交付被拆迁房屋；如被拆迁人违约的，应及时通过相应措施解决，确保完成</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工作；</w:t>
      </w:r>
    </w:p>
    <w:p w14:paraId="0DE4FD69">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6.</w:t>
      </w:r>
      <w:r>
        <w:rPr>
          <w:rFonts w:hint="eastAsia" w:ascii="宋体" w:hAnsi="宋体" w:eastAsia="宋体" w:cs="宋体"/>
          <w:sz w:val="28"/>
          <w:szCs w:val="36"/>
          <w:highlight w:val="none"/>
          <w:u w:val="single"/>
          <w:lang w:val="en-US" w:eastAsia="zh-CN"/>
        </w:rPr>
        <w:t>负责</w:t>
      </w:r>
      <w:r>
        <w:rPr>
          <w:rFonts w:hint="eastAsia" w:ascii="宋体" w:hAnsi="宋体" w:eastAsia="宋体" w:cs="宋体"/>
          <w:sz w:val="28"/>
          <w:szCs w:val="36"/>
          <w:highlight w:val="none"/>
          <w:u w:val="single"/>
          <w:lang w:val="en-US" w:eastAsia="zh-Hans"/>
        </w:rPr>
        <w:t>收取被拆迁房屋、土地等权属证件原件，并协助</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完成房屋产权证、土地证等注销；</w:t>
      </w:r>
    </w:p>
    <w:p w14:paraId="2C1C87DB">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7.协调解决</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及会签工作中的各类纠纷和矛盾，包括但不限于</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工作中第三方主张权利、上访、维稳、群体性事件等；</w:t>
      </w:r>
    </w:p>
    <w:p w14:paraId="302600AA">
      <w:pPr>
        <w:spacing w:line="360" w:lineRule="auto"/>
        <w:ind w:firstLine="560" w:firstLineChars="200"/>
        <w:jc w:val="left"/>
        <w:rPr>
          <w:rFonts w:hint="eastAsia" w:ascii="宋体" w:hAnsi="宋体" w:eastAsia="宋体" w:cs="宋体"/>
          <w:sz w:val="28"/>
          <w:szCs w:val="36"/>
          <w:highlight w:val="none"/>
          <w:u w:val="single"/>
          <w:lang w:val="en-US" w:eastAsia="zh-Hans"/>
        </w:rPr>
      </w:pPr>
      <w:r>
        <w:rPr>
          <w:rFonts w:hint="eastAsia" w:ascii="宋体" w:hAnsi="宋体" w:eastAsia="宋体" w:cs="宋体"/>
          <w:sz w:val="28"/>
          <w:szCs w:val="36"/>
          <w:highlight w:val="none"/>
          <w:u w:val="single"/>
          <w:lang w:val="en-US" w:eastAsia="zh-Hans"/>
        </w:rPr>
        <w:t>8.配合</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对接被拆迁人及村社收集整理拆迁安置补偿协议及相关补充协议支付流程所需要的文件。</w:t>
      </w:r>
    </w:p>
    <w:p w14:paraId="1D325D5E">
      <w:pPr>
        <w:spacing w:line="360" w:lineRule="auto"/>
        <w:ind w:firstLine="560" w:firstLineChars="200"/>
        <w:jc w:val="left"/>
        <w:rPr>
          <w:rFonts w:hint="eastAsia" w:ascii="宋体" w:hAnsi="宋体" w:eastAsia="宋体" w:cs="宋体"/>
          <w:sz w:val="28"/>
          <w:szCs w:val="36"/>
          <w:highlight w:val="none"/>
          <w:u w:val="single"/>
          <w:lang w:val="en-US" w:eastAsia="zh-CN"/>
        </w:rPr>
      </w:pPr>
      <w:r>
        <w:rPr>
          <w:rFonts w:hint="eastAsia" w:ascii="宋体" w:hAnsi="宋体" w:eastAsia="宋体" w:cs="宋体"/>
          <w:sz w:val="28"/>
          <w:szCs w:val="36"/>
          <w:highlight w:val="none"/>
          <w:u w:val="single"/>
          <w:lang w:val="en-US" w:eastAsia="zh-Hans"/>
        </w:rPr>
        <w:t>9.配合改造主体组织首期回迁安置选房，签订首期选房相关材料，按照</w:t>
      </w:r>
      <w:r>
        <w:rPr>
          <w:rFonts w:hint="eastAsia" w:ascii="宋体" w:hAnsi="宋体" w:eastAsia="宋体" w:cs="宋体"/>
          <w:sz w:val="28"/>
          <w:szCs w:val="36"/>
          <w:highlight w:val="none"/>
          <w:u w:val="single"/>
          <w:lang w:val="en-US" w:eastAsia="zh-CN"/>
        </w:rPr>
        <w:t>招标人</w:t>
      </w:r>
      <w:r>
        <w:rPr>
          <w:rFonts w:hint="eastAsia" w:ascii="宋体" w:hAnsi="宋体" w:eastAsia="宋体" w:cs="宋体"/>
          <w:sz w:val="28"/>
          <w:szCs w:val="36"/>
          <w:highlight w:val="none"/>
          <w:u w:val="single"/>
          <w:lang w:val="en-US" w:eastAsia="zh-Hans"/>
        </w:rPr>
        <w:t>要求完成的其他与</w:t>
      </w:r>
      <w:r>
        <w:rPr>
          <w:rFonts w:hint="eastAsia" w:ascii="宋体" w:hAnsi="宋体" w:eastAsia="宋体" w:cs="宋体"/>
          <w:sz w:val="28"/>
          <w:szCs w:val="36"/>
          <w:highlight w:val="none"/>
          <w:u w:val="single"/>
          <w:lang w:val="en-US" w:eastAsia="zh-CN"/>
        </w:rPr>
        <w:t>拆迁</w:t>
      </w:r>
      <w:r>
        <w:rPr>
          <w:rFonts w:hint="eastAsia" w:ascii="宋体" w:hAnsi="宋体" w:eastAsia="宋体" w:cs="宋体"/>
          <w:sz w:val="28"/>
          <w:szCs w:val="36"/>
          <w:highlight w:val="none"/>
          <w:u w:val="single"/>
          <w:lang w:val="en-US" w:eastAsia="zh-Hans"/>
        </w:rPr>
        <w:t>和首期回迁相关的工作内容</w:t>
      </w:r>
      <w:r>
        <w:rPr>
          <w:rFonts w:hint="eastAsia" w:ascii="宋体" w:hAnsi="宋体" w:eastAsia="宋体" w:cs="宋体"/>
          <w:sz w:val="28"/>
          <w:szCs w:val="36"/>
          <w:highlight w:val="none"/>
          <w:u w:val="single"/>
          <w:lang w:val="en-US" w:eastAsia="zh-CN"/>
        </w:rPr>
        <w:t>。</w:t>
      </w:r>
    </w:p>
    <w:p w14:paraId="1BD82577">
      <w:pPr>
        <w:spacing w:line="360" w:lineRule="auto"/>
        <w:jc w:val="left"/>
        <w:rPr>
          <w:rFonts w:hint="default" w:ascii="宋体" w:hAnsi="宋体" w:eastAsia="宋体" w:cs="宋体"/>
          <w:sz w:val="28"/>
          <w:szCs w:val="36"/>
          <w:highlight w:val="none"/>
          <w:u w:val="single"/>
          <w:lang w:val="en-US" w:eastAsia="zh-CN"/>
        </w:rPr>
      </w:pPr>
      <w:r>
        <w:rPr>
          <w:rFonts w:hint="eastAsia" w:ascii="宋体" w:hAnsi="宋体" w:eastAsia="宋体" w:cs="宋体"/>
          <w:sz w:val="28"/>
          <w:szCs w:val="36"/>
          <w:highlight w:val="none"/>
          <w:u w:val="single"/>
          <w:lang w:val="en-US" w:eastAsia="zh-CN"/>
        </w:rPr>
        <w:t>三、其他适宜详见本项目合同有关约定。</w:t>
      </w:r>
    </w:p>
    <w:p w14:paraId="49BFB575">
      <w:pPr>
        <w:jc w:val="center"/>
        <w:rPr>
          <w:rFonts w:hint="eastAsia" w:ascii="宋体" w:hAnsi="宋体"/>
          <w:b w:val="0"/>
          <w:bCs w:val="0"/>
          <w:highlight w:val="none"/>
        </w:rPr>
      </w:pPr>
    </w:p>
    <w:p w14:paraId="5207ABEF">
      <w:pPr>
        <w:rPr>
          <w:rFonts w:hint="eastAsia" w:ascii="宋体" w:hAnsi="宋体"/>
          <w:highlight w:val="none"/>
        </w:rPr>
      </w:pPr>
      <w:r>
        <w:rPr>
          <w:rFonts w:hint="eastAsia" w:ascii="宋体" w:hAnsi="宋体"/>
          <w:highlight w:val="none"/>
        </w:rPr>
        <w:br w:type="page"/>
      </w:r>
    </w:p>
    <w:p w14:paraId="314D1B9C">
      <w:pPr>
        <w:pStyle w:val="3"/>
        <w:tabs>
          <w:tab w:val="center" w:pos="4814"/>
          <w:tab w:val="left" w:pos="7279"/>
        </w:tabs>
        <w:jc w:val="center"/>
        <w:rPr>
          <w:rFonts w:ascii="宋体" w:hAnsi="宋体"/>
          <w:highlight w:val="none"/>
        </w:rPr>
      </w:pPr>
      <w:bookmarkStart w:id="525" w:name="_Toc30272"/>
      <w:r>
        <w:rPr>
          <w:rFonts w:hint="eastAsia" w:ascii="宋体" w:hAnsi="宋体"/>
          <w:highlight w:val="none"/>
        </w:rPr>
        <w:t>第六章  发包人提供的资料</w:t>
      </w:r>
      <w:bookmarkEnd w:id="516"/>
      <w:bookmarkEnd w:id="517"/>
      <w:bookmarkEnd w:id="518"/>
      <w:bookmarkEnd w:id="519"/>
      <w:bookmarkEnd w:id="520"/>
      <w:bookmarkEnd w:id="521"/>
      <w:bookmarkEnd w:id="522"/>
      <w:bookmarkEnd w:id="523"/>
      <w:bookmarkEnd w:id="524"/>
      <w:bookmarkEnd w:id="525"/>
    </w:p>
    <w:p w14:paraId="18B1B988">
      <w:pPr>
        <w:widowControl/>
        <w:jc w:val="center"/>
        <w:rPr>
          <w:rFonts w:ascii="宋体" w:hAnsi="宋体"/>
          <w:b/>
          <w:bCs/>
          <w:kern w:val="44"/>
          <w:sz w:val="44"/>
          <w:szCs w:val="44"/>
          <w:highlight w:val="none"/>
        </w:rPr>
      </w:pPr>
    </w:p>
    <w:p w14:paraId="288A1120">
      <w:pPr>
        <w:jc w:val="center"/>
        <w:rPr>
          <w:rFonts w:ascii="宋体" w:hAnsi="宋体"/>
          <w:sz w:val="15"/>
          <w:highlight w:val="none"/>
        </w:rPr>
      </w:pPr>
      <w:r>
        <w:rPr>
          <w:rFonts w:hint="eastAsia" w:ascii="宋体" w:hAnsi="宋体" w:cs="宋体"/>
          <w:b/>
          <w:spacing w:val="4"/>
          <w:kern w:val="0"/>
          <w:sz w:val="36"/>
          <w:szCs w:val="36"/>
          <w:highlight w:val="none"/>
          <w:u w:val="single"/>
        </w:rPr>
        <w:t>另册</w:t>
      </w:r>
    </w:p>
    <w:p w14:paraId="7E5664EA">
      <w:pPr>
        <w:spacing w:line="420" w:lineRule="exact"/>
        <w:jc w:val="center"/>
        <w:rPr>
          <w:rFonts w:ascii="宋体" w:hAnsi="宋体" w:cs="宋体"/>
          <w:b/>
          <w:sz w:val="24"/>
          <w:highlight w:val="none"/>
        </w:rPr>
      </w:pPr>
    </w:p>
    <w:p w14:paraId="199B37E1">
      <w:pPr>
        <w:pStyle w:val="3"/>
        <w:tabs>
          <w:tab w:val="center" w:pos="4814"/>
          <w:tab w:val="left" w:pos="7279"/>
        </w:tabs>
        <w:jc w:val="center"/>
        <w:rPr>
          <w:rFonts w:ascii="宋体" w:hAnsi="宋体"/>
          <w:highlight w:val="none"/>
        </w:rPr>
      </w:pPr>
      <w:r>
        <w:rPr>
          <w:rFonts w:hint="eastAsia" w:ascii="宋体" w:hAnsi="宋体"/>
          <w:highlight w:val="none"/>
        </w:rPr>
        <w:br w:type="page"/>
      </w:r>
      <w:bookmarkStart w:id="526" w:name="RANGE_A1_G14"/>
      <w:bookmarkEnd w:id="526"/>
      <w:bookmarkStart w:id="527" w:name="_Toc247514245"/>
      <w:bookmarkStart w:id="528" w:name="_Toc16057"/>
      <w:bookmarkStart w:id="529" w:name="_Toc144974855"/>
      <w:bookmarkStart w:id="530" w:name="_Toc152042575"/>
      <w:bookmarkStart w:id="531" w:name="_Toc1869"/>
      <w:bookmarkStart w:id="532" w:name="_Toc14218"/>
      <w:bookmarkStart w:id="533" w:name="_Toc24744"/>
      <w:bookmarkStart w:id="534" w:name="_Toc165358852"/>
      <w:bookmarkStart w:id="535" w:name="_Toc24782"/>
      <w:bookmarkStart w:id="536" w:name="_Toc152045786"/>
      <w:bookmarkStart w:id="537" w:name="_Toc27623"/>
      <w:bookmarkStart w:id="538" w:name="_Toc247527826"/>
      <w:bookmarkStart w:id="539" w:name="_Toc485211111"/>
      <w:bookmarkStart w:id="540" w:name="_Toc28106"/>
      <w:r>
        <w:rPr>
          <w:rFonts w:hint="eastAsia" w:ascii="宋体" w:hAnsi="宋体"/>
          <w:highlight w:val="none"/>
        </w:rPr>
        <w:t>第七章  投标文件格式</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ECD5B0B">
      <w:pPr>
        <w:pStyle w:val="132"/>
        <w:spacing w:beforeLines="0" w:afterLines="0" w:line="360" w:lineRule="auto"/>
        <w:jc w:val="both"/>
        <w:outlineLvl w:val="0"/>
        <w:rPr>
          <w:rFonts w:ascii="宋体" w:hAnsi="宋体" w:eastAsia="宋体" w:cs="宋体"/>
          <w:b w:val="0"/>
          <w:highlight w:val="none"/>
        </w:rPr>
        <w:sectPr>
          <w:pgSz w:w="11905" w:h="16838"/>
          <w:pgMar w:top="1134" w:right="1417" w:bottom="1134" w:left="1417" w:header="567" w:footer="850" w:gutter="0"/>
          <w:pgNumType w:fmt="decimal"/>
          <w:cols w:space="720" w:num="1"/>
          <w:docGrid w:linePitch="312" w:charSpace="0"/>
        </w:sectPr>
      </w:pPr>
      <w:bookmarkStart w:id="541" w:name="_Toc212523897"/>
      <w:bookmarkEnd w:id="541"/>
      <w:bookmarkStart w:id="542" w:name="_Toc212523900"/>
      <w:bookmarkEnd w:id="542"/>
      <w:bookmarkStart w:id="543" w:name="_Toc212525152"/>
      <w:bookmarkEnd w:id="543"/>
      <w:bookmarkStart w:id="544" w:name="_Toc212523895"/>
      <w:bookmarkEnd w:id="544"/>
      <w:bookmarkStart w:id="545" w:name="_Toc212523922"/>
      <w:bookmarkEnd w:id="545"/>
      <w:bookmarkStart w:id="546" w:name="_Toc212523901"/>
      <w:bookmarkEnd w:id="546"/>
      <w:bookmarkStart w:id="547" w:name="_Toc212523902"/>
      <w:bookmarkEnd w:id="547"/>
      <w:bookmarkStart w:id="548" w:name="_Toc212523921"/>
      <w:bookmarkEnd w:id="548"/>
    </w:p>
    <w:p w14:paraId="67B04B07">
      <w:pPr>
        <w:pStyle w:val="90"/>
        <w:ind w:firstLine="496"/>
        <w:rPr>
          <w:rFonts w:ascii="宋体" w:hAnsi="宋体" w:eastAsia="宋体" w:cs="宋体"/>
          <w:highlight w:val="none"/>
        </w:rPr>
      </w:pPr>
      <w:bookmarkStart w:id="549" w:name="_Toc235615834"/>
      <w:bookmarkStart w:id="550" w:name="_Toc236215897"/>
      <w:bookmarkStart w:id="551" w:name="_Toc235616116"/>
    </w:p>
    <w:p w14:paraId="210A01E8">
      <w:pPr>
        <w:pStyle w:val="90"/>
        <w:ind w:firstLine="496"/>
        <w:rPr>
          <w:rFonts w:ascii="宋体" w:hAnsi="宋体" w:eastAsia="宋体" w:cs="宋体"/>
          <w:highlight w:val="none"/>
        </w:rPr>
      </w:pPr>
    </w:p>
    <w:p w14:paraId="2C1E39DC">
      <w:pPr>
        <w:pStyle w:val="90"/>
        <w:ind w:firstLine="496"/>
        <w:rPr>
          <w:rFonts w:ascii="宋体" w:hAnsi="宋体" w:eastAsia="宋体" w:cs="宋体"/>
          <w:highlight w:val="none"/>
        </w:rPr>
      </w:pPr>
    </w:p>
    <w:p w14:paraId="4FF67B65">
      <w:pPr>
        <w:pStyle w:val="177"/>
        <w:rPr>
          <w:rFonts w:ascii="宋体" w:hAnsi="宋体" w:eastAsia="宋体" w:cs="宋体"/>
          <w:b w:val="0"/>
          <w:highlight w:val="none"/>
          <w:u w:val="single"/>
        </w:rPr>
      </w:pPr>
      <w:r>
        <w:rPr>
          <w:rFonts w:hint="eastAsia" w:ascii="宋体" w:hAnsi="宋体" w:eastAsia="宋体" w:cs="宋体"/>
          <w:b w:val="0"/>
          <w:highlight w:val="none"/>
          <w:u w:val="single"/>
        </w:rPr>
        <w:t xml:space="preserve">[项目名称] </w:t>
      </w:r>
    </w:p>
    <w:p w14:paraId="5A2EDD75">
      <w:pPr>
        <w:pStyle w:val="90"/>
        <w:ind w:firstLine="496"/>
        <w:rPr>
          <w:rFonts w:ascii="宋体" w:hAnsi="宋体" w:eastAsia="宋体" w:cs="宋体"/>
          <w:highlight w:val="none"/>
        </w:rPr>
      </w:pPr>
    </w:p>
    <w:p w14:paraId="0ACC2F42">
      <w:pPr>
        <w:pStyle w:val="90"/>
        <w:ind w:firstLine="496"/>
        <w:rPr>
          <w:rFonts w:ascii="宋体" w:hAnsi="宋体" w:eastAsia="宋体" w:cs="宋体"/>
          <w:highlight w:val="none"/>
        </w:rPr>
      </w:pPr>
    </w:p>
    <w:p w14:paraId="3ED464E0">
      <w:pPr>
        <w:pStyle w:val="90"/>
        <w:ind w:firstLine="496"/>
        <w:rPr>
          <w:rFonts w:ascii="宋体" w:hAnsi="宋体" w:eastAsia="宋体" w:cs="宋体"/>
          <w:highlight w:val="none"/>
        </w:rPr>
      </w:pPr>
    </w:p>
    <w:p w14:paraId="64D9F505">
      <w:pPr>
        <w:pStyle w:val="90"/>
        <w:ind w:firstLine="496"/>
        <w:rPr>
          <w:rFonts w:ascii="宋体" w:hAnsi="宋体" w:eastAsia="宋体" w:cs="宋体"/>
          <w:highlight w:val="none"/>
        </w:rPr>
      </w:pPr>
    </w:p>
    <w:p w14:paraId="52CB2FD2">
      <w:pPr>
        <w:pStyle w:val="130"/>
        <w:rPr>
          <w:rFonts w:ascii="宋体" w:hAnsi="宋体" w:eastAsia="宋体" w:cs="宋体"/>
          <w:b w:val="0"/>
          <w:highlight w:val="none"/>
        </w:rPr>
      </w:pPr>
      <w:r>
        <w:rPr>
          <w:rFonts w:hint="eastAsia" w:ascii="宋体" w:hAnsi="宋体" w:eastAsia="宋体" w:cs="宋体"/>
          <w:b w:val="0"/>
          <w:highlight w:val="none"/>
        </w:rPr>
        <w:t>投标文件</w:t>
      </w:r>
    </w:p>
    <w:p w14:paraId="065980E5">
      <w:pPr>
        <w:pStyle w:val="23"/>
        <w:jc w:val="center"/>
        <w:rPr>
          <w:rFonts w:hAnsi="宋体" w:cs="宋体"/>
          <w:highlight w:val="none"/>
        </w:rPr>
      </w:pPr>
      <w:r>
        <w:rPr>
          <w:rFonts w:hint="eastAsia" w:hAnsi="宋体" w:cs="宋体"/>
          <w:sz w:val="44"/>
          <w:szCs w:val="44"/>
          <w:highlight w:val="none"/>
        </w:rPr>
        <w:t>（资格审查文件部分）</w:t>
      </w:r>
    </w:p>
    <w:p w14:paraId="4D38A0F9">
      <w:pPr>
        <w:pStyle w:val="90"/>
        <w:ind w:firstLine="496"/>
        <w:rPr>
          <w:rFonts w:ascii="宋体" w:hAnsi="宋体" w:eastAsia="宋体" w:cs="宋体"/>
          <w:highlight w:val="none"/>
        </w:rPr>
      </w:pPr>
    </w:p>
    <w:p w14:paraId="0297BF46">
      <w:pPr>
        <w:pStyle w:val="90"/>
        <w:ind w:firstLine="496"/>
        <w:rPr>
          <w:rFonts w:ascii="宋体" w:hAnsi="宋体" w:eastAsia="宋体" w:cs="宋体"/>
          <w:highlight w:val="none"/>
        </w:rPr>
      </w:pPr>
    </w:p>
    <w:p w14:paraId="3B2A60D2">
      <w:pPr>
        <w:pStyle w:val="90"/>
        <w:ind w:firstLine="496"/>
        <w:rPr>
          <w:rFonts w:ascii="宋体" w:hAnsi="宋体" w:eastAsia="宋体" w:cs="宋体"/>
          <w:highlight w:val="none"/>
        </w:rPr>
      </w:pPr>
    </w:p>
    <w:p w14:paraId="0DBEEBB7">
      <w:pPr>
        <w:pStyle w:val="173"/>
        <w:ind w:firstLine="616"/>
        <w:rPr>
          <w:rFonts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（盖章）</w:t>
      </w:r>
    </w:p>
    <w:p w14:paraId="4405B3A3">
      <w:pPr>
        <w:pStyle w:val="173"/>
        <w:ind w:firstLine="616"/>
        <w:rPr>
          <w:rFonts w:ascii="宋体" w:hAnsi="宋体" w:eastAsia="宋体" w:cs="宋体"/>
          <w:highlight w:val="none"/>
        </w:rPr>
      </w:pPr>
    </w:p>
    <w:p w14:paraId="47943473">
      <w:pPr>
        <w:jc w:val="center"/>
        <w:rPr>
          <w:rFonts w:ascii="宋体" w:hAnsi="宋体" w:cs="宋体"/>
          <w:sz w:val="28"/>
          <w:szCs w:val="28"/>
          <w:highlight w:val="none"/>
        </w:rPr>
      </w:pPr>
      <w:r>
        <w:rPr>
          <w:rFonts w:hint="eastAsia" w:ascii="宋体" w:hAnsi="宋体" w:cs="宋体"/>
          <w:sz w:val="28"/>
          <w:szCs w:val="28"/>
          <w:highlight w:val="none"/>
        </w:rPr>
        <w:t>年月日</w:t>
      </w:r>
    </w:p>
    <w:p w14:paraId="3C054EFE">
      <w:pPr>
        <w:pStyle w:val="173"/>
        <w:ind w:firstLine="496"/>
        <w:rPr>
          <w:rFonts w:ascii="宋体" w:hAnsi="宋体" w:eastAsia="宋体" w:cs="宋体"/>
          <w:sz w:val="24"/>
          <w:szCs w:val="24"/>
          <w:highlight w:val="none"/>
        </w:rPr>
      </w:pPr>
    </w:p>
    <w:p w14:paraId="35F62B83">
      <w:pPr>
        <w:pStyle w:val="90"/>
        <w:ind w:firstLine="496"/>
        <w:rPr>
          <w:rFonts w:ascii="宋体" w:hAnsi="宋体" w:eastAsia="宋体" w:cs="宋体"/>
          <w:highlight w:val="none"/>
        </w:rPr>
      </w:pPr>
    </w:p>
    <w:p w14:paraId="5AA714F2">
      <w:pPr>
        <w:ind w:left="0" w:leftChars="0" w:firstLineChars="0"/>
        <w:outlineLvl w:val="1"/>
        <w:rPr>
          <w:rFonts w:ascii="宋体" w:hAnsi="宋体" w:cs="宋体"/>
          <w:b/>
          <w:bCs/>
          <w:sz w:val="24"/>
          <w:highlight w:val="none"/>
        </w:rPr>
      </w:pPr>
      <w:r>
        <w:rPr>
          <w:rFonts w:hint="eastAsia" w:ascii="宋体" w:hAnsi="宋体" w:cs="宋体"/>
          <w:highlight w:val="none"/>
        </w:rPr>
        <w:br w:type="page"/>
      </w:r>
      <w:bookmarkStart w:id="552" w:name="_Toc152045791"/>
      <w:bookmarkStart w:id="553" w:name="_Toc86413390"/>
      <w:bookmarkStart w:id="554" w:name="_Toc247527831"/>
      <w:bookmarkStart w:id="555" w:name="_Toc144974860"/>
      <w:bookmarkStart w:id="556" w:name="_Toc300835213"/>
      <w:bookmarkStart w:id="557" w:name="_Toc247514283"/>
      <w:bookmarkStart w:id="558" w:name="_Toc152042580"/>
      <w:bookmarkStart w:id="559" w:name="_Toc23424913"/>
      <w:bookmarkStart w:id="560" w:name="_Toc19683"/>
      <w:r>
        <w:rPr>
          <w:rFonts w:hint="eastAsia" w:ascii="宋体" w:hAnsi="宋体" w:eastAsia="宋体" w:cs="宋体"/>
          <w:b/>
          <w:snapToGrid/>
          <w:spacing w:val="0"/>
          <w:kern w:val="1"/>
          <w:sz w:val="21"/>
          <w:szCs w:val="21"/>
          <w:highlight w:val="none"/>
          <w:lang w:val="zh-CN"/>
        </w:rPr>
        <w:t>格式1：</w:t>
      </w:r>
      <w:bookmarkEnd w:id="552"/>
      <w:bookmarkEnd w:id="553"/>
      <w:bookmarkEnd w:id="554"/>
      <w:bookmarkEnd w:id="555"/>
      <w:bookmarkEnd w:id="556"/>
      <w:bookmarkEnd w:id="557"/>
      <w:bookmarkEnd w:id="558"/>
      <w:r>
        <w:rPr>
          <w:rFonts w:hint="eastAsia" w:ascii="宋体" w:hAnsi="宋体" w:eastAsia="宋体" w:cs="宋体"/>
          <w:b/>
          <w:kern w:val="1"/>
          <w:sz w:val="21"/>
          <w:szCs w:val="21"/>
          <w:highlight w:val="none"/>
          <w:lang w:val="zh-CN"/>
        </w:rPr>
        <w:t>法定代表人证明书、法定代表人授权委托书</w:t>
      </w:r>
    </w:p>
    <w:p w14:paraId="4786D2C5">
      <w:pPr>
        <w:autoSpaceDE w:val="0"/>
        <w:autoSpaceDN w:val="0"/>
        <w:adjustRightInd w:val="0"/>
        <w:spacing w:line="360" w:lineRule="auto"/>
        <w:jc w:val="center"/>
        <w:rPr>
          <w:rFonts w:ascii="宋体" w:hAnsi="宋体" w:cs="宋体"/>
          <w:b/>
          <w:bCs/>
          <w:sz w:val="28"/>
          <w:szCs w:val="36"/>
          <w:highlight w:val="none"/>
          <w:lang w:val="zh-CN"/>
        </w:rPr>
      </w:pPr>
    </w:p>
    <w:p w14:paraId="47BE16CC">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法定代表人证明书</w:t>
      </w:r>
    </w:p>
    <w:p w14:paraId="44A41FEB">
      <w:pPr>
        <w:spacing w:line="360" w:lineRule="auto"/>
        <w:jc w:val="right"/>
        <w:rPr>
          <w:rFonts w:ascii="宋体" w:hAnsi="宋体" w:cs="宋体"/>
          <w:highlight w:val="none"/>
        </w:rPr>
      </w:pPr>
      <w:r>
        <w:rPr>
          <w:rFonts w:hint="eastAsia" w:ascii="宋体" w:hAnsi="宋体" w:cs="宋体"/>
          <w:highlight w:val="none"/>
        </w:rPr>
        <w:t>（   ）第   号</w:t>
      </w:r>
    </w:p>
    <w:tbl>
      <w:tblPr>
        <w:tblStyle w:val="45"/>
        <w:tblW w:w="9288" w:type="dxa"/>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288"/>
      </w:tblGrid>
      <w:tr w14:paraId="5560D2C6">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3899" w:hRule="atLeast"/>
          <w:jc w:val="center"/>
        </w:trPr>
        <w:tc>
          <w:tcPr>
            <w:tcW w:w="9288" w:type="dxa"/>
          </w:tcPr>
          <w:p w14:paraId="4922026A">
            <w:pPr>
              <w:spacing w:line="360" w:lineRule="auto"/>
              <w:rPr>
                <w:rFonts w:ascii="宋体" w:hAnsi="宋体" w:cs="宋体"/>
                <w:sz w:val="24"/>
                <w:highlight w:val="none"/>
                <w:u w:val="single"/>
              </w:rPr>
            </w:pPr>
          </w:p>
          <w:p w14:paraId="024C02E7">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现任我公司      职务，为法定代表人（负责人），特此证明。</w:t>
            </w:r>
          </w:p>
          <w:p w14:paraId="33906329">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有效期限：                </w:t>
            </w:r>
          </w:p>
          <w:p w14:paraId="3A47C6AA">
            <w:pPr>
              <w:snapToGrid w:val="0"/>
              <w:spacing w:line="360" w:lineRule="auto"/>
              <w:rPr>
                <w:rFonts w:ascii="宋体" w:hAnsi="宋体" w:cs="宋体"/>
                <w:sz w:val="24"/>
                <w:highlight w:val="none"/>
                <w:u w:val="single"/>
              </w:rPr>
            </w:pPr>
            <w:r>
              <w:rPr>
                <w:rFonts w:hint="eastAsia" w:ascii="宋体" w:hAnsi="宋体" w:cs="宋体"/>
                <w:sz w:val="24"/>
                <w:highlight w:val="none"/>
              </w:rPr>
              <w:t>附：法定代表人（负责人）</w:t>
            </w:r>
            <w:r>
              <w:rPr>
                <w:rFonts w:hint="eastAsia" w:ascii="宋体" w:hAnsi="宋体" w:cs="宋体"/>
                <w:b/>
                <w:bCs/>
                <w:sz w:val="24"/>
                <w:highlight w:val="none"/>
              </w:rPr>
              <w:t>（后附身份证正反面扫描件）</w:t>
            </w:r>
            <w:r>
              <w:rPr>
                <w:rFonts w:hint="eastAsia" w:ascii="宋体" w:hAnsi="宋体" w:cs="宋体"/>
                <w:sz w:val="24"/>
                <w:highlight w:val="none"/>
              </w:rPr>
              <w:t xml:space="preserve">   性别：      年龄：       身份证号码：     </w:t>
            </w:r>
          </w:p>
          <w:p w14:paraId="54317022">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统一社会信用代码：               企业类型：              </w:t>
            </w:r>
          </w:p>
          <w:p w14:paraId="1F21497C">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经营范围：</w:t>
            </w:r>
          </w:p>
          <w:p w14:paraId="67FFB7E7">
            <w:pPr>
              <w:snapToGrid w:val="0"/>
              <w:spacing w:line="360" w:lineRule="auto"/>
              <w:rPr>
                <w:rFonts w:ascii="宋体" w:hAnsi="宋体" w:cs="宋体"/>
                <w:sz w:val="24"/>
                <w:highlight w:val="none"/>
              </w:rPr>
            </w:pPr>
            <w:r>
              <w:rPr>
                <w:rFonts w:hint="eastAsia" w:ascii="宋体" w:hAnsi="宋体" w:cs="宋体"/>
                <w:sz w:val="24"/>
                <w:highlight w:val="none"/>
              </w:rPr>
              <w:t xml:space="preserve">                       单位：（盖章）</w:t>
            </w:r>
          </w:p>
          <w:p w14:paraId="4B588787">
            <w:pPr>
              <w:snapToGrid w:val="0"/>
              <w:spacing w:line="360" w:lineRule="auto"/>
              <w:rPr>
                <w:rFonts w:ascii="宋体" w:hAnsi="宋体" w:cs="宋体"/>
                <w:highlight w:val="none"/>
              </w:rPr>
            </w:pPr>
            <w:r>
              <w:rPr>
                <w:rFonts w:hint="eastAsia" w:ascii="宋体" w:hAnsi="宋体" w:cs="宋体"/>
                <w:sz w:val="24"/>
                <w:highlight w:val="none"/>
              </w:rPr>
              <w:t xml:space="preserve">                                       年  月  日</w:t>
            </w:r>
          </w:p>
        </w:tc>
      </w:tr>
    </w:tbl>
    <w:p w14:paraId="2E25AFBE">
      <w:pPr>
        <w:rPr>
          <w:rFonts w:ascii="宋体" w:hAnsi="宋体" w:cs="宋体"/>
          <w:szCs w:val="21"/>
          <w:highlight w:val="none"/>
        </w:rPr>
      </w:pPr>
      <w:r>
        <w:rPr>
          <w:rFonts w:hint="eastAsia" w:ascii="宋体" w:hAnsi="宋体" w:cs="宋体"/>
          <w:szCs w:val="21"/>
          <w:highlight w:val="none"/>
        </w:rPr>
        <w:t>注：1.法定代表人证明书也可以采用工商行政管理局统一印制的格式。</w:t>
      </w:r>
    </w:p>
    <w:p w14:paraId="36D07353">
      <w:pPr>
        <w:rPr>
          <w:rFonts w:ascii="宋体" w:hAnsi="宋体" w:cs="宋体"/>
          <w:szCs w:val="21"/>
          <w:highlight w:val="none"/>
        </w:rPr>
      </w:pPr>
      <w:r>
        <w:rPr>
          <w:rFonts w:hint="eastAsia" w:ascii="宋体" w:hAnsi="宋体" w:cs="宋体"/>
          <w:szCs w:val="21"/>
          <w:highlight w:val="none"/>
        </w:rPr>
        <w:t xml:space="preserve">    2.联合体投标的，本证明书由主办方出具，仅填写主办方单位名称并由主办方盖章即可。</w:t>
      </w:r>
    </w:p>
    <w:p w14:paraId="050FA6D6">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法定代表人授权委托书</w:t>
      </w:r>
    </w:p>
    <w:p w14:paraId="4F77C619">
      <w:pPr>
        <w:spacing w:line="360" w:lineRule="auto"/>
        <w:jc w:val="right"/>
        <w:rPr>
          <w:rFonts w:ascii="宋体" w:hAnsi="宋体" w:cs="宋体"/>
          <w:highlight w:val="none"/>
        </w:rPr>
      </w:pPr>
      <w:r>
        <w:rPr>
          <w:rFonts w:hint="eastAsia" w:ascii="宋体" w:hAnsi="宋体" w:cs="宋体"/>
          <w:highlight w:val="none"/>
        </w:rPr>
        <w:t>（   ）第   号</w:t>
      </w:r>
    </w:p>
    <w:tbl>
      <w:tblPr>
        <w:tblStyle w:val="45"/>
        <w:tblW w:w="9288" w:type="dxa"/>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288"/>
      </w:tblGrid>
      <w:tr w14:paraId="45FA53BB">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3985" w:hRule="atLeast"/>
          <w:jc w:val="center"/>
        </w:trPr>
        <w:tc>
          <w:tcPr>
            <w:tcW w:w="9288" w:type="dxa"/>
          </w:tcPr>
          <w:p w14:paraId="1D4F4E33">
            <w:pPr>
              <w:spacing w:line="360" w:lineRule="auto"/>
              <w:rPr>
                <w:rFonts w:ascii="宋体" w:hAnsi="宋体" w:cs="宋体"/>
                <w:sz w:val="24"/>
                <w:highlight w:val="none"/>
              </w:rPr>
            </w:pPr>
          </w:p>
          <w:p w14:paraId="4614B65F">
            <w:pPr>
              <w:spacing w:line="360" w:lineRule="auto"/>
              <w:ind w:firstLine="480" w:firstLineChars="200"/>
              <w:rPr>
                <w:rFonts w:ascii="宋体" w:hAnsi="宋体" w:cs="宋体"/>
                <w:sz w:val="24"/>
                <w:highlight w:val="none"/>
              </w:rPr>
            </w:pPr>
            <w:r>
              <w:rPr>
                <w:rFonts w:hint="eastAsia" w:ascii="宋体" w:hAnsi="宋体" w:cs="宋体"/>
                <w:sz w:val="24"/>
                <w:highlight w:val="none"/>
              </w:rPr>
              <w:t>兹授权为我方委托代理人，其权限是：</w:t>
            </w:r>
            <w:r>
              <w:rPr>
                <w:rFonts w:hint="eastAsia" w:ascii="宋体" w:hAnsi="宋体" w:cs="宋体"/>
                <w:sz w:val="24"/>
                <w:highlight w:val="none"/>
                <w:u w:val="single"/>
              </w:rPr>
              <w:t>负责办理        投标相关事宜</w:t>
            </w:r>
            <w:r>
              <w:rPr>
                <w:rFonts w:hint="eastAsia" w:ascii="宋体" w:hAnsi="宋体" w:cs="宋体"/>
                <w:sz w:val="24"/>
                <w:highlight w:val="none"/>
              </w:rPr>
              <w:t>。</w:t>
            </w:r>
          </w:p>
          <w:p w14:paraId="5C23929E">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有效期限：          </w:t>
            </w:r>
          </w:p>
          <w:p w14:paraId="698E9B49">
            <w:pPr>
              <w:spacing w:line="360" w:lineRule="auto"/>
              <w:rPr>
                <w:rFonts w:ascii="宋体" w:hAnsi="宋体" w:cs="宋体"/>
                <w:sz w:val="24"/>
                <w:highlight w:val="none"/>
                <w:u w:val="single"/>
              </w:rPr>
            </w:pPr>
            <w:r>
              <w:rPr>
                <w:rFonts w:hint="eastAsia" w:ascii="宋体" w:hAnsi="宋体" w:cs="宋体"/>
                <w:sz w:val="24"/>
                <w:highlight w:val="none"/>
              </w:rPr>
              <w:t>附：代理人</w:t>
            </w:r>
            <w:r>
              <w:rPr>
                <w:rFonts w:hint="eastAsia" w:ascii="宋体" w:hAnsi="宋体" w:cs="宋体"/>
                <w:b/>
                <w:bCs/>
                <w:sz w:val="24"/>
                <w:highlight w:val="none"/>
              </w:rPr>
              <w:t>（后附身份证正反面扫描件）</w:t>
            </w:r>
            <w:r>
              <w:rPr>
                <w:rFonts w:hint="eastAsia" w:ascii="宋体" w:hAnsi="宋体" w:cs="宋体"/>
                <w:sz w:val="24"/>
                <w:highlight w:val="none"/>
              </w:rPr>
              <w:t xml:space="preserve">    性别：          年龄：         身份证号码：               </w:t>
            </w:r>
          </w:p>
          <w:p w14:paraId="4A6A8BC5">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统一社会信用代码：                  企业类型：               </w:t>
            </w:r>
          </w:p>
          <w:p w14:paraId="46651A6D">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经营范围：              </w:t>
            </w:r>
          </w:p>
          <w:p w14:paraId="6F14F495">
            <w:pPr>
              <w:snapToGrid w:val="0"/>
              <w:spacing w:line="360" w:lineRule="auto"/>
              <w:rPr>
                <w:rFonts w:ascii="宋体" w:hAnsi="宋体" w:cs="宋体"/>
                <w:sz w:val="24"/>
                <w:highlight w:val="none"/>
                <w:u w:val="single"/>
              </w:rPr>
            </w:pPr>
          </w:p>
          <w:p w14:paraId="6D86525C">
            <w:pPr>
              <w:spacing w:line="360" w:lineRule="auto"/>
              <w:rPr>
                <w:rFonts w:ascii="宋体" w:hAnsi="宋体" w:cs="宋体"/>
                <w:sz w:val="24"/>
                <w:highlight w:val="none"/>
              </w:rPr>
            </w:pPr>
            <w:r>
              <w:rPr>
                <w:rFonts w:hint="eastAsia" w:ascii="宋体" w:hAnsi="宋体" w:cs="宋体"/>
                <w:sz w:val="24"/>
                <w:highlight w:val="none"/>
              </w:rPr>
              <w:t>法定代表人（负责人）：（签字或盖章）</w:t>
            </w:r>
          </w:p>
          <w:p w14:paraId="4BB38DA9">
            <w:pPr>
              <w:spacing w:line="360" w:lineRule="auto"/>
              <w:rPr>
                <w:rFonts w:ascii="宋体" w:hAnsi="宋体" w:cs="宋体"/>
                <w:sz w:val="24"/>
                <w:highlight w:val="none"/>
              </w:rPr>
            </w:pPr>
            <w:r>
              <w:rPr>
                <w:rFonts w:hint="eastAsia" w:ascii="宋体" w:hAnsi="宋体" w:cs="宋体"/>
                <w:sz w:val="24"/>
                <w:highlight w:val="none"/>
              </w:rPr>
              <w:t>授权单位：（盖章）</w:t>
            </w:r>
          </w:p>
          <w:p w14:paraId="560A00C8">
            <w:pPr>
              <w:snapToGrid w:val="0"/>
              <w:spacing w:line="360" w:lineRule="auto"/>
              <w:rPr>
                <w:rFonts w:ascii="宋体" w:hAnsi="宋体" w:cs="宋体"/>
                <w:highlight w:val="none"/>
              </w:rPr>
            </w:pPr>
            <w:r>
              <w:rPr>
                <w:rFonts w:hint="eastAsia" w:ascii="宋体" w:hAnsi="宋体" w:cs="宋体"/>
                <w:sz w:val="24"/>
                <w:highlight w:val="none"/>
              </w:rPr>
              <w:t xml:space="preserve">                      年  月  日</w:t>
            </w:r>
          </w:p>
        </w:tc>
      </w:tr>
    </w:tbl>
    <w:p w14:paraId="3410F601">
      <w:pPr>
        <w:rPr>
          <w:rFonts w:ascii="宋体" w:hAnsi="宋体" w:cs="宋体"/>
          <w:szCs w:val="21"/>
          <w:highlight w:val="none"/>
        </w:rPr>
      </w:pPr>
      <w:r>
        <w:rPr>
          <w:rFonts w:hint="eastAsia" w:ascii="宋体" w:hAnsi="宋体" w:cs="宋体"/>
          <w:szCs w:val="21"/>
          <w:highlight w:val="none"/>
        </w:rPr>
        <w:t>注：1.法定代表人授权委托书也可以采用工商行政管理局统一印制的格式。</w:t>
      </w:r>
    </w:p>
    <w:p w14:paraId="32AD6E00">
      <w:pPr>
        <w:pStyle w:val="15"/>
        <w:rPr>
          <w:rFonts w:ascii="宋体" w:hAnsi="宋体"/>
          <w:highlight w:val="none"/>
        </w:rPr>
      </w:pPr>
      <w:r>
        <w:rPr>
          <w:rFonts w:hint="eastAsia" w:ascii="宋体" w:hAnsi="宋体" w:cs="宋体"/>
          <w:szCs w:val="21"/>
          <w:highlight w:val="none"/>
        </w:rPr>
        <w:t>2.联合体投标的，本授权书由主办方出具，仅填写主办方单位名称并由主办方签字或盖章即可。</w:t>
      </w:r>
    </w:p>
    <w:p w14:paraId="20F93627">
      <w:pPr>
        <w:pStyle w:val="44"/>
        <w:rPr>
          <w:rFonts w:ascii="宋体" w:hAnsi="宋体"/>
          <w:highlight w:val="none"/>
        </w:rPr>
      </w:pPr>
    </w:p>
    <w:p w14:paraId="16F80479">
      <w:pPr>
        <w:adjustRightInd w:val="0"/>
        <w:spacing w:line="360" w:lineRule="auto"/>
        <w:rPr>
          <w:rFonts w:ascii="宋体" w:hAnsi="宋体" w:cs="宋体"/>
          <w:highlight w:val="none"/>
        </w:rPr>
      </w:pPr>
      <w:r>
        <w:rPr>
          <w:rFonts w:ascii="宋体" w:hAnsi="宋体"/>
          <w:sz w:val="20"/>
          <w:szCs w:val="20"/>
          <w:highlight w:val="none"/>
          <w:u w:val="single"/>
        </w:rPr>
        <w:br w:type="page"/>
      </w:r>
      <w:bookmarkEnd w:id="549"/>
      <w:bookmarkEnd w:id="550"/>
      <w:bookmarkEnd w:id="551"/>
      <w:bookmarkEnd w:id="559"/>
      <w:bookmarkEnd w:id="560"/>
      <w:bookmarkStart w:id="561" w:name="_Toc86413394"/>
      <w:bookmarkEnd w:id="561"/>
      <w:bookmarkStart w:id="562" w:name="_Toc13324"/>
      <w:bookmarkEnd w:id="562"/>
    </w:p>
    <w:p w14:paraId="1D4A0699">
      <w:pPr>
        <w:adjustRightInd w:val="0"/>
        <w:spacing w:line="360" w:lineRule="auto"/>
        <w:rPr>
          <w:rFonts w:ascii="宋体" w:hAnsi="宋体" w:cs="宋体"/>
          <w:highlight w:val="none"/>
        </w:rPr>
      </w:pPr>
    </w:p>
    <w:p w14:paraId="66EE800A">
      <w:pPr>
        <w:adjustRightInd w:val="0"/>
        <w:spacing w:line="360" w:lineRule="auto"/>
        <w:rPr>
          <w:rFonts w:ascii="宋体" w:hAnsi="宋体" w:cs="宋体"/>
          <w:highlight w:val="none"/>
        </w:rPr>
      </w:pPr>
    </w:p>
    <w:p w14:paraId="44C5EFF7">
      <w:pPr>
        <w:adjustRightInd w:val="0"/>
        <w:spacing w:line="360" w:lineRule="auto"/>
        <w:rPr>
          <w:rFonts w:ascii="宋体" w:hAnsi="宋体" w:cs="宋体"/>
          <w:highlight w:val="none"/>
        </w:rPr>
      </w:pPr>
    </w:p>
    <w:p w14:paraId="5761CFC2">
      <w:pPr>
        <w:adjustRightInd w:val="0"/>
        <w:spacing w:line="360" w:lineRule="auto"/>
        <w:rPr>
          <w:rFonts w:ascii="宋体" w:hAnsi="宋体" w:cs="宋体"/>
          <w:highlight w:val="none"/>
        </w:rPr>
      </w:pPr>
    </w:p>
    <w:p w14:paraId="7960C5A4">
      <w:pPr>
        <w:jc w:val="center"/>
        <w:rPr>
          <w:rFonts w:ascii="宋体" w:hAnsi="宋体" w:cs="宋体"/>
          <w:sz w:val="40"/>
          <w:szCs w:val="40"/>
          <w:highlight w:val="none"/>
        </w:rPr>
      </w:pPr>
      <w:r>
        <w:rPr>
          <w:rFonts w:hint="eastAsia" w:ascii="宋体" w:hAnsi="宋体" w:cs="宋体"/>
          <w:sz w:val="40"/>
          <w:szCs w:val="40"/>
          <w:highlight w:val="none"/>
          <w:u w:val="single"/>
        </w:rPr>
        <w:t xml:space="preserve">    （项目名称）    </w:t>
      </w:r>
    </w:p>
    <w:p w14:paraId="16E90B17">
      <w:pPr>
        <w:adjustRightInd w:val="0"/>
        <w:spacing w:line="360" w:lineRule="auto"/>
        <w:rPr>
          <w:rFonts w:ascii="宋体" w:hAnsi="宋体" w:cs="宋体"/>
          <w:highlight w:val="none"/>
        </w:rPr>
      </w:pPr>
    </w:p>
    <w:p w14:paraId="52F26510">
      <w:pPr>
        <w:adjustRightInd w:val="0"/>
        <w:spacing w:line="360" w:lineRule="auto"/>
        <w:rPr>
          <w:rFonts w:ascii="宋体" w:hAnsi="宋体" w:cs="宋体"/>
          <w:highlight w:val="none"/>
        </w:rPr>
      </w:pPr>
    </w:p>
    <w:p w14:paraId="7411C346">
      <w:pPr>
        <w:jc w:val="center"/>
        <w:rPr>
          <w:rFonts w:ascii="宋体" w:hAnsi="宋体" w:cs="宋体"/>
          <w:sz w:val="44"/>
          <w:szCs w:val="44"/>
          <w:highlight w:val="none"/>
        </w:rPr>
      </w:pPr>
      <w:r>
        <w:rPr>
          <w:rFonts w:hint="eastAsia" w:ascii="宋体" w:hAnsi="宋体" w:cs="宋体"/>
          <w:sz w:val="44"/>
          <w:szCs w:val="44"/>
          <w:highlight w:val="none"/>
        </w:rPr>
        <w:t>投  标  文  件</w:t>
      </w:r>
    </w:p>
    <w:p w14:paraId="23EBEE7C">
      <w:pPr>
        <w:pStyle w:val="23"/>
        <w:jc w:val="center"/>
        <w:rPr>
          <w:rFonts w:hAnsi="宋体" w:cs="宋体"/>
          <w:highlight w:val="none"/>
        </w:rPr>
      </w:pPr>
      <w:r>
        <w:rPr>
          <w:rFonts w:hint="eastAsia" w:hAnsi="宋体" w:cs="宋体"/>
          <w:sz w:val="44"/>
          <w:szCs w:val="44"/>
          <w:highlight w:val="none"/>
        </w:rPr>
        <w:t>（</w:t>
      </w:r>
      <w:r>
        <w:rPr>
          <w:rFonts w:hint="eastAsia" w:hAnsi="宋体" w:cs="宋体"/>
          <w:sz w:val="44"/>
          <w:szCs w:val="44"/>
          <w:highlight w:val="none"/>
          <w:lang w:eastAsia="zh-CN"/>
        </w:rPr>
        <w:t>技术标</w:t>
      </w:r>
      <w:r>
        <w:rPr>
          <w:rFonts w:hint="eastAsia" w:hAnsi="宋体" w:cs="宋体"/>
          <w:sz w:val="44"/>
          <w:szCs w:val="44"/>
          <w:highlight w:val="none"/>
        </w:rPr>
        <w:t>部分）</w:t>
      </w:r>
    </w:p>
    <w:p w14:paraId="58E61376">
      <w:pPr>
        <w:adjustRightInd w:val="0"/>
        <w:spacing w:line="360" w:lineRule="auto"/>
        <w:rPr>
          <w:rFonts w:ascii="宋体" w:hAnsi="宋体" w:cs="宋体"/>
          <w:highlight w:val="none"/>
        </w:rPr>
      </w:pPr>
    </w:p>
    <w:p w14:paraId="15B3A8C0">
      <w:pPr>
        <w:adjustRightInd w:val="0"/>
        <w:spacing w:line="360" w:lineRule="auto"/>
        <w:rPr>
          <w:rFonts w:ascii="宋体" w:hAnsi="宋体" w:cs="宋体"/>
          <w:highlight w:val="none"/>
        </w:rPr>
      </w:pPr>
    </w:p>
    <w:p w14:paraId="7B26AC4A">
      <w:pPr>
        <w:adjustRightInd w:val="0"/>
        <w:spacing w:line="360" w:lineRule="auto"/>
        <w:rPr>
          <w:rFonts w:ascii="宋体" w:hAnsi="宋体" w:cs="宋体"/>
          <w:highlight w:val="none"/>
        </w:rPr>
      </w:pPr>
    </w:p>
    <w:p w14:paraId="748463B5">
      <w:pPr>
        <w:adjustRightInd w:val="0"/>
        <w:spacing w:line="360" w:lineRule="auto"/>
        <w:rPr>
          <w:rFonts w:ascii="宋体" w:hAnsi="宋体" w:cs="宋体"/>
          <w:highlight w:val="none"/>
        </w:rPr>
      </w:pPr>
    </w:p>
    <w:p w14:paraId="3FE7DD0E">
      <w:pPr>
        <w:adjustRightInd w:val="0"/>
        <w:spacing w:line="360" w:lineRule="auto"/>
        <w:rPr>
          <w:rFonts w:ascii="宋体" w:hAnsi="宋体" w:cs="宋体"/>
          <w:highlight w:val="none"/>
        </w:rPr>
      </w:pPr>
    </w:p>
    <w:p w14:paraId="1D145244">
      <w:pPr>
        <w:adjustRightInd w:val="0"/>
        <w:spacing w:line="360" w:lineRule="auto"/>
        <w:rPr>
          <w:rFonts w:ascii="宋体" w:hAnsi="宋体" w:cs="宋体"/>
          <w:highlight w:val="none"/>
        </w:rPr>
      </w:pPr>
    </w:p>
    <w:p w14:paraId="531E897A">
      <w:pPr>
        <w:adjustRightInd w:val="0"/>
        <w:spacing w:line="360" w:lineRule="auto"/>
        <w:rPr>
          <w:rFonts w:ascii="宋体" w:hAnsi="宋体" w:cs="宋体"/>
          <w:highlight w:val="none"/>
        </w:rPr>
      </w:pPr>
    </w:p>
    <w:p w14:paraId="7748373E">
      <w:pPr>
        <w:adjustRightInd w:val="0"/>
        <w:spacing w:line="360" w:lineRule="auto"/>
        <w:rPr>
          <w:rFonts w:ascii="宋体" w:hAnsi="宋体" w:cs="宋体"/>
          <w:highlight w:val="none"/>
        </w:rPr>
      </w:pPr>
    </w:p>
    <w:p w14:paraId="2D33D34E">
      <w:pPr>
        <w:adjustRightInd w:val="0"/>
        <w:spacing w:line="360" w:lineRule="auto"/>
        <w:rPr>
          <w:rFonts w:ascii="宋体" w:hAnsi="宋体" w:cs="宋体"/>
          <w:highlight w:val="none"/>
        </w:rPr>
      </w:pPr>
    </w:p>
    <w:p w14:paraId="046EF24D">
      <w:pPr>
        <w:adjustRightInd w:val="0"/>
        <w:spacing w:line="360" w:lineRule="auto"/>
        <w:rPr>
          <w:rFonts w:ascii="宋体" w:hAnsi="宋体" w:cs="宋体"/>
          <w:highlight w:val="none"/>
        </w:rPr>
      </w:pPr>
    </w:p>
    <w:p w14:paraId="4CD114B0">
      <w:pPr>
        <w:adjustRightInd w:val="0"/>
        <w:spacing w:line="360" w:lineRule="auto"/>
        <w:rPr>
          <w:rFonts w:ascii="宋体" w:hAnsi="宋体" w:cs="宋体"/>
          <w:highlight w:val="none"/>
        </w:rPr>
      </w:pPr>
    </w:p>
    <w:p w14:paraId="63ED26A5">
      <w:pPr>
        <w:jc w:val="center"/>
        <w:rPr>
          <w:rFonts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（盖章）</w:t>
      </w:r>
    </w:p>
    <w:p w14:paraId="0B10A89E">
      <w:pPr>
        <w:jc w:val="center"/>
        <w:rPr>
          <w:rFonts w:hint="eastAsia" w:ascii="宋体" w:hAnsi="宋体" w:cs="宋体"/>
          <w:sz w:val="28"/>
          <w:szCs w:val="28"/>
          <w:highlight w:val="none"/>
        </w:rPr>
      </w:pPr>
    </w:p>
    <w:p w14:paraId="7DDC598D">
      <w:pPr>
        <w:jc w:val="center"/>
        <w:rPr>
          <w:rFonts w:ascii="宋体" w:hAnsi="宋体" w:cs="宋体"/>
          <w:sz w:val="28"/>
          <w:szCs w:val="28"/>
          <w:highlight w:val="none"/>
        </w:rPr>
      </w:pP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w:t>
      </w:r>
    </w:p>
    <w:p w14:paraId="319B63A5">
      <w:pPr>
        <w:adjustRightInd w:val="0"/>
        <w:spacing w:line="360" w:lineRule="auto"/>
        <w:rPr>
          <w:rFonts w:ascii="宋体" w:hAnsi="宋体" w:cs="宋体"/>
          <w:highlight w:val="none"/>
        </w:rPr>
      </w:pPr>
    </w:p>
    <w:p w14:paraId="03402721">
      <w:pPr>
        <w:adjustRightInd w:val="0"/>
        <w:spacing w:line="360" w:lineRule="auto"/>
        <w:rPr>
          <w:rFonts w:ascii="宋体" w:hAnsi="宋体" w:cs="宋体"/>
          <w:highlight w:val="none"/>
        </w:rPr>
      </w:pPr>
    </w:p>
    <w:p w14:paraId="0F58BEA7">
      <w:pPr>
        <w:outlineLvl w:val="1"/>
        <w:rPr>
          <w:rFonts w:ascii="宋体" w:hAnsi="宋体" w:cs="宋体"/>
          <w:b/>
          <w:kern w:val="1"/>
          <w:szCs w:val="21"/>
          <w:highlight w:val="none"/>
          <w:lang w:val="zh-CN"/>
        </w:rPr>
      </w:pPr>
      <w:r>
        <w:rPr>
          <w:rFonts w:ascii="宋体" w:hAnsi="宋体" w:cs="宋体"/>
          <w:sz w:val="28"/>
          <w:szCs w:val="28"/>
          <w:highlight w:val="none"/>
        </w:rPr>
        <w:br w:type="page"/>
      </w:r>
      <w:bookmarkStart w:id="563" w:name="_Toc116461796"/>
      <w:bookmarkStart w:id="564" w:name="_Toc123901761"/>
      <w:r>
        <w:rPr>
          <w:rFonts w:hint="eastAsia" w:ascii="宋体" w:hAnsi="宋体" w:cs="宋体"/>
          <w:b/>
          <w:kern w:val="1"/>
          <w:szCs w:val="21"/>
          <w:highlight w:val="none"/>
          <w:lang w:val="zh-CN"/>
        </w:rPr>
        <w:t>格式2：投标书</w:t>
      </w:r>
      <w:bookmarkEnd w:id="563"/>
      <w:bookmarkEnd w:id="564"/>
    </w:p>
    <w:p w14:paraId="270C8C98">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投标书</w:t>
      </w:r>
    </w:p>
    <w:tbl>
      <w:tblPr>
        <w:tblStyle w:val="4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2878"/>
        <w:gridCol w:w="1640"/>
        <w:gridCol w:w="4979"/>
      </w:tblGrid>
      <w:tr w14:paraId="6A4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682AE745">
            <w:pPr>
              <w:adjustRightInd w:val="0"/>
              <w:spacing w:line="360" w:lineRule="auto"/>
              <w:jc w:val="center"/>
              <w:rPr>
                <w:rFonts w:ascii="宋体" w:hAnsi="宋体" w:cs="宋体"/>
                <w:b/>
                <w:szCs w:val="21"/>
                <w:highlight w:val="none"/>
              </w:rPr>
            </w:pPr>
            <w:r>
              <w:rPr>
                <w:rFonts w:hint="eastAsia" w:ascii="宋体" w:hAnsi="宋体" w:cs="宋体"/>
                <w:b/>
                <w:szCs w:val="21"/>
                <w:highlight w:val="none"/>
                <w:lang w:val="zh-CN"/>
              </w:rPr>
              <w:t>项目名称</w:t>
            </w:r>
          </w:p>
        </w:tc>
        <w:tc>
          <w:tcPr>
            <w:tcW w:w="6619" w:type="dxa"/>
            <w:gridSpan w:val="2"/>
            <w:tcBorders>
              <w:top w:val="single" w:color="auto" w:sz="4" w:space="0"/>
              <w:left w:val="single" w:color="auto" w:sz="4" w:space="0"/>
              <w:bottom w:val="single" w:color="auto" w:sz="4" w:space="0"/>
              <w:right w:val="single" w:color="auto" w:sz="4" w:space="0"/>
            </w:tcBorders>
            <w:vAlign w:val="center"/>
          </w:tcPr>
          <w:p w14:paraId="49B1AD32">
            <w:pPr>
              <w:adjustRightInd w:val="0"/>
              <w:spacing w:line="360" w:lineRule="auto"/>
              <w:jc w:val="center"/>
              <w:rPr>
                <w:rFonts w:ascii="宋体" w:hAnsi="宋体" w:cs="宋体"/>
                <w:b/>
                <w:szCs w:val="21"/>
                <w:highlight w:val="none"/>
                <w:lang w:val="zh-CN"/>
              </w:rPr>
            </w:pPr>
          </w:p>
        </w:tc>
      </w:tr>
      <w:tr w14:paraId="490B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053829EC">
            <w:pPr>
              <w:adjustRightInd w:val="0"/>
              <w:spacing w:line="400" w:lineRule="exact"/>
              <w:jc w:val="center"/>
              <w:rPr>
                <w:rFonts w:hint="eastAsia" w:ascii="宋体" w:hAnsi="宋体" w:cs="宋体"/>
                <w:b/>
                <w:szCs w:val="21"/>
                <w:highlight w:val="none"/>
                <w:lang w:val="zh-CN"/>
              </w:rPr>
            </w:pPr>
            <w:r>
              <w:rPr>
                <w:rFonts w:hint="eastAsia" w:ascii="宋体" w:hAnsi="宋体" w:cs="宋体"/>
                <w:b/>
                <w:szCs w:val="21"/>
                <w:highlight w:val="none"/>
                <w:lang w:val="zh-CN"/>
              </w:rPr>
              <w:t>投标总报价</w:t>
            </w:r>
          </w:p>
          <w:p w14:paraId="3BA57017">
            <w:pPr>
              <w:adjustRightInd w:val="0"/>
              <w:spacing w:line="400" w:lineRule="exact"/>
              <w:jc w:val="center"/>
              <w:rPr>
                <w:rFonts w:ascii="宋体" w:hAnsi="宋体" w:cs="宋体"/>
                <w:b/>
                <w:szCs w:val="21"/>
                <w:highlight w:val="none"/>
              </w:rPr>
            </w:pPr>
            <w:r>
              <w:rPr>
                <w:rFonts w:hint="eastAsia" w:ascii="宋体" w:hAnsi="宋体" w:cs="宋体"/>
                <w:b/>
                <w:szCs w:val="21"/>
                <w:highlight w:val="none"/>
                <w:lang w:val="zh-CN"/>
              </w:rPr>
              <w:t>（</w:t>
            </w:r>
            <w:r>
              <w:rPr>
                <w:rFonts w:hint="eastAsia" w:ascii="宋体" w:hAnsi="宋体" w:cs="宋体"/>
                <w:b/>
                <w:szCs w:val="21"/>
                <w:highlight w:val="none"/>
                <w:lang w:val="en-US" w:eastAsia="zh-CN"/>
              </w:rPr>
              <w:t>含税</w:t>
            </w:r>
            <w:r>
              <w:rPr>
                <w:rFonts w:hint="eastAsia" w:ascii="宋体" w:hAnsi="宋体" w:cs="宋体"/>
                <w:b/>
                <w:szCs w:val="21"/>
                <w:highlight w:val="none"/>
                <w:lang w:val="zh-CN"/>
              </w:rPr>
              <w:t>）</w:t>
            </w:r>
          </w:p>
        </w:tc>
        <w:tc>
          <w:tcPr>
            <w:tcW w:w="6619" w:type="dxa"/>
            <w:gridSpan w:val="2"/>
            <w:tcBorders>
              <w:top w:val="single" w:color="auto" w:sz="4" w:space="0"/>
              <w:left w:val="single" w:color="auto" w:sz="4" w:space="0"/>
              <w:bottom w:val="single" w:color="auto" w:sz="4" w:space="0"/>
              <w:right w:val="single" w:color="auto" w:sz="4" w:space="0"/>
            </w:tcBorders>
            <w:vAlign w:val="center"/>
          </w:tcPr>
          <w:p w14:paraId="7B9BD724">
            <w:pPr>
              <w:adjustRightInd w:val="0"/>
              <w:spacing w:line="400" w:lineRule="exact"/>
              <w:jc w:val="left"/>
              <w:rPr>
                <w:rFonts w:ascii="宋体" w:hAnsi="宋体" w:cs="宋体"/>
                <w:b/>
                <w:szCs w:val="21"/>
                <w:highlight w:val="none"/>
              </w:rPr>
            </w:pPr>
            <w:r>
              <w:rPr>
                <w:rFonts w:hint="eastAsia" w:ascii="宋体" w:hAnsi="宋体" w:cs="宋体"/>
                <w:b/>
                <w:szCs w:val="21"/>
                <w:highlight w:val="none"/>
              </w:rPr>
              <w:t>大写：</w:t>
            </w:r>
          </w:p>
          <w:p w14:paraId="79CB30A5">
            <w:pPr>
              <w:adjustRightInd w:val="0"/>
              <w:spacing w:line="400" w:lineRule="exact"/>
              <w:jc w:val="left"/>
              <w:rPr>
                <w:rFonts w:ascii="宋体" w:hAnsi="宋体" w:cs="宋体"/>
                <w:b/>
                <w:szCs w:val="21"/>
                <w:highlight w:val="none"/>
              </w:rPr>
            </w:pPr>
            <w:r>
              <w:rPr>
                <w:rFonts w:hint="eastAsia" w:ascii="宋体" w:hAnsi="宋体" w:cs="宋体"/>
                <w:b/>
                <w:szCs w:val="21"/>
                <w:highlight w:val="none"/>
              </w:rPr>
              <w:t>小写：         元</w:t>
            </w:r>
          </w:p>
        </w:tc>
      </w:tr>
      <w:tr w14:paraId="5E55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393" w:type="dxa"/>
            <w:vMerge w:val="restart"/>
            <w:tcBorders>
              <w:top w:val="single" w:color="auto" w:sz="4" w:space="0"/>
              <w:left w:val="single" w:color="auto" w:sz="4" w:space="0"/>
              <w:right w:val="single" w:color="auto" w:sz="4" w:space="0"/>
            </w:tcBorders>
            <w:vAlign w:val="center"/>
          </w:tcPr>
          <w:p w14:paraId="7E96B381">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其</w:t>
            </w:r>
          </w:p>
          <w:p w14:paraId="274A8AED">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中</w:t>
            </w:r>
          </w:p>
        </w:tc>
        <w:tc>
          <w:tcPr>
            <w:tcW w:w="2878" w:type="dxa"/>
            <w:tcBorders>
              <w:top w:val="single" w:color="auto" w:sz="4" w:space="0"/>
              <w:left w:val="single" w:color="auto" w:sz="4" w:space="0"/>
              <w:right w:val="single" w:color="auto" w:sz="4" w:space="0"/>
            </w:tcBorders>
            <w:vAlign w:val="center"/>
          </w:tcPr>
          <w:p w14:paraId="537954AF">
            <w:pPr>
              <w:adjustRightInd w:val="0"/>
              <w:spacing w:line="500" w:lineRule="exact"/>
              <w:jc w:val="center"/>
              <w:rPr>
                <w:rFonts w:hint="eastAsia" w:ascii="宋体" w:hAnsi="宋体" w:cs="宋体"/>
                <w:b/>
                <w:szCs w:val="21"/>
                <w:highlight w:val="none"/>
                <w:lang w:eastAsia="zh-CN"/>
              </w:rPr>
            </w:pPr>
            <w:r>
              <w:rPr>
                <w:rFonts w:hint="eastAsia" w:ascii="宋体" w:hAnsi="宋体" w:cs="宋体"/>
                <w:b/>
                <w:szCs w:val="21"/>
                <w:highlight w:val="none"/>
                <w:lang w:val="zh-CN"/>
              </w:rPr>
              <w:t>动迁服务费</w:t>
            </w:r>
          </w:p>
          <w:p w14:paraId="1F2120A2">
            <w:pPr>
              <w:adjustRightInd w:val="0"/>
              <w:spacing w:line="500" w:lineRule="exact"/>
              <w:jc w:val="center"/>
              <w:rPr>
                <w:rFonts w:hint="eastAsia" w:ascii="宋体" w:hAnsi="宋体" w:eastAsia="宋体" w:cs="宋体"/>
                <w:b/>
                <w:szCs w:val="21"/>
                <w:highlight w:val="none"/>
                <w:lang w:val="zh-CN" w:eastAsia="zh-CN"/>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含税</w:t>
            </w:r>
            <w:r>
              <w:rPr>
                <w:rFonts w:hint="eastAsia" w:ascii="宋体" w:hAnsi="宋体" w:cs="宋体"/>
                <w:b/>
                <w:szCs w:val="21"/>
                <w:highlight w:val="none"/>
                <w:lang w:eastAsia="zh-CN"/>
              </w:rPr>
              <w:t>）</w:t>
            </w:r>
          </w:p>
        </w:tc>
        <w:tc>
          <w:tcPr>
            <w:tcW w:w="6619" w:type="dxa"/>
            <w:gridSpan w:val="2"/>
            <w:tcBorders>
              <w:top w:val="single" w:color="auto" w:sz="4" w:space="0"/>
              <w:left w:val="single" w:color="auto" w:sz="4" w:space="0"/>
              <w:right w:val="single" w:color="auto" w:sz="4" w:space="0"/>
            </w:tcBorders>
            <w:vAlign w:val="center"/>
          </w:tcPr>
          <w:p w14:paraId="4EF272BB">
            <w:pPr>
              <w:adjustRightInd w:val="0"/>
              <w:spacing w:line="500" w:lineRule="exact"/>
              <w:jc w:val="left"/>
              <w:rPr>
                <w:rFonts w:hint="eastAsia" w:ascii="宋体" w:hAnsi="宋体" w:cs="宋体"/>
                <w:b/>
                <w:szCs w:val="21"/>
                <w:highlight w:val="none"/>
              </w:rPr>
            </w:pPr>
            <w:r>
              <w:rPr>
                <w:rFonts w:hint="eastAsia" w:ascii="宋体" w:hAnsi="宋体" w:cs="宋体"/>
                <w:b/>
                <w:szCs w:val="21"/>
                <w:highlight w:val="none"/>
              </w:rPr>
              <w:t>小写：         元</w:t>
            </w:r>
          </w:p>
          <w:p w14:paraId="7057811D">
            <w:pPr>
              <w:adjustRightInd w:val="0"/>
              <w:spacing w:line="500" w:lineRule="exact"/>
              <w:jc w:val="left"/>
              <w:rPr>
                <w:rFonts w:hint="default" w:ascii="宋体" w:hAnsi="宋体" w:eastAsia="宋体" w:cs="宋体"/>
                <w:kern w:val="1"/>
                <w:szCs w:val="21"/>
                <w:highlight w:val="none"/>
                <w:lang w:val="en-US" w:eastAsia="zh-CN"/>
              </w:rPr>
            </w:pPr>
            <w:r>
              <w:rPr>
                <w:rFonts w:hint="eastAsia" w:ascii="宋体" w:hAnsi="宋体" w:cs="宋体"/>
                <w:kern w:val="1"/>
                <w:szCs w:val="21"/>
                <w:highlight w:val="none"/>
                <w:lang w:val="zh-CN"/>
              </w:rPr>
              <w:t>下浮率：</w:t>
            </w:r>
            <w:r>
              <w:rPr>
                <w:rFonts w:hint="eastAsia" w:ascii="宋体" w:hAnsi="宋体" w:cs="宋体"/>
                <w:kern w:val="1"/>
                <w:szCs w:val="21"/>
                <w:highlight w:val="none"/>
                <w:lang w:val="en-US" w:eastAsia="zh-CN"/>
              </w:rPr>
              <w:t xml:space="preserve">  </w:t>
            </w:r>
            <w:r>
              <w:rPr>
                <w:rFonts w:hint="eastAsia" w:ascii="宋体" w:hAnsi="宋体" w:cs="宋体"/>
                <w:kern w:val="1"/>
                <w:szCs w:val="21"/>
                <w:highlight w:val="none"/>
                <w:u w:val="single"/>
                <w:lang w:val="en-US" w:eastAsia="zh-CN"/>
              </w:rPr>
              <w:t xml:space="preserve">   %</w:t>
            </w:r>
          </w:p>
          <w:p w14:paraId="648405A7">
            <w:pPr>
              <w:adjustRightInd w:val="0"/>
              <w:spacing w:line="500" w:lineRule="exact"/>
              <w:jc w:val="left"/>
              <w:rPr>
                <w:rFonts w:hint="eastAsia" w:ascii="宋体" w:hAnsi="宋体" w:cs="宋体"/>
                <w:kern w:val="1"/>
                <w:sz w:val="21"/>
                <w:szCs w:val="21"/>
                <w:highlight w:val="none"/>
                <w:lang w:val="zh-CN"/>
              </w:rPr>
            </w:pPr>
            <w:r>
              <w:rPr>
                <w:rFonts w:hint="eastAsia" w:ascii="宋体" w:hAnsi="宋体" w:cs="宋体"/>
                <w:kern w:val="1"/>
                <w:sz w:val="21"/>
                <w:szCs w:val="21"/>
                <w:highlight w:val="none"/>
                <w:lang w:val="zh-CN" w:eastAsia="zh-CN"/>
              </w:rPr>
              <w:t>注：下浮率=【1-（动迁服务费投标报价/动迁服务费发包基准价）】*100%</w:t>
            </w:r>
          </w:p>
        </w:tc>
      </w:tr>
      <w:tr w14:paraId="1557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393" w:type="dxa"/>
            <w:vMerge w:val="continue"/>
            <w:tcBorders>
              <w:left w:val="single" w:color="auto" w:sz="4" w:space="0"/>
              <w:right w:val="single" w:color="auto" w:sz="4" w:space="0"/>
            </w:tcBorders>
            <w:vAlign w:val="center"/>
          </w:tcPr>
          <w:p w14:paraId="3245BB52">
            <w:pPr>
              <w:adjustRightInd w:val="0"/>
              <w:spacing w:line="400" w:lineRule="exact"/>
              <w:jc w:val="center"/>
              <w:rPr>
                <w:rFonts w:ascii="宋体" w:hAnsi="宋体" w:cs="宋体"/>
                <w:b/>
                <w:szCs w:val="21"/>
                <w:highlight w:val="none"/>
                <w:lang w:val="zh-CN"/>
              </w:rPr>
            </w:pPr>
          </w:p>
        </w:tc>
        <w:tc>
          <w:tcPr>
            <w:tcW w:w="2878" w:type="dxa"/>
            <w:tcBorders>
              <w:left w:val="single" w:color="auto" w:sz="4" w:space="0"/>
              <w:right w:val="single" w:color="auto" w:sz="4" w:space="0"/>
            </w:tcBorders>
            <w:vAlign w:val="center"/>
          </w:tcPr>
          <w:p w14:paraId="5F08AFDE">
            <w:pPr>
              <w:adjustRightInd w:val="0"/>
              <w:spacing w:line="500" w:lineRule="exact"/>
              <w:jc w:val="center"/>
              <w:rPr>
                <w:rFonts w:ascii="宋体" w:hAnsi="宋体" w:cs="宋体"/>
                <w:b/>
                <w:szCs w:val="21"/>
                <w:highlight w:val="none"/>
              </w:rPr>
            </w:pPr>
            <w:r>
              <w:rPr>
                <w:rFonts w:hint="eastAsia" w:ascii="宋体" w:hAnsi="宋体" w:cs="宋体"/>
                <w:b/>
                <w:szCs w:val="21"/>
                <w:highlight w:val="none"/>
                <w:lang w:val="en-US" w:eastAsia="zh-CN"/>
              </w:rPr>
              <w:t>施工费</w:t>
            </w:r>
            <w:r>
              <w:rPr>
                <w:rFonts w:hint="eastAsia" w:ascii="宋体" w:hAnsi="宋体" w:cs="宋体"/>
                <w:b/>
                <w:szCs w:val="21"/>
                <w:highlight w:val="none"/>
                <w:lang w:val="zh-CN"/>
              </w:rPr>
              <w:t>（</w:t>
            </w:r>
            <w:r>
              <w:rPr>
                <w:rFonts w:hint="eastAsia" w:ascii="宋体" w:hAnsi="宋体" w:cs="宋体"/>
                <w:b/>
                <w:szCs w:val="21"/>
                <w:highlight w:val="none"/>
                <w:lang w:val="en-US" w:eastAsia="zh-CN"/>
              </w:rPr>
              <w:t>含税</w:t>
            </w:r>
            <w:r>
              <w:rPr>
                <w:rFonts w:hint="eastAsia" w:ascii="宋体" w:hAnsi="宋体" w:cs="宋体"/>
                <w:b/>
                <w:szCs w:val="21"/>
                <w:highlight w:val="none"/>
                <w:lang w:val="zh-CN"/>
              </w:rPr>
              <w:t>）</w:t>
            </w:r>
          </w:p>
        </w:tc>
        <w:tc>
          <w:tcPr>
            <w:tcW w:w="6619" w:type="dxa"/>
            <w:gridSpan w:val="2"/>
            <w:tcBorders>
              <w:top w:val="single" w:color="auto" w:sz="4" w:space="0"/>
              <w:left w:val="single" w:color="auto" w:sz="4" w:space="0"/>
              <w:right w:val="single" w:color="auto" w:sz="4" w:space="0"/>
            </w:tcBorders>
            <w:vAlign w:val="center"/>
          </w:tcPr>
          <w:p w14:paraId="331BDB25">
            <w:pPr>
              <w:autoSpaceDE w:val="0"/>
              <w:autoSpaceDN w:val="0"/>
              <w:adjustRightInd w:val="0"/>
              <w:spacing w:line="500" w:lineRule="exact"/>
              <w:jc w:val="left"/>
              <w:rPr>
                <w:rFonts w:hint="eastAsia" w:ascii="宋体" w:hAnsi="宋体" w:cs="宋体"/>
                <w:b/>
                <w:szCs w:val="21"/>
                <w:highlight w:val="none"/>
              </w:rPr>
            </w:pPr>
            <w:r>
              <w:rPr>
                <w:rFonts w:hint="eastAsia" w:ascii="宋体" w:hAnsi="宋体" w:cs="宋体"/>
                <w:b/>
                <w:szCs w:val="21"/>
                <w:highlight w:val="none"/>
              </w:rPr>
              <w:t>小写：         元</w:t>
            </w:r>
          </w:p>
          <w:p w14:paraId="749AA163">
            <w:pPr>
              <w:autoSpaceDE w:val="0"/>
              <w:autoSpaceDN w:val="0"/>
              <w:adjustRightInd w:val="0"/>
              <w:spacing w:line="500" w:lineRule="exact"/>
              <w:jc w:val="left"/>
              <w:rPr>
                <w:rFonts w:ascii="宋体" w:hAnsi="宋体" w:eastAsia="宋体" w:cs="宋体"/>
                <w:kern w:val="1"/>
                <w:szCs w:val="21"/>
                <w:highlight w:val="none"/>
                <w:lang w:val="zh-CN"/>
              </w:rPr>
            </w:pPr>
            <w:r>
              <w:rPr>
                <w:rFonts w:hint="eastAsia" w:ascii="宋体" w:hAnsi="宋体" w:eastAsia="宋体" w:cs="宋体"/>
                <w:kern w:val="1"/>
                <w:szCs w:val="21"/>
                <w:highlight w:val="none"/>
                <w:lang w:val="zh-CN"/>
              </w:rPr>
              <w:t>下浮率：</w:t>
            </w:r>
            <w:r>
              <w:rPr>
                <w:rFonts w:hint="eastAsia" w:ascii="宋体" w:hAnsi="宋体" w:cs="宋体"/>
                <w:kern w:val="1"/>
                <w:szCs w:val="21"/>
                <w:highlight w:val="none"/>
                <w:lang w:val="en-US" w:eastAsia="zh-CN"/>
              </w:rPr>
              <w:t xml:space="preserve">   </w:t>
            </w:r>
            <w:r>
              <w:rPr>
                <w:rFonts w:hint="eastAsia" w:ascii="宋体" w:hAnsi="宋体" w:eastAsia="宋体" w:cs="宋体"/>
                <w:kern w:val="1"/>
                <w:szCs w:val="21"/>
                <w:highlight w:val="none"/>
                <w:u w:val="single"/>
              </w:rPr>
              <w:t xml:space="preserve">   %</w:t>
            </w:r>
          </w:p>
          <w:p w14:paraId="0ECDCF04">
            <w:pPr>
              <w:autoSpaceDE w:val="0"/>
              <w:autoSpaceDN w:val="0"/>
              <w:adjustRightInd w:val="0"/>
              <w:spacing w:line="500" w:lineRule="exact"/>
              <w:jc w:val="left"/>
              <w:rPr>
                <w:rFonts w:hint="eastAsia" w:ascii="宋体" w:hAnsi="Times New Roman" w:eastAsia="宋体" w:cs="Times New Roman"/>
                <w:sz w:val="24"/>
                <w:szCs w:val="24"/>
                <w:highlight w:val="none"/>
                <w:lang w:val="zh-CN"/>
              </w:rPr>
            </w:pPr>
            <w:r>
              <w:rPr>
                <w:rFonts w:hint="eastAsia" w:ascii="宋体" w:hAnsi="宋体" w:eastAsia="宋体" w:cs="宋体"/>
                <w:kern w:val="1"/>
                <w:szCs w:val="21"/>
                <w:highlight w:val="none"/>
              </w:rPr>
              <w:t>注：下浮率=【1-（</w:t>
            </w:r>
            <w:r>
              <w:rPr>
                <w:rFonts w:hint="eastAsia" w:ascii="宋体" w:hAnsi="宋体" w:cs="宋体"/>
                <w:kern w:val="1"/>
                <w:szCs w:val="21"/>
                <w:highlight w:val="none"/>
                <w:lang w:eastAsia="zh-CN"/>
              </w:rPr>
              <w:t>施工费</w:t>
            </w:r>
            <w:r>
              <w:rPr>
                <w:rFonts w:hint="eastAsia" w:ascii="宋体" w:hAnsi="宋体" w:eastAsia="宋体" w:cs="宋体"/>
                <w:kern w:val="1"/>
                <w:szCs w:val="21"/>
                <w:highlight w:val="none"/>
              </w:rPr>
              <w:t>投标报价/</w:t>
            </w:r>
            <w:r>
              <w:rPr>
                <w:rFonts w:hint="eastAsia" w:ascii="宋体" w:hAnsi="宋体" w:cs="宋体"/>
                <w:kern w:val="1"/>
                <w:szCs w:val="21"/>
                <w:highlight w:val="none"/>
                <w:lang w:eastAsia="zh-CN"/>
              </w:rPr>
              <w:t>施工费</w:t>
            </w:r>
            <w:r>
              <w:rPr>
                <w:rFonts w:hint="eastAsia" w:ascii="宋体" w:hAnsi="宋体" w:eastAsia="宋体" w:cs="宋体"/>
                <w:kern w:val="1"/>
                <w:szCs w:val="21"/>
                <w:highlight w:val="none"/>
              </w:rPr>
              <w:t>发包基准价）】*100%</w:t>
            </w:r>
          </w:p>
        </w:tc>
      </w:tr>
      <w:tr w14:paraId="6CD5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6A701BF5">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投标总工期</w:t>
            </w:r>
          </w:p>
        </w:tc>
        <w:tc>
          <w:tcPr>
            <w:tcW w:w="6619" w:type="dxa"/>
            <w:gridSpan w:val="2"/>
            <w:tcBorders>
              <w:top w:val="single" w:color="auto" w:sz="4" w:space="0"/>
              <w:left w:val="single" w:color="auto" w:sz="4" w:space="0"/>
              <w:bottom w:val="single" w:color="auto" w:sz="4" w:space="0"/>
              <w:right w:val="single" w:color="auto" w:sz="4" w:space="0"/>
            </w:tcBorders>
            <w:vAlign w:val="center"/>
          </w:tcPr>
          <w:p w14:paraId="1F05CB8B">
            <w:pPr>
              <w:pStyle w:val="165"/>
              <w:adjustRightInd w:val="0"/>
              <w:spacing w:line="400" w:lineRule="exact"/>
              <w:ind w:firstLine="0" w:firstLineChars="0"/>
              <w:rPr>
                <w:rFonts w:ascii="宋体" w:hAnsi="宋体" w:cs="宋体"/>
                <w:b/>
                <w:szCs w:val="21"/>
                <w:highlight w:val="none"/>
              </w:rPr>
            </w:pPr>
            <w:r>
              <w:rPr>
                <w:rFonts w:hint="eastAsia" w:ascii="宋体" w:hAnsi="宋体" w:eastAsia="宋体" w:cs="宋体"/>
                <w:b/>
                <w:sz w:val="21"/>
                <w:szCs w:val="21"/>
                <w:highlight w:val="none"/>
              </w:rPr>
              <w:t>按招标文件要求</w:t>
            </w:r>
          </w:p>
        </w:tc>
      </w:tr>
      <w:tr w14:paraId="2C02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1EEFE81B">
            <w:pPr>
              <w:adjustRightInd w:val="0"/>
              <w:spacing w:line="400" w:lineRule="exact"/>
              <w:jc w:val="center"/>
              <w:rPr>
                <w:rFonts w:ascii="宋体" w:hAnsi="宋体" w:cs="宋体"/>
                <w:b/>
                <w:szCs w:val="21"/>
                <w:highlight w:val="none"/>
              </w:rPr>
            </w:pPr>
            <w:r>
              <w:rPr>
                <w:rFonts w:hint="eastAsia" w:ascii="宋体" w:hAnsi="宋体" w:cs="宋体"/>
                <w:b/>
                <w:szCs w:val="21"/>
                <w:highlight w:val="none"/>
                <w:lang w:val="zh-CN"/>
              </w:rPr>
              <w:t>质量标准</w:t>
            </w:r>
          </w:p>
        </w:tc>
        <w:tc>
          <w:tcPr>
            <w:tcW w:w="6619" w:type="dxa"/>
            <w:gridSpan w:val="2"/>
            <w:tcBorders>
              <w:top w:val="single" w:color="auto" w:sz="4" w:space="0"/>
              <w:left w:val="single" w:color="auto" w:sz="4" w:space="0"/>
              <w:bottom w:val="single" w:color="auto" w:sz="4" w:space="0"/>
              <w:right w:val="single" w:color="auto" w:sz="4" w:space="0"/>
            </w:tcBorders>
            <w:vAlign w:val="center"/>
          </w:tcPr>
          <w:p w14:paraId="0FCE1DAC">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14:paraId="0DE0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7012D129">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保修期限</w:t>
            </w:r>
          </w:p>
        </w:tc>
        <w:tc>
          <w:tcPr>
            <w:tcW w:w="6619" w:type="dxa"/>
            <w:gridSpan w:val="2"/>
            <w:tcBorders>
              <w:top w:val="single" w:color="auto" w:sz="4" w:space="0"/>
              <w:left w:val="single" w:color="auto" w:sz="4" w:space="0"/>
              <w:bottom w:val="single" w:color="auto" w:sz="4" w:space="0"/>
              <w:right w:val="single" w:color="auto" w:sz="4" w:space="0"/>
            </w:tcBorders>
            <w:vAlign w:val="center"/>
          </w:tcPr>
          <w:p w14:paraId="65BFFBCD">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14:paraId="4E68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6D50ABE8">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委派的项目负责人</w:t>
            </w:r>
          </w:p>
          <w:p w14:paraId="6A0F50EA">
            <w:pPr>
              <w:pStyle w:val="15"/>
              <w:spacing w:line="400" w:lineRule="exact"/>
              <w:ind w:firstLine="430"/>
              <w:rPr>
                <w:rFonts w:ascii="宋体" w:hAnsi="宋体"/>
                <w:b/>
                <w:bCs/>
                <w:highlight w:val="none"/>
                <w:lang w:val="zh-CN"/>
              </w:rPr>
            </w:pPr>
            <w:r>
              <w:rPr>
                <w:rFonts w:hint="eastAsia" w:ascii="宋体" w:hAnsi="宋体"/>
                <w:b/>
                <w:bCs/>
                <w:highlight w:val="none"/>
                <w:lang w:val="zh-CN"/>
              </w:rPr>
              <w:t>（兼任施工负责人）</w:t>
            </w:r>
          </w:p>
        </w:tc>
        <w:tc>
          <w:tcPr>
            <w:tcW w:w="1640" w:type="dxa"/>
            <w:tcBorders>
              <w:top w:val="single" w:color="auto" w:sz="4" w:space="0"/>
              <w:left w:val="single" w:color="auto" w:sz="4" w:space="0"/>
              <w:bottom w:val="single" w:color="auto" w:sz="4" w:space="0"/>
              <w:right w:val="single" w:color="auto" w:sz="4" w:space="0"/>
            </w:tcBorders>
            <w:vAlign w:val="center"/>
          </w:tcPr>
          <w:p w14:paraId="79440C6D">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4979" w:type="dxa"/>
            <w:tcBorders>
              <w:top w:val="single" w:color="auto" w:sz="4" w:space="0"/>
              <w:left w:val="single" w:color="auto" w:sz="4" w:space="0"/>
              <w:bottom w:val="single" w:color="auto" w:sz="4" w:space="0"/>
              <w:right w:val="single" w:color="auto" w:sz="4" w:space="0"/>
            </w:tcBorders>
            <w:vAlign w:val="center"/>
          </w:tcPr>
          <w:p w14:paraId="14C4640E">
            <w:pPr>
              <w:adjustRightInd w:val="0"/>
              <w:spacing w:line="400" w:lineRule="exact"/>
              <w:rPr>
                <w:rFonts w:ascii="宋体" w:hAnsi="宋体" w:cs="宋体"/>
                <w:b/>
                <w:szCs w:val="21"/>
                <w:highlight w:val="none"/>
              </w:rPr>
            </w:pPr>
          </w:p>
        </w:tc>
      </w:tr>
      <w:tr w14:paraId="283F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221CD1B7">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委派的</w:t>
            </w:r>
            <w:r>
              <w:rPr>
                <w:rFonts w:hint="eastAsia" w:ascii="宋体" w:hAnsi="宋体" w:cs="宋体"/>
                <w:b/>
                <w:szCs w:val="21"/>
                <w:highlight w:val="none"/>
              </w:rPr>
              <w:t>专职</w:t>
            </w:r>
            <w:r>
              <w:rPr>
                <w:rFonts w:hint="eastAsia" w:ascii="宋体" w:hAnsi="宋体" w:cs="宋体"/>
                <w:b/>
                <w:szCs w:val="21"/>
                <w:highlight w:val="none"/>
                <w:lang w:val="zh-CN"/>
              </w:rPr>
              <w:t>安全员</w:t>
            </w:r>
          </w:p>
        </w:tc>
        <w:tc>
          <w:tcPr>
            <w:tcW w:w="1640" w:type="dxa"/>
            <w:tcBorders>
              <w:top w:val="single" w:color="auto" w:sz="4" w:space="0"/>
              <w:left w:val="single" w:color="auto" w:sz="4" w:space="0"/>
              <w:bottom w:val="single" w:color="auto" w:sz="4" w:space="0"/>
              <w:right w:val="single" w:color="auto" w:sz="4" w:space="0"/>
            </w:tcBorders>
            <w:vAlign w:val="center"/>
          </w:tcPr>
          <w:p w14:paraId="731CB7C3">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4979" w:type="dxa"/>
            <w:tcBorders>
              <w:top w:val="single" w:color="auto" w:sz="4" w:space="0"/>
              <w:left w:val="single" w:color="auto" w:sz="4" w:space="0"/>
              <w:bottom w:val="single" w:color="auto" w:sz="4" w:space="0"/>
              <w:right w:val="single" w:color="auto" w:sz="4" w:space="0"/>
            </w:tcBorders>
            <w:vAlign w:val="center"/>
          </w:tcPr>
          <w:p w14:paraId="38105B00">
            <w:pPr>
              <w:adjustRightInd w:val="0"/>
              <w:spacing w:line="400" w:lineRule="exact"/>
              <w:rPr>
                <w:rFonts w:ascii="宋体" w:hAnsi="宋体" w:cs="宋体"/>
                <w:b/>
                <w:szCs w:val="21"/>
                <w:highlight w:val="none"/>
              </w:rPr>
            </w:pPr>
          </w:p>
        </w:tc>
      </w:tr>
      <w:tr w14:paraId="02FC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511CFB30">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投标有效期</w:t>
            </w:r>
          </w:p>
        </w:tc>
        <w:tc>
          <w:tcPr>
            <w:tcW w:w="6619" w:type="dxa"/>
            <w:gridSpan w:val="2"/>
            <w:tcBorders>
              <w:top w:val="single" w:color="auto" w:sz="4" w:space="0"/>
              <w:left w:val="single" w:color="auto" w:sz="4" w:space="0"/>
              <w:bottom w:val="single" w:color="auto" w:sz="4" w:space="0"/>
              <w:right w:val="single" w:color="auto" w:sz="4" w:space="0"/>
            </w:tcBorders>
            <w:vAlign w:val="center"/>
          </w:tcPr>
          <w:p w14:paraId="2C0062B7">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14:paraId="2549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14:paraId="67D46DDB">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投标单位（盖章）</w:t>
            </w:r>
          </w:p>
        </w:tc>
        <w:tc>
          <w:tcPr>
            <w:tcW w:w="6619" w:type="dxa"/>
            <w:gridSpan w:val="2"/>
            <w:tcBorders>
              <w:top w:val="single" w:color="auto" w:sz="4" w:space="0"/>
              <w:left w:val="single" w:color="auto" w:sz="4" w:space="0"/>
              <w:bottom w:val="single" w:color="auto" w:sz="4" w:space="0"/>
              <w:right w:val="single" w:color="auto" w:sz="4" w:space="0"/>
            </w:tcBorders>
            <w:vAlign w:val="center"/>
          </w:tcPr>
          <w:p w14:paraId="7A31F14D">
            <w:pPr>
              <w:adjustRightInd w:val="0"/>
              <w:spacing w:line="400" w:lineRule="exact"/>
              <w:rPr>
                <w:rFonts w:ascii="宋体" w:hAnsi="宋体" w:cs="宋体"/>
                <w:b/>
                <w:szCs w:val="21"/>
                <w:highlight w:val="none"/>
              </w:rPr>
            </w:pPr>
          </w:p>
        </w:tc>
      </w:tr>
    </w:tbl>
    <w:p w14:paraId="5959DABC">
      <w:pPr>
        <w:pStyle w:val="15"/>
        <w:ind w:firstLine="0"/>
        <w:rPr>
          <w:rFonts w:ascii="宋体" w:hAnsi="宋体" w:cs="宋体"/>
          <w:szCs w:val="21"/>
          <w:highlight w:val="none"/>
        </w:rPr>
      </w:pPr>
      <w:r>
        <w:rPr>
          <w:rFonts w:hint="eastAsia" w:ascii="宋体" w:hAnsi="宋体" w:cs="宋体"/>
          <w:szCs w:val="21"/>
          <w:highlight w:val="none"/>
        </w:rPr>
        <w:t>注：1.联合体投标的，“投标单位”一栏需书写所有联合体成员的单位全称，并由联合体主办方按要求签字或盖章，联合体其他成员可不签字或盖章。</w:t>
      </w:r>
    </w:p>
    <w:p w14:paraId="444CF64B">
      <w:pPr>
        <w:pStyle w:val="15"/>
        <w:ind w:firstLine="428"/>
        <w:rPr>
          <w:rFonts w:ascii="宋体" w:hAnsi="宋体" w:cs="宋体"/>
          <w:szCs w:val="21"/>
          <w:highlight w:val="none"/>
        </w:rPr>
      </w:pPr>
      <w:r>
        <w:rPr>
          <w:rFonts w:hint="eastAsia" w:ascii="宋体" w:hAnsi="宋体" w:cs="宋体"/>
          <w:szCs w:val="21"/>
          <w:highlight w:val="none"/>
        </w:rPr>
        <w:t>2.投标报价为人民币报价，以元为单位，小数点后保留二位小数，第三位小数四舍五入。投标总报价的大写金额和小写金额不一致的，以大写金额为准。下浮率的填报，小数点后保留二位小数，第三位小数四舍五入。</w:t>
      </w:r>
    </w:p>
    <w:p w14:paraId="6E3D0FE9">
      <w:pPr>
        <w:pStyle w:val="15"/>
        <w:ind w:firstLine="428"/>
        <w:rPr>
          <w:rFonts w:ascii="宋体" w:hAnsi="宋体" w:cs="宋体"/>
          <w:szCs w:val="21"/>
          <w:highlight w:val="none"/>
        </w:rPr>
      </w:pPr>
      <w:r>
        <w:rPr>
          <w:rFonts w:hint="eastAsia" w:ascii="宋体" w:hAnsi="宋体" w:cs="宋体"/>
          <w:szCs w:val="21"/>
          <w:highlight w:val="none"/>
        </w:rPr>
        <w:t>3.“工期”、“质量标准”、“保修期限”可以填写“按招标文件要求”或按招标文件内容填写。</w:t>
      </w:r>
    </w:p>
    <w:p w14:paraId="0D747357">
      <w:pPr>
        <w:ind w:firstLine="420" w:firstLineChars="200"/>
        <w:outlineLvl w:val="1"/>
        <w:rPr>
          <w:rFonts w:hint="eastAsia" w:ascii="宋体" w:hAnsi="宋体" w:cs="宋体"/>
          <w:highlight w:val="none"/>
        </w:rPr>
      </w:pPr>
    </w:p>
    <w:p w14:paraId="4135F03E">
      <w:pPr>
        <w:autoSpaceDE/>
        <w:autoSpaceDN/>
        <w:adjustRightInd/>
        <w:spacing w:line="240" w:lineRule="auto"/>
        <w:jc w:val="left"/>
        <w:outlineLvl w:val="1"/>
        <w:rPr>
          <w:rFonts w:ascii="宋体" w:hAnsi="宋体" w:cs="宋体"/>
          <w:b/>
          <w:bCs/>
          <w:sz w:val="32"/>
          <w:szCs w:val="32"/>
          <w:highlight w:val="none"/>
          <w:lang w:val="zh-CN"/>
        </w:rPr>
      </w:pPr>
      <w:r>
        <w:rPr>
          <w:rFonts w:hint="eastAsia" w:ascii="宋体" w:hAnsi="宋体" w:cs="宋体"/>
          <w:highlight w:val="none"/>
        </w:rPr>
        <w:br w:type="page"/>
      </w:r>
      <w:bookmarkStart w:id="565" w:name="_Toc123901762"/>
      <w:bookmarkStart w:id="566" w:name="_Toc116461797"/>
      <w:r>
        <w:rPr>
          <w:rFonts w:hint="eastAsia" w:ascii="宋体" w:hAnsi="宋体" w:cs="宋体"/>
          <w:b/>
          <w:kern w:val="1"/>
          <w:szCs w:val="21"/>
          <w:highlight w:val="none"/>
          <w:lang w:val="zh-CN"/>
        </w:rPr>
        <w:t>格式3：投标报价表</w:t>
      </w:r>
      <w:bookmarkEnd w:id="565"/>
      <w:bookmarkEnd w:id="566"/>
    </w:p>
    <w:p w14:paraId="5F29855B">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投标报价表</w:t>
      </w:r>
    </w:p>
    <w:tbl>
      <w:tblPr>
        <w:tblStyle w:val="45"/>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334"/>
        <w:gridCol w:w="2595"/>
        <w:gridCol w:w="1608"/>
        <w:gridCol w:w="1371"/>
      </w:tblGrid>
      <w:tr w14:paraId="5E43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14:paraId="4215565C">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序号</w:t>
            </w:r>
          </w:p>
        </w:tc>
        <w:tc>
          <w:tcPr>
            <w:tcW w:w="2334" w:type="dxa"/>
          </w:tcPr>
          <w:p w14:paraId="0A259B57">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项目名称</w:t>
            </w:r>
          </w:p>
        </w:tc>
        <w:tc>
          <w:tcPr>
            <w:tcW w:w="2595" w:type="dxa"/>
          </w:tcPr>
          <w:p w14:paraId="23F70608">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报价项目</w:t>
            </w:r>
          </w:p>
        </w:tc>
        <w:tc>
          <w:tcPr>
            <w:tcW w:w="1608" w:type="dxa"/>
          </w:tcPr>
          <w:p w14:paraId="77756338">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金额（元）</w:t>
            </w:r>
          </w:p>
        </w:tc>
        <w:tc>
          <w:tcPr>
            <w:tcW w:w="1371" w:type="dxa"/>
          </w:tcPr>
          <w:p w14:paraId="4FACBC09">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备注</w:t>
            </w:r>
          </w:p>
        </w:tc>
      </w:tr>
      <w:tr w14:paraId="46FD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77" w:type="dxa"/>
            <w:vMerge w:val="restart"/>
            <w:vAlign w:val="center"/>
          </w:tcPr>
          <w:p w14:paraId="5B6C2040">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一</w:t>
            </w:r>
          </w:p>
        </w:tc>
        <w:tc>
          <w:tcPr>
            <w:tcW w:w="2334" w:type="dxa"/>
            <w:vMerge w:val="restart"/>
            <w:vAlign w:val="center"/>
          </w:tcPr>
          <w:p w14:paraId="7B0C4E26">
            <w:pPr>
              <w:adjustRightInd w:val="0"/>
              <w:spacing w:line="360" w:lineRule="auto"/>
              <w:jc w:val="center"/>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广州市黄埔区南岗街南岗西路城中村改造项目房屋拆除工程及动迁服务</w:t>
            </w:r>
          </w:p>
        </w:tc>
        <w:tc>
          <w:tcPr>
            <w:tcW w:w="2595" w:type="dxa"/>
            <w:vAlign w:val="center"/>
          </w:tcPr>
          <w:p w14:paraId="2156BDC6">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动迁服务费</w:t>
            </w:r>
          </w:p>
          <w:p w14:paraId="16CA8F89">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val="zh-CN" w:eastAsia="zh-CN"/>
              </w:rPr>
              <w:t>）</w:t>
            </w:r>
          </w:p>
        </w:tc>
        <w:tc>
          <w:tcPr>
            <w:tcW w:w="1608" w:type="dxa"/>
            <w:vAlign w:val="center"/>
          </w:tcPr>
          <w:p w14:paraId="3E078AE0">
            <w:pPr>
              <w:adjustRightInd w:val="0"/>
              <w:spacing w:line="360" w:lineRule="auto"/>
              <w:jc w:val="center"/>
              <w:rPr>
                <w:rFonts w:hint="eastAsia" w:ascii="宋体" w:hAnsi="宋体" w:cs="宋体"/>
                <w:kern w:val="1"/>
                <w:szCs w:val="21"/>
                <w:highlight w:val="none"/>
                <w:lang w:val="zh-CN" w:eastAsia="zh-CN"/>
              </w:rPr>
            </w:pPr>
          </w:p>
        </w:tc>
        <w:tc>
          <w:tcPr>
            <w:tcW w:w="1371" w:type="dxa"/>
            <w:vAlign w:val="center"/>
          </w:tcPr>
          <w:p w14:paraId="3A9F0C71">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w:t>
            </w:r>
          </w:p>
        </w:tc>
      </w:tr>
      <w:tr w14:paraId="1828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Merge w:val="continue"/>
            <w:vAlign w:val="center"/>
          </w:tcPr>
          <w:p w14:paraId="2B74C44E">
            <w:pPr>
              <w:adjustRightInd w:val="0"/>
              <w:spacing w:line="360" w:lineRule="auto"/>
              <w:jc w:val="center"/>
              <w:rPr>
                <w:rFonts w:hint="eastAsia" w:ascii="宋体" w:hAnsi="宋体" w:cs="宋体"/>
                <w:kern w:val="1"/>
                <w:szCs w:val="21"/>
                <w:highlight w:val="none"/>
                <w:lang w:val="zh-CN" w:eastAsia="zh-CN"/>
              </w:rPr>
            </w:pPr>
          </w:p>
        </w:tc>
        <w:tc>
          <w:tcPr>
            <w:tcW w:w="2334" w:type="dxa"/>
            <w:vMerge w:val="continue"/>
            <w:vAlign w:val="center"/>
          </w:tcPr>
          <w:p w14:paraId="2E5B1F40">
            <w:pPr>
              <w:adjustRightInd w:val="0"/>
              <w:spacing w:line="360" w:lineRule="auto"/>
              <w:jc w:val="center"/>
              <w:rPr>
                <w:rFonts w:hint="eastAsia" w:ascii="宋体" w:hAnsi="宋体" w:cs="宋体"/>
                <w:kern w:val="1"/>
                <w:szCs w:val="21"/>
                <w:highlight w:val="none"/>
                <w:lang w:val="zh-CN" w:eastAsia="zh-CN"/>
              </w:rPr>
            </w:pPr>
          </w:p>
        </w:tc>
        <w:tc>
          <w:tcPr>
            <w:tcW w:w="2595" w:type="dxa"/>
            <w:vAlign w:val="center"/>
          </w:tcPr>
          <w:p w14:paraId="7274C324">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施工费</w:t>
            </w:r>
          </w:p>
          <w:p w14:paraId="27B2FE11">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（含税）</w:t>
            </w:r>
          </w:p>
        </w:tc>
        <w:tc>
          <w:tcPr>
            <w:tcW w:w="1608" w:type="dxa"/>
            <w:vAlign w:val="center"/>
          </w:tcPr>
          <w:p w14:paraId="1E47EC17">
            <w:pPr>
              <w:adjustRightInd w:val="0"/>
              <w:spacing w:line="360" w:lineRule="auto"/>
              <w:jc w:val="center"/>
              <w:rPr>
                <w:rFonts w:hint="eastAsia" w:ascii="宋体" w:hAnsi="宋体" w:cs="宋体"/>
                <w:kern w:val="1"/>
                <w:szCs w:val="21"/>
                <w:highlight w:val="none"/>
                <w:lang w:val="zh-CN" w:eastAsia="zh-CN"/>
              </w:rPr>
            </w:pPr>
          </w:p>
        </w:tc>
        <w:tc>
          <w:tcPr>
            <w:tcW w:w="1371" w:type="dxa"/>
            <w:vAlign w:val="center"/>
          </w:tcPr>
          <w:p w14:paraId="094E0E17">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2</w:t>
            </w:r>
          </w:p>
        </w:tc>
      </w:tr>
      <w:tr w14:paraId="5FA4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7" w:type="dxa"/>
            <w:vAlign w:val="center"/>
          </w:tcPr>
          <w:p w14:paraId="480E014A">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en-US" w:eastAsia="zh-CN"/>
              </w:rPr>
              <w:t>三</w:t>
            </w:r>
          </w:p>
        </w:tc>
        <w:tc>
          <w:tcPr>
            <w:tcW w:w="2334" w:type="dxa"/>
            <w:vAlign w:val="center"/>
          </w:tcPr>
          <w:p w14:paraId="1BF284B9">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合计</w:t>
            </w:r>
          </w:p>
        </w:tc>
        <w:tc>
          <w:tcPr>
            <w:tcW w:w="2595" w:type="dxa"/>
            <w:vAlign w:val="center"/>
          </w:tcPr>
          <w:p w14:paraId="0251B879">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投标总报价（</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val="zh-CN" w:eastAsia="zh-CN"/>
              </w:rPr>
              <w:t>）</w:t>
            </w:r>
          </w:p>
        </w:tc>
        <w:tc>
          <w:tcPr>
            <w:tcW w:w="1608" w:type="dxa"/>
            <w:vAlign w:val="center"/>
          </w:tcPr>
          <w:p w14:paraId="20A3C821">
            <w:pPr>
              <w:adjustRightInd w:val="0"/>
              <w:spacing w:line="360" w:lineRule="auto"/>
              <w:jc w:val="center"/>
              <w:rPr>
                <w:rFonts w:hint="eastAsia" w:ascii="宋体" w:hAnsi="宋体" w:cs="宋体"/>
                <w:kern w:val="1"/>
                <w:szCs w:val="21"/>
                <w:highlight w:val="none"/>
                <w:lang w:val="zh-CN" w:eastAsia="zh-CN"/>
              </w:rPr>
            </w:pPr>
          </w:p>
        </w:tc>
        <w:tc>
          <w:tcPr>
            <w:tcW w:w="1371" w:type="dxa"/>
            <w:vAlign w:val="center"/>
          </w:tcPr>
          <w:p w14:paraId="733352FE">
            <w:pPr>
              <w:adjustRightInd w:val="0"/>
              <w:spacing w:line="360" w:lineRule="auto"/>
              <w:jc w:val="center"/>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1+2</w:t>
            </w:r>
          </w:p>
        </w:tc>
      </w:tr>
    </w:tbl>
    <w:p w14:paraId="2A4F7827">
      <w:pPr>
        <w:tabs>
          <w:tab w:val="left" w:pos="7655"/>
        </w:tabs>
        <w:spacing w:line="360" w:lineRule="auto"/>
        <w:ind w:firstLine="1656" w:firstLineChars="600"/>
        <w:jc w:val="left"/>
        <w:rPr>
          <w:rFonts w:ascii="宋体" w:hAnsi="宋体" w:cs="宋体"/>
          <w:spacing w:val="18"/>
          <w:kern w:val="1"/>
          <w:sz w:val="24"/>
          <w:highlight w:val="none"/>
          <w:lang w:val="zh-CN"/>
        </w:rPr>
      </w:pPr>
    </w:p>
    <w:p w14:paraId="41D35992">
      <w:pPr>
        <w:tabs>
          <w:tab w:val="left" w:pos="7655"/>
        </w:tabs>
        <w:spacing w:line="360" w:lineRule="auto"/>
        <w:ind w:firstLine="1656" w:firstLineChars="600"/>
        <w:jc w:val="left"/>
        <w:rPr>
          <w:rFonts w:hint="eastAsia" w:ascii="宋体" w:hAnsi="宋体" w:cs="宋体"/>
          <w:spacing w:val="18"/>
          <w:kern w:val="1"/>
          <w:sz w:val="24"/>
          <w:highlight w:val="none"/>
          <w:lang w:val="zh-CN"/>
        </w:rPr>
      </w:pPr>
      <w:r>
        <w:rPr>
          <w:rFonts w:hint="eastAsia" w:ascii="宋体" w:hAnsi="宋体" w:cs="宋体"/>
          <w:spacing w:val="18"/>
          <w:kern w:val="1"/>
          <w:sz w:val="24"/>
          <w:highlight w:val="none"/>
          <w:lang w:val="zh-CN"/>
        </w:rPr>
        <w:t>投标人：(盖章)</w:t>
      </w:r>
    </w:p>
    <w:p w14:paraId="45FB369B">
      <w:pPr>
        <w:tabs>
          <w:tab w:val="left" w:pos="7655"/>
        </w:tabs>
        <w:spacing w:line="360" w:lineRule="auto"/>
        <w:ind w:firstLine="1656" w:firstLineChars="600"/>
        <w:jc w:val="left"/>
        <w:rPr>
          <w:rFonts w:ascii="宋体" w:hAnsi="宋体" w:eastAsia="宋体" w:cs="宋体"/>
          <w:bCs/>
          <w:color w:val="auto"/>
          <w:kern w:val="1"/>
          <w:szCs w:val="21"/>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14:paraId="71B7BECB">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14:paraId="37A030EE">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14:paraId="31EB97C2">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14:paraId="4C2615FD">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14:paraId="272FB0DE">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14:paraId="74DD7519">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14:paraId="384150CA">
      <w:pPr>
        <w:tabs>
          <w:tab w:val="left" w:pos="7655"/>
        </w:tabs>
        <w:spacing w:line="360" w:lineRule="auto"/>
        <w:ind w:firstLine="1265" w:firstLineChars="600"/>
        <w:jc w:val="left"/>
        <w:outlineLvl w:val="9"/>
        <w:rPr>
          <w:rFonts w:hint="eastAsia" w:ascii="宋体" w:hAnsi="宋体" w:cs="宋体"/>
          <w:b/>
          <w:kern w:val="1"/>
          <w:szCs w:val="21"/>
          <w:highlight w:val="none"/>
          <w:lang w:val="zh-CN"/>
        </w:rPr>
      </w:pPr>
      <w:bookmarkStart w:id="567" w:name="_Toc123901763"/>
      <w:bookmarkStart w:id="568" w:name="_Toc116461798"/>
      <w:r>
        <w:rPr>
          <w:rFonts w:hint="eastAsia" w:ascii="宋体" w:hAnsi="宋体" w:cs="宋体"/>
          <w:b/>
          <w:kern w:val="1"/>
          <w:szCs w:val="21"/>
          <w:highlight w:val="none"/>
          <w:lang w:val="zh-CN"/>
        </w:rPr>
        <w:br w:type="page"/>
      </w:r>
    </w:p>
    <w:p w14:paraId="259C46EC">
      <w:pPr>
        <w:tabs>
          <w:tab w:val="left" w:pos="7655"/>
        </w:tabs>
        <w:spacing w:line="360" w:lineRule="auto"/>
        <w:ind w:firstLine="0" w:firstLineChars="0"/>
        <w:jc w:val="left"/>
        <w:outlineLvl w:val="9"/>
        <w:rPr>
          <w:rFonts w:ascii="宋体" w:hAnsi="宋体" w:cs="宋体"/>
          <w:b/>
          <w:bCs/>
          <w:sz w:val="32"/>
          <w:szCs w:val="32"/>
          <w:highlight w:val="none"/>
          <w:lang w:val="zh-CN"/>
        </w:rPr>
      </w:pPr>
      <w:r>
        <w:rPr>
          <w:rFonts w:hint="eastAsia" w:ascii="宋体" w:hAnsi="宋体" w:cs="宋体"/>
          <w:b/>
          <w:kern w:val="1"/>
          <w:szCs w:val="21"/>
          <w:highlight w:val="none"/>
          <w:lang w:val="zh-CN"/>
        </w:rPr>
        <w:t>格式4：投标人基本情况表</w:t>
      </w:r>
      <w:bookmarkEnd w:id="567"/>
      <w:bookmarkEnd w:id="568"/>
    </w:p>
    <w:p w14:paraId="432582D0">
      <w:pPr>
        <w:autoSpaceDE w:val="0"/>
        <w:autoSpaceDN w:val="0"/>
        <w:adjustRightInd w:val="0"/>
        <w:spacing w:line="360" w:lineRule="auto"/>
        <w:jc w:val="center"/>
        <w:rPr>
          <w:rFonts w:ascii="宋体" w:hAnsi="宋体" w:cs="宋体"/>
          <w:b/>
          <w:bCs/>
          <w:sz w:val="32"/>
          <w:szCs w:val="32"/>
          <w:highlight w:val="none"/>
          <w:lang w:val="zh-CN"/>
        </w:rPr>
      </w:pPr>
      <w:bookmarkStart w:id="569" w:name="_Hlk116425234"/>
    </w:p>
    <w:p w14:paraId="161688B5">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投标人基本情况表</w:t>
      </w:r>
    </w:p>
    <w:bookmarkEnd w:id="569"/>
    <w:tbl>
      <w:tblPr>
        <w:tblStyle w:val="4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6"/>
        <w:gridCol w:w="1084"/>
        <w:gridCol w:w="1195"/>
        <w:gridCol w:w="826"/>
        <w:gridCol w:w="418"/>
        <w:gridCol w:w="211"/>
        <w:gridCol w:w="1244"/>
        <w:gridCol w:w="200"/>
        <w:gridCol w:w="826"/>
        <w:gridCol w:w="1220"/>
      </w:tblGrid>
      <w:tr w14:paraId="7F50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1856" w:type="dxa"/>
            <w:vAlign w:val="center"/>
          </w:tcPr>
          <w:p w14:paraId="703CD3E2">
            <w:pPr>
              <w:adjustRightInd w:val="0"/>
              <w:snapToGrid w:val="0"/>
              <w:jc w:val="center"/>
              <w:rPr>
                <w:rFonts w:ascii="宋体" w:hAnsi="宋体" w:cs="宋体"/>
                <w:szCs w:val="21"/>
                <w:highlight w:val="none"/>
              </w:rPr>
            </w:pPr>
            <w:r>
              <w:rPr>
                <w:rFonts w:hint="eastAsia" w:ascii="宋体" w:hAnsi="宋体" w:cs="宋体"/>
                <w:kern w:val="0"/>
                <w:szCs w:val="21"/>
                <w:highlight w:val="none"/>
              </w:rPr>
              <w:t>投标人名称</w:t>
            </w:r>
          </w:p>
        </w:tc>
        <w:tc>
          <w:tcPr>
            <w:tcW w:w="7224" w:type="dxa"/>
            <w:gridSpan w:val="9"/>
            <w:vAlign w:val="center"/>
          </w:tcPr>
          <w:p w14:paraId="25E0007C">
            <w:pPr>
              <w:adjustRightInd w:val="0"/>
              <w:snapToGrid w:val="0"/>
              <w:jc w:val="center"/>
              <w:rPr>
                <w:rFonts w:ascii="宋体" w:hAnsi="宋体" w:cs="宋体"/>
                <w:szCs w:val="21"/>
                <w:highlight w:val="none"/>
              </w:rPr>
            </w:pPr>
          </w:p>
        </w:tc>
      </w:tr>
      <w:tr w14:paraId="3FF3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856" w:type="dxa"/>
            <w:vAlign w:val="center"/>
          </w:tcPr>
          <w:p w14:paraId="7EE86252">
            <w:pPr>
              <w:adjustRightInd w:val="0"/>
              <w:snapToGrid w:val="0"/>
              <w:jc w:val="center"/>
              <w:rPr>
                <w:rFonts w:ascii="宋体" w:hAnsi="宋体" w:cs="宋体"/>
                <w:szCs w:val="21"/>
                <w:highlight w:val="none"/>
              </w:rPr>
            </w:pPr>
            <w:r>
              <w:rPr>
                <w:rFonts w:hint="eastAsia" w:ascii="宋体" w:hAnsi="宋体" w:cs="宋体"/>
                <w:kern w:val="0"/>
                <w:szCs w:val="21"/>
                <w:highlight w:val="none"/>
              </w:rPr>
              <w:t>注册地址</w:t>
            </w:r>
          </w:p>
        </w:tc>
        <w:tc>
          <w:tcPr>
            <w:tcW w:w="3734" w:type="dxa"/>
            <w:gridSpan w:val="5"/>
            <w:vAlign w:val="center"/>
          </w:tcPr>
          <w:p w14:paraId="2F5F1F8F">
            <w:pPr>
              <w:adjustRightInd w:val="0"/>
              <w:snapToGrid w:val="0"/>
              <w:jc w:val="center"/>
              <w:rPr>
                <w:rFonts w:ascii="宋体" w:hAnsi="宋体" w:cs="宋体"/>
                <w:szCs w:val="21"/>
                <w:highlight w:val="none"/>
              </w:rPr>
            </w:pPr>
          </w:p>
        </w:tc>
        <w:tc>
          <w:tcPr>
            <w:tcW w:w="1244" w:type="dxa"/>
            <w:vAlign w:val="center"/>
          </w:tcPr>
          <w:p w14:paraId="3C3CED92">
            <w:pPr>
              <w:adjustRightInd w:val="0"/>
              <w:snapToGrid w:val="0"/>
              <w:jc w:val="center"/>
              <w:rPr>
                <w:rFonts w:ascii="宋体" w:hAnsi="宋体" w:cs="宋体"/>
                <w:szCs w:val="21"/>
                <w:highlight w:val="none"/>
              </w:rPr>
            </w:pPr>
            <w:r>
              <w:rPr>
                <w:rFonts w:hint="eastAsia" w:ascii="宋体" w:hAnsi="宋体" w:cs="宋体"/>
                <w:kern w:val="0"/>
                <w:szCs w:val="21"/>
                <w:highlight w:val="none"/>
              </w:rPr>
              <w:t>邮政编码</w:t>
            </w:r>
          </w:p>
        </w:tc>
        <w:tc>
          <w:tcPr>
            <w:tcW w:w="2246" w:type="dxa"/>
            <w:gridSpan w:val="3"/>
            <w:vAlign w:val="center"/>
          </w:tcPr>
          <w:p w14:paraId="3212FD0F">
            <w:pPr>
              <w:adjustRightInd w:val="0"/>
              <w:snapToGrid w:val="0"/>
              <w:jc w:val="center"/>
              <w:rPr>
                <w:rFonts w:ascii="宋体" w:hAnsi="宋体" w:cs="宋体"/>
                <w:szCs w:val="21"/>
                <w:highlight w:val="none"/>
              </w:rPr>
            </w:pPr>
          </w:p>
        </w:tc>
      </w:tr>
      <w:tr w14:paraId="53C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1856" w:type="dxa"/>
            <w:vMerge w:val="restart"/>
            <w:vAlign w:val="center"/>
          </w:tcPr>
          <w:p w14:paraId="352B732F">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084" w:type="dxa"/>
            <w:vAlign w:val="center"/>
          </w:tcPr>
          <w:p w14:paraId="37C72931">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联系人</w:t>
            </w:r>
          </w:p>
        </w:tc>
        <w:tc>
          <w:tcPr>
            <w:tcW w:w="2650" w:type="dxa"/>
            <w:gridSpan w:val="4"/>
            <w:vAlign w:val="center"/>
          </w:tcPr>
          <w:p w14:paraId="07640AB3">
            <w:pPr>
              <w:adjustRightInd w:val="0"/>
              <w:snapToGrid w:val="0"/>
              <w:jc w:val="center"/>
              <w:rPr>
                <w:rFonts w:ascii="宋体" w:hAnsi="宋体" w:cs="宋体"/>
                <w:szCs w:val="21"/>
                <w:highlight w:val="none"/>
              </w:rPr>
            </w:pPr>
          </w:p>
        </w:tc>
        <w:tc>
          <w:tcPr>
            <w:tcW w:w="1244" w:type="dxa"/>
            <w:vAlign w:val="center"/>
          </w:tcPr>
          <w:p w14:paraId="7451A44C">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2246" w:type="dxa"/>
            <w:gridSpan w:val="3"/>
            <w:vAlign w:val="center"/>
          </w:tcPr>
          <w:p w14:paraId="7A1E4B44">
            <w:pPr>
              <w:adjustRightInd w:val="0"/>
              <w:snapToGrid w:val="0"/>
              <w:jc w:val="center"/>
              <w:rPr>
                <w:rFonts w:ascii="宋体" w:hAnsi="宋体" w:cs="宋体"/>
                <w:szCs w:val="21"/>
                <w:highlight w:val="none"/>
              </w:rPr>
            </w:pPr>
          </w:p>
        </w:tc>
      </w:tr>
      <w:tr w14:paraId="5088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0" w:hRule="exact"/>
          <w:jc w:val="center"/>
        </w:trPr>
        <w:tc>
          <w:tcPr>
            <w:tcW w:w="1856" w:type="dxa"/>
            <w:vMerge w:val="continue"/>
            <w:vAlign w:val="center"/>
          </w:tcPr>
          <w:p w14:paraId="4ACE7AB5">
            <w:pPr>
              <w:adjustRightInd w:val="0"/>
              <w:snapToGrid w:val="0"/>
              <w:jc w:val="center"/>
              <w:rPr>
                <w:rFonts w:ascii="宋体" w:hAnsi="宋体" w:cs="宋体"/>
                <w:kern w:val="0"/>
                <w:szCs w:val="21"/>
                <w:highlight w:val="none"/>
              </w:rPr>
            </w:pPr>
          </w:p>
        </w:tc>
        <w:tc>
          <w:tcPr>
            <w:tcW w:w="1084" w:type="dxa"/>
            <w:vAlign w:val="center"/>
          </w:tcPr>
          <w:p w14:paraId="55E7CF2B">
            <w:pPr>
              <w:adjustRightInd w:val="0"/>
              <w:snapToGrid w:val="0"/>
              <w:jc w:val="center"/>
              <w:rPr>
                <w:rFonts w:ascii="宋体" w:hAnsi="宋体" w:cs="宋体"/>
                <w:szCs w:val="21"/>
                <w:highlight w:val="none"/>
              </w:rPr>
            </w:pPr>
            <w:r>
              <w:rPr>
                <w:rFonts w:hint="eastAsia" w:ascii="宋体" w:hAnsi="宋体" w:cs="宋体"/>
                <w:kern w:val="0"/>
                <w:szCs w:val="21"/>
                <w:highlight w:val="none"/>
              </w:rPr>
              <w:t>传真</w:t>
            </w:r>
          </w:p>
        </w:tc>
        <w:tc>
          <w:tcPr>
            <w:tcW w:w="2650" w:type="dxa"/>
            <w:gridSpan w:val="4"/>
            <w:vAlign w:val="center"/>
          </w:tcPr>
          <w:p w14:paraId="2AADBB38">
            <w:pPr>
              <w:adjustRightInd w:val="0"/>
              <w:snapToGrid w:val="0"/>
              <w:jc w:val="center"/>
              <w:rPr>
                <w:rFonts w:ascii="宋体" w:hAnsi="宋体" w:cs="宋体"/>
                <w:szCs w:val="21"/>
                <w:highlight w:val="none"/>
              </w:rPr>
            </w:pPr>
          </w:p>
        </w:tc>
        <w:tc>
          <w:tcPr>
            <w:tcW w:w="1244" w:type="dxa"/>
            <w:vAlign w:val="center"/>
          </w:tcPr>
          <w:p w14:paraId="44865086">
            <w:pPr>
              <w:adjustRightInd w:val="0"/>
              <w:snapToGrid w:val="0"/>
              <w:jc w:val="center"/>
              <w:rPr>
                <w:rFonts w:ascii="宋体" w:hAnsi="宋体" w:cs="宋体"/>
                <w:szCs w:val="21"/>
                <w:highlight w:val="none"/>
              </w:rPr>
            </w:pPr>
            <w:r>
              <w:rPr>
                <w:rFonts w:hint="eastAsia" w:ascii="宋体" w:hAnsi="宋体" w:cs="宋体"/>
                <w:kern w:val="0"/>
                <w:szCs w:val="21"/>
                <w:highlight w:val="none"/>
              </w:rPr>
              <w:t>电子邮件</w:t>
            </w:r>
          </w:p>
        </w:tc>
        <w:tc>
          <w:tcPr>
            <w:tcW w:w="2246" w:type="dxa"/>
            <w:gridSpan w:val="3"/>
            <w:vAlign w:val="center"/>
          </w:tcPr>
          <w:p w14:paraId="295D4D40">
            <w:pPr>
              <w:adjustRightInd w:val="0"/>
              <w:snapToGrid w:val="0"/>
              <w:jc w:val="center"/>
              <w:rPr>
                <w:rFonts w:ascii="宋体" w:hAnsi="宋体" w:cs="宋体"/>
                <w:szCs w:val="21"/>
                <w:highlight w:val="none"/>
              </w:rPr>
            </w:pPr>
          </w:p>
        </w:tc>
      </w:tr>
      <w:tr w14:paraId="6E45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856" w:type="dxa"/>
            <w:vAlign w:val="center"/>
          </w:tcPr>
          <w:p w14:paraId="3C11C978">
            <w:pPr>
              <w:adjustRightInd w:val="0"/>
              <w:snapToGrid w:val="0"/>
              <w:jc w:val="center"/>
              <w:rPr>
                <w:rFonts w:ascii="宋体" w:hAnsi="宋体" w:cs="宋体"/>
                <w:szCs w:val="21"/>
                <w:highlight w:val="none"/>
              </w:rPr>
            </w:pPr>
            <w:r>
              <w:rPr>
                <w:rFonts w:hint="eastAsia" w:ascii="宋体" w:hAnsi="宋体" w:cs="宋体"/>
                <w:kern w:val="0"/>
                <w:szCs w:val="21"/>
                <w:highlight w:val="none"/>
              </w:rPr>
              <w:t>法定代表人</w:t>
            </w:r>
          </w:p>
        </w:tc>
        <w:tc>
          <w:tcPr>
            <w:tcW w:w="1084" w:type="dxa"/>
            <w:vAlign w:val="center"/>
          </w:tcPr>
          <w:p w14:paraId="72B7448D">
            <w:pPr>
              <w:adjustRightInd w:val="0"/>
              <w:snapToGrid w:val="0"/>
              <w:jc w:val="center"/>
              <w:rPr>
                <w:rFonts w:ascii="宋体" w:hAnsi="宋体" w:cs="宋体"/>
                <w:szCs w:val="21"/>
                <w:highlight w:val="none"/>
              </w:rPr>
            </w:pPr>
            <w:r>
              <w:rPr>
                <w:rFonts w:hint="eastAsia" w:ascii="宋体" w:hAnsi="宋体" w:cs="宋体"/>
                <w:kern w:val="0"/>
                <w:szCs w:val="21"/>
                <w:highlight w:val="none"/>
              </w:rPr>
              <w:t>姓名</w:t>
            </w:r>
          </w:p>
        </w:tc>
        <w:tc>
          <w:tcPr>
            <w:tcW w:w="1195" w:type="dxa"/>
            <w:vAlign w:val="center"/>
          </w:tcPr>
          <w:p w14:paraId="28863218">
            <w:pPr>
              <w:adjustRightInd w:val="0"/>
              <w:snapToGrid w:val="0"/>
              <w:jc w:val="center"/>
              <w:rPr>
                <w:rFonts w:ascii="宋体" w:hAnsi="宋体" w:cs="宋体"/>
                <w:szCs w:val="21"/>
                <w:highlight w:val="none"/>
              </w:rPr>
            </w:pPr>
          </w:p>
        </w:tc>
        <w:tc>
          <w:tcPr>
            <w:tcW w:w="1244" w:type="dxa"/>
            <w:gridSpan w:val="2"/>
            <w:vAlign w:val="center"/>
          </w:tcPr>
          <w:p w14:paraId="07BF0508">
            <w:pPr>
              <w:adjustRightInd w:val="0"/>
              <w:snapToGrid w:val="0"/>
              <w:jc w:val="center"/>
              <w:rPr>
                <w:rFonts w:ascii="宋体" w:hAnsi="宋体" w:cs="宋体"/>
                <w:szCs w:val="21"/>
                <w:highlight w:val="none"/>
              </w:rPr>
            </w:pPr>
            <w:r>
              <w:rPr>
                <w:rFonts w:hint="eastAsia" w:ascii="宋体" w:hAnsi="宋体" w:cs="宋体"/>
                <w:kern w:val="0"/>
                <w:szCs w:val="21"/>
                <w:highlight w:val="none"/>
              </w:rPr>
              <w:t>技术职称</w:t>
            </w:r>
          </w:p>
        </w:tc>
        <w:tc>
          <w:tcPr>
            <w:tcW w:w="1655" w:type="dxa"/>
            <w:gridSpan w:val="3"/>
            <w:vAlign w:val="center"/>
          </w:tcPr>
          <w:p w14:paraId="20511F8C">
            <w:pPr>
              <w:adjustRightInd w:val="0"/>
              <w:snapToGrid w:val="0"/>
              <w:jc w:val="center"/>
              <w:rPr>
                <w:rFonts w:ascii="宋体" w:hAnsi="宋体" w:cs="宋体"/>
                <w:szCs w:val="21"/>
                <w:highlight w:val="none"/>
              </w:rPr>
            </w:pPr>
          </w:p>
        </w:tc>
        <w:tc>
          <w:tcPr>
            <w:tcW w:w="826" w:type="dxa"/>
            <w:vAlign w:val="center"/>
          </w:tcPr>
          <w:p w14:paraId="2E7E0D12">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1220" w:type="dxa"/>
            <w:vAlign w:val="center"/>
          </w:tcPr>
          <w:p w14:paraId="65DBC121">
            <w:pPr>
              <w:adjustRightInd w:val="0"/>
              <w:snapToGrid w:val="0"/>
              <w:jc w:val="center"/>
              <w:rPr>
                <w:rFonts w:ascii="宋体" w:hAnsi="宋体" w:cs="宋体"/>
                <w:szCs w:val="21"/>
                <w:highlight w:val="none"/>
              </w:rPr>
            </w:pPr>
          </w:p>
        </w:tc>
      </w:tr>
      <w:tr w14:paraId="0F72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856" w:type="dxa"/>
            <w:vAlign w:val="center"/>
          </w:tcPr>
          <w:p w14:paraId="11B827D4">
            <w:pPr>
              <w:adjustRightInd w:val="0"/>
              <w:snapToGrid w:val="0"/>
              <w:jc w:val="center"/>
              <w:rPr>
                <w:rFonts w:ascii="宋体" w:hAnsi="宋体" w:cs="宋体"/>
                <w:szCs w:val="21"/>
                <w:highlight w:val="none"/>
              </w:rPr>
            </w:pPr>
            <w:r>
              <w:rPr>
                <w:rFonts w:hint="eastAsia" w:ascii="宋体" w:hAnsi="宋体" w:cs="宋体"/>
                <w:kern w:val="0"/>
                <w:szCs w:val="21"/>
                <w:highlight w:val="none"/>
              </w:rPr>
              <w:t>技术负责人</w:t>
            </w:r>
          </w:p>
        </w:tc>
        <w:tc>
          <w:tcPr>
            <w:tcW w:w="1084" w:type="dxa"/>
            <w:vAlign w:val="center"/>
          </w:tcPr>
          <w:p w14:paraId="26D7B1D5">
            <w:pPr>
              <w:adjustRightInd w:val="0"/>
              <w:snapToGrid w:val="0"/>
              <w:jc w:val="center"/>
              <w:rPr>
                <w:rFonts w:ascii="宋体" w:hAnsi="宋体" w:cs="宋体"/>
                <w:szCs w:val="21"/>
                <w:highlight w:val="none"/>
              </w:rPr>
            </w:pPr>
            <w:r>
              <w:rPr>
                <w:rFonts w:hint="eastAsia" w:ascii="宋体" w:hAnsi="宋体" w:cs="宋体"/>
                <w:kern w:val="0"/>
                <w:szCs w:val="21"/>
                <w:highlight w:val="none"/>
              </w:rPr>
              <w:t>姓名</w:t>
            </w:r>
          </w:p>
        </w:tc>
        <w:tc>
          <w:tcPr>
            <w:tcW w:w="1195" w:type="dxa"/>
            <w:vAlign w:val="center"/>
          </w:tcPr>
          <w:p w14:paraId="3E001CB8">
            <w:pPr>
              <w:adjustRightInd w:val="0"/>
              <w:snapToGrid w:val="0"/>
              <w:jc w:val="center"/>
              <w:rPr>
                <w:rFonts w:ascii="宋体" w:hAnsi="宋体" w:cs="宋体"/>
                <w:szCs w:val="21"/>
                <w:highlight w:val="none"/>
              </w:rPr>
            </w:pPr>
          </w:p>
        </w:tc>
        <w:tc>
          <w:tcPr>
            <w:tcW w:w="1244" w:type="dxa"/>
            <w:gridSpan w:val="2"/>
            <w:vAlign w:val="center"/>
          </w:tcPr>
          <w:p w14:paraId="4919CCF1">
            <w:pPr>
              <w:adjustRightInd w:val="0"/>
              <w:snapToGrid w:val="0"/>
              <w:jc w:val="center"/>
              <w:rPr>
                <w:rFonts w:ascii="宋体" w:hAnsi="宋体" w:cs="宋体"/>
                <w:szCs w:val="21"/>
                <w:highlight w:val="none"/>
              </w:rPr>
            </w:pPr>
            <w:r>
              <w:rPr>
                <w:rFonts w:hint="eastAsia" w:ascii="宋体" w:hAnsi="宋体" w:cs="宋体"/>
                <w:kern w:val="0"/>
                <w:szCs w:val="21"/>
                <w:highlight w:val="none"/>
              </w:rPr>
              <w:t>技术职称</w:t>
            </w:r>
          </w:p>
        </w:tc>
        <w:tc>
          <w:tcPr>
            <w:tcW w:w="1655" w:type="dxa"/>
            <w:gridSpan w:val="3"/>
            <w:vAlign w:val="center"/>
          </w:tcPr>
          <w:p w14:paraId="618E47F5">
            <w:pPr>
              <w:adjustRightInd w:val="0"/>
              <w:snapToGrid w:val="0"/>
              <w:jc w:val="center"/>
              <w:rPr>
                <w:rFonts w:ascii="宋体" w:hAnsi="宋体" w:cs="宋体"/>
                <w:szCs w:val="21"/>
                <w:highlight w:val="none"/>
              </w:rPr>
            </w:pPr>
          </w:p>
        </w:tc>
        <w:tc>
          <w:tcPr>
            <w:tcW w:w="826" w:type="dxa"/>
            <w:vAlign w:val="center"/>
          </w:tcPr>
          <w:p w14:paraId="66651FA9">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1220" w:type="dxa"/>
            <w:vAlign w:val="center"/>
          </w:tcPr>
          <w:p w14:paraId="5CBF8018">
            <w:pPr>
              <w:adjustRightInd w:val="0"/>
              <w:snapToGrid w:val="0"/>
              <w:jc w:val="center"/>
              <w:rPr>
                <w:rFonts w:ascii="宋体" w:hAnsi="宋体" w:cs="宋体"/>
                <w:szCs w:val="21"/>
                <w:highlight w:val="none"/>
              </w:rPr>
            </w:pPr>
          </w:p>
        </w:tc>
      </w:tr>
      <w:tr w14:paraId="6EC2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jc w:val="center"/>
        </w:trPr>
        <w:tc>
          <w:tcPr>
            <w:tcW w:w="1856" w:type="dxa"/>
            <w:vAlign w:val="center"/>
          </w:tcPr>
          <w:p w14:paraId="66CF99D5">
            <w:pPr>
              <w:adjustRightInd w:val="0"/>
              <w:snapToGrid w:val="0"/>
              <w:jc w:val="center"/>
              <w:rPr>
                <w:rFonts w:ascii="宋体" w:hAnsi="宋体" w:cs="宋体"/>
                <w:szCs w:val="21"/>
                <w:highlight w:val="none"/>
              </w:rPr>
            </w:pPr>
            <w:r>
              <w:rPr>
                <w:rFonts w:hint="eastAsia" w:ascii="宋体" w:hAnsi="宋体" w:cs="宋体"/>
                <w:kern w:val="0"/>
                <w:szCs w:val="21"/>
                <w:highlight w:val="none"/>
              </w:rPr>
              <w:t>成立时间</w:t>
            </w:r>
          </w:p>
        </w:tc>
        <w:tc>
          <w:tcPr>
            <w:tcW w:w="2279" w:type="dxa"/>
            <w:gridSpan w:val="2"/>
            <w:vAlign w:val="center"/>
          </w:tcPr>
          <w:p w14:paraId="595B9EE5">
            <w:pPr>
              <w:adjustRightInd w:val="0"/>
              <w:snapToGrid w:val="0"/>
              <w:jc w:val="center"/>
              <w:rPr>
                <w:rFonts w:ascii="宋体" w:hAnsi="宋体" w:cs="宋体"/>
                <w:szCs w:val="21"/>
                <w:highlight w:val="none"/>
              </w:rPr>
            </w:pPr>
          </w:p>
        </w:tc>
        <w:tc>
          <w:tcPr>
            <w:tcW w:w="4945" w:type="dxa"/>
            <w:gridSpan w:val="7"/>
            <w:vAlign w:val="center"/>
          </w:tcPr>
          <w:p w14:paraId="5B84C79A">
            <w:pPr>
              <w:adjustRightInd w:val="0"/>
              <w:snapToGrid w:val="0"/>
              <w:jc w:val="center"/>
              <w:rPr>
                <w:rFonts w:ascii="宋体" w:hAnsi="宋体" w:cs="宋体"/>
                <w:szCs w:val="21"/>
                <w:highlight w:val="none"/>
              </w:rPr>
            </w:pPr>
            <w:r>
              <w:rPr>
                <w:rFonts w:hint="eastAsia" w:ascii="宋体" w:hAnsi="宋体" w:cs="宋体"/>
                <w:kern w:val="0"/>
                <w:szCs w:val="21"/>
                <w:highlight w:val="none"/>
              </w:rPr>
              <w:t>员工总人数：</w:t>
            </w:r>
          </w:p>
        </w:tc>
      </w:tr>
      <w:tr w14:paraId="208E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1856" w:type="dxa"/>
            <w:vAlign w:val="center"/>
          </w:tcPr>
          <w:p w14:paraId="214A80A6">
            <w:pPr>
              <w:adjustRightInd w:val="0"/>
              <w:snapToGrid w:val="0"/>
              <w:jc w:val="center"/>
              <w:rPr>
                <w:rFonts w:ascii="宋体" w:hAnsi="宋体" w:cs="宋体"/>
                <w:szCs w:val="21"/>
                <w:highlight w:val="none"/>
              </w:rPr>
            </w:pPr>
            <w:r>
              <w:rPr>
                <w:rFonts w:hint="eastAsia" w:ascii="宋体" w:hAnsi="宋体" w:cs="宋体"/>
                <w:kern w:val="0"/>
                <w:szCs w:val="21"/>
                <w:highlight w:val="none"/>
              </w:rPr>
              <w:t>企业资质等级</w:t>
            </w:r>
          </w:p>
        </w:tc>
        <w:tc>
          <w:tcPr>
            <w:tcW w:w="2279" w:type="dxa"/>
            <w:gridSpan w:val="2"/>
            <w:vAlign w:val="center"/>
          </w:tcPr>
          <w:p w14:paraId="2BDD248F">
            <w:pPr>
              <w:adjustRightInd w:val="0"/>
              <w:snapToGrid w:val="0"/>
              <w:jc w:val="center"/>
              <w:rPr>
                <w:rFonts w:ascii="宋体" w:hAnsi="宋体" w:cs="宋体"/>
                <w:szCs w:val="21"/>
                <w:highlight w:val="none"/>
              </w:rPr>
            </w:pPr>
          </w:p>
        </w:tc>
        <w:tc>
          <w:tcPr>
            <w:tcW w:w="826" w:type="dxa"/>
            <w:vMerge w:val="restart"/>
            <w:vAlign w:val="center"/>
          </w:tcPr>
          <w:p w14:paraId="46128DFF">
            <w:pPr>
              <w:adjustRightInd w:val="0"/>
              <w:snapToGrid w:val="0"/>
              <w:jc w:val="center"/>
              <w:rPr>
                <w:rFonts w:ascii="宋体" w:hAnsi="宋体" w:cs="宋体"/>
                <w:szCs w:val="21"/>
                <w:highlight w:val="none"/>
              </w:rPr>
            </w:pPr>
            <w:r>
              <w:rPr>
                <w:rFonts w:hint="eastAsia" w:ascii="宋体" w:hAnsi="宋体" w:cs="宋体"/>
                <w:kern w:val="0"/>
                <w:szCs w:val="21"/>
                <w:highlight w:val="none"/>
              </w:rPr>
              <w:t>其中</w:t>
            </w:r>
          </w:p>
        </w:tc>
        <w:tc>
          <w:tcPr>
            <w:tcW w:w="2073" w:type="dxa"/>
            <w:gridSpan w:val="4"/>
            <w:vAlign w:val="center"/>
          </w:tcPr>
          <w:p w14:paraId="7256083B">
            <w:pPr>
              <w:adjustRightInd w:val="0"/>
              <w:snapToGrid w:val="0"/>
              <w:jc w:val="center"/>
              <w:rPr>
                <w:rFonts w:ascii="宋体" w:hAnsi="宋体" w:cs="宋体"/>
                <w:szCs w:val="21"/>
                <w:highlight w:val="none"/>
              </w:rPr>
            </w:pPr>
            <w:r>
              <w:rPr>
                <w:rFonts w:hint="eastAsia" w:ascii="宋体" w:hAnsi="宋体" w:cs="宋体"/>
                <w:kern w:val="0"/>
                <w:szCs w:val="21"/>
                <w:highlight w:val="none"/>
              </w:rPr>
              <w:t>项目经理</w:t>
            </w:r>
          </w:p>
        </w:tc>
        <w:tc>
          <w:tcPr>
            <w:tcW w:w="2046" w:type="dxa"/>
            <w:gridSpan w:val="2"/>
            <w:vAlign w:val="center"/>
          </w:tcPr>
          <w:p w14:paraId="0133EC3A">
            <w:pPr>
              <w:adjustRightInd w:val="0"/>
              <w:snapToGrid w:val="0"/>
              <w:jc w:val="center"/>
              <w:rPr>
                <w:rFonts w:ascii="宋体" w:hAnsi="宋体" w:cs="宋体"/>
                <w:szCs w:val="21"/>
                <w:highlight w:val="none"/>
              </w:rPr>
            </w:pPr>
          </w:p>
        </w:tc>
      </w:tr>
      <w:tr w14:paraId="0E2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1856" w:type="dxa"/>
            <w:vAlign w:val="center"/>
          </w:tcPr>
          <w:p w14:paraId="4E3C5027">
            <w:pPr>
              <w:adjustRightInd w:val="0"/>
              <w:snapToGrid w:val="0"/>
              <w:jc w:val="center"/>
              <w:rPr>
                <w:rFonts w:ascii="宋体" w:hAnsi="宋体" w:cs="宋体"/>
                <w:szCs w:val="21"/>
                <w:highlight w:val="none"/>
              </w:rPr>
            </w:pPr>
            <w:r>
              <w:rPr>
                <w:rFonts w:hint="eastAsia" w:ascii="宋体" w:hAnsi="宋体" w:cs="宋体"/>
                <w:kern w:val="0"/>
                <w:szCs w:val="21"/>
                <w:highlight w:val="none"/>
              </w:rPr>
              <w:t>营业执照号</w:t>
            </w:r>
          </w:p>
        </w:tc>
        <w:tc>
          <w:tcPr>
            <w:tcW w:w="2279" w:type="dxa"/>
            <w:gridSpan w:val="2"/>
            <w:vAlign w:val="center"/>
          </w:tcPr>
          <w:p w14:paraId="64131672">
            <w:pPr>
              <w:adjustRightInd w:val="0"/>
              <w:snapToGrid w:val="0"/>
              <w:jc w:val="center"/>
              <w:rPr>
                <w:rFonts w:ascii="宋体" w:hAnsi="宋体" w:cs="宋体"/>
                <w:szCs w:val="21"/>
                <w:highlight w:val="none"/>
              </w:rPr>
            </w:pPr>
          </w:p>
        </w:tc>
        <w:tc>
          <w:tcPr>
            <w:tcW w:w="826" w:type="dxa"/>
            <w:vMerge w:val="continue"/>
            <w:vAlign w:val="center"/>
          </w:tcPr>
          <w:p w14:paraId="2AB60FAE">
            <w:pPr>
              <w:adjustRightInd w:val="0"/>
              <w:snapToGrid w:val="0"/>
              <w:jc w:val="center"/>
              <w:rPr>
                <w:rFonts w:ascii="宋体" w:hAnsi="宋体" w:cs="宋体"/>
                <w:szCs w:val="21"/>
                <w:highlight w:val="none"/>
              </w:rPr>
            </w:pPr>
          </w:p>
        </w:tc>
        <w:tc>
          <w:tcPr>
            <w:tcW w:w="2073" w:type="dxa"/>
            <w:gridSpan w:val="4"/>
            <w:vAlign w:val="center"/>
          </w:tcPr>
          <w:p w14:paraId="71CAA607">
            <w:pPr>
              <w:adjustRightInd w:val="0"/>
              <w:snapToGrid w:val="0"/>
              <w:jc w:val="center"/>
              <w:rPr>
                <w:rFonts w:ascii="宋体" w:hAnsi="宋体" w:cs="宋体"/>
                <w:szCs w:val="21"/>
                <w:highlight w:val="none"/>
              </w:rPr>
            </w:pPr>
            <w:r>
              <w:rPr>
                <w:rFonts w:hint="eastAsia" w:ascii="宋体" w:hAnsi="宋体" w:cs="宋体"/>
                <w:kern w:val="0"/>
                <w:szCs w:val="21"/>
                <w:highlight w:val="none"/>
              </w:rPr>
              <w:t>高级职称人员</w:t>
            </w:r>
          </w:p>
        </w:tc>
        <w:tc>
          <w:tcPr>
            <w:tcW w:w="2046" w:type="dxa"/>
            <w:gridSpan w:val="2"/>
            <w:vAlign w:val="center"/>
          </w:tcPr>
          <w:p w14:paraId="07A00528">
            <w:pPr>
              <w:adjustRightInd w:val="0"/>
              <w:snapToGrid w:val="0"/>
              <w:jc w:val="center"/>
              <w:rPr>
                <w:rFonts w:ascii="宋体" w:hAnsi="宋体" w:cs="宋体"/>
                <w:szCs w:val="21"/>
                <w:highlight w:val="none"/>
              </w:rPr>
            </w:pPr>
          </w:p>
        </w:tc>
      </w:tr>
      <w:tr w14:paraId="3EA0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856" w:type="dxa"/>
            <w:vAlign w:val="center"/>
          </w:tcPr>
          <w:p w14:paraId="4866BBA0">
            <w:pPr>
              <w:adjustRightInd w:val="0"/>
              <w:snapToGrid w:val="0"/>
              <w:jc w:val="center"/>
              <w:rPr>
                <w:rFonts w:ascii="宋体" w:hAnsi="宋体" w:cs="宋体"/>
                <w:szCs w:val="21"/>
                <w:highlight w:val="none"/>
              </w:rPr>
            </w:pPr>
            <w:r>
              <w:rPr>
                <w:rFonts w:hint="eastAsia" w:ascii="宋体" w:hAnsi="宋体" w:cs="宋体"/>
                <w:kern w:val="0"/>
                <w:szCs w:val="21"/>
                <w:highlight w:val="none"/>
              </w:rPr>
              <w:t>注册资金</w:t>
            </w:r>
          </w:p>
        </w:tc>
        <w:tc>
          <w:tcPr>
            <w:tcW w:w="2279" w:type="dxa"/>
            <w:gridSpan w:val="2"/>
            <w:vAlign w:val="center"/>
          </w:tcPr>
          <w:p w14:paraId="64773FB7">
            <w:pPr>
              <w:adjustRightInd w:val="0"/>
              <w:snapToGrid w:val="0"/>
              <w:jc w:val="center"/>
              <w:rPr>
                <w:rFonts w:ascii="宋体" w:hAnsi="宋体" w:cs="宋体"/>
                <w:szCs w:val="21"/>
                <w:highlight w:val="none"/>
              </w:rPr>
            </w:pPr>
          </w:p>
        </w:tc>
        <w:tc>
          <w:tcPr>
            <w:tcW w:w="826" w:type="dxa"/>
            <w:vMerge w:val="continue"/>
            <w:vAlign w:val="center"/>
          </w:tcPr>
          <w:p w14:paraId="6F644179">
            <w:pPr>
              <w:adjustRightInd w:val="0"/>
              <w:snapToGrid w:val="0"/>
              <w:jc w:val="center"/>
              <w:rPr>
                <w:rFonts w:ascii="宋体" w:hAnsi="宋体" w:cs="宋体"/>
                <w:szCs w:val="21"/>
                <w:highlight w:val="none"/>
              </w:rPr>
            </w:pPr>
          </w:p>
        </w:tc>
        <w:tc>
          <w:tcPr>
            <w:tcW w:w="2073" w:type="dxa"/>
            <w:gridSpan w:val="4"/>
            <w:vAlign w:val="center"/>
          </w:tcPr>
          <w:p w14:paraId="599D89F1">
            <w:pPr>
              <w:adjustRightInd w:val="0"/>
              <w:snapToGrid w:val="0"/>
              <w:jc w:val="center"/>
              <w:rPr>
                <w:rFonts w:ascii="宋体" w:hAnsi="宋体" w:cs="宋体"/>
                <w:szCs w:val="21"/>
                <w:highlight w:val="none"/>
              </w:rPr>
            </w:pPr>
            <w:r>
              <w:rPr>
                <w:rFonts w:hint="eastAsia" w:ascii="宋体" w:hAnsi="宋体" w:cs="宋体"/>
                <w:kern w:val="0"/>
                <w:szCs w:val="21"/>
                <w:highlight w:val="none"/>
              </w:rPr>
              <w:t>中级职称人员</w:t>
            </w:r>
          </w:p>
        </w:tc>
        <w:tc>
          <w:tcPr>
            <w:tcW w:w="2046" w:type="dxa"/>
            <w:gridSpan w:val="2"/>
            <w:vAlign w:val="center"/>
          </w:tcPr>
          <w:p w14:paraId="076AC328">
            <w:pPr>
              <w:adjustRightInd w:val="0"/>
              <w:snapToGrid w:val="0"/>
              <w:jc w:val="center"/>
              <w:rPr>
                <w:rFonts w:ascii="宋体" w:hAnsi="宋体" w:cs="宋体"/>
                <w:szCs w:val="21"/>
                <w:highlight w:val="none"/>
              </w:rPr>
            </w:pPr>
          </w:p>
        </w:tc>
      </w:tr>
      <w:tr w14:paraId="612F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exact"/>
          <w:jc w:val="center"/>
        </w:trPr>
        <w:tc>
          <w:tcPr>
            <w:tcW w:w="1856" w:type="dxa"/>
            <w:vAlign w:val="center"/>
          </w:tcPr>
          <w:p w14:paraId="2BBB0703">
            <w:pPr>
              <w:adjustRightInd w:val="0"/>
              <w:snapToGrid w:val="0"/>
              <w:jc w:val="center"/>
              <w:rPr>
                <w:rFonts w:ascii="宋体" w:hAnsi="宋体" w:cs="宋体"/>
                <w:szCs w:val="21"/>
                <w:highlight w:val="none"/>
              </w:rPr>
            </w:pPr>
            <w:r>
              <w:rPr>
                <w:rFonts w:hint="eastAsia" w:ascii="宋体" w:hAnsi="宋体" w:cs="宋体"/>
                <w:kern w:val="0"/>
                <w:szCs w:val="21"/>
                <w:highlight w:val="none"/>
              </w:rPr>
              <w:t>基本账户开户银行</w:t>
            </w:r>
          </w:p>
        </w:tc>
        <w:tc>
          <w:tcPr>
            <w:tcW w:w="2279" w:type="dxa"/>
            <w:gridSpan w:val="2"/>
            <w:vAlign w:val="center"/>
          </w:tcPr>
          <w:p w14:paraId="5BFA59C9">
            <w:pPr>
              <w:adjustRightInd w:val="0"/>
              <w:snapToGrid w:val="0"/>
              <w:jc w:val="center"/>
              <w:rPr>
                <w:rFonts w:ascii="宋体" w:hAnsi="宋体" w:cs="宋体"/>
                <w:szCs w:val="21"/>
                <w:highlight w:val="none"/>
              </w:rPr>
            </w:pPr>
          </w:p>
        </w:tc>
        <w:tc>
          <w:tcPr>
            <w:tcW w:w="826" w:type="dxa"/>
            <w:vMerge w:val="continue"/>
            <w:vAlign w:val="center"/>
          </w:tcPr>
          <w:p w14:paraId="0E9F6380">
            <w:pPr>
              <w:adjustRightInd w:val="0"/>
              <w:snapToGrid w:val="0"/>
              <w:jc w:val="center"/>
              <w:rPr>
                <w:rFonts w:ascii="宋体" w:hAnsi="宋体" w:cs="宋体"/>
                <w:szCs w:val="21"/>
                <w:highlight w:val="none"/>
              </w:rPr>
            </w:pPr>
          </w:p>
        </w:tc>
        <w:tc>
          <w:tcPr>
            <w:tcW w:w="2073" w:type="dxa"/>
            <w:gridSpan w:val="4"/>
            <w:vAlign w:val="center"/>
          </w:tcPr>
          <w:p w14:paraId="7C181AB5">
            <w:pPr>
              <w:adjustRightInd w:val="0"/>
              <w:snapToGrid w:val="0"/>
              <w:jc w:val="center"/>
              <w:rPr>
                <w:rFonts w:ascii="宋体" w:hAnsi="宋体" w:cs="宋体"/>
                <w:szCs w:val="21"/>
                <w:highlight w:val="none"/>
              </w:rPr>
            </w:pPr>
            <w:r>
              <w:rPr>
                <w:rFonts w:hint="eastAsia" w:ascii="宋体" w:hAnsi="宋体" w:cs="宋体"/>
                <w:kern w:val="0"/>
                <w:szCs w:val="21"/>
                <w:highlight w:val="none"/>
              </w:rPr>
              <w:t>初级职称人员</w:t>
            </w:r>
          </w:p>
        </w:tc>
        <w:tc>
          <w:tcPr>
            <w:tcW w:w="2046" w:type="dxa"/>
            <w:gridSpan w:val="2"/>
            <w:vAlign w:val="center"/>
          </w:tcPr>
          <w:p w14:paraId="046C6660">
            <w:pPr>
              <w:adjustRightInd w:val="0"/>
              <w:snapToGrid w:val="0"/>
              <w:jc w:val="center"/>
              <w:rPr>
                <w:rFonts w:ascii="宋体" w:hAnsi="宋体" w:cs="宋体"/>
                <w:szCs w:val="21"/>
                <w:highlight w:val="none"/>
              </w:rPr>
            </w:pPr>
          </w:p>
        </w:tc>
      </w:tr>
      <w:tr w14:paraId="6BD9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exact"/>
          <w:jc w:val="center"/>
        </w:trPr>
        <w:tc>
          <w:tcPr>
            <w:tcW w:w="1856" w:type="dxa"/>
            <w:vAlign w:val="center"/>
          </w:tcPr>
          <w:p w14:paraId="75E53292">
            <w:pPr>
              <w:adjustRightInd w:val="0"/>
              <w:snapToGrid w:val="0"/>
              <w:jc w:val="center"/>
              <w:rPr>
                <w:rFonts w:ascii="宋体" w:hAnsi="宋体" w:cs="宋体"/>
                <w:szCs w:val="21"/>
                <w:highlight w:val="none"/>
              </w:rPr>
            </w:pPr>
            <w:r>
              <w:rPr>
                <w:rFonts w:hint="eastAsia" w:ascii="宋体" w:hAnsi="宋体" w:cs="宋体"/>
                <w:kern w:val="0"/>
                <w:szCs w:val="21"/>
                <w:highlight w:val="none"/>
              </w:rPr>
              <w:t>基本账户账号</w:t>
            </w:r>
          </w:p>
        </w:tc>
        <w:tc>
          <w:tcPr>
            <w:tcW w:w="2279" w:type="dxa"/>
            <w:gridSpan w:val="2"/>
            <w:vAlign w:val="center"/>
          </w:tcPr>
          <w:p w14:paraId="0330C75E">
            <w:pPr>
              <w:adjustRightInd w:val="0"/>
              <w:snapToGrid w:val="0"/>
              <w:jc w:val="center"/>
              <w:rPr>
                <w:rFonts w:ascii="宋体" w:hAnsi="宋体" w:cs="宋体"/>
                <w:szCs w:val="21"/>
                <w:highlight w:val="none"/>
              </w:rPr>
            </w:pPr>
          </w:p>
        </w:tc>
        <w:tc>
          <w:tcPr>
            <w:tcW w:w="826" w:type="dxa"/>
            <w:vMerge w:val="continue"/>
            <w:vAlign w:val="center"/>
          </w:tcPr>
          <w:p w14:paraId="0ED9FFCE">
            <w:pPr>
              <w:adjustRightInd w:val="0"/>
              <w:snapToGrid w:val="0"/>
              <w:jc w:val="center"/>
              <w:rPr>
                <w:rFonts w:ascii="宋体" w:hAnsi="宋体" w:cs="宋体"/>
                <w:szCs w:val="21"/>
                <w:highlight w:val="none"/>
              </w:rPr>
            </w:pPr>
          </w:p>
        </w:tc>
        <w:tc>
          <w:tcPr>
            <w:tcW w:w="2073" w:type="dxa"/>
            <w:gridSpan w:val="4"/>
            <w:vAlign w:val="center"/>
          </w:tcPr>
          <w:p w14:paraId="4AC992B3">
            <w:pPr>
              <w:adjustRightInd w:val="0"/>
              <w:snapToGrid w:val="0"/>
              <w:jc w:val="center"/>
              <w:rPr>
                <w:rFonts w:ascii="宋体" w:hAnsi="宋体" w:cs="宋体"/>
                <w:szCs w:val="21"/>
                <w:highlight w:val="none"/>
              </w:rPr>
            </w:pPr>
            <w:r>
              <w:rPr>
                <w:rFonts w:hint="eastAsia" w:ascii="宋体" w:hAnsi="宋体" w:cs="宋体"/>
                <w:kern w:val="0"/>
                <w:szCs w:val="21"/>
                <w:highlight w:val="none"/>
              </w:rPr>
              <w:t>技工</w:t>
            </w:r>
          </w:p>
        </w:tc>
        <w:tc>
          <w:tcPr>
            <w:tcW w:w="2046" w:type="dxa"/>
            <w:gridSpan w:val="2"/>
            <w:vAlign w:val="center"/>
          </w:tcPr>
          <w:p w14:paraId="6C9EE305">
            <w:pPr>
              <w:adjustRightInd w:val="0"/>
              <w:snapToGrid w:val="0"/>
              <w:jc w:val="center"/>
              <w:rPr>
                <w:rFonts w:ascii="宋体" w:hAnsi="宋体" w:cs="宋体"/>
                <w:szCs w:val="21"/>
                <w:highlight w:val="none"/>
              </w:rPr>
            </w:pPr>
          </w:p>
        </w:tc>
      </w:tr>
      <w:tr w14:paraId="4DA9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exact"/>
          <w:jc w:val="center"/>
        </w:trPr>
        <w:tc>
          <w:tcPr>
            <w:tcW w:w="1856" w:type="dxa"/>
            <w:vAlign w:val="center"/>
          </w:tcPr>
          <w:p w14:paraId="37D8226B">
            <w:pPr>
              <w:adjustRightInd w:val="0"/>
              <w:snapToGrid w:val="0"/>
              <w:jc w:val="center"/>
              <w:rPr>
                <w:rFonts w:ascii="宋体" w:hAnsi="宋体" w:cs="宋体"/>
                <w:szCs w:val="21"/>
                <w:highlight w:val="none"/>
              </w:rPr>
            </w:pPr>
            <w:r>
              <w:rPr>
                <w:rFonts w:hint="eastAsia" w:ascii="宋体" w:hAnsi="宋体" w:cs="宋体"/>
                <w:kern w:val="0"/>
                <w:szCs w:val="21"/>
                <w:highlight w:val="none"/>
              </w:rPr>
              <w:t>经营范围</w:t>
            </w:r>
          </w:p>
        </w:tc>
        <w:tc>
          <w:tcPr>
            <w:tcW w:w="7224" w:type="dxa"/>
            <w:gridSpan w:val="9"/>
            <w:vAlign w:val="center"/>
          </w:tcPr>
          <w:p w14:paraId="0164092D">
            <w:pPr>
              <w:adjustRightInd w:val="0"/>
              <w:snapToGrid w:val="0"/>
              <w:jc w:val="center"/>
              <w:rPr>
                <w:rFonts w:ascii="宋体" w:hAnsi="宋体" w:cs="宋体"/>
                <w:szCs w:val="21"/>
                <w:highlight w:val="none"/>
              </w:rPr>
            </w:pPr>
          </w:p>
        </w:tc>
      </w:tr>
      <w:tr w14:paraId="0573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1" w:hRule="exact"/>
          <w:jc w:val="center"/>
        </w:trPr>
        <w:tc>
          <w:tcPr>
            <w:tcW w:w="1856" w:type="dxa"/>
            <w:vAlign w:val="center"/>
          </w:tcPr>
          <w:p w14:paraId="7D80D729">
            <w:pPr>
              <w:adjustRightInd w:val="0"/>
              <w:snapToGrid w:val="0"/>
              <w:jc w:val="center"/>
              <w:rPr>
                <w:rFonts w:ascii="宋体" w:hAnsi="宋体" w:cs="宋体"/>
                <w:szCs w:val="21"/>
                <w:highlight w:val="none"/>
              </w:rPr>
            </w:pPr>
            <w:r>
              <w:rPr>
                <w:rFonts w:hint="eastAsia" w:ascii="宋体" w:hAnsi="宋体" w:cs="宋体"/>
                <w:kern w:val="0"/>
                <w:szCs w:val="21"/>
                <w:highlight w:val="none"/>
              </w:rPr>
              <w:t>企业简介</w:t>
            </w:r>
          </w:p>
        </w:tc>
        <w:tc>
          <w:tcPr>
            <w:tcW w:w="7224" w:type="dxa"/>
            <w:gridSpan w:val="9"/>
            <w:vAlign w:val="center"/>
          </w:tcPr>
          <w:p w14:paraId="21099B87">
            <w:pPr>
              <w:adjustRightInd w:val="0"/>
              <w:snapToGrid w:val="0"/>
              <w:jc w:val="center"/>
              <w:rPr>
                <w:rFonts w:ascii="宋体" w:hAnsi="宋体" w:cs="宋体"/>
                <w:szCs w:val="21"/>
                <w:highlight w:val="none"/>
              </w:rPr>
            </w:pPr>
            <w:r>
              <w:rPr>
                <w:rFonts w:hint="eastAsia" w:ascii="宋体" w:hAnsi="宋体" w:cs="宋体"/>
                <w:szCs w:val="21"/>
                <w:highlight w:val="none"/>
              </w:rPr>
              <w:t>（本项内容可另附页）</w:t>
            </w:r>
          </w:p>
        </w:tc>
      </w:tr>
      <w:tr w14:paraId="0980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exact"/>
          <w:jc w:val="center"/>
        </w:trPr>
        <w:tc>
          <w:tcPr>
            <w:tcW w:w="1856" w:type="dxa"/>
            <w:vAlign w:val="center"/>
          </w:tcPr>
          <w:p w14:paraId="4ED07B67">
            <w:pPr>
              <w:adjustRightInd w:val="0"/>
              <w:snapToGrid w:val="0"/>
              <w:jc w:val="center"/>
              <w:rPr>
                <w:rFonts w:ascii="宋体" w:hAnsi="宋体" w:cs="宋体"/>
                <w:szCs w:val="21"/>
                <w:highlight w:val="none"/>
              </w:rPr>
            </w:pPr>
            <w:r>
              <w:rPr>
                <w:rFonts w:hint="eastAsia" w:ascii="宋体" w:hAnsi="宋体" w:cs="宋体"/>
                <w:kern w:val="0"/>
                <w:szCs w:val="21"/>
                <w:highlight w:val="none"/>
              </w:rPr>
              <w:t>备注</w:t>
            </w:r>
          </w:p>
        </w:tc>
        <w:tc>
          <w:tcPr>
            <w:tcW w:w="7224" w:type="dxa"/>
            <w:gridSpan w:val="9"/>
            <w:vAlign w:val="center"/>
          </w:tcPr>
          <w:p w14:paraId="08526897">
            <w:pPr>
              <w:adjustRightInd w:val="0"/>
              <w:snapToGrid w:val="0"/>
              <w:jc w:val="center"/>
              <w:rPr>
                <w:rFonts w:ascii="宋体" w:hAnsi="宋体" w:cs="宋体"/>
                <w:szCs w:val="21"/>
                <w:highlight w:val="none"/>
              </w:rPr>
            </w:pPr>
          </w:p>
        </w:tc>
      </w:tr>
    </w:tbl>
    <w:p w14:paraId="149C307B">
      <w:pPr>
        <w:rPr>
          <w:rFonts w:ascii="宋体" w:hAnsi="宋体" w:cs="宋体"/>
          <w:b/>
          <w:kern w:val="1"/>
          <w:szCs w:val="21"/>
          <w:highlight w:val="none"/>
          <w:lang w:val="zh-CN"/>
        </w:rPr>
      </w:pPr>
      <w:r>
        <w:rPr>
          <w:rFonts w:hint="eastAsia" w:ascii="宋体" w:hAnsi="宋体" w:cs="宋体"/>
          <w:b/>
          <w:kern w:val="1"/>
          <w:szCs w:val="21"/>
          <w:highlight w:val="none"/>
          <w:lang w:val="zh-CN"/>
        </w:rPr>
        <w:t>备注：联合体投标的，此表联合体各方均需提供。</w:t>
      </w:r>
    </w:p>
    <w:p w14:paraId="4F158A3A">
      <w:pPr>
        <w:outlineLvl w:val="1"/>
        <w:rPr>
          <w:rFonts w:ascii="宋体" w:hAnsi="宋体" w:cs="宋体"/>
          <w:b/>
          <w:kern w:val="1"/>
          <w:szCs w:val="21"/>
          <w:highlight w:val="none"/>
          <w:lang w:val="zh-CN"/>
        </w:rPr>
      </w:pPr>
      <w:r>
        <w:rPr>
          <w:rFonts w:hint="eastAsia" w:ascii="宋体" w:hAnsi="宋体" w:cs="宋体"/>
          <w:kern w:val="1"/>
          <w:highlight w:val="none"/>
          <w:lang w:val="zh-CN"/>
        </w:rPr>
        <w:br w:type="page"/>
      </w:r>
      <w:bookmarkStart w:id="570" w:name="_Toc116461799"/>
      <w:bookmarkStart w:id="571" w:name="_Toc123901764"/>
      <w:r>
        <w:rPr>
          <w:rFonts w:hint="eastAsia" w:ascii="宋体" w:hAnsi="宋体" w:cs="宋体"/>
          <w:b/>
          <w:kern w:val="1"/>
          <w:szCs w:val="21"/>
          <w:highlight w:val="none"/>
          <w:lang w:val="zh-CN"/>
        </w:rPr>
        <w:t>格式5-1：投标承诺函</w:t>
      </w:r>
      <w:bookmarkEnd w:id="570"/>
      <w:bookmarkEnd w:id="571"/>
    </w:p>
    <w:p w14:paraId="470779E1">
      <w:pPr>
        <w:autoSpaceDE w:val="0"/>
        <w:autoSpaceDN w:val="0"/>
        <w:adjustRightInd w:val="0"/>
        <w:spacing w:line="360" w:lineRule="auto"/>
        <w:jc w:val="center"/>
        <w:rPr>
          <w:rFonts w:ascii="宋体" w:hAnsi="宋体" w:cs="宋体"/>
          <w:b/>
          <w:bCs/>
          <w:sz w:val="32"/>
          <w:szCs w:val="32"/>
          <w:highlight w:val="none"/>
          <w:lang w:val="zh-CN"/>
        </w:rPr>
      </w:pPr>
      <w:bookmarkStart w:id="572" w:name="_Hlk116425243"/>
    </w:p>
    <w:p w14:paraId="3433B9FC">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投标承诺函</w:t>
      </w:r>
    </w:p>
    <w:bookmarkEnd w:id="572"/>
    <w:p w14:paraId="4F057A5E">
      <w:pPr>
        <w:spacing w:line="360" w:lineRule="auto"/>
        <w:rPr>
          <w:rFonts w:ascii="宋体" w:hAnsi="宋体" w:cs="宋体"/>
          <w:sz w:val="24"/>
          <w:highlight w:val="none"/>
        </w:rPr>
      </w:pPr>
    </w:p>
    <w:p w14:paraId="5AC40E55">
      <w:pPr>
        <w:spacing w:line="360" w:lineRule="auto"/>
        <w:rPr>
          <w:rFonts w:ascii="宋体" w:hAnsi="宋体" w:cs="宋体"/>
          <w:sz w:val="24"/>
          <w:highlight w:val="none"/>
        </w:rPr>
      </w:pPr>
      <w:r>
        <w:rPr>
          <w:rFonts w:hint="eastAsia" w:ascii="宋体" w:hAnsi="宋体" w:cs="宋体"/>
          <w:sz w:val="24"/>
          <w:highlight w:val="none"/>
        </w:rPr>
        <w:t>（招标人名称）：</w:t>
      </w:r>
    </w:p>
    <w:p w14:paraId="0A338B38">
      <w:pPr>
        <w:spacing w:line="360" w:lineRule="auto"/>
        <w:ind w:firstLine="480" w:firstLineChars="200"/>
        <w:rPr>
          <w:rFonts w:ascii="宋体" w:hAnsi="宋体" w:cs="宋体"/>
          <w:sz w:val="24"/>
          <w:highlight w:val="none"/>
        </w:rPr>
      </w:pPr>
      <w:r>
        <w:rPr>
          <w:rFonts w:hint="eastAsia" w:ascii="宋体" w:hAnsi="宋体" w:cs="宋体"/>
          <w:sz w:val="24"/>
          <w:highlight w:val="none"/>
        </w:rPr>
        <w:t>1．我方已仔细研究</w:t>
      </w:r>
      <w:r>
        <w:rPr>
          <w:rFonts w:hint="eastAsia" w:ascii="宋体" w:hAnsi="宋体" w:cs="宋体"/>
          <w:sz w:val="24"/>
          <w:highlight w:val="none"/>
          <w:lang w:val="en-US" w:eastAsia="zh-CN"/>
        </w:rPr>
        <w:t>并完全清楚</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（项目名称）招标文件的全部内容，愿意以《投标书》中承诺的投标报价和工期，按招标内容范围和合同约定承包</w:t>
      </w:r>
      <w:r>
        <w:rPr>
          <w:rFonts w:hint="eastAsia" w:ascii="宋体" w:hAnsi="宋体" w:cs="宋体"/>
          <w:sz w:val="24"/>
          <w:highlight w:val="none"/>
          <w:lang w:val="en-US" w:eastAsia="zh-CN"/>
        </w:rPr>
        <w:t>本项目</w:t>
      </w:r>
      <w:r>
        <w:rPr>
          <w:rFonts w:hint="eastAsia" w:ascii="宋体" w:hAnsi="宋体" w:cs="宋体"/>
          <w:sz w:val="24"/>
          <w:highlight w:val="none"/>
        </w:rPr>
        <w:t>，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我方没有备选投标方案。</w:t>
      </w:r>
    </w:p>
    <w:p w14:paraId="0876329C">
      <w:pPr>
        <w:spacing w:line="360" w:lineRule="auto"/>
        <w:ind w:firstLine="480" w:firstLineChars="200"/>
        <w:rPr>
          <w:rFonts w:ascii="宋体" w:hAnsi="宋体" w:cs="宋体"/>
          <w:sz w:val="24"/>
          <w:highlight w:val="none"/>
        </w:rPr>
      </w:pPr>
      <w:r>
        <w:rPr>
          <w:rFonts w:hint="eastAsia" w:ascii="宋体" w:hAnsi="宋体" w:cs="宋体"/>
          <w:sz w:val="24"/>
          <w:highlight w:val="none"/>
        </w:rPr>
        <w:t>2. 我方已充分阅读了本项目招标文件并充分了解有关报价方式及变更、结算方式，我方完全响应招标文件的规定。</w:t>
      </w:r>
    </w:p>
    <w:p w14:paraId="0E164BB3">
      <w:pPr>
        <w:spacing w:line="360" w:lineRule="auto"/>
        <w:ind w:firstLine="480" w:firstLineChars="200"/>
        <w:rPr>
          <w:rFonts w:ascii="宋体" w:hAnsi="宋体" w:cs="宋体"/>
          <w:sz w:val="24"/>
          <w:highlight w:val="none"/>
        </w:rPr>
      </w:pPr>
      <w:r>
        <w:rPr>
          <w:rFonts w:hint="eastAsia" w:ascii="宋体" w:hAnsi="宋体" w:cs="宋体"/>
          <w:sz w:val="24"/>
          <w:highlight w:val="none"/>
        </w:rPr>
        <w:t>3．我方承诺投标文件中的一切资料、数据是真实的，并承担由此引起的一切责任。</w:t>
      </w:r>
    </w:p>
    <w:p w14:paraId="456F604A">
      <w:pPr>
        <w:spacing w:line="360" w:lineRule="auto"/>
        <w:ind w:firstLine="480" w:firstLineChars="200"/>
        <w:rPr>
          <w:rFonts w:ascii="宋体" w:hAnsi="宋体" w:cs="宋体"/>
          <w:sz w:val="24"/>
          <w:highlight w:val="none"/>
        </w:rPr>
      </w:pPr>
      <w:r>
        <w:rPr>
          <w:rFonts w:hint="eastAsia" w:ascii="宋体" w:hAnsi="宋体" w:cs="宋体"/>
          <w:sz w:val="24"/>
          <w:highlight w:val="none"/>
        </w:rPr>
        <w:t>4．我方承诺在招标文件规定的投标有效期内不修改、撤销投标文件。</w:t>
      </w:r>
    </w:p>
    <w:p w14:paraId="0E833584">
      <w:pPr>
        <w:spacing w:line="360" w:lineRule="auto"/>
        <w:ind w:firstLine="480" w:firstLineChars="200"/>
        <w:rPr>
          <w:rFonts w:ascii="宋体" w:hAnsi="宋体" w:cs="宋体"/>
          <w:sz w:val="24"/>
          <w:highlight w:val="none"/>
        </w:rPr>
      </w:pPr>
      <w:r>
        <w:rPr>
          <w:rFonts w:hint="eastAsia" w:ascii="宋体" w:hAnsi="宋体" w:cs="宋体"/>
          <w:sz w:val="24"/>
          <w:highlight w:val="none"/>
        </w:rPr>
        <w:t>5．我方如果中标，我方保证：</w:t>
      </w:r>
    </w:p>
    <w:p w14:paraId="61A591C3">
      <w:pPr>
        <w:spacing w:line="360" w:lineRule="auto"/>
        <w:ind w:firstLine="480" w:firstLineChars="200"/>
        <w:rPr>
          <w:rFonts w:ascii="宋体" w:hAnsi="宋体" w:cs="宋体"/>
          <w:sz w:val="24"/>
          <w:highlight w:val="none"/>
        </w:rPr>
      </w:pPr>
      <w:r>
        <w:rPr>
          <w:rFonts w:hint="eastAsia" w:ascii="宋体" w:hAnsi="宋体" w:cs="宋体"/>
          <w:sz w:val="24"/>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0FB61777">
      <w:pPr>
        <w:spacing w:line="360" w:lineRule="auto"/>
        <w:ind w:firstLine="480" w:firstLineChars="200"/>
        <w:rPr>
          <w:rFonts w:ascii="宋体" w:hAnsi="宋体" w:cs="宋体"/>
          <w:sz w:val="24"/>
          <w:highlight w:val="none"/>
        </w:rPr>
      </w:pPr>
      <w:r>
        <w:rPr>
          <w:rFonts w:hint="eastAsia" w:ascii="宋体" w:hAnsi="宋体" w:cs="宋体"/>
          <w:sz w:val="24"/>
          <w:highlight w:val="none"/>
        </w:rPr>
        <w:t>（2）保证将我方的资质承包范围不能涵盖或不具备相应能力(该能力须保证进度和质量且须获得招标人认可)的部分专业工程（如果有），委托获得招标人批准的具备相应专业资质和能力的单位实施，确保项目质量及进度。</w:t>
      </w:r>
    </w:p>
    <w:p w14:paraId="113C1715">
      <w:pPr>
        <w:spacing w:line="360" w:lineRule="auto"/>
        <w:ind w:firstLine="480" w:firstLineChars="200"/>
        <w:rPr>
          <w:rFonts w:ascii="宋体" w:hAnsi="宋体" w:cs="宋体"/>
          <w:sz w:val="24"/>
          <w:highlight w:val="none"/>
        </w:rPr>
      </w:pPr>
      <w:r>
        <w:rPr>
          <w:rFonts w:hint="eastAsia" w:ascii="宋体" w:hAnsi="宋体" w:cs="宋体"/>
          <w:sz w:val="24"/>
          <w:highlight w:val="none"/>
        </w:rPr>
        <w:t>（3）保证尽一切力量确保投标承诺的竣工日期，若我方未能按投标承诺的工期完成本项目，除承担合同约定的违约责任外，招标人有权解除合同，我方承担由于违约解除合同退场造成的对招标人的一切损失。</w:t>
      </w:r>
    </w:p>
    <w:p w14:paraId="0AB5EA8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）保证所投入本项目的主要材料、设备质量符合或优于招标文件要求，所投入本项目的辅助设备、材料与主要材料、设备质量一致并有良好的配套性。</w:t>
      </w:r>
      <w:r>
        <w:rPr>
          <w:highlight w:val="none"/>
        </w:rPr>
        <w:fldChar w:fldCharType="begin"/>
      </w:r>
      <w:r>
        <w:rPr>
          <w:highlight w:val="none"/>
        </w:rPr>
        <w:instrText xml:space="preserve"> HYPERLINK "javascript:;" \t "_self" </w:instrText>
      </w:r>
      <w:r>
        <w:rPr>
          <w:highlight w:val="none"/>
        </w:rPr>
        <w:fldChar w:fldCharType="separate"/>
      </w:r>
      <w:r>
        <w:rPr>
          <w:highlight w:val="none"/>
        </w:rPr>
        <w:fldChar w:fldCharType="end"/>
      </w:r>
    </w:p>
    <w:p w14:paraId="02B776C7">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）保证按照招标文件的要求确保安全生产及文明施工，如有违反，我方愿意按合同约定承担违约责任，并为此负相关的法律责任。</w:t>
      </w:r>
    </w:p>
    <w:p w14:paraId="40BA9651">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）保证按国家的有关规定制订保证民工工资支付的方案及保证措施，否则，我方愿按合同条款规定承担违约责任并赔偿招标人的全部损失。</w:t>
      </w:r>
    </w:p>
    <w:p w14:paraId="16170A67">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）保证施工期间做好安全文明和交通</w:t>
      </w:r>
      <w:r>
        <w:rPr>
          <w:rFonts w:hint="eastAsia" w:ascii="宋体" w:hAnsi="宋体" w:cs="宋体"/>
          <w:sz w:val="24"/>
          <w:highlight w:val="none"/>
          <w:lang w:eastAsia="zh-CN"/>
        </w:rPr>
        <w:t>保障</w:t>
      </w:r>
      <w:r>
        <w:rPr>
          <w:rFonts w:hint="eastAsia" w:ascii="宋体" w:hAnsi="宋体" w:cs="宋体"/>
          <w:sz w:val="24"/>
          <w:highlight w:val="none"/>
        </w:rPr>
        <w:t>措施，施工区全封闭围挡，根据工程进度计划分段施工分期围挡。最大限度满足交通和市民出行方便，施工行为做到便民，不扰民。</w:t>
      </w:r>
    </w:p>
    <w:p w14:paraId="087666F1">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）保证按招标人工期要求编制施工进度计划，计划</w:t>
      </w:r>
      <w:r>
        <w:rPr>
          <w:rFonts w:hint="eastAsia" w:ascii="宋体" w:hAnsi="宋体" w:cs="宋体"/>
          <w:sz w:val="24"/>
          <w:highlight w:val="none"/>
          <w:lang w:eastAsia="zh-CN"/>
        </w:rPr>
        <w:t>内容</w:t>
      </w:r>
      <w:r>
        <w:rPr>
          <w:rFonts w:hint="eastAsia" w:ascii="宋体" w:hAnsi="宋体" w:cs="宋体"/>
          <w:sz w:val="24"/>
          <w:highlight w:val="none"/>
        </w:rPr>
        <w:t>全面详实，根据项目特点合理组织分段施工，分段逐步移交。</w:t>
      </w:r>
    </w:p>
    <w:p w14:paraId="7FFC96FC">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9</w:t>
      </w:r>
      <w:r>
        <w:rPr>
          <w:rFonts w:hint="eastAsia" w:ascii="宋体" w:hAnsi="宋体" w:cs="宋体"/>
          <w:sz w:val="24"/>
          <w:highlight w:val="none"/>
        </w:rPr>
        <w:t>）保证在公示后3天内将在交易平台下载的投标文件打印1正4副纸质版并加盖单位公章，合共5套投标文件提供给招标人，相关费用由我方支付。并承诺纸质版投标文件与在交易平台提交的电子版投标文件完全一致，如出现不一致则以交易平台提交的电子版投标文件为准。</w:t>
      </w:r>
    </w:p>
    <w:p w14:paraId="211C1A48">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0</w:t>
      </w:r>
      <w:r>
        <w:rPr>
          <w:rFonts w:hint="eastAsia" w:ascii="宋体" w:hAnsi="宋体" w:cs="宋体"/>
          <w:sz w:val="24"/>
          <w:highlight w:val="none"/>
        </w:rPr>
        <w:t>）</w:t>
      </w:r>
      <w:r>
        <w:rPr>
          <w:rFonts w:hint="eastAsia" w:ascii="宋体" w:hAnsi="宋体" w:cs="宋体"/>
          <w:sz w:val="24"/>
          <w:szCs w:val="24"/>
          <w:highlight w:val="none"/>
        </w:rPr>
        <w:t>中标后，我司将按不低于招标</w:t>
      </w:r>
      <w:r>
        <w:rPr>
          <w:rFonts w:hint="eastAsia" w:ascii="宋体" w:hAnsi="宋体" w:cs="宋体"/>
          <w:sz w:val="24"/>
          <w:szCs w:val="24"/>
          <w:highlight w:val="none"/>
          <w:lang w:val="en-US" w:eastAsia="zh-CN"/>
        </w:rPr>
        <w:t>文件及</w:t>
      </w:r>
      <w:r>
        <w:rPr>
          <w:rFonts w:hint="eastAsia" w:ascii="宋体" w:hAnsi="宋体" w:cs="宋体"/>
          <w:sz w:val="24"/>
          <w:szCs w:val="24"/>
          <w:highlight w:val="none"/>
        </w:rPr>
        <w:t>合同要求的配置人员，并根据工程的实际情况委派符合要求（相应等级及数量）的注册建造师及专职安全人员，负责相应工程的报建报批及具体实施，委派的注册建造师及专职安全员须经招标人同意</w:t>
      </w:r>
      <w:r>
        <w:rPr>
          <w:rFonts w:hint="eastAsia" w:ascii="宋体" w:hAnsi="宋体" w:cs="宋体"/>
          <w:sz w:val="24"/>
          <w:highlight w:val="none"/>
        </w:rPr>
        <w:t>。我方承诺，上述人员均为我方正式员工，我方在中标后一并提供满足要求的资格资历证明文件以及上述人员在我单位（或联合体单位）的有效社保证明文件供贵单位审核。如配备的人员不满足要求，我方承诺按合同约定承担违约责任。</w:t>
      </w:r>
    </w:p>
    <w:p w14:paraId="365E3261">
      <w:pPr>
        <w:spacing w:line="360" w:lineRule="auto"/>
        <w:ind w:firstLine="480" w:firstLineChars="200"/>
        <w:rPr>
          <w:rFonts w:ascii="宋体" w:hAnsi="宋体" w:cs="宋体"/>
          <w:sz w:val="24"/>
          <w:highlight w:val="none"/>
        </w:rPr>
      </w:pPr>
    </w:p>
    <w:p w14:paraId="0E1327FE">
      <w:pPr>
        <w:tabs>
          <w:tab w:val="left" w:pos="7655"/>
        </w:tabs>
        <w:spacing w:line="360" w:lineRule="auto"/>
        <w:ind w:firstLine="1656" w:firstLineChars="600"/>
        <w:jc w:val="left"/>
        <w:rPr>
          <w:rFonts w:ascii="宋体" w:hAnsi="宋体" w:cs="宋体"/>
          <w:spacing w:val="18"/>
          <w:kern w:val="1"/>
          <w:sz w:val="24"/>
          <w:highlight w:val="none"/>
          <w:lang w:val="zh-CN"/>
        </w:rPr>
      </w:pPr>
    </w:p>
    <w:p w14:paraId="6C9C6832">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66104427">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14:paraId="67A552FC">
      <w:pPr>
        <w:pStyle w:val="15"/>
        <w:ind w:firstLine="0"/>
        <w:rPr>
          <w:rFonts w:ascii="宋体" w:hAnsi="宋体" w:cs="宋体"/>
          <w:szCs w:val="21"/>
          <w:highlight w:val="none"/>
        </w:rPr>
      </w:pPr>
    </w:p>
    <w:p w14:paraId="2D499DBE">
      <w:pPr>
        <w:autoSpaceDE/>
        <w:autoSpaceDN/>
        <w:adjustRightInd/>
        <w:spacing w:line="240" w:lineRule="auto"/>
        <w:outlineLvl w:val="1"/>
        <w:rPr>
          <w:rFonts w:ascii="宋体" w:hAnsi="宋体" w:cs="宋体"/>
          <w:sz w:val="32"/>
          <w:szCs w:val="32"/>
          <w:highlight w:val="none"/>
        </w:rPr>
      </w:pPr>
      <w:r>
        <w:rPr>
          <w:rFonts w:ascii="宋体" w:hAnsi="宋体" w:cs="宋体"/>
          <w:szCs w:val="21"/>
          <w:highlight w:val="none"/>
        </w:rPr>
        <w:br w:type="page"/>
      </w:r>
      <w:r>
        <w:rPr>
          <w:rFonts w:hint="eastAsia" w:ascii="宋体" w:hAnsi="宋体" w:cs="宋体"/>
          <w:b/>
          <w:kern w:val="1"/>
          <w:szCs w:val="21"/>
          <w:highlight w:val="none"/>
          <w:lang w:val="zh-CN"/>
        </w:rPr>
        <w:t>格式5-2：报价承诺书</w:t>
      </w:r>
    </w:p>
    <w:p w14:paraId="09236039">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报价承诺书</w:t>
      </w:r>
    </w:p>
    <w:p w14:paraId="66DD83B3">
      <w:pPr>
        <w:spacing w:line="360" w:lineRule="auto"/>
        <w:rPr>
          <w:rFonts w:ascii="宋体" w:hAnsi="宋体" w:cs="宋体"/>
          <w:sz w:val="24"/>
          <w:highlight w:val="none"/>
        </w:rPr>
      </w:pPr>
    </w:p>
    <w:p w14:paraId="2F7596BA">
      <w:pPr>
        <w:spacing w:line="500" w:lineRule="exact"/>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广州开发区建设投资有限公司</w:t>
      </w:r>
    </w:p>
    <w:p w14:paraId="198C4905">
      <w:pPr>
        <w:spacing w:line="500" w:lineRule="exact"/>
        <w:ind w:firstLine="480" w:firstLineChars="200"/>
        <w:rPr>
          <w:rFonts w:ascii="宋体" w:hAnsi="宋体" w:cs="宋体"/>
          <w:sz w:val="24"/>
          <w:highlight w:val="none"/>
        </w:rPr>
      </w:pPr>
      <w:r>
        <w:rPr>
          <w:rFonts w:hint="eastAsia" w:ascii="宋体" w:hAnsi="宋体" w:cs="宋体"/>
          <w:sz w:val="24"/>
          <w:highlight w:val="none"/>
        </w:rPr>
        <w:t>我方完全理解并响应招标人的所有内容，所报下浮率综合考虑企业成本、市场价格、施工现场情况及各种风险因素。施工图及施工图预算按招标公告发布的图纸、最高投标限价</w:t>
      </w:r>
      <w:r>
        <w:rPr>
          <w:rFonts w:hint="eastAsia" w:ascii="宋体" w:hAnsi="宋体" w:cs="宋体"/>
          <w:sz w:val="24"/>
          <w:highlight w:val="none"/>
          <w:lang w:eastAsia="zh-CN"/>
        </w:rPr>
        <w:t>、</w:t>
      </w:r>
      <w:r>
        <w:rPr>
          <w:rFonts w:hint="eastAsia" w:ascii="宋体" w:hAnsi="宋体" w:cs="宋体"/>
          <w:sz w:val="24"/>
          <w:highlight w:val="none"/>
          <w:lang w:val="en-US" w:eastAsia="zh-CN"/>
        </w:rPr>
        <w:t>合同要求等</w:t>
      </w:r>
      <w:r>
        <w:rPr>
          <w:rFonts w:hint="eastAsia" w:ascii="宋体" w:hAnsi="宋体" w:cs="宋体"/>
          <w:sz w:val="24"/>
          <w:highlight w:val="none"/>
        </w:rPr>
        <w:t>所有内容为基础，以此作为施工图预算和结算的依据，完善后报招标人审批。</w:t>
      </w:r>
    </w:p>
    <w:p w14:paraId="1CFDA206">
      <w:pPr>
        <w:spacing w:line="500" w:lineRule="exact"/>
        <w:ind w:firstLine="480" w:firstLineChars="200"/>
        <w:rPr>
          <w:rFonts w:ascii="宋体" w:hAnsi="宋体" w:cs="宋体"/>
          <w:sz w:val="24"/>
          <w:highlight w:val="none"/>
        </w:rPr>
      </w:pPr>
    </w:p>
    <w:p w14:paraId="2262960C">
      <w:pPr>
        <w:spacing w:line="360" w:lineRule="auto"/>
        <w:ind w:firstLine="480" w:firstLineChars="200"/>
        <w:rPr>
          <w:rFonts w:ascii="宋体" w:hAnsi="宋体" w:cs="宋体"/>
          <w:sz w:val="24"/>
          <w:highlight w:val="none"/>
        </w:rPr>
      </w:pPr>
    </w:p>
    <w:p w14:paraId="629E3D0C">
      <w:pPr>
        <w:tabs>
          <w:tab w:val="left" w:pos="7655"/>
        </w:tabs>
        <w:spacing w:line="360" w:lineRule="auto"/>
        <w:ind w:firstLine="1656" w:firstLineChars="600"/>
        <w:jc w:val="left"/>
        <w:rPr>
          <w:rFonts w:ascii="宋体" w:hAnsi="宋体" w:cs="宋体"/>
          <w:spacing w:val="18"/>
          <w:kern w:val="1"/>
          <w:sz w:val="24"/>
          <w:highlight w:val="none"/>
          <w:lang w:val="zh-CN"/>
        </w:rPr>
      </w:pPr>
    </w:p>
    <w:p w14:paraId="4445B6F5">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27E5EFF8">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14:paraId="7987FE2A">
      <w:pPr>
        <w:spacing w:line="360" w:lineRule="auto"/>
        <w:rPr>
          <w:rFonts w:ascii="宋体" w:hAnsi="宋体" w:cs="宋体"/>
          <w:sz w:val="24"/>
          <w:highlight w:val="none"/>
        </w:rPr>
      </w:pPr>
    </w:p>
    <w:p w14:paraId="688100F8">
      <w:pPr>
        <w:spacing w:line="360" w:lineRule="auto"/>
        <w:rPr>
          <w:rFonts w:ascii="宋体" w:hAnsi="宋体" w:cs="宋体"/>
          <w:sz w:val="24"/>
          <w:highlight w:val="none"/>
        </w:rPr>
      </w:pPr>
    </w:p>
    <w:p w14:paraId="39268D70">
      <w:pPr>
        <w:outlineLvl w:val="9"/>
        <w:rPr>
          <w:rFonts w:ascii="宋体" w:hAnsi="宋体" w:cs="宋体"/>
          <w:b/>
          <w:kern w:val="1"/>
          <w:szCs w:val="21"/>
          <w:highlight w:val="none"/>
          <w:lang w:val="zh-CN"/>
        </w:rPr>
      </w:pPr>
      <w:r>
        <w:rPr>
          <w:rFonts w:ascii="宋体" w:hAnsi="宋体" w:cs="宋体"/>
          <w:szCs w:val="21"/>
          <w:highlight w:val="none"/>
        </w:rPr>
        <w:br w:type="page"/>
      </w:r>
    </w:p>
    <w:p w14:paraId="6BD9C79D">
      <w:pPr>
        <w:spacing w:line="240" w:lineRule="auto"/>
        <w:outlineLvl w:val="1"/>
        <w:rPr>
          <w:rFonts w:hint="eastAsia" w:ascii="宋体" w:hAnsi="宋体" w:cs="宋体"/>
          <w:b/>
          <w:kern w:val="1"/>
          <w:szCs w:val="21"/>
          <w:highlight w:val="none"/>
          <w:lang w:val="zh-CN"/>
        </w:rPr>
      </w:pPr>
      <w:bookmarkStart w:id="573" w:name="_Toc9033"/>
      <w:bookmarkStart w:id="574" w:name="_Toc25710"/>
      <w:bookmarkStart w:id="575" w:name="_Toc116461800"/>
      <w:bookmarkStart w:id="576" w:name="_Toc123901765"/>
      <w:r>
        <w:rPr>
          <w:rFonts w:hint="eastAsia" w:ascii="宋体" w:hAnsi="宋体" w:cs="宋体"/>
          <w:b/>
          <w:kern w:val="1"/>
          <w:szCs w:val="21"/>
          <w:highlight w:val="none"/>
          <w:lang w:val="zh-CN"/>
        </w:rPr>
        <w:t>格式6</w:t>
      </w:r>
      <w:bookmarkEnd w:id="573"/>
      <w:bookmarkEnd w:id="574"/>
      <w:r>
        <w:rPr>
          <w:rFonts w:hint="eastAsia" w:ascii="宋体" w:hAnsi="宋体" w:cs="宋体"/>
          <w:b/>
          <w:kern w:val="1"/>
          <w:szCs w:val="21"/>
          <w:highlight w:val="none"/>
          <w:lang w:val="zh-CN"/>
        </w:rPr>
        <w:t>：企业资信资料</w:t>
      </w:r>
      <w:bookmarkEnd w:id="575"/>
      <w:bookmarkEnd w:id="576"/>
    </w:p>
    <w:p w14:paraId="751AD100">
      <w:pPr>
        <w:autoSpaceDE w:val="0"/>
        <w:autoSpaceDN w:val="0"/>
        <w:adjustRightInd w:val="0"/>
        <w:spacing w:line="360" w:lineRule="auto"/>
        <w:jc w:val="center"/>
        <w:rPr>
          <w:rFonts w:ascii="宋体" w:hAnsi="宋体" w:cs="宋体"/>
          <w:b/>
          <w:bCs/>
          <w:sz w:val="32"/>
          <w:szCs w:val="32"/>
          <w:highlight w:val="none"/>
          <w:lang w:val="zh-CN"/>
        </w:rPr>
      </w:pPr>
    </w:p>
    <w:p w14:paraId="4DB967CD">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企业类似业绩一览表（施工方）</w:t>
      </w:r>
    </w:p>
    <w:tbl>
      <w:tblPr>
        <w:tblStyle w:val="4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645"/>
        <w:gridCol w:w="1539"/>
        <w:gridCol w:w="1284"/>
        <w:gridCol w:w="1284"/>
        <w:gridCol w:w="1152"/>
        <w:gridCol w:w="1747"/>
      </w:tblGrid>
      <w:tr w14:paraId="2A38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2881B7F">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序号</w:t>
            </w:r>
          </w:p>
        </w:tc>
        <w:tc>
          <w:tcPr>
            <w:tcW w:w="1645" w:type="dxa"/>
            <w:vAlign w:val="center"/>
          </w:tcPr>
          <w:p w14:paraId="2CA992EA">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项目编号</w:t>
            </w:r>
          </w:p>
        </w:tc>
        <w:tc>
          <w:tcPr>
            <w:tcW w:w="1539" w:type="dxa"/>
            <w:vAlign w:val="center"/>
          </w:tcPr>
          <w:p w14:paraId="244C5CC0">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项目名称</w:t>
            </w:r>
          </w:p>
        </w:tc>
        <w:tc>
          <w:tcPr>
            <w:tcW w:w="1284" w:type="dxa"/>
            <w:vAlign w:val="center"/>
          </w:tcPr>
          <w:p w14:paraId="14B2AEEA">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Cs w:val="21"/>
                <w:highlight w:val="none"/>
              </w:rPr>
              <w:t>工程规模（m</w:t>
            </w:r>
            <w:r>
              <w:rPr>
                <w:rFonts w:hint="eastAsia" w:ascii="宋体" w:hAnsi="宋体" w:cs="宋体"/>
                <w:kern w:val="1"/>
                <w:szCs w:val="21"/>
                <w:highlight w:val="none"/>
                <w:vertAlign w:val="baseline"/>
              </w:rPr>
              <w:t>2</w:t>
            </w:r>
            <w:r>
              <w:rPr>
                <w:rFonts w:hint="eastAsia" w:ascii="宋体" w:hAnsi="宋体" w:cs="宋体"/>
                <w:kern w:val="1"/>
                <w:szCs w:val="21"/>
                <w:highlight w:val="none"/>
              </w:rPr>
              <w:t>）</w:t>
            </w:r>
          </w:p>
        </w:tc>
        <w:tc>
          <w:tcPr>
            <w:tcW w:w="1284" w:type="dxa"/>
            <w:vAlign w:val="center"/>
          </w:tcPr>
          <w:p w14:paraId="762C0DA5">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合同总价（万元）</w:t>
            </w:r>
          </w:p>
        </w:tc>
        <w:tc>
          <w:tcPr>
            <w:tcW w:w="1152" w:type="dxa"/>
            <w:vAlign w:val="center"/>
          </w:tcPr>
          <w:p w14:paraId="4E0858FD">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完成时间</w:t>
            </w:r>
          </w:p>
        </w:tc>
        <w:tc>
          <w:tcPr>
            <w:tcW w:w="1747" w:type="dxa"/>
            <w:vAlign w:val="center"/>
          </w:tcPr>
          <w:p w14:paraId="5F0F5614">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Cs w:val="21"/>
                <w:highlight w:val="none"/>
              </w:rPr>
              <w:t>...（投标单位可自行增加评审相关内容）</w:t>
            </w:r>
          </w:p>
        </w:tc>
      </w:tr>
      <w:tr w14:paraId="42E1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5FE4D047">
            <w:pPr>
              <w:tabs>
                <w:tab w:val="left" w:pos="720"/>
              </w:tabs>
              <w:snapToGrid w:val="0"/>
              <w:spacing w:line="360" w:lineRule="auto"/>
              <w:rPr>
                <w:rFonts w:ascii="宋体" w:hAnsi="宋体" w:cs="宋体"/>
                <w:sz w:val="24"/>
                <w:highlight w:val="none"/>
              </w:rPr>
            </w:pPr>
          </w:p>
        </w:tc>
        <w:tc>
          <w:tcPr>
            <w:tcW w:w="1645" w:type="dxa"/>
          </w:tcPr>
          <w:p w14:paraId="4D2170A3">
            <w:pPr>
              <w:tabs>
                <w:tab w:val="left" w:pos="720"/>
              </w:tabs>
              <w:snapToGrid w:val="0"/>
              <w:spacing w:line="360" w:lineRule="auto"/>
              <w:rPr>
                <w:rFonts w:ascii="宋体" w:hAnsi="宋体" w:cs="宋体"/>
                <w:sz w:val="24"/>
                <w:highlight w:val="none"/>
              </w:rPr>
            </w:pPr>
          </w:p>
        </w:tc>
        <w:tc>
          <w:tcPr>
            <w:tcW w:w="1539" w:type="dxa"/>
          </w:tcPr>
          <w:p w14:paraId="589EDE35">
            <w:pPr>
              <w:tabs>
                <w:tab w:val="left" w:pos="720"/>
              </w:tabs>
              <w:snapToGrid w:val="0"/>
              <w:spacing w:line="360" w:lineRule="auto"/>
              <w:rPr>
                <w:rFonts w:ascii="宋体" w:hAnsi="宋体" w:cs="宋体"/>
                <w:sz w:val="24"/>
                <w:highlight w:val="none"/>
              </w:rPr>
            </w:pPr>
          </w:p>
        </w:tc>
        <w:tc>
          <w:tcPr>
            <w:tcW w:w="1284" w:type="dxa"/>
          </w:tcPr>
          <w:p w14:paraId="0A9371B4">
            <w:pPr>
              <w:tabs>
                <w:tab w:val="left" w:pos="720"/>
              </w:tabs>
              <w:snapToGrid w:val="0"/>
              <w:spacing w:line="360" w:lineRule="auto"/>
              <w:rPr>
                <w:rFonts w:ascii="宋体" w:hAnsi="宋体" w:cs="宋体"/>
                <w:sz w:val="24"/>
                <w:highlight w:val="none"/>
              </w:rPr>
            </w:pPr>
          </w:p>
        </w:tc>
        <w:tc>
          <w:tcPr>
            <w:tcW w:w="1284" w:type="dxa"/>
          </w:tcPr>
          <w:p w14:paraId="5130CD4A">
            <w:pPr>
              <w:tabs>
                <w:tab w:val="left" w:pos="720"/>
              </w:tabs>
              <w:snapToGrid w:val="0"/>
              <w:spacing w:line="360" w:lineRule="auto"/>
              <w:rPr>
                <w:rFonts w:ascii="宋体" w:hAnsi="宋体" w:cs="宋体"/>
                <w:sz w:val="24"/>
                <w:highlight w:val="none"/>
              </w:rPr>
            </w:pPr>
          </w:p>
        </w:tc>
        <w:tc>
          <w:tcPr>
            <w:tcW w:w="1152" w:type="dxa"/>
          </w:tcPr>
          <w:p w14:paraId="23729FE8">
            <w:pPr>
              <w:tabs>
                <w:tab w:val="left" w:pos="720"/>
              </w:tabs>
              <w:snapToGrid w:val="0"/>
              <w:spacing w:line="360" w:lineRule="auto"/>
              <w:rPr>
                <w:rFonts w:ascii="宋体" w:hAnsi="宋体" w:cs="宋体"/>
                <w:sz w:val="24"/>
                <w:highlight w:val="none"/>
              </w:rPr>
            </w:pPr>
          </w:p>
        </w:tc>
        <w:tc>
          <w:tcPr>
            <w:tcW w:w="1747" w:type="dxa"/>
          </w:tcPr>
          <w:p w14:paraId="63C45EC2">
            <w:pPr>
              <w:tabs>
                <w:tab w:val="left" w:pos="720"/>
              </w:tabs>
              <w:snapToGrid w:val="0"/>
              <w:spacing w:line="360" w:lineRule="auto"/>
              <w:rPr>
                <w:rFonts w:ascii="宋体" w:hAnsi="宋体" w:cs="宋体"/>
                <w:sz w:val="24"/>
                <w:highlight w:val="none"/>
              </w:rPr>
            </w:pPr>
          </w:p>
        </w:tc>
      </w:tr>
      <w:tr w14:paraId="1279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71A9CBCC">
            <w:pPr>
              <w:tabs>
                <w:tab w:val="left" w:pos="720"/>
              </w:tabs>
              <w:snapToGrid w:val="0"/>
              <w:spacing w:line="360" w:lineRule="auto"/>
              <w:rPr>
                <w:rFonts w:ascii="宋体" w:hAnsi="宋体" w:cs="宋体"/>
                <w:sz w:val="24"/>
                <w:highlight w:val="none"/>
              </w:rPr>
            </w:pPr>
          </w:p>
        </w:tc>
        <w:tc>
          <w:tcPr>
            <w:tcW w:w="1645" w:type="dxa"/>
          </w:tcPr>
          <w:p w14:paraId="745DA572">
            <w:pPr>
              <w:tabs>
                <w:tab w:val="left" w:pos="720"/>
              </w:tabs>
              <w:snapToGrid w:val="0"/>
              <w:spacing w:line="360" w:lineRule="auto"/>
              <w:rPr>
                <w:rFonts w:ascii="宋体" w:hAnsi="宋体" w:cs="宋体"/>
                <w:sz w:val="24"/>
                <w:highlight w:val="none"/>
              </w:rPr>
            </w:pPr>
          </w:p>
        </w:tc>
        <w:tc>
          <w:tcPr>
            <w:tcW w:w="1539" w:type="dxa"/>
          </w:tcPr>
          <w:p w14:paraId="18D2F3E9">
            <w:pPr>
              <w:tabs>
                <w:tab w:val="left" w:pos="720"/>
              </w:tabs>
              <w:snapToGrid w:val="0"/>
              <w:spacing w:line="360" w:lineRule="auto"/>
              <w:rPr>
                <w:rFonts w:ascii="宋体" w:hAnsi="宋体" w:cs="宋体"/>
                <w:sz w:val="24"/>
                <w:highlight w:val="none"/>
              </w:rPr>
            </w:pPr>
          </w:p>
        </w:tc>
        <w:tc>
          <w:tcPr>
            <w:tcW w:w="1284" w:type="dxa"/>
          </w:tcPr>
          <w:p w14:paraId="6CB0CB53">
            <w:pPr>
              <w:tabs>
                <w:tab w:val="left" w:pos="720"/>
              </w:tabs>
              <w:snapToGrid w:val="0"/>
              <w:spacing w:line="360" w:lineRule="auto"/>
              <w:rPr>
                <w:rFonts w:ascii="宋体" w:hAnsi="宋体" w:cs="宋体"/>
                <w:sz w:val="24"/>
                <w:highlight w:val="none"/>
              </w:rPr>
            </w:pPr>
          </w:p>
        </w:tc>
        <w:tc>
          <w:tcPr>
            <w:tcW w:w="1284" w:type="dxa"/>
          </w:tcPr>
          <w:p w14:paraId="15E53128">
            <w:pPr>
              <w:tabs>
                <w:tab w:val="left" w:pos="720"/>
              </w:tabs>
              <w:snapToGrid w:val="0"/>
              <w:spacing w:line="360" w:lineRule="auto"/>
              <w:rPr>
                <w:rFonts w:ascii="宋体" w:hAnsi="宋体" w:cs="宋体"/>
                <w:sz w:val="24"/>
                <w:highlight w:val="none"/>
              </w:rPr>
            </w:pPr>
          </w:p>
        </w:tc>
        <w:tc>
          <w:tcPr>
            <w:tcW w:w="1152" w:type="dxa"/>
          </w:tcPr>
          <w:p w14:paraId="6EA41FDB">
            <w:pPr>
              <w:tabs>
                <w:tab w:val="left" w:pos="720"/>
              </w:tabs>
              <w:snapToGrid w:val="0"/>
              <w:spacing w:line="360" w:lineRule="auto"/>
              <w:rPr>
                <w:rFonts w:ascii="宋体" w:hAnsi="宋体" w:cs="宋体"/>
                <w:sz w:val="24"/>
                <w:highlight w:val="none"/>
              </w:rPr>
            </w:pPr>
          </w:p>
        </w:tc>
        <w:tc>
          <w:tcPr>
            <w:tcW w:w="1747" w:type="dxa"/>
          </w:tcPr>
          <w:p w14:paraId="37B5B7D3">
            <w:pPr>
              <w:tabs>
                <w:tab w:val="left" w:pos="720"/>
              </w:tabs>
              <w:snapToGrid w:val="0"/>
              <w:spacing w:line="360" w:lineRule="auto"/>
              <w:rPr>
                <w:rFonts w:ascii="宋体" w:hAnsi="宋体" w:cs="宋体"/>
                <w:sz w:val="24"/>
                <w:highlight w:val="none"/>
              </w:rPr>
            </w:pPr>
          </w:p>
        </w:tc>
      </w:tr>
      <w:tr w14:paraId="186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14:paraId="4B0C7BAE">
            <w:pPr>
              <w:tabs>
                <w:tab w:val="left" w:pos="720"/>
              </w:tabs>
              <w:snapToGrid w:val="0"/>
              <w:spacing w:line="360" w:lineRule="auto"/>
              <w:rPr>
                <w:rFonts w:ascii="宋体" w:hAnsi="宋体" w:cs="宋体"/>
                <w:sz w:val="24"/>
                <w:highlight w:val="none"/>
              </w:rPr>
            </w:pPr>
          </w:p>
        </w:tc>
        <w:tc>
          <w:tcPr>
            <w:tcW w:w="1645" w:type="dxa"/>
          </w:tcPr>
          <w:p w14:paraId="27AD0000">
            <w:pPr>
              <w:tabs>
                <w:tab w:val="left" w:pos="720"/>
              </w:tabs>
              <w:snapToGrid w:val="0"/>
              <w:spacing w:line="360" w:lineRule="auto"/>
              <w:rPr>
                <w:rFonts w:ascii="宋体" w:hAnsi="宋体" w:cs="宋体"/>
                <w:sz w:val="24"/>
                <w:highlight w:val="none"/>
              </w:rPr>
            </w:pPr>
          </w:p>
        </w:tc>
        <w:tc>
          <w:tcPr>
            <w:tcW w:w="1539" w:type="dxa"/>
          </w:tcPr>
          <w:p w14:paraId="4AEF923B">
            <w:pPr>
              <w:tabs>
                <w:tab w:val="left" w:pos="720"/>
              </w:tabs>
              <w:snapToGrid w:val="0"/>
              <w:spacing w:line="360" w:lineRule="auto"/>
              <w:rPr>
                <w:rFonts w:ascii="宋体" w:hAnsi="宋体" w:cs="宋体"/>
                <w:sz w:val="24"/>
                <w:highlight w:val="none"/>
              </w:rPr>
            </w:pPr>
          </w:p>
        </w:tc>
        <w:tc>
          <w:tcPr>
            <w:tcW w:w="1284" w:type="dxa"/>
          </w:tcPr>
          <w:p w14:paraId="7F7CF876">
            <w:pPr>
              <w:tabs>
                <w:tab w:val="left" w:pos="720"/>
              </w:tabs>
              <w:snapToGrid w:val="0"/>
              <w:spacing w:line="360" w:lineRule="auto"/>
              <w:rPr>
                <w:rFonts w:ascii="宋体" w:hAnsi="宋体" w:cs="宋体"/>
                <w:sz w:val="24"/>
                <w:highlight w:val="none"/>
              </w:rPr>
            </w:pPr>
          </w:p>
        </w:tc>
        <w:tc>
          <w:tcPr>
            <w:tcW w:w="1284" w:type="dxa"/>
          </w:tcPr>
          <w:p w14:paraId="54C9E23E">
            <w:pPr>
              <w:tabs>
                <w:tab w:val="left" w:pos="720"/>
              </w:tabs>
              <w:snapToGrid w:val="0"/>
              <w:spacing w:line="360" w:lineRule="auto"/>
              <w:rPr>
                <w:rFonts w:ascii="宋体" w:hAnsi="宋体" w:cs="宋体"/>
                <w:sz w:val="24"/>
                <w:highlight w:val="none"/>
              </w:rPr>
            </w:pPr>
          </w:p>
        </w:tc>
        <w:tc>
          <w:tcPr>
            <w:tcW w:w="1152" w:type="dxa"/>
          </w:tcPr>
          <w:p w14:paraId="55B78B85">
            <w:pPr>
              <w:tabs>
                <w:tab w:val="left" w:pos="720"/>
              </w:tabs>
              <w:snapToGrid w:val="0"/>
              <w:spacing w:line="360" w:lineRule="auto"/>
              <w:rPr>
                <w:rFonts w:ascii="宋体" w:hAnsi="宋体" w:cs="宋体"/>
                <w:sz w:val="24"/>
                <w:highlight w:val="none"/>
              </w:rPr>
            </w:pPr>
          </w:p>
        </w:tc>
        <w:tc>
          <w:tcPr>
            <w:tcW w:w="1747" w:type="dxa"/>
          </w:tcPr>
          <w:p w14:paraId="43191FD0">
            <w:pPr>
              <w:tabs>
                <w:tab w:val="left" w:pos="720"/>
              </w:tabs>
              <w:snapToGrid w:val="0"/>
              <w:spacing w:line="360" w:lineRule="auto"/>
              <w:rPr>
                <w:rFonts w:ascii="宋体" w:hAnsi="宋体" w:cs="宋体"/>
                <w:sz w:val="24"/>
                <w:highlight w:val="none"/>
              </w:rPr>
            </w:pPr>
          </w:p>
        </w:tc>
      </w:tr>
    </w:tbl>
    <w:p w14:paraId="5FD78714">
      <w:pPr>
        <w:tabs>
          <w:tab w:val="left" w:pos="7655"/>
        </w:tabs>
        <w:spacing w:line="360" w:lineRule="auto"/>
        <w:jc w:val="left"/>
        <w:rPr>
          <w:rFonts w:ascii="宋体" w:hAnsi="宋体" w:cs="宋体"/>
          <w:sz w:val="24"/>
          <w:highlight w:val="none"/>
        </w:rPr>
      </w:pPr>
      <w:r>
        <w:rPr>
          <w:rFonts w:hint="eastAsia" w:ascii="宋体" w:hAnsi="宋体" w:cs="宋体"/>
          <w:sz w:val="24"/>
          <w:highlight w:val="none"/>
        </w:rPr>
        <w:t>注：投标人需根据评分标准提供相应证明材料。</w:t>
      </w:r>
    </w:p>
    <w:p w14:paraId="061961F7">
      <w:pPr>
        <w:tabs>
          <w:tab w:val="left" w:pos="7655"/>
        </w:tabs>
        <w:spacing w:line="360" w:lineRule="auto"/>
        <w:jc w:val="left"/>
        <w:rPr>
          <w:rFonts w:ascii="宋体" w:hAnsi="宋体" w:cs="宋体"/>
          <w:sz w:val="24"/>
          <w:highlight w:val="none"/>
        </w:rPr>
      </w:pPr>
    </w:p>
    <w:p w14:paraId="651F882F">
      <w:pPr>
        <w:tabs>
          <w:tab w:val="left" w:pos="7655"/>
        </w:tabs>
        <w:spacing w:line="360" w:lineRule="auto"/>
        <w:jc w:val="left"/>
        <w:rPr>
          <w:rFonts w:ascii="宋体" w:hAnsi="宋体" w:cs="宋体"/>
          <w:sz w:val="24"/>
          <w:highlight w:val="none"/>
          <w:lang w:val="zh-CN"/>
        </w:rPr>
      </w:pPr>
    </w:p>
    <w:p w14:paraId="0DB0C2C8">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39D833C9">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14:paraId="0F09D343">
      <w:pPr>
        <w:pStyle w:val="15"/>
        <w:ind w:firstLine="0"/>
        <w:rPr>
          <w:rFonts w:ascii="宋体" w:hAnsi="宋体" w:cs="宋体"/>
          <w:szCs w:val="21"/>
          <w:highlight w:val="none"/>
        </w:rPr>
      </w:pPr>
    </w:p>
    <w:p w14:paraId="4C9D865A">
      <w:pPr>
        <w:autoSpaceDE w:val="0"/>
        <w:autoSpaceDN w:val="0"/>
        <w:adjustRightInd w:val="0"/>
        <w:spacing w:line="360" w:lineRule="auto"/>
        <w:jc w:val="left"/>
        <w:rPr>
          <w:rFonts w:ascii="宋体" w:hAnsi="宋体" w:cs="宋体"/>
          <w:szCs w:val="21"/>
          <w:highlight w:val="none"/>
        </w:rPr>
      </w:pPr>
    </w:p>
    <w:p w14:paraId="1D1AB147">
      <w:pPr>
        <w:pStyle w:val="15"/>
        <w:ind w:firstLine="0"/>
        <w:rPr>
          <w:rFonts w:ascii="宋体" w:hAnsi="宋体" w:cs="宋体"/>
          <w:szCs w:val="21"/>
          <w:highlight w:val="none"/>
        </w:rPr>
      </w:pPr>
    </w:p>
    <w:p w14:paraId="3B229AA6">
      <w:pPr>
        <w:spacing w:line="360" w:lineRule="auto"/>
        <w:rPr>
          <w:rFonts w:ascii="宋体" w:hAnsi="宋体" w:cs="宋体"/>
          <w:b/>
          <w:bCs/>
          <w:kern w:val="1"/>
          <w:sz w:val="24"/>
          <w:highlight w:val="none"/>
          <w:lang w:val="zh-CN"/>
        </w:rPr>
      </w:pPr>
      <w:r>
        <w:rPr>
          <w:rFonts w:hint="eastAsia" w:ascii="宋体" w:hAnsi="宋体" w:cs="宋体"/>
          <w:b/>
          <w:kern w:val="1"/>
          <w:sz w:val="24"/>
          <w:highlight w:val="none"/>
          <w:lang w:val="zh-CN"/>
        </w:rPr>
        <w:br w:type="page"/>
      </w:r>
      <w:r>
        <w:rPr>
          <w:rFonts w:hint="eastAsia" w:ascii="宋体" w:hAnsi="宋体" w:cs="宋体"/>
          <w:b/>
          <w:bCs/>
          <w:kern w:val="1"/>
          <w:sz w:val="24"/>
          <w:highlight w:val="none"/>
          <w:lang w:val="zh-CN"/>
        </w:rPr>
        <w:t>（</w:t>
      </w:r>
      <w:r>
        <w:rPr>
          <w:rFonts w:ascii="宋体" w:hAnsi="宋体" w:cs="宋体"/>
          <w:b/>
          <w:bCs/>
          <w:kern w:val="1"/>
          <w:sz w:val="24"/>
          <w:highlight w:val="none"/>
          <w:lang w:val="zh-CN"/>
        </w:rPr>
        <w:t>2</w:t>
      </w:r>
      <w:r>
        <w:rPr>
          <w:rFonts w:hint="eastAsia" w:ascii="宋体" w:hAnsi="宋体" w:cs="宋体"/>
          <w:b/>
          <w:bCs/>
          <w:kern w:val="1"/>
          <w:sz w:val="24"/>
          <w:highlight w:val="none"/>
          <w:lang w:val="zh-CN"/>
        </w:rPr>
        <w:t>）企业获奖资料</w:t>
      </w:r>
    </w:p>
    <w:p w14:paraId="19D2AE50">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企业获奖一览表（施工方）</w:t>
      </w:r>
    </w:p>
    <w:tbl>
      <w:tblPr>
        <w:tblStyle w:val="45"/>
        <w:tblW w:w="9288" w:type="dxa"/>
        <w:jc w:val="center"/>
        <w:tblLayout w:type="fixed"/>
        <w:tblCellMar>
          <w:top w:w="0" w:type="dxa"/>
          <w:left w:w="108" w:type="dxa"/>
          <w:bottom w:w="0" w:type="dxa"/>
          <w:right w:w="108" w:type="dxa"/>
        </w:tblCellMar>
      </w:tblPr>
      <w:tblGrid>
        <w:gridCol w:w="971"/>
        <w:gridCol w:w="970"/>
        <w:gridCol w:w="1575"/>
        <w:gridCol w:w="2010"/>
        <w:gridCol w:w="1235"/>
        <w:gridCol w:w="1700"/>
        <w:gridCol w:w="827"/>
      </w:tblGrid>
      <w:tr w14:paraId="1CE2B5EC">
        <w:tblPrEx>
          <w:tblCellMar>
            <w:top w:w="0" w:type="dxa"/>
            <w:left w:w="108" w:type="dxa"/>
            <w:bottom w:w="0" w:type="dxa"/>
            <w:right w:w="108" w:type="dxa"/>
          </w:tblCellMar>
        </w:tblPrEx>
        <w:trPr>
          <w:trHeight w:val="1454"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716BDDB3">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序号</w:t>
            </w:r>
          </w:p>
        </w:tc>
        <w:tc>
          <w:tcPr>
            <w:tcW w:w="970" w:type="dxa"/>
            <w:tcBorders>
              <w:top w:val="single" w:color="000000" w:sz="4" w:space="0"/>
              <w:left w:val="single" w:color="000000" w:sz="4" w:space="0"/>
              <w:bottom w:val="single" w:color="000000" w:sz="4" w:space="0"/>
              <w:right w:val="single" w:color="000000" w:sz="4" w:space="0"/>
            </w:tcBorders>
            <w:vAlign w:val="center"/>
          </w:tcPr>
          <w:p w14:paraId="0D866FB9">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获奖项目名称</w:t>
            </w:r>
          </w:p>
        </w:tc>
        <w:tc>
          <w:tcPr>
            <w:tcW w:w="1575" w:type="dxa"/>
            <w:tcBorders>
              <w:top w:val="single" w:color="000000" w:sz="4" w:space="0"/>
              <w:left w:val="single" w:color="000000" w:sz="4" w:space="0"/>
              <w:bottom w:val="single" w:color="000000" w:sz="4" w:space="0"/>
              <w:right w:val="single" w:color="000000" w:sz="4" w:space="0"/>
            </w:tcBorders>
            <w:vAlign w:val="center"/>
          </w:tcPr>
          <w:p w14:paraId="53C6D5BA">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获奖等级或名称情况</w:t>
            </w:r>
          </w:p>
        </w:tc>
        <w:tc>
          <w:tcPr>
            <w:tcW w:w="2010" w:type="dxa"/>
            <w:tcBorders>
              <w:top w:val="single" w:color="000000" w:sz="4" w:space="0"/>
              <w:left w:val="single" w:color="000000" w:sz="4" w:space="0"/>
              <w:bottom w:val="single" w:color="000000" w:sz="4" w:space="0"/>
              <w:right w:val="single" w:color="000000" w:sz="4" w:space="0"/>
            </w:tcBorders>
            <w:vAlign w:val="center"/>
          </w:tcPr>
          <w:p w14:paraId="177B465A">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授予/颁发部门</w:t>
            </w:r>
          </w:p>
        </w:tc>
        <w:tc>
          <w:tcPr>
            <w:tcW w:w="1235" w:type="dxa"/>
            <w:tcBorders>
              <w:top w:val="single" w:color="000000" w:sz="4" w:space="0"/>
              <w:left w:val="single" w:color="000000" w:sz="4" w:space="0"/>
              <w:bottom w:val="single" w:color="000000" w:sz="4" w:space="0"/>
              <w:right w:val="single" w:color="000000" w:sz="4" w:space="0"/>
            </w:tcBorders>
            <w:vAlign w:val="center"/>
          </w:tcPr>
          <w:p w14:paraId="4506FE2B">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发证时间</w:t>
            </w:r>
          </w:p>
        </w:tc>
        <w:tc>
          <w:tcPr>
            <w:tcW w:w="1700" w:type="dxa"/>
            <w:tcBorders>
              <w:top w:val="single" w:color="000000" w:sz="4" w:space="0"/>
              <w:left w:val="single" w:color="000000" w:sz="4" w:space="0"/>
              <w:bottom w:val="single" w:color="000000" w:sz="4" w:space="0"/>
              <w:right w:val="single" w:color="000000" w:sz="4" w:space="0"/>
            </w:tcBorders>
            <w:vAlign w:val="center"/>
          </w:tcPr>
          <w:p w14:paraId="46DEEE7E">
            <w:pPr>
              <w:spacing w:line="360" w:lineRule="auto"/>
              <w:jc w:val="center"/>
              <w:rPr>
                <w:rFonts w:ascii="宋体" w:hAnsi="宋体" w:cs="宋体"/>
                <w:kern w:val="1"/>
                <w:szCs w:val="21"/>
                <w:highlight w:val="none"/>
                <w:lang w:val="zh-CN"/>
              </w:rPr>
            </w:pPr>
            <w:r>
              <w:rPr>
                <w:rFonts w:hint="eastAsia" w:ascii="宋体" w:hAnsi="宋体" w:cs="宋体"/>
                <w:kern w:val="1"/>
                <w:szCs w:val="21"/>
                <w:highlight w:val="none"/>
              </w:rPr>
              <w:t>...（投标单位可自行增加评审相关内容）</w:t>
            </w:r>
          </w:p>
        </w:tc>
        <w:tc>
          <w:tcPr>
            <w:tcW w:w="827" w:type="dxa"/>
            <w:tcBorders>
              <w:top w:val="single" w:color="000000" w:sz="4" w:space="0"/>
              <w:left w:val="single" w:color="000000" w:sz="4" w:space="0"/>
              <w:bottom w:val="single" w:color="000000" w:sz="4" w:space="0"/>
              <w:right w:val="single" w:color="000000" w:sz="4" w:space="0"/>
            </w:tcBorders>
            <w:vAlign w:val="center"/>
          </w:tcPr>
          <w:p w14:paraId="29744913">
            <w:pPr>
              <w:spacing w:line="360" w:lineRule="auto"/>
              <w:jc w:val="center"/>
              <w:rPr>
                <w:rFonts w:ascii="宋体" w:hAnsi="宋体" w:cs="宋体"/>
                <w:kern w:val="1"/>
                <w:szCs w:val="21"/>
                <w:highlight w:val="none"/>
              </w:rPr>
            </w:pPr>
            <w:r>
              <w:rPr>
                <w:rFonts w:hint="eastAsia" w:ascii="宋体" w:hAnsi="宋体" w:cs="宋体"/>
                <w:kern w:val="1"/>
                <w:szCs w:val="21"/>
                <w:highlight w:val="none"/>
              </w:rPr>
              <w:t>备注</w:t>
            </w:r>
          </w:p>
        </w:tc>
      </w:tr>
      <w:tr w14:paraId="1F94FE5E">
        <w:tblPrEx>
          <w:tblCellMar>
            <w:top w:w="0" w:type="dxa"/>
            <w:left w:w="108" w:type="dxa"/>
            <w:bottom w:w="0" w:type="dxa"/>
            <w:right w:w="108" w:type="dxa"/>
          </w:tblCellMar>
        </w:tblPrEx>
        <w:trPr>
          <w:trHeight w:val="627"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6515094E">
            <w:pPr>
              <w:spacing w:line="360" w:lineRule="auto"/>
              <w:jc w:val="center"/>
              <w:rPr>
                <w:rFonts w:ascii="宋体" w:hAnsi="宋体" w:cs="宋体"/>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14:paraId="6A39AAFE">
            <w:pPr>
              <w:spacing w:line="360" w:lineRule="auto"/>
              <w:jc w:val="center"/>
              <w:rPr>
                <w:rFonts w:ascii="宋体" w:hAnsi="宋体" w:cs="宋体"/>
                <w:kern w:val="1"/>
                <w:szCs w:val="21"/>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3154F89E">
            <w:pPr>
              <w:spacing w:line="360" w:lineRule="auto"/>
              <w:jc w:val="center"/>
              <w:rPr>
                <w:rFonts w:ascii="宋体" w:hAnsi="宋体" w:cs="宋体"/>
                <w:kern w:val="1"/>
                <w:szCs w:val="21"/>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4E6E5912">
            <w:pPr>
              <w:spacing w:line="360" w:lineRule="auto"/>
              <w:jc w:val="center"/>
              <w:rPr>
                <w:rFonts w:ascii="宋体" w:hAnsi="宋体" w:cs="宋体"/>
                <w:kern w:val="1"/>
                <w:szCs w:val="21"/>
                <w:highlight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50F78726">
            <w:pPr>
              <w:spacing w:line="360" w:lineRule="auto"/>
              <w:jc w:val="center"/>
              <w:rPr>
                <w:rFonts w:ascii="宋体" w:hAnsi="宋体" w:cs="宋体"/>
                <w:kern w:val="1"/>
                <w:szCs w:val="21"/>
                <w:highlight w:val="none"/>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2A7969E5">
            <w:pPr>
              <w:spacing w:line="360" w:lineRule="auto"/>
              <w:jc w:val="center"/>
              <w:rPr>
                <w:rFonts w:ascii="宋体" w:hAnsi="宋体" w:cs="宋体"/>
                <w:kern w:val="1"/>
                <w:szCs w:val="21"/>
                <w:highlight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48F28B39">
            <w:pPr>
              <w:spacing w:line="360" w:lineRule="auto"/>
              <w:jc w:val="center"/>
              <w:rPr>
                <w:rFonts w:ascii="宋体" w:hAnsi="宋体" w:cs="宋体"/>
                <w:kern w:val="1"/>
                <w:szCs w:val="21"/>
                <w:highlight w:val="none"/>
              </w:rPr>
            </w:pPr>
          </w:p>
        </w:tc>
      </w:tr>
      <w:tr w14:paraId="2334D9C0">
        <w:tblPrEx>
          <w:tblCellMar>
            <w:top w:w="0" w:type="dxa"/>
            <w:left w:w="108" w:type="dxa"/>
            <w:bottom w:w="0" w:type="dxa"/>
            <w:right w:w="108" w:type="dxa"/>
          </w:tblCellMar>
        </w:tblPrEx>
        <w:trPr>
          <w:trHeight w:val="627"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6F245B44">
            <w:pPr>
              <w:spacing w:line="360" w:lineRule="auto"/>
              <w:jc w:val="center"/>
              <w:rPr>
                <w:rFonts w:ascii="宋体" w:hAnsi="宋体" w:cs="宋体"/>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14:paraId="5B337481">
            <w:pPr>
              <w:spacing w:line="360" w:lineRule="auto"/>
              <w:jc w:val="center"/>
              <w:rPr>
                <w:rFonts w:ascii="宋体" w:hAnsi="宋体" w:cs="宋体"/>
                <w:kern w:val="1"/>
                <w:szCs w:val="21"/>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44374386">
            <w:pPr>
              <w:spacing w:line="360" w:lineRule="auto"/>
              <w:jc w:val="center"/>
              <w:rPr>
                <w:rFonts w:ascii="宋体" w:hAnsi="宋体" w:cs="宋体"/>
                <w:kern w:val="1"/>
                <w:szCs w:val="21"/>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4557A7EE">
            <w:pPr>
              <w:spacing w:line="360" w:lineRule="auto"/>
              <w:jc w:val="center"/>
              <w:rPr>
                <w:rFonts w:ascii="宋体" w:hAnsi="宋体" w:cs="宋体"/>
                <w:kern w:val="1"/>
                <w:szCs w:val="21"/>
                <w:highlight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349BD1B6">
            <w:pPr>
              <w:spacing w:line="360" w:lineRule="auto"/>
              <w:jc w:val="center"/>
              <w:rPr>
                <w:rFonts w:ascii="宋体" w:hAnsi="宋体" w:cs="宋体"/>
                <w:kern w:val="1"/>
                <w:szCs w:val="21"/>
                <w:highlight w:val="none"/>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1B347633">
            <w:pPr>
              <w:spacing w:line="360" w:lineRule="auto"/>
              <w:jc w:val="center"/>
              <w:rPr>
                <w:rFonts w:ascii="宋体" w:hAnsi="宋体" w:cs="宋体"/>
                <w:kern w:val="1"/>
                <w:szCs w:val="21"/>
                <w:highlight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0485201E">
            <w:pPr>
              <w:spacing w:line="360" w:lineRule="auto"/>
              <w:jc w:val="center"/>
              <w:rPr>
                <w:rFonts w:ascii="宋体" w:hAnsi="宋体" w:cs="宋体"/>
                <w:kern w:val="1"/>
                <w:szCs w:val="21"/>
                <w:highlight w:val="none"/>
              </w:rPr>
            </w:pPr>
          </w:p>
        </w:tc>
      </w:tr>
      <w:tr w14:paraId="63ED95FD">
        <w:tblPrEx>
          <w:tblCellMar>
            <w:top w:w="0" w:type="dxa"/>
            <w:left w:w="108" w:type="dxa"/>
            <w:bottom w:w="0" w:type="dxa"/>
            <w:right w:w="108" w:type="dxa"/>
          </w:tblCellMar>
        </w:tblPrEx>
        <w:trPr>
          <w:trHeight w:val="627"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036C6031">
            <w:pPr>
              <w:spacing w:line="360" w:lineRule="auto"/>
              <w:jc w:val="center"/>
              <w:rPr>
                <w:rFonts w:ascii="宋体" w:hAnsi="宋体" w:cs="宋体"/>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14:paraId="0D333075">
            <w:pPr>
              <w:spacing w:line="360" w:lineRule="auto"/>
              <w:jc w:val="center"/>
              <w:rPr>
                <w:rFonts w:ascii="宋体" w:hAnsi="宋体" w:cs="宋体"/>
                <w:kern w:val="1"/>
                <w:szCs w:val="21"/>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11AF6A4E">
            <w:pPr>
              <w:spacing w:line="360" w:lineRule="auto"/>
              <w:jc w:val="center"/>
              <w:rPr>
                <w:rFonts w:ascii="宋体" w:hAnsi="宋体" w:cs="宋体"/>
                <w:kern w:val="1"/>
                <w:szCs w:val="21"/>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38CE47E0">
            <w:pPr>
              <w:spacing w:line="360" w:lineRule="auto"/>
              <w:jc w:val="center"/>
              <w:rPr>
                <w:rFonts w:ascii="宋体" w:hAnsi="宋体" w:cs="宋体"/>
                <w:kern w:val="1"/>
                <w:szCs w:val="21"/>
                <w:highlight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2394F002">
            <w:pPr>
              <w:spacing w:line="360" w:lineRule="auto"/>
              <w:jc w:val="center"/>
              <w:rPr>
                <w:rFonts w:ascii="宋体" w:hAnsi="宋体" w:cs="宋体"/>
                <w:kern w:val="1"/>
                <w:szCs w:val="21"/>
                <w:highlight w:val="none"/>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2CBD8C44">
            <w:pPr>
              <w:spacing w:line="360" w:lineRule="auto"/>
              <w:jc w:val="center"/>
              <w:rPr>
                <w:rFonts w:ascii="宋体" w:hAnsi="宋体" w:cs="宋体"/>
                <w:kern w:val="1"/>
                <w:szCs w:val="21"/>
                <w:highlight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7BBA4F1C">
            <w:pPr>
              <w:spacing w:line="360" w:lineRule="auto"/>
              <w:jc w:val="center"/>
              <w:rPr>
                <w:rFonts w:ascii="宋体" w:hAnsi="宋体" w:cs="宋体"/>
                <w:kern w:val="1"/>
                <w:szCs w:val="21"/>
                <w:highlight w:val="none"/>
              </w:rPr>
            </w:pPr>
          </w:p>
        </w:tc>
      </w:tr>
      <w:tr w14:paraId="0593D978">
        <w:tblPrEx>
          <w:tblCellMar>
            <w:top w:w="0" w:type="dxa"/>
            <w:left w:w="108" w:type="dxa"/>
            <w:bottom w:w="0" w:type="dxa"/>
            <w:right w:w="108" w:type="dxa"/>
          </w:tblCellMar>
        </w:tblPrEx>
        <w:trPr>
          <w:trHeight w:val="637"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4C47B3BB">
            <w:pPr>
              <w:spacing w:line="360" w:lineRule="auto"/>
              <w:jc w:val="center"/>
              <w:rPr>
                <w:rFonts w:ascii="宋体" w:hAnsi="宋体" w:cs="宋体"/>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14:paraId="5F7EE191">
            <w:pPr>
              <w:spacing w:line="360" w:lineRule="auto"/>
              <w:jc w:val="center"/>
              <w:rPr>
                <w:rFonts w:ascii="宋体" w:hAnsi="宋体" w:cs="宋体"/>
                <w:kern w:val="1"/>
                <w:szCs w:val="21"/>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36CAE939">
            <w:pPr>
              <w:spacing w:line="360" w:lineRule="auto"/>
              <w:jc w:val="center"/>
              <w:rPr>
                <w:rFonts w:ascii="宋体" w:hAnsi="宋体" w:cs="宋体"/>
                <w:kern w:val="1"/>
                <w:szCs w:val="21"/>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46F8BA2D">
            <w:pPr>
              <w:spacing w:line="360" w:lineRule="auto"/>
              <w:jc w:val="center"/>
              <w:rPr>
                <w:rFonts w:ascii="宋体" w:hAnsi="宋体" w:cs="宋体"/>
                <w:kern w:val="1"/>
                <w:szCs w:val="21"/>
                <w:highlight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7BE32B68">
            <w:pPr>
              <w:spacing w:line="360" w:lineRule="auto"/>
              <w:jc w:val="center"/>
              <w:rPr>
                <w:rFonts w:ascii="宋体" w:hAnsi="宋体" w:cs="宋体"/>
                <w:kern w:val="1"/>
                <w:szCs w:val="21"/>
                <w:highlight w:val="none"/>
              </w:rPr>
            </w:pPr>
          </w:p>
        </w:tc>
        <w:tc>
          <w:tcPr>
            <w:tcW w:w="1700" w:type="dxa"/>
            <w:tcBorders>
              <w:top w:val="single" w:color="000000" w:sz="4" w:space="0"/>
              <w:left w:val="single" w:color="000000" w:sz="4" w:space="0"/>
              <w:bottom w:val="single" w:color="000000" w:sz="4" w:space="0"/>
              <w:right w:val="single" w:color="000000" w:sz="4" w:space="0"/>
            </w:tcBorders>
            <w:vAlign w:val="center"/>
          </w:tcPr>
          <w:p w14:paraId="4F698648">
            <w:pPr>
              <w:spacing w:line="360" w:lineRule="auto"/>
              <w:jc w:val="center"/>
              <w:rPr>
                <w:rFonts w:ascii="宋体" w:hAnsi="宋体" w:cs="宋体"/>
                <w:kern w:val="1"/>
                <w:szCs w:val="21"/>
                <w:highlight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2A8E10CF">
            <w:pPr>
              <w:spacing w:line="360" w:lineRule="auto"/>
              <w:jc w:val="center"/>
              <w:rPr>
                <w:rFonts w:ascii="宋体" w:hAnsi="宋体" w:cs="宋体"/>
                <w:kern w:val="1"/>
                <w:szCs w:val="21"/>
                <w:highlight w:val="none"/>
              </w:rPr>
            </w:pPr>
          </w:p>
        </w:tc>
      </w:tr>
    </w:tbl>
    <w:p w14:paraId="33394B79">
      <w:pPr>
        <w:tabs>
          <w:tab w:val="left" w:pos="7655"/>
        </w:tabs>
        <w:spacing w:line="360" w:lineRule="auto"/>
        <w:jc w:val="left"/>
        <w:rPr>
          <w:rFonts w:ascii="宋体" w:hAnsi="宋体" w:cs="宋体"/>
          <w:spacing w:val="18"/>
          <w:kern w:val="1"/>
          <w:sz w:val="24"/>
          <w:highlight w:val="none"/>
        </w:rPr>
      </w:pPr>
      <w:r>
        <w:rPr>
          <w:rFonts w:hint="eastAsia" w:ascii="宋体" w:hAnsi="宋体" w:cs="宋体"/>
          <w:sz w:val="24"/>
          <w:highlight w:val="none"/>
        </w:rPr>
        <w:t>注：投标人需根据评分标准提供相应证明材料。</w:t>
      </w:r>
    </w:p>
    <w:p w14:paraId="7086C7BF">
      <w:pPr>
        <w:tabs>
          <w:tab w:val="left" w:pos="7655"/>
        </w:tabs>
        <w:spacing w:line="360" w:lineRule="auto"/>
        <w:ind w:firstLine="1656" w:firstLineChars="600"/>
        <w:jc w:val="left"/>
        <w:rPr>
          <w:rFonts w:ascii="宋体" w:hAnsi="宋体" w:cs="宋体"/>
          <w:spacing w:val="18"/>
          <w:kern w:val="1"/>
          <w:sz w:val="24"/>
          <w:highlight w:val="none"/>
          <w:lang w:val="zh-CN"/>
        </w:rPr>
      </w:pPr>
    </w:p>
    <w:p w14:paraId="6BA45C43">
      <w:pPr>
        <w:tabs>
          <w:tab w:val="left" w:pos="7655"/>
        </w:tabs>
        <w:spacing w:line="360" w:lineRule="auto"/>
        <w:ind w:firstLine="1656" w:firstLineChars="600"/>
        <w:jc w:val="left"/>
        <w:rPr>
          <w:rFonts w:ascii="宋体" w:hAnsi="宋体" w:cs="宋体"/>
          <w:spacing w:val="18"/>
          <w:kern w:val="1"/>
          <w:sz w:val="24"/>
          <w:highlight w:val="none"/>
          <w:lang w:val="zh-CN"/>
        </w:rPr>
      </w:pPr>
    </w:p>
    <w:p w14:paraId="1222A465">
      <w:pPr>
        <w:tabs>
          <w:tab w:val="left" w:pos="7655"/>
        </w:tabs>
        <w:spacing w:line="360" w:lineRule="auto"/>
        <w:ind w:firstLine="3864" w:firstLineChars="14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1984B642">
      <w:pPr>
        <w:spacing w:line="360" w:lineRule="auto"/>
        <w:jc w:val="center"/>
        <w:rPr>
          <w:rFonts w:ascii="宋体" w:hAnsi="宋体" w:cs="宋体"/>
          <w:b/>
          <w:kern w:val="1"/>
          <w:sz w:val="24"/>
          <w:highlight w:val="none"/>
          <w:lang w:val="zh-CN"/>
        </w:rPr>
      </w:pP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r>
        <w:rPr>
          <w:rFonts w:hint="eastAsia" w:ascii="宋体" w:hAnsi="宋体" w:cs="宋体"/>
          <w:b/>
          <w:kern w:val="1"/>
          <w:sz w:val="24"/>
          <w:highlight w:val="none"/>
          <w:lang w:val="zh-CN"/>
        </w:rPr>
        <w:br w:type="page"/>
      </w:r>
    </w:p>
    <w:p w14:paraId="26C17E48">
      <w:pPr>
        <w:outlineLvl w:val="1"/>
        <w:rPr>
          <w:rFonts w:ascii="宋体" w:hAnsi="宋体" w:cs="宋体"/>
          <w:b/>
          <w:kern w:val="1"/>
          <w:szCs w:val="21"/>
          <w:highlight w:val="none"/>
          <w:lang w:val="zh-CN"/>
        </w:rPr>
      </w:pPr>
      <w:bookmarkStart w:id="577" w:name="_Toc116461802"/>
      <w:bookmarkStart w:id="578" w:name="_Toc123901766"/>
      <w:r>
        <w:rPr>
          <w:rFonts w:hint="eastAsia" w:ascii="宋体" w:hAnsi="宋体" w:cs="宋体"/>
          <w:b/>
          <w:kern w:val="1"/>
          <w:szCs w:val="21"/>
          <w:highlight w:val="none"/>
          <w:lang w:val="zh-CN"/>
        </w:rPr>
        <w:t>格式</w:t>
      </w:r>
      <w:r>
        <w:rPr>
          <w:rFonts w:ascii="宋体" w:hAnsi="宋体" w:cs="宋体"/>
          <w:b/>
          <w:kern w:val="1"/>
          <w:szCs w:val="21"/>
          <w:highlight w:val="none"/>
          <w:lang w:val="zh-CN"/>
        </w:rPr>
        <w:t>7</w:t>
      </w:r>
      <w:r>
        <w:rPr>
          <w:rFonts w:hint="eastAsia" w:ascii="宋体" w:hAnsi="宋体" w:cs="宋体"/>
          <w:b/>
          <w:kern w:val="1"/>
          <w:szCs w:val="21"/>
          <w:highlight w:val="none"/>
          <w:lang w:val="zh-CN"/>
        </w:rPr>
        <w:t>：</w:t>
      </w:r>
      <w:bookmarkEnd w:id="577"/>
      <w:r>
        <w:rPr>
          <w:rFonts w:hint="eastAsia" w:ascii="宋体" w:hAnsi="宋体" w:cs="宋体"/>
          <w:b/>
          <w:kern w:val="1"/>
          <w:szCs w:val="21"/>
          <w:highlight w:val="none"/>
          <w:lang w:val="zh-CN"/>
        </w:rPr>
        <w:t>项目团队人员配备及技术水平</w:t>
      </w:r>
      <w:bookmarkEnd w:id="578"/>
    </w:p>
    <w:p w14:paraId="22BE990D">
      <w:pPr>
        <w:spacing w:line="360" w:lineRule="auto"/>
        <w:jc w:val="center"/>
        <w:rPr>
          <w:rFonts w:ascii="宋体" w:hAnsi="宋体" w:cs="宋体"/>
          <w:b/>
          <w:bCs/>
          <w:kern w:val="1"/>
          <w:sz w:val="32"/>
          <w:szCs w:val="32"/>
          <w:highlight w:val="none"/>
          <w:lang w:val="zh-CN"/>
        </w:rPr>
      </w:pPr>
      <w:bookmarkStart w:id="579" w:name="_Hlk116425325"/>
    </w:p>
    <w:p w14:paraId="3E485FD9">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施工管理团队人员汇总表</w:t>
      </w:r>
    </w:p>
    <w:bookmarkEnd w:id="579"/>
    <w:tbl>
      <w:tblPr>
        <w:tblStyle w:val="4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925"/>
        <w:gridCol w:w="833"/>
        <w:gridCol w:w="725"/>
        <w:gridCol w:w="725"/>
        <w:gridCol w:w="1383"/>
        <w:gridCol w:w="725"/>
        <w:gridCol w:w="907"/>
        <w:gridCol w:w="861"/>
        <w:gridCol w:w="807"/>
        <w:gridCol w:w="796"/>
      </w:tblGrid>
      <w:tr w14:paraId="5DCC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94" w:type="dxa"/>
            <w:vAlign w:val="center"/>
          </w:tcPr>
          <w:p w14:paraId="566CA15D">
            <w:pPr>
              <w:adjustRightInd w:val="0"/>
              <w:snapToGrid w:val="0"/>
              <w:jc w:val="center"/>
              <w:rPr>
                <w:rFonts w:ascii="宋体" w:hAnsi="宋体" w:cs="宋体"/>
                <w:szCs w:val="21"/>
                <w:highlight w:val="none"/>
              </w:rPr>
            </w:pPr>
            <w:r>
              <w:rPr>
                <w:rFonts w:hint="eastAsia" w:ascii="宋体" w:hAnsi="宋体" w:cs="宋体"/>
                <w:szCs w:val="21"/>
                <w:highlight w:val="none"/>
              </w:rPr>
              <w:t>序号</w:t>
            </w:r>
          </w:p>
        </w:tc>
        <w:tc>
          <w:tcPr>
            <w:tcW w:w="925" w:type="dxa"/>
            <w:vAlign w:val="center"/>
          </w:tcPr>
          <w:p w14:paraId="0A878857">
            <w:pPr>
              <w:adjustRightInd w:val="0"/>
              <w:snapToGrid w:val="0"/>
              <w:jc w:val="center"/>
              <w:rPr>
                <w:rFonts w:ascii="宋体" w:hAnsi="宋体" w:cs="宋体"/>
                <w:szCs w:val="21"/>
                <w:highlight w:val="none"/>
              </w:rPr>
            </w:pPr>
            <w:r>
              <w:rPr>
                <w:rFonts w:hint="eastAsia" w:ascii="宋体" w:hAnsi="宋体" w:cs="宋体"/>
                <w:szCs w:val="21"/>
                <w:highlight w:val="none"/>
              </w:rPr>
              <w:t>拟在本项目任职</w:t>
            </w:r>
          </w:p>
        </w:tc>
        <w:tc>
          <w:tcPr>
            <w:tcW w:w="833" w:type="dxa"/>
            <w:vAlign w:val="center"/>
          </w:tcPr>
          <w:p w14:paraId="2FF66825">
            <w:pPr>
              <w:adjustRightInd w:val="0"/>
              <w:snapToGrid w:val="0"/>
              <w:jc w:val="center"/>
              <w:rPr>
                <w:rFonts w:ascii="宋体" w:hAnsi="宋体" w:cs="宋体"/>
                <w:szCs w:val="21"/>
                <w:highlight w:val="none"/>
              </w:rPr>
            </w:pPr>
            <w:r>
              <w:rPr>
                <w:rFonts w:hint="eastAsia" w:ascii="宋体" w:hAnsi="宋体" w:cs="宋体"/>
                <w:szCs w:val="21"/>
                <w:highlight w:val="none"/>
              </w:rPr>
              <w:t>姓名</w:t>
            </w:r>
          </w:p>
        </w:tc>
        <w:tc>
          <w:tcPr>
            <w:tcW w:w="725" w:type="dxa"/>
            <w:vAlign w:val="center"/>
          </w:tcPr>
          <w:p w14:paraId="1E487780">
            <w:pPr>
              <w:adjustRightInd w:val="0"/>
              <w:snapToGrid w:val="0"/>
              <w:jc w:val="center"/>
              <w:rPr>
                <w:rFonts w:ascii="宋体" w:hAnsi="宋体" w:cs="宋体"/>
                <w:szCs w:val="21"/>
                <w:highlight w:val="none"/>
              </w:rPr>
            </w:pPr>
            <w:r>
              <w:rPr>
                <w:rFonts w:hint="eastAsia" w:ascii="宋体" w:hAnsi="宋体" w:cs="宋体"/>
                <w:szCs w:val="21"/>
                <w:highlight w:val="none"/>
              </w:rPr>
              <w:t>单位职务</w:t>
            </w:r>
          </w:p>
        </w:tc>
        <w:tc>
          <w:tcPr>
            <w:tcW w:w="725" w:type="dxa"/>
            <w:vAlign w:val="center"/>
          </w:tcPr>
          <w:p w14:paraId="60CE4998">
            <w:pPr>
              <w:adjustRightInd w:val="0"/>
              <w:snapToGrid w:val="0"/>
              <w:jc w:val="center"/>
              <w:rPr>
                <w:rFonts w:ascii="宋体" w:hAnsi="宋体" w:cs="宋体"/>
                <w:szCs w:val="21"/>
                <w:highlight w:val="none"/>
              </w:rPr>
            </w:pPr>
            <w:r>
              <w:rPr>
                <w:rFonts w:hint="eastAsia" w:ascii="宋体" w:hAnsi="宋体" w:cs="宋体"/>
                <w:szCs w:val="21"/>
                <w:highlight w:val="none"/>
              </w:rPr>
              <w:t>年龄</w:t>
            </w:r>
          </w:p>
        </w:tc>
        <w:tc>
          <w:tcPr>
            <w:tcW w:w="1383" w:type="dxa"/>
            <w:vAlign w:val="center"/>
          </w:tcPr>
          <w:p w14:paraId="3092A356">
            <w:pPr>
              <w:adjustRightInd w:val="0"/>
              <w:snapToGrid w:val="0"/>
              <w:jc w:val="center"/>
              <w:rPr>
                <w:rFonts w:ascii="宋体" w:hAnsi="宋体" w:cs="宋体"/>
                <w:szCs w:val="21"/>
                <w:highlight w:val="none"/>
              </w:rPr>
            </w:pPr>
            <w:r>
              <w:rPr>
                <w:rFonts w:hint="eastAsia" w:ascii="宋体" w:hAnsi="宋体" w:cs="宋体"/>
                <w:szCs w:val="21"/>
                <w:highlight w:val="none"/>
              </w:rPr>
              <w:t>身份证号码</w:t>
            </w:r>
          </w:p>
        </w:tc>
        <w:tc>
          <w:tcPr>
            <w:tcW w:w="725" w:type="dxa"/>
            <w:vAlign w:val="center"/>
          </w:tcPr>
          <w:p w14:paraId="7F2AB13F">
            <w:pPr>
              <w:adjustRightInd w:val="0"/>
              <w:snapToGrid w:val="0"/>
              <w:jc w:val="center"/>
              <w:rPr>
                <w:rFonts w:ascii="宋体" w:hAnsi="宋体" w:cs="宋体"/>
                <w:szCs w:val="21"/>
                <w:highlight w:val="none"/>
              </w:rPr>
            </w:pPr>
            <w:r>
              <w:rPr>
                <w:rFonts w:hint="eastAsia" w:ascii="宋体" w:hAnsi="宋体" w:cs="宋体"/>
                <w:szCs w:val="21"/>
                <w:highlight w:val="none"/>
              </w:rPr>
              <w:t>职称专业</w:t>
            </w:r>
          </w:p>
        </w:tc>
        <w:tc>
          <w:tcPr>
            <w:tcW w:w="907" w:type="dxa"/>
            <w:vAlign w:val="center"/>
          </w:tcPr>
          <w:p w14:paraId="24675EF0">
            <w:pPr>
              <w:adjustRightInd w:val="0"/>
              <w:snapToGrid w:val="0"/>
              <w:jc w:val="center"/>
              <w:rPr>
                <w:rFonts w:ascii="宋体" w:hAnsi="宋体" w:cs="宋体"/>
                <w:szCs w:val="21"/>
                <w:highlight w:val="none"/>
              </w:rPr>
            </w:pPr>
            <w:r>
              <w:rPr>
                <w:rFonts w:hint="eastAsia" w:ascii="宋体" w:hAnsi="宋体" w:cs="宋体"/>
                <w:szCs w:val="21"/>
                <w:highlight w:val="none"/>
              </w:rPr>
              <w:t>职称或职业资格</w:t>
            </w:r>
          </w:p>
        </w:tc>
        <w:tc>
          <w:tcPr>
            <w:tcW w:w="861" w:type="dxa"/>
            <w:vAlign w:val="center"/>
          </w:tcPr>
          <w:p w14:paraId="2C6C4129">
            <w:pPr>
              <w:pStyle w:val="135"/>
              <w:adjustRightInd w:val="0"/>
              <w:snapToGrid w:val="0"/>
              <w:spacing w:line="240" w:lineRule="auto"/>
              <w:rPr>
                <w:rFonts w:ascii="宋体" w:hAnsi="宋体" w:eastAsia="宋体" w:cs="宋体"/>
                <w:kern w:val="2"/>
                <w:sz w:val="21"/>
                <w:szCs w:val="21"/>
                <w:highlight w:val="none"/>
              </w:rPr>
            </w:pPr>
            <w:r>
              <w:rPr>
                <w:rFonts w:hint="eastAsia" w:ascii="宋体" w:hAnsi="宋体" w:eastAsia="宋体" w:cs="宋体"/>
                <w:kern w:val="2"/>
                <w:sz w:val="21"/>
                <w:szCs w:val="21"/>
                <w:highlight w:val="none"/>
              </w:rPr>
              <w:t>计划进场时间</w:t>
            </w:r>
          </w:p>
        </w:tc>
        <w:tc>
          <w:tcPr>
            <w:tcW w:w="807" w:type="dxa"/>
            <w:vAlign w:val="center"/>
          </w:tcPr>
          <w:p w14:paraId="4A7143C4">
            <w:pPr>
              <w:adjustRightInd w:val="0"/>
              <w:snapToGrid w:val="0"/>
              <w:jc w:val="center"/>
              <w:rPr>
                <w:rFonts w:ascii="宋体" w:hAnsi="宋体" w:cs="宋体"/>
                <w:szCs w:val="21"/>
                <w:highlight w:val="none"/>
              </w:rPr>
            </w:pPr>
            <w:r>
              <w:rPr>
                <w:rFonts w:hint="eastAsia" w:ascii="宋体" w:hAnsi="宋体" w:cs="宋体"/>
                <w:szCs w:val="21"/>
                <w:highlight w:val="none"/>
              </w:rPr>
              <w:t>计划退场时间</w:t>
            </w:r>
          </w:p>
        </w:tc>
        <w:tc>
          <w:tcPr>
            <w:tcW w:w="796" w:type="dxa"/>
            <w:vAlign w:val="center"/>
          </w:tcPr>
          <w:p w14:paraId="35A25A21">
            <w:pPr>
              <w:adjustRightInd w:val="0"/>
              <w:snapToGrid w:val="0"/>
              <w:jc w:val="center"/>
              <w:rPr>
                <w:rFonts w:ascii="宋体" w:hAnsi="宋体" w:cs="宋体"/>
                <w:szCs w:val="21"/>
                <w:highlight w:val="none"/>
              </w:rPr>
            </w:pPr>
            <w:r>
              <w:rPr>
                <w:rFonts w:hint="eastAsia" w:ascii="宋体" w:hAnsi="宋体" w:cs="宋体"/>
                <w:szCs w:val="21"/>
                <w:highlight w:val="none"/>
              </w:rPr>
              <w:t>固定</w:t>
            </w:r>
          </w:p>
          <w:p w14:paraId="076820B9">
            <w:pPr>
              <w:adjustRightInd w:val="0"/>
              <w:snapToGrid w:val="0"/>
              <w:jc w:val="center"/>
              <w:rPr>
                <w:rFonts w:ascii="宋体" w:hAnsi="宋体" w:cs="宋体"/>
                <w:szCs w:val="21"/>
                <w:highlight w:val="none"/>
              </w:rPr>
            </w:pPr>
            <w:r>
              <w:rPr>
                <w:rFonts w:hint="eastAsia" w:ascii="宋体" w:hAnsi="宋体" w:cs="宋体"/>
                <w:szCs w:val="21"/>
                <w:highlight w:val="none"/>
              </w:rPr>
              <w:t>/聘用</w:t>
            </w:r>
          </w:p>
        </w:tc>
      </w:tr>
      <w:tr w14:paraId="361D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14:paraId="1BFA29F0">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1</w:t>
            </w:r>
          </w:p>
        </w:tc>
        <w:tc>
          <w:tcPr>
            <w:tcW w:w="925" w:type="dxa"/>
            <w:vAlign w:val="center"/>
          </w:tcPr>
          <w:p w14:paraId="5DE6A336">
            <w:pPr>
              <w:adjustRightInd w:val="0"/>
              <w:snapToGrid w:val="0"/>
              <w:jc w:val="center"/>
              <w:rPr>
                <w:rFonts w:ascii="宋体" w:hAnsi="宋体" w:cs="宋体"/>
                <w:szCs w:val="21"/>
                <w:highlight w:val="none"/>
              </w:rPr>
            </w:pPr>
          </w:p>
        </w:tc>
        <w:tc>
          <w:tcPr>
            <w:tcW w:w="833" w:type="dxa"/>
            <w:vAlign w:val="center"/>
          </w:tcPr>
          <w:p w14:paraId="66955681">
            <w:pPr>
              <w:adjustRightInd w:val="0"/>
              <w:snapToGrid w:val="0"/>
              <w:jc w:val="center"/>
              <w:rPr>
                <w:rFonts w:ascii="宋体" w:hAnsi="宋体" w:cs="宋体"/>
                <w:szCs w:val="21"/>
                <w:highlight w:val="none"/>
              </w:rPr>
            </w:pPr>
          </w:p>
        </w:tc>
        <w:tc>
          <w:tcPr>
            <w:tcW w:w="725" w:type="dxa"/>
            <w:vAlign w:val="center"/>
          </w:tcPr>
          <w:p w14:paraId="40213AC8">
            <w:pPr>
              <w:adjustRightInd w:val="0"/>
              <w:snapToGrid w:val="0"/>
              <w:jc w:val="center"/>
              <w:rPr>
                <w:rFonts w:ascii="宋体" w:hAnsi="宋体" w:cs="宋体"/>
                <w:szCs w:val="21"/>
                <w:highlight w:val="none"/>
              </w:rPr>
            </w:pPr>
          </w:p>
        </w:tc>
        <w:tc>
          <w:tcPr>
            <w:tcW w:w="725" w:type="dxa"/>
            <w:vAlign w:val="center"/>
          </w:tcPr>
          <w:p w14:paraId="721A0611">
            <w:pPr>
              <w:adjustRightInd w:val="0"/>
              <w:snapToGrid w:val="0"/>
              <w:jc w:val="center"/>
              <w:rPr>
                <w:rFonts w:ascii="宋体" w:hAnsi="宋体" w:cs="宋体"/>
                <w:szCs w:val="21"/>
                <w:highlight w:val="none"/>
              </w:rPr>
            </w:pPr>
          </w:p>
        </w:tc>
        <w:tc>
          <w:tcPr>
            <w:tcW w:w="1383" w:type="dxa"/>
            <w:vAlign w:val="center"/>
          </w:tcPr>
          <w:p w14:paraId="291433D6">
            <w:pPr>
              <w:adjustRightInd w:val="0"/>
              <w:snapToGrid w:val="0"/>
              <w:jc w:val="center"/>
              <w:rPr>
                <w:rFonts w:ascii="宋体" w:hAnsi="宋体" w:cs="宋体"/>
                <w:szCs w:val="21"/>
                <w:highlight w:val="none"/>
              </w:rPr>
            </w:pPr>
          </w:p>
        </w:tc>
        <w:tc>
          <w:tcPr>
            <w:tcW w:w="725" w:type="dxa"/>
            <w:vAlign w:val="center"/>
          </w:tcPr>
          <w:p w14:paraId="37E6BF72">
            <w:pPr>
              <w:adjustRightInd w:val="0"/>
              <w:snapToGrid w:val="0"/>
              <w:jc w:val="center"/>
              <w:rPr>
                <w:rFonts w:ascii="宋体" w:hAnsi="宋体" w:cs="宋体"/>
                <w:szCs w:val="21"/>
                <w:highlight w:val="none"/>
              </w:rPr>
            </w:pPr>
          </w:p>
        </w:tc>
        <w:tc>
          <w:tcPr>
            <w:tcW w:w="907" w:type="dxa"/>
            <w:vAlign w:val="center"/>
          </w:tcPr>
          <w:p w14:paraId="622E5D2D">
            <w:pPr>
              <w:adjustRightInd w:val="0"/>
              <w:snapToGrid w:val="0"/>
              <w:jc w:val="center"/>
              <w:rPr>
                <w:rFonts w:ascii="宋体" w:hAnsi="宋体" w:cs="宋体"/>
                <w:szCs w:val="21"/>
                <w:highlight w:val="none"/>
              </w:rPr>
            </w:pPr>
          </w:p>
        </w:tc>
        <w:tc>
          <w:tcPr>
            <w:tcW w:w="861" w:type="dxa"/>
            <w:vAlign w:val="center"/>
          </w:tcPr>
          <w:p w14:paraId="31404654">
            <w:pPr>
              <w:adjustRightInd w:val="0"/>
              <w:snapToGrid w:val="0"/>
              <w:jc w:val="center"/>
              <w:rPr>
                <w:rFonts w:ascii="宋体" w:hAnsi="宋体" w:cs="宋体"/>
                <w:szCs w:val="21"/>
                <w:highlight w:val="none"/>
              </w:rPr>
            </w:pPr>
          </w:p>
        </w:tc>
        <w:tc>
          <w:tcPr>
            <w:tcW w:w="807" w:type="dxa"/>
            <w:vAlign w:val="center"/>
          </w:tcPr>
          <w:p w14:paraId="432AD980">
            <w:pPr>
              <w:adjustRightInd w:val="0"/>
              <w:snapToGrid w:val="0"/>
              <w:jc w:val="center"/>
              <w:rPr>
                <w:rFonts w:ascii="宋体" w:hAnsi="宋体" w:cs="宋体"/>
                <w:szCs w:val="21"/>
                <w:highlight w:val="none"/>
              </w:rPr>
            </w:pPr>
          </w:p>
        </w:tc>
        <w:tc>
          <w:tcPr>
            <w:tcW w:w="796" w:type="dxa"/>
            <w:vAlign w:val="center"/>
          </w:tcPr>
          <w:p w14:paraId="0FEF0BD5">
            <w:pPr>
              <w:adjustRightInd w:val="0"/>
              <w:snapToGrid w:val="0"/>
              <w:jc w:val="center"/>
              <w:rPr>
                <w:rFonts w:ascii="宋体" w:hAnsi="宋体" w:cs="宋体"/>
                <w:szCs w:val="21"/>
                <w:highlight w:val="none"/>
              </w:rPr>
            </w:pPr>
          </w:p>
        </w:tc>
      </w:tr>
      <w:tr w14:paraId="0E46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14:paraId="15DE2546">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2</w:t>
            </w:r>
          </w:p>
        </w:tc>
        <w:tc>
          <w:tcPr>
            <w:tcW w:w="925" w:type="dxa"/>
            <w:vAlign w:val="center"/>
          </w:tcPr>
          <w:p w14:paraId="0021B652">
            <w:pPr>
              <w:adjustRightInd w:val="0"/>
              <w:snapToGrid w:val="0"/>
              <w:jc w:val="center"/>
              <w:rPr>
                <w:rFonts w:ascii="宋体" w:hAnsi="宋体" w:cs="宋体"/>
                <w:szCs w:val="21"/>
                <w:highlight w:val="none"/>
              </w:rPr>
            </w:pPr>
          </w:p>
        </w:tc>
        <w:tc>
          <w:tcPr>
            <w:tcW w:w="833" w:type="dxa"/>
            <w:vAlign w:val="center"/>
          </w:tcPr>
          <w:p w14:paraId="0227A05B">
            <w:pPr>
              <w:adjustRightInd w:val="0"/>
              <w:snapToGrid w:val="0"/>
              <w:jc w:val="center"/>
              <w:rPr>
                <w:rFonts w:ascii="宋体" w:hAnsi="宋体" w:cs="宋体"/>
                <w:szCs w:val="21"/>
                <w:highlight w:val="none"/>
              </w:rPr>
            </w:pPr>
          </w:p>
        </w:tc>
        <w:tc>
          <w:tcPr>
            <w:tcW w:w="725" w:type="dxa"/>
            <w:vAlign w:val="center"/>
          </w:tcPr>
          <w:p w14:paraId="54AD699A">
            <w:pPr>
              <w:adjustRightInd w:val="0"/>
              <w:snapToGrid w:val="0"/>
              <w:jc w:val="center"/>
              <w:rPr>
                <w:rFonts w:ascii="宋体" w:hAnsi="宋体" w:cs="宋体"/>
                <w:szCs w:val="21"/>
                <w:highlight w:val="none"/>
              </w:rPr>
            </w:pPr>
          </w:p>
        </w:tc>
        <w:tc>
          <w:tcPr>
            <w:tcW w:w="725" w:type="dxa"/>
            <w:vAlign w:val="center"/>
          </w:tcPr>
          <w:p w14:paraId="7F5C7C1B">
            <w:pPr>
              <w:adjustRightInd w:val="0"/>
              <w:snapToGrid w:val="0"/>
              <w:jc w:val="center"/>
              <w:rPr>
                <w:rFonts w:ascii="宋体" w:hAnsi="宋体" w:cs="宋体"/>
                <w:szCs w:val="21"/>
                <w:highlight w:val="none"/>
              </w:rPr>
            </w:pPr>
          </w:p>
        </w:tc>
        <w:tc>
          <w:tcPr>
            <w:tcW w:w="1383" w:type="dxa"/>
            <w:vAlign w:val="center"/>
          </w:tcPr>
          <w:p w14:paraId="1BA9D921">
            <w:pPr>
              <w:adjustRightInd w:val="0"/>
              <w:snapToGrid w:val="0"/>
              <w:jc w:val="center"/>
              <w:rPr>
                <w:rFonts w:ascii="宋体" w:hAnsi="宋体" w:cs="宋体"/>
                <w:szCs w:val="21"/>
                <w:highlight w:val="none"/>
              </w:rPr>
            </w:pPr>
          </w:p>
        </w:tc>
        <w:tc>
          <w:tcPr>
            <w:tcW w:w="725" w:type="dxa"/>
            <w:vAlign w:val="center"/>
          </w:tcPr>
          <w:p w14:paraId="12092A0B">
            <w:pPr>
              <w:adjustRightInd w:val="0"/>
              <w:snapToGrid w:val="0"/>
              <w:jc w:val="center"/>
              <w:rPr>
                <w:rFonts w:ascii="宋体" w:hAnsi="宋体" w:cs="宋体"/>
                <w:szCs w:val="21"/>
                <w:highlight w:val="none"/>
              </w:rPr>
            </w:pPr>
          </w:p>
        </w:tc>
        <w:tc>
          <w:tcPr>
            <w:tcW w:w="907" w:type="dxa"/>
            <w:vAlign w:val="center"/>
          </w:tcPr>
          <w:p w14:paraId="091F364D">
            <w:pPr>
              <w:adjustRightInd w:val="0"/>
              <w:snapToGrid w:val="0"/>
              <w:jc w:val="center"/>
              <w:rPr>
                <w:rFonts w:ascii="宋体" w:hAnsi="宋体" w:cs="宋体"/>
                <w:szCs w:val="21"/>
                <w:highlight w:val="none"/>
              </w:rPr>
            </w:pPr>
          </w:p>
        </w:tc>
        <w:tc>
          <w:tcPr>
            <w:tcW w:w="861" w:type="dxa"/>
            <w:vAlign w:val="center"/>
          </w:tcPr>
          <w:p w14:paraId="027DF9F6">
            <w:pPr>
              <w:adjustRightInd w:val="0"/>
              <w:snapToGrid w:val="0"/>
              <w:jc w:val="center"/>
              <w:rPr>
                <w:rFonts w:ascii="宋体" w:hAnsi="宋体" w:cs="宋体"/>
                <w:szCs w:val="21"/>
                <w:highlight w:val="none"/>
              </w:rPr>
            </w:pPr>
          </w:p>
        </w:tc>
        <w:tc>
          <w:tcPr>
            <w:tcW w:w="807" w:type="dxa"/>
            <w:vAlign w:val="center"/>
          </w:tcPr>
          <w:p w14:paraId="41B2A362">
            <w:pPr>
              <w:adjustRightInd w:val="0"/>
              <w:snapToGrid w:val="0"/>
              <w:jc w:val="center"/>
              <w:rPr>
                <w:rFonts w:ascii="宋体" w:hAnsi="宋体" w:cs="宋体"/>
                <w:szCs w:val="21"/>
                <w:highlight w:val="none"/>
              </w:rPr>
            </w:pPr>
          </w:p>
        </w:tc>
        <w:tc>
          <w:tcPr>
            <w:tcW w:w="796" w:type="dxa"/>
            <w:vAlign w:val="center"/>
          </w:tcPr>
          <w:p w14:paraId="6AA6632E">
            <w:pPr>
              <w:adjustRightInd w:val="0"/>
              <w:snapToGrid w:val="0"/>
              <w:jc w:val="center"/>
              <w:rPr>
                <w:rFonts w:ascii="宋体" w:hAnsi="宋体" w:cs="宋体"/>
                <w:szCs w:val="21"/>
                <w:highlight w:val="none"/>
              </w:rPr>
            </w:pPr>
          </w:p>
        </w:tc>
      </w:tr>
      <w:tr w14:paraId="1A32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14:paraId="08E0CA51">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3</w:t>
            </w:r>
          </w:p>
        </w:tc>
        <w:tc>
          <w:tcPr>
            <w:tcW w:w="925" w:type="dxa"/>
            <w:vAlign w:val="center"/>
          </w:tcPr>
          <w:p w14:paraId="2D5356BF">
            <w:pPr>
              <w:adjustRightInd w:val="0"/>
              <w:snapToGrid w:val="0"/>
              <w:jc w:val="center"/>
              <w:rPr>
                <w:rFonts w:ascii="宋体" w:hAnsi="宋体" w:cs="宋体"/>
                <w:szCs w:val="21"/>
                <w:highlight w:val="none"/>
              </w:rPr>
            </w:pPr>
          </w:p>
        </w:tc>
        <w:tc>
          <w:tcPr>
            <w:tcW w:w="833" w:type="dxa"/>
            <w:vAlign w:val="center"/>
          </w:tcPr>
          <w:p w14:paraId="3A3381F6">
            <w:pPr>
              <w:adjustRightInd w:val="0"/>
              <w:snapToGrid w:val="0"/>
              <w:jc w:val="center"/>
              <w:rPr>
                <w:rFonts w:ascii="宋体" w:hAnsi="宋体" w:cs="宋体"/>
                <w:szCs w:val="21"/>
                <w:highlight w:val="none"/>
              </w:rPr>
            </w:pPr>
          </w:p>
        </w:tc>
        <w:tc>
          <w:tcPr>
            <w:tcW w:w="725" w:type="dxa"/>
            <w:vAlign w:val="center"/>
          </w:tcPr>
          <w:p w14:paraId="7FFF90B1">
            <w:pPr>
              <w:adjustRightInd w:val="0"/>
              <w:snapToGrid w:val="0"/>
              <w:jc w:val="center"/>
              <w:rPr>
                <w:rFonts w:ascii="宋体" w:hAnsi="宋体" w:cs="宋体"/>
                <w:szCs w:val="21"/>
                <w:highlight w:val="none"/>
              </w:rPr>
            </w:pPr>
          </w:p>
        </w:tc>
        <w:tc>
          <w:tcPr>
            <w:tcW w:w="725" w:type="dxa"/>
            <w:vAlign w:val="center"/>
          </w:tcPr>
          <w:p w14:paraId="714104A8">
            <w:pPr>
              <w:adjustRightInd w:val="0"/>
              <w:snapToGrid w:val="0"/>
              <w:jc w:val="center"/>
              <w:rPr>
                <w:rFonts w:ascii="宋体" w:hAnsi="宋体" w:cs="宋体"/>
                <w:szCs w:val="21"/>
                <w:highlight w:val="none"/>
              </w:rPr>
            </w:pPr>
          </w:p>
        </w:tc>
        <w:tc>
          <w:tcPr>
            <w:tcW w:w="1383" w:type="dxa"/>
            <w:vAlign w:val="center"/>
          </w:tcPr>
          <w:p w14:paraId="7C0E5717">
            <w:pPr>
              <w:adjustRightInd w:val="0"/>
              <w:snapToGrid w:val="0"/>
              <w:jc w:val="center"/>
              <w:rPr>
                <w:rFonts w:ascii="宋体" w:hAnsi="宋体" w:cs="宋体"/>
                <w:szCs w:val="21"/>
                <w:highlight w:val="none"/>
              </w:rPr>
            </w:pPr>
          </w:p>
        </w:tc>
        <w:tc>
          <w:tcPr>
            <w:tcW w:w="725" w:type="dxa"/>
            <w:vAlign w:val="center"/>
          </w:tcPr>
          <w:p w14:paraId="20ACF9DB">
            <w:pPr>
              <w:adjustRightInd w:val="0"/>
              <w:snapToGrid w:val="0"/>
              <w:jc w:val="center"/>
              <w:rPr>
                <w:rFonts w:ascii="宋体" w:hAnsi="宋体" w:cs="宋体"/>
                <w:szCs w:val="21"/>
                <w:highlight w:val="none"/>
              </w:rPr>
            </w:pPr>
          </w:p>
        </w:tc>
        <w:tc>
          <w:tcPr>
            <w:tcW w:w="907" w:type="dxa"/>
            <w:vAlign w:val="center"/>
          </w:tcPr>
          <w:p w14:paraId="72855356">
            <w:pPr>
              <w:adjustRightInd w:val="0"/>
              <w:snapToGrid w:val="0"/>
              <w:jc w:val="center"/>
              <w:rPr>
                <w:rFonts w:ascii="宋体" w:hAnsi="宋体" w:cs="宋体"/>
                <w:szCs w:val="21"/>
                <w:highlight w:val="none"/>
              </w:rPr>
            </w:pPr>
          </w:p>
        </w:tc>
        <w:tc>
          <w:tcPr>
            <w:tcW w:w="861" w:type="dxa"/>
            <w:vAlign w:val="center"/>
          </w:tcPr>
          <w:p w14:paraId="6F9A3AFF">
            <w:pPr>
              <w:adjustRightInd w:val="0"/>
              <w:snapToGrid w:val="0"/>
              <w:jc w:val="center"/>
              <w:rPr>
                <w:rFonts w:ascii="宋体" w:hAnsi="宋体" w:cs="宋体"/>
                <w:szCs w:val="21"/>
                <w:highlight w:val="none"/>
              </w:rPr>
            </w:pPr>
          </w:p>
        </w:tc>
        <w:tc>
          <w:tcPr>
            <w:tcW w:w="807" w:type="dxa"/>
            <w:vAlign w:val="center"/>
          </w:tcPr>
          <w:p w14:paraId="6158D392">
            <w:pPr>
              <w:adjustRightInd w:val="0"/>
              <w:snapToGrid w:val="0"/>
              <w:jc w:val="center"/>
              <w:rPr>
                <w:rFonts w:ascii="宋体" w:hAnsi="宋体" w:cs="宋体"/>
                <w:szCs w:val="21"/>
                <w:highlight w:val="none"/>
              </w:rPr>
            </w:pPr>
          </w:p>
        </w:tc>
        <w:tc>
          <w:tcPr>
            <w:tcW w:w="796" w:type="dxa"/>
            <w:vAlign w:val="center"/>
          </w:tcPr>
          <w:p w14:paraId="03A16D6B">
            <w:pPr>
              <w:adjustRightInd w:val="0"/>
              <w:snapToGrid w:val="0"/>
              <w:jc w:val="center"/>
              <w:rPr>
                <w:rFonts w:ascii="宋体" w:hAnsi="宋体" w:cs="宋体"/>
                <w:szCs w:val="21"/>
                <w:highlight w:val="none"/>
              </w:rPr>
            </w:pPr>
          </w:p>
        </w:tc>
      </w:tr>
      <w:tr w14:paraId="4941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14:paraId="7D0FA08A">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4</w:t>
            </w:r>
          </w:p>
        </w:tc>
        <w:tc>
          <w:tcPr>
            <w:tcW w:w="925" w:type="dxa"/>
            <w:vAlign w:val="center"/>
          </w:tcPr>
          <w:p w14:paraId="0F27B4C5">
            <w:pPr>
              <w:adjustRightInd w:val="0"/>
              <w:snapToGrid w:val="0"/>
              <w:jc w:val="center"/>
              <w:rPr>
                <w:rFonts w:ascii="宋体" w:hAnsi="宋体" w:cs="宋体"/>
                <w:szCs w:val="21"/>
                <w:highlight w:val="none"/>
              </w:rPr>
            </w:pPr>
          </w:p>
        </w:tc>
        <w:tc>
          <w:tcPr>
            <w:tcW w:w="833" w:type="dxa"/>
            <w:vAlign w:val="center"/>
          </w:tcPr>
          <w:p w14:paraId="06F16B96">
            <w:pPr>
              <w:adjustRightInd w:val="0"/>
              <w:snapToGrid w:val="0"/>
              <w:jc w:val="center"/>
              <w:rPr>
                <w:rFonts w:ascii="宋体" w:hAnsi="宋体" w:cs="宋体"/>
                <w:szCs w:val="21"/>
                <w:highlight w:val="none"/>
              </w:rPr>
            </w:pPr>
          </w:p>
        </w:tc>
        <w:tc>
          <w:tcPr>
            <w:tcW w:w="725" w:type="dxa"/>
            <w:vAlign w:val="center"/>
          </w:tcPr>
          <w:p w14:paraId="62D2846A">
            <w:pPr>
              <w:adjustRightInd w:val="0"/>
              <w:snapToGrid w:val="0"/>
              <w:jc w:val="center"/>
              <w:rPr>
                <w:rFonts w:ascii="宋体" w:hAnsi="宋体" w:cs="宋体"/>
                <w:szCs w:val="21"/>
                <w:highlight w:val="none"/>
              </w:rPr>
            </w:pPr>
          </w:p>
        </w:tc>
        <w:tc>
          <w:tcPr>
            <w:tcW w:w="725" w:type="dxa"/>
            <w:vAlign w:val="center"/>
          </w:tcPr>
          <w:p w14:paraId="3F163A71">
            <w:pPr>
              <w:adjustRightInd w:val="0"/>
              <w:snapToGrid w:val="0"/>
              <w:jc w:val="center"/>
              <w:rPr>
                <w:rFonts w:ascii="宋体" w:hAnsi="宋体" w:cs="宋体"/>
                <w:szCs w:val="21"/>
                <w:highlight w:val="none"/>
              </w:rPr>
            </w:pPr>
          </w:p>
        </w:tc>
        <w:tc>
          <w:tcPr>
            <w:tcW w:w="1383" w:type="dxa"/>
            <w:vAlign w:val="center"/>
          </w:tcPr>
          <w:p w14:paraId="7C97B274">
            <w:pPr>
              <w:adjustRightInd w:val="0"/>
              <w:snapToGrid w:val="0"/>
              <w:jc w:val="center"/>
              <w:rPr>
                <w:rFonts w:ascii="宋体" w:hAnsi="宋体" w:cs="宋体"/>
                <w:szCs w:val="21"/>
                <w:highlight w:val="none"/>
              </w:rPr>
            </w:pPr>
          </w:p>
        </w:tc>
        <w:tc>
          <w:tcPr>
            <w:tcW w:w="725" w:type="dxa"/>
            <w:vAlign w:val="center"/>
          </w:tcPr>
          <w:p w14:paraId="581A01EE">
            <w:pPr>
              <w:adjustRightInd w:val="0"/>
              <w:snapToGrid w:val="0"/>
              <w:jc w:val="center"/>
              <w:rPr>
                <w:rFonts w:ascii="宋体" w:hAnsi="宋体" w:cs="宋体"/>
                <w:szCs w:val="21"/>
                <w:highlight w:val="none"/>
              </w:rPr>
            </w:pPr>
          </w:p>
        </w:tc>
        <w:tc>
          <w:tcPr>
            <w:tcW w:w="907" w:type="dxa"/>
            <w:vAlign w:val="center"/>
          </w:tcPr>
          <w:p w14:paraId="51AEB35E">
            <w:pPr>
              <w:adjustRightInd w:val="0"/>
              <w:snapToGrid w:val="0"/>
              <w:jc w:val="center"/>
              <w:rPr>
                <w:rFonts w:ascii="宋体" w:hAnsi="宋体" w:cs="宋体"/>
                <w:szCs w:val="21"/>
                <w:highlight w:val="none"/>
              </w:rPr>
            </w:pPr>
          </w:p>
        </w:tc>
        <w:tc>
          <w:tcPr>
            <w:tcW w:w="861" w:type="dxa"/>
            <w:vAlign w:val="center"/>
          </w:tcPr>
          <w:p w14:paraId="32890F12">
            <w:pPr>
              <w:adjustRightInd w:val="0"/>
              <w:snapToGrid w:val="0"/>
              <w:jc w:val="center"/>
              <w:rPr>
                <w:rFonts w:ascii="宋体" w:hAnsi="宋体" w:cs="宋体"/>
                <w:szCs w:val="21"/>
                <w:highlight w:val="none"/>
              </w:rPr>
            </w:pPr>
          </w:p>
        </w:tc>
        <w:tc>
          <w:tcPr>
            <w:tcW w:w="807" w:type="dxa"/>
            <w:vAlign w:val="center"/>
          </w:tcPr>
          <w:p w14:paraId="6FBF26FA">
            <w:pPr>
              <w:adjustRightInd w:val="0"/>
              <w:snapToGrid w:val="0"/>
              <w:jc w:val="center"/>
              <w:rPr>
                <w:rFonts w:ascii="宋体" w:hAnsi="宋体" w:cs="宋体"/>
                <w:szCs w:val="21"/>
                <w:highlight w:val="none"/>
              </w:rPr>
            </w:pPr>
          </w:p>
        </w:tc>
        <w:tc>
          <w:tcPr>
            <w:tcW w:w="796" w:type="dxa"/>
            <w:vAlign w:val="center"/>
          </w:tcPr>
          <w:p w14:paraId="7367E759">
            <w:pPr>
              <w:adjustRightInd w:val="0"/>
              <w:snapToGrid w:val="0"/>
              <w:jc w:val="center"/>
              <w:rPr>
                <w:rFonts w:ascii="宋体" w:hAnsi="宋体" w:cs="宋体"/>
                <w:szCs w:val="21"/>
                <w:highlight w:val="none"/>
              </w:rPr>
            </w:pPr>
          </w:p>
        </w:tc>
      </w:tr>
      <w:tr w14:paraId="581B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14:paraId="34C6F418">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5</w:t>
            </w:r>
          </w:p>
        </w:tc>
        <w:tc>
          <w:tcPr>
            <w:tcW w:w="925" w:type="dxa"/>
            <w:vAlign w:val="center"/>
          </w:tcPr>
          <w:p w14:paraId="5A6F4C74">
            <w:pPr>
              <w:adjustRightInd w:val="0"/>
              <w:snapToGrid w:val="0"/>
              <w:jc w:val="center"/>
              <w:rPr>
                <w:rFonts w:ascii="宋体" w:hAnsi="宋体" w:cs="宋体"/>
                <w:szCs w:val="21"/>
                <w:highlight w:val="none"/>
              </w:rPr>
            </w:pPr>
          </w:p>
        </w:tc>
        <w:tc>
          <w:tcPr>
            <w:tcW w:w="833" w:type="dxa"/>
            <w:vAlign w:val="center"/>
          </w:tcPr>
          <w:p w14:paraId="1F0A97D1">
            <w:pPr>
              <w:adjustRightInd w:val="0"/>
              <w:snapToGrid w:val="0"/>
              <w:jc w:val="center"/>
              <w:rPr>
                <w:rFonts w:ascii="宋体" w:hAnsi="宋体" w:cs="宋体"/>
                <w:szCs w:val="21"/>
                <w:highlight w:val="none"/>
              </w:rPr>
            </w:pPr>
          </w:p>
        </w:tc>
        <w:tc>
          <w:tcPr>
            <w:tcW w:w="725" w:type="dxa"/>
            <w:vAlign w:val="center"/>
          </w:tcPr>
          <w:p w14:paraId="2A0287AD">
            <w:pPr>
              <w:adjustRightInd w:val="0"/>
              <w:snapToGrid w:val="0"/>
              <w:jc w:val="center"/>
              <w:rPr>
                <w:rFonts w:ascii="宋体" w:hAnsi="宋体" w:cs="宋体"/>
                <w:szCs w:val="21"/>
                <w:highlight w:val="none"/>
              </w:rPr>
            </w:pPr>
          </w:p>
        </w:tc>
        <w:tc>
          <w:tcPr>
            <w:tcW w:w="725" w:type="dxa"/>
            <w:vAlign w:val="center"/>
          </w:tcPr>
          <w:p w14:paraId="3FABB288">
            <w:pPr>
              <w:adjustRightInd w:val="0"/>
              <w:snapToGrid w:val="0"/>
              <w:jc w:val="center"/>
              <w:rPr>
                <w:rFonts w:ascii="宋体" w:hAnsi="宋体" w:cs="宋体"/>
                <w:szCs w:val="21"/>
                <w:highlight w:val="none"/>
              </w:rPr>
            </w:pPr>
          </w:p>
        </w:tc>
        <w:tc>
          <w:tcPr>
            <w:tcW w:w="1383" w:type="dxa"/>
            <w:vAlign w:val="center"/>
          </w:tcPr>
          <w:p w14:paraId="12FA3BA7">
            <w:pPr>
              <w:adjustRightInd w:val="0"/>
              <w:snapToGrid w:val="0"/>
              <w:jc w:val="center"/>
              <w:rPr>
                <w:rFonts w:ascii="宋体" w:hAnsi="宋体" w:cs="宋体"/>
                <w:szCs w:val="21"/>
                <w:highlight w:val="none"/>
              </w:rPr>
            </w:pPr>
          </w:p>
        </w:tc>
        <w:tc>
          <w:tcPr>
            <w:tcW w:w="725" w:type="dxa"/>
            <w:vAlign w:val="center"/>
          </w:tcPr>
          <w:p w14:paraId="76D1C12C">
            <w:pPr>
              <w:adjustRightInd w:val="0"/>
              <w:snapToGrid w:val="0"/>
              <w:jc w:val="center"/>
              <w:rPr>
                <w:rFonts w:ascii="宋体" w:hAnsi="宋体" w:cs="宋体"/>
                <w:szCs w:val="21"/>
                <w:highlight w:val="none"/>
              </w:rPr>
            </w:pPr>
          </w:p>
        </w:tc>
        <w:tc>
          <w:tcPr>
            <w:tcW w:w="907" w:type="dxa"/>
            <w:vAlign w:val="center"/>
          </w:tcPr>
          <w:p w14:paraId="49510546">
            <w:pPr>
              <w:adjustRightInd w:val="0"/>
              <w:snapToGrid w:val="0"/>
              <w:jc w:val="center"/>
              <w:rPr>
                <w:rFonts w:ascii="宋体" w:hAnsi="宋体" w:cs="宋体"/>
                <w:szCs w:val="21"/>
                <w:highlight w:val="none"/>
              </w:rPr>
            </w:pPr>
          </w:p>
        </w:tc>
        <w:tc>
          <w:tcPr>
            <w:tcW w:w="861" w:type="dxa"/>
            <w:vAlign w:val="center"/>
          </w:tcPr>
          <w:p w14:paraId="691E6617">
            <w:pPr>
              <w:adjustRightInd w:val="0"/>
              <w:snapToGrid w:val="0"/>
              <w:jc w:val="center"/>
              <w:rPr>
                <w:rFonts w:ascii="宋体" w:hAnsi="宋体" w:cs="宋体"/>
                <w:szCs w:val="21"/>
                <w:highlight w:val="none"/>
              </w:rPr>
            </w:pPr>
          </w:p>
        </w:tc>
        <w:tc>
          <w:tcPr>
            <w:tcW w:w="807" w:type="dxa"/>
            <w:vAlign w:val="center"/>
          </w:tcPr>
          <w:p w14:paraId="4A4D0C32">
            <w:pPr>
              <w:adjustRightInd w:val="0"/>
              <w:snapToGrid w:val="0"/>
              <w:jc w:val="center"/>
              <w:rPr>
                <w:rFonts w:ascii="宋体" w:hAnsi="宋体" w:cs="宋体"/>
                <w:szCs w:val="21"/>
                <w:highlight w:val="none"/>
              </w:rPr>
            </w:pPr>
          </w:p>
        </w:tc>
        <w:tc>
          <w:tcPr>
            <w:tcW w:w="796" w:type="dxa"/>
            <w:vAlign w:val="center"/>
          </w:tcPr>
          <w:p w14:paraId="2E161789">
            <w:pPr>
              <w:adjustRightInd w:val="0"/>
              <w:snapToGrid w:val="0"/>
              <w:jc w:val="center"/>
              <w:rPr>
                <w:rFonts w:ascii="宋体" w:hAnsi="宋体" w:cs="宋体"/>
                <w:szCs w:val="21"/>
                <w:highlight w:val="none"/>
              </w:rPr>
            </w:pPr>
          </w:p>
        </w:tc>
      </w:tr>
      <w:tr w14:paraId="4910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14:paraId="0391FA94">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6</w:t>
            </w:r>
          </w:p>
        </w:tc>
        <w:tc>
          <w:tcPr>
            <w:tcW w:w="925" w:type="dxa"/>
            <w:vAlign w:val="center"/>
          </w:tcPr>
          <w:p w14:paraId="54304925">
            <w:pPr>
              <w:adjustRightInd w:val="0"/>
              <w:snapToGrid w:val="0"/>
              <w:jc w:val="center"/>
              <w:rPr>
                <w:rFonts w:ascii="宋体" w:hAnsi="宋体" w:cs="宋体"/>
                <w:szCs w:val="21"/>
                <w:highlight w:val="none"/>
              </w:rPr>
            </w:pPr>
          </w:p>
        </w:tc>
        <w:tc>
          <w:tcPr>
            <w:tcW w:w="833" w:type="dxa"/>
            <w:vAlign w:val="center"/>
          </w:tcPr>
          <w:p w14:paraId="15774AA9">
            <w:pPr>
              <w:adjustRightInd w:val="0"/>
              <w:snapToGrid w:val="0"/>
              <w:jc w:val="center"/>
              <w:rPr>
                <w:rFonts w:ascii="宋体" w:hAnsi="宋体" w:cs="宋体"/>
                <w:szCs w:val="21"/>
                <w:highlight w:val="none"/>
              </w:rPr>
            </w:pPr>
          </w:p>
        </w:tc>
        <w:tc>
          <w:tcPr>
            <w:tcW w:w="725" w:type="dxa"/>
            <w:vAlign w:val="center"/>
          </w:tcPr>
          <w:p w14:paraId="69855AB7">
            <w:pPr>
              <w:adjustRightInd w:val="0"/>
              <w:snapToGrid w:val="0"/>
              <w:jc w:val="center"/>
              <w:rPr>
                <w:rFonts w:ascii="宋体" w:hAnsi="宋体" w:cs="宋体"/>
                <w:szCs w:val="21"/>
                <w:highlight w:val="none"/>
              </w:rPr>
            </w:pPr>
          </w:p>
        </w:tc>
        <w:tc>
          <w:tcPr>
            <w:tcW w:w="725" w:type="dxa"/>
            <w:vAlign w:val="center"/>
          </w:tcPr>
          <w:p w14:paraId="7CD7CBE0">
            <w:pPr>
              <w:adjustRightInd w:val="0"/>
              <w:snapToGrid w:val="0"/>
              <w:jc w:val="center"/>
              <w:rPr>
                <w:rFonts w:ascii="宋体" w:hAnsi="宋体" w:cs="宋体"/>
                <w:szCs w:val="21"/>
                <w:highlight w:val="none"/>
              </w:rPr>
            </w:pPr>
          </w:p>
        </w:tc>
        <w:tc>
          <w:tcPr>
            <w:tcW w:w="1383" w:type="dxa"/>
            <w:vAlign w:val="center"/>
          </w:tcPr>
          <w:p w14:paraId="3C3F2D11">
            <w:pPr>
              <w:adjustRightInd w:val="0"/>
              <w:snapToGrid w:val="0"/>
              <w:jc w:val="center"/>
              <w:rPr>
                <w:rFonts w:ascii="宋体" w:hAnsi="宋体" w:cs="宋体"/>
                <w:szCs w:val="21"/>
                <w:highlight w:val="none"/>
              </w:rPr>
            </w:pPr>
          </w:p>
        </w:tc>
        <w:tc>
          <w:tcPr>
            <w:tcW w:w="725" w:type="dxa"/>
            <w:vAlign w:val="center"/>
          </w:tcPr>
          <w:p w14:paraId="7A7B4DBC">
            <w:pPr>
              <w:adjustRightInd w:val="0"/>
              <w:snapToGrid w:val="0"/>
              <w:jc w:val="center"/>
              <w:rPr>
                <w:rFonts w:ascii="宋体" w:hAnsi="宋体" w:cs="宋体"/>
                <w:szCs w:val="21"/>
                <w:highlight w:val="none"/>
              </w:rPr>
            </w:pPr>
          </w:p>
        </w:tc>
        <w:tc>
          <w:tcPr>
            <w:tcW w:w="907" w:type="dxa"/>
            <w:vAlign w:val="center"/>
          </w:tcPr>
          <w:p w14:paraId="166A82C8">
            <w:pPr>
              <w:adjustRightInd w:val="0"/>
              <w:snapToGrid w:val="0"/>
              <w:jc w:val="center"/>
              <w:rPr>
                <w:rFonts w:ascii="宋体" w:hAnsi="宋体" w:cs="宋体"/>
                <w:szCs w:val="21"/>
                <w:highlight w:val="none"/>
              </w:rPr>
            </w:pPr>
          </w:p>
        </w:tc>
        <w:tc>
          <w:tcPr>
            <w:tcW w:w="861" w:type="dxa"/>
            <w:vAlign w:val="center"/>
          </w:tcPr>
          <w:p w14:paraId="572928B8">
            <w:pPr>
              <w:adjustRightInd w:val="0"/>
              <w:snapToGrid w:val="0"/>
              <w:jc w:val="center"/>
              <w:rPr>
                <w:rFonts w:ascii="宋体" w:hAnsi="宋体" w:cs="宋体"/>
                <w:szCs w:val="21"/>
                <w:highlight w:val="none"/>
              </w:rPr>
            </w:pPr>
          </w:p>
        </w:tc>
        <w:tc>
          <w:tcPr>
            <w:tcW w:w="807" w:type="dxa"/>
            <w:vAlign w:val="center"/>
          </w:tcPr>
          <w:p w14:paraId="1834BF08">
            <w:pPr>
              <w:adjustRightInd w:val="0"/>
              <w:snapToGrid w:val="0"/>
              <w:jc w:val="center"/>
              <w:rPr>
                <w:rFonts w:ascii="宋体" w:hAnsi="宋体" w:cs="宋体"/>
                <w:szCs w:val="21"/>
                <w:highlight w:val="none"/>
              </w:rPr>
            </w:pPr>
          </w:p>
        </w:tc>
        <w:tc>
          <w:tcPr>
            <w:tcW w:w="796" w:type="dxa"/>
            <w:vAlign w:val="center"/>
          </w:tcPr>
          <w:p w14:paraId="3AC2DA8E">
            <w:pPr>
              <w:adjustRightInd w:val="0"/>
              <w:snapToGrid w:val="0"/>
              <w:jc w:val="center"/>
              <w:rPr>
                <w:rFonts w:ascii="宋体" w:hAnsi="宋体" w:cs="宋体"/>
                <w:szCs w:val="21"/>
                <w:highlight w:val="none"/>
              </w:rPr>
            </w:pPr>
          </w:p>
        </w:tc>
      </w:tr>
      <w:tr w14:paraId="6E1D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14:paraId="0EF555A3">
            <w:pPr>
              <w:tabs>
                <w:tab w:val="left" w:pos="9298"/>
              </w:tabs>
              <w:jc w:val="center"/>
              <w:rPr>
                <w:rFonts w:ascii="宋体" w:hAnsi="宋体" w:cs="宋体"/>
                <w:szCs w:val="21"/>
                <w:highlight w:val="none"/>
              </w:rPr>
            </w:pPr>
            <w:r>
              <w:rPr>
                <w:rFonts w:hint="eastAsia" w:ascii="宋体" w:hAnsi="宋体" w:cs="宋体"/>
                <w:kern w:val="1"/>
                <w:szCs w:val="21"/>
                <w:highlight w:val="none"/>
              </w:rPr>
              <w:t>...</w:t>
            </w:r>
          </w:p>
        </w:tc>
        <w:tc>
          <w:tcPr>
            <w:tcW w:w="925" w:type="dxa"/>
            <w:vAlign w:val="center"/>
          </w:tcPr>
          <w:p w14:paraId="3A3526C1">
            <w:pPr>
              <w:adjustRightInd w:val="0"/>
              <w:snapToGrid w:val="0"/>
              <w:jc w:val="center"/>
              <w:rPr>
                <w:rFonts w:ascii="宋体" w:hAnsi="宋体" w:cs="宋体"/>
                <w:szCs w:val="21"/>
                <w:highlight w:val="none"/>
              </w:rPr>
            </w:pPr>
          </w:p>
        </w:tc>
        <w:tc>
          <w:tcPr>
            <w:tcW w:w="833" w:type="dxa"/>
            <w:vAlign w:val="center"/>
          </w:tcPr>
          <w:p w14:paraId="62B94143">
            <w:pPr>
              <w:adjustRightInd w:val="0"/>
              <w:snapToGrid w:val="0"/>
              <w:jc w:val="center"/>
              <w:rPr>
                <w:rFonts w:ascii="宋体" w:hAnsi="宋体" w:cs="宋体"/>
                <w:szCs w:val="21"/>
                <w:highlight w:val="none"/>
              </w:rPr>
            </w:pPr>
          </w:p>
        </w:tc>
        <w:tc>
          <w:tcPr>
            <w:tcW w:w="725" w:type="dxa"/>
            <w:vAlign w:val="center"/>
          </w:tcPr>
          <w:p w14:paraId="103D5A3C">
            <w:pPr>
              <w:adjustRightInd w:val="0"/>
              <w:snapToGrid w:val="0"/>
              <w:jc w:val="center"/>
              <w:rPr>
                <w:rFonts w:ascii="宋体" w:hAnsi="宋体" w:cs="宋体"/>
                <w:szCs w:val="21"/>
                <w:highlight w:val="none"/>
              </w:rPr>
            </w:pPr>
          </w:p>
        </w:tc>
        <w:tc>
          <w:tcPr>
            <w:tcW w:w="725" w:type="dxa"/>
            <w:vAlign w:val="center"/>
          </w:tcPr>
          <w:p w14:paraId="7BAF1A11">
            <w:pPr>
              <w:adjustRightInd w:val="0"/>
              <w:snapToGrid w:val="0"/>
              <w:jc w:val="center"/>
              <w:rPr>
                <w:rFonts w:ascii="宋体" w:hAnsi="宋体" w:cs="宋体"/>
                <w:szCs w:val="21"/>
                <w:highlight w:val="none"/>
              </w:rPr>
            </w:pPr>
          </w:p>
        </w:tc>
        <w:tc>
          <w:tcPr>
            <w:tcW w:w="1383" w:type="dxa"/>
            <w:vAlign w:val="center"/>
          </w:tcPr>
          <w:p w14:paraId="69204580">
            <w:pPr>
              <w:adjustRightInd w:val="0"/>
              <w:snapToGrid w:val="0"/>
              <w:jc w:val="center"/>
              <w:rPr>
                <w:rFonts w:ascii="宋体" w:hAnsi="宋体" w:cs="宋体"/>
                <w:szCs w:val="21"/>
                <w:highlight w:val="none"/>
              </w:rPr>
            </w:pPr>
          </w:p>
        </w:tc>
        <w:tc>
          <w:tcPr>
            <w:tcW w:w="725" w:type="dxa"/>
            <w:vAlign w:val="center"/>
          </w:tcPr>
          <w:p w14:paraId="2D4A3E28">
            <w:pPr>
              <w:adjustRightInd w:val="0"/>
              <w:snapToGrid w:val="0"/>
              <w:jc w:val="center"/>
              <w:rPr>
                <w:rFonts w:ascii="宋体" w:hAnsi="宋体" w:cs="宋体"/>
                <w:szCs w:val="21"/>
                <w:highlight w:val="none"/>
              </w:rPr>
            </w:pPr>
          </w:p>
        </w:tc>
        <w:tc>
          <w:tcPr>
            <w:tcW w:w="907" w:type="dxa"/>
            <w:vAlign w:val="center"/>
          </w:tcPr>
          <w:p w14:paraId="7EC3B704">
            <w:pPr>
              <w:adjustRightInd w:val="0"/>
              <w:snapToGrid w:val="0"/>
              <w:jc w:val="center"/>
              <w:rPr>
                <w:rFonts w:ascii="宋体" w:hAnsi="宋体" w:cs="宋体"/>
                <w:szCs w:val="21"/>
                <w:highlight w:val="none"/>
              </w:rPr>
            </w:pPr>
          </w:p>
        </w:tc>
        <w:tc>
          <w:tcPr>
            <w:tcW w:w="861" w:type="dxa"/>
            <w:vAlign w:val="center"/>
          </w:tcPr>
          <w:p w14:paraId="377829FE">
            <w:pPr>
              <w:adjustRightInd w:val="0"/>
              <w:snapToGrid w:val="0"/>
              <w:jc w:val="center"/>
              <w:rPr>
                <w:rFonts w:ascii="宋体" w:hAnsi="宋体" w:cs="宋体"/>
                <w:szCs w:val="21"/>
                <w:highlight w:val="none"/>
              </w:rPr>
            </w:pPr>
          </w:p>
        </w:tc>
        <w:tc>
          <w:tcPr>
            <w:tcW w:w="807" w:type="dxa"/>
            <w:vAlign w:val="center"/>
          </w:tcPr>
          <w:p w14:paraId="5659D8CB">
            <w:pPr>
              <w:adjustRightInd w:val="0"/>
              <w:snapToGrid w:val="0"/>
              <w:jc w:val="center"/>
              <w:rPr>
                <w:rFonts w:ascii="宋体" w:hAnsi="宋体" w:cs="宋体"/>
                <w:szCs w:val="21"/>
                <w:highlight w:val="none"/>
              </w:rPr>
            </w:pPr>
          </w:p>
        </w:tc>
        <w:tc>
          <w:tcPr>
            <w:tcW w:w="796" w:type="dxa"/>
            <w:vAlign w:val="center"/>
          </w:tcPr>
          <w:p w14:paraId="15C380ED">
            <w:pPr>
              <w:adjustRightInd w:val="0"/>
              <w:snapToGrid w:val="0"/>
              <w:jc w:val="center"/>
              <w:rPr>
                <w:rFonts w:ascii="宋体" w:hAnsi="宋体" w:cs="宋体"/>
                <w:szCs w:val="21"/>
                <w:highlight w:val="none"/>
              </w:rPr>
            </w:pPr>
          </w:p>
        </w:tc>
      </w:tr>
    </w:tbl>
    <w:p w14:paraId="7CA0247A">
      <w:pPr>
        <w:rPr>
          <w:rFonts w:hint="eastAsia" w:ascii="宋体" w:hAnsi="宋体" w:cs="宋体"/>
          <w:b w:val="0"/>
          <w:bCs/>
          <w:kern w:val="1"/>
          <w:szCs w:val="21"/>
          <w:highlight w:val="none"/>
          <w:lang w:val="zh-CN"/>
        </w:rPr>
      </w:pPr>
      <w:r>
        <w:rPr>
          <w:rFonts w:hint="eastAsia" w:ascii="宋体" w:hAnsi="宋体" w:cs="宋体"/>
          <w:bCs/>
          <w:kern w:val="1"/>
          <w:szCs w:val="21"/>
          <w:highlight w:val="none"/>
          <w:lang w:val="zh-CN"/>
        </w:rPr>
        <w:t>注：</w:t>
      </w:r>
      <w:r>
        <w:rPr>
          <w:rFonts w:hint="eastAsia" w:ascii="宋体" w:hAnsi="宋体" w:cs="宋体"/>
          <w:b w:val="0"/>
          <w:bCs/>
          <w:kern w:val="1"/>
          <w:szCs w:val="21"/>
          <w:highlight w:val="none"/>
          <w:lang w:val="en-US" w:eastAsia="zh-CN"/>
        </w:rPr>
        <w:t>1、</w:t>
      </w:r>
      <w:r>
        <w:rPr>
          <w:rFonts w:hint="eastAsia" w:ascii="宋体" w:hAnsi="宋体" w:cs="宋体"/>
          <w:b w:val="0"/>
          <w:bCs/>
          <w:kern w:val="1"/>
          <w:szCs w:val="21"/>
          <w:highlight w:val="none"/>
          <w:lang w:val="zh-CN"/>
        </w:rPr>
        <w:t>本表根据招标文件要求结合施工</w:t>
      </w:r>
      <w:r>
        <w:rPr>
          <w:rFonts w:hint="eastAsia" w:ascii="宋体" w:hAnsi="宋体" w:cs="宋体"/>
          <w:b w:val="0"/>
          <w:bCs/>
          <w:kern w:val="1"/>
          <w:szCs w:val="21"/>
          <w:highlight w:val="none"/>
          <w:u w:val="single"/>
          <w:lang w:val="zh-CN"/>
        </w:rPr>
        <w:t>管理团队人员</w:t>
      </w:r>
      <w:r>
        <w:rPr>
          <w:rFonts w:hint="eastAsia" w:ascii="宋体" w:hAnsi="宋体" w:cs="宋体"/>
          <w:b w:val="0"/>
          <w:bCs/>
          <w:kern w:val="1"/>
          <w:szCs w:val="21"/>
          <w:highlight w:val="none"/>
          <w:lang w:val="zh-CN"/>
        </w:rPr>
        <w:t>要求和投标人的自身实际填写，一旦中标，要求全部到位，否则严格按照合同条款执行。</w:t>
      </w:r>
    </w:p>
    <w:p w14:paraId="77FDF3D1">
      <w:pPr>
        <w:ind w:firstLine="400" w:firstLineChars="200"/>
        <w:rPr>
          <w:rFonts w:hint="eastAsia" w:ascii="宋体" w:hAnsi="宋体" w:cs="宋体"/>
          <w:b w:val="0"/>
          <w:bCs/>
          <w:kern w:val="1"/>
          <w:szCs w:val="21"/>
          <w:highlight w:val="none"/>
          <w:lang w:val="zh-CN"/>
        </w:rPr>
      </w:pPr>
      <w:r>
        <w:rPr>
          <w:rFonts w:hint="eastAsia" w:ascii="宋体" w:hAnsi="宋体" w:eastAsia="宋体" w:cs="宋体"/>
          <w:b w:val="0"/>
          <w:bCs/>
          <w:kern w:val="0"/>
          <w:sz w:val="20"/>
          <w:szCs w:val="21"/>
          <w:highlight w:val="none"/>
        </w:rPr>
        <w:t>2、须提供投标截止时间近</w:t>
      </w:r>
      <w:r>
        <w:rPr>
          <w:rFonts w:ascii="宋体" w:hAnsi="宋体" w:eastAsia="宋体" w:cs="宋体"/>
          <w:b w:val="0"/>
          <w:bCs/>
          <w:kern w:val="0"/>
          <w:sz w:val="20"/>
          <w:szCs w:val="21"/>
          <w:highlight w:val="none"/>
        </w:rPr>
        <w:t>1</w:t>
      </w:r>
      <w:r>
        <w:rPr>
          <w:rFonts w:hint="eastAsia" w:ascii="宋体" w:hAnsi="宋体" w:eastAsia="宋体" w:cs="宋体"/>
          <w:b w:val="0"/>
          <w:bCs/>
          <w:kern w:val="0"/>
          <w:sz w:val="20"/>
          <w:szCs w:val="21"/>
          <w:highlight w:val="none"/>
        </w:rPr>
        <w:t>个月（</w:t>
      </w:r>
      <w:r>
        <w:rPr>
          <w:rFonts w:ascii="宋体" w:hAnsi="宋体" w:eastAsia="宋体" w:cs="宋体"/>
          <w:b w:val="0"/>
          <w:bCs/>
          <w:kern w:val="0"/>
          <w:sz w:val="20"/>
          <w:szCs w:val="21"/>
          <w:highlight w:val="none"/>
        </w:rPr>
        <w:t>2025</w:t>
      </w:r>
      <w:r>
        <w:rPr>
          <w:rFonts w:hint="eastAsia" w:ascii="宋体" w:hAnsi="宋体" w:eastAsia="宋体" w:cs="宋体"/>
          <w:b w:val="0"/>
          <w:bCs/>
          <w:kern w:val="0"/>
          <w:sz w:val="20"/>
          <w:szCs w:val="21"/>
          <w:highlight w:val="none"/>
        </w:rPr>
        <w:t>年</w:t>
      </w:r>
      <w:r>
        <w:rPr>
          <w:rFonts w:hint="eastAsia" w:ascii="宋体" w:hAnsi="宋体" w:cs="宋体"/>
          <w:b w:val="0"/>
          <w:bCs/>
          <w:kern w:val="0"/>
          <w:sz w:val="20"/>
          <w:szCs w:val="21"/>
          <w:highlight w:val="none"/>
          <w:lang w:val="en-US" w:eastAsia="zh-CN"/>
        </w:rPr>
        <w:t>8</w:t>
      </w:r>
      <w:r>
        <w:rPr>
          <w:rFonts w:hint="eastAsia" w:ascii="宋体" w:hAnsi="宋体" w:eastAsia="宋体" w:cs="宋体"/>
          <w:b w:val="0"/>
          <w:bCs/>
          <w:kern w:val="0"/>
          <w:sz w:val="20"/>
          <w:szCs w:val="21"/>
          <w:highlight w:val="none"/>
        </w:rPr>
        <w:t>月）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cs="宋体"/>
          <w:b w:val="0"/>
          <w:bCs/>
          <w:kern w:val="0"/>
          <w:sz w:val="20"/>
          <w:szCs w:val="21"/>
          <w:highlight w:val="none"/>
          <w:lang w:eastAsia="zh-CN"/>
        </w:rPr>
        <w:t>。</w:t>
      </w:r>
      <w:r>
        <w:rPr>
          <w:rFonts w:hint="eastAsia" w:ascii="宋体" w:hAnsi="宋体" w:eastAsia="宋体" w:cs="宋体"/>
          <w:b w:val="0"/>
          <w:bCs/>
          <w:kern w:val="0"/>
          <w:sz w:val="20"/>
          <w:szCs w:val="21"/>
          <w:highlight w:val="none"/>
          <w:lang w:val="zh-CN"/>
        </w:rPr>
        <w:t>（上述人员为香港专业人士的，需提供资格备案的业务范围符合本招标项目对上述人员要求的香港专业人士的证明材料扫描件）。</w:t>
      </w:r>
    </w:p>
    <w:p w14:paraId="7B818D0A">
      <w:pPr>
        <w:rPr>
          <w:rFonts w:ascii="宋体" w:hAnsi="宋体" w:cs="宋体"/>
          <w:bCs/>
          <w:kern w:val="1"/>
          <w:szCs w:val="21"/>
          <w:highlight w:val="none"/>
          <w:lang w:val="zh-CN"/>
        </w:rPr>
      </w:pPr>
    </w:p>
    <w:p w14:paraId="3C9771AC">
      <w:pPr>
        <w:tabs>
          <w:tab w:val="left" w:pos="7655"/>
        </w:tabs>
        <w:spacing w:line="360" w:lineRule="auto"/>
        <w:ind w:firstLine="1656" w:firstLineChars="600"/>
        <w:jc w:val="left"/>
        <w:rPr>
          <w:rFonts w:ascii="宋体" w:hAnsi="宋体" w:cs="宋体"/>
          <w:spacing w:val="18"/>
          <w:kern w:val="1"/>
          <w:sz w:val="24"/>
          <w:highlight w:val="none"/>
          <w:lang w:val="zh-CN"/>
        </w:rPr>
      </w:pPr>
    </w:p>
    <w:p w14:paraId="0F51D220">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1923FD46">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14:paraId="459E02AA">
      <w:pPr>
        <w:pStyle w:val="15"/>
        <w:ind w:firstLine="0"/>
        <w:rPr>
          <w:rFonts w:ascii="宋体" w:hAnsi="宋体" w:cs="宋体"/>
          <w:szCs w:val="21"/>
          <w:highlight w:val="none"/>
        </w:rPr>
      </w:pPr>
    </w:p>
    <w:p w14:paraId="12D34DDD">
      <w:pPr>
        <w:pStyle w:val="15"/>
        <w:ind w:firstLine="0"/>
        <w:rPr>
          <w:rFonts w:ascii="宋体" w:hAnsi="宋体" w:cs="宋体"/>
          <w:szCs w:val="21"/>
          <w:highlight w:val="none"/>
        </w:rPr>
      </w:pPr>
    </w:p>
    <w:p w14:paraId="23006171">
      <w:pPr>
        <w:pStyle w:val="165"/>
        <w:ind w:firstLine="400"/>
        <w:rPr>
          <w:rFonts w:ascii="宋体" w:hAnsi="宋体" w:cs="宋体"/>
          <w:highlight w:val="none"/>
        </w:rPr>
      </w:pPr>
    </w:p>
    <w:p w14:paraId="2E94B144">
      <w:pPr>
        <w:spacing w:line="360" w:lineRule="auto"/>
        <w:jc w:val="center"/>
        <w:rPr>
          <w:rFonts w:ascii="宋体" w:hAnsi="宋体" w:cs="宋体"/>
          <w:b/>
          <w:kern w:val="1"/>
          <w:sz w:val="24"/>
          <w:highlight w:val="none"/>
        </w:rPr>
      </w:pPr>
      <w:r>
        <w:rPr>
          <w:rFonts w:hint="eastAsia" w:ascii="宋体" w:hAnsi="宋体" w:cs="宋体"/>
          <w:b/>
          <w:kern w:val="1"/>
          <w:sz w:val="24"/>
          <w:highlight w:val="none"/>
        </w:rPr>
        <w:br w:type="page"/>
      </w:r>
      <w:bookmarkStart w:id="580" w:name="_Hlk116425340"/>
    </w:p>
    <w:p w14:paraId="7D2984AD">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en-US" w:eastAsia="zh-CN"/>
        </w:rPr>
        <w:t>拆迁服务</w:t>
      </w:r>
      <w:r>
        <w:rPr>
          <w:rFonts w:hint="eastAsia" w:ascii="宋体" w:hAnsi="宋体" w:cs="宋体"/>
          <w:b/>
          <w:bCs/>
          <w:kern w:val="1"/>
          <w:sz w:val="32"/>
          <w:szCs w:val="32"/>
          <w:highlight w:val="none"/>
          <w:lang w:val="zh-CN"/>
        </w:rPr>
        <w:t>人员汇总表</w:t>
      </w:r>
    </w:p>
    <w:bookmarkEnd w:id="580"/>
    <w:tbl>
      <w:tblPr>
        <w:tblStyle w:val="45"/>
        <w:tblW w:w="9379" w:type="dxa"/>
        <w:tblInd w:w="0" w:type="dxa"/>
        <w:tblLayout w:type="fixed"/>
        <w:tblCellMar>
          <w:top w:w="0" w:type="dxa"/>
          <w:left w:w="108" w:type="dxa"/>
          <w:bottom w:w="0" w:type="dxa"/>
          <w:right w:w="108" w:type="dxa"/>
        </w:tblCellMar>
      </w:tblPr>
      <w:tblGrid>
        <w:gridCol w:w="810"/>
        <w:gridCol w:w="769"/>
        <w:gridCol w:w="806"/>
        <w:gridCol w:w="787"/>
        <w:gridCol w:w="1238"/>
        <w:gridCol w:w="1744"/>
        <w:gridCol w:w="1706"/>
        <w:gridCol w:w="1519"/>
      </w:tblGrid>
      <w:tr w14:paraId="6A83AF77">
        <w:tblPrEx>
          <w:tblCellMar>
            <w:top w:w="0" w:type="dxa"/>
            <w:left w:w="108" w:type="dxa"/>
            <w:bottom w:w="0" w:type="dxa"/>
            <w:right w:w="108" w:type="dxa"/>
          </w:tblCellMar>
        </w:tblPrEx>
        <w:trPr>
          <w:trHeight w:val="764" w:hRule="atLeast"/>
        </w:trPr>
        <w:tc>
          <w:tcPr>
            <w:tcW w:w="810" w:type="dxa"/>
            <w:tcBorders>
              <w:top w:val="single" w:color="000000" w:sz="6" w:space="0"/>
              <w:left w:val="single" w:color="000000" w:sz="6" w:space="0"/>
              <w:bottom w:val="single" w:color="000000" w:sz="6" w:space="0"/>
              <w:right w:val="single" w:color="000000" w:sz="6" w:space="0"/>
            </w:tcBorders>
            <w:vAlign w:val="center"/>
          </w:tcPr>
          <w:p w14:paraId="5C1F4D0D">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序号</w:t>
            </w:r>
          </w:p>
        </w:tc>
        <w:tc>
          <w:tcPr>
            <w:tcW w:w="769" w:type="dxa"/>
            <w:tcBorders>
              <w:top w:val="single" w:color="000000" w:sz="6" w:space="0"/>
              <w:left w:val="single" w:color="000000" w:sz="6" w:space="0"/>
              <w:bottom w:val="single" w:color="000000" w:sz="6" w:space="0"/>
              <w:right w:val="single" w:color="000000" w:sz="6" w:space="0"/>
            </w:tcBorders>
            <w:vAlign w:val="center"/>
          </w:tcPr>
          <w:p w14:paraId="170FC307">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姓名</w:t>
            </w:r>
          </w:p>
        </w:tc>
        <w:tc>
          <w:tcPr>
            <w:tcW w:w="806" w:type="dxa"/>
            <w:tcBorders>
              <w:top w:val="single" w:color="000000" w:sz="6" w:space="0"/>
              <w:left w:val="single" w:color="000000" w:sz="6" w:space="0"/>
              <w:bottom w:val="single" w:color="000000" w:sz="6" w:space="0"/>
              <w:right w:val="single" w:color="000000" w:sz="6" w:space="0"/>
            </w:tcBorders>
            <w:vAlign w:val="center"/>
          </w:tcPr>
          <w:p w14:paraId="191B7025">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性别</w:t>
            </w:r>
          </w:p>
        </w:tc>
        <w:tc>
          <w:tcPr>
            <w:tcW w:w="787" w:type="dxa"/>
            <w:tcBorders>
              <w:top w:val="single" w:color="000000" w:sz="6" w:space="0"/>
              <w:left w:val="single" w:color="000000" w:sz="6" w:space="0"/>
              <w:bottom w:val="single" w:color="000000" w:sz="6" w:space="0"/>
              <w:right w:val="single" w:color="000000" w:sz="6" w:space="0"/>
            </w:tcBorders>
            <w:vAlign w:val="center"/>
          </w:tcPr>
          <w:p w14:paraId="411FC457">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年龄</w:t>
            </w:r>
          </w:p>
        </w:tc>
        <w:tc>
          <w:tcPr>
            <w:tcW w:w="1238" w:type="dxa"/>
            <w:tcBorders>
              <w:top w:val="single" w:color="000000" w:sz="6" w:space="0"/>
              <w:left w:val="single" w:color="000000" w:sz="6" w:space="0"/>
              <w:bottom w:val="single" w:color="000000" w:sz="6" w:space="0"/>
              <w:right w:val="single" w:color="000000" w:sz="6" w:space="0"/>
            </w:tcBorders>
            <w:vAlign w:val="center"/>
          </w:tcPr>
          <w:p w14:paraId="0B30255F">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技术职称</w:t>
            </w:r>
          </w:p>
        </w:tc>
        <w:tc>
          <w:tcPr>
            <w:tcW w:w="1744" w:type="dxa"/>
            <w:tcBorders>
              <w:top w:val="single" w:color="000000" w:sz="6" w:space="0"/>
              <w:left w:val="single" w:color="000000" w:sz="6" w:space="0"/>
              <w:bottom w:val="single" w:color="000000" w:sz="6" w:space="0"/>
              <w:right w:val="single" w:color="000000" w:sz="6" w:space="0"/>
            </w:tcBorders>
            <w:vAlign w:val="center"/>
          </w:tcPr>
          <w:p w14:paraId="4CBA6928">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本项目拟任职务</w:t>
            </w:r>
          </w:p>
        </w:tc>
        <w:tc>
          <w:tcPr>
            <w:tcW w:w="1706" w:type="dxa"/>
            <w:tcBorders>
              <w:top w:val="single" w:color="000000" w:sz="6" w:space="0"/>
              <w:left w:val="single" w:color="000000" w:sz="6" w:space="0"/>
              <w:bottom w:val="single" w:color="000000" w:sz="6" w:space="0"/>
              <w:right w:val="single" w:color="000000" w:sz="6" w:space="0"/>
            </w:tcBorders>
            <w:vAlign w:val="center"/>
          </w:tcPr>
          <w:p w14:paraId="42FACB5F">
            <w:pPr>
              <w:tabs>
                <w:tab w:val="left" w:pos="9298"/>
              </w:tabs>
              <w:jc w:val="center"/>
              <w:rPr>
                <w:rFonts w:hint="default" w:ascii="宋体" w:hAnsi="宋体" w:eastAsia="宋体" w:cs="宋体"/>
                <w:spacing w:val="1"/>
                <w:kern w:val="1"/>
                <w:szCs w:val="21"/>
                <w:highlight w:val="none"/>
                <w:lang w:val="en-US" w:eastAsia="zh-CN"/>
              </w:rPr>
            </w:pPr>
            <w:r>
              <w:rPr>
                <w:rFonts w:hint="eastAsia" w:ascii="宋体" w:hAnsi="宋体" w:cs="宋体"/>
                <w:spacing w:val="1"/>
                <w:kern w:val="1"/>
                <w:szCs w:val="21"/>
                <w:highlight w:val="none"/>
                <w:lang w:val="en-US" w:eastAsia="zh-CN"/>
              </w:rPr>
              <w:t>业绩经验</w:t>
            </w:r>
          </w:p>
        </w:tc>
        <w:tc>
          <w:tcPr>
            <w:tcW w:w="1519" w:type="dxa"/>
            <w:tcBorders>
              <w:top w:val="single" w:color="000000" w:sz="6" w:space="0"/>
              <w:left w:val="single" w:color="000000" w:sz="6" w:space="0"/>
              <w:bottom w:val="single" w:color="000000" w:sz="6" w:space="0"/>
              <w:right w:val="single" w:color="000000" w:sz="6" w:space="0"/>
            </w:tcBorders>
            <w:vAlign w:val="center"/>
          </w:tcPr>
          <w:p w14:paraId="6E7C3128">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备注</w:t>
            </w:r>
          </w:p>
        </w:tc>
      </w:tr>
      <w:tr w14:paraId="0E0A65E3">
        <w:tblPrEx>
          <w:tblCellMar>
            <w:top w:w="0" w:type="dxa"/>
            <w:left w:w="108" w:type="dxa"/>
            <w:bottom w:w="0" w:type="dxa"/>
            <w:right w:w="108" w:type="dxa"/>
          </w:tblCellMar>
        </w:tblPrEx>
        <w:trPr>
          <w:trHeight w:val="434" w:hRule="atLeast"/>
        </w:trPr>
        <w:tc>
          <w:tcPr>
            <w:tcW w:w="810" w:type="dxa"/>
            <w:tcBorders>
              <w:top w:val="single" w:color="000000" w:sz="6" w:space="0"/>
              <w:left w:val="single" w:color="000000" w:sz="6" w:space="0"/>
              <w:bottom w:val="single" w:color="000000" w:sz="6" w:space="0"/>
              <w:right w:val="single" w:color="000000" w:sz="6" w:space="0"/>
            </w:tcBorders>
            <w:vAlign w:val="center"/>
          </w:tcPr>
          <w:p w14:paraId="00690F60">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1</w:t>
            </w:r>
          </w:p>
        </w:tc>
        <w:tc>
          <w:tcPr>
            <w:tcW w:w="769" w:type="dxa"/>
            <w:tcBorders>
              <w:top w:val="single" w:color="000000" w:sz="6" w:space="0"/>
              <w:left w:val="single" w:color="000000" w:sz="6" w:space="0"/>
              <w:bottom w:val="single" w:color="000000" w:sz="6" w:space="0"/>
              <w:right w:val="single" w:color="000000" w:sz="6" w:space="0"/>
            </w:tcBorders>
            <w:vAlign w:val="center"/>
          </w:tcPr>
          <w:p w14:paraId="1A5A706A">
            <w:pPr>
              <w:tabs>
                <w:tab w:val="left" w:pos="9298"/>
              </w:tabs>
              <w:jc w:val="center"/>
              <w:rPr>
                <w:rFonts w:ascii="宋体" w:hAnsi="宋体" w:cs="宋体"/>
                <w:kern w:val="1"/>
                <w:szCs w:val="21"/>
                <w:highlight w:val="none"/>
              </w:rPr>
            </w:pPr>
          </w:p>
        </w:tc>
        <w:tc>
          <w:tcPr>
            <w:tcW w:w="806" w:type="dxa"/>
            <w:tcBorders>
              <w:top w:val="single" w:color="000000" w:sz="6" w:space="0"/>
              <w:left w:val="single" w:color="000000" w:sz="6" w:space="0"/>
              <w:bottom w:val="single" w:color="000000" w:sz="6" w:space="0"/>
              <w:right w:val="single" w:color="000000" w:sz="6" w:space="0"/>
            </w:tcBorders>
            <w:vAlign w:val="center"/>
          </w:tcPr>
          <w:p w14:paraId="42D61C01">
            <w:pPr>
              <w:tabs>
                <w:tab w:val="left" w:pos="9298"/>
              </w:tabs>
              <w:jc w:val="center"/>
              <w:rPr>
                <w:rFonts w:ascii="宋体" w:hAnsi="宋体" w:cs="宋体"/>
                <w:kern w:val="1"/>
                <w:szCs w:val="21"/>
                <w:highlight w:val="none"/>
              </w:rPr>
            </w:pPr>
          </w:p>
        </w:tc>
        <w:tc>
          <w:tcPr>
            <w:tcW w:w="787" w:type="dxa"/>
            <w:tcBorders>
              <w:top w:val="single" w:color="000000" w:sz="6" w:space="0"/>
              <w:left w:val="single" w:color="000000" w:sz="6" w:space="0"/>
              <w:bottom w:val="single" w:color="000000" w:sz="6" w:space="0"/>
              <w:right w:val="single" w:color="000000" w:sz="6" w:space="0"/>
            </w:tcBorders>
            <w:vAlign w:val="center"/>
          </w:tcPr>
          <w:p w14:paraId="0F8CC9C5">
            <w:pPr>
              <w:tabs>
                <w:tab w:val="left" w:pos="9298"/>
              </w:tabs>
              <w:jc w:val="center"/>
              <w:rPr>
                <w:rFonts w:ascii="宋体" w:hAnsi="宋体" w:cs="宋体"/>
                <w:kern w:val="1"/>
                <w:szCs w:val="21"/>
                <w:highlight w:val="none"/>
              </w:rPr>
            </w:pPr>
          </w:p>
        </w:tc>
        <w:tc>
          <w:tcPr>
            <w:tcW w:w="1238" w:type="dxa"/>
            <w:tcBorders>
              <w:top w:val="single" w:color="000000" w:sz="6" w:space="0"/>
              <w:left w:val="single" w:color="000000" w:sz="6" w:space="0"/>
              <w:bottom w:val="single" w:color="000000" w:sz="6" w:space="0"/>
              <w:right w:val="single" w:color="000000" w:sz="6" w:space="0"/>
            </w:tcBorders>
            <w:vAlign w:val="center"/>
          </w:tcPr>
          <w:p w14:paraId="1CAB772F">
            <w:pPr>
              <w:tabs>
                <w:tab w:val="left" w:pos="9298"/>
              </w:tabs>
              <w:jc w:val="center"/>
              <w:rPr>
                <w:rFonts w:ascii="宋体" w:hAnsi="宋体" w:cs="宋体"/>
                <w:kern w:val="1"/>
                <w:szCs w:val="21"/>
                <w:highlight w:val="none"/>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193C1619">
            <w:pPr>
              <w:tabs>
                <w:tab w:val="left" w:pos="9298"/>
              </w:tabs>
              <w:jc w:val="center"/>
              <w:rPr>
                <w:rFonts w:ascii="宋体" w:hAnsi="宋体" w:cs="宋体"/>
                <w:kern w:val="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vAlign w:val="center"/>
          </w:tcPr>
          <w:p w14:paraId="47D52575">
            <w:pPr>
              <w:tabs>
                <w:tab w:val="left" w:pos="9298"/>
              </w:tabs>
              <w:jc w:val="center"/>
              <w:rPr>
                <w:rFonts w:ascii="宋体" w:hAnsi="宋体" w:cs="宋体"/>
                <w:kern w:val="1"/>
                <w:szCs w:val="21"/>
                <w:highlight w:val="none"/>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6050AF12">
            <w:pPr>
              <w:tabs>
                <w:tab w:val="left" w:pos="9298"/>
              </w:tabs>
              <w:jc w:val="center"/>
              <w:rPr>
                <w:rFonts w:ascii="宋体" w:hAnsi="宋体" w:cs="宋体"/>
                <w:kern w:val="1"/>
                <w:szCs w:val="21"/>
                <w:highlight w:val="none"/>
              </w:rPr>
            </w:pPr>
          </w:p>
        </w:tc>
      </w:tr>
      <w:tr w14:paraId="6FF74484">
        <w:tblPrEx>
          <w:tblCellMar>
            <w:top w:w="0" w:type="dxa"/>
            <w:left w:w="108" w:type="dxa"/>
            <w:bottom w:w="0" w:type="dxa"/>
            <w:right w:w="108" w:type="dxa"/>
          </w:tblCellMar>
        </w:tblPrEx>
        <w:trPr>
          <w:trHeight w:val="453" w:hRule="atLeast"/>
        </w:trPr>
        <w:tc>
          <w:tcPr>
            <w:tcW w:w="810" w:type="dxa"/>
            <w:tcBorders>
              <w:top w:val="single" w:color="000000" w:sz="6" w:space="0"/>
              <w:left w:val="single" w:color="000000" w:sz="6" w:space="0"/>
              <w:bottom w:val="single" w:color="000000" w:sz="6" w:space="0"/>
              <w:right w:val="single" w:color="000000" w:sz="6" w:space="0"/>
            </w:tcBorders>
            <w:vAlign w:val="center"/>
          </w:tcPr>
          <w:p w14:paraId="0D240A85">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2</w:t>
            </w:r>
          </w:p>
        </w:tc>
        <w:tc>
          <w:tcPr>
            <w:tcW w:w="769" w:type="dxa"/>
            <w:tcBorders>
              <w:top w:val="single" w:color="000000" w:sz="6" w:space="0"/>
              <w:left w:val="single" w:color="000000" w:sz="6" w:space="0"/>
              <w:bottom w:val="single" w:color="000000" w:sz="6" w:space="0"/>
              <w:right w:val="single" w:color="000000" w:sz="6" w:space="0"/>
            </w:tcBorders>
            <w:vAlign w:val="center"/>
          </w:tcPr>
          <w:p w14:paraId="3B2D1454">
            <w:pPr>
              <w:tabs>
                <w:tab w:val="left" w:pos="9298"/>
              </w:tabs>
              <w:jc w:val="center"/>
              <w:rPr>
                <w:rFonts w:ascii="宋体" w:hAnsi="宋体" w:cs="宋体"/>
                <w:kern w:val="1"/>
                <w:szCs w:val="21"/>
                <w:highlight w:val="none"/>
              </w:rPr>
            </w:pPr>
          </w:p>
        </w:tc>
        <w:tc>
          <w:tcPr>
            <w:tcW w:w="806" w:type="dxa"/>
            <w:tcBorders>
              <w:top w:val="single" w:color="000000" w:sz="6" w:space="0"/>
              <w:left w:val="single" w:color="000000" w:sz="6" w:space="0"/>
              <w:bottom w:val="single" w:color="000000" w:sz="6" w:space="0"/>
              <w:right w:val="single" w:color="000000" w:sz="6" w:space="0"/>
            </w:tcBorders>
            <w:vAlign w:val="center"/>
          </w:tcPr>
          <w:p w14:paraId="0149DF74">
            <w:pPr>
              <w:tabs>
                <w:tab w:val="left" w:pos="9298"/>
              </w:tabs>
              <w:jc w:val="center"/>
              <w:rPr>
                <w:rFonts w:ascii="宋体" w:hAnsi="宋体" w:cs="宋体"/>
                <w:kern w:val="1"/>
                <w:szCs w:val="21"/>
                <w:highlight w:val="none"/>
              </w:rPr>
            </w:pPr>
          </w:p>
        </w:tc>
        <w:tc>
          <w:tcPr>
            <w:tcW w:w="787" w:type="dxa"/>
            <w:tcBorders>
              <w:top w:val="single" w:color="000000" w:sz="6" w:space="0"/>
              <w:left w:val="single" w:color="000000" w:sz="6" w:space="0"/>
              <w:bottom w:val="single" w:color="000000" w:sz="6" w:space="0"/>
              <w:right w:val="single" w:color="000000" w:sz="6" w:space="0"/>
            </w:tcBorders>
            <w:vAlign w:val="center"/>
          </w:tcPr>
          <w:p w14:paraId="45F0C9C7">
            <w:pPr>
              <w:tabs>
                <w:tab w:val="left" w:pos="9298"/>
              </w:tabs>
              <w:jc w:val="center"/>
              <w:rPr>
                <w:rFonts w:ascii="宋体" w:hAnsi="宋体" w:cs="宋体"/>
                <w:kern w:val="1"/>
                <w:szCs w:val="21"/>
                <w:highlight w:val="none"/>
              </w:rPr>
            </w:pPr>
          </w:p>
        </w:tc>
        <w:tc>
          <w:tcPr>
            <w:tcW w:w="1238" w:type="dxa"/>
            <w:tcBorders>
              <w:top w:val="single" w:color="000000" w:sz="6" w:space="0"/>
              <w:left w:val="single" w:color="000000" w:sz="6" w:space="0"/>
              <w:bottom w:val="single" w:color="000000" w:sz="6" w:space="0"/>
              <w:right w:val="single" w:color="000000" w:sz="6" w:space="0"/>
            </w:tcBorders>
            <w:vAlign w:val="center"/>
          </w:tcPr>
          <w:p w14:paraId="0BD4DEF3">
            <w:pPr>
              <w:tabs>
                <w:tab w:val="left" w:pos="9298"/>
              </w:tabs>
              <w:jc w:val="center"/>
              <w:rPr>
                <w:rFonts w:ascii="宋体" w:hAnsi="宋体" w:cs="宋体"/>
                <w:kern w:val="1"/>
                <w:szCs w:val="21"/>
                <w:highlight w:val="none"/>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4283E6BA">
            <w:pPr>
              <w:tabs>
                <w:tab w:val="left" w:pos="9298"/>
              </w:tabs>
              <w:jc w:val="center"/>
              <w:rPr>
                <w:rFonts w:ascii="宋体" w:hAnsi="宋体" w:cs="宋体"/>
                <w:kern w:val="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vAlign w:val="center"/>
          </w:tcPr>
          <w:p w14:paraId="6C4B043F">
            <w:pPr>
              <w:tabs>
                <w:tab w:val="left" w:pos="9298"/>
              </w:tabs>
              <w:jc w:val="center"/>
              <w:rPr>
                <w:rFonts w:ascii="宋体" w:hAnsi="宋体" w:cs="宋体"/>
                <w:kern w:val="1"/>
                <w:szCs w:val="21"/>
                <w:highlight w:val="none"/>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3A4CB563">
            <w:pPr>
              <w:tabs>
                <w:tab w:val="left" w:pos="9298"/>
              </w:tabs>
              <w:jc w:val="center"/>
              <w:rPr>
                <w:rFonts w:ascii="宋体" w:hAnsi="宋体" w:cs="宋体"/>
                <w:kern w:val="1"/>
                <w:szCs w:val="21"/>
                <w:highlight w:val="none"/>
              </w:rPr>
            </w:pPr>
          </w:p>
        </w:tc>
      </w:tr>
      <w:tr w14:paraId="76385C17">
        <w:tblPrEx>
          <w:tblCellMar>
            <w:top w:w="0" w:type="dxa"/>
            <w:left w:w="108" w:type="dxa"/>
            <w:bottom w:w="0" w:type="dxa"/>
            <w:right w:w="108" w:type="dxa"/>
          </w:tblCellMar>
        </w:tblPrEx>
        <w:trPr>
          <w:trHeight w:val="458" w:hRule="atLeast"/>
        </w:trPr>
        <w:tc>
          <w:tcPr>
            <w:tcW w:w="810" w:type="dxa"/>
            <w:tcBorders>
              <w:top w:val="single" w:color="000000" w:sz="6" w:space="0"/>
              <w:left w:val="single" w:color="000000" w:sz="6" w:space="0"/>
              <w:bottom w:val="single" w:color="000000" w:sz="6" w:space="0"/>
              <w:right w:val="single" w:color="000000" w:sz="6" w:space="0"/>
            </w:tcBorders>
            <w:vAlign w:val="center"/>
          </w:tcPr>
          <w:p w14:paraId="259BE1EF">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3</w:t>
            </w:r>
          </w:p>
        </w:tc>
        <w:tc>
          <w:tcPr>
            <w:tcW w:w="769" w:type="dxa"/>
            <w:tcBorders>
              <w:top w:val="single" w:color="000000" w:sz="6" w:space="0"/>
              <w:left w:val="single" w:color="000000" w:sz="6" w:space="0"/>
              <w:bottom w:val="single" w:color="000000" w:sz="6" w:space="0"/>
              <w:right w:val="single" w:color="000000" w:sz="6" w:space="0"/>
            </w:tcBorders>
            <w:vAlign w:val="center"/>
          </w:tcPr>
          <w:p w14:paraId="69C8A11E">
            <w:pPr>
              <w:tabs>
                <w:tab w:val="left" w:pos="9298"/>
              </w:tabs>
              <w:jc w:val="center"/>
              <w:rPr>
                <w:rFonts w:ascii="宋体" w:hAnsi="宋体" w:cs="宋体"/>
                <w:kern w:val="1"/>
                <w:szCs w:val="21"/>
                <w:highlight w:val="none"/>
              </w:rPr>
            </w:pPr>
          </w:p>
        </w:tc>
        <w:tc>
          <w:tcPr>
            <w:tcW w:w="806" w:type="dxa"/>
            <w:tcBorders>
              <w:top w:val="single" w:color="000000" w:sz="6" w:space="0"/>
              <w:left w:val="single" w:color="000000" w:sz="6" w:space="0"/>
              <w:bottom w:val="single" w:color="000000" w:sz="6" w:space="0"/>
              <w:right w:val="single" w:color="000000" w:sz="6" w:space="0"/>
            </w:tcBorders>
            <w:vAlign w:val="center"/>
          </w:tcPr>
          <w:p w14:paraId="34908D96">
            <w:pPr>
              <w:tabs>
                <w:tab w:val="left" w:pos="9298"/>
              </w:tabs>
              <w:jc w:val="center"/>
              <w:rPr>
                <w:rFonts w:ascii="宋体" w:hAnsi="宋体" w:cs="宋体"/>
                <w:kern w:val="1"/>
                <w:szCs w:val="21"/>
                <w:highlight w:val="none"/>
              </w:rPr>
            </w:pPr>
          </w:p>
        </w:tc>
        <w:tc>
          <w:tcPr>
            <w:tcW w:w="787" w:type="dxa"/>
            <w:tcBorders>
              <w:top w:val="single" w:color="000000" w:sz="6" w:space="0"/>
              <w:left w:val="single" w:color="000000" w:sz="6" w:space="0"/>
              <w:bottom w:val="single" w:color="000000" w:sz="6" w:space="0"/>
              <w:right w:val="single" w:color="000000" w:sz="6" w:space="0"/>
            </w:tcBorders>
            <w:vAlign w:val="center"/>
          </w:tcPr>
          <w:p w14:paraId="4914038D">
            <w:pPr>
              <w:tabs>
                <w:tab w:val="left" w:pos="9298"/>
              </w:tabs>
              <w:jc w:val="center"/>
              <w:rPr>
                <w:rFonts w:ascii="宋体" w:hAnsi="宋体" w:cs="宋体"/>
                <w:kern w:val="1"/>
                <w:szCs w:val="21"/>
                <w:highlight w:val="none"/>
              </w:rPr>
            </w:pPr>
          </w:p>
        </w:tc>
        <w:tc>
          <w:tcPr>
            <w:tcW w:w="1238" w:type="dxa"/>
            <w:tcBorders>
              <w:top w:val="single" w:color="000000" w:sz="6" w:space="0"/>
              <w:left w:val="single" w:color="000000" w:sz="6" w:space="0"/>
              <w:bottom w:val="single" w:color="000000" w:sz="6" w:space="0"/>
              <w:right w:val="single" w:color="000000" w:sz="6" w:space="0"/>
            </w:tcBorders>
            <w:vAlign w:val="center"/>
          </w:tcPr>
          <w:p w14:paraId="4A477BC8">
            <w:pPr>
              <w:tabs>
                <w:tab w:val="left" w:pos="9298"/>
              </w:tabs>
              <w:jc w:val="center"/>
              <w:rPr>
                <w:rFonts w:ascii="宋体" w:hAnsi="宋体" w:cs="宋体"/>
                <w:kern w:val="1"/>
                <w:szCs w:val="21"/>
                <w:highlight w:val="none"/>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3BF9FBCB">
            <w:pPr>
              <w:tabs>
                <w:tab w:val="left" w:pos="9298"/>
              </w:tabs>
              <w:jc w:val="center"/>
              <w:rPr>
                <w:rFonts w:ascii="宋体" w:hAnsi="宋体" w:cs="宋体"/>
                <w:kern w:val="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vAlign w:val="center"/>
          </w:tcPr>
          <w:p w14:paraId="30CB6DF8">
            <w:pPr>
              <w:tabs>
                <w:tab w:val="left" w:pos="9298"/>
              </w:tabs>
              <w:jc w:val="center"/>
              <w:rPr>
                <w:rFonts w:ascii="宋体" w:hAnsi="宋体" w:cs="宋体"/>
                <w:kern w:val="1"/>
                <w:szCs w:val="21"/>
                <w:highlight w:val="none"/>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3A79BEDB">
            <w:pPr>
              <w:tabs>
                <w:tab w:val="left" w:pos="9298"/>
              </w:tabs>
              <w:jc w:val="center"/>
              <w:rPr>
                <w:rFonts w:ascii="宋体" w:hAnsi="宋体" w:cs="宋体"/>
                <w:kern w:val="1"/>
                <w:szCs w:val="21"/>
                <w:highlight w:val="none"/>
              </w:rPr>
            </w:pPr>
          </w:p>
        </w:tc>
      </w:tr>
      <w:tr w14:paraId="0E1272CF">
        <w:tblPrEx>
          <w:tblCellMar>
            <w:top w:w="0" w:type="dxa"/>
            <w:left w:w="108" w:type="dxa"/>
            <w:bottom w:w="0" w:type="dxa"/>
            <w:right w:w="108" w:type="dxa"/>
          </w:tblCellMar>
        </w:tblPrEx>
        <w:trPr>
          <w:trHeight w:val="450" w:hRule="atLeast"/>
        </w:trPr>
        <w:tc>
          <w:tcPr>
            <w:tcW w:w="810" w:type="dxa"/>
            <w:tcBorders>
              <w:top w:val="single" w:color="000000" w:sz="6" w:space="0"/>
              <w:left w:val="single" w:color="000000" w:sz="6" w:space="0"/>
              <w:bottom w:val="single" w:color="000000" w:sz="6" w:space="0"/>
              <w:right w:val="single" w:color="000000" w:sz="6" w:space="0"/>
            </w:tcBorders>
            <w:vAlign w:val="center"/>
          </w:tcPr>
          <w:p w14:paraId="0619034E">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4</w:t>
            </w:r>
          </w:p>
        </w:tc>
        <w:tc>
          <w:tcPr>
            <w:tcW w:w="769" w:type="dxa"/>
            <w:tcBorders>
              <w:top w:val="single" w:color="000000" w:sz="6" w:space="0"/>
              <w:left w:val="single" w:color="000000" w:sz="6" w:space="0"/>
              <w:bottom w:val="single" w:color="000000" w:sz="6" w:space="0"/>
              <w:right w:val="single" w:color="000000" w:sz="6" w:space="0"/>
            </w:tcBorders>
            <w:vAlign w:val="center"/>
          </w:tcPr>
          <w:p w14:paraId="3BE9B2AF">
            <w:pPr>
              <w:tabs>
                <w:tab w:val="left" w:pos="9298"/>
              </w:tabs>
              <w:jc w:val="center"/>
              <w:rPr>
                <w:rFonts w:ascii="宋体" w:hAnsi="宋体" w:cs="宋体"/>
                <w:kern w:val="1"/>
                <w:szCs w:val="21"/>
                <w:highlight w:val="none"/>
              </w:rPr>
            </w:pPr>
          </w:p>
        </w:tc>
        <w:tc>
          <w:tcPr>
            <w:tcW w:w="806" w:type="dxa"/>
            <w:tcBorders>
              <w:top w:val="single" w:color="000000" w:sz="6" w:space="0"/>
              <w:left w:val="single" w:color="000000" w:sz="6" w:space="0"/>
              <w:bottom w:val="single" w:color="000000" w:sz="6" w:space="0"/>
              <w:right w:val="single" w:color="000000" w:sz="6" w:space="0"/>
            </w:tcBorders>
            <w:vAlign w:val="center"/>
          </w:tcPr>
          <w:p w14:paraId="7EB1754B">
            <w:pPr>
              <w:tabs>
                <w:tab w:val="left" w:pos="9298"/>
              </w:tabs>
              <w:jc w:val="center"/>
              <w:rPr>
                <w:rFonts w:ascii="宋体" w:hAnsi="宋体" w:cs="宋体"/>
                <w:kern w:val="1"/>
                <w:szCs w:val="21"/>
                <w:highlight w:val="none"/>
              </w:rPr>
            </w:pPr>
          </w:p>
        </w:tc>
        <w:tc>
          <w:tcPr>
            <w:tcW w:w="787" w:type="dxa"/>
            <w:tcBorders>
              <w:top w:val="single" w:color="000000" w:sz="6" w:space="0"/>
              <w:left w:val="single" w:color="000000" w:sz="6" w:space="0"/>
              <w:bottom w:val="single" w:color="000000" w:sz="6" w:space="0"/>
              <w:right w:val="single" w:color="000000" w:sz="6" w:space="0"/>
            </w:tcBorders>
            <w:vAlign w:val="center"/>
          </w:tcPr>
          <w:p w14:paraId="2144F862">
            <w:pPr>
              <w:tabs>
                <w:tab w:val="left" w:pos="9298"/>
              </w:tabs>
              <w:jc w:val="center"/>
              <w:rPr>
                <w:rFonts w:ascii="宋体" w:hAnsi="宋体" w:cs="宋体"/>
                <w:kern w:val="1"/>
                <w:szCs w:val="21"/>
                <w:highlight w:val="none"/>
              </w:rPr>
            </w:pPr>
          </w:p>
        </w:tc>
        <w:tc>
          <w:tcPr>
            <w:tcW w:w="1238" w:type="dxa"/>
            <w:tcBorders>
              <w:top w:val="single" w:color="000000" w:sz="6" w:space="0"/>
              <w:left w:val="single" w:color="000000" w:sz="6" w:space="0"/>
              <w:bottom w:val="single" w:color="000000" w:sz="6" w:space="0"/>
              <w:right w:val="single" w:color="000000" w:sz="6" w:space="0"/>
            </w:tcBorders>
            <w:vAlign w:val="center"/>
          </w:tcPr>
          <w:p w14:paraId="252D6C6D">
            <w:pPr>
              <w:tabs>
                <w:tab w:val="left" w:pos="9298"/>
              </w:tabs>
              <w:jc w:val="center"/>
              <w:rPr>
                <w:rFonts w:ascii="宋体" w:hAnsi="宋体" w:cs="宋体"/>
                <w:kern w:val="1"/>
                <w:szCs w:val="21"/>
                <w:highlight w:val="none"/>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092BAE49">
            <w:pPr>
              <w:tabs>
                <w:tab w:val="left" w:pos="9298"/>
              </w:tabs>
              <w:jc w:val="center"/>
              <w:rPr>
                <w:rFonts w:ascii="宋体" w:hAnsi="宋体" w:cs="宋体"/>
                <w:kern w:val="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vAlign w:val="center"/>
          </w:tcPr>
          <w:p w14:paraId="6CCDC14E">
            <w:pPr>
              <w:tabs>
                <w:tab w:val="left" w:pos="9298"/>
              </w:tabs>
              <w:jc w:val="center"/>
              <w:rPr>
                <w:rFonts w:ascii="宋体" w:hAnsi="宋体" w:cs="宋体"/>
                <w:kern w:val="1"/>
                <w:szCs w:val="21"/>
                <w:highlight w:val="none"/>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56334FB9">
            <w:pPr>
              <w:tabs>
                <w:tab w:val="left" w:pos="9298"/>
              </w:tabs>
              <w:jc w:val="center"/>
              <w:rPr>
                <w:rFonts w:ascii="宋体" w:hAnsi="宋体" w:cs="宋体"/>
                <w:kern w:val="1"/>
                <w:szCs w:val="21"/>
                <w:highlight w:val="none"/>
              </w:rPr>
            </w:pPr>
          </w:p>
        </w:tc>
      </w:tr>
      <w:tr w14:paraId="0296C24C">
        <w:tblPrEx>
          <w:tblCellMar>
            <w:top w:w="0" w:type="dxa"/>
            <w:left w:w="108" w:type="dxa"/>
            <w:bottom w:w="0" w:type="dxa"/>
            <w:right w:w="108" w:type="dxa"/>
          </w:tblCellMar>
        </w:tblPrEx>
        <w:trPr>
          <w:trHeight w:val="442" w:hRule="atLeast"/>
        </w:trPr>
        <w:tc>
          <w:tcPr>
            <w:tcW w:w="810" w:type="dxa"/>
            <w:tcBorders>
              <w:top w:val="single" w:color="000000" w:sz="6" w:space="0"/>
              <w:left w:val="single" w:color="000000" w:sz="6" w:space="0"/>
              <w:bottom w:val="single" w:color="000000" w:sz="6" w:space="0"/>
              <w:right w:val="single" w:color="000000" w:sz="6" w:space="0"/>
            </w:tcBorders>
            <w:vAlign w:val="center"/>
          </w:tcPr>
          <w:p w14:paraId="3F443F85">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5</w:t>
            </w:r>
          </w:p>
        </w:tc>
        <w:tc>
          <w:tcPr>
            <w:tcW w:w="769" w:type="dxa"/>
            <w:tcBorders>
              <w:top w:val="single" w:color="000000" w:sz="6" w:space="0"/>
              <w:left w:val="single" w:color="000000" w:sz="6" w:space="0"/>
              <w:bottom w:val="single" w:color="000000" w:sz="6" w:space="0"/>
              <w:right w:val="single" w:color="000000" w:sz="6" w:space="0"/>
            </w:tcBorders>
            <w:vAlign w:val="center"/>
          </w:tcPr>
          <w:p w14:paraId="66B812FF">
            <w:pPr>
              <w:tabs>
                <w:tab w:val="left" w:pos="9298"/>
              </w:tabs>
              <w:jc w:val="center"/>
              <w:rPr>
                <w:rFonts w:ascii="宋体" w:hAnsi="宋体" w:cs="宋体"/>
                <w:kern w:val="1"/>
                <w:szCs w:val="21"/>
                <w:highlight w:val="none"/>
              </w:rPr>
            </w:pPr>
          </w:p>
        </w:tc>
        <w:tc>
          <w:tcPr>
            <w:tcW w:w="806" w:type="dxa"/>
            <w:tcBorders>
              <w:top w:val="single" w:color="000000" w:sz="6" w:space="0"/>
              <w:left w:val="single" w:color="000000" w:sz="6" w:space="0"/>
              <w:bottom w:val="single" w:color="000000" w:sz="6" w:space="0"/>
              <w:right w:val="single" w:color="000000" w:sz="6" w:space="0"/>
            </w:tcBorders>
            <w:vAlign w:val="center"/>
          </w:tcPr>
          <w:p w14:paraId="09F58245">
            <w:pPr>
              <w:tabs>
                <w:tab w:val="left" w:pos="9298"/>
              </w:tabs>
              <w:jc w:val="center"/>
              <w:rPr>
                <w:rFonts w:ascii="宋体" w:hAnsi="宋体" w:cs="宋体"/>
                <w:kern w:val="1"/>
                <w:szCs w:val="21"/>
                <w:highlight w:val="none"/>
              </w:rPr>
            </w:pPr>
          </w:p>
        </w:tc>
        <w:tc>
          <w:tcPr>
            <w:tcW w:w="787" w:type="dxa"/>
            <w:tcBorders>
              <w:top w:val="single" w:color="000000" w:sz="6" w:space="0"/>
              <w:left w:val="single" w:color="000000" w:sz="6" w:space="0"/>
              <w:bottom w:val="single" w:color="000000" w:sz="6" w:space="0"/>
              <w:right w:val="single" w:color="000000" w:sz="6" w:space="0"/>
            </w:tcBorders>
            <w:vAlign w:val="center"/>
          </w:tcPr>
          <w:p w14:paraId="2CFB90D2">
            <w:pPr>
              <w:tabs>
                <w:tab w:val="left" w:pos="9298"/>
              </w:tabs>
              <w:jc w:val="center"/>
              <w:rPr>
                <w:rFonts w:ascii="宋体" w:hAnsi="宋体" w:cs="宋体"/>
                <w:kern w:val="1"/>
                <w:szCs w:val="21"/>
                <w:highlight w:val="none"/>
              </w:rPr>
            </w:pPr>
          </w:p>
        </w:tc>
        <w:tc>
          <w:tcPr>
            <w:tcW w:w="1238" w:type="dxa"/>
            <w:tcBorders>
              <w:top w:val="single" w:color="000000" w:sz="6" w:space="0"/>
              <w:left w:val="single" w:color="000000" w:sz="6" w:space="0"/>
              <w:bottom w:val="single" w:color="000000" w:sz="6" w:space="0"/>
              <w:right w:val="single" w:color="000000" w:sz="6" w:space="0"/>
            </w:tcBorders>
            <w:vAlign w:val="center"/>
          </w:tcPr>
          <w:p w14:paraId="1BC7282E">
            <w:pPr>
              <w:tabs>
                <w:tab w:val="left" w:pos="9298"/>
              </w:tabs>
              <w:jc w:val="center"/>
              <w:rPr>
                <w:rFonts w:ascii="宋体" w:hAnsi="宋体" w:cs="宋体"/>
                <w:kern w:val="1"/>
                <w:szCs w:val="21"/>
                <w:highlight w:val="none"/>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08F176E0">
            <w:pPr>
              <w:tabs>
                <w:tab w:val="left" w:pos="9298"/>
              </w:tabs>
              <w:jc w:val="center"/>
              <w:rPr>
                <w:rFonts w:ascii="宋体" w:hAnsi="宋体" w:cs="宋体"/>
                <w:kern w:val="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vAlign w:val="center"/>
          </w:tcPr>
          <w:p w14:paraId="61C2A4CF">
            <w:pPr>
              <w:tabs>
                <w:tab w:val="left" w:pos="9298"/>
              </w:tabs>
              <w:jc w:val="center"/>
              <w:rPr>
                <w:rFonts w:ascii="宋体" w:hAnsi="宋体" w:cs="宋体"/>
                <w:kern w:val="1"/>
                <w:szCs w:val="21"/>
                <w:highlight w:val="none"/>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489EB940">
            <w:pPr>
              <w:tabs>
                <w:tab w:val="left" w:pos="9298"/>
              </w:tabs>
              <w:jc w:val="center"/>
              <w:rPr>
                <w:rFonts w:ascii="宋体" w:hAnsi="宋体" w:cs="宋体"/>
                <w:kern w:val="1"/>
                <w:szCs w:val="21"/>
                <w:highlight w:val="none"/>
              </w:rPr>
            </w:pPr>
          </w:p>
        </w:tc>
      </w:tr>
      <w:tr w14:paraId="3795D788">
        <w:tblPrEx>
          <w:tblCellMar>
            <w:top w:w="0" w:type="dxa"/>
            <w:left w:w="108" w:type="dxa"/>
            <w:bottom w:w="0" w:type="dxa"/>
            <w:right w:w="108" w:type="dxa"/>
          </w:tblCellMar>
        </w:tblPrEx>
        <w:trPr>
          <w:trHeight w:val="462" w:hRule="atLeast"/>
        </w:trPr>
        <w:tc>
          <w:tcPr>
            <w:tcW w:w="810" w:type="dxa"/>
            <w:tcBorders>
              <w:top w:val="single" w:color="000000" w:sz="6" w:space="0"/>
              <w:left w:val="single" w:color="000000" w:sz="6" w:space="0"/>
              <w:bottom w:val="single" w:color="000000" w:sz="6" w:space="0"/>
              <w:right w:val="single" w:color="000000" w:sz="6" w:space="0"/>
            </w:tcBorders>
            <w:vAlign w:val="center"/>
          </w:tcPr>
          <w:p w14:paraId="1AE5D77E">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6</w:t>
            </w:r>
          </w:p>
        </w:tc>
        <w:tc>
          <w:tcPr>
            <w:tcW w:w="769" w:type="dxa"/>
            <w:tcBorders>
              <w:top w:val="single" w:color="000000" w:sz="6" w:space="0"/>
              <w:left w:val="single" w:color="000000" w:sz="6" w:space="0"/>
              <w:bottom w:val="single" w:color="000000" w:sz="6" w:space="0"/>
              <w:right w:val="single" w:color="000000" w:sz="6" w:space="0"/>
            </w:tcBorders>
            <w:vAlign w:val="center"/>
          </w:tcPr>
          <w:p w14:paraId="0B69C909">
            <w:pPr>
              <w:tabs>
                <w:tab w:val="left" w:pos="9298"/>
              </w:tabs>
              <w:jc w:val="center"/>
              <w:rPr>
                <w:rFonts w:ascii="宋体" w:hAnsi="宋体" w:cs="宋体"/>
                <w:kern w:val="1"/>
                <w:szCs w:val="21"/>
                <w:highlight w:val="none"/>
              </w:rPr>
            </w:pPr>
          </w:p>
        </w:tc>
        <w:tc>
          <w:tcPr>
            <w:tcW w:w="806" w:type="dxa"/>
            <w:tcBorders>
              <w:top w:val="single" w:color="000000" w:sz="6" w:space="0"/>
              <w:left w:val="single" w:color="000000" w:sz="6" w:space="0"/>
              <w:bottom w:val="single" w:color="000000" w:sz="6" w:space="0"/>
              <w:right w:val="single" w:color="000000" w:sz="6" w:space="0"/>
            </w:tcBorders>
            <w:vAlign w:val="center"/>
          </w:tcPr>
          <w:p w14:paraId="09A3CBF1">
            <w:pPr>
              <w:tabs>
                <w:tab w:val="left" w:pos="9298"/>
              </w:tabs>
              <w:jc w:val="center"/>
              <w:rPr>
                <w:rFonts w:ascii="宋体" w:hAnsi="宋体" w:cs="宋体"/>
                <w:kern w:val="1"/>
                <w:szCs w:val="21"/>
                <w:highlight w:val="none"/>
              </w:rPr>
            </w:pPr>
          </w:p>
        </w:tc>
        <w:tc>
          <w:tcPr>
            <w:tcW w:w="787" w:type="dxa"/>
            <w:tcBorders>
              <w:top w:val="single" w:color="000000" w:sz="6" w:space="0"/>
              <w:left w:val="single" w:color="000000" w:sz="6" w:space="0"/>
              <w:bottom w:val="single" w:color="000000" w:sz="6" w:space="0"/>
              <w:right w:val="single" w:color="000000" w:sz="6" w:space="0"/>
            </w:tcBorders>
            <w:vAlign w:val="center"/>
          </w:tcPr>
          <w:p w14:paraId="47C834B4">
            <w:pPr>
              <w:tabs>
                <w:tab w:val="left" w:pos="9298"/>
              </w:tabs>
              <w:jc w:val="center"/>
              <w:rPr>
                <w:rFonts w:ascii="宋体" w:hAnsi="宋体" w:cs="宋体"/>
                <w:kern w:val="1"/>
                <w:szCs w:val="21"/>
                <w:highlight w:val="none"/>
              </w:rPr>
            </w:pPr>
          </w:p>
        </w:tc>
        <w:tc>
          <w:tcPr>
            <w:tcW w:w="1238" w:type="dxa"/>
            <w:tcBorders>
              <w:top w:val="single" w:color="000000" w:sz="6" w:space="0"/>
              <w:left w:val="single" w:color="000000" w:sz="6" w:space="0"/>
              <w:bottom w:val="single" w:color="000000" w:sz="6" w:space="0"/>
              <w:right w:val="single" w:color="000000" w:sz="6" w:space="0"/>
            </w:tcBorders>
            <w:vAlign w:val="center"/>
          </w:tcPr>
          <w:p w14:paraId="184E641C">
            <w:pPr>
              <w:tabs>
                <w:tab w:val="left" w:pos="9298"/>
              </w:tabs>
              <w:jc w:val="center"/>
              <w:rPr>
                <w:rFonts w:ascii="宋体" w:hAnsi="宋体" w:cs="宋体"/>
                <w:kern w:val="1"/>
                <w:szCs w:val="21"/>
                <w:highlight w:val="none"/>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2D4C71F8">
            <w:pPr>
              <w:tabs>
                <w:tab w:val="left" w:pos="9298"/>
              </w:tabs>
              <w:jc w:val="center"/>
              <w:rPr>
                <w:rFonts w:ascii="宋体" w:hAnsi="宋体" w:cs="宋体"/>
                <w:kern w:val="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vAlign w:val="center"/>
          </w:tcPr>
          <w:p w14:paraId="5E3D76B2">
            <w:pPr>
              <w:tabs>
                <w:tab w:val="left" w:pos="9298"/>
              </w:tabs>
              <w:jc w:val="center"/>
              <w:rPr>
                <w:rFonts w:ascii="宋体" w:hAnsi="宋体" w:cs="宋体"/>
                <w:kern w:val="1"/>
                <w:szCs w:val="21"/>
                <w:highlight w:val="none"/>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4C1B1821">
            <w:pPr>
              <w:tabs>
                <w:tab w:val="left" w:pos="9298"/>
              </w:tabs>
              <w:jc w:val="center"/>
              <w:rPr>
                <w:rFonts w:ascii="宋体" w:hAnsi="宋体" w:cs="宋体"/>
                <w:kern w:val="1"/>
                <w:szCs w:val="21"/>
                <w:highlight w:val="none"/>
              </w:rPr>
            </w:pPr>
          </w:p>
        </w:tc>
      </w:tr>
      <w:tr w14:paraId="7A92075C">
        <w:tblPrEx>
          <w:tblCellMar>
            <w:top w:w="0" w:type="dxa"/>
            <w:left w:w="108" w:type="dxa"/>
            <w:bottom w:w="0" w:type="dxa"/>
            <w:right w:w="108" w:type="dxa"/>
          </w:tblCellMar>
        </w:tblPrEx>
        <w:trPr>
          <w:trHeight w:val="454" w:hRule="atLeast"/>
        </w:trPr>
        <w:tc>
          <w:tcPr>
            <w:tcW w:w="810" w:type="dxa"/>
            <w:tcBorders>
              <w:top w:val="single" w:color="000000" w:sz="6" w:space="0"/>
              <w:left w:val="single" w:color="000000" w:sz="6" w:space="0"/>
              <w:bottom w:val="single" w:color="000000" w:sz="6" w:space="0"/>
              <w:right w:val="single" w:color="000000" w:sz="6" w:space="0"/>
            </w:tcBorders>
            <w:vAlign w:val="center"/>
          </w:tcPr>
          <w:p w14:paraId="49F57FDC">
            <w:pPr>
              <w:tabs>
                <w:tab w:val="left" w:pos="9298"/>
              </w:tabs>
              <w:jc w:val="center"/>
              <w:rPr>
                <w:rFonts w:ascii="宋体" w:hAnsi="宋体" w:cs="宋体"/>
                <w:kern w:val="1"/>
                <w:szCs w:val="21"/>
                <w:highlight w:val="none"/>
              </w:rPr>
            </w:pPr>
            <w:r>
              <w:rPr>
                <w:rFonts w:hint="eastAsia" w:ascii="宋体" w:hAnsi="宋体" w:cs="宋体"/>
                <w:kern w:val="1"/>
                <w:szCs w:val="21"/>
                <w:highlight w:val="none"/>
              </w:rPr>
              <w:t>...</w:t>
            </w:r>
          </w:p>
        </w:tc>
        <w:tc>
          <w:tcPr>
            <w:tcW w:w="769" w:type="dxa"/>
            <w:tcBorders>
              <w:top w:val="single" w:color="000000" w:sz="6" w:space="0"/>
              <w:left w:val="single" w:color="000000" w:sz="6" w:space="0"/>
              <w:bottom w:val="single" w:color="000000" w:sz="6" w:space="0"/>
              <w:right w:val="single" w:color="000000" w:sz="6" w:space="0"/>
            </w:tcBorders>
            <w:vAlign w:val="center"/>
          </w:tcPr>
          <w:p w14:paraId="377F2345">
            <w:pPr>
              <w:tabs>
                <w:tab w:val="left" w:pos="9298"/>
              </w:tabs>
              <w:jc w:val="center"/>
              <w:rPr>
                <w:rFonts w:ascii="宋体" w:hAnsi="宋体" w:cs="宋体"/>
                <w:kern w:val="1"/>
                <w:szCs w:val="21"/>
                <w:highlight w:val="none"/>
              </w:rPr>
            </w:pPr>
          </w:p>
        </w:tc>
        <w:tc>
          <w:tcPr>
            <w:tcW w:w="806" w:type="dxa"/>
            <w:tcBorders>
              <w:top w:val="single" w:color="000000" w:sz="6" w:space="0"/>
              <w:left w:val="single" w:color="000000" w:sz="6" w:space="0"/>
              <w:bottom w:val="single" w:color="000000" w:sz="6" w:space="0"/>
              <w:right w:val="single" w:color="000000" w:sz="6" w:space="0"/>
            </w:tcBorders>
            <w:vAlign w:val="center"/>
          </w:tcPr>
          <w:p w14:paraId="51C3CB1D">
            <w:pPr>
              <w:tabs>
                <w:tab w:val="left" w:pos="9298"/>
              </w:tabs>
              <w:jc w:val="center"/>
              <w:rPr>
                <w:rFonts w:ascii="宋体" w:hAnsi="宋体" w:cs="宋体"/>
                <w:kern w:val="1"/>
                <w:szCs w:val="21"/>
                <w:highlight w:val="none"/>
              </w:rPr>
            </w:pPr>
          </w:p>
        </w:tc>
        <w:tc>
          <w:tcPr>
            <w:tcW w:w="787" w:type="dxa"/>
            <w:tcBorders>
              <w:top w:val="single" w:color="000000" w:sz="6" w:space="0"/>
              <w:left w:val="single" w:color="000000" w:sz="6" w:space="0"/>
              <w:bottom w:val="single" w:color="000000" w:sz="6" w:space="0"/>
              <w:right w:val="single" w:color="000000" w:sz="6" w:space="0"/>
            </w:tcBorders>
            <w:vAlign w:val="center"/>
          </w:tcPr>
          <w:p w14:paraId="1A4F4D75">
            <w:pPr>
              <w:tabs>
                <w:tab w:val="left" w:pos="9298"/>
              </w:tabs>
              <w:jc w:val="center"/>
              <w:rPr>
                <w:rFonts w:ascii="宋体" w:hAnsi="宋体" w:cs="宋体"/>
                <w:kern w:val="1"/>
                <w:szCs w:val="21"/>
                <w:highlight w:val="none"/>
              </w:rPr>
            </w:pPr>
          </w:p>
        </w:tc>
        <w:tc>
          <w:tcPr>
            <w:tcW w:w="1238" w:type="dxa"/>
            <w:tcBorders>
              <w:top w:val="single" w:color="000000" w:sz="6" w:space="0"/>
              <w:left w:val="single" w:color="000000" w:sz="6" w:space="0"/>
              <w:bottom w:val="single" w:color="000000" w:sz="6" w:space="0"/>
              <w:right w:val="single" w:color="000000" w:sz="6" w:space="0"/>
            </w:tcBorders>
            <w:vAlign w:val="center"/>
          </w:tcPr>
          <w:p w14:paraId="7E62C8C8">
            <w:pPr>
              <w:tabs>
                <w:tab w:val="left" w:pos="9298"/>
              </w:tabs>
              <w:jc w:val="center"/>
              <w:rPr>
                <w:rFonts w:ascii="宋体" w:hAnsi="宋体" w:cs="宋体"/>
                <w:kern w:val="1"/>
                <w:szCs w:val="21"/>
                <w:highlight w:val="none"/>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67B1ED65">
            <w:pPr>
              <w:tabs>
                <w:tab w:val="left" w:pos="9298"/>
              </w:tabs>
              <w:jc w:val="center"/>
              <w:rPr>
                <w:rFonts w:ascii="宋体" w:hAnsi="宋体" w:cs="宋体"/>
                <w:kern w:val="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vAlign w:val="center"/>
          </w:tcPr>
          <w:p w14:paraId="1F680CFE">
            <w:pPr>
              <w:tabs>
                <w:tab w:val="left" w:pos="9298"/>
              </w:tabs>
              <w:jc w:val="center"/>
              <w:rPr>
                <w:rFonts w:ascii="宋体" w:hAnsi="宋体" w:cs="宋体"/>
                <w:kern w:val="1"/>
                <w:szCs w:val="21"/>
                <w:highlight w:val="none"/>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72037EBD">
            <w:pPr>
              <w:tabs>
                <w:tab w:val="left" w:pos="9298"/>
              </w:tabs>
              <w:jc w:val="center"/>
              <w:rPr>
                <w:rFonts w:ascii="宋体" w:hAnsi="宋体" w:cs="宋体"/>
                <w:kern w:val="1"/>
                <w:szCs w:val="21"/>
                <w:highlight w:val="none"/>
              </w:rPr>
            </w:pPr>
          </w:p>
        </w:tc>
      </w:tr>
    </w:tbl>
    <w:p w14:paraId="53E401BE">
      <w:pPr>
        <w:rPr>
          <w:rFonts w:hint="eastAsia" w:ascii="宋体" w:hAnsi="宋体" w:cs="宋体"/>
          <w:b w:val="0"/>
          <w:bCs/>
          <w:kern w:val="1"/>
          <w:szCs w:val="21"/>
          <w:highlight w:val="none"/>
          <w:lang w:val="zh-CN"/>
        </w:rPr>
      </w:pPr>
      <w:r>
        <w:rPr>
          <w:rFonts w:hint="eastAsia" w:ascii="宋体" w:hAnsi="宋体" w:cs="宋体"/>
          <w:bCs/>
          <w:kern w:val="1"/>
          <w:szCs w:val="21"/>
          <w:highlight w:val="none"/>
          <w:lang w:val="zh-CN"/>
        </w:rPr>
        <w:t>注：</w:t>
      </w:r>
      <w:r>
        <w:rPr>
          <w:rFonts w:hint="eastAsia" w:ascii="宋体" w:hAnsi="宋体" w:cs="宋体"/>
          <w:b w:val="0"/>
          <w:bCs/>
          <w:kern w:val="1"/>
          <w:szCs w:val="21"/>
          <w:highlight w:val="none"/>
          <w:lang w:val="en-US" w:eastAsia="zh-CN"/>
        </w:rPr>
        <w:t>1、</w:t>
      </w:r>
      <w:r>
        <w:rPr>
          <w:rFonts w:hint="eastAsia" w:ascii="宋体" w:hAnsi="宋体" w:cs="宋体"/>
          <w:b w:val="0"/>
          <w:bCs/>
          <w:kern w:val="1"/>
          <w:szCs w:val="21"/>
          <w:highlight w:val="none"/>
          <w:lang w:val="zh-CN"/>
        </w:rPr>
        <w:t>本表根据招标文件要求结合</w:t>
      </w:r>
      <w:r>
        <w:rPr>
          <w:rFonts w:hint="eastAsia" w:ascii="宋体" w:hAnsi="宋体" w:cs="宋体"/>
          <w:b w:val="0"/>
          <w:bCs/>
          <w:kern w:val="1"/>
          <w:szCs w:val="21"/>
          <w:highlight w:val="none"/>
          <w:u w:val="none"/>
          <w:lang w:val="zh-CN"/>
        </w:rPr>
        <w:t>投标人的自身实际填写，一旦中标，要求全部到位，否则严格按照合同条款执</w:t>
      </w:r>
      <w:r>
        <w:rPr>
          <w:rFonts w:hint="eastAsia" w:ascii="宋体" w:hAnsi="宋体" w:cs="宋体"/>
          <w:b w:val="0"/>
          <w:bCs/>
          <w:kern w:val="1"/>
          <w:szCs w:val="21"/>
          <w:highlight w:val="none"/>
          <w:lang w:val="zh-CN"/>
        </w:rPr>
        <w:t>行。</w:t>
      </w:r>
    </w:p>
    <w:p w14:paraId="478C8A26">
      <w:pPr>
        <w:ind w:firstLine="400" w:firstLineChars="200"/>
        <w:rPr>
          <w:rFonts w:hint="eastAsia" w:ascii="宋体" w:hAnsi="宋体" w:cs="宋体"/>
          <w:b w:val="0"/>
          <w:bCs/>
          <w:kern w:val="1"/>
          <w:szCs w:val="21"/>
          <w:highlight w:val="none"/>
          <w:lang w:val="zh-CN"/>
        </w:rPr>
      </w:pPr>
      <w:r>
        <w:rPr>
          <w:rFonts w:hint="eastAsia" w:ascii="宋体" w:hAnsi="宋体" w:eastAsia="宋体" w:cs="宋体"/>
          <w:b w:val="0"/>
          <w:bCs/>
          <w:kern w:val="0"/>
          <w:sz w:val="20"/>
          <w:szCs w:val="21"/>
          <w:highlight w:val="none"/>
        </w:rPr>
        <w:t>2、须提供投标截止时间近</w:t>
      </w:r>
      <w:r>
        <w:rPr>
          <w:rFonts w:ascii="宋体" w:hAnsi="宋体" w:eastAsia="宋体" w:cs="宋体"/>
          <w:b w:val="0"/>
          <w:bCs/>
          <w:kern w:val="0"/>
          <w:sz w:val="20"/>
          <w:szCs w:val="21"/>
          <w:highlight w:val="none"/>
        </w:rPr>
        <w:t>1</w:t>
      </w:r>
      <w:r>
        <w:rPr>
          <w:rFonts w:hint="eastAsia" w:ascii="宋体" w:hAnsi="宋体" w:eastAsia="宋体" w:cs="宋体"/>
          <w:b w:val="0"/>
          <w:bCs/>
          <w:kern w:val="0"/>
          <w:sz w:val="20"/>
          <w:szCs w:val="21"/>
          <w:highlight w:val="none"/>
        </w:rPr>
        <w:t>个月（</w:t>
      </w:r>
      <w:r>
        <w:rPr>
          <w:rFonts w:ascii="宋体" w:hAnsi="宋体" w:eastAsia="宋体" w:cs="宋体"/>
          <w:b w:val="0"/>
          <w:bCs/>
          <w:kern w:val="0"/>
          <w:sz w:val="20"/>
          <w:szCs w:val="21"/>
          <w:highlight w:val="none"/>
        </w:rPr>
        <w:t>2025</w:t>
      </w:r>
      <w:r>
        <w:rPr>
          <w:rFonts w:hint="eastAsia" w:ascii="宋体" w:hAnsi="宋体" w:eastAsia="宋体" w:cs="宋体"/>
          <w:b w:val="0"/>
          <w:bCs/>
          <w:kern w:val="0"/>
          <w:sz w:val="20"/>
          <w:szCs w:val="21"/>
          <w:highlight w:val="none"/>
        </w:rPr>
        <w:t>年</w:t>
      </w:r>
      <w:r>
        <w:rPr>
          <w:rFonts w:hint="eastAsia" w:ascii="宋体" w:hAnsi="宋体" w:cs="宋体"/>
          <w:b w:val="0"/>
          <w:bCs/>
          <w:kern w:val="0"/>
          <w:sz w:val="20"/>
          <w:szCs w:val="21"/>
          <w:highlight w:val="none"/>
          <w:lang w:val="en-US" w:eastAsia="zh-CN"/>
        </w:rPr>
        <w:t>8</w:t>
      </w:r>
      <w:r>
        <w:rPr>
          <w:rFonts w:hint="eastAsia" w:ascii="宋体" w:hAnsi="宋体" w:eastAsia="宋体" w:cs="宋体"/>
          <w:b w:val="0"/>
          <w:bCs/>
          <w:kern w:val="0"/>
          <w:sz w:val="20"/>
          <w:szCs w:val="21"/>
          <w:highlight w:val="none"/>
        </w:rPr>
        <w:t>月）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eastAsia="宋体" w:cs="宋体"/>
          <w:b w:val="0"/>
          <w:bCs/>
          <w:kern w:val="0"/>
          <w:sz w:val="20"/>
          <w:szCs w:val="21"/>
          <w:highlight w:val="none"/>
          <w:lang w:val="zh-CN"/>
        </w:rPr>
        <w:t>。</w:t>
      </w:r>
    </w:p>
    <w:p w14:paraId="527F120B">
      <w:pPr>
        <w:rPr>
          <w:rFonts w:ascii="宋体" w:hAnsi="宋体" w:cs="宋体"/>
          <w:bCs/>
          <w:kern w:val="1"/>
          <w:szCs w:val="21"/>
          <w:highlight w:val="none"/>
          <w:lang w:val="zh-CN"/>
        </w:rPr>
      </w:pPr>
    </w:p>
    <w:p w14:paraId="45F3020F">
      <w:pPr>
        <w:tabs>
          <w:tab w:val="left" w:pos="7655"/>
        </w:tabs>
        <w:spacing w:line="360" w:lineRule="auto"/>
        <w:ind w:firstLine="1656" w:firstLineChars="600"/>
        <w:jc w:val="left"/>
        <w:rPr>
          <w:rFonts w:ascii="宋体" w:hAnsi="宋体" w:cs="宋体"/>
          <w:spacing w:val="18"/>
          <w:kern w:val="1"/>
          <w:sz w:val="24"/>
          <w:highlight w:val="none"/>
          <w:lang w:val="zh-CN"/>
        </w:rPr>
      </w:pPr>
    </w:p>
    <w:p w14:paraId="00107D35">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404A2CD6">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14:paraId="0EF951D1">
      <w:pPr>
        <w:pStyle w:val="15"/>
        <w:ind w:firstLine="0"/>
        <w:rPr>
          <w:rFonts w:ascii="宋体" w:hAnsi="宋体" w:cs="宋体"/>
          <w:szCs w:val="21"/>
          <w:highlight w:val="none"/>
        </w:rPr>
      </w:pPr>
    </w:p>
    <w:p w14:paraId="422A13F1">
      <w:pPr>
        <w:pStyle w:val="15"/>
        <w:ind w:firstLine="0"/>
        <w:rPr>
          <w:rFonts w:ascii="宋体" w:hAnsi="宋体" w:cs="宋体"/>
          <w:szCs w:val="21"/>
          <w:highlight w:val="none"/>
        </w:rPr>
      </w:pPr>
    </w:p>
    <w:p w14:paraId="30E90356">
      <w:pPr>
        <w:pStyle w:val="165"/>
        <w:ind w:firstLine="400"/>
        <w:rPr>
          <w:rFonts w:ascii="宋体" w:hAnsi="宋体" w:cs="宋体"/>
          <w:highlight w:val="none"/>
        </w:rPr>
      </w:pPr>
    </w:p>
    <w:p w14:paraId="0007D4C2">
      <w:pPr>
        <w:spacing w:line="360" w:lineRule="auto"/>
        <w:jc w:val="center"/>
        <w:rPr>
          <w:rFonts w:ascii="宋体" w:hAnsi="宋体" w:cs="宋体"/>
          <w:b/>
          <w:bCs/>
          <w:kern w:val="1"/>
          <w:sz w:val="32"/>
          <w:szCs w:val="32"/>
          <w:highlight w:val="none"/>
          <w:lang w:val="zh-CN"/>
        </w:rPr>
      </w:pPr>
      <w:r>
        <w:rPr>
          <w:rFonts w:hint="eastAsia" w:ascii="宋体" w:hAnsi="宋体" w:cs="宋体"/>
          <w:b/>
          <w:kern w:val="1"/>
          <w:sz w:val="24"/>
          <w:highlight w:val="none"/>
        </w:rPr>
        <w:br w:type="page"/>
      </w:r>
      <w:bookmarkStart w:id="581" w:name="_Toc25991"/>
      <w:bookmarkStart w:id="582" w:name="_Toc29329"/>
      <w:bookmarkStart w:id="583" w:name="_Hlk116425372"/>
    </w:p>
    <w:bookmarkEnd w:id="581"/>
    <w:bookmarkEnd w:id="582"/>
    <w:p w14:paraId="48D3F55B">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主要技术人员简历表</w:t>
      </w:r>
    </w:p>
    <w:bookmarkEnd w:id="583"/>
    <w:tbl>
      <w:tblPr>
        <w:tblStyle w:val="4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7"/>
        <w:gridCol w:w="1442"/>
        <w:gridCol w:w="16"/>
        <w:gridCol w:w="547"/>
        <w:gridCol w:w="955"/>
        <w:gridCol w:w="111"/>
        <w:gridCol w:w="1408"/>
        <w:gridCol w:w="625"/>
        <w:gridCol w:w="702"/>
        <w:gridCol w:w="191"/>
        <w:gridCol w:w="383"/>
        <w:gridCol w:w="1140"/>
      </w:tblGrid>
      <w:tr w14:paraId="0D85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96" w:type="dxa"/>
            <w:gridSpan w:val="2"/>
            <w:tcBorders>
              <w:top w:val="single" w:color="auto" w:sz="4" w:space="0"/>
              <w:left w:val="single" w:color="auto" w:sz="4" w:space="0"/>
              <w:bottom w:val="single" w:color="auto" w:sz="4" w:space="0"/>
              <w:right w:val="single" w:color="auto" w:sz="4" w:space="0"/>
            </w:tcBorders>
            <w:vAlign w:val="center"/>
          </w:tcPr>
          <w:p w14:paraId="700E92B9">
            <w:pPr>
              <w:spacing w:line="360" w:lineRule="auto"/>
              <w:jc w:val="center"/>
              <w:rPr>
                <w:rFonts w:ascii="宋体" w:hAnsi="宋体"/>
                <w:szCs w:val="21"/>
                <w:highlight w:val="none"/>
              </w:rPr>
            </w:pPr>
            <w:r>
              <w:rPr>
                <w:rFonts w:hint="eastAsia" w:ascii="宋体" w:hAnsi="宋体"/>
                <w:szCs w:val="21"/>
                <w:highlight w:val="none"/>
              </w:rPr>
              <w:t>姓名</w:t>
            </w:r>
          </w:p>
        </w:tc>
        <w:tc>
          <w:tcPr>
            <w:tcW w:w="2005" w:type="dxa"/>
            <w:gridSpan w:val="3"/>
            <w:tcBorders>
              <w:top w:val="single" w:color="auto" w:sz="4" w:space="0"/>
              <w:left w:val="nil"/>
              <w:bottom w:val="single" w:color="auto" w:sz="4" w:space="0"/>
              <w:right w:val="single" w:color="auto" w:sz="4" w:space="0"/>
            </w:tcBorders>
            <w:vAlign w:val="center"/>
          </w:tcPr>
          <w:p w14:paraId="2CDCB0B1">
            <w:pPr>
              <w:topLinePunct/>
              <w:adjustRightInd w:val="0"/>
              <w:snapToGrid w:val="0"/>
              <w:spacing w:line="360" w:lineRule="auto"/>
              <w:jc w:val="center"/>
              <w:rPr>
                <w:rFonts w:ascii="宋体" w:hAnsi="宋体"/>
                <w:spacing w:val="4"/>
                <w:szCs w:val="21"/>
                <w:highlight w:val="none"/>
              </w:rPr>
            </w:pPr>
          </w:p>
        </w:tc>
        <w:tc>
          <w:tcPr>
            <w:tcW w:w="1066" w:type="dxa"/>
            <w:gridSpan w:val="2"/>
            <w:tcBorders>
              <w:top w:val="single" w:color="auto" w:sz="4" w:space="0"/>
              <w:left w:val="nil"/>
              <w:bottom w:val="single" w:color="auto" w:sz="4" w:space="0"/>
              <w:right w:val="single" w:color="auto" w:sz="4" w:space="0"/>
            </w:tcBorders>
            <w:vAlign w:val="center"/>
          </w:tcPr>
          <w:p w14:paraId="487585BC">
            <w:pPr>
              <w:spacing w:line="360" w:lineRule="auto"/>
              <w:jc w:val="center"/>
              <w:rPr>
                <w:rFonts w:ascii="宋体" w:hAnsi="宋体"/>
                <w:szCs w:val="21"/>
                <w:highlight w:val="none"/>
              </w:rPr>
            </w:pPr>
            <w:r>
              <w:rPr>
                <w:rFonts w:hint="eastAsia" w:ascii="宋体" w:hAnsi="宋体"/>
                <w:szCs w:val="21"/>
                <w:highlight w:val="none"/>
              </w:rPr>
              <w:t>性别</w:t>
            </w:r>
          </w:p>
        </w:tc>
        <w:tc>
          <w:tcPr>
            <w:tcW w:w="2033" w:type="dxa"/>
            <w:gridSpan w:val="2"/>
            <w:tcBorders>
              <w:top w:val="single" w:color="auto" w:sz="4" w:space="0"/>
              <w:left w:val="nil"/>
              <w:bottom w:val="single" w:color="auto" w:sz="4" w:space="0"/>
              <w:right w:val="single" w:color="auto" w:sz="4" w:space="0"/>
            </w:tcBorders>
            <w:vAlign w:val="center"/>
          </w:tcPr>
          <w:p w14:paraId="7D5FDD8B">
            <w:pPr>
              <w:topLinePunct/>
              <w:adjustRightInd w:val="0"/>
              <w:snapToGrid w:val="0"/>
              <w:spacing w:line="360" w:lineRule="auto"/>
              <w:jc w:val="center"/>
              <w:rPr>
                <w:rFonts w:ascii="宋体" w:hAnsi="宋体"/>
                <w:spacing w:val="4"/>
                <w:szCs w:val="21"/>
                <w:highlight w:val="none"/>
              </w:rPr>
            </w:pPr>
          </w:p>
        </w:tc>
        <w:tc>
          <w:tcPr>
            <w:tcW w:w="1276" w:type="dxa"/>
            <w:gridSpan w:val="3"/>
            <w:tcBorders>
              <w:top w:val="single" w:color="auto" w:sz="4" w:space="0"/>
              <w:left w:val="nil"/>
              <w:bottom w:val="single" w:color="auto" w:sz="4" w:space="0"/>
              <w:right w:val="single" w:color="auto" w:sz="4" w:space="0"/>
            </w:tcBorders>
            <w:vAlign w:val="center"/>
          </w:tcPr>
          <w:p w14:paraId="170AB531">
            <w:pPr>
              <w:spacing w:line="360" w:lineRule="auto"/>
              <w:jc w:val="center"/>
              <w:rPr>
                <w:rFonts w:ascii="宋体" w:hAnsi="宋体"/>
                <w:szCs w:val="21"/>
                <w:highlight w:val="none"/>
              </w:rPr>
            </w:pPr>
            <w:r>
              <w:rPr>
                <w:rFonts w:hint="eastAsia" w:ascii="宋体" w:hAnsi="宋体"/>
                <w:szCs w:val="21"/>
                <w:highlight w:val="none"/>
              </w:rPr>
              <w:t>年龄</w:t>
            </w:r>
          </w:p>
        </w:tc>
        <w:tc>
          <w:tcPr>
            <w:tcW w:w="1140" w:type="dxa"/>
            <w:tcBorders>
              <w:top w:val="single" w:color="auto" w:sz="4" w:space="0"/>
              <w:left w:val="nil"/>
              <w:bottom w:val="single" w:color="auto" w:sz="4" w:space="0"/>
              <w:right w:val="single" w:color="auto" w:sz="4" w:space="0"/>
            </w:tcBorders>
            <w:vAlign w:val="center"/>
          </w:tcPr>
          <w:p w14:paraId="07F1B9E5">
            <w:pPr>
              <w:topLinePunct/>
              <w:adjustRightInd w:val="0"/>
              <w:snapToGrid w:val="0"/>
              <w:spacing w:line="360" w:lineRule="auto"/>
              <w:jc w:val="center"/>
              <w:rPr>
                <w:rFonts w:ascii="宋体" w:hAnsi="宋体"/>
                <w:spacing w:val="4"/>
                <w:szCs w:val="21"/>
                <w:highlight w:val="none"/>
              </w:rPr>
            </w:pPr>
          </w:p>
        </w:tc>
      </w:tr>
      <w:tr w14:paraId="3C87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96" w:type="dxa"/>
            <w:gridSpan w:val="2"/>
            <w:tcBorders>
              <w:top w:val="single" w:color="auto" w:sz="4" w:space="0"/>
              <w:left w:val="single" w:color="auto" w:sz="4" w:space="0"/>
              <w:bottom w:val="single" w:color="auto" w:sz="4" w:space="0"/>
              <w:right w:val="single" w:color="auto" w:sz="4" w:space="0"/>
            </w:tcBorders>
            <w:vAlign w:val="center"/>
          </w:tcPr>
          <w:p w14:paraId="3B8B6DFE">
            <w:pPr>
              <w:spacing w:line="360" w:lineRule="auto"/>
              <w:jc w:val="center"/>
              <w:rPr>
                <w:rFonts w:ascii="宋体" w:hAnsi="宋体"/>
                <w:szCs w:val="21"/>
                <w:highlight w:val="none"/>
              </w:rPr>
            </w:pPr>
            <w:r>
              <w:rPr>
                <w:rFonts w:hint="eastAsia" w:ascii="宋体" w:hAnsi="宋体"/>
                <w:szCs w:val="21"/>
                <w:highlight w:val="none"/>
              </w:rPr>
              <w:t>职务</w:t>
            </w:r>
          </w:p>
        </w:tc>
        <w:tc>
          <w:tcPr>
            <w:tcW w:w="2005" w:type="dxa"/>
            <w:gridSpan w:val="3"/>
            <w:tcBorders>
              <w:top w:val="single" w:color="auto" w:sz="4" w:space="0"/>
              <w:left w:val="nil"/>
              <w:bottom w:val="single" w:color="auto" w:sz="4" w:space="0"/>
              <w:right w:val="single" w:color="auto" w:sz="4" w:space="0"/>
            </w:tcBorders>
            <w:vAlign w:val="center"/>
          </w:tcPr>
          <w:p w14:paraId="2A686099">
            <w:pPr>
              <w:topLinePunct/>
              <w:adjustRightInd w:val="0"/>
              <w:snapToGrid w:val="0"/>
              <w:spacing w:line="360" w:lineRule="auto"/>
              <w:jc w:val="center"/>
              <w:rPr>
                <w:rFonts w:ascii="宋体" w:hAnsi="宋体"/>
                <w:spacing w:val="4"/>
                <w:szCs w:val="21"/>
                <w:highlight w:val="none"/>
              </w:rPr>
            </w:pPr>
          </w:p>
        </w:tc>
        <w:tc>
          <w:tcPr>
            <w:tcW w:w="1066" w:type="dxa"/>
            <w:gridSpan w:val="2"/>
            <w:tcBorders>
              <w:top w:val="single" w:color="auto" w:sz="4" w:space="0"/>
              <w:left w:val="nil"/>
              <w:bottom w:val="single" w:color="auto" w:sz="4" w:space="0"/>
              <w:right w:val="single" w:color="auto" w:sz="4" w:space="0"/>
            </w:tcBorders>
            <w:vAlign w:val="center"/>
          </w:tcPr>
          <w:p w14:paraId="1EC0A613">
            <w:pPr>
              <w:spacing w:line="360" w:lineRule="auto"/>
              <w:jc w:val="center"/>
              <w:rPr>
                <w:rFonts w:ascii="宋体" w:hAnsi="宋体"/>
                <w:szCs w:val="21"/>
                <w:highlight w:val="none"/>
              </w:rPr>
            </w:pPr>
            <w:r>
              <w:rPr>
                <w:rFonts w:hint="eastAsia" w:ascii="宋体" w:hAnsi="宋体"/>
                <w:szCs w:val="21"/>
                <w:highlight w:val="none"/>
              </w:rPr>
              <w:t>职称</w:t>
            </w:r>
          </w:p>
        </w:tc>
        <w:tc>
          <w:tcPr>
            <w:tcW w:w="2033" w:type="dxa"/>
            <w:gridSpan w:val="2"/>
            <w:tcBorders>
              <w:top w:val="single" w:color="auto" w:sz="4" w:space="0"/>
              <w:left w:val="nil"/>
              <w:bottom w:val="single" w:color="auto" w:sz="4" w:space="0"/>
              <w:right w:val="single" w:color="auto" w:sz="4" w:space="0"/>
            </w:tcBorders>
            <w:vAlign w:val="center"/>
          </w:tcPr>
          <w:p w14:paraId="06CD6600">
            <w:pPr>
              <w:topLinePunct/>
              <w:adjustRightInd w:val="0"/>
              <w:snapToGrid w:val="0"/>
              <w:spacing w:line="360" w:lineRule="auto"/>
              <w:jc w:val="center"/>
              <w:rPr>
                <w:rFonts w:ascii="宋体" w:hAnsi="宋体"/>
                <w:spacing w:val="4"/>
                <w:szCs w:val="21"/>
                <w:highlight w:val="none"/>
              </w:rPr>
            </w:pPr>
          </w:p>
        </w:tc>
        <w:tc>
          <w:tcPr>
            <w:tcW w:w="1276" w:type="dxa"/>
            <w:gridSpan w:val="3"/>
            <w:tcBorders>
              <w:top w:val="single" w:color="auto" w:sz="4" w:space="0"/>
              <w:left w:val="nil"/>
              <w:bottom w:val="single" w:color="auto" w:sz="4" w:space="0"/>
              <w:right w:val="single" w:color="auto" w:sz="4" w:space="0"/>
            </w:tcBorders>
            <w:vAlign w:val="center"/>
          </w:tcPr>
          <w:p w14:paraId="13454553">
            <w:pPr>
              <w:spacing w:line="360" w:lineRule="auto"/>
              <w:jc w:val="center"/>
              <w:rPr>
                <w:rFonts w:ascii="宋体" w:hAnsi="宋体"/>
                <w:szCs w:val="21"/>
                <w:highlight w:val="none"/>
              </w:rPr>
            </w:pPr>
            <w:r>
              <w:rPr>
                <w:rFonts w:hint="eastAsia" w:ascii="宋体" w:hAnsi="宋体"/>
                <w:szCs w:val="21"/>
                <w:highlight w:val="none"/>
              </w:rPr>
              <w:t>学历</w:t>
            </w:r>
          </w:p>
        </w:tc>
        <w:tc>
          <w:tcPr>
            <w:tcW w:w="1140" w:type="dxa"/>
            <w:tcBorders>
              <w:top w:val="single" w:color="auto" w:sz="4" w:space="0"/>
              <w:left w:val="nil"/>
              <w:bottom w:val="single" w:color="auto" w:sz="4" w:space="0"/>
              <w:right w:val="single" w:color="auto" w:sz="4" w:space="0"/>
            </w:tcBorders>
            <w:vAlign w:val="center"/>
          </w:tcPr>
          <w:p w14:paraId="262906D6">
            <w:pPr>
              <w:topLinePunct/>
              <w:adjustRightInd w:val="0"/>
              <w:snapToGrid w:val="0"/>
              <w:spacing w:line="360" w:lineRule="auto"/>
              <w:jc w:val="center"/>
              <w:rPr>
                <w:rFonts w:ascii="宋体" w:hAnsi="宋体"/>
                <w:spacing w:val="4"/>
                <w:szCs w:val="21"/>
                <w:highlight w:val="none"/>
              </w:rPr>
            </w:pPr>
          </w:p>
        </w:tc>
      </w:tr>
      <w:tr w14:paraId="1611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054" w:type="dxa"/>
            <w:gridSpan w:val="4"/>
            <w:tcBorders>
              <w:top w:val="single" w:color="auto" w:sz="4" w:space="0"/>
              <w:left w:val="single" w:color="auto" w:sz="4" w:space="0"/>
              <w:bottom w:val="single" w:color="auto" w:sz="4" w:space="0"/>
              <w:right w:val="single" w:color="auto" w:sz="4" w:space="0"/>
            </w:tcBorders>
            <w:vAlign w:val="center"/>
          </w:tcPr>
          <w:p w14:paraId="681687B9">
            <w:pPr>
              <w:spacing w:line="360" w:lineRule="auto"/>
              <w:jc w:val="center"/>
              <w:rPr>
                <w:rFonts w:ascii="宋体" w:hAnsi="宋体"/>
                <w:szCs w:val="21"/>
                <w:highlight w:val="none"/>
              </w:rPr>
            </w:pPr>
            <w:r>
              <w:rPr>
                <w:rFonts w:hint="eastAsia" w:ascii="宋体" w:hAnsi="宋体"/>
                <w:szCs w:val="21"/>
                <w:highlight w:val="none"/>
              </w:rPr>
              <w:t>参加工作时间</w:t>
            </w:r>
          </w:p>
        </w:tc>
        <w:tc>
          <w:tcPr>
            <w:tcW w:w="1613" w:type="dxa"/>
            <w:gridSpan w:val="3"/>
            <w:tcBorders>
              <w:top w:val="single" w:color="auto" w:sz="4" w:space="0"/>
              <w:left w:val="nil"/>
              <w:bottom w:val="single" w:color="auto" w:sz="4" w:space="0"/>
              <w:right w:val="single" w:color="auto" w:sz="4" w:space="0"/>
            </w:tcBorders>
            <w:vAlign w:val="center"/>
          </w:tcPr>
          <w:p w14:paraId="02FBA9DB">
            <w:pPr>
              <w:topLinePunct/>
              <w:adjustRightInd w:val="0"/>
              <w:snapToGrid w:val="0"/>
              <w:spacing w:line="360" w:lineRule="auto"/>
              <w:jc w:val="center"/>
              <w:rPr>
                <w:rFonts w:ascii="宋体" w:hAnsi="宋体"/>
                <w:spacing w:val="4"/>
                <w:szCs w:val="21"/>
                <w:highlight w:val="none"/>
              </w:rPr>
            </w:pPr>
          </w:p>
        </w:tc>
        <w:tc>
          <w:tcPr>
            <w:tcW w:w="2735" w:type="dxa"/>
            <w:gridSpan w:val="3"/>
            <w:tcBorders>
              <w:top w:val="single" w:color="auto" w:sz="4" w:space="0"/>
              <w:left w:val="nil"/>
              <w:bottom w:val="single" w:color="auto" w:sz="4" w:space="0"/>
              <w:right w:val="single" w:color="auto" w:sz="4" w:space="0"/>
            </w:tcBorders>
            <w:vAlign w:val="center"/>
          </w:tcPr>
          <w:p w14:paraId="67164EEC">
            <w:pPr>
              <w:topLinePunct/>
              <w:adjustRightInd w:val="0"/>
              <w:snapToGrid w:val="0"/>
              <w:spacing w:line="360" w:lineRule="auto"/>
              <w:jc w:val="center"/>
              <w:rPr>
                <w:rFonts w:ascii="宋体" w:hAnsi="宋体"/>
                <w:spacing w:val="4"/>
                <w:szCs w:val="21"/>
                <w:highlight w:val="none"/>
              </w:rPr>
            </w:pPr>
            <w:r>
              <w:rPr>
                <w:rFonts w:hint="eastAsia" w:ascii="宋体" w:hAnsi="宋体"/>
                <w:spacing w:val="4"/>
                <w:szCs w:val="21"/>
                <w:highlight w:val="none"/>
              </w:rPr>
              <w:t>担任相应职务年限</w:t>
            </w:r>
          </w:p>
        </w:tc>
        <w:tc>
          <w:tcPr>
            <w:tcW w:w="1714" w:type="dxa"/>
            <w:gridSpan w:val="3"/>
            <w:tcBorders>
              <w:top w:val="single" w:color="auto" w:sz="4" w:space="0"/>
              <w:left w:val="nil"/>
              <w:bottom w:val="single" w:color="auto" w:sz="4" w:space="0"/>
              <w:right w:val="single" w:color="auto" w:sz="4" w:space="0"/>
            </w:tcBorders>
            <w:vAlign w:val="center"/>
          </w:tcPr>
          <w:p w14:paraId="346ACE6A">
            <w:pPr>
              <w:topLinePunct/>
              <w:adjustRightInd w:val="0"/>
              <w:snapToGrid w:val="0"/>
              <w:spacing w:line="360" w:lineRule="auto"/>
              <w:jc w:val="center"/>
              <w:rPr>
                <w:rFonts w:ascii="宋体" w:hAnsi="宋体"/>
                <w:spacing w:val="4"/>
                <w:szCs w:val="21"/>
                <w:highlight w:val="none"/>
              </w:rPr>
            </w:pPr>
          </w:p>
        </w:tc>
      </w:tr>
      <w:tr w14:paraId="19D2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054" w:type="dxa"/>
            <w:gridSpan w:val="4"/>
            <w:tcBorders>
              <w:top w:val="single" w:color="auto" w:sz="4" w:space="0"/>
              <w:left w:val="single" w:color="auto" w:sz="4" w:space="0"/>
              <w:bottom w:val="single" w:color="auto" w:sz="4" w:space="0"/>
              <w:right w:val="single" w:color="auto" w:sz="4" w:space="0"/>
            </w:tcBorders>
            <w:vAlign w:val="center"/>
          </w:tcPr>
          <w:p w14:paraId="67D0AAEC">
            <w:pPr>
              <w:spacing w:line="360" w:lineRule="auto"/>
              <w:jc w:val="center"/>
              <w:rPr>
                <w:rFonts w:ascii="宋体" w:hAnsi="宋体"/>
                <w:szCs w:val="21"/>
                <w:highlight w:val="none"/>
              </w:rPr>
            </w:pPr>
            <w:r>
              <w:rPr>
                <w:rFonts w:hint="eastAsia" w:ascii="宋体" w:hAnsi="宋体"/>
                <w:szCs w:val="21"/>
                <w:highlight w:val="none"/>
              </w:rPr>
              <w:t>资格证书号</w:t>
            </w:r>
          </w:p>
        </w:tc>
        <w:tc>
          <w:tcPr>
            <w:tcW w:w="6062" w:type="dxa"/>
            <w:gridSpan w:val="9"/>
            <w:tcBorders>
              <w:top w:val="single" w:color="auto" w:sz="4" w:space="0"/>
              <w:left w:val="nil"/>
              <w:bottom w:val="single" w:color="auto" w:sz="4" w:space="0"/>
              <w:right w:val="single" w:color="auto" w:sz="4" w:space="0"/>
            </w:tcBorders>
            <w:vAlign w:val="center"/>
          </w:tcPr>
          <w:p w14:paraId="791CFAFF">
            <w:pPr>
              <w:topLinePunct/>
              <w:adjustRightInd w:val="0"/>
              <w:snapToGrid w:val="0"/>
              <w:spacing w:line="360" w:lineRule="auto"/>
              <w:jc w:val="center"/>
              <w:rPr>
                <w:rFonts w:ascii="宋体" w:hAnsi="宋体"/>
                <w:spacing w:val="4"/>
                <w:szCs w:val="21"/>
                <w:highlight w:val="none"/>
              </w:rPr>
            </w:pPr>
          </w:p>
        </w:tc>
      </w:tr>
      <w:tr w14:paraId="7FAC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116" w:type="dxa"/>
            <w:gridSpan w:val="13"/>
            <w:tcBorders>
              <w:top w:val="single" w:color="auto" w:sz="4" w:space="0"/>
              <w:left w:val="single" w:color="auto" w:sz="4" w:space="0"/>
              <w:bottom w:val="single" w:color="auto" w:sz="4" w:space="0"/>
              <w:right w:val="single" w:color="auto" w:sz="4" w:space="0"/>
            </w:tcBorders>
            <w:vAlign w:val="center"/>
          </w:tcPr>
          <w:p w14:paraId="2414E23B">
            <w:pPr>
              <w:topLinePunct/>
              <w:adjustRightInd w:val="0"/>
              <w:snapToGrid w:val="0"/>
              <w:spacing w:line="360" w:lineRule="auto"/>
              <w:jc w:val="center"/>
              <w:rPr>
                <w:rFonts w:ascii="宋体" w:hAnsi="宋体"/>
                <w:spacing w:val="4"/>
                <w:szCs w:val="21"/>
                <w:highlight w:val="none"/>
              </w:rPr>
            </w:pPr>
            <w:r>
              <w:rPr>
                <w:rFonts w:hint="eastAsia" w:ascii="宋体" w:hAnsi="宋体"/>
                <w:spacing w:val="4"/>
                <w:szCs w:val="21"/>
                <w:highlight w:val="none"/>
              </w:rPr>
              <w:t>业绩简介</w:t>
            </w:r>
          </w:p>
        </w:tc>
      </w:tr>
      <w:tr w14:paraId="2BF4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14:paraId="11F8C63E">
            <w:pPr>
              <w:spacing w:line="360" w:lineRule="auto"/>
              <w:jc w:val="center"/>
              <w:rPr>
                <w:rFonts w:ascii="宋体" w:hAnsi="宋体"/>
                <w:szCs w:val="21"/>
                <w:highlight w:val="none"/>
              </w:rPr>
            </w:pPr>
            <w:r>
              <w:rPr>
                <w:rFonts w:hint="eastAsia" w:ascii="宋体" w:hAnsi="宋体"/>
                <w:szCs w:val="21"/>
                <w:highlight w:val="none"/>
              </w:rPr>
              <w:t>建设单位</w:t>
            </w:r>
          </w:p>
        </w:tc>
        <w:tc>
          <w:tcPr>
            <w:tcW w:w="1519" w:type="dxa"/>
            <w:gridSpan w:val="2"/>
            <w:tcBorders>
              <w:top w:val="single" w:color="auto" w:sz="4" w:space="0"/>
              <w:left w:val="nil"/>
              <w:bottom w:val="single" w:color="auto" w:sz="4" w:space="0"/>
              <w:right w:val="single" w:color="auto" w:sz="4" w:space="0"/>
            </w:tcBorders>
            <w:vAlign w:val="center"/>
          </w:tcPr>
          <w:p w14:paraId="7314C3A5">
            <w:pPr>
              <w:spacing w:line="360" w:lineRule="auto"/>
              <w:jc w:val="center"/>
              <w:rPr>
                <w:rFonts w:ascii="宋体" w:hAnsi="宋体"/>
                <w:szCs w:val="21"/>
                <w:highlight w:val="none"/>
              </w:rPr>
            </w:pPr>
            <w:r>
              <w:rPr>
                <w:rFonts w:hint="eastAsia" w:ascii="宋体" w:hAnsi="宋体"/>
                <w:szCs w:val="21"/>
                <w:highlight w:val="none"/>
              </w:rPr>
              <w:t>项目名称</w:t>
            </w:r>
          </w:p>
        </w:tc>
        <w:tc>
          <w:tcPr>
            <w:tcW w:w="1518" w:type="dxa"/>
            <w:gridSpan w:val="3"/>
            <w:tcBorders>
              <w:top w:val="single" w:color="auto" w:sz="4" w:space="0"/>
              <w:left w:val="nil"/>
              <w:bottom w:val="single" w:color="auto" w:sz="4" w:space="0"/>
              <w:right w:val="single" w:color="auto" w:sz="4" w:space="0"/>
            </w:tcBorders>
            <w:vAlign w:val="center"/>
          </w:tcPr>
          <w:p w14:paraId="364C5DCD">
            <w:pPr>
              <w:spacing w:line="360" w:lineRule="auto"/>
              <w:jc w:val="center"/>
              <w:rPr>
                <w:rFonts w:ascii="宋体" w:hAnsi="宋体"/>
                <w:szCs w:val="21"/>
                <w:highlight w:val="none"/>
              </w:rPr>
            </w:pPr>
            <w:r>
              <w:rPr>
                <w:rFonts w:hint="eastAsia" w:ascii="宋体" w:hAnsi="宋体"/>
                <w:szCs w:val="21"/>
                <w:highlight w:val="none"/>
              </w:rPr>
              <w:t>建设规模</w:t>
            </w:r>
          </w:p>
        </w:tc>
        <w:tc>
          <w:tcPr>
            <w:tcW w:w="1519" w:type="dxa"/>
            <w:gridSpan w:val="2"/>
            <w:tcBorders>
              <w:top w:val="single" w:color="auto" w:sz="4" w:space="0"/>
              <w:left w:val="nil"/>
              <w:bottom w:val="single" w:color="auto" w:sz="4" w:space="0"/>
              <w:right w:val="single" w:color="auto" w:sz="4" w:space="0"/>
            </w:tcBorders>
            <w:vAlign w:val="center"/>
          </w:tcPr>
          <w:p w14:paraId="6D0860C5">
            <w:pPr>
              <w:spacing w:line="360" w:lineRule="auto"/>
              <w:jc w:val="center"/>
              <w:rPr>
                <w:rFonts w:ascii="宋体" w:hAnsi="宋体"/>
                <w:szCs w:val="21"/>
                <w:highlight w:val="none"/>
              </w:rPr>
            </w:pPr>
            <w:r>
              <w:rPr>
                <w:rFonts w:hint="eastAsia" w:ascii="宋体" w:hAnsi="宋体"/>
                <w:szCs w:val="21"/>
                <w:highlight w:val="none"/>
              </w:rPr>
              <w:t>开、竣工日期</w:t>
            </w:r>
          </w:p>
        </w:tc>
        <w:tc>
          <w:tcPr>
            <w:tcW w:w="1518" w:type="dxa"/>
            <w:gridSpan w:val="3"/>
            <w:tcBorders>
              <w:top w:val="single" w:color="auto" w:sz="4" w:space="0"/>
              <w:left w:val="nil"/>
              <w:bottom w:val="single" w:color="auto" w:sz="4" w:space="0"/>
              <w:right w:val="single" w:color="auto" w:sz="4" w:space="0"/>
            </w:tcBorders>
            <w:vAlign w:val="center"/>
          </w:tcPr>
          <w:p w14:paraId="77FFCF89">
            <w:pPr>
              <w:spacing w:line="360" w:lineRule="auto"/>
              <w:jc w:val="center"/>
              <w:rPr>
                <w:rFonts w:ascii="宋体" w:hAnsi="宋体"/>
                <w:szCs w:val="21"/>
                <w:highlight w:val="none"/>
              </w:rPr>
            </w:pPr>
            <w:r>
              <w:rPr>
                <w:rFonts w:hint="eastAsia" w:ascii="宋体" w:hAnsi="宋体"/>
                <w:szCs w:val="21"/>
                <w:highlight w:val="none"/>
              </w:rPr>
              <w:t>在建或已完</w:t>
            </w:r>
          </w:p>
        </w:tc>
        <w:tc>
          <w:tcPr>
            <w:tcW w:w="1523" w:type="dxa"/>
            <w:gridSpan w:val="2"/>
            <w:tcBorders>
              <w:top w:val="single" w:color="auto" w:sz="4" w:space="0"/>
              <w:left w:val="nil"/>
              <w:bottom w:val="single" w:color="auto" w:sz="4" w:space="0"/>
              <w:right w:val="single" w:color="auto" w:sz="4" w:space="0"/>
            </w:tcBorders>
            <w:vAlign w:val="center"/>
          </w:tcPr>
          <w:p w14:paraId="02C25C7F">
            <w:pPr>
              <w:spacing w:line="360" w:lineRule="auto"/>
              <w:jc w:val="center"/>
              <w:rPr>
                <w:rFonts w:ascii="宋体" w:hAnsi="宋体"/>
                <w:szCs w:val="21"/>
                <w:highlight w:val="none"/>
              </w:rPr>
            </w:pPr>
            <w:r>
              <w:rPr>
                <w:rFonts w:hint="eastAsia" w:ascii="宋体" w:hAnsi="宋体"/>
                <w:szCs w:val="21"/>
                <w:highlight w:val="none"/>
              </w:rPr>
              <w:t>工程质量</w:t>
            </w:r>
          </w:p>
        </w:tc>
      </w:tr>
      <w:tr w14:paraId="287C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14:paraId="09B02EF6">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77D2C399">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7BB52A87">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18B4F8C4">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1B0DCDF8">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472FB21F">
            <w:pPr>
              <w:topLinePunct/>
              <w:adjustRightInd w:val="0"/>
              <w:snapToGrid w:val="0"/>
              <w:spacing w:line="360" w:lineRule="auto"/>
              <w:jc w:val="center"/>
              <w:rPr>
                <w:rFonts w:ascii="宋体" w:hAnsi="宋体"/>
                <w:spacing w:val="4"/>
                <w:szCs w:val="21"/>
                <w:highlight w:val="none"/>
              </w:rPr>
            </w:pPr>
          </w:p>
        </w:tc>
      </w:tr>
      <w:tr w14:paraId="2906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14:paraId="11CE1A2C">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5E359EFA">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1C1CC05A">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3AF58B9A">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56BD53BF">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54311D48">
            <w:pPr>
              <w:topLinePunct/>
              <w:adjustRightInd w:val="0"/>
              <w:snapToGrid w:val="0"/>
              <w:spacing w:line="360" w:lineRule="auto"/>
              <w:jc w:val="center"/>
              <w:rPr>
                <w:rFonts w:ascii="宋体" w:hAnsi="宋体"/>
                <w:spacing w:val="4"/>
                <w:szCs w:val="21"/>
                <w:highlight w:val="none"/>
              </w:rPr>
            </w:pPr>
          </w:p>
        </w:tc>
      </w:tr>
      <w:tr w14:paraId="2935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14:paraId="61848ACF">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38F5D1A1">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4FECFDAB">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14:paraId="65CF354A">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14:paraId="56642F51">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7FDA4B81">
            <w:pPr>
              <w:topLinePunct/>
              <w:adjustRightInd w:val="0"/>
              <w:snapToGrid w:val="0"/>
              <w:spacing w:line="360" w:lineRule="auto"/>
              <w:jc w:val="center"/>
              <w:rPr>
                <w:rFonts w:ascii="宋体" w:hAnsi="宋体"/>
                <w:spacing w:val="4"/>
                <w:szCs w:val="21"/>
                <w:highlight w:val="none"/>
              </w:rPr>
            </w:pPr>
          </w:p>
        </w:tc>
      </w:tr>
    </w:tbl>
    <w:p w14:paraId="22C13377">
      <w:pPr>
        <w:pStyle w:val="15"/>
        <w:ind w:firstLine="0"/>
        <w:rPr>
          <w:rFonts w:ascii="宋体" w:hAnsi="宋体"/>
          <w:highlight w:val="none"/>
        </w:rPr>
      </w:pPr>
      <w:r>
        <w:rPr>
          <w:rFonts w:hint="eastAsia" w:ascii="宋体" w:hAnsi="宋体"/>
          <w:highlight w:val="none"/>
        </w:rPr>
        <w:t>注：投入主要人员（项目负责人、施工技术负责人）需填写本表并后附相关证明材料（包括但不限于人员职称证、注册证书等），其他人员简历自拟。</w:t>
      </w:r>
    </w:p>
    <w:p w14:paraId="64FBFC0D">
      <w:pPr>
        <w:tabs>
          <w:tab w:val="left" w:pos="7655"/>
        </w:tabs>
        <w:spacing w:line="360" w:lineRule="auto"/>
        <w:ind w:firstLine="1656" w:firstLineChars="600"/>
        <w:jc w:val="left"/>
        <w:rPr>
          <w:rFonts w:ascii="宋体" w:hAnsi="宋体" w:cs="宋体"/>
          <w:spacing w:val="18"/>
          <w:kern w:val="1"/>
          <w:sz w:val="24"/>
          <w:highlight w:val="none"/>
          <w:lang w:val="zh-CN"/>
        </w:rPr>
      </w:pPr>
    </w:p>
    <w:p w14:paraId="2E183D9E">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14:paraId="662E331C">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 年 月 日</w:t>
      </w:r>
    </w:p>
    <w:p w14:paraId="4D01FDD9">
      <w:pPr>
        <w:pStyle w:val="15"/>
        <w:ind w:firstLine="0"/>
        <w:rPr>
          <w:rFonts w:ascii="宋体" w:hAnsi="宋体" w:cs="宋体"/>
          <w:szCs w:val="21"/>
          <w:highlight w:val="none"/>
        </w:rPr>
      </w:pPr>
    </w:p>
    <w:p w14:paraId="4F7E7A15">
      <w:pPr>
        <w:pStyle w:val="15"/>
        <w:ind w:firstLine="0"/>
        <w:rPr>
          <w:rFonts w:ascii="宋体" w:hAnsi="宋体" w:cs="宋体"/>
          <w:szCs w:val="21"/>
          <w:highlight w:val="none"/>
        </w:rPr>
      </w:pPr>
    </w:p>
    <w:p w14:paraId="6D03ECE9">
      <w:pPr>
        <w:pStyle w:val="15"/>
        <w:ind w:firstLine="0"/>
        <w:rPr>
          <w:rFonts w:ascii="宋体" w:hAnsi="宋体" w:cs="宋体"/>
          <w:highlight w:val="none"/>
        </w:rPr>
      </w:pPr>
    </w:p>
    <w:p w14:paraId="46D444AA">
      <w:pPr>
        <w:spacing w:line="360" w:lineRule="auto"/>
        <w:rPr>
          <w:rFonts w:ascii="宋体" w:hAnsi="宋体" w:cs="宋体"/>
          <w:b/>
          <w:spacing w:val="20"/>
          <w:kern w:val="1"/>
          <w:highlight w:val="none"/>
        </w:rPr>
      </w:pPr>
      <w:r>
        <w:rPr>
          <w:rFonts w:hint="eastAsia" w:ascii="宋体" w:hAnsi="宋体" w:cs="宋体"/>
          <w:kern w:val="1"/>
          <w:highlight w:val="none"/>
        </w:rPr>
        <w:br w:type="page"/>
      </w:r>
      <w:bookmarkStart w:id="584" w:name="_Hlk116425395"/>
    </w:p>
    <w:p w14:paraId="43F1FEE7">
      <w:pPr>
        <w:pStyle w:val="15"/>
        <w:ind w:firstLine="428"/>
        <w:rPr>
          <w:rFonts w:ascii="宋体" w:hAnsi="宋体"/>
          <w:highlight w:val="none"/>
        </w:rPr>
      </w:pPr>
    </w:p>
    <w:p w14:paraId="3DCAD56C">
      <w:pPr>
        <w:spacing w:line="360" w:lineRule="auto"/>
        <w:jc w:val="center"/>
        <w:rPr>
          <w:rFonts w:ascii="宋体" w:hAnsi="宋体" w:cs="宋体"/>
          <w:b/>
          <w:bCs/>
          <w:kern w:val="1"/>
          <w:sz w:val="32"/>
          <w:szCs w:val="32"/>
          <w:highlight w:val="none"/>
        </w:rPr>
      </w:pPr>
    </w:p>
    <w:p w14:paraId="0CC8504E">
      <w:pPr>
        <w:outlineLvl w:val="1"/>
        <w:rPr>
          <w:rFonts w:ascii="宋体" w:hAnsi="宋体" w:cs="宋体"/>
          <w:b/>
          <w:kern w:val="1"/>
          <w:szCs w:val="21"/>
          <w:highlight w:val="none"/>
          <w:lang w:val="zh-CN"/>
        </w:rPr>
      </w:pPr>
      <w:r>
        <w:rPr>
          <w:rFonts w:ascii="宋体" w:hAnsi="宋体" w:cs="宋体"/>
          <w:b/>
          <w:bCs/>
          <w:kern w:val="1"/>
          <w:sz w:val="32"/>
          <w:szCs w:val="32"/>
          <w:highlight w:val="none"/>
          <w:lang w:val="zh-CN"/>
        </w:rPr>
        <w:br w:type="page"/>
      </w:r>
      <w:bookmarkEnd w:id="584"/>
      <w:bookmarkStart w:id="585" w:name="_Toc123901769"/>
      <w:bookmarkStart w:id="586" w:name="_Toc116461807"/>
      <w:r>
        <w:rPr>
          <w:rFonts w:hint="eastAsia" w:ascii="宋体" w:hAnsi="宋体" w:cs="宋体"/>
          <w:b/>
          <w:kern w:val="1"/>
          <w:szCs w:val="21"/>
          <w:highlight w:val="none"/>
          <w:lang w:val="zh-CN"/>
        </w:rPr>
        <w:t>格式</w:t>
      </w:r>
      <w:r>
        <w:rPr>
          <w:rFonts w:hint="eastAsia" w:ascii="宋体" w:hAnsi="宋体" w:cs="宋体"/>
          <w:b/>
          <w:kern w:val="1"/>
          <w:szCs w:val="21"/>
          <w:highlight w:val="none"/>
          <w:lang w:val="en-US" w:eastAsia="zh-CN"/>
        </w:rPr>
        <w:t>8</w:t>
      </w:r>
      <w:r>
        <w:rPr>
          <w:rFonts w:hint="eastAsia" w:ascii="宋体" w:hAnsi="宋体" w:cs="宋体"/>
          <w:b/>
          <w:kern w:val="1"/>
          <w:szCs w:val="21"/>
          <w:highlight w:val="none"/>
          <w:lang w:val="zh-CN"/>
        </w:rPr>
        <w:t>：投标文件编制人员名单</w:t>
      </w:r>
      <w:bookmarkEnd w:id="585"/>
      <w:bookmarkEnd w:id="586"/>
    </w:p>
    <w:p w14:paraId="61A875EC">
      <w:pPr>
        <w:spacing w:line="360" w:lineRule="auto"/>
        <w:jc w:val="center"/>
        <w:rPr>
          <w:rFonts w:ascii="宋体" w:hAnsi="宋体" w:cs="宋体"/>
          <w:b/>
          <w:bCs/>
          <w:kern w:val="1"/>
          <w:sz w:val="32"/>
          <w:szCs w:val="32"/>
          <w:highlight w:val="none"/>
          <w:lang w:val="zh-CN"/>
        </w:rPr>
      </w:pPr>
    </w:p>
    <w:p w14:paraId="7B9D8702">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投标文件编制人员名单</w:t>
      </w:r>
    </w:p>
    <w:tbl>
      <w:tblPr>
        <w:tblStyle w:val="45"/>
        <w:tblW w:w="9288" w:type="dxa"/>
        <w:jc w:val="center"/>
        <w:tblLayout w:type="fixed"/>
        <w:tblCellMar>
          <w:top w:w="0" w:type="dxa"/>
          <w:left w:w="108" w:type="dxa"/>
          <w:bottom w:w="0" w:type="dxa"/>
          <w:right w:w="108" w:type="dxa"/>
        </w:tblCellMar>
      </w:tblPr>
      <w:tblGrid>
        <w:gridCol w:w="1287"/>
        <w:gridCol w:w="1497"/>
        <w:gridCol w:w="2563"/>
        <w:gridCol w:w="2458"/>
        <w:gridCol w:w="1483"/>
      </w:tblGrid>
      <w:tr w14:paraId="4E78EEDD">
        <w:tblPrEx>
          <w:tblCellMar>
            <w:top w:w="0" w:type="dxa"/>
            <w:left w:w="108" w:type="dxa"/>
            <w:bottom w:w="0" w:type="dxa"/>
            <w:right w:w="108" w:type="dxa"/>
          </w:tblCellMar>
        </w:tblPrEx>
        <w:trPr>
          <w:trHeight w:val="318" w:hRule="atLeast"/>
          <w:jc w:val="center"/>
        </w:trPr>
        <w:tc>
          <w:tcPr>
            <w:tcW w:w="9288" w:type="dxa"/>
            <w:gridSpan w:val="5"/>
            <w:tcBorders>
              <w:top w:val="single" w:color="auto" w:sz="4" w:space="0"/>
              <w:left w:val="single" w:color="auto" w:sz="4" w:space="0"/>
              <w:bottom w:val="single" w:color="auto" w:sz="4" w:space="0"/>
              <w:right w:val="single" w:color="auto" w:sz="4" w:space="0"/>
            </w:tcBorders>
            <w:vAlign w:val="center"/>
          </w:tcPr>
          <w:p w14:paraId="058A8637">
            <w:pPr>
              <w:tabs>
                <w:tab w:val="left" w:pos="720"/>
              </w:tabs>
              <w:spacing w:line="360" w:lineRule="auto"/>
              <w:rPr>
                <w:rFonts w:ascii="宋体" w:hAnsi="宋体" w:cs="宋体"/>
                <w:szCs w:val="21"/>
                <w:highlight w:val="none"/>
              </w:rPr>
            </w:pPr>
            <w:r>
              <w:rPr>
                <w:rFonts w:hint="eastAsia" w:ascii="宋体" w:hAnsi="宋体" w:cs="宋体"/>
                <w:szCs w:val="21"/>
                <w:highlight w:val="none"/>
              </w:rPr>
              <w:t>投标单位名称：</w:t>
            </w:r>
          </w:p>
        </w:tc>
      </w:tr>
      <w:tr w14:paraId="1CB4C6AF">
        <w:tblPrEx>
          <w:tblCellMar>
            <w:top w:w="0" w:type="dxa"/>
            <w:left w:w="108" w:type="dxa"/>
            <w:bottom w:w="0" w:type="dxa"/>
            <w:right w:w="108" w:type="dxa"/>
          </w:tblCellMar>
        </w:tblPrEx>
        <w:trPr>
          <w:trHeight w:val="212"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14:paraId="60A70EEB">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497" w:type="dxa"/>
            <w:tcBorders>
              <w:top w:val="single" w:color="auto" w:sz="4" w:space="0"/>
              <w:left w:val="single" w:color="auto" w:sz="4" w:space="0"/>
              <w:bottom w:val="single" w:color="auto" w:sz="4" w:space="0"/>
              <w:right w:val="single" w:color="auto" w:sz="4" w:space="0"/>
            </w:tcBorders>
            <w:vAlign w:val="center"/>
          </w:tcPr>
          <w:p w14:paraId="2DCDC4F1">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2563" w:type="dxa"/>
            <w:tcBorders>
              <w:top w:val="single" w:color="auto" w:sz="4" w:space="0"/>
              <w:left w:val="single" w:color="auto" w:sz="4" w:space="0"/>
              <w:bottom w:val="single" w:color="auto" w:sz="4" w:space="0"/>
              <w:right w:val="single" w:color="auto" w:sz="4" w:space="0"/>
            </w:tcBorders>
            <w:vAlign w:val="center"/>
          </w:tcPr>
          <w:p w14:paraId="11C03EAF">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所承担工作</w:t>
            </w:r>
          </w:p>
        </w:tc>
        <w:tc>
          <w:tcPr>
            <w:tcW w:w="2458" w:type="dxa"/>
            <w:tcBorders>
              <w:top w:val="single" w:color="auto" w:sz="4" w:space="0"/>
              <w:left w:val="single" w:color="auto" w:sz="4" w:space="0"/>
              <w:bottom w:val="single" w:color="auto" w:sz="4" w:space="0"/>
              <w:right w:val="single" w:color="auto" w:sz="4" w:space="0"/>
            </w:tcBorders>
            <w:vAlign w:val="center"/>
          </w:tcPr>
          <w:p w14:paraId="1229BEF7">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身份证号码</w:t>
            </w:r>
          </w:p>
        </w:tc>
        <w:tc>
          <w:tcPr>
            <w:tcW w:w="1483" w:type="dxa"/>
            <w:tcBorders>
              <w:top w:val="single" w:color="auto" w:sz="4" w:space="0"/>
              <w:left w:val="single" w:color="auto" w:sz="4" w:space="0"/>
              <w:bottom w:val="single" w:color="auto" w:sz="4" w:space="0"/>
              <w:right w:val="single" w:color="auto" w:sz="4" w:space="0"/>
            </w:tcBorders>
            <w:vAlign w:val="center"/>
          </w:tcPr>
          <w:p w14:paraId="7925D7C9">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本人签名栏</w:t>
            </w:r>
          </w:p>
        </w:tc>
      </w:tr>
      <w:tr w14:paraId="1DB9A64A">
        <w:tblPrEx>
          <w:tblCellMar>
            <w:top w:w="0" w:type="dxa"/>
            <w:left w:w="108" w:type="dxa"/>
            <w:bottom w:w="0" w:type="dxa"/>
            <w:right w:w="108" w:type="dxa"/>
          </w:tblCellMar>
        </w:tblPrEx>
        <w:trPr>
          <w:trHeight w:val="58"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14:paraId="263454A1">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14:paraId="71FFADCC">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14:paraId="567901AE">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14:paraId="000CF100">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2ECD6EE4">
            <w:pPr>
              <w:tabs>
                <w:tab w:val="left" w:pos="720"/>
              </w:tabs>
              <w:spacing w:line="360" w:lineRule="auto"/>
              <w:jc w:val="center"/>
              <w:rPr>
                <w:rFonts w:ascii="宋体" w:hAnsi="宋体" w:cs="宋体"/>
                <w:szCs w:val="21"/>
                <w:highlight w:val="none"/>
              </w:rPr>
            </w:pPr>
          </w:p>
        </w:tc>
      </w:tr>
      <w:tr w14:paraId="623C168D">
        <w:tblPrEx>
          <w:tblCellMar>
            <w:top w:w="0" w:type="dxa"/>
            <w:left w:w="108" w:type="dxa"/>
            <w:bottom w:w="0" w:type="dxa"/>
            <w:right w:w="108" w:type="dxa"/>
          </w:tblCellMar>
        </w:tblPrEx>
        <w:trPr>
          <w:trHeight w:val="162"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14:paraId="5AE8FF21">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14:paraId="1D2CC70F">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14:paraId="3DC06650">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14:paraId="2EC081A2">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462B33EE">
            <w:pPr>
              <w:tabs>
                <w:tab w:val="left" w:pos="720"/>
              </w:tabs>
              <w:spacing w:line="360" w:lineRule="auto"/>
              <w:jc w:val="center"/>
              <w:rPr>
                <w:rFonts w:ascii="宋体" w:hAnsi="宋体" w:cs="宋体"/>
                <w:szCs w:val="21"/>
                <w:highlight w:val="none"/>
              </w:rPr>
            </w:pPr>
          </w:p>
        </w:tc>
      </w:tr>
      <w:tr w14:paraId="01035DBA">
        <w:tblPrEx>
          <w:tblCellMar>
            <w:top w:w="0" w:type="dxa"/>
            <w:left w:w="108" w:type="dxa"/>
            <w:bottom w:w="0" w:type="dxa"/>
            <w:right w:w="108" w:type="dxa"/>
          </w:tblCellMar>
        </w:tblPrEx>
        <w:trPr>
          <w:trHeight w:val="123"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14:paraId="40C8198C">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14:paraId="2C97FF1B">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14:paraId="478C36C9">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14:paraId="4C2D9767">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4CE08D53">
            <w:pPr>
              <w:tabs>
                <w:tab w:val="left" w:pos="720"/>
              </w:tabs>
              <w:spacing w:line="360" w:lineRule="auto"/>
              <w:jc w:val="center"/>
              <w:rPr>
                <w:rFonts w:ascii="宋体" w:hAnsi="宋体" w:cs="宋体"/>
                <w:szCs w:val="21"/>
                <w:highlight w:val="none"/>
              </w:rPr>
            </w:pPr>
          </w:p>
        </w:tc>
      </w:tr>
      <w:tr w14:paraId="74DA0F90">
        <w:tblPrEx>
          <w:tblCellMar>
            <w:top w:w="0" w:type="dxa"/>
            <w:left w:w="108" w:type="dxa"/>
            <w:bottom w:w="0" w:type="dxa"/>
            <w:right w:w="108" w:type="dxa"/>
          </w:tblCellMar>
        </w:tblPrEx>
        <w:trPr>
          <w:trHeight w:val="214"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14:paraId="439E7C43">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14:paraId="05BA637C">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14:paraId="2564C47A">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14:paraId="28A3754F">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0C0A1DCA">
            <w:pPr>
              <w:tabs>
                <w:tab w:val="left" w:pos="720"/>
              </w:tabs>
              <w:spacing w:line="360" w:lineRule="auto"/>
              <w:jc w:val="center"/>
              <w:rPr>
                <w:rFonts w:ascii="宋体" w:hAnsi="宋体" w:cs="宋体"/>
                <w:szCs w:val="21"/>
                <w:highlight w:val="none"/>
              </w:rPr>
            </w:pPr>
          </w:p>
        </w:tc>
      </w:tr>
      <w:tr w14:paraId="5A4A99C7">
        <w:tblPrEx>
          <w:tblCellMar>
            <w:top w:w="0" w:type="dxa"/>
            <w:left w:w="108" w:type="dxa"/>
            <w:bottom w:w="0" w:type="dxa"/>
            <w:right w:w="108" w:type="dxa"/>
          </w:tblCellMar>
        </w:tblPrEx>
        <w:trPr>
          <w:trHeight w:val="175"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14:paraId="1C6565D9">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14:paraId="04F0A32D">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14:paraId="28B3C9DB">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14:paraId="0EA6A53A">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0552AAA1">
            <w:pPr>
              <w:tabs>
                <w:tab w:val="left" w:pos="720"/>
              </w:tabs>
              <w:spacing w:line="360" w:lineRule="auto"/>
              <w:jc w:val="center"/>
              <w:rPr>
                <w:rFonts w:ascii="宋体" w:hAnsi="宋体" w:cs="宋体"/>
                <w:szCs w:val="21"/>
                <w:highlight w:val="none"/>
              </w:rPr>
            </w:pPr>
          </w:p>
        </w:tc>
      </w:tr>
    </w:tbl>
    <w:p w14:paraId="4722FECA">
      <w:pPr>
        <w:tabs>
          <w:tab w:val="left" w:pos="720"/>
        </w:tabs>
        <w:snapToGrid w:val="0"/>
        <w:rPr>
          <w:rFonts w:ascii="宋体" w:hAnsi="宋体" w:cs="宋体"/>
          <w:szCs w:val="21"/>
          <w:highlight w:val="none"/>
        </w:rPr>
      </w:pPr>
      <w:r>
        <w:rPr>
          <w:rFonts w:hint="eastAsia" w:ascii="宋体" w:hAnsi="宋体" w:cs="宋体"/>
          <w:szCs w:val="21"/>
          <w:highlight w:val="none"/>
        </w:rPr>
        <w:t>编制负责人：                          解释负责人：</w:t>
      </w:r>
    </w:p>
    <w:p w14:paraId="1F978359">
      <w:pPr>
        <w:pStyle w:val="43"/>
        <w:spacing w:after="0"/>
        <w:ind w:firstLine="200"/>
        <w:rPr>
          <w:rFonts w:ascii="宋体" w:hAnsi="宋体" w:cs="宋体"/>
          <w:szCs w:val="21"/>
          <w:highlight w:val="none"/>
        </w:rPr>
      </w:pPr>
    </w:p>
    <w:p w14:paraId="37D1C353">
      <w:pPr>
        <w:pStyle w:val="43"/>
        <w:spacing w:after="0"/>
        <w:ind w:firstLine="200"/>
        <w:rPr>
          <w:rFonts w:ascii="宋体" w:hAnsi="宋体" w:cs="宋体"/>
          <w:b/>
          <w:kern w:val="1"/>
          <w:szCs w:val="21"/>
          <w:highlight w:val="none"/>
        </w:rPr>
      </w:pPr>
      <w:r>
        <w:rPr>
          <w:rFonts w:hint="eastAsia" w:ascii="宋体" w:hAnsi="宋体" w:cs="宋体"/>
          <w:szCs w:val="21"/>
          <w:highlight w:val="none"/>
        </w:rPr>
        <w:t>注：</w:t>
      </w:r>
      <w:r>
        <w:rPr>
          <w:rFonts w:hint="eastAsia" w:ascii="宋体" w:hAnsi="宋体" w:cs="宋体"/>
          <w:bCs/>
          <w:iCs/>
          <w:szCs w:val="21"/>
          <w:highlight w:val="none"/>
        </w:rPr>
        <w:t>参与编制标书所有人员名单应包括编制</w:t>
      </w:r>
      <w:r>
        <w:rPr>
          <w:rFonts w:hint="eastAsia" w:ascii="宋体" w:hAnsi="宋体" w:cs="宋体"/>
          <w:bCs/>
          <w:iCs/>
          <w:szCs w:val="21"/>
          <w:highlight w:val="none"/>
          <w:lang w:eastAsia="zh-CN"/>
        </w:rPr>
        <w:t>技术标</w:t>
      </w:r>
      <w:r>
        <w:rPr>
          <w:rFonts w:hint="eastAsia" w:ascii="宋体" w:hAnsi="宋体" w:cs="宋体"/>
          <w:bCs/>
          <w:iCs/>
          <w:szCs w:val="21"/>
          <w:highlight w:val="none"/>
        </w:rPr>
        <w:t>、投标报价、负责清样校对、负责加密打包、负责上传、负责密封、负责打印及复印等所有人员在内的人员名单。</w:t>
      </w:r>
    </w:p>
    <w:p w14:paraId="56122BBA">
      <w:pPr>
        <w:outlineLvl w:val="1"/>
        <w:rPr>
          <w:rFonts w:ascii="宋体" w:hAnsi="宋体" w:cs="宋体"/>
          <w:b/>
          <w:kern w:val="1"/>
          <w:szCs w:val="21"/>
          <w:highlight w:val="none"/>
          <w:lang w:val="zh-CN"/>
        </w:rPr>
      </w:pPr>
      <w:r>
        <w:rPr>
          <w:rFonts w:ascii="宋体" w:hAnsi="宋体" w:cs="宋体"/>
          <w:b/>
          <w:kern w:val="1"/>
          <w:highlight w:val="none"/>
          <w:lang w:val="zh-CN"/>
        </w:rPr>
        <w:br w:type="page"/>
      </w:r>
      <w:bookmarkStart w:id="587" w:name="OLE_LINK125"/>
      <w:bookmarkStart w:id="588" w:name="_Toc123901771"/>
      <w:bookmarkStart w:id="589" w:name="_Toc116461809"/>
      <w:r>
        <w:rPr>
          <w:rFonts w:hint="eastAsia" w:ascii="宋体" w:hAnsi="宋体" w:cs="宋体"/>
          <w:b/>
          <w:kern w:val="1"/>
          <w:szCs w:val="21"/>
          <w:highlight w:val="none"/>
          <w:lang w:val="zh-CN"/>
        </w:rPr>
        <w:t>格式</w:t>
      </w:r>
      <w:r>
        <w:rPr>
          <w:rFonts w:hint="eastAsia" w:ascii="宋体" w:hAnsi="宋体" w:cs="宋体"/>
          <w:b/>
          <w:kern w:val="1"/>
          <w:szCs w:val="21"/>
          <w:highlight w:val="none"/>
          <w:lang w:val="en-US" w:eastAsia="zh-CN"/>
        </w:rPr>
        <w:t>9</w:t>
      </w:r>
      <w:r>
        <w:rPr>
          <w:rFonts w:hint="eastAsia" w:ascii="宋体" w:hAnsi="宋体" w:cs="宋体"/>
          <w:b/>
          <w:kern w:val="1"/>
          <w:szCs w:val="21"/>
          <w:highlight w:val="none"/>
          <w:lang w:val="zh-CN"/>
        </w:rPr>
        <w:t>：</w:t>
      </w:r>
      <w:bookmarkEnd w:id="587"/>
      <w:r>
        <w:rPr>
          <w:rFonts w:hint="eastAsia" w:ascii="宋体" w:hAnsi="宋体" w:cs="宋体"/>
          <w:b/>
          <w:kern w:val="1"/>
          <w:szCs w:val="21"/>
          <w:highlight w:val="none"/>
          <w:lang w:val="zh-CN"/>
        </w:rPr>
        <w:t>投标人认为应该补充的资料</w:t>
      </w:r>
      <w:bookmarkEnd w:id="588"/>
      <w:bookmarkEnd w:id="589"/>
    </w:p>
    <w:p w14:paraId="7C326467">
      <w:pPr>
        <w:pStyle w:val="90"/>
        <w:ind w:firstLine="0" w:firstLineChars="0"/>
        <w:jc w:val="center"/>
        <w:rPr>
          <w:rFonts w:ascii="宋体" w:hAnsi="宋体" w:eastAsia="宋体" w:cs="宋体"/>
          <w:b/>
          <w:bCs/>
          <w:spacing w:val="0"/>
          <w:kern w:val="1"/>
          <w:sz w:val="32"/>
          <w:szCs w:val="32"/>
          <w:highlight w:val="none"/>
          <w:lang w:val="zh-CN"/>
        </w:rPr>
      </w:pPr>
      <w:bookmarkStart w:id="590" w:name="_Hlk116425454"/>
    </w:p>
    <w:p w14:paraId="0835E7BB">
      <w:pPr>
        <w:pStyle w:val="90"/>
        <w:snapToGrid/>
        <w:ind w:firstLine="0" w:firstLineChars="0"/>
        <w:jc w:val="center"/>
        <w:rPr>
          <w:rFonts w:ascii="宋体" w:hAnsi="宋体" w:eastAsia="宋体" w:cs="宋体"/>
          <w:b/>
          <w:bCs/>
          <w:spacing w:val="0"/>
          <w:kern w:val="1"/>
          <w:sz w:val="32"/>
          <w:szCs w:val="32"/>
          <w:highlight w:val="none"/>
          <w:lang w:val="zh-CN"/>
        </w:rPr>
      </w:pPr>
      <w:r>
        <w:rPr>
          <w:rFonts w:hint="eastAsia" w:ascii="宋体" w:hAnsi="宋体" w:eastAsia="宋体" w:cs="宋体"/>
          <w:b/>
          <w:bCs/>
          <w:spacing w:val="0"/>
          <w:kern w:val="1"/>
          <w:sz w:val="32"/>
          <w:szCs w:val="32"/>
          <w:highlight w:val="none"/>
          <w:lang w:val="zh-CN"/>
        </w:rPr>
        <w:t>投标人认为应该补充的资料</w:t>
      </w:r>
    </w:p>
    <w:bookmarkEnd w:id="590"/>
    <w:p w14:paraId="117E5F4E">
      <w:pPr>
        <w:pStyle w:val="90"/>
        <w:ind w:firstLine="0" w:firstLineChars="0"/>
        <w:jc w:val="center"/>
        <w:rPr>
          <w:rFonts w:ascii="宋体" w:hAnsi="宋体" w:eastAsia="宋体" w:cs="宋体"/>
          <w:b/>
          <w:kern w:val="1"/>
          <w:highlight w:val="none"/>
          <w:lang w:val="zh-CN"/>
        </w:rPr>
      </w:pPr>
      <w:r>
        <w:rPr>
          <w:rFonts w:hint="eastAsia" w:ascii="宋体" w:hAnsi="宋体" w:eastAsia="宋体" w:cs="宋体"/>
          <w:b/>
          <w:bCs/>
          <w:sz w:val="28"/>
          <w:highlight w:val="none"/>
        </w:rPr>
        <w:t>（内容格式自拟）</w:t>
      </w:r>
    </w:p>
    <w:p w14:paraId="7000261F">
      <w:pPr>
        <w:outlineLvl w:val="9"/>
        <w:rPr>
          <w:rFonts w:ascii="Times New Roman" w:hAnsi="Times New Roman" w:cs="Times New Roman"/>
          <w:b w:val="0"/>
          <w:kern w:val="2"/>
          <w:szCs w:val="24"/>
          <w:highlight w:val="none"/>
          <w:lang w:val="zh-CN"/>
        </w:rPr>
      </w:pPr>
      <w:r>
        <w:rPr>
          <w:rFonts w:hint="default" w:ascii="Times New Roman" w:hAnsi="Times New Roman" w:cs="Times New Roman"/>
          <w:b w:val="0"/>
          <w:kern w:val="2"/>
          <w:sz w:val="21"/>
          <w:highlight w:val="none"/>
          <w:lang w:val="zh-CN"/>
        </w:rPr>
        <w:br w:type="page"/>
      </w:r>
      <w:bookmarkStart w:id="591" w:name="_Toc116461810"/>
      <w:bookmarkStart w:id="592" w:name="_Toc123901772"/>
    </w:p>
    <w:bookmarkEnd w:id="591"/>
    <w:bookmarkEnd w:id="592"/>
    <w:p w14:paraId="707684E6">
      <w:pPr>
        <w:pStyle w:val="44"/>
        <w:spacing w:line="360" w:lineRule="auto"/>
        <w:ind w:left="0" w:leftChars="0" w:firstLine="0" w:firstLineChars="0"/>
        <w:rPr>
          <w:rFonts w:ascii="宋体" w:hAnsi="宋体" w:cs="宋体"/>
          <w:b/>
          <w:snapToGrid/>
          <w:spacing w:val="0"/>
          <w:kern w:val="1"/>
          <w:sz w:val="21"/>
          <w:szCs w:val="21"/>
          <w:highlight w:val="none"/>
          <w:lang w:val="zh-CN"/>
        </w:rPr>
      </w:pPr>
    </w:p>
    <w:p w14:paraId="10F28288">
      <w:pPr>
        <w:pStyle w:val="44"/>
        <w:spacing w:line="360" w:lineRule="auto"/>
        <w:ind w:left="0" w:leftChars="0" w:firstLine="0" w:firstLineChars="0"/>
        <w:rPr>
          <w:rFonts w:ascii="宋体" w:hAnsi="宋体" w:cs="宋体"/>
          <w:b/>
          <w:snapToGrid w:val="0"/>
          <w:spacing w:val="4"/>
          <w:kern w:val="0"/>
          <w:sz w:val="30"/>
          <w:szCs w:val="30"/>
          <w:highlight w:val="none"/>
        </w:rPr>
      </w:pPr>
    </w:p>
    <w:p w14:paraId="44379806">
      <w:pPr>
        <w:pStyle w:val="130"/>
        <w:spacing w:beforeLines="0" w:afterLines="0"/>
        <w:ind w:firstLineChars="0"/>
        <w:jc w:val="center"/>
        <w:rPr>
          <w:rFonts w:hint="eastAsia" w:ascii="宋体" w:hAnsi="宋体" w:eastAsia="宋体" w:cs="宋体"/>
          <w:b w:val="0"/>
          <w:sz w:val="32"/>
          <w:szCs w:val="32"/>
          <w:highlight w:val="none"/>
        </w:rPr>
      </w:pPr>
      <w:bookmarkStart w:id="593" w:name="_Toc165358859"/>
      <w:r>
        <w:rPr>
          <w:rFonts w:hint="eastAsia" w:ascii="宋体" w:hAnsi="宋体" w:eastAsia="宋体" w:cs="宋体"/>
          <w:b w:val="0"/>
          <w:sz w:val="32"/>
          <w:szCs w:val="32"/>
          <w:highlight w:val="none"/>
        </w:rPr>
        <w:t>定标文件封面</w:t>
      </w:r>
      <w:bookmarkEnd w:id="593"/>
    </w:p>
    <w:p w14:paraId="7B28F473">
      <w:pPr>
        <w:pStyle w:val="90"/>
        <w:ind w:firstLine="496"/>
        <w:rPr>
          <w:rFonts w:ascii="宋体" w:hAnsi="宋体" w:eastAsia="宋体" w:cs="宋体"/>
          <w:highlight w:val="none"/>
        </w:rPr>
      </w:pPr>
    </w:p>
    <w:p w14:paraId="5601F68A">
      <w:pPr>
        <w:pStyle w:val="90"/>
        <w:ind w:firstLine="496"/>
        <w:rPr>
          <w:rFonts w:ascii="宋体" w:hAnsi="宋体" w:eastAsia="宋体" w:cs="宋体"/>
          <w:highlight w:val="none"/>
        </w:rPr>
      </w:pPr>
    </w:p>
    <w:p w14:paraId="76D65976">
      <w:pPr>
        <w:pStyle w:val="90"/>
        <w:ind w:firstLine="496"/>
        <w:rPr>
          <w:rFonts w:ascii="宋体" w:hAnsi="宋体" w:eastAsia="宋体" w:cs="宋体"/>
          <w:highlight w:val="none"/>
        </w:rPr>
      </w:pPr>
    </w:p>
    <w:p w14:paraId="6D00B920">
      <w:pPr>
        <w:pStyle w:val="177"/>
        <w:rPr>
          <w:rFonts w:ascii="宋体" w:hAnsi="宋体" w:eastAsia="宋体" w:cs="宋体"/>
          <w:b w:val="0"/>
          <w:highlight w:val="none"/>
          <w:u w:val="single"/>
        </w:rPr>
      </w:pPr>
      <w:r>
        <w:rPr>
          <w:rFonts w:hint="eastAsia" w:ascii="宋体" w:hAnsi="宋体" w:eastAsia="宋体" w:cs="宋体"/>
          <w:b w:val="0"/>
          <w:highlight w:val="none"/>
          <w:u w:val="single"/>
        </w:rPr>
        <w:t xml:space="preserve">[项目名称] </w:t>
      </w:r>
    </w:p>
    <w:p w14:paraId="7634D3D6">
      <w:pPr>
        <w:pStyle w:val="90"/>
        <w:ind w:firstLine="496"/>
        <w:rPr>
          <w:rFonts w:ascii="宋体" w:hAnsi="宋体" w:eastAsia="宋体" w:cs="宋体"/>
          <w:highlight w:val="none"/>
        </w:rPr>
      </w:pPr>
    </w:p>
    <w:p w14:paraId="79D8E3F6">
      <w:pPr>
        <w:pStyle w:val="90"/>
        <w:ind w:firstLine="496"/>
        <w:rPr>
          <w:rFonts w:ascii="宋体" w:hAnsi="宋体" w:eastAsia="宋体" w:cs="宋体"/>
          <w:highlight w:val="none"/>
        </w:rPr>
      </w:pPr>
    </w:p>
    <w:p w14:paraId="2B3B99B4">
      <w:pPr>
        <w:pStyle w:val="90"/>
        <w:ind w:firstLine="496"/>
        <w:rPr>
          <w:rFonts w:ascii="宋体" w:hAnsi="宋体" w:eastAsia="宋体" w:cs="宋体"/>
          <w:highlight w:val="none"/>
        </w:rPr>
      </w:pPr>
    </w:p>
    <w:p w14:paraId="168C2EB3">
      <w:pPr>
        <w:pStyle w:val="90"/>
        <w:ind w:firstLine="496"/>
        <w:rPr>
          <w:rFonts w:ascii="宋体" w:hAnsi="宋体" w:eastAsia="宋体" w:cs="宋体"/>
          <w:highlight w:val="none"/>
        </w:rPr>
      </w:pPr>
    </w:p>
    <w:p w14:paraId="38006CBF">
      <w:pPr>
        <w:pStyle w:val="130"/>
        <w:rPr>
          <w:rFonts w:ascii="宋体" w:hAnsi="宋体" w:eastAsia="宋体" w:cs="宋体"/>
          <w:b w:val="0"/>
          <w:highlight w:val="none"/>
        </w:rPr>
      </w:pPr>
      <w:r>
        <w:rPr>
          <w:rFonts w:hint="eastAsia" w:ascii="宋体" w:hAnsi="宋体" w:eastAsia="宋体" w:cs="宋体"/>
          <w:b w:val="0"/>
          <w:highlight w:val="none"/>
        </w:rPr>
        <w:t>定标文件</w:t>
      </w:r>
    </w:p>
    <w:p w14:paraId="099217F3">
      <w:pPr>
        <w:pStyle w:val="90"/>
        <w:ind w:firstLine="496"/>
        <w:rPr>
          <w:rFonts w:ascii="宋体" w:hAnsi="宋体" w:eastAsia="宋体" w:cs="宋体"/>
          <w:highlight w:val="none"/>
        </w:rPr>
      </w:pPr>
    </w:p>
    <w:p w14:paraId="0D129B24">
      <w:pPr>
        <w:pStyle w:val="90"/>
        <w:ind w:firstLine="496"/>
        <w:rPr>
          <w:rFonts w:ascii="宋体" w:hAnsi="宋体" w:eastAsia="宋体" w:cs="宋体"/>
          <w:highlight w:val="none"/>
        </w:rPr>
      </w:pPr>
    </w:p>
    <w:p w14:paraId="613EAA37">
      <w:pPr>
        <w:pStyle w:val="90"/>
        <w:ind w:firstLine="496"/>
        <w:rPr>
          <w:rFonts w:ascii="宋体" w:hAnsi="宋体" w:eastAsia="宋体" w:cs="宋体"/>
          <w:highlight w:val="none"/>
        </w:rPr>
      </w:pPr>
    </w:p>
    <w:p w14:paraId="2D741F5B">
      <w:pPr>
        <w:pStyle w:val="90"/>
        <w:ind w:firstLine="496"/>
        <w:rPr>
          <w:rFonts w:ascii="宋体" w:hAnsi="宋体" w:eastAsia="宋体" w:cs="宋体"/>
          <w:highlight w:val="none"/>
        </w:rPr>
      </w:pPr>
    </w:p>
    <w:p w14:paraId="7A17ECF4">
      <w:pPr>
        <w:pStyle w:val="173"/>
        <w:ind w:firstLine="616"/>
        <w:rPr>
          <w:rFonts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（填写投标人单位名称）    （盖章）</w:t>
      </w:r>
    </w:p>
    <w:p w14:paraId="0552A595">
      <w:pPr>
        <w:ind w:firstLine="616" w:firstLineChars="200"/>
        <w:rPr>
          <w:rFonts w:ascii="宋体" w:hAnsi="宋体" w:cs="宋体"/>
          <w:spacing w:val="4"/>
          <w:kern w:val="0"/>
          <w:sz w:val="30"/>
          <w:szCs w:val="30"/>
          <w:highlight w:val="none"/>
        </w:rPr>
      </w:pPr>
      <w:r>
        <w:rPr>
          <w:rFonts w:hint="eastAsia" w:ascii="宋体" w:hAnsi="宋体" w:cs="宋体"/>
          <w:spacing w:val="4"/>
          <w:kern w:val="0"/>
          <w:sz w:val="30"/>
          <w:szCs w:val="30"/>
          <w:highlight w:val="none"/>
        </w:rPr>
        <w:t xml:space="preserve">日  期： </w:t>
      </w:r>
    </w:p>
    <w:p w14:paraId="1F68A8BD">
      <w:pPr>
        <w:pStyle w:val="2"/>
        <w:rPr>
          <w:rFonts w:ascii="宋体" w:hAnsi="宋体" w:cs="宋体"/>
          <w:spacing w:val="4"/>
          <w:kern w:val="0"/>
          <w:sz w:val="30"/>
          <w:szCs w:val="30"/>
          <w:highlight w:val="none"/>
        </w:rPr>
      </w:pPr>
    </w:p>
    <w:p w14:paraId="670F294E">
      <w:pPr>
        <w:rPr>
          <w:rFonts w:ascii="宋体" w:hAnsi="宋体" w:cs="宋体"/>
          <w:spacing w:val="4"/>
          <w:kern w:val="0"/>
          <w:sz w:val="30"/>
          <w:szCs w:val="30"/>
          <w:highlight w:val="none"/>
        </w:rPr>
      </w:pPr>
    </w:p>
    <w:p w14:paraId="7D2D14FE">
      <w:pPr>
        <w:pStyle w:val="2"/>
        <w:rPr>
          <w:rFonts w:ascii="宋体" w:hAnsi="宋体" w:cs="宋体"/>
          <w:spacing w:val="4"/>
          <w:kern w:val="0"/>
          <w:sz w:val="30"/>
          <w:szCs w:val="30"/>
          <w:highlight w:val="none"/>
        </w:rPr>
      </w:pPr>
    </w:p>
    <w:p w14:paraId="5B096122">
      <w:pPr>
        <w:pStyle w:val="2"/>
        <w:jc w:val="center"/>
        <w:rPr>
          <w:rFonts w:hint="eastAsia" w:ascii="宋体" w:hAnsi="宋体" w:cs="宋体"/>
          <w:spacing w:val="4"/>
          <w:kern w:val="0"/>
          <w:sz w:val="30"/>
          <w:szCs w:val="30"/>
          <w:highlight w:val="none"/>
        </w:rPr>
      </w:pPr>
      <w:r>
        <w:rPr>
          <w:rFonts w:ascii="宋体" w:hAnsi="宋体" w:cs="宋体"/>
          <w:spacing w:val="4"/>
          <w:kern w:val="0"/>
          <w:sz w:val="30"/>
          <w:szCs w:val="30"/>
          <w:highlight w:val="none"/>
        </w:rPr>
        <w:br w:type="page"/>
      </w:r>
    </w:p>
    <w:p w14:paraId="2A77C071">
      <w:pPr>
        <w:jc w:val="center"/>
        <w:outlineLvl w:val="1"/>
        <w:rPr>
          <w:rFonts w:hint="default" w:ascii="宋体" w:hAnsi="宋体" w:eastAsia="宋体" w:cs="宋体"/>
          <w:b/>
          <w:spacing w:val="0"/>
          <w:kern w:val="1"/>
          <w:sz w:val="21"/>
          <w:szCs w:val="21"/>
          <w:highlight w:val="none"/>
          <w:lang w:val="zh-CN"/>
        </w:rPr>
      </w:pPr>
      <w:r>
        <w:rPr>
          <w:rFonts w:hint="default" w:ascii="宋体" w:hAnsi="宋体" w:eastAsia="宋体" w:cs="宋体"/>
          <w:b/>
          <w:kern w:val="1"/>
          <w:szCs w:val="21"/>
          <w:highlight w:val="none"/>
          <w:lang w:val="zh-CN"/>
        </w:rPr>
        <w:t>格式</w:t>
      </w:r>
      <w:r>
        <w:rPr>
          <w:rFonts w:ascii="宋体" w:hAnsi="宋体" w:eastAsia="宋体" w:cs="宋体"/>
          <w:b/>
          <w:kern w:val="1"/>
          <w:szCs w:val="21"/>
          <w:highlight w:val="none"/>
          <w:lang w:val="zh-CN"/>
        </w:rPr>
        <w:t>1</w:t>
      </w:r>
      <w:r>
        <w:rPr>
          <w:rFonts w:hint="eastAsia" w:ascii="宋体" w:hAnsi="宋体" w:eastAsia="宋体" w:cs="宋体"/>
          <w:b/>
          <w:kern w:val="1"/>
          <w:szCs w:val="21"/>
          <w:highlight w:val="none"/>
          <w:lang w:val="en-US" w:eastAsia="zh-CN"/>
        </w:rPr>
        <w:t>2</w:t>
      </w:r>
      <w:r>
        <w:rPr>
          <w:rFonts w:hint="default" w:ascii="宋体" w:hAnsi="宋体" w:eastAsia="宋体" w:cs="宋体"/>
          <w:b/>
          <w:kern w:val="1"/>
          <w:szCs w:val="21"/>
          <w:highlight w:val="none"/>
          <w:lang w:val="zh-CN"/>
        </w:rPr>
        <w:t>：</w:t>
      </w:r>
      <w:r>
        <w:rPr>
          <w:rFonts w:hint="default" w:ascii="宋体" w:hAnsi="宋体" w:eastAsia="宋体" w:cs="宋体"/>
          <w:b/>
          <w:spacing w:val="0"/>
          <w:kern w:val="1"/>
          <w:sz w:val="21"/>
          <w:szCs w:val="21"/>
          <w:highlight w:val="none"/>
          <w:lang w:val="zh-CN"/>
        </w:rPr>
        <w:t>定标文件内容格式</w:t>
      </w:r>
    </w:p>
    <w:p w14:paraId="1A740932">
      <w:pPr>
        <w:pStyle w:val="2"/>
        <w:jc w:val="center"/>
        <w:rPr>
          <w:rFonts w:ascii="宋体" w:hAnsi="宋体" w:cs="宋体"/>
          <w:spacing w:val="4"/>
          <w:kern w:val="0"/>
          <w:sz w:val="30"/>
          <w:szCs w:val="30"/>
          <w:highlight w:val="none"/>
        </w:rPr>
      </w:pPr>
      <w:bookmarkStart w:id="594" w:name="OLE_LINK127"/>
      <w:bookmarkStart w:id="595" w:name="OLE_LINK133"/>
      <w:r>
        <w:rPr>
          <w:rFonts w:hint="eastAsia" w:ascii="宋体" w:hAnsi="宋体" w:cs="宋体"/>
          <w:spacing w:val="4"/>
          <w:kern w:val="0"/>
          <w:sz w:val="30"/>
          <w:szCs w:val="30"/>
          <w:highlight w:val="none"/>
        </w:rPr>
        <w:t>定标文件内容格式</w:t>
      </w:r>
      <w:bookmarkEnd w:id="594"/>
      <w:bookmarkEnd w:id="595"/>
      <w:r>
        <w:rPr>
          <w:rFonts w:hint="eastAsia" w:ascii="宋体" w:hAnsi="宋体" w:cs="宋体"/>
          <w:spacing w:val="4"/>
          <w:kern w:val="0"/>
          <w:sz w:val="30"/>
          <w:szCs w:val="30"/>
          <w:highlight w:val="none"/>
        </w:rPr>
        <w:t>自拟</w:t>
      </w:r>
    </w:p>
    <w:p w14:paraId="3E18BA0C">
      <w:pPr>
        <w:rPr>
          <w:rFonts w:ascii="宋体" w:hAnsi="宋体"/>
          <w:strike/>
          <w:highlight w:val="none"/>
        </w:rPr>
      </w:pPr>
    </w:p>
    <w:sectPr>
      <w:headerReference r:id="rId21" w:type="default"/>
      <w:footerReference r:id="rId22" w:type="default"/>
      <w:pgSz w:w="11906" w:h="16838"/>
      <w:pgMar w:top="1134" w:right="1417" w:bottom="1134" w:left="1417" w:header="567"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A736">
    <w:pPr>
      <w:pStyle w:val="28"/>
    </w:pPr>
  </w:p>
  <w:p w14:paraId="22A26DAD"/>
  <w:p w14:paraId="4B93B28D">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832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2CA0F">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C5D1">
                          <w:pPr>
                            <w:pStyle w:val="2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3DC5D1">
                    <w:pPr>
                      <w:pStyle w:val="28"/>
                    </w:pPr>
                    <w:r>
                      <w:fldChar w:fldCharType="begin"/>
                    </w:r>
                    <w:r>
                      <w:instrText xml:space="preserve"> PAGE  \* MERGEFORMAT </w:instrText>
                    </w:r>
                    <w:r>
                      <w:fldChar w:fldCharType="separate"/>
                    </w:r>
                    <w:r>
                      <w:t>45</w:t>
                    </w:r>
                    <w:r>
                      <w:fldChar w:fldCharType="end"/>
                    </w:r>
                  </w:p>
                </w:txbxContent>
              </v:textbox>
            </v:shape>
          </w:pict>
        </mc:Fallback>
      </mc:AlternateContent>
    </w:r>
  </w:p>
  <w:p w14:paraId="2898F2D6">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8C1E">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1875D">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31875D">
                    <w:pPr>
                      <w:pStyle w:val="2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E526">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91</w:t>
    </w:r>
    <w:r>
      <w:fldChar w:fldCharType="end"/>
    </w:r>
  </w:p>
  <w:p w14:paraId="7F7E81B8">
    <w:pPr>
      <w:spacing w:line="400" w:lineRule="exact"/>
    </w:pPr>
  </w:p>
  <w:p w14:paraId="2A3EAE77"/>
  <w:p w14:paraId="40318CDE"/>
  <w:p w14:paraId="05527121"/>
  <w:p w14:paraId="6B125CF6"/>
  <w:p w14:paraId="7B79BAFD"/>
  <w:p w14:paraId="4A42DE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3B35">
    <w:pPr>
      <w:pStyle w:val="28"/>
    </w:pPr>
  </w:p>
  <w:p w14:paraId="2626CDCF"/>
  <w:p w14:paraId="2909FEC1">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76FB">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7C9F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A7C9FE">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0D4C37C5"/>
  <w:p w14:paraId="1B8DDE59">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0CFF">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A7D8B">
                          <w:pPr>
                            <w:pStyle w:val="2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0A7D8B">
                    <w:pPr>
                      <w:pStyle w:val="2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294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C75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F780">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3B521">
                          <w:pPr>
                            <w:pStyle w:val="2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F3B521">
                    <w:pPr>
                      <w:pStyle w:val="28"/>
                    </w:pPr>
                    <w:r>
                      <w:fldChar w:fldCharType="begin"/>
                    </w:r>
                    <w:r>
                      <w:instrText xml:space="preserve"> PAGE  \* MERGEFORMAT </w:instrText>
                    </w:r>
                    <w:r>
                      <w:fldChar w:fldCharType="separate"/>
                    </w:r>
                    <w:r>
                      <w:t>29</w:t>
                    </w:r>
                    <w:r>
                      <w:fldChar w:fldCharType="end"/>
                    </w:r>
                  </w:p>
                </w:txbxContent>
              </v:textbox>
            </v:shape>
          </w:pict>
        </mc:Fallback>
      </mc:AlternateContent>
    </w:r>
  </w:p>
  <w:p w14:paraId="455239C2"/>
  <w:p w14:paraId="028A3177">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FB7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F49DB">
    <w:pPr>
      <w:pStyle w:val="29"/>
      <w:pBdr>
        <w:bottom w:val="none" w:color="auto" w:sz="0" w:space="0"/>
      </w:pBdr>
      <w:rPr>
        <w:szCs w:val="24"/>
      </w:rPr>
    </w:pPr>
    <w:r>
      <w:rPr>
        <w:b/>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444500</wp:posOffset>
              </wp:positionV>
              <wp:extent cx="6153150" cy="0"/>
              <wp:effectExtent l="0" t="5080" r="0" b="4445"/>
              <wp:wrapNone/>
              <wp:docPr id="1" name="Line 1"/>
              <wp:cNvGraphicFramePr/>
              <a:graphic xmlns:a="http://schemas.openxmlformats.org/drawingml/2006/main">
                <a:graphicData uri="http://schemas.microsoft.com/office/word/2010/wordprocessingShape">
                  <wps:wsp>
                    <wps:cNvCnPr/>
                    <wps:spPr>
                      <a:xfrm>
                        <a:off x="0" y="0"/>
                        <a:ext cx="6153150" cy="0"/>
                      </a:xfrm>
                      <a:prstGeom prst="line">
                        <a:avLst/>
                      </a:prstGeom>
                      <a:ln w="3175" cap="flat" cmpd="sng">
                        <a:solidFill>
                          <a:srgbClr val="FFFFFF"/>
                        </a:solidFill>
                        <a:prstDash val="solid"/>
                        <a:headEnd type="none" w="med" len="med"/>
                        <a:tailEnd type="none" w="med" len="med"/>
                      </a:ln>
                    </wps:spPr>
                    <wps:bodyPr upright="1"/>
                  </wps:wsp>
                </a:graphicData>
              </a:graphic>
            </wp:anchor>
          </w:drawing>
        </mc:Choice>
        <mc:Fallback>
          <w:pict>
            <v:line id="Line 1" o:spid="_x0000_s1026" o:spt="20" style="position:absolute;left:0pt;margin-left:-1.35pt;margin-top:35pt;height:0pt;width:484.5pt;z-index:251659264;mso-width-relative:page;mso-height-relative:page;" filled="f" stroked="t" coordsize="21600,21600" o:gfxdata="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8p8ftcAAAAIAQAADwAAAAAA&#10;AAABACAAAAAiAAAAZHJzL2Rvd25yZXYueG1sUEsBAhQAFAAAAAgAh07iQPLjBinbAQAA2QMAAA4A&#10;AAAAAAAAAQAgAAAAJgEAAGRycy9lMm9Eb2MueG1sUEsFBgAAAAAGAAYAWQEAAHMFAAAAAA==&#10;">
              <v:fill on="f" focussize="0,0"/>
              <v:stroke weight="0.25pt" color="#FFFFFF"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AE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3D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3C7C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073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714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C0D5">
    <w:pPr>
      <w:pStyle w:val="2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4383">
    <w:pPr>
      <w:pStyle w:val="2"/>
      <w:tabs>
        <w:tab w:val="left" w:pos="3240"/>
      </w:tabs>
      <w:kinsoku w:val="0"/>
      <w:overflowPunct w:val="0"/>
      <w:spacing w:line="14" w:lineRule="auto"/>
      <w:rPr>
        <w:sz w:val="20"/>
      </w:rPr>
    </w:pPr>
    <w:r>
      <w:rPr>
        <w:rFonts w:hint="eastAsia"/>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ZTI4ZDEwNTA0ZTY4ZWJlMDMxMjRlYjY4ZGQ1NzQifQ=="/>
  </w:docVars>
  <w:rsids>
    <w:rsidRoot w:val="00172A27"/>
    <w:rsid w:val="000003D3"/>
    <w:rsid w:val="00001676"/>
    <w:rsid w:val="00003634"/>
    <w:rsid w:val="00003A0F"/>
    <w:rsid w:val="00003B51"/>
    <w:rsid w:val="00003C90"/>
    <w:rsid w:val="000065BE"/>
    <w:rsid w:val="000072A0"/>
    <w:rsid w:val="000072F1"/>
    <w:rsid w:val="00014572"/>
    <w:rsid w:val="0001575B"/>
    <w:rsid w:val="00015A28"/>
    <w:rsid w:val="000172C9"/>
    <w:rsid w:val="000175BC"/>
    <w:rsid w:val="00021871"/>
    <w:rsid w:val="00023604"/>
    <w:rsid w:val="00025003"/>
    <w:rsid w:val="00027452"/>
    <w:rsid w:val="0002795A"/>
    <w:rsid w:val="00027FAA"/>
    <w:rsid w:val="000302B0"/>
    <w:rsid w:val="0003183F"/>
    <w:rsid w:val="00031EF6"/>
    <w:rsid w:val="000320C1"/>
    <w:rsid w:val="000340DD"/>
    <w:rsid w:val="00034A4E"/>
    <w:rsid w:val="00034D37"/>
    <w:rsid w:val="00035689"/>
    <w:rsid w:val="00035B67"/>
    <w:rsid w:val="0003646E"/>
    <w:rsid w:val="00040032"/>
    <w:rsid w:val="000404D5"/>
    <w:rsid w:val="00040E4C"/>
    <w:rsid w:val="00041AD5"/>
    <w:rsid w:val="00046241"/>
    <w:rsid w:val="0004727B"/>
    <w:rsid w:val="0004782D"/>
    <w:rsid w:val="00052D66"/>
    <w:rsid w:val="000534FB"/>
    <w:rsid w:val="0005505A"/>
    <w:rsid w:val="00060807"/>
    <w:rsid w:val="00061CAF"/>
    <w:rsid w:val="000625C7"/>
    <w:rsid w:val="00062C89"/>
    <w:rsid w:val="0006595B"/>
    <w:rsid w:val="000668D3"/>
    <w:rsid w:val="000701BC"/>
    <w:rsid w:val="00070F23"/>
    <w:rsid w:val="00070F3D"/>
    <w:rsid w:val="00071DFC"/>
    <w:rsid w:val="00072583"/>
    <w:rsid w:val="00073E1A"/>
    <w:rsid w:val="000742B3"/>
    <w:rsid w:val="0007455D"/>
    <w:rsid w:val="0007550C"/>
    <w:rsid w:val="0007578C"/>
    <w:rsid w:val="000762EC"/>
    <w:rsid w:val="0007727F"/>
    <w:rsid w:val="00081DE6"/>
    <w:rsid w:val="00090C9D"/>
    <w:rsid w:val="00093C24"/>
    <w:rsid w:val="000949BD"/>
    <w:rsid w:val="000968AE"/>
    <w:rsid w:val="00096E7A"/>
    <w:rsid w:val="000A189B"/>
    <w:rsid w:val="000A2396"/>
    <w:rsid w:val="000A2B9B"/>
    <w:rsid w:val="000A2BA9"/>
    <w:rsid w:val="000A6BEB"/>
    <w:rsid w:val="000A7A55"/>
    <w:rsid w:val="000B3C38"/>
    <w:rsid w:val="000B4154"/>
    <w:rsid w:val="000B472A"/>
    <w:rsid w:val="000B5183"/>
    <w:rsid w:val="000B5201"/>
    <w:rsid w:val="000B55BF"/>
    <w:rsid w:val="000B63C8"/>
    <w:rsid w:val="000C0D38"/>
    <w:rsid w:val="000C3D5C"/>
    <w:rsid w:val="000C6692"/>
    <w:rsid w:val="000C69F3"/>
    <w:rsid w:val="000C6B0B"/>
    <w:rsid w:val="000D11F5"/>
    <w:rsid w:val="000D1536"/>
    <w:rsid w:val="000D1B2B"/>
    <w:rsid w:val="000D3A52"/>
    <w:rsid w:val="000D56B6"/>
    <w:rsid w:val="000D621A"/>
    <w:rsid w:val="000D6283"/>
    <w:rsid w:val="000E1AFF"/>
    <w:rsid w:val="000E5841"/>
    <w:rsid w:val="000E59C5"/>
    <w:rsid w:val="000E5E43"/>
    <w:rsid w:val="000E5EB8"/>
    <w:rsid w:val="000F16C4"/>
    <w:rsid w:val="000F1E63"/>
    <w:rsid w:val="000F2236"/>
    <w:rsid w:val="000F2C2F"/>
    <w:rsid w:val="000F31AC"/>
    <w:rsid w:val="000F3CB3"/>
    <w:rsid w:val="000F4AA0"/>
    <w:rsid w:val="000F4D98"/>
    <w:rsid w:val="000F589D"/>
    <w:rsid w:val="000F6877"/>
    <w:rsid w:val="001024ED"/>
    <w:rsid w:val="00102AB4"/>
    <w:rsid w:val="00103391"/>
    <w:rsid w:val="001033A8"/>
    <w:rsid w:val="00104240"/>
    <w:rsid w:val="00106177"/>
    <w:rsid w:val="00110EA2"/>
    <w:rsid w:val="001112AA"/>
    <w:rsid w:val="00111B83"/>
    <w:rsid w:val="00111FE2"/>
    <w:rsid w:val="0011230E"/>
    <w:rsid w:val="00113466"/>
    <w:rsid w:val="0011592E"/>
    <w:rsid w:val="00115974"/>
    <w:rsid w:val="001159C1"/>
    <w:rsid w:val="00116308"/>
    <w:rsid w:val="00122279"/>
    <w:rsid w:val="00124006"/>
    <w:rsid w:val="001248E9"/>
    <w:rsid w:val="00124AD7"/>
    <w:rsid w:val="00124B00"/>
    <w:rsid w:val="001251DD"/>
    <w:rsid w:val="00125E36"/>
    <w:rsid w:val="0012623F"/>
    <w:rsid w:val="001271E7"/>
    <w:rsid w:val="00130406"/>
    <w:rsid w:val="00130471"/>
    <w:rsid w:val="00130501"/>
    <w:rsid w:val="00132007"/>
    <w:rsid w:val="001345C8"/>
    <w:rsid w:val="0013644C"/>
    <w:rsid w:val="0014024E"/>
    <w:rsid w:val="001406C6"/>
    <w:rsid w:val="00141127"/>
    <w:rsid w:val="001459B1"/>
    <w:rsid w:val="001467EA"/>
    <w:rsid w:val="00150873"/>
    <w:rsid w:val="00152D18"/>
    <w:rsid w:val="00153FD1"/>
    <w:rsid w:val="0015406B"/>
    <w:rsid w:val="00155264"/>
    <w:rsid w:val="00156446"/>
    <w:rsid w:val="00156ACF"/>
    <w:rsid w:val="00157B15"/>
    <w:rsid w:val="001612BA"/>
    <w:rsid w:val="00164FCE"/>
    <w:rsid w:val="00166788"/>
    <w:rsid w:val="001668DD"/>
    <w:rsid w:val="00167793"/>
    <w:rsid w:val="00167BCD"/>
    <w:rsid w:val="0017119C"/>
    <w:rsid w:val="001721D3"/>
    <w:rsid w:val="00172412"/>
    <w:rsid w:val="00172A27"/>
    <w:rsid w:val="00172FC8"/>
    <w:rsid w:val="0017552A"/>
    <w:rsid w:val="001761EC"/>
    <w:rsid w:val="00177F8A"/>
    <w:rsid w:val="00180678"/>
    <w:rsid w:val="001806FC"/>
    <w:rsid w:val="0018198F"/>
    <w:rsid w:val="00181EFE"/>
    <w:rsid w:val="0018346A"/>
    <w:rsid w:val="00183655"/>
    <w:rsid w:val="00191232"/>
    <w:rsid w:val="0019240E"/>
    <w:rsid w:val="00192ACD"/>
    <w:rsid w:val="00192F24"/>
    <w:rsid w:val="00194775"/>
    <w:rsid w:val="001975DE"/>
    <w:rsid w:val="001A050E"/>
    <w:rsid w:val="001A35A3"/>
    <w:rsid w:val="001A35FC"/>
    <w:rsid w:val="001A3860"/>
    <w:rsid w:val="001A684C"/>
    <w:rsid w:val="001B0CC4"/>
    <w:rsid w:val="001B3099"/>
    <w:rsid w:val="001B41A8"/>
    <w:rsid w:val="001B4904"/>
    <w:rsid w:val="001C2609"/>
    <w:rsid w:val="001C2AD6"/>
    <w:rsid w:val="001C35B6"/>
    <w:rsid w:val="001C7A0B"/>
    <w:rsid w:val="001C7EAB"/>
    <w:rsid w:val="001D4553"/>
    <w:rsid w:val="001D6082"/>
    <w:rsid w:val="001D7764"/>
    <w:rsid w:val="001E0834"/>
    <w:rsid w:val="001E0FAF"/>
    <w:rsid w:val="001E494A"/>
    <w:rsid w:val="001E6DE4"/>
    <w:rsid w:val="001F1DE3"/>
    <w:rsid w:val="001F4B36"/>
    <w:rsid w:val="001F7480"/>
    <w:rsid w:val="0020100D"/>
    <w:rsid w:val="00205203"/>
    <w:rsid w:val="00206880"/>
    <w:rsid w:val="00206945"/>
    <w:rsid w:val="00207FCA"/>
    <w:rsid w:val="00210B48"/>
    <w:rsid w:val="002125B2"/>
    <w:rsid w:val="00212D6C"/>
    <w:rsid w:val="00213097"/>
    <w:rsid w:val="002130C2"/>
    <w:rsid w:val="002164AE"/>
    <w:rsid w:val="002166DB"/>
    <w:rsid w:val="00217638"/>
    <w:rsid w:val="0022020C"/>
    <w:rsid w:val="00220637"/>
    <w:rsid w:val="002237D9"/>
    <w:rsid w:val="00223C10"/>
    <w:rsid w:val="002250BA"/>
    <w:rsid w:val="002262C0"/>
    <w:rsid w:val="0022704C"/>
    <w:rsid w:val="00227458"/>
    <w:rsid w:val="00230D0D"/>
    <w:rsid w:val="002313C2"/>
    <w:rsid w:val="0023171B"/>
    <w:rsid w:val="00232A96"/>
    <w:rsid w:val="002338F2"/>
    <w:rsid w:val="002345BE"/>
    <w:rsid w:val="00234807"/>
    <w:rsid w:val="0023522C"/>
    <w:rsid w:val="002352CC"/>
    <w:rsid w:val="0023550E"/>
    <w:rsid w:val="002368C4"/>
    <w:rsid w:val="00243253"/>
    <w:rsid w:val="00244B62"/>
    <w:rsid w:val="00245229"/>
    <w:rsid w:val="0024604F"/>
    <w:rsid w:val="00247314"/>
    <w:rsid w:val="00250263"/>
    <w:rsid w:val="00254749"/>
    <w:rsid w:val="00255AEF"/>
    <w:rsid w:val="00256500"/>
    <w:rsid w:val="00261B8E"/>
    <w:rsid w:val="00263BA8"/>
    <w:rsid w:val="00265659"/>
    <w:rsid w:val="00267D1A"/>
    <w:rsid w:val="00273B55"/>
    <w:rsid w:val="00274024"/>
    <w:rsid w:val="00275D26"/>
    <w:rsid w:val="0027628D"/>
    <w:rsid w:val="00277419"/>
    <w:rsid w:val="00277734"/>
    <w:rsid w:val="00280405"/>
    <w:rsid w:val="00283FFD"/>
    <w:rsid w:val="00284100"/>
    <w:rsid w:val="00284660"/>
    <w:rsid w:val="00287567"/>
    <w:rsid w:val="002907FB"/>
    <w:rsid w:val="00290EA3"/>
    <w:rsid w:val="00291D9B"/>
    <w:rsid w:val="002938B5"/>
    <w:rsid w:val="00293FEA"/>
    <w:rsid w:val="00295718"/>
    <w:rsid w:val="00295DD3"/>
    <w:rsid w:val="00296228"/>
    <w:rsid w:val="00296CEC"/>
    <w:rsid w:val="002A049B"/>
    <w:rsid w:val="002A38AF"/>
    <w:rsid w:val="002A43D3"/>
    <w:rsid w:val="002A507F"/>
    <w:rsid w:val="002A54F5"/>
    <w:rsid w:val="002A6B05"/>
    <w:rsid w:val="002A7BFF"/>
    <w:rsid w:val="002B079B"/>
    <w:rsid w:val="002B1D41"/>
    <w:rsid w:val="002B34DC"/>
    <w:rsid w:val="002B37A8"/>
    <w:rsid w:val="002B3A76"/>
    <w:rsid w:val="002B48F8"/>
    <w:rsid w:val="002B58F1"/>
    <w:rsid w:val="002B591F"/>
    <w:rsid w:val="002C0712"/>
    <w:rsid w:val="002C1D12"/>
    <w:rsid w:val="002C2539"/>
    <w:rsid w:val="002C4A6F"/>
    <w:rsid w:val="002C4C8E"/>
    <w:rsid w:val="002C5B63"/>
    <w:rsid w:val="002C72A1"/>
    <w:rsid w:val="002D0E2B"/>
    <w:rsid w:val="002D12FC"/>
    <w:rsid w:val="002D4AF5"/>
    <w:rsid w:val="002D5669"/>
    <w:rsid w:val="002D6119"/>
    <w:rsid w:val="002E026F"/>
    <w:rsid w:val="002E0616"/>
    <w:rsid w:val="002E1697"/>
    <w:rsid w:val="002E1E42"/>
    <w:rsid w:val="002E3B7D"/>
    <w:rsid w:val="002E6785"/>
    <w:rsid w:val="002F270D"/>
    <w:rsid w:val="002F37DF"/>
    <w:rsid w:val="002F3E34"/>
    <w:rsid w:val="002F54DF"/>
    <w:rsid w:val="002F5BB0"/>
    <w:rsid w:val="002F5ED2"/>
    <w:rsid w:val="002F6891"/>
    <w:rsid w:val="002F6F7C"/>
    <w:rsid w:val="00300965"/>
    <w:rsid w:val="00301AF8"/>
    <w:rsid w:val="00301E32"/>
    <w:rsid w:val="00303714"/>
    <w:rsid w:val="00304EFA"/>
    <w:rsid w:val="00305F3D"/>
    <w:rsid w:val="0031037B"/>
    <w:rsid w:val="0031187B"/>
    <w:rsid w:val="00311D70"/>
    <w:rsid w:val="00312159"/>
    <w:rsid w:val="003168EB"/>
    <w:rsid w:val="0032213E"/>
    <w:rsid w:val="00323D29"/>
    <w:rsid w:val="00324626"/>
    <w:rsid w:val="00325633"/>
    <w:rsid w:val="003305BC"/>
    <w:rsid w:val="00332F7E"/>
    <w:rsid w:val="00333C50"/>
    <w:rsid w:val="00333E23"/>
    <w:rsid w:val="00335DFB"/>
    <w:rsid w:val="00336B39"/>
    <w:rsid w:val="00337D8C"/>
    <w:rsid w:val="003407C0"/>
    <w:rsid w:val="00340B34"/>
    <w:rsid w:val="00340D97"/>
    <w:rsid w:val="00342DDD"/>
    <w:rsid w:val="003436C2"/>
    <w:rsid w:val="00344C78"/>
    <w:rsid w:val="003461DC"/>
    <w:rsid w:val="0035001E"/>
    <w:rsid w:val="003556C0"/>
    <w:rsid w:val="00355C0A"/>
    <w:rsid w:val="00356538"/>
    <w:rsid w:val="003573A7"/>
    <w:rsid w:val="00357AD3"/>
    <w:rsid w:val="00360702"/>
    <w:rsid w:val="003613C1"/>
    <w:rsid w:val="00361C34"/>
    <w:rsid w:val="00361E0D"/>
    <w:rsid w:val="003635B9"/>
    <w:rsid w:val="00365274"/>
    <w:rsid w:val="00367A4D"/>
    <w:rsid w:val="0037207F"/>
    <w:rsid w:val="00372343"/>
    <w:rsid w:val="003725E1"/>
    <w:rsid w:val="00372F32"/>
    <w:rsid w:val="00373A0F"/>
    <w:rsid w:val="00374054"/>
    <w:rsid w:val="00375009"/>
    <w:rsid w:val="003753FA"/>
    <w:rsid w:val="00375658"/>
    <w:rsid w:val="00375FDD"/>
    <w:rsid w:val="00376028"/>
    <w:rsid w:val="00377D12"/>
    <w:rsid w:val="00382B43"/>
    <w:rsid w:val="00385D64"/>
    <w:rsid w:val="003867F6"/>
    <w:rsid w:val="00387302"/>
    <w:rsid w:val="00387BEC"/>
    <w:rsid w:val="003921D5"/>
    <w:rsid w:val="00392BA1"/>
    <w:rsid w:val="003950C6"/>
    <w:rsid w:val="003964F9"/>
    <w:rsid w:val="003A5692"/>
    <w:rsid w:val="003A5E80"/>
    <w:rsid w:val="003A6E42"/>
    <w:rsid w:val="003B036C"/>
    <w:rsid w:val="003B125F"/>
    <w:rsid w:val="003B185B"/>
    <w:rsid w:val="003B4D57"/>
    <w:rsid w:val="003B71CE"/>
    <w:rsid w:val="003C07DD"/>
    <w:rsid w:val="003C10D0"/>
    <w:rsid w:val="003C1731"/>
    <w:rsid w:val="003C2E98"/>
    <w:rsid w:val="003C388C"/>
    <w:rsid w:val="003C3BC1"/>
    <w:rsid w:val="003C40D9"/>
    <w:rsid w:val="003C49DD"/>
    <w:rsid w:val="003C742A"/>
    <w:rsid w:val="003D0496"/>
    <w:rsid w:val="003D1507"/>
    <w:rsid w:val="003D1CED"/>
    <w:rsid w:val="003D2933"/>
    <w:rsid w:val="003D43DE"/>
    <w:rsid w:val="003D4723"/>
    <w:rsid w:val="003D47F3"/>
    <w:rsid w:val="003D6FE1"/>
    <w:rsid w:val="003D7AE4"/>
    <w:rsid w:val="003E1349"/>
    <w:rsid w:val="003E3344"/>
    <w:rsid w:val="003E34DA"/>
    <w:rsid w:val="003E3892"/>
    <w:rsid w:val="003E5E20"/>
    <w:rsid w:val="003F4327"/>
    <w:rsid w:val="003F4AB6"/>
    <w:rsid w:val="003F699D"/>
    <w:rsid w:val="003F69DE"/>
    <w:rsid w:val="003F75AC"/>
    <w:rsid w:val="003F79F6"/>
    <w:rsid w:val="00402445"/>
    <w:rsid w:val="00402E14"/>
    <w:rsid w:val="00403814"/>
    <w:rsid w:val="00404971"/>
    <w:rsid w:val="004050BA"/>
    <w:rsid w:val="00407B99"/>
    <w:rsid w:val="00413902"/>
    <w:rsid w:val="00415E2B"/>
    <w:rsid w:val="00416401"/>
    <w:rsid w:val="004206CF"/>
    <w:rsid w:val="004248B3"/>
    <w:rsid w:val="00424CF3"/>
    <w:rsid w:val="0042761D"/>
    <w:rsid w:val="00430984"/>
    <w:rsid w:val="00434377"/>
    <w:rsid w:val="00437447"/>
    <w:rsid w:val="00441309"/>
    <w:rsid w:val="0044158E"/>
    <w:rsid w:val="004424E4"/>
    <w:rsid w:val="004431D9"/>
    <w:rsid w:val="00445E98"/>
    <w:rsid w:val="004526F5"/>
    <w:rsid w:val="00452A31"/>
    <w:rsid w:val="00454C2C"/>
    <w:rsid w:val="0045566A"/>
    <w:rsid w:val="004564C7"/>
    <w:rsid w:val="00456B01"/>
    <w:rsid w:val="00457872"/>
    <w:rsid w:val="00460BF5"/>
    <w:rsid w:val="00460D9D"/>
    <w:rsid w:val="00460E5C"/>
    <w:rsid w:val="00462F55"/>
    <w:rsid w:val="0046337D"/>
    <w:rsid w:val="004636C1"/>
    <w:rsid w:val="00463F38"/>
    <w:rsid w:val="00467455"/>
    <w:rsid w:val="00472A8A"/>
    <w:rsid w:val="0047609F"/>
    <w:rsid w:val="0047703D"/>
    <w:rsid w:val="00477C9E"/>
    <w:rsid w:val="0048131F"/>
    <w:rsid w:val="00481380"/>
    <w:rsid w:val="00484094"/>
    <w:rsid w:val="004869A1"/>
    <w:rsid w:val="004870C7"/>
    <w:rsid w:val="00487F0E"/>
    <w:rsid w:val="00490693"/>
    <w:rsid w:val="00491CAA"/>
    <w:rsid w:val="0049414E"/>
    <w:rsid w:val="004959A7"/>
    <w:rsid w:val="00497AD6"/>
    <w:rsid w:val="004A34F1"/>
    <w:rsid w:val="004A35F5"/>
    <w:rsid w:val="004A437B"/>
    <w:rsid w:val="004A48E9"/>
    <w:rsid w:val="004A64B7"/>
    <w:rsid w:val="004A6E24"/>
    <w:rsid w:val="004B1CAF"/>
    <w:rsid w:val="004B1DDE"/>
    <w:rsid w:val="004B20F1"/>
    <w:rsid w:val="004B3C5A"/>
    <w:rsid w:val="004B458D"/>
    <w:rsid w:val="004B7BF8"/>
    <w:rsid w:val="004B7E58"/>
    <w:rsid w:val="004C22B2"/>
    <w:rsid w:val="004C2579"/>
    <w:rsid w:val="004C3B3E"/>
    <w:rsid w:val="004C474A"/>
    <w:rsid w:val="004C5DB4"/>
    <w:rsid w:val="004C6993"/>
    <w:rsid w:val="004C6999"/>
    <w:rsid w:val="004C6B9B"/>
    <w:rsid w:val="004D128E"/>
    <w:rsid w:val="004D25B5"/>
    <w:rsid w:val="004D47F5"/>
    <w:rsid w:val="004D6997"/>
    <w:rsid w:val="004D6D1C"/>
    <w:rsid w:val="004D6D5E"/>
    <w:rsid w:val="004E13B8"/>
    <w:rsid w:val="004E248F"/>
    <w:rsid w:val="004E38D0"/>
    <w:rsid w:val="004E3D43"/>
    <w:rsid w:val="004E658F"/>
    <w:rsid w:val="004E76C9"/>
    <w:rsid w:val="004F2467"/>
    <w:rsid w:val="004F2578"/>
    <w:rsid w:val="004F4A76"/>
    <w:rsid w:val="004F6E2F"/>
    <w:rsid w:val="004F6EDD"/>
    <w:rsid w:val="0050248B"/>
    <w:rsid w:val="005034A4"/>
    <w:rsid w:val="005052E6"/>
    <w:rsid w:val="005059B4"/>
    <w:rsid w:val="00506D85"/>
    <w:rsid w:val="00506EEB"/>
    <w:rsid w:val="005126D1"/>
    <w:rsid w:val="00515254"/>
    <w:rsid w:val="005171B6"/>
    <w:rsid w:val="00520469"/>
    <w:rsid w:val="005219BD"/>
    <w:rsid w:val="005222D0"/>
    <w:rsid w:val="005227C7"/>
    <w:rsid w:val="00523609"/>
    <w:rsid w:val="0052419C"/>
    <w:rsid w:val="00525474"/>
    <w:rsid w:val="00525A68"/>
    <w:rsid w:val="005263E5"/>
    <w:rsid w:val="00526F60"/>
    <w:rsid w:val="00527264"/>
    <w:rsid w:val="005300E4"/>
    <w:rsid w:val="005332EB"/>
    <w:rsid w:val="00533BB0"/>
    <w:rsid w:val="00534DF9"/>
    <w:rsid w:val="0053511D"/>
    <w:rsid w:val="00541A08"/>
    <w:rsid w:val="00543244"/>
    <w:rsid w:val="00543598"/>
    <w:rsid w:val="0054576B"/>
    <w:rsid w:val="00546E4F"/>
    <w:rsid w:val="0055031A"/>
    <w:rsid w:val="005506DA"/>
    <w:rsid w:val="00551287"/>
    <w:rsid w:val="00551981"/>
    <w:rsid w:val="005545C3"/>
    <w:rsid w:val="00555EC3"/>
    <w:rsid w:val="005560B8"/>
    <w:rsid w:val="00561467"/>
    <w:rsid w:val="00563411"/>
    <w:rsid w:val="00565BCA"/>
    <w:rsid w:val="00571A52"/>
    <w:rsid w:val="005724D3"/>
    <w:rsid w:val="005733B6"/>
    <w:rsid w:val="00576C66"/>
    <w:rsid w:val="005802D7"/>
    <w:rsid w:val="005803DC"/>
    <w:rsid w:val="0058055E"/>
    <w:rsid w:val="00580B9E"/>
    <w:rsid w:val="00580DBC"/>
    <w:rsid w:val="005818F0"/>
    <w:rsid w:val="005819D9"/>
    <w:rsid w:val="00581B52"/>
    <w:rsid w:val="00582E05"/>
    <w:rsid w:val="00583655"/>
    <w:rsid w:val="00584119"/>
    <w:rsid w:val="00587339"/>
    <w:rsid w:val="00592B4C"/>
    <w:rsid w:val="00593E94"/>
    <w:rsid w:val="00593FED"/>
    <w:rsid w:val="00595DAF"/>
    <w:rsid w:val="00595F7B"/>
    <w:rsid w:val="00596CEE"/>
    <w:rsid w:val="00596E57"/>
    <w:rsid w:val="005A092F"/>
    <w:rsid w:val="005A356C"/>
    <w:rsid w:val="005B1C1B"/>
    <w:rsid w:val="005B2512"/>
    <w:rsid w:val="005B4227"/>
    <w:rsid w:val="005B478E"/>
    <w:rsid w:val="005B526B"/>
    <w:rsid w:val="005C0213"/>
    <w:rsid w:val="005C232D"/>
    <w:rsid w:val="005C297C"/>
    <w:rsid w:val="005C322C"/>
    <w:rsid w:val="005C35AE"/>
    <w:rsid w:val="005C3A2F"/>
    <w:rsid w:val="005C3BE7"/>
    <w:rsid w:val="005C40E6"/>
    <w:rsid w:val="005C6D52"/>
    <w:rsid w:val="005C7A71"/>
    <w:rsid w:val="005D0CBB"/>
    <w:rsid w:val="005D592A"/>
    <w:rsid w:val="005E05C9"/>
    <w:rsid w:val="005E07BA"/>
    <w:rsid w:val="005E0FE7"/>
    <w:rsid w:val="005E107C"/>
    <w:rsid w:val="005E1CA4"/>
    <w:rsid w:val="005E3944"/>
    <w:rsid w:val="005E4AFF"/>
    <w:rsid w:val="005E598D"/>
    <w:rsid w:val="005F1C80"/>
    <w:rsid w:val="005F2017"/>
    <w:rsid w:val="005F257D"/>
    <w:rsid w:val="005F2621"/>
    <w:rsid w:val="005F53EA"/>
    <w:rsid w:val="005F76A3"/>
    <w:rsid w:val="006002F4"/>
    <w:rsid w:val="0060303C"/>
    <w:rsid w:val="00603255"/>
    <w:rsid w:val="00605551"/>
    <w:rsid w:val="006071B3"/>
    <w:rsid w:val="006143FD"/>
    <w:rsid w:val="0062092A"/>
    <w:rsid w:val="00622FC0"/>
    <w:rsid w:val="006230D7"/>
    <w:rsid w:val="00623C90"/>
    <w:rsid w:val="006241BC"/>
    <w:rsid w:val="00626E81"/>
    <w:rsid w:val="0062732C"/>
    <w:rsid w:val="00627397"/>
    <w:rsid w:val="00630906"/>
    <w:rsid w:val="0063257B"/>
    <w:rsid w:val="006325D0"/>
    <w:rsid w:val="00632FB1"/>
    <w:rsid w:val="00635A37"/>
    <w:rsid w:val="006367F3"/>
    <w:rsid w:val="00641896"/>
    <w:rsid w:val="00643B82"/>
    <w:rsid w:val="00643CA0"/>
    <w:rsid w:val="00644588"/>
    <w:rsid w:val="00644A09"/>
    <w:rsid w:val="0064698A"/>
    <w:rsid w:val="00647647"/>
    <w:rsid w:val="00652057"/>
    <w:rsid w:val="006546E4"/>
    <w:rsid w:val="00655F19"/>
    <w:rsid w:val="00657B01"/>
    <w:rsid w:val="006601F8"/>
    <w:rsid w:val="00660B10"/>
    <w:rsid w:val="00662547"/>
    <w:rsid w:val="00662DF4"/>
    <w:rsid w:val="00663396"/>
    <w:rsid w:val="00666480"/>
    <w:rsid w:val="00667CA8"/>
    <w:rsid w:val="0067180A"/>
    <w:rsid w:val="00672D56"/>
    <w:rsid w:val="006741C8"/>
    <w:rsid w:val="00676A75"/>
    <w:rsid w:val="00677DC8"/>
    <w:rsid w:val="0068054E"/>
    <w:rsid w:val="006818DB"/>
    <w:rsid w:val="006823C6"/>
    <w:rsid w:val="00682BEF"/>
    <w:rsid w:val="00682F76"/>
    <w:rsid w:val="00683265"/>
    <w:rsid w:val="006837EA"/>
    <w:rsid w:val="006851C4"/>
    <w:rsid w:val="006902EC"/>
    <w:rsid w:val="006906D6"/>
    <w:rsid w:val="00693A6B"/>
    <w:rsid w:val="00697FDE"/>
    <w:rsid w:val="006A16DE"/>
    <w:rsid w:val="006A27BC"/>
    <w:rsid w:val="006A2978"/>
    <w:rsid w:val="006A300E"/>
    <w:rsid w:val="006A309F"/>
    <w:rsid w:val="006A4550"/>
    <w:rsid w:val="006A569D"/>
    <w:rsid w:val="006A6261"/>
    <w:rsid w:val="006A7164"/>
    <w:rsid w:val="006A7F20"/>
    <w:rsid w:val="006B0C26"/>
    <w:rsid w:val="006B26B2"/>
    <w:rsid w:val="006B3669"/>
    <w:rsid w:val="006B431D"/>
    <w:rsid w:val="006B4605"/>
    <w:rsid w:val="006B4EFD"/>
    <w:rsid w:val="006B5582"/>
    <w:rsid w:val="006B798A"/>
    <w:rsid w:val="006C015B"/>
    <w:rsid w:val="006C147E"/>
    <w:rsid w:val="006C3C68"/>
    <w:rsid w:val="006D0048"/>
    <w:rsid w:val="006D0AC1"/>
    <w:rsid w:val="006D259B"/>
    <w:rsid w:val="006D297A"/>
    <w:rsid w:val="006D365F"/>
    <w:rsid w:val="006D4D8D"/>
    <w:rsid w:val="006D7E43"/>
    <w:rsid w:val="006E1527"/>
    <w:rsid w:val="006E271C"/>
    <w:rsid w:val="006E2A0C"/>
    <w:rsid w:val="006E4648"/>
    <w:rsid w:val="006E6532"/>
    <w:rsid w:val="006F0EF3"/>
    <w:rsid w:val="006F2122"/>
    <w:rsid w:val="006F371A"/>
    <w:rsid w:val="006F4890"/>
    <w:rsid w:val="006F650A"/>
    <w:rsid w:val="0070090D"/>
    <w:rsid w:val="00704998"/>
    <w:rsid w:val="00705826"/>
    <w:rsid w:val="00707C00"/>
    <w:rsid w:val="00712232"/>
    <w:rsid w:val="00713C6C"/>
    <w:rsid w:val="007142A8"/>
    <w:rsid w:val="007155BB"/>
    <w:rsid w:val="00717F49"/>
    <w:rsid w:val="00720A5E"/>
    <w:rsid w:val="00722A2D"/>
    <w:rsid w:val="00724834"/>
    <w:rsid w:val="007277D6"/>
    <w:rsid w:val="0073122B"/>
    <w:rsid w:val="007331E1"/>
    <w:rsid w:val="007339AC"/>
    <w:rsid w:val="007371D2"/>
    <w:rsid w:val="007401BE"/>
    <w:rsid w:val="00740990"/>
    <w:rsid w:val="00741587"/>
    <w:rsid w:val="00744AB1"/>
    <w:rsid w:val="00746E3E"/>
    <w:rsid w:val="00747199"/>
    <w:rsid w:val="00750A00"/>
    <w:rsid w:val="00751E09"/>
    <w:rsid w:val="007537AC"/>
    <w:rsid w:val="007556D6"/>
    <w:rsid w:val="007565B1"/>
    <w:rsid w:val="007567E2"/>
    <w:rsid w:val="00757281"/>
    <w:rsid w:val="0076001E"/>
    <w:rsid w:val="007610AD"/>
    <w:rsid w:val="00761875"/>
    <w:rsid w:val="00761F76"/>
    <w:rsid w:val="00762E8B"/>
    <w:rsid w:val="00763E8E"/>
    <w:rsid w:val="00766ACC"/>
    <w:rsid w:val="00767DA4"/>
    <w:rsid w:val="007701F0"/>
    <w:rsid w:val="00770D26"/>
    <w:rsid w:val="0077227D"/>
    <w:rsid w:val="007722C8"/>
    <w:rsid w:val="00772E0D"/>
    <w:rsid w:val="007759E5"/>
    <w:rsid w:val="0077713F"/>
    <w:rsid w:val="007779F5"/>
    <w:rsid w:val="0078109B"/>
    <w:rsid w:val="00781991"/>
    <w:rsid w:val="00785738"/>
    <w:rsid w:val="007871CB"/>
    <w:rsid w:val="007877D6"/>
    <w:rsid w:val="00790D09"/>
    <w:rsid w:val="00791841"/>
    <w:rsid w:val="00792109"/>
    <w:rsid w:val="00792303"/>
    <w:rsid w:val="00794E34"/>
    <w:rsid w:val="00795BE7"/>
    <w:rsid w:val="00795CE9"/>
    <w:rsid w:val="007969C8"/>
    <w:rsid w:val="007971D8"/>
    <w:rsid w:val="007A06A4"/>
    <w:rsid w:val="007A2603"/>
    <w:rsid w:val="007A3A7F"/>
    <w:rsid w:val="007A4916"/>
    <w:rsid w:val="007A4C1A"/>
    <w:rsid w:val="007A6110"/>
    <w:rsid w:val="007A6CD1"/>
    <w:rsid w:val="007A712A"/>
    <w:rsid w:val="007A7A1A"/>
    <w:rsid w:val="007A7A23"/>
    <w:rsid w:val="007B039C"/>
    <w:rsid w:val="007B1D08"/>
    <w:rsid w:val="007B38C9"/>
    <w:rsid w:val="007B5166"/>
    <w:rsid w:val="007B5D66"/>
    <w:rsid w:val="007B6B54"/>
    <w:rsid w:val="007C0E11"/>
    <w:rsid w:val="007C0F19"/>
    <w:rsid w:val="007C25B2"/>
    <w:rsid w:val="007C3F8B"/>
    <w:rsid w:val="007C4350"/>
    <w:rsid w:val="007C47C1"/>
    <w:rsid w:val="007C4C61"/>
    <w:rsid w:val="007C5CCD"/>
    <w:rsid w:val="007C645E"/>
    <w:rsid w:val="007C69B3"/>
    <w:rsid w:val="007C7A47"/>
    <w:rsid w:val="007C7BEE"/>
    <w:rsid w:val="007D082C"/>
    <w:rsid w:val="007D0EBB"/>
    <w:rsid w:val="007D35E4"/>
    <w:rsid w:val="007D4458"/>
    <w:rsid w:val="007D5141"/>
    <w:rsid w:val="007D51F6"/>
    <w:rsid w:val="007D52DD"/>
    <w:rsid w:val="007D5FE6"/>
    <w:rsid w:val="007D7624"/>
    <w:rsid w:val="007E02B3"/>
    <w:rsid w:val="007E1A35"/>
    <w:rsid w:val="007E1F11"/>
    <w:rsid w:val="007E234E"/>
    <w:rsid w:val="007E23D9"/>
    <w:rsid w:val="007E4A8D"/>
    <w:rsid w:val="007E5F1D"/>
    <w:rsid w:val="007F132D"/>
    <w:rsid w:val="007F4EAF"/>
    <w:rsid w:val="007F6B33"/>
    <w:rsid w:val="0080359F"/>
    <w:rsid w:val="00810278"/>
    <w:rsid w:val="00810D87"/>
    <w:rsid w:val="00812359"/>
    <w:rsid w:val="00812D19"/>
    <w:rsid w:val="00813139"/>
    <w:rsid w:val="00814E89"/>
    <w:rsid w:val="008179FE"/>
    <w:rsid w:val="0082405C"/>
    <w:rsid w:val="008257A1"/>
    <w:rsid w:val="00830835"/>
    <w:rsid w:val="00830946"/>
    <w:rsid w:val="008313EF"/>
    <w:rsid w:val="0083149B"/>
    <w:rsid w:val="00834FFD"/>
    <w:rsid w:val="008367D0"/>
    <w:rsid w:val="008369FF"/>
    <w:rsid w:val="0084125A"/>
    <w:rsid w:val="008413DC"/>
    <w:rsid w:val="00841FB2"/>
    <w:rsid w:val="008435A7"/>
    <w:rsid w:val="0084497B"/>
    <w:rsid w:val="00844A88"/>
    <w:rsid w:val="00845B32"/>
    <w:rsid w:val="00845BEA"/>
    <w:rsid w:val="008509E0"/>
    <w:rsid w:val="008532D7"/>
    <w:rsid w:val="0085406F"/>
    <w:rsid w:val="00854610"/>
    <w:rsid w:val="008547B2"/>
    <w:rsid w:val="008567C3"/>
    <w:rsid w:val="00857500"/>
    <w:rsid w:val="00862352"/>
    <w:rsid w:val="0086259F"/>
    <w:rsid w:val="00862717"/>
    <w:rsid w:val="00862DAD"/>
    <w:rsid w:val="00863782"/>
    <w:rsid w:val="00864004"/>
    <w:rsid w:val="008643B2"/>
    <w:rsid w:val="00866405"/>
    <w:rsid w:val="0086655D"/>
    <w:rsid w:val="008710B2"/>
    <w:rsid w:val="00874033"/>
    <w:rsid w:val="008756AD"/>
    <w:rsid w:val="008756C8"/>
    <w:rsid w:val="00876B67"/>
    <w:rsid w:val="00877A11"/>
    <w:rsid w:val="00877E47"/>
    <w:rsid w:val="008806AF"/>
    <w:rsid w:val="00881A33"/>
    <w:rsid w:val="00883419"/>
    <w:rsid w:val="008837F9"/>
    <w:rsid w:val="008852CF"/>
    <w:rsid w:val="00886E97"/>
    <w:rsid w:val="00886EFB"/>
    <w:rsid w:val="008903E7"/>
    <w:rsid w:val="00892216"/>
    <w:rsid w:val="00893ED3"/>
    <w:rsid w:val="00894476"/>
    <w:rsid w:val="00894A47"/>
    <w:rsid w:val="008955FE"/>
    <w:rsid w:val="008A0327"/>
    <w:rsid w:val="008A0926"/>
    <w:rsid w:val="008A15B1"/>
    <w:rsid w:val="008A16D5"/>
    <w:rsid w:val="008A2A17"/>
    <w:rsid w:val="008A3038"/>
    <w:rsid w:val="008A4AAF"/>
    <w:rsid w:val="008A5464"/>
    <w:rsid w:val="008A5ABA"/>
    <w:rsid w:val="008A71D4"/>
    <w:rsid w:val="008A7499"/>
    <w:rsid w:val="008B07A8"/>
    <w:rsid w:val="008B0CAD"/>
    <w:rsid w:val="008B16CF"/>
    <w:rsid w:val="008B292E"/>
    <w:rsid w:val="008B7F61"/>
    <w:rsid w:val="008C002D"/>
    <w:rsid w:val="008C03C3"/>
    <w:rsid w:val="008C0F67"/>
    <w:rsid w:val="008C234B"/>
    <w:rsid w:val="008C287F"/>
    <w:rsid w:val="008C4DAE"/>
    <w:rsid w:val="008D12AE"/>
    <w:rsid w:val="008D135E"/>
    <w:rsid w:val="008D4998"/>
    <w:rsid w:val="008D67EA"/>
    <w:rsid w:val="008D7132"/>
    <w:rsid w:val="008E04B7"/>
    <w:rsid w:val="008E0579"/>
    <w:rsid w:val="008E0C29"/>
    <w:rsid w:val="008E122F"/>
    <w:rsid w:val="008E4E60"/>
    <w:rsid w:val="008F04E0"/>
    <w:rsid w:val="008F2DA0"/>
    <w:rsid w:val="008F3768"/>
    <w:rsid w:val="008F3C7B"/>
    <w:rsid w:val="008F4658"/>
    <w:rsid w:val="008F4775"/>
    <w:rsid w:val="008F49F3"/>
    <w:rsid w:val="008F4E56"/>
    <w:rsid w:val="008F5B09"/>
    <w:rsid w:val="008F667D"/>
    <w:rsid w:val="008F69C5"/>
    <w:rsid w:val="008F6F46"/>
    <w:rsid w:val="008F6F8E"/>
    <w:rsid w:val="009006D0"/>
    <w:rsid w:val="00901533"/>
    <w:rsid w:val="00903BDD"/>
    <w:rsid w:val="00905CC0"/>
    <w:rsid w:val="00911973"/>
    <w:rsid w:val="00915206"/>
    <w:rsid w:val="00915363"/>
    <w:rsid w:val="00917A27"/>
    <w:rsid w:val="00922D1F"/>
    <w:rsid w:val="00922EF9"/>
    <w:rsid w:val="00923CE5"/>
    <w:rsid w:val="0092610E"/>
    <w:rsid w:val="00927405"/>
    <w:rsid w:val="00930BB0"/>
    <w:rsid w:val="00931012"/>
    <w:rsid w:val="009313DE"/>
    <w:rsid w:val="00931E8A"/>
    <w:rsid w:val="00932587"/>
    <w:rsid w:val="009339B5"/>
    <w:rsid w:val="009352BD"/>
    <w:rsid w:val="00936BD8"/>
    <w:rsid w:val="00936C4F"/>
    <w:rsid w:val="009370E1"/>
    <w:rsid w:val="00937699"/>
    <w:rsid w:val="00951617"/>
    <w:rsid w:val="00951A15"/>
    <w:rsid w:val="00951CEC"/>
    <w:rsid w:val="009533DA"/>
    <w:rsid w:val="00955B80"/>
    <w:rsid w:val="00956623"/>
    <w:rsid w:val="00957747"/>
    <w:rsid w:val="00957C29"/>
    <w:rsid w:val="009616C2"/>
    <w:rsid w:val="009624D9"/>
    <w:rsid w:val="00964341"/>
    <w:rsid w:val="009652E2"/>
    <w:rsid w:val="00966496"/>
    <w:rsid w:val="0097128D"/>
    <w:rsid w:val="009719DF"/>
    <w:rsid w:val="00972493"/>
    <w:rsid w:val="00972FF2"/>
    <w:rsid w:val="00975F88"/>
    <w:rsid w:val="0097688F"/>
    <w:rsid w:val="00977E84"/>
    <w:rsid w:val="00980319"/>
    <w:rsid w:val="00980441"/>
    <w:rsid w:val="00984468"/>
    <w:rsid w:val="00985D58"/>
    <w:rsid w:val="009865E2"/>
    <w:rsid w:val="00986B21"/>
    <w:rsid w:val="0098725D"/>
    <w:rsid w:val="009906CD"/>
    <w:rsid w:val="00990CE4"/>
    <w:rsid w:val="0099247C"/>
    <w:rsid w:val="0099593A"/>
    <w:rsid w:val="00996401"/>
    <w:rsid w:val="00996D3E"/>
    <w:rsid w:val="009A0F02"/>
    <w:rsid w:val="009A1F89"/>
    <w:rsid w:val="009A4EDF"/>
    <w:rsid w:val="009A5F0B"/>
    <w:rsid w:val="009B0E4A"/>
    <w:rsid w:val="009B1615"/>
    <w:rsid w:val="009B16FF"/>
    <w:rsid w:val="009B27B4"/>
    <w:rsid w:val="009B3932"/>
    <w:rsid w:val="009B4072"/>
    <w:rsid w:val="009B65B8"/>
    <w:rsid w:val="009C0183"/>
    <w:rsid w:val="009C03EF"/>
    <w:rsid w:val="009C1C8E"/>
    <w:rsid w:val="009C224E"/>
    <w:rsid w:val="009C2522"/>
    <w:rsid w:val="009C463B"/>
    <w:rsid w:val="009C4FA1"/>
    <w:rsid w:val="009C6C30"/>
    <w:rsid w:val="009C774E"/>
    <w:rsid w:val="009C7973"/>
    <w:rsid w:val="009D0031"/>
    <w:rsid w:val="009D017B"/>
    <w:rsid w:val="009D0BD9"/>
    <w:rsid w:val="009D1656"/>
    <w:rsid w:val="009D2F50"/>
    <w:rsid w:val="009D502B"/>
    <w:rsid w:val="009D592A"/>
    <w:rsid w:val="009D5F74"/>
    <w:rsid w:val="009D7092"/>
    <w:rsid w:val="009E04E0"/>
    <w:rsid w:val="009E1E39"/>
    <w:rsid w:val="009E4D75"/>
    <w:rsid w:val="009E5C75"/>
    <w:rsid w:val="009F1394"/>
    <w:rsid w:val="009F4C09"/>
    <w:rsid w:val="009F5426"/>
    <w:rsid w:val="009F618E"/>
    <w:rsid w:val="009F7398"/>
    <w:rsid w:val="009F743E"/>
    <w:rsid w:val="00A040D7"/>
    <w:rsid w:val="00A07D72"/>
    <w:rsid w:val="00A10A44"/>
    <w:rsid w:val="00A12748"/>
    <w:rsid w:val="00A127A9"/>
    <w:rsid w:val="00A12CE7"/>
    <w:rsid w:val="00A134C9"/>
    <w:rsid w:val="00A135AE"/>
    <w:rsid w:val="00A1387E"/>
    <w:rsid w:val="00A13F3B"/>
    <w:rsid w:val="00A140B3"/>
    <w:rsid w:val="00A146C3"/>
    <w:rsid w:val="00A14EAA"/>
    <w:rsid w:val="00A159D9"/>
    <w:rsid w:val="00A15E0B"/>
    <w:rsid w:val="00A17E41"/>
    <w:rsid w:val="00A22089"/>
    <w:rsid w:val="00A240C0"/>
    <w:rsid w:val="00A25383"/>
    <w:rsid w:val="00A25FBE"/>
    <w:rsid w:val="00A260CF"/>
    <w:rsid w:val="00A30518"/>
    <w:rsid w:val="00A3605A"/>
    <w:rsid w:val="00A36BB9"/>
    <w:rsid w:val="00A410A5"/>
    <w:rsid w:val="00A43A38"/>
    <w:rsid w:val="00A44B08"/>
    <w:rsid w:val="00A46010"/>
    <w:rsid w:val="00A50596"/>
    <w:rsid w:val="00A50719"/>
    <w:rsid w:val="00A52260"/>
    <w:rsid w:val="00A5254D"/>
    <w:rsid w:val="00A53687"/>
    <w:rsid w:val="00A536C6"/>
    <w:rsid w:val="00A55D24"/>
    <w:rsid w:val="00A56B71"/>
    <w:rsid w:val="00A601E9"/>
    <w:rsid w:val="00A60D46"/>
    <w:rsid w:val="00A62536"/>
    <w:rsid w:val="00A648CC"/>
    <w:rsid w:val="00A75984"/>
    <w:rsid w:val="00A77C99"/>
    <w:rsid w:val="00A8056A"/>
    <w:rsid w:val="00A8064B"/>
    <w:rsid w:val="00A80F92"/>
    <w:rsid w:val="00A84276"/>
    <w:rsid w:val="00A85A1F"/>
    <w:rsid w:val="00A86091"/>
    <w:rsid w:val="00A866C3"/>
    <w:rsid w:val="00A901E1"/>
    <w:rsid w:val="00A91787"/>
    <w:rsid w:val="00A91F59"/>
    <w:rsid w:val="00A9225F"/>
    <w:rsid w:val="00A941A1"/>
    <w:rsid w:val="00A9586D"/>
    <w:rsid w:val="00A95963"/>
    <w:rsid w:val="00A962D5"/>
    <w:rsid w:val="00A96837"/>
    <w:rsid w:val="00AA0109"/>
    <w:rsid w:val="00AA06D0"/>
    <w:rsid w:val="00AA0AC4"/>
    <w:rsid w:val="00AA126D"/>
    <w:rsid w:val="00AA13E6"/>
    <w:rsid w:val="00AA189F"/>
    <w:rsid w:val="00AA4549"/>
    <w:rsid w:val="00AA4691"/>
    <w:rsid w:val="00AA5E09"/>
    <w:rsid w:val="00AA6204"/>
    <w:rsid w:val="00AB0145"/>
    <w:rsid w:val="00AB2104"/>
    <w:rsid w:val="00AB2BB7"/>
    <w:rsid w:val="00AB354F"/>
    <w:rsid w:val="00AB437A"/>
    <w:rsid w:val="00AB55D1"/>
    <w:rsid w:val="00AC021A"/>
    <w:rsid w:val="00AC0647"/>
    <w:rsid w:val="00AC63A3"/>
    <w:rsid w:val="00AC6503"/>
    <w:rsid w:val="00AC7C16"/>
    <w:rsid w:val="00AC7D54"/>
    <w:rsid w:val="00AC7F40"/>
    <w:rsid w:val="00AD0807"/>
    <w:rsid w:val="00AD1FFD"/>
    <w:rsid w:val="00AD27D9"/>
    <w:rsid w:val="00AD2ABE"/>
    <w:rsid w:val="00AD2D52"/>
    <w:rsid w:val="00AD352C"/>
    <w:rsid w:val="00AD3FF4"/>
    <w:rsid w:val="00AD4FC5"/>
    <w:rsid w:val="00AE03D5"/>
    <w:rsid w:val="00AE1602"/>
    <w:rsid w:val="00AE1ABA"/>
    <w:rsid w:val="00AE6A5D"/>
    <w:rsid w:val="00AF0AFC"/>
    <w:rsid w:val="00AF142D"/>
    <w:rsid w:val="00AF15D3"/>
    <w:rsid w:val="00AF1740"/>
    <w:rsid w:val="00AF32C4"/>
    <w:rsid w:val="00AF33DB"/>
    <w:rsid w:val="00AF3A70"/>
    <w:rsid w:val="00AF4819"/>
    <w:rsid w:val="00AF5497"/>
    <w:rsid w:val="00B00072"/>
    <w:rsid w:val="00B02649"/>
    <w:rsid w:val="00B02724"/>
    <w:rsid w:val="00B0311C"/>
    <w:rsid w:val="00B0400D"/>
    <w:rsid w:val="00B046FE"/>
    <w:rsid w:val="00B05393"/>
    <w:rsid w:val="00B06FC2"/>
    <w:rsid w:val="00B10557"/>
    <w:rsid w:val="00B15E5B"/>
    <w:rsid w:val="00B16AD6"/>
    <w:rsid w:val="00B20649"/>
    <w:rsid w:val="00B20E83"/>
    <w:rsid w:val="00B216A8"/>
    <w:rsid w:val="00B2752C"/>
    <w:rsid w:val="00B27CBF"/>
    <w:rsid w:val="00B27D0C"/>
    <w:rsid w:val="00B27D40"/>
    <w:rsid w:val="00B30F01"/>
    <w:rsid w:val="00B310FD"/>
    <w:rsid w:val="00B328EB"/>
    <w:rsid w:val="00B34013"/>
    <w:rsid w:val="00B34066"/>
    <w:rsid w:val="00B345E5"/>
    <w:rsid w:val="00B41AB9"/>
    <w:rsid w:val="00B41DA5"/>
    <w:rsid w:val="00B43843"/>
    <w:rsid w:val="00B51001"/>
    <w:rsid w:val="00B5172E"/>
    <w:rsid w:val="00B52027"/>
    <w:rsid w:val="00B5245D"/>
    <w:rsid w:val="00B5345E"/>
    <w:rsid w:val="00B53ABA"/>
    <w:rsid w:val="00B5560D"/>
    <w:rsid w:val="00B570AD"/>
    <w:rsid w:val="00B604E1"/>
    <w:rsid w:val="00B61531"/>
    <w:rsid w:val="00B61F84"/>
    <w:rsid w:val="00B62274"/>
    <w:rsid w:val="00B62EF1"/>
    <w:rsid w:val="00B634FC"/>
    <w:rsid w:val="00B64276"/>
    <w:rsid w:val="00B64E41"/>
    <w:rsid w:val="00B65990"/>
    <w:rsid w:val="00B66287"/>
    <w:rsid w:val="00B704A7"/>
    <w:rsid w:val="00B70F4E"/>
    <w:rsid w:val="00B71CFF"/>
    <w:rsid w:val="00B7557B"/>
    <w:rsid w:val="00B77A1E"/>
    <w:rsid w:val="00B81913"/>
    <w:rsid w:val="00B83150"/>
    <w:rsid w:val="00B83F89"/>
    <w:rsid w:val="00B8418C"/>
    <w:rsid w:val="00B85143"/>
    <w:rsid w:val="00B85CA7"/>
    <w:rsid w:val="00B9006B"/>
    <w:rsid w:val="00B914C2"/>
    <w:rsid w:val="00B918E8"/>
    <w:rsid w:val="00B92146"/>
    <w:rsid w:val="00B959A8"/>
    <w:rsid w:val="00B97100"/>
    <w:rsid w:val="00BA0429"/>
    <w:rsid w:val="00BA1776"/>
    <w:rsid w:val="00BA46B2"/>
    <w:rsid w:val="00BA61B8"/>
    <w:rsid w:val="00BA7F9A"/>
    <w:rsid w:val="00BB2721"/>
    <w:rsid w:val="00BB2C01"/>
    <w:rsid w:val="00BB3EED"/>
    <w:rsid w:val="00BB51D9"/>
    <w:rsid w:val="00BB55DB"/>
    <w:rsid w:val="00BB59B9"/>
    <w:rsid w:val="00BB7FDF"/>
    <w:rsid w:val="00BC0E23"/>
    <w:rsid w:val="00BC0E80"/>
    <w:rsid w:val="00BC0F5C"/>
    <w:rsid w:val="00BC14E6"/>
    <w:rsid w:val="00BC14EB"/>
    <w:rsid w:val="00BC26BA"/>
    <w:rsid w:val="00BC346A"/>
    <w:rsid w:val="00BC3803"/>
    <w:rsid w:val="00BC51A0"/>
    <w:rsid w:val="00BC7219"/>
    <w:rsid w:val="00BC774A"/>
    <w:rsid w:val="00BD1D11"/>
    <w:rsid w:val="00BD33D0"/>
    <w:rsid w:val="00BD52AD"/>
    <w:rsid w:val="00BD5A73"/>
    <w:rsid w:val="00BD5CEC"/>
    <w:rsid w:val="00BD687C"/>
    <w:rsid w:val="00BD703B"/>
    <w:rsid w:val="00BD72EA"/>
    <w:rsid w:val="00BE3D98"/>
    <w:rsid w:val="00BE52B8"/>
    <w:rsid w:val="00BE5B43"/>
    <w:rsid w:val="00BE6B6D"/>
    <w:rsid w:val="00BE720C"/>
    <w:rsid w:val="00BE7992"/>
    <w:rsid w:val="00BF04AD"/>
    <w:rsid w:val="00BF430C"/>
    <w:rsid w:val="00BF4456"/>
    <w:rsid w:val="00BF45CE"/>
    <w:rsid w:val="00BF4A9F"/>
    <w:rsid w:val="00C0159A"/>
    <w:rsid w:val="00C0174A"/>
    <w:rsid w:val="00C02690"/>
    <w:rsid w:val="00C03641"/>
    <w:rsid w:val="00C03EFA"/>
    <w:rsid w:val="00C05903"/>
    <w:rsid w:val="00C0624B"/>
    <w:rsid w:val="00C10723"/>
    <w:rsid w:val="00C123AD"/>
    <w:rsid w:val="00C13805"/>
    <w:rsid w:val="00C17E3D"/>
    <w:rsid w:val="00C23041"/>
    <w:rsid w:val="00C25D1C"/>
    <w:rsid w:val="00C27852"/>
    <w:rsid w:val="00C30E60"/>
    <w:rsid w:val="00C312D1"/>
    <w:rsid w:val="00C315F8"/>
    <w:rsid w:val="00C319F4"/>
    <w:rsid w:val="00C3260F"/>
    <w:rsid w:val="00C34744"/>
    <w:rsid w:val="00C34E90"/>
    <w:rsid w:val="00C44A7B"/>
    <w:rsid w:val="00C4579F"/>
    <w:rsid w:val="00C4638F"/>
    <w:rsid w:val="00C50B10"/>
    <w:rsid w:val="00C51E00"/>
    <w:rsid w:val="00C51E55"/>
    <w:rsid w:val="00C53C08"/>
    <w:rsid w:val="00C547E1"/>
    <w:rsid w:val="00C55A49"/>
    <w:rsid w:val="00C56860"/>
    <w:rsid w:val="00C5784B"/>
    <w:rsid w:val="00C60055"/>
    <w:rsid w:val="00C6115D"/>
    <w:rsid w:val="00C61531"/>
    <w:rsid w:val="00C622EE"/>
    <w:rsid w:val="00C63249"/>
    <w:rsid w:val="00C63D96"/>
    <w:rsid w:val="00C642FD"/>
    <w:rsid w:val="00C65804"/>
    <w:rsid w:val="00C65A52"/>
    <w:rsid w:val="00C704DA"/>
    <w:rsid w:val="00C705D7"/>
    <w:rsid w:val="00C706C4"/>
    <w:rsid w:val="00C7333E"/>
    <w:rsid w:val="00C73C6A"/>
    <w:rsid w:val="00C74378"/>
    <w:rsid w:val="00C743FD"/>
    <w:rsid w:val="00C74EBC"/>
    <w:rsid w:val="00C75198"/>
    <w:rsid w:val="00C7663A"/>
    <w:rsid w:val="00C77D6E"/>
    <w:rsid w:val="00C77DE3"/>
    <w:rsid w:val="00C77F11"/>
    <w:rsid w:val="00C80912"/>
    <w:rsid w:val="00C8123A"/>
    <w:rsid w:val="00C815B8"/>
    <w:rsid w:val="00C83A01"/>
    <w:rsid w:val="00C84175"/>
    <w:rsid w:val="00C84B85"/>
    <w:rsid w:val="00C84F72"/>
    <w:rsid w:val="00C86B92"/>
    <w:rsid w:val="00C9179D"/>
    <w:rsid w:val="00C94B81"/>
    <w:rsid w:val="00C962FE"/>
    <w:rsid w:val="00C96DE8"/>
    <w:rsid w:val="00C97EF9"/>
    <w:rsid w:val="00CA4381"/>
    <w:rsid w:val="00CA5586"/>
    <w:rsid w:val="00CA670E"/>
    <w:rsid w:val="00CB0F16"/>
    <w:rsid w:val="00CB2425"/>
    <w:rsid w:val="00CB25BD"/>
    <w:rsid w:val="00CB588B"/>
    <w:rsid w:val="00CB6696"/>
    <w:rsid w:val="00CB6C93"/>
    <w:rsid w:val="00CB6F8E"/>
    <w:rsid w:val="00CC0A46"/>
    <w:rsid w:val="00CC1FD4"/>
    <w:rsid w:val="00CC24DB"/>
    <w:rsid w:val="00CC3283"/>
    <w:rsid w:val="00CC7E9C"/>
    <w:rsid w:val="00CD1C9D"/>
    <w:rsid w:val="00CD26E8"/>
    <w:rsid w:val="00CD6CF9"/>
    <w:rsid w:val="00CE0D1E"/>
    <w:rsid w:val="00CE1514"/>
    <w:rsid w:val="00CE4452"/>
    <w:rsid w:val="00CE461B"/>
    <w:rsid w:val="00CE708D"/>
    <w:rsid w:val="00CF3C59"/>
    <w:rsid w:val="00CF3F95"/>
    <w:rsid w:val="00CF3FFE"/>
    <w:rsid w:val="00CF516C"/>
    <w:rsid w:val="00CF615B"/>
    <w:rsid w:val="00CF742B"/>
    <w:rsid w:val="00D00501"/>
    <w:rsid w:val="00D00667"/>
    <w:rsid w:val="00D00A35"/>
    <w:rsid w:val="00D025A6"/>
    <w:rsid w:val="00D048D0"/>
    <w:rsid w:val="00D05F4C"/>
    <w:rsid w:val="00D07781"/>
    <w:rsid w:val="00D07C52"/>
    <w:rsid w:val="00D10CD3"/>
    <w:rsid w:val="00D11139"/>
    <w:rsid w:val="00D11599"/>
    <w:rsid w:val="00D116DD"/>
    <w:rsid w:val="00D11DDD"/>
    <w:rsid w:val="00D14F2E"/>
    <w:rsid w:val="00D167C0"/>
    <w:rsid w:val="00D21576"/>
    <w:rsid w:val="00D22460"/>
    <w:rsid w:val="00D22785"/>
    <w:rsid w:val="00D237DC"/>
    <w:rsid w:val="00D24423"/>
    <w:rsid w:val="00D25F8A"/>
    <w:rsid w:val="00D26551"/>
    <w:rsid w:val="00D277A9"/>
    <w:rsid w:val="00D27B25"/>
    <w:rsid w:val="00D30DB5"/>
    <w:rsid w:val="00D3534B"/>
    <w:rsid w:val="00D35A29"/>
    <w:rsid w:val="00D35ABA"/>
    <w:rsid w:val="00D35EC2"/>
    <w:rsid w:val="00D37E60"/>
    <w:rsid w:val="00D40590"/>
    <w:rsid w:val="00D452E4"/>
    <w:rsid w:val="00D45A0C"/>
    <w:rsid w:val="00D47B21"/>
    <w:rsid w:val="00D504C2"/>
    <w:rsid w:val="00D54A12"/>
    <w:rsid w:val="00D54A55"/>
    <w:rsid w:val="00D54D90"/>
    <w:rsid w:val="00D55DAA"/>
    <w:rsid w:val="00D56DE6"/>
    <w:rsid w:val="00D57229"/>
    <w:rsid w:val="00D6036A"/>
    <w:rsid w:val="00D61ED6"/>
    <w:rsid w:val="00D622AD"/>
    <w:rsid w:val="00D62BEC"/>
    <w:rsid w:val="00D63C90"/>
    <w:rsid w:val="00D65EE5"/>
    <w:rsid w:val="00D679F0"/>
    <w:rsid w:val="00D67CFF"/>
    <w:rsid w:val="00D71004"/>
    <w:rsid w:val="00D725EC"/>
    <w:rsid w:val="00D73852"/>
    <w:rsid w:val="00D75560"/>
    <w:rsid w:val="00D77BAA"/>
    <w:rsid w:val="00D8167B"/>
    <w:rsid w:val="00D82D53"/>
    <w:rsid w:val="00D845B0"/>
    <w:rsid w:val="00D86B21"/>
    <w:rsid w:val="00D90448"/>
    <w:rsid w:val="00D9112B"/>
    <w:rsid w:val="00D922A7"/>
    <w:rsid w:val="00D92798"/>
    <w:rsid w:val="00D9516E"/>
    <w:rsid w:val="00D97AF3"/>
    <w:rsid w:val="00DA2E56"/>
    <w:rsid w:val="00DA379E"/>
    <w:rsid w:val="00DA58B7"/>
    <w:rsid w:val="00DB1045"/>
    <w:rsid w:val="00DB128F"/>
    <w:rsid w:val="00DB48E8"/>
    <w:rsid w:val="00DB4F9E"/>
    <w:rsid w:val="00DB54EB"/>
    <w:rsid w:val="00DB7AF7"/>
    <w:rsid w:val="00DC0660"/>
    <w:rsid w:val="00DC2367"/>
    <w:rsid w:val="00DC3A45"/>
    <w:rsid w:val="00DC527B"/>
    <w:rsid w:val="00DD221F"/>
    <w:rsid w:val="00DD40B3"/>
    <w:rsid w:val="00DD66C3"/>
    <w:rsid w:val="00DD6A70"/>
    <w:rsid w:val="00DD6D5A"/>
    <w:rsid w:val="00DD75AF"/>
    <w:rsid w:val="00DD7A4E"/>
    <w:rsid w:val="00DE4EDB"/>
    <w:rsid w:val="00DE5AF9"/>
    <w:rsid w:val="00DE6339"/>
    <w:rsid w:val="00DE6D4C"/>
    <w:rsid w:val="00DF1D3A"/>
    <w:rsid w:val="00DF516C"/>
    <w:rsid w:val="00DF548C"/>
    <w:rsid w:val="00DF6759"/>
    <w:rsid w:val="00DF6EF6"/>
    <w:rsid w:val="00DF77F4"/>
    <w:rsid w:val="00E0080A"/>
    <w:rsid w:val="00E0181C"/>
    <w:rsid w:val="00E02BD5"/>
    <w:rsid w:val="00E03847"/>
    <w:rsid w:val="00E0449A"/>
    <w:rsid w:val="00E04BA4"/>
    <w:rsid w:val="00E06840"/>
    <w:rsid w:val="00E10FC6"/>
    <w:rsid w:val="00E1168D"/>
    <w:rsid w:val="00E118E9"/>
    <w:rsid w:val="00E1339A"/>
    <w:rsid w:val="00E2019E"/>
    <w:rsid w:val="00E219F6"/>
    <w:rsid w:val="00E21D43"/>
    <w:rsid w:val="00E22998"/>
    <w:rsid w:val="00E25A3E"/>
    <w:rsid w:val="00E25FAA"/>
    <w:rsid w:val="00E269CE"/>
    <w:rsid w:val="00E30AC7"/>
    <w:rsid w:val="00E3116C"/>
    <w:rsid w:val="00E31988"/>
    <w:rsid w:val="00E31D5E"/>
    <w:rsid w:val="00E329A0"/>
    <w:rsid w:val="00E33BCE"/>
    <w:rsid w:val="00E33D05"/>
    <w:rsid w:val="00E34946"/>
    <w:rsid w:val="00E34D5A"/>
    <w:rsid w:val="00E414A6"/>
    <w:rsid w:val="00E41CB9"/>
    <w:rsid w:val="00E467B5"/>
    <w:rsid w:val="00E47F44"/>
    <w:rsid w:val="00E500C7"/>
    <w:rsid w:val="00E51FF7"/>
    <w:rsid w:val="00E53ADA"/>
    <w:rsid w:val="00E549A6"/>
    <w:rsid w:val="00E55C95"/>
    <w:rsid w:val="00E56C6B"/>
    <w:rsid w:val="00E56FBA"/>
    <w:rsid w:val="00E5761D"/>
    <w:rsid w:val="00E61344"/>
    <w:rsid w:val="00E61E76"/>
    <w:rsid w:val="00E64473"/>
    <w:rsid w:val="00E65337"/>
    <w:rsid w:val="00E65A42"/>
    <w:rsid w:val="00E66CD1"/>
    <w:rsid w:val="00E67ADC"/>
    <w:rsid w:val="00E71AE8"/>
    <w:rsid w:val="00E732DC"/>
    <w:rsid w:val="00E7406D"/>
    <w:rsid w:val="00E74B7D"/>
    <w:rsid w:val="00E7587D"/>
    <w:rsid w:val="00E75A55"/>
    <w:rsid w:val="00E75CB1"/>
    <w:rsid w:val="00E774F6"/>
    <w:rsid w:val="00E7789D"/>
    <w:rsid w:val="00E81761"/>
    <w:rsid w:val="00E879B1"/>
    <w:rsid w:val="00E9270A"/>
    <w:rsid w:val="00E92E81"/>
    <w:rsid w:val="00E9380E"/>
    <w:rsid w:val="00E93C2E"/>
    <w:rsid w:val="00E93F3F"/>
    <w:rsid w:val="00E943B5"/>
    <w:rsid w:val="00E96660"/>
    <w:rsid w:val="00E975EE"/>
    <w:rsid w:val="00E97C4D"/>
    <w:rsid w:val="00EA1632"/>
    <w:rsid w:val="00EA1F81"/>
    <w:rsid w:val="00EA2521"/>
    <w:rsid w:val="00EA4143"/>
    <w:rsid w:val="00EA4399"/>
    <w:rsid w:val="00EA4C27"/>
    <w:rsid w:val="00EB170E"/>
    <w:rsid w:val="00EB5C5D"/>
    <w:rsid w:val="00EB794F"/>
    <w:rsid w:val="00EC2B5D"/>
    <w:rsid w:val="00EC3CEB"/>
    <w:rsid w:val="00EC4757"/>
    <w:rsid w:val="00EC59D9"/>
    <w:rsid w:val="00EC79DA"/>
    <w:rsid w:val="00ED0B80"/>
    <w:rsid w:val="00ED18A7"/>
    <w:rsid w:val="00ED2538"/>
    <w:rsid w:val="00ED3E11"/>
    <w:rsid w:val="00ED4E27"/>
    <w:rsid w:val="00ED58DA"/>
    <w:rsid w:val="00EE0357"/>
    <w:rsid w:val="00EE0F1E"/>
    <w:rsid w:val="00EE3E92"/>
    <w:rsid w:val="00EE4615"/>
    <w:rsid w:val="00EE5145"/>
    <w:rsid w:val="00EE59EF"/>
    <w:rsid w:val="00F00AF4"/>
    <w:rsid w:val="00F023EF"/>
    <w:rsid w:val="00F0321E"/>
    <w:rsid w:val="00F03AB7"/>
    <w:rsid w:val="00F04419"/>
    <w:rsid w:val="00F078EA"/>
    <w:rsid w:val="00F10832"/>
    <w:rsid w:val="00F128E5"/>
    <w:rsid w:val="00F12A5C"/>
    <w:rsid w:val="00F140E7"/>
    <w:rsid w:val="00F14C4A"/>
    <w:rsid w:val="00F16A5C"/>
    <w:rsid w:val="00F21CD0"/>
    <w:rsid w:val="00F22B9F"/>
    <w:rsid w:val="00F30C3B"/>
    <w:rsid w:val="00F30FDF"/>
    <w:rsid w:val="00F34242"/>
    <w:rsid w:val="00F343E2"/>
    <w:rsid w:val="00F3459A"/>
    <w:rsid w:val="00F40317"/>
    <w:rsid w:val="00F42634"/>
    <w:rsid w:val="00F42ADB"/>
    <w:rsid w:val="00F443EA"/>
    <w:rsid w:val="00F54E07"/>
    <w:rsid w:val="00F5505B"/>
    <w:rsid w:val="00F5590A"/>
    <w:rsid w:val="00F5600D"/>
    <w:rsid w:val="00F61CA9"/>
    <w:rsid w:val="00F61DC7"/>
    <w:rsid w:val="00F64FC1"/>
    <w:rsid w:val="00F6647E"/>
    <w:rsid w:val="00F74675"/>
    <w:rsid w:val="00F74BEB"/>
    <w:rsid w:val="00F75354"/>
    <w:rsid w:val="00F759B9"/>
    <w:rsid w:val="00F767C5"/>
    <w:rsid w:val="00F76936"/>
    <w:rsid w:val="00F76B31"/>
    <w:rsid w:val="00F77B22"/>
    <w:rsid w:val="00F80928"/>
    <w:rsid w:val="00F81082"/>
    <w:rsid w:val="00F81388"/>
    <w:rsid w:val="00F813AB"/>
    <w:rsid w:val="00F8410F"/>
    <w:rsid w:val="00F87CCB"/>
    <w:rsid w:val="00F90C53"/>
    <w:rsid w:val="00F92143"/>
    <w:rsid w:val="00F95B31"/>
    <w:rsid w:val="00F964E6"/>
    <w:rsid w:val="00FA6D46"/>
    <w:rsid w:val="00FB0111"/>
    <w:rsid w:val="00FB2A7E"/>
    <w:rsid w:val="00FB2F1B"/>
    <w:rsid w:val="00FB577D"/>
    <w:rsid w:val="00FB5D97"/>
    <w:rsid w:val="00FB6E3B"/>
    <w:rsid w:val="00FC0D76"/>
    <w:rsid w:val="00FC76AC"/>
    <w:rsid w:val="00FC7C63"/>
    <w:rsid w:val="00FD175C"/>
    <w:rsid w:val="00FD5135"/>
    <w:rsid w:val="00FD6477"/>
    <w:rsid w:val="00FD6C85"/>
    <w:rsid w:val="00FD75FA"/>
    <w:rsid w:val="00FE0FEA"/>
    <w:rsid w:val="00FE3379"/>
    <w:rsid w:val="00FE3A12"/>
    <w:rsid w:val="00FE6278"/>
    <w:rsid w:val="00FE6373"/>
    <w:rsid w:val="00FE65A2"/>
    <w:rsid w:val="00FF0AC1"/>
    <w:rsid w:val="00FF1DDF"/>
    <w:rsid w:val="00FF1F1A"/>
    <w:rsid w:val="00FF2D06"/>
    <w:rsid w:val="00FF372B"/>
    <w:rsid w:val="00FF383C"/>
    <w:rsid w:val="00FF397C"/>
    <w:rsid w:val="00FF39E2"/>
    <w:rsid w:val="00FF5C7A"/>
    <w:rsid w:val="00FF6654"/>
    <w:rsid w:val="00FF6EEE"/>
    <w:rsid w:val="01050F22"/>
    <w:rsid w:val="011170DE"/>
    <w:rsid w:val="01204C67"/>
    <w:rsid w:val="01253826"/>
    <w:rsid w:val="012F2443"/>
    <w:rsid w:val="013872DA"/>
    <w:rsid w:val="01411480"/>
    <w:rsid w:val="014B4F6A"/>
    <w:rsid w:val="01564CCA"/>
    <w:rsid w:val="015E5637"/>
    <w:rsid w:val="016B763E"/>
    <w:rsid w:val="017D6C20"/>
    <w:rsid w:val="01883901"/>
    <w:rsid w:val="019C20E5"/>
    <w:rsid w:val="01AB2B00"/>
    <w:rsid w:val="01AE7CCC"/>
    <w:rsid w:val="01B13684"/>
    <w:rsid w:val="01B30428"/>
    <w:rsid w:val="01C5738A"/>
    <w:rsid w:val="01CD17DC"/>
    <w:rsid w:val="01D546F0"/>
    <w:rsid w:val="01D5536B"/>
    <w:rsid w:val="01DA33E7"/>
    <w:rsid w:val="01EB3354"/>
    <w:rsid w:val="01F12C93"/>
    <w:rsid w:val="01F8596F"/>
    <w:rsid w:val="020143B6"/>
    <w:rsid w:val="020C739F"/>
    <w:rsid w:val="02114AB8"/>
    <w:rsid w:val="02132683"/>
    <w:rsid w:val="023A346A"/>
    <w:rsid w:val="02531498"/>
    <w:rsid w:val="0258475E"/>
    <w:rsid w:val="025B63A2"/>
    <w:rsid w:val="0270686F"/>
    <w:rsid w:val="02742D60"/>
    <w:rsid w:val="02780C80"/>
    <w:rsid w:val="02B10A7E"/>
    <w:rsid w:val="02B26110"/>
    <w:rsid w:val="02B42825"/>
    <w:rsid w:val="02BC7D06"/>
    <w:rsid w:val="02C01EAD"/>
    <w:rsid w:val="02C766FB"/>
    <w:rsid w:val="02D844B5"/>
    <w:rsid w:val="02DB63CF"/>
    <w:rsid w:val="02F72B02"/>
    <w:rsid w:val="02FE6223"/>
    <w:rsid w:val="031858BE"/>
    <w:rsid w:val="031B6A02"/>
    <w:rsid w:val="033B10E6"/>
    <w:rsid w:val="033F01C2"/>
    <w:rsid w:val="03551CFF"/>
    <w:rsid w:val="03561591"/>
    <w:rsid w:val="035A5883"/>
    <w:rsid w:val="035F093A"/>
    <w:rsid w:val="03781875"/>
    <w:rsid w:val="038941DB"/>
    <w:rsid w:val="03971897"/>
    <w:rsid w:val="039C70E1"/>
    <w:rsid w:val="03BA6178"/>
    <w:rsid w:val="03BA7D14"/>
    <w:rsid w:val="03CB4DA4"/>
    <w:rsid w:val="03CB4EBA"/>
    <w:rsid w:val="03E2263B"/>
    <w:rsid w:val="03E90A1C"/>
    <w:rsid w:val="03ED453C"/>
    <w:rsid w:val="03ED4DB2"/>
    <w:rsid w:val="03EF6BAB"/>
    <w:rsid w:val="03FF69FD"/>
    <w:rsid w:val="04064933"/>
    <w:rsid w:val="0409601E"/>
    <w:rsid w:val="042A2BE3"/>
    <w:rsid w:val="0433739C"/>
    <w:rsid w:val="043A513C"/>
    <w:rsid w:val="0442248D"/>
    <w:rsid w:val="044356D7"/>
    <w:rsid w:val="045223FF"/>
    <w:rsid w:val="0461499E"/>
    <w:rsid w:val="04776616"/>
    <w:rsid w:val="0482519B"/>
    <w:rsid w:val="049468A2"/>
    <w:rsid w:val="04A346F4"/>
    <w:rsid w:val="04A36EBB"/>
    <w:rsid w:val="04AB4A59"/>
    <w:rsid w:val="04B62533"/>
    <w:rsid w:val="04BC3F65"/>
    <w:rsid w:val="04C16028"/>
    <w:rsid w:val="04C33076"/>
    <w:rsid w:val="04C827E7"/>
    <w:rsid w:val="04CE224E"/>
    <w:rsid w:val="04D740F2"/>
    <w:rsid w:val="04DF115D"/>
    <w:rsid w:val="04DF60DD"/>
    <w:rsid w:val="04E11423"/>
    <w:rsid w:val="04E63C16"/>
    <w:rsid w:val="04E81444"/>
    <w:rsid w:val="04F46A45"/>
    <w:rsid w:val="04F91054"/>
    <w:rsid w:val="04FC43EA"/>
    <w:rsid w:val="0518514A"/>
    <w:rsid w:val="051975CE"/>
    <w:rsid w:val="051A4A43"/>
    <w:rsid w:val="051D49A6"/>
    <w:rsid w:val="052B393C"/>
    <w:rsid w:val="053450D9"/>
    <w:rsid w:val="0548762F"/>
    <w:rsid w:val="054C70B7"/>
    <w:rsid w:val="05526700"/>
    <w:rsid w:val="05530369"/>
    <w:rsid w:val="05610B9A"/>
    <w:rsid w:val="05795E5A"/>
    <w:rsid w:val="057D02C5"/>
    <w:rsid w:val="059C5DB8"/>
    <w:rsid w:val="05C42BFB"/>
    <w:rsid w:val="05D25BA0"/>
    <w:rsid w:val="05F63449"/>
    <w:rsid w:val="05FC448C"/>
    <w:rsid w:val="06212EE7"/>
    <w:rsid w:val="062A16FC"/>
    <w:rsid w:val="064C7276"/>
    <w:rsid w:val="06562220"/>
    <w:rsid w:val="06695AAF"/>
    <w:rsid w:val="067A3EA3"/>
    <w:rsid w:val="06887197"/>
    <w:rsid w:val="06905732"/>
    <w:rsid w:val="069550E1"/>
    <w:rsid w:val="069B5E85"/>
    <w:rsid w:val="069F2213"/>
    <w:rsid w:val="06C151B6"/>
    <w:rsid w:val="06CC2C87"/>
    <w:rsid w:val="06CC6E2E"/>
    <w:rsid w:val="06DC6209"/>
    <w:rsid w:val="06E272C3"/>
    <w:rsid w:val="06E44B30"/>
    <w:rsid w:val="06E44F16"/>
    <w:rsid w:val="06E60DB8"/>
    <w:rsid w:val="06E7278F"/>
    <w:rsid w:val="06EF39E7"/>
    <w:rsid w:val="06FB0E26"/>
    <w:rsid w:val="070F4187"/>
    <w:rsid w:val="072E65BE"/>
    <w:rsid w:val="072E7091"/>
    <w:rsid w:val="07420294"/>
    <w:rsid w:val="075E6120"/>
    <w:rsid w:val="07935113"/>
    <w:rsid w:val="07AA6E31"/>
    <w:rsid w:val="07AE662B"/>
    <w:rsid w:val="07B0710C"/>
    <w:rsid w:val="07BA172A"/>
    <w:rsid w:val="07C43B40"/>
    <w:rsid w:val="07C82C94"/>
    <w:rsid w:val="07DF0579"/>
    <w:rsid w:val="08061348"/>
    <w:rsid w:val="08061FE4"/>
    <w:rsid w:val="08075489"/>
    <w:rsid w:val="08106CA1"/>
    <w:rsid w:val="08285053"/>
    <w:rsid w:val="08337178"/>
    <w:rsid w:val="08337BAF"/>
    <w:rsid w:val="0862654D"/>
    <w:rsid w:val="0866368B"/>
    <w:rsid w:val="086725E6"/>
    <w:rsid w:val="086F4890"/>
    <w:rsid w:val="087D5842"/>
    <w:rsid w:val="08816989"/>
    <w:rsid w:val="08841111"/>
    <w:rsid w:val="088522C1"/>
    <w:rsid w:val="08B175CD"/>
    <w:rsid w:val="08BA79A7"/>
    <w:rsid w:val="08ED07DD"/>
    <w:rsid w:val="08EE6740"/>
    <w:rsid w:val="08EF5320"/>
    <w:rsid w:val="09021EDD"/>
    <w:rsid w:val="09077594"/>
    <w:rsid w:val="090B6DAE"/>
    <w:rsid w:val="09117E7F"/>
    <w:rsid w:val="09181147"/>
    <w:rsid w:val="091A7E4E"/>
    <w:rsid w:val="092C7CF0"/>
    <w:rsid w:val="093F4E54"/>
    <w:rsid w:val="09470ECA"/>
    <w:rsid w:val="094A0B1D"/>
    <w:rsid w:val="09582340"/>
    <w:rsid w:val="095B78D4"/>
    <w:rsid w:val="09644DA6"/>
    <w:rsid w:val="096B603D"/>
    <w:rsid w:val="098448A0"/>
    <w:rsid w:val="09914747"/>
    <w:rsid w:val="09931B02"/>
    <w:rsid w:val="09933C1B"/>
    <w:rsid w:val="09947033"/>
    <w:rsid w:val="099C19AC"/>
    <w:rsid w:val="09A6701A"/>
    <w:rsid w:val="09CD1FD2"/>
    <w:rsid w:val="09D00621"/>
    <w:rsid w:val="09E33DCA"/>
    <w:rsid w:val="09E638BB"/>
    <w:rsid w:val="09EA2F53"/>
    <w:rsid w:val="09F20BFD"/>
    <w:rsid w:val="09FE0C04"/>
    <w:rsid w:val="0A06401C"/>
    <w:rsid w:val="0A1B2102"/>
    <w:rsid w:val="0A21615D"/>
    <w:rsid w:val="0A280889"/>
    <w:rsid w:val="0A3A1817"/>
    <w:rsid w:val="0A3D5C6E"/>
    <w:rsid w:val="0A45666A"/>
    <w:rsid w:val="0A515B87"/>
    <w:rsid w:val="0A5E00D8"/>
    <w:rsid w:val="0A5F1181"/>
    <w:rsid w:val="0A6348F4"/>
    <w:rsid w:val="0A685841"/>
    <w:rsid w:val="0A6B7AE9"/>
    <w:rsid w:val="0A7438E1"/>
    <w:rsid w:val="0A987C7F"/>
    <w:rsid w:val="0A9C4F1B"/>
    <w:rsid w:val="0AAC4A7F"/>
    <w:rsid w:val="0AC601E5"/>
    <w:rsid w:val="0AE252EF"/>
    <w:rsid w:val="0AF746CF"/>
    <w:rsid w:val="0B071D3B"/>
    <w:rsid w:val="0B0E19AF"/>
    <w:rsid w:val="0B460A68"/>
    <w:rsid w:val="0B500AE3"/>
    <w:rsid w:val="0B65611E"/>
    <w:rsid w:val="0B67646F"/>
    <w:rsid w:val="0B6D388B"/>
    <w:rsid w:val="0B7274C4"/>
    <w:rsid w:val="0B793527"/>
    <w:rsid w:val="0B8001C5"/>
    <w:rsid w:val="0B9F01C5"/>
    <w:rsid w:val="0BA238BE"/>
    <w:rsid w:val="0BA457DB"/>
    <w:rsid w:val="0BB45919"/>
    <w:rsid w:val="0BC018C5"/>
    <w:rsid w:val="0BD5235C"/>
    <w:rsid w:val="0BDC4F75"/>
    <w:rsid w:val="0BFC0FC7"/>
    <w:rsid w:val="0BFF4EE2"/>
    <w:rsid w:val="0C2F7405"/>
    <w:rsid w:val="0C320A76"/>
    <w:rsid w:val="0C321794"/>
    <w:rsid w:val="0C373532"/>
    <w:rsid w:val="0C425207"/>
    <w:rsid w:val="0C587F6B"/>
    <w:rsid w:val="0C5F6D9C"/>
    <w:rsid w:val="0C642991"/>
    <w:rsid w:val="0C6918E5"/>
    <w:rsid w:val="0C762F34"/>
    <w:rsid w:val="0C932AD8"/>
    <w:rsid w:val="0C9B2338"/>
    <w:rsid w:val="0C9B273A"/>
    <w:rsid w:val="0CC569F2"/>
    <w:rsid w:val="0CDB6FDB"/>
    <w:rsid w:val="0CDD65CF"/>
    <w:rsid w:val="0CDD684F"/>
    <w:rsid w:val="0D054058"/>
    <w:rsid w:val="0D0A6D0A"/>
    <w:rsid w:val="0D1319C8"/>
    <w:rsid w:val="0D193DE1"/>
    <w:rsid w:val="0D36564F"/>
    <w:rsid w:val="0D3A117D"/>
    <w:rsid w:val="0D43381D"/>
    <w:rsid w:val="0D4C74C5"/>
    <w:rsid w:val="0D542926"/>
    <w:rsid w:val="0D654861"/>
    <w:rsid w:val="0D724597"/>
    <w:rsid w:val="0D725B91"/>
    <w:rsid w:val="0D7D4285"/>
    <w:rsid w:val="0DBC23DD"/>
    <w:rsid w:val="0DC65364"/>
    <w:rsid w:val="0DC932D7"/>
    <w:rsid w:val="0DF77ED4"/>
    <w:rsid w:val="0E0E2C3E"/>
    <w:rsid w:val="0E0F7C53"/>
    <w:rsid w:val="0E2243AE"/>
    <w:rsid w:val="0E2540DB"/>
    <w:rsid w:val="0E28519F"/>
    <w:rsid w:val="0E2A6779"/>
    <w:rsid w:val="0E2F67ED"/>
    <w:rsid w:val="0E3409A0"/>
    <w:rsid w:val="0E4A08BC"/>
    <w:rsid w:val="0E4B6EE4"/>
    <w:rsid w:val="0E4C119C"/>
    <w:rsid w:val="0E5E2502"/>
    <w:rsid w:val="0E632017"/>
    <w:rsid w:val="0E7E71B0"/>
    <w:rsid w:val="0EBB360E"/>
    <w:rsid w:val="0ECF417D"/>
    <w:rsid w:val="0EDB35EF"/>
    <w:rsid w:val="0EE533D1"/>
    <w:rsid w:val="0EE96EDF"/>
    <w:rsid w:val="0EF551FE"/>
    <w:rsid w:val="0EFB6984"/>
    <w:rsid w:val="0EFF271A"/>
    <w:rsid w:val="0F02198F"/>
    <w:rsid w:val="0F0909E2"/>
    <w:rsid w:val="0F1B7B63"/>
    <w:rsid w:val="0F1D2A4D"/>
    <w:rsid w:val="0F242EBB"/>
    <w:rsid w:val="0F3729FF"/>
    <w:rsid w:val="0F5962D3"/>
    <w:rsid w:val="0F6E027B"/>
    <w:rsid w:val="0F6E3A64"/>
    <w:rsid w:val="0F725008"/>
    <w:rsid w:val="0F785632"/>
    <w:rsid w:val="0F7F402A"/>
    <w:rsid w:val="0FA34FA2"/>
    <w:rsid w:val="0FAC0D73"/>
    <w:rsid w:val="0FB26719"/>
    <w:rsid w:val="0FBD2ED2"/>
    <w:rsid w:val="0FE73EE9"/>
    <w:rsid w:val="0FF92B89"/>
    <w:rsid w:val="10181D03"/>
    <w:rsid w:val="10251125"/>
    <w:rsid w:val="1028322B"/>
    <w:rsid w:val="102D698D"/>
    <w:rsid w:val="102F5718"/>
    <w:rsid w:val="103E7FAD"/>
    <w:rsid w:val="10432D60"/>
    <w:rsid w:val="10482D94"/>
    <w:rsid w:val="107E301E"/>
    <w:rsid w:val="108005C5"/>
    <w:rsid w:val="10950D99"/>
    <w:rsid w:val="10A15C66"/>
    <w:rsid w:val="10BC35C0"/>
    <w:rsid w:val="10D61F61"/>
    <w:rsid w:val="10F15E6B"/>
    <w:rsid w:val="11167079"/>
    <w:rsid w:val="112242C2"/>
    <w:rsid w:val="11343177"/>
    <w:rsid w:val="113B4613"/>
    <w:rsid w:val="11537ACE"/>
    <w:rsid w:val="11542B52"/>
    <w:rsid w:val="115A38F0"/>
    <w:rsid w:val="1176055B"/>
    <w:rsid w:val="11857B4B"/>
    <w:rsid w:val="118C6D69"/>
    <w:rsid w:val="118E2DB0"/>
    <w:rsid w:val="11C8379A"/>
    <w:rsid w:val="11E454B2"/>
    <w:rsid w:val="11EB43CE"/>
    <w:rsid w:val="11F70569"/>
    <w:rsid w:val="11FD5091"/>
    <w:rsid w:val="11FD64D0"/>
    <w:rsid w:val="12130FC5"/>
    <w:rsid w:val="12181613"/>
    <w:rsid w:val="1232469E"/>
    <w:rsid w:val="12381227"/>
    <w:rsid w:val="12393122"/>
    <w:rsid w:val="124D7B6C"/>
    <w:rsid w:val="12533251"/>
    <w:rsid w:val="1255139B"/>
    <w:rsid w:val="125B6AB7"/>
    <w:rsid w:val="125E42CE"/>
    <w:rsid w:val="126261AC"/>
    <w:rsid w:val="12774428"/>
    <w:rsid w:val="127A1044"/>
    <w:rsid w:val="12870EA7"/>
    <w:rsid w:val="128932CB"/>
    <w:rsid w:val="128F2CD0"/>
    <w:rsid w:val="12B95CA8"/>
    <w:rsid w:val="12BD0697"/>
    <w:rsid w:val="12CA71B4"/>
    <w:rsid w:val="12D0014D"/>
    <w:rsid w:val="12D63174"/>
    <w:rsid w:val="12D931F9"/>
    <w:rsid w:val="12E43113"/>
    <w:rsid w:val="12ED5E1B"/>
    <w:rsid w:val="13065A02"/>
    <w:rsid w:val="13182F70"/>
    <w:rsid w:val="1324194F"/>
    <w:rsid w:val="133236EF"/>
    <w:rsid w:val="134251F9"/>
    <w:rsid w:val="13446E27"/>
    <w:rsid w:val="134F3108"/>
    <w:rsid w:val="13511F0C"/>
    <w:rsid w:val="135911AB"/>
    <w:rsid w:val="137000FD"/>
    <w:rsid w:val="137033A3"/>
    <w:rsid w:val="13761003"/>
    <w:rsid w:val="13897AD8"/>
    <w:rsid w:val="13985ABF"/>
    <w:rsid w:val="13A76B77"/>
    <w:rsid w:val="13BE69B6"/>
    <w:rsid w:val="13C90992"/>
    <w:rsid w:val="13D11988"/>
    <w:rsid w:val="13D15486"/>
    <w:rsid w:val="13F13AE4"/>
    <w:rsid w:val="13FB22A7"/>
    <w:rsid w:val="14065285"/>
    <w:rsid w:val="140A5809"/>
    <w:rsid w:val="140A7968"/>
    <w:rsid w:val="140A7C47"/>
    <w:rsid w:val="14154836"/>
    <w:rsid w:val="14200404"/>
    <w:rsid w:val="14351D45"/>
    <w:rsid w:val="143C7C5A"/>
    <w:rsid w:val="144813C8"/>
    <w:rsid w:val="145A2EDB"/>
    <w:rsid w:val="147B18A5"/>
    <w:rsid w:val="148E0584"/>
    <w:rsid w:val="149B405D"/>
    <w:rsid w:val="14AB55D0"/>
    <w:rsid w:val="14B94757"/>
    <w:rsid w:val="14BE6225"/>
    <w:rsid w:val="14C45584"/>
    <w:rsid w:val="14C55013"/>
    <w:rsid w:val="14C64A14"/>
    <w:rsid w:val="14D20390"/>
    <w:rsid w:val="14E259AE"/>
    <w:rsid w:val="14E51B80"/>
    <w:rsid w:val="14EF207A"/>
    <w:rsid w:val="15120EBE"/>
    <w:rsid w:val="15142A6E"/>
    <w:rsid w:val="151B0534"/>
    <w:rsid w:val="1523698C"/>
    <w:rsid w:val="152A0AFF"/>
    <w:rsid w:val="1563320B"/>
    <w:rsid w:val="159352D7"/>
    <w:rsid w:val="159A6A11"/>
    <w:rsid w:val="15EC14EA"/>
    <w:rsid w:val="15F451A8"/>
    <w:rsid w:val="15FA3559"/>
    <w:rsid w:val="15FF10B5"/>
    <w:rsid w:val="161052DD"/>
    <w:rsid w:val="16170D44"/>
    <w:rsid w:val="16175528"/>
    <w:rsid w:val="161C735B"/>
    <w:rsid w:val="1621723D"/>
    <w:rsid w:val="163560B5"/>
    <w:rsid w:val="166013CE"/>
    <w:rsid w:val="1661268B"/>
    <w:rsid w:val="16701212"/>
    <w:rsid w:val="16960CB0"/>
    <w:rsid w:val="16A505C8"/>
    <w:rsid w:val="16BA50FE"/>
    <w:rsid w:val="16C25D75"/>
    <w:rsid w:val="16E30568"/>
    <w:rsid w:val="16F92A5D"/>
    <w:rsid w:val="1701074A"/>
    <w:rsid w:val="172018B3"/>
    <w:rsid w:val="17233A8A"/>
    <w:rsid w:val="17321EED"/>
    <w:rsid w:val="1733429D"/>
    <w:rsid w:val="17360F01"/>
    <w:rsid w:val="17395D8A"/>
    <w:rsid w:val="173C11CD"/>
    <w:rsid w:val="173F0AA1"/>
    <w:rsid w:val="174C7453"/>
    <w:rsid w:val="174D1AF0"/>
    <w:rsid w:val="177412D5"/>
    <w:rsid w:val="177A2F1F"/>
    <w:rsid w:val="178A1656"/>
    <w:rsid w:val="17984446"/>
    <w:rsid w:val="179A7974"/>
    <w:rsid w:val="17A31A4C"/>
    <w:rsid w:val="17B74A4A"/>
    <w:rsid w:val="17C33F32"/>
    <w:rsid w:val="17CC28AC"/>
    <w:rsid w:val="17E626E0"/>
    <w:rsid w:val="17E678AD"/>
    <w:rsid w:val="17EA3320"/>
    <w:rsid w:val="17EC1B01"/>
    <w:rsid w:val="17F26616"/>
    <w:rsid w:val="17F90C5D"/>
    <w:rsid w:val="18116928"/>
    <w:rsid w:val="18155D42"/>
    <w:rsid w:val="183C2775"/>
    <w:rsid w:val="18426EC1"/>
    <w:rsid w:val="18523145"/>
    <w:rsid w:val="18560ABA"/>
    <w:rsid w:val="18766468"/>
    <w:rsid w:val="18964DEC"/>
    <w:rsid w:val="189C579D"/>
    <w:rsid w:val="189F35B2"/>
    <w:rsid w:val="18A16A19"/>
    <w:rsid w:val="18A84B14"/>
    <w:rsid w:val="18AB01A9"/>
    <w:rsid w:val="18B41D16"/>
    <w:rsid w:val="18B73234"/>
    <w:rsid w:val="18BA4890"/>
    <w:rsid w:val="18C9436B"/>
    <w:rsid w:val="18CA3FF9"/>
    <w:rsid w:val="18CF7B53"/>
    <w:rsid w:val="18D866E7"/>
    <w:rsid w:val="18DF487D"/>
    <w:rsid w:val="19000E6C"/>
    <w:rsid w:val="19003CD7"/>
    <w:rsid w:val="191A6285"/>
    <w:rsid w:val="192B1F3B"/>
    <w:rsid w:val="192E2E17"/>
    <w:rsid w:val="19353F17"/>
    <w:rsid w:val="193A7BB4"/>
    <w:rsid w:val="194E701B"/>
    <w:rsid w:val="195979BF"/>
    <w:rsid w:val="19650240"/>
    <w:rsid w:val="19725AD3"/>
    <w:rsid w:val="19771B7E"/>
    <w:rsid w:val="197E0AEF"/>
    <w:rsid w:val="19947682"/>
    <w:rsid w:val="199900E6"/>
    <w:rsid w:val="19A07428"/>
    <w:rsid w:val="19CD4CF2"/>
    <w:rsid w:val="19F453C8"/>
    <w:rsid w:val="1A157A00"/>
    <w:rsid w:val="1A251C43"/>
    <w:rsid w:val="1A3851F5"/>
    <w:rsid w:val="1A5201C0"/>
    <w:rsid w:val="1A647F75"/>
    <w:rsid w:val="1A6B2D32"/>
    <w:rsid w:val="1A7B7BF4"/>
    <w:rsid w:val="1AAB47CD"/>
    <w:rsid w:val="1AB83F48"/>
    <w:rsid w:val="1AB9554F"/>
    <w:rsid w:val="1ABB58B1"/>
    <w:rsid w:val="1ABC044C"/>
    <w:rsid w:val="1ADB79BD"/>
    <w:rsid w:val="1AF12045"/>
    <w:rsid w:val="1B023FE0"/>
    <w:rsid w:val="1B075354"/>
    <w:rsid w:val="1B0827D0"/>
    <w:rsid w:val="1B244AA9"/>
    <w:rsid w:val="1B262D0A"/>
    <w:rsid w:val="1B4B068C"/>
    <w:rsid w:val="1B4B1D0B"/>
    <w:rsid w:val="1B65170A"/>
    <w:rsid w:val="1B6E38FE"/>
    <w:rsid w:val="1B6E699B"/>
    <w:rsid w:val="1B7567E1"/>
    <w:rsid w:val="1B8265F7"/>
    <w:rsid w:val="1BAF090C"/>
    <w:rsid w:val="1BAF3C7C"/>
    <w:rsid w:val="1BBA3C87"/>
    <w:rsid w:val="1BC81C50"/>
    <w:rsid w:val="1BD73390"/>
    <w:rsid w:val="1BE364CA"/>
    <w:rsid w:val="1BEB305A"/>
    <w:rsid w:val="1BF00EAF"/>
    <w:rsid w:val="1BFA2BF5"/>
    <w:rsid w:val="1C1239AC"/>
    <w:rsid w:val="1C340266"/>
    <w:rsid w:val="1C3A0F78"/>
    <w:rsid w:val="1C3D6A6C"/>
    <w:rsid w:val="1C460804"/>
    <w:rsid w:val="1C471D1C"/>
    <w:rsid w:val="1C5006D1"/>
    <w:rsid w:val="1C6D0292"/>
    <w:rsid w:val="1C7212C0"/>
    <w:rsid w:val="1C841016"/>
    <w:rsid w:val="1C844F99"/>
    <w:rsid w:val="1C8F0052"/>
    <w:rsid w:val="1C980610"/>
    <w:rsid w:val="1CAB0060"/>
    <w:rsid w:val="1CBC7CD5"/>
    <w:rsid w:val="1CCE26B8"/>
    <w:rsid w:val="1CD013A8"/>
    <w:rsid w:val="1CDD09C0"/>
    <w:rsid w:val="1CDE5741"/>
    <w:rsid w:val="1CDE6B35"/>
    <w:rsid w:val="1CE31557"/>
    <w:rsid w:val="1CE84FEA"/>
    <w:rsid w:val="1CF34AF9"/>
    <w:rsid w:val="1D1D0F4A"/>
    <w:rsid w:val="1D235FA9"/>
    <w:rsid w:val="1D2B646A"/>
    <w:rsid w:val="1D4101E0"/>
    <w:rsid w:val="1D4D540D"/>
    <w:rsid w:val="1D5804A9"/>
    <w:rsid w:val="1D630A3E"/>
    <w:rsid w:val="1D7720A3"/>
    <w:rsid w:val="1D8277EB"/>
    <w:rsid w:val="1D8A761B"/>
    <w:rsid w:val="1D9036E7"/>
    <w:rsid w:val="1D93402E"/>
    <w:rsid w:val="1DA41051"/>
    <w:rsid w:val="1DA424D8"/>
    <w:rsid w:val="1DA85AF4"/>
    <w:rsid w:val="1DAF5E70"/>
    <w:rsid w:val="1DB60BD3"/>
    <w:rsid w:val="1DBB755F"/>
    <w:rsid w:val="1DC503B5"/>
    <w:rsid w:val="1DD92B52"/>
    <w:rsid w:val="1DD940F4"/>
    <w:rsid w:val="1DE1377A"/>
    <w:rsid w:val="1DFF75EE"/>
    <w:rsid w:val="1E0229F9"/>
    <w:rsid w:val="1E0D5BE7"/>
    <w:rsid w:val="1E142A30"/>
    <w:rsid w:val="1E19697E"/>
    <w:rsid w:val="1E4112AA"/>
    <w:rsid w:val="1E475ADD"/>
    <w:rsid w:val="1E514FB6"/>
    <w:rsid w:val="1E7604E1"/>
    <w:rsid w:val="1E8C3C6B"/>
    <w:rsid w:val="1E9141D3"/>
    <w:rsid w:val="1EC228E2"/>
    <w:rsid w:val="1EC975DB"/>
    <w:rsid w:val="1EDE13CC"/>
    <w:rsid w:val="1EE524F5"/>
    <w:rsid w:val="1EFF2E87"/>
    <w:rsid w:val="1F003681"/>
    <w:rsid w:val="1F266470"/>
    <w:rsid w:val="1F494278"/>
    <w:rsid w:val="1F4B5029"/>
    <w:rsid w:val="1F503858"/>
    <w:rsid w:val="1F524D89"/>
    <w:rsid w:val="1F6B39A2"/>
    <w:rsid w:val="1F6F5AB9"/>
    <w:rsid w:val="1F6F5FFD"/>
    <w:rsid w:val="1F722480"/>
    <w:rsid w:val="1F822B5D"/>
    <w:rsid w:val="1FA0658E"/>
    <w:rsid w:val="1FA476B7"/>
    <w:rsid w:val="1FA85E97"/>
    <w:rsid w:val="1FAC6A14"/>
    <w:rsid w:val="1FB45B95"/>
    <w:rsid w:val="1FC81641"/>
    <w:rsid w:val="1FCD30FB"/>
    <w:rsid w:val="1FDB1A95"/>
    <w:rsid w:val="1FE44180"/>
    <w:rsid w:val="1FEA5A5B"/>
    <w:rsid w:val="200563F1"/>
    <w:rsid w:val="200A04CC"/>
    <w:rsid w:val="200C640B"/>
    <w:rsid w:val="201E2A67"/>
    <w:rsid w:val="20321413"/>
    <w:rsid w:val="20360CA0"/>
    <w:rsid w:val="203B115C"/>
    <w:rsid w:val="203B1E13"/>
    <w:rsid w:val="204213F3"/>
    <w:rsid w:val="20623F8D"/>
    <w:rsid w:val="2063346D"/>
    <w:rsid w:val="206463E8"/>
    <w:rsid w:val="206A3B0A"/>
    <w:rsid w:val="20810DDE"/>
    <w:rsid w:val="208B5F6D"/>
    <w:rsid w:val="20A83CF5"/>
    <w:rsid w:val="20AF11EB"/>
    <w:rsid w:val="20C043B0"/>
    <w:rsid w:val="20C42817"/>
    <w:rsid w:val="20C76282"/>
    <w:rsid w:val="20C91872"/>
    <w:rsid w:val="20D369EF"/>
    <w:rsid w:val="20D7226F"/>
    <w:rsid w:val="20E051C5"/>
    <w:rsid w:val="21024059"/>
    <w:rsid w:val="211D5AB1"/>
    <w:rsid w:val="21202C28"/>
    <w:rsid w:val="212701FA"/>
    <w:rsid w:val="2154041A"/>
    <w:rsid w:val="215904C8"/>
    <w:rsid w:val="21834E34"/>
    <w:rsid w:val="218B2992"/>
    <w:rsid w:val="21B61738"/>
    <w:rsid w:val="21B74BFC"/>
    <w:rsid w:val="21BB4388"/>
    <w:rsid w:val="21BF1F1A"/>
    <w:rsid w:val="21DD2419"/>
    <w:rsid w:val="21E92836"/>
    <w:rsid w:val="21F079F7"/>
    <w:rsid w:val="2222282D"/>
    <w:rsid w:val="22281C01"/>
    <w:rsid w:val="22370594"/>
    <w:rsid w:val="225376A0"/>
    <w:rsid w:val="225501B1"/>
    <w:rsid w:val="225652E8"/>
    <w:rsid w:val="22570BD6"/>
    <w:rsid w:val="226B7E87"/>
    <w:rsid w:val="22700D7D"/>
    <w:rsid w:val="22731B92"/>
    <w:rsid w:val="227677BA"/>
    <w:rsid w:val="227A1D59"/>
    <w:rsid w:val="22811B82"/>
    <w:rsid w:val="229403F2"/>
    <w:rsid w:val="22B51F4C"/>
    <w:rsid w:val="22DA0BAC"/>
    <w:rsid w:val="22DD5403"/>
    <w:rsid w:val="22DE0624"/>
    <w:rsid w:val="22E07EEA"/>
    <w:rsid w:val="22F76C9B"/>
    <w:rsid w:val="22FC3821"/>
    <w:rsid w:val="23022476"/>
    <w:rsid w:val="23253453"/>
    <w:rsid w:val="232A148E"/>
    <w:rsid w:val="232B6DD3"/>
    <w:rsid w:val="2338636B"/>
    <w:rsid w:val="234A37D6"/>
    <w:rsid w:val="2363560D"/>
    <w:rsid w:val="236B0525"/>
    <w:rsid w:val="2392443F"/>
    <w:rsid w:val="23D54933"/>
    <w:rsid w:val="23DD30A6"/>
    <w:rsid w:val="24375746"/>
    <w:rsid w:val="24397D28"/>
    <w:rsid w:val="24465BA2"/>
    <w:rsid w:val="244F716F"/>
    <w:rsid w:val="24551B0C"/>
    <w:rsid w:val="24577304"/>
    <w:rsid w:val="245B792E"/>
    <w:rsid w:val="245F4115"/>
    <w:rsid w:val="247664AE"/>
    <w:rsid w:val="247C54BE"/>
    <w:rsid w:val="247E3C15"/>
    <w:rsid w:val="248F00F3"/>
    <w:rsid w:val="249A4256"/>
    <w:rsid w:val="249E33BD"/>
    <w:rsid w:val="24C73C58"/>
    <w:rsid w:val="24C85C3F"/>
    <w:rsid w:val="24C92545"/>
    <w:rsid w:val="24D665AE"/>
    <w:rsid w:val="24D92699"/>
    <w:rsid w:val="24E85B0E"/>
    <w:rsid w:val="24EC4023"/>
    <w:rsid w:val="24EE5371"/>
    <w:rsid w:val="24F061EA"/>
    <w:rsid w:val="24F55F46"/>
    <w:rsid w:val="251C483D"/>
    <w:rsid w:val="25257535"/>
    <w:rsid w:val="253B1C25"/>
    <w:rsid w:val="25495A04"/>
    <w:rsid w:val="254D010A"/>
    <w:rsid w:val="25780FD2"/>
    <w:rsid w:val="258C1362"/>
    <w:rsid w:val="25A57169"/>
    <w:rsid w:val="25A927F9"/>
    <w:rsid w:val="25AD2424"/>
    <w:rsid w:val="25B16E42"/>
    <w:rsid w:val="25B37A7F"/>
    <w:rsid w:val="25BA1A2C"/>
    <w:rsid w:val="25BB78A5"/>
    <w:rsid w:val="25D647F8"/>
    <w:rsid w:val="25DF430B"/>
    <w:rsid w:val="25E604CC"/>
    <w:rsid w:val="25E73A44"/>
    <w:rsid w:val="25E777E5"/>
    <w:rsid w:val="25E81AC3"/>
    <w:rsid w:val="26033FA2"/>
    <w:rsid w:val="2614179E"/>
    <w:rsid w:val="26306192"/>
    <w:rsid w:val="26377520"/>
    <w:rsid w:val="263B2B95"/>
    <w:rsid w:val="26475268"/>
    <w:rsid w:val="265936BB"/>
    <w:rsid w:val="2685203A"/>
    <w:rsid w:val="269E28F3"/>
    <w:rsid w:val="26BE72FA"/>
    <w:rsid w:val="26C96BE0"/>
    <w:rsid w:val="26DA5087"/>
    <w:rsid w:val="26E5558A"/>
    <w:rsid w:val="26F40F6D"/>
    <w:rsid w:val="26F9034C"/>
    <w:rsid w:val="26FC57E2"/>
    <w:rsid w:val="27012D48"/>
    <w:rsid w:val="27144EE7"/>
    <w:rsid w:val="27247C53"/>
    <w:rsid w:val="27293532"/>
    <w:rsid w:val="272D5899"/>
    <w:rsid w:val="27343E7F"/>
    <w:rsid w:val="27E27F21"/>
    <w:rsid w:val="28043432"/>
    <w:rsid w:val="28191BC9"/>
    <w:rsid w:val="282470DD"/>
    <w:rsid w:val="282575C3"/>
    <w:rsid w:val="283C007A"/>
    <w:rsid w:val="2890116A"/>
    <w:rsid w:val="28903FB4"/>
    <w:rsid w:val="28942A8A"/>
    <w:rsid w:val="289B1727"/>
    <w:rsid w:val="28B4648B"/>
    <w:rsid w:val="28B46F0E"/>
    <w:rsid w:val="28B82C62"/>
    <w:rsid w:val="28BF2CCB"/>
    <w:rsid w:val="28D0393D"/>
    <w:rsid w:val="28D15A82"/>
    <w:rsid w:val="28F75AA6"/>
    <w:rsid w:val="28FB5714"/>
    <w:rsid w:val="2903488A"/>
    <w:rsid w:val="2909272D"/>
    <w:rsid w:val="290A2644"/>
    <w:rsid w:val="290C506D"/>
    <w:rsid w:val="290D4A13"/>
    <w:rsid w:val="29205D4E"/>
    <w:rsid w:val="292A250C"/>
    <w:rsid w:val="29303821"/>
    <w:rsid w:val="295D34C0"/>
    <w:rsid w:val="296F2647"/>
    <w:rsid w:val="2970229C"/>
    <w:rsid w:val="29764B4C"/>
    <w:rsid w:val="29787C34"/>
    <w:rsid w:val="29816436"/>
    <w:rsid w:val="29846309"/>
    <w:rsid w:val="298F4C78"/>
    <w:rsid w:val="29966BAC"/>
    <w:rsid w:val="299E4AC9"/>
    <w:rsid w:val="29B22437"/>
    <w:rsid w:val="29BC486A"/>
    <w:rsid w:val="29BC4F75"/>
    <w:rsid w:val="29C53046"/>
    <w:rsid w:val="29CD6B26"/>
    <w:rsid w:val="29D97DAD"/>
    <w:rsid w:val="29DE5736"/>
    <w:rsid w:val="29F2720C"/>
    <w:rsid w:val="2A0714B5"/>
    <w:rsid w:val="2A0A052A"/>
    <w:rsid w:val="2A0C0F4F"/>
    <w:rsid w:val="2A176C74"/>
    <w:rsid w:val="2A214830"/>
    <w:rsid w:val="2A396C6B"/>
    <w:rsid w:val="2A3B1D84"/>
    <w:rsid w:val="2A4C53BD"/>
    <w:rsid w:val="2A524635"/>
    <w:rsid w:val="2A5F2B10"/>
    <w:rsid w:val="2A676C95"/>
    <w:rsid w:val="2A7626CA"/>
    <w:rsid w:val="2A7F01A8"/>
    <w:rsid w:val="2A9C2646"/>
    <w:rsid w:val="2AA66A22"/>
    <w:rsid w:val="2AAE2BDB"/>
    <w:rsid w:val="2AD31830"/>
    <w:rsid w:val="2AD62965"/>
    <w:rsid w:val="2AE6019A"/>
    <w:rsid w:val="2AF2447C"/>
    <w:rsid w:val="2B006133"/>
    <w:rsid w:val="2B096D7E"/>
    <w:rsid w:val="2B0F45C8"/>
    <w:rsid w:val="2B1257A3"/>
    <w:rsid w:val="2B2514D5"/>
    <w:rsid w:val="2B2D7155"/>
    <w:rsid w:val="2B2F1D00"/>
    <w:rsid w:val="2B3A6E2A"/>
    <w:rsid w:val="2B3E5376"/>
    <w:rsid w:val="2B7C1FF4"/>
    <w:rsid w:val="2B7C7818"/>
    <w:rsid w:val="2B7D7783"/>
    <w:rsid w:val="2B881756"/>
    <w:rsid w:val="2B8B5653"/>
    <w:rsid w:val="2B8C51DE"/>
    <w:rsid w:val="2B946E8E"/>
    <w:rsid w:val="2B9B43AD"/>
    <w:rsid w:val="2BAF69DE"/>
    <w:rsid w:val="2BB23061"/>
    <w:rsid w:val="2BB8154E"/>
    <w:rsid w:val="2BBB4657"/>
    <w:rsid w:val="2BC62459"/>
    <w:rsid w:val="2BEC1CF0"/>
    <w:rsid w:val="2C0A4EFF"/>
    <w:rsid w:val="2C1149CE"/>
    <w:rsid w:val="2C316418"/>
    <w:rsid w:val="2C4300EA"/>
    <w:rsid w:val="2C487245"/>
    <w:rsid w:val="2C7E2036"/>
    <w:rsid w:val="2C801094"/>
    <w:rsid w:val="2C8D32BD"/>
    <w:rsid w:val="2C8E4057"/>
    <w:rsid w:val="2C9027D6"/>
    <w:rsid w:val="2CA3594A"/>
    <w:rsid w:val="2CA82E30"/>
    <w:rsid w:val="2CAB5162"/>
    <w:rsid w:val="2CB12A52"/>
    <w:rsid w:val="2CCE4353"/>
    <w:rsid w:val="2CCE6F6E"/>
    <w:rsid w:val="2CD27840"/>
    <w:rsid w:val="2CE11F94"/>
    <w:rsid w:val="2CFA4590"/>
    <w:rsid w:val="2D014005"/>
    <w:rsid w:val="2D017AD8"/>
    <w:rsid w:val="2D031F0A"/>
    <w:rsid w:val="2D05779E"/>
    <w:rsid w:val="2D083BD6"/>
    <w:rsid w:val="2D09407B"/>
    <w:rsid w:val="2D2D0723"/>
    <w:rsid w:val="2D3664A5"/>
    <w:rsid w:val="2D3E73E6"/>
    <w:rsid w:val="2D470656"/>
    <w:rsid w:val="2D555DFA"/>
    <w:rsid w:val="2D5619E8"/>
    <w:rsid w:val="2D60074F"/>
    <w:rsid w:val="2D67693D"/>
    <w:rsid w:val="2D6C4541"/>
    <w:rsid w:val="2D734224"/>
    <w:rsid w:val="2D7D4EE1"/>
    <w:rsid w:val="2D8B1D63"/>
    <w:rsid w:val="2DB67F97"/>
    <w:rsid w:val="2DBA6F24"/>
    <w:rsid w:val="2DBD2D6F"/>
    <w:rsid w:val="2DC753AF"/>
    <w:rsid w:val="2DC76A67"/>
    <w:rsid w:val="2DD1025A"/>
    <w:rsid w:val="2DD12842"/>
    <w:rsid w:val="2DEA5BFB"/>
    <w:rsid w:val="2E0F48DF"/>
    <w:rsid w:val="2E1C6CA3"/>
    <w:rsid w:val="2E206BE4"/>
    <w:rsid w:val="2E264A7D"/>
    <w:rsid w:val="2E271C28"/>
    <w:rsid w:val="2E360A87"/>
    <w:rsid w:val="2E374C80"/>
    <w:rsid w:val="2E596489"/>
    <w:rsid w:val="2E5B5B91"/>
    <w:rsid w:val="2E6102A1"/>
    <w:rsid w:val="2E632BAA"/>
    <w:rsid w:val="2E7444B7"/>
    <w:rsid w:val="2E7541E8"/>
    <w:rsid w:val="2E8C1C33"/>
    <w:rsid w:val="2E905A1F"/>
    <w:rsid w:val="2EAC6811"/>
    <w:rsid w:val="2EB67F0B"/>
    <w:rsid w:val="2EC03C82"/>
    <w:rsid w:val="2ECF1247"/>
    <w:rsid w:val="2EE1150A"/>
    <w:rsid w:val="2EED10C4"/>
    <w:rsid w:val="2EEE3723"/>
    <w:rsid w:val="2F083D40"/>
    <w:rsid w:val="2F0C1422"/>
    <w:rsid w:val="2F236894"/>
    <w:rsid w:val="2F3F11F4"/>
    <w:rsid w:val="2F604FA3"/>
    <w:rsid w:val="2F6226AB"/>
    <w:rsid w:val="2F765CDF"/>
    <w:rsid w:val="2F8C424E"/>
    <w:rsid w:val="2F926537"/>
    <w:rsid w:val="2FDD4C94"/>
    <w:rsid w:val="2FEE48EE"/>
    <w:rsid w:val="2FF7C4AC"/>
    <w:rsid w:val="303B1FE0"/>
    <w:rsid w:val="30475626"/>
    <w:rsid w:val="305F729A"/>
    <w:rsid w:val="3066024F"/>
    <w:rsid w:val="307672F4"/>
    <w:rsid w:val="30793857"/>
    <w:rsid w:val="307B73EC"/>
    <w:rsid w:val="307D466F"/>
    <w:rsid w:val="307E73BD"/>
    <w:rsid w:val="308A74F6"/>
    <w:rsid w:val="30A65EE4"/>
    <w:rsid w:val="30A75A5C"/>
    <w:rsid w:val="30A81CF1"/>
    <w:rsid w:val="30B9461F"/>
    <w:rsid w:val="30BF329D"/>
    <w:rsid w:val="310247FA"/>
    <w:rsid w:val="3133197A"/>
    <w:rsid w:val="31373462"/>
    <w:rsid w:val="313F4B56"/>
    <w:rsid w:val="31404FA6"/>
    <w:rsid w:val="3146334E"/>
    <w:rsid w:val="31504906"/>
    <w:rsid w:val="315926AE"/>
    <w:rsid w:val="315F16D9"/>
    <w:rsid w:val="31606E95"/>
    <w:rsid w:val="318C6C10"/>
    <w:rsid w:val="319A5B4D"/>
    <w:rsid w:val="319F3B5E"/>
    <w:rsid w:val="31A46088"/>
    <w:rsid w:val="31C81897"/>
    <w:rsid w:val="31CD3A48"/>
    <w:rsid w:val="31CD4D63"/>
    <w:rsid w:val="31E05861"/>
    <w:rsid w:val="31EB3E21"/>
    <w:rsid w:val="31F532C8"/>
    <w:rsid w:val="31FA610D"/>
    <w:rsid w:val="32077731"/>
    <w:rsid w:val="32087371"/>
    <w:rsid w:val="320D133E"/>
    <w:rsid w:val="321C22C4"/>
    <w:rsid w:val="324C47E3"/>
    <w:rsid w:val="3264199E"/>
    <w:rsid w:val="329429A5"/>
    <w:rsid w:val="329D05A9"/>
    <w:rsid w:val="32AB2E3A"/>
    <w:rsid w:val="32AC3044"/>
    <w:rsid w:val="32BC19AA"/>
    <w:rsid w:val="32C02828"/>
    <w:rsid w:val="32C80E6C"/>
    <w:rsid w:val="32D6663F"/>
    <w:rsid w:val="32E31565"/>
    <w:rsid w:val="32FA4AD8"/>
    <w:rsid w:val="330B2BEF"/>
    <w:rsid w:val="330E0B5B"/>
    <w:rsid w:val="33125F08"/>
    <w:rsid w:val="332301E7"/>
    <w:rsid w:val="33286670"/>
    <w:rsid w:val="3329376B"/>
    <w:rsid w:val="333052B3"/>
    <w:rsid w:val="33323549"/>
    <w:rsid w:val="33345747"/>
    <w:rsid w:val="3347401C"/>
    <w:rsid w:val="334C64CC"/>
    <w:rsid w:val="335E5A63"/>
    <w:rsid w:val="3361060C"/>
    <w:rsid w:val="33686488"/>
    <w:rsid w:val="338A1331"/>
    <w:rsid w:val="339147AD"/>
    <w:rsid w:val="339857B0"/>
    <w:rsid w:val="339B3F1E"/>
    <w:rsid w:val="33A15FD9"/>
    <w:rsid w:val="33B05ADC"/>
    <w:rsid w:val="33BE6658"/>
    <w:rsid w:val="33E365F1"/>
    <w:rsid w:val="33F94E0D"/>
    <w:rsid w:val="34000F51"/>
    <w:rsid w:val="34032907"/>
    <w:rsid w:val="34045C31"/>
    <w:rsid w:val="340A5D6B"/>
    <w:rsid w:val="341A18A6"/>
    <w:rsid w:val="342669E5"/>
    <w:rsid w:val="34276A20"/>
    <w:rsid w:val="34302CD8"/>
    <w:rsid w:val="343173FE"/>
    <w:rsid w:val="344F09E4"/>
    <w:rsid w:val="346411E3"/>
    <w:rsid w:val="3467201C"/>
    <w:rsid w:val="346F0F46"/>
    <w:rsid w:val="34BF63C4"/>
    <w:rsid w:val="34EA49E2"/>
    <w:rsid w:val="34ED4122"/>
    <w:rsid w:val="34F030F0"/>
    <w:rsid w:val="34F325B9"/>
    <w:rsid w:val="34F8079D"/>
    <w:rsid w:val="34FC18E1"/>
    <w:rsid w:val="35040D08"/>
    <w:rsid w:val="35270760"/>
    <w:rsid w:val="35386003"/>
    <w:rsid w:val="353A05BB"/>
    <w:rsid w:val="353D1B43"/>
    <w:rsid w:val="353D5102"/>
    <w:rsid w:val="353E2238"/>
    <w:rsid w:val="354E76A4"/>
    <w:rsid w:val="354F6482"/>
    <w:rsid w:val="35516A46"/>
    <w:rsid w:val="35534ED1"/>
    <w:rsid w:val="35574B92"/>
    <w:rsid w:val="355D6093"/>
    <w:rsid w:val="35757F51"/>
    <w:rsid w:val="357B1CB6"/>
    <w:rsid w:val="357C736A"/>
    <w:rsid w:val="35914A57"/>
    <w:rsid w:val="3595437A"/>
    <w:rsid w:val="35BC70FA"/>
    <w:rsid w:val="35BE0694"/>
    <w:rsid w:val="35C50BDF"/>
    <w:rsid w:val="35D34E48"/>
    <w:rsid w:val="360F69B8"/>
    <w:rsid w:val="361D7594"/>
    <w:rsid w:val="3623311D"/>
    <w:rsid w:val="36286C0E"/>
    <w:rsid w:val="362B1EF1"/>
    <w:rsid w:val="362B7CB8"/>
    <w:rsid w:val="36433E2F"/>
    <w:rsid w:val="365012A5"/>
    <w:rsid w:val="36554F4C"/>
    <w:rsid w:val="365A5DC0"/>
    <w:rsid w:val="366426B3"/>
    <w:rsid w:val="3672034F"/>
    <w:rsid w:val="367B2FA7"/>
    <w:rsid w:val="368375A3"/>
    <w:rsid w:val="368E4551"/>
    <w:rsid w:val="36A007CA"/>
    <w:rsid w:val="36B46032"/>
    <w:rsid w:val="36B50ACB"/>
    <w:rsid w:val="36CD1A68"/>
    <w:rsid w:val="36D750F5"/>
    <w:rsid w:val="36F61F86"/>
    <w:rsid w:val="37017403"/>
    <w:rsid w:val="37031EEB"/>
    <w:rsid w:val="370F0882"/>
    <w:rsid w:val="37136580"/>
    <w:rsid w:val="3715773F"/>
    <w:rsid w:val="37313B18"/>
    <w:rsid w:val="37396BD6"/>
    <w:rsid w:val="37525E89"/>
    <w:rsid w:val="37545B80"/>
    <w:rsid w:val="37585548"/>
    <w:rsid w:val="37651AF7"/>
    <w:rsid w:val="37687489"/>
    <w:rsid w:val="37732382"/>
    <w:rsid w:val="377723A4"/>
    <w:rsid w:val="377E75EC"/>
    <w:rsid w:val="378A32B1"/>
    <w:rsid w:val="379613D7"/>
    <w:rsid w:val="379E54A6"/>
    <w:rsid w:val="37B00DDE"/>
    <w:rsid w:val="37C423A5"/>
    <w:rsid w:val="37CD3E53"/>
    <w:rsid w:val="37CD7F38"/>
    <w:rsid w:val="37D00951"/>
    <w:rsid w:val="37D646E1"/>
    <w:rsid w:val="37DA5546"/>
    <w:rsid w:val="37E26118"/>
    <w:rsid w:val="37FA4F89"/>
    <w:rsid w:val="381551E7"/>
    <w:rsid w:val="38166C00"/>
    <w:rsid w:val="381E5822"/>
    <w:rsid w:val="38704FEF"/>
    <w:rsid w:val="387B0F2F"/>
    <w:rsid w:val="38803A08"/>
    <w:rsid w:val="38876EEE"/>
    <w:rsid w:val="388F09EB"/>
    <w:rsid w:val="38945CAC"/>
    <w:rsid w:val="389C5875"/>
    <w:rsid w:val="38A11A84"/>
    <w:rsid w:val="38A70413"/>
    <w:rsid w:val="38A80D56"/>
    <w:rsid w:val="38AC761B"/>
    <w:rsid w:val="38B0116C"/>
    <w:rsid w:val="38B45D59"/>
    <w:rsid w:val="38BB214E"/>
    <w:rsid w:val="38BE398B"/>
    <w:rsid w:val="38C369F1"/>
    <w:rsid w:val="38CE71CD"/>
    <w:rsid w:val="38E251B0"/>
    <w:rsid w:val="38F45172"/>
    <w:rsid w:val="39154385"/>
    <w:rsid w:val="391D0BAA"/>
    <w:rsid w:val="392C3781"/>
    <w:rsid w:val="394C76F7"/>
    <w:rsid w:val="394D185F"/>
    <w:rsid w:val="396973DE"/>
    <w:rsid w:val="3973484A"/>
    <w:rsid w:val="397F2CAC"/>
    <w:rsid w:val="39914B8B"/>
    <w:rsid w:val="39976404"/>
    <w:rsid w:val="39982056"/>
    <w:rsid w:val="39C42A21"/>
    <w:rsid w:val="39C5739C"/>
    <w:rsid w:val="39C91359"/>
    <w:rsid w:val="39CA7ADC"/>
    <w:rsid w:val="39CE2B2D"/>
    <w:rsid w:val="39FC174C"/>
    <w:rsid w:val="3A1032B3"/>
    <w:rsid w:val="3A1A5E34"/>
    <w:rsid w:val="3A217E73"/>
    <w:rsid w:val="3A396F6B"/>
    <w:rsid w:val="3A6D1FE1"/>
    <w:rsid w:val="3A712EDF"/>
    <w:rsid w:val="3A7B7121"/>
    <w:rsid w:val="3A8521B0"/>
    <w:rsid w:val="3A8E0DD5"/>
    <w:rsid w:val="3A992100"/>
    <w:rsid w:val="3A9E2D4B"/>
    <w:rsid w:val="3A9F63B7"/>
    <w:rsid w:val="3AA2060C"/>
    <w:rsid w:val="3AA829DD"/>
    <w:rsid w:val="3ABE3914"/>
    <w:rsid w:val="3AC207C1"/>
    <w:rsid w:val="3ADB44C6"/>
    <w:rsid w:val="3ADD19B1"/>
    <w:rsid w:val="3AE155AF"/>
    <w:rsid w:val="3AE62FA4"/>
    <w:rsid w:val="3AEA6F85"/>
    <w:rsid w:val="3B4726AE"/>
    <w:rsid w:val="3B4E2D39"/>
    <w:rsid w:val="3B525E2E"/>
    <w:rsid w:val="3B5E1342"/>
    <w:rsid w:val="3B625D07"/>
    <w:rsid w:val="3B6F6E8D"/>
    <w:rsid w:val="3B724F31"/>
    <w:rsid w:val="3B732951"/>
    <w:rsid w:val="3B911955"/>
    <w:rsid w:val="3B940F5B"/>
    <w:rsid w:val="3B9631B2"/>
    <w:rsid w:val="3BA6355B"/>
    <w:rsid w:val="3BB15CD6"/>
    <w:rsid w:val="3BC67694"/>
    <w:rsid w:val="3BCC0CBE"/>
    <w:rsid w:val="3BCC783C"/>
    <w:rsid w:val="3BE9648C"/>
    <w:rsid w:val="3BF56CD3"/>
    <w:rsid w:val="3BF70E8C"/>
    <w:rsid w:val="3C093B9E"/>
    <w:rsid w:val="3C0D5ACF"/>
    <w:rsid w:val="3C155482"/>
    <w:rsid w:val="3C235302"/>
    <w:rsid w:val="3C270BC5"/>
    <w:rsid w:val="3C420AAF"/>
    <w:rsid w:val="3C4620FD"/>
    <w:rsid w:val="3C4B7674"/>
    <w:rsid w:val="3C6F2B14"/>
    <w:rsid w:val="3C7D601A"/>
    <w:rsid w:val="3C85288C"/>
    <w:rsid w:val="3CA06FE2"/>
    <w:rsid w:val="3CA11EAD"/>
    <w:rsid w:val="3CA351EC"/>
    <w:rsid w:val="3CA717CB"/>
    <w:rsid w:val="3CAD7EB2"/>
    <w:rsid w:val="3CC11BBD"/>
    <w:rsid w:val="3CC947C1"/>
    <w:rsid w:val="3CD63C3C"/>
    <w:rsid w:val="3D074599"/>
    <w:rsid w:val="3D07608C"/>
    <w:rsid w:val="3D110BA2"/>
    <w:rsid w:val="3D236858"/>
    <w:rsid w:val="3D3578E7"/>
    <w:rsid w:val="3D3B07D9"/>
    <w:rsid w:val="3D3C5620"/>
    <w:rsid w:val="3D4A3FDC"/>
    <w:rsid w:val="3D4B6B7A"/>
    <w:rsid w:val="3D517B48"/>
    <w:rsid w:val="3D59186F"/>
    <w:rsid w:val="3D5F4D5C"/>
    <w:rsid w:val="3D81055D"/>
    <w:rsid w:val="3D854F25"/>
    <w:rsid w:val="3D9F0938"/>
    <w:rsid w:val="3DA55F02"/>
    <w:rsid w:val="3DA56C78"/>
    <w:rsid w:val="3DCD5868"/>
    <w:rsid w:val="3DD300FD"/>
    <w:rsid w:val="3DD84CED"/>
    <w:rsid w:val="3DD94315"/>
    <w:rsid w:val="3DE50E5C"/>
    <w:rsid w:val="3DE6141D"/>
    <w:rsid w:val="3DE81A9E"/>
    <w:rsid w:val="3E081141"/>
    <w:rsid w:val="3E0B2D07"/>
    <w:rsid w:val="3E1D2204"/>
    <w:rsid w:val="3E334FA8"/>
    <w:rsid w:val="3E35213F"/>
    <w:rsid w:val="3E3A3ADD"/>
    <w:rsid w:val="3E4C7EBE"/>
    <w:rsid w:val="3E4D1212"/>
    <w:rsid w:val="3E5172AF"/>
    <w:rsid w:val="3E741F66"/>
    <w:rsid w:val="3E8A61B5"/>
    <w:rsid w:val="3EBF48CC"/>
    <w:rsid w:val="3EC1730A"/>
    <w:rsid w:val="3ED51928"/>
    <w:rsid w:val="3EF66B5E"/>
    <w:rsid w:val="3EFE20BC"/>
    <w:rsid w:val="3EFF2556"/>
    <w:rsid w:val="3F01569C"/>
    <w:rsid w:val="3F0A413D"/>
    <w:rsid w:val="3F4F1468"/>
    <w:rsid w:val="3F66297D"/>
    <w:rsid w:val="3F7173BE"/>
    <w:rsid w:val="3F8D2311"/>
    <w:rsid w:val="3F94774A"/>
    <w:rsid w:val="3FAD4598"/>
    <w:rsid w:val="3FC81413"/>
    <w:rsid w:val="3FC82020"/>
    <w:rsid w:val="3FCB48F8"/>
    <w:rsid w:val="3FD37E62"/>
    <w:rsid w:val="3FD96394"/>
    <w:rsid w:val="3FE56454"/>
    <w:rsid w:val="3FE6316D"/>
    <w:rsid w:val="3FEA3008"/>
    <w:rsid w:val="3FEC3ADA"/>
    <w:rsid w:val="40052E8A"/>
    <w:rsid w:val="400B2897"/>
    <w:rsid w:val="400B4B91"/>
    <w:rsid w:val="401E40C9"/>
    <w:rsid w:val="402A7439"/>
    <w:rsid w:val="40356E1E"/>
    <w:rsid w:val="403C3E15"/>
    <w:rsid w:val="405264D7"/>
    <w:rsid w:val="40555A17"/>
    <w:rsid w:val="4061546E"/>
    <w:rsid w:val="40713962"/>
    <w:rsid w:val="407D067E"/>
    <w:rsid w:val="408C7F25"/>
    <w:rsid w:val="40B65727"/>
    <w:rsid w:val="40BD128F"/>
    <w:rsid w:val="40C02989"/>
    <w:rsid w:val="40DB59C9"/>
    <w:rsid w:val="40DE6232"/>
    <w:rsid w:val="40E50784"/>
    <w:rsid w:val="40F92A19"/>
    <w:rsid w:val="41110A30"/>
    <w:rsid w:val="412A6FA1"/>
    <w:rsid w:val="41307A99"/>
    <w:rsid w:val="41566A6E"/>
    <w:rsid w:val="41584833"/>
    <w:rsid w:val="41601281"/>
    <w:rsid w:val="416E1422"/>
    <w:rsid w:val="417439A8"/>
    <w:rsid w:val="418453F0"/>
    <w:rsid w:val="41AF6AC2"/>
    <w:rsid w:val="41C0254A"/>
    <w:rsid w:val="41D86E0F"/>
    <w:rsid w:val="41DD50CB"/>
    <w:rsid w:val="41E33C60"/>
    <w:rsid w:val="41EB0BB2"/>
    <w:rsid w:val="41F912CB"/>
    <w:rsid w:val="4213625D"/>
    <w:rsid w:val="423B05CE"/>
    <w:rsid w:val="423B3A9C"/>
    <w:rsid w:val="426D5EDD"/>
    <w:rsid w:val="42727909"/>
    <w:rsid w:val="42756623"/>
    <w:rsid w:val="42812735"/>
    <w:rsid w:val="429348F3"/>
    <w:rsid w:val="429C50F0"/>
    <w:rsid w:val="42B51B45"/>
    <w:rsid w:val="42CA54D9"/>
    <w:rsid w:val="42D04498"/>
    <w:rsid w:val="430D2548"/>
    <w:rsid w:val="43160C89"/>
    <w:rsid w:val="43295177"/>
    <w:rsid w:val="43366613"/>
    <w:rsid w:val="43374264"/>
    <w:rsid w:val="434C1A1C"/>
    <w:rsid w:val="434C2CB0"/>
    <w:rsid w:val="4353694B"/>
    <w:rsid w:val="436750EB"/>
    <w:rsid w:val="436967B5"/>
    <w:rsid w:val="437E0726"/>
    <w:rsid w:val="438346C0"/>
    <w:rsid w:val="4389156F"/>
    <w:rsid w:val="4389537A"/>
    <w:rsid w:val="439C0B3B"/>
    <w:rsid w:val="43A61621"/>
    <w:rsid w:val="43E17A2F"/>
    <w:rsid w:val="43E67FAD"/>
    <w:rsid w:val="43EC3356"/>
    <w:rsid w:val="440C48B9"/>
    <w:rsid w:val="44142276"/>
    <w:rsid w:val="44217C45"/>
    <w:rsid w:val="442755B5"/>
    <w:rsid w:val="4480297C"/>
    <w:rsid w:val="44967242"/>
    <w:rsid w:val="44B44E42"/>
    <w:rsid w:val="44BD57CE"/>
    <w:rsid w:val="44C63F77"/>
    <w:rsid w:val="44CA07AD"/>
    <w:rsid w:val="44E62781"/>
    <w:rsid w:val="45142232"/>
    <w:rsid w:val="4522189C"/>
    <w:rsid w:val="45421756"/>
    <w:rsid w:val="454B03A2"/>
    <w:rsid w:val="454D236D"/>
    <w:rsid w:val="454D6CA8"/>
    <w:rsid w:val="455B0CEE"/>
    <w:rsid w:val="455D1625"/>
    <w:rsid w:val="456923F1"/>
    <w:rsid w:val="456926CF"/>
    <w:rsid w:val="456B7F76"/>
    <w:rsid w:val="456C546E"/>
    <w:rsid w:val="456F084C"/>
    <w:rsid w:val="457F680C"/>
    <w:rsid w:val="45902E04"/>
    <w:rsid w:val="45B80FC3"/>
    <w:rsid w:val="45CF6DC5"/>
    <w:rsid w:val="45D00D8D"/>
    <w:rsid w:val="45E14C32"/>
    <w:rsid w:val="45F766FD"/>
    <w:rsid w:val="45FA1165"/>
    <w:rsid w:val="46026377"/>
    <w:rsid w:val="46087622"/>
    <w:rsid w:val="460A64BC"/>
    <w:rsid w:val="461F4EEF"/>
    <w:rsid w:val="463765F8"/>
    <w:rsid w:val="46393522"/>
    <w:rsid w:val="463B678A"/>
    <w:rsid w:val="463D6469"/>
    <w:rsid w:val="463F0250"/>
    <w:rsid w:val="4669507E"/>
    <w:rsid w:val="46696E2A"/>
    <w:rsid w:val="468751FB"/>
    <w:rsid w:val="46A215C7"/>
    <w:rsid w:val="46A4095D"/>
    <w:rsid w:val="46B376A0"/>
    <w:rsid w:val="46D86E22"/>
    <w:rsid w:val="46DC0AEE"/>
    <w:rsid w:val="46E26C2A"/>
    <w:rsid w:val="46E55A5B"/>
    <w:rsid w:val="46E82BB0"/>
    <w:rsid w:val="46EC3146"/>
    <w:rsid w:val="46EF71AD"/>
    <w:rsid w:val="470F26B4"/>
    <w:rsid w:val="47262F6D"/>
    <w:rsid w:val="474041AB"/>
    <w:rsid w:val="474F0760"/>
    <w:rsid w:val="475D6CC9"/>
    <w:rsid w:val="478948D5"/>
    <w:rsid w:val="478A4A37"/>
    <w:rsid w:val="478B72ED"/>
    <w:rsid w:val="47A520E4"/>
    <w:rsid w:val="47B958F6"/>
    <w:rsid w:val="47B972D2"/>
    <w:rsid w:val="47BA36D4"/>
    <w:rsid w:val="47CA7D9C"/>
    <w:rsid w:val="47E56984"/>
    <w:rsid w:val="480C05A2"/>
    <w:rsid w:val="481D7EBA"/>
    <w:rsid w:val="48371F90"/>
    <w:rsid w:val="483D4A92"/>
    <w:rsid w:val="483E4459"/>
    <w:rsid w:val="483F1085"/>
    <w:rsid w:val="485367D5"/>
    <w:rsid w:val="48612D89"/>
    <w:rsid w:val="487C78E5"/>
    <w:rsid w:val="487E2D6B"/>
    <w:rsid w:val="48864964"/>
    <w:rsid w:val="48882452"/>
    <w:rsid w:val="48B233E8"/>
    <w:rsid w:val="48C750BB"/>
    <w:rsid w:val="48D92C13"/>
    <w:rsid w:val="49033566"/>
    <w:rsid w:val="49114A9B"/>
    <w:rsid w:val="4930444C"/>
    <w:rsid w:val="493A2D00"/>
    <w:rsid w:val="494154B8"/>
    <w:rsid w:val="494476DB"/>
    <w:rsid w:val="494855F1"/>
    <w:rsid w:val="494E6060"/>
    <w:rsid w:val="49502875"/>
    <w:rsid w:val="49632509"/>
    <w:rsid w:val="49724248"/>
    <w:rsid w:val="49756DB9"/>
    <w:rsid w:val="497B31B1"/>
    <w:rsid w:val="497F6F5F"/>
    <w:rsid w:val="498F080C"/>
    <w:rsid w:val="49956359"/>
    <w:rsid w:val="49B20621"/>
    <w:rsid w:val="49B57FA3"/>
    <w:rsid w:val="49D85AB8"/>
    <w:rsid w:val="49E008AE"/>
    <w:rsid w:val="49E5061F"/>
    <w:rsid w:val="49F0774E"/>
    <w:rsid w:val="49F950C7"/>
    <w:rsid w:val="49FE70BF"/>
    <w:rsid w:val="4A1B77BF"/>
    <w:rsid w:val="4A2B2BF2"/>
    <w:rsid w:val="4A2E7826"/>
    <w:rsid w:val="4A332097"/>
    <w:rsid w:val="4A3A7F10"/>
    <w:rsid w:val="4A3F6948"/>
    <w:rsid w:val="4A4736E8"/>
    <w:rsid w:val="4A5D2C5E"/>
    <w:rsid w:val="4A6A0581"/>
    <w:rsid w:val="4A797DE0"/>
    <w:rsid w:val="4A7C10DB"/>
    <w:rsid w:val="4A8F7BB8"/>
    <w:rsid w:val="4A9175A9"/>
    <w:rsid w:val="4A9406C5"/>
    <w:rsid w:val="4AAC5AF6"/>
    <w:rsid w:val="4ABB54FB"/>
    <w:rsid w:val="4AD724BD"/>
    <w:rsid w:val="4ADA6548"/>
    <w:rsid w:val="4AE84953"/>
    <w:rsid w:val="4AF928AD"/>
    <w:rsid w:val="4AFB009B"/>
    <w:rsid w:val="4B0233A9"/>
    <w:rsid w:val="4B103AB1"/>
    <w:rsid w:val="4B1A6092"/>
    <w:rsid w:val="4B2659A6"/>
    <w:rsid w:val="4B3C797D"/>
    <w:rsid w:val="4B44296B"/>
    <w:rsid w:val="4B45589C"/>
    <w:rsid w:val="4B4A71B1"/>
    <w:rsid w:val="4B4F4E31"/>
    <w:rsid w:val="4B5916F4"/>
    <w:rsid w:val="4B5F5D9B"/>
    <w:rsid w:val="4B620E73"/>
    <w:rsid w:val="4B674653"/>
    <w:rsid w:val="4B6F5898"/>
    <w:rsid w:val="4BAC0E90"/>
    <w:rsid w:val="4BB1272D"/>
    <w:rsid w:val="4BD101BC"/>
    <w:rsid w:val="4BE25754"/>
    <w:rsid w:val="4BE43A39"/>
    <w:rsid w:val="4BF078E4"/>
    <w:rsid w:val="4C000E35"/>
    <w:rsid w:val="4C055D49"/>
    <w:rsid w:val="4C241A12"/>
    <w:rsid w:val="4C397310"/>
    <w:rsid w:val="4C4C3B78"/>
    <w:rsid w:val="4C4C3DF2"/>
    <w:rsid w:val="4C5069D8"/>
    <w:rsid w:val="4C5F7C3E"/>
    <w:rsid w:val="4C620F44"/>
    <w:rsid w:val="4C641001"/>
    <w:rsid w:val="4C76043D"/>
    <w:rsid w:val="4C8D0CD4"/>
    <w:rsid w:val="4C8D24DA"/>
    <w:rsid w:val="4C9C2986"/>
    <w:rsid w:val="4CAD0BB5"/>
    <w:rsid w:val="4CBC364A"/>
    <w:rsid w:val="4CBC4585"/>
    <w:rsid w:val="4CC32C57"/>
    <w:rsid w:val="4CC63065"/>
    <w:rsid w:val="4CCC423E"/>
    <w:rsid w:val="4CD81710"/>
    <w:rsid w:val="4CF136D5"/>
    <w:rsid w:val="4D0B3FAF"/>
    <w:rsid w:val="4D1E0436"/>
    <w:rsid w:val="4D237E28"/>
    <w:rsid w:val="4D294326"/>
    <w:rsid w:val="4D571A3E"/>
    <w:rsid w:val="4D5C0B12"/>
    <w:rsid w:val="4D74582A"/>
    <w:rsid w:val="4D855FA1"/>
    <w:rsid w:val="4D8C15C9"/>
    <w:rsid w:val="4D8F7001"/>
    <w:rsid w:val="4D901A35"/>
    <w:rsid w:val="4DAA450D"/>
    <w:rsid w:val="4DAC7A21"/>
    <w:rsid w:val="4DAD562F"/>
    <w:rsid w:val="4DB1694D"/>
    <w:rsid w:val="4DB27309"/>
    <w:rsid w:val="4DB56170"/>
    <w:rsid w:val="4DC21BFB"/>
    <w:rsid w:val="4DD0170A"/>
    <w:rsid w:val="4DD728A2"/>
    <w:rsid w:val="4DDA060D"/>
    <w:rsid w:val="4DF81DA8"/>
    <w:rsid w:val="4E0A414D"/>
    <w:rsid w:val="4E184783"/>
    <w:rsid w:val="4E1B57AA"/>
    <w:rsid w:val="4E5263F6"/>
    <w:rsid w:val="4E5B4396"/>
    <w:rsid w:val="4E5B79A0"/>
    <w:rsid w:val="4E6B51C9"/>
    <w:rsid w:val="4E7442B2"/>
    <w:rsid w:val="4E8D2ED0"/>
    <w:rsid w:val="4E94621E"/>
    <w:rsid w:val="4E966DCD"/>
    <w:rsid w:val="4EA70F40"/>
    <w:rsid w:val="4EAB4E31"/>
    <w:rsid w:val="4EB86F55"/>
    <w:rsid w:val="4EBC7D13"/>
    <w:rsid w:val="4EBE7738"/>
    <w:rsid w:val="4EC467CD"/>
    <w:rsid w:val="4ED62DE5"/>
    <w:rsid w:val="4EEE4370"/>
    <w:rsid w:val="4EF96F09"/>
    <w:rsid w:val="4F0476A7"/>
    <w:rsid w:val="4F17629D"/>
    <w:rsid w:val="4F192ACE"/>
    <w:rsid w:val="4F2F668F"/>
    <w:rsid w:val="4F3147B2"/>
    <w:rsid w:val="4F366E1C"/>
    <w:rsid w:val="4F404829"/>
    <w:rsid w:val="4F470F89"/>
    <w:rsid w:val="4F615CAF"/>
    <w:rsid w:val="4F863BEA"/>
    <w:rsid w:val="4F8D1792"/>
    <w:rsid w:val="4FAE4EF6"/>
    <w:rsid w:val="4FBF7ABB"/>
    <w:rsid w:val="4FC03DF0"/>
    <w:rsid w:val="4FCA613D"/>
    <w:rsid w:val="4FD52F65"/>
    <w:rsid w:val="4FFF00EB"/>
    <w:rsid w:val="50486034"/>
    <w:rsid w:val="50676330"/>
    <w:rsid w:val="506D577D"/>
    <w:rsid w:val="50845F89"/>
    <w:rsid w:val="508E3509"/>
    <w:rsid w:val="509B4084"/>
    <w:rsid w:val="509E5922"/>
    <w:rsid w:val="50AC6FCB"/>
    <w:rsid w:val="50BB1BE7"/>
    <w:rsid w:val="50BD3305"/>
    <w:rsid w:val="50C25AB5"/>
    <w:rsid w:val="50C84374"/>
    <w:rsid w:val="50CC4807"/>
    <w:rsid w:val="50D01ACE"/>
    <w:rsid w:val="50E0031B"/>
    <w:rsid w:val="50E87817"/>
    <w:rsid w:val="50EF43D0"/>
    <w:rsid w:val="50F2355D"/>
    <w:rsid w:val="50F50DD2"/>
    <w:rsid w:val="50F62C15"/>
    <w:rsid w:val="50F94245"/>
    <w:rsid w:val="51006439"/>
    <w:rsid w:val="510064F0"/>
    <w:rsid w:val="514761E8"/>
    <w:rsid w:val="51532BB1"/>
    <w:rsid w:val="516475E2"/>
    <w:rsid w:val="51693B70"/>
    <w:rsid w:val="5177167E"/>
    <w:rsid w:val="518C1E8D"/>
    <w:rsid w:val="518D3C40"/>
    <w:rsid w:val="519D31E6"/>
    <w:rsid w:val="51B14E01"/>
    <w:rsid w:val="51B542B4"/>
    <w:rsid w:val="520169AE"/>
    <w:rsid w:val="52050E3F"/>
    <w:rsid w:val="52113EDF"/>
    <w:rsid w:val="521A7BC5"/>
    <w:rsid w:val="521D52BC"/>
    <w:rsid w:val="522204F8"/>
    <w:rsid w:val="52312886"/>
    <w:rsid w:val="52374871"/>
    <w:rsid w:val="523C2C3F"/>
    <w:rsid w:val="524A009B"/>
    <w:rsid w:val="525831D3"/>
    <w:rsid w:val="52647C74"/>
    <w:rsid w:val="526C5322"/>
    <w:rsid w:val="52745624"/>
    <w:rsid w:val="528E6E17"/>
    <w:rsid w:val="52A03BD4"/>
    <w:rsid w:val="52B0142D"/>
    <w:rsid w:val="52C72F3A"/>
    <w:rsid w:val="52CC0FE3"/>
    <w:rsid w:val="52D23FA9"/>
    <w:rsid w:val="52D715BF"/>
    <w:rsid w:val="52D80FF6"/>
    <w:rsid w:val="52E37F64"/>
    <w:rsid w:val="52E71802"/>
    <w:rsid w:val="52E81867"/>
    <w:rsid w:val="52E903D7"/>
    <w:rsid w:val="52F20EC6"/>
    <w:rsid w:val="52F757BE"/>
    <w:rsid w:val="531910E2"/>
    <w:rsid w:val="53191BD8"/>
    <w:rsid w:val="531E5FC5"/>
    <w:rsid w:val="532D687E"/>
    <w:rsid w:val="533A6782"/>
    <w:rsid w:val="533B5CFF"/>
    <w:rsid w:val="533B5DB4"/>
    <w:rsid w:val="534838F0"/>
    <w:rsid w:val="53724F58"/>
    <w:rsid w:val="538A10B9"/>
    <w:rsid w:val="53A148B8"/>
    <w:rsid w:val="53A40F98"/>
    <w:rsid w:val="53A875D0"/>
    <w:rsid w:val="53AC3AB6"/>
    <w:rsid w:val="53AD7FC0"/>
    <w:rsid w:val="53BB4190"/>
    <w:rsid w:val="53C101F7"/>
    <w:rsid w:val="53C1521D"/>
    <w:rsid w:val="53C57DB0"/>
    <w:rsid w:val="53C9715A"/>
    <w:rsid w:val="53CE4770"/>
    <w:rsid w:val="53CF4216"/>
    <w:rsid w:val="53DD7DD1"/>
    <w:rsid w:val="53E521CB"/>
    <w:rsid w:val="53F52FA8"/>
    <w:rsid w:val="54014BB9"/>
    <w:rsid w:val="54200E9A"/>
    <w:rsid w:val="542209EC"/>
    <w:rsid w:val="54443FB6"/>
    <w:rsid w:val="54751375"/>
    <w:rsid w:val="549E0BD0"/>
    <w:rsid w:val="54A20553"/>
    <w:rsid w:val="54AA74A2"/>
    <w:rsid w:val="54B01280"/>
    <w:rsid w:val="54B24092"/>
    <w:rsid w:val="54B85E7D"/>
    <w:rsid w:val="54DF4D49"/>
    <w:rsid w:val="54E437BC"/>
    <w:rsid w:val="54E73E54"/>
    <w:rsid w:val="54F41596"/>
    <w:rsid w:val="54F90133"/>
    <w:rsid w:val="54FB98AA"/>
    <w:rsid w:val="55091700"/>
    <w:rsid w:val="55092105"/>
    <w:rsid w:val="55097BD0"/>
    <w:rsid w:val="552432E2"/>
    <w:rsid w:val="553D3BE3"/>
    <w:rsid w:val="5540433B"/>
    <w:rsid w:val="555017FC"/>
    <w:rsid w:val="55632EF7"/>
    <w:rsid w:val="556E6DFC"/>
    <w:rsid w:val="557D4C2A"/>
    <w:rsid w:val="557E7B47"/>
    <w:rsid w:val="55864911"/>
    <w:rsid w:val="559415FB"/>
    <w:rsid w:val="55C51BA3"/>
    <w:rsid w:val="55CD4847"/>
    <w:rsid w:val="55DD74D2"/>
    <w:rsid w:val="55E55F57"/>
    <w:rsid w:val="55E97640"/>
    <w:rsid w:val="55EF503B"/>
    <w:rsid w:val="55FF77B8"/>
    <w:rsid w:val="560C4D35"/>
    <w:rsid w:val="56116CD8"/>
    <w:rsid w:val="561C71C3"/>
    <w:rsid w:val="56235996"/>
    <w:rsid w:val="563A4B0B"/>
    <w:rsid w:val="56692C82"/>
    <w:rsid w:val="566F3DEF"/>
    <w:rsid w:val="567F5F41"/>
    <w:rsid w:val="5684340B"/>
    <w:rsid w:val="568C5B3F"/>
    <w:rsid w:val="568F536A"/>
    <w:rsid w:val="56AB35CB"/>
    <w:rsid w:val="56B37159"/>
    <w:rsid w:val="56BC2FA6"/>
    <w:rsid w:val="56BD1B2D"/>
    <w:rsid w:val="56D7567C"/>
    <w:rsid w:val="57072E31"/>
    <w:rsid w:val="57110816"/>
    <w:rsid w:val="573A2C1A"/>
    <w:rsid w:val="5759517C"/>
    <w:rsid w:val="57790318"/>
    <w:rsid w:val="57797DD4"/>
    <w:rsid w:val="577E025B"/>
    <w:rsid w:val="578B7717"/>
    <w:rsid w:val="579A137D"/>
    <w:rsid w:val="579C5947"/>
    <w:rsid w:val="579D5BF6"/>
    <w:rsid w:val="57AD0DA8"/>
    <w:rsid w:val="57B66AA5"/>
    <w:rsid w:val="57BE181A"/>
    <w:rsid w:val="57C27DE8"/>
    <w:rsid w:val="57C572BD"/>
    <w:rsid w:val="57CB083C"/>
    <w:rsid w:val="57CE2C31"/>
    <w:rsid w:val="57E00F16"/>
    <w:rsid w:val="57FA0EB8"/>
    <w:rsid w:val="57FC6725"/>
    <w:rsid w:val="58003E80"/>
    <w:rsid w:val="58417C07"/>
    <w:rsid w:val="58431D92"/>
    <w:rsid w:val="584E06D4"/>
    <w:rsid w:val="586E25CC"/>
    <w:rsid w:val="58704F7A"/>
    <w:rsid w:val="58784418"/>
    <w:rsid w:val="587C783F"/>
    <w:rsid w:val="587E25FB"/>
    <w:rsid w:val="588049FA"/>
    <w:rsid w:val="589362B0"/>
    <w:rsid w:val="58992B8A"/>
    <w:rsid w:val="58BC728D"/>
    <w:rsid w:val="58C8172D"/>
    <w:rsid w:val="58E535C8"/>
    <w:rsid w:val="58EB1921"/>
    <w:rsid w:val="58FB247C"/>
    <w:rsid w:val="59065803"/>
    <w:rsid w:val="592B2AD0"/>
    <w:rsid w:val="5932703B"/>
    <w:rsid w:val="593E46F9"/>
    <w:rsid w:val="593F5E3F"/>
    <w:rsid w:val="59411541"/>
    <w:rsid w:val="59535DFB"/>
    <w:rsid w:val="595C5487"/>
    <w:rsid w:val="59647331"/>
    <w:rsid w:val="597058E5"/>
    <w:rsid w:val="597162CA"/>
    <w:rsid w:val="59803066"/>
    <w:rsid w:val="59827C32"/>
    <w:rsid w:val="59A82AA6"/>
    <w:rsid w:val="59BE7B99"/>
    <w:rsid w:val="59E05194"/>
    <w:rsid w:val="59E74F81"/>
    <w:rsid w:val="59EA48D7"/>
    <w:rsid w:val="59FE5684"/>
    <w:rsid w:val="59FF33F2"/>
    <w:rsid w:val="5A0C4D66"/>
    <w:rsid w:val="5A0F6AF4"/>
    <w:rsid w:val="5A386B10"/>
    <w:rsid w:val="5A3E6D1E"/>
    <w:rsid w:val="5A3F2C28"/>
    <w:rsid w:val="5A4B5EE0"/>
    <w:rsid w:val="5A523D07"/>
    <w:rsid w:val="5A592BA9"/>
    <w:rsid w:val="5A6359E4"/>
    <w:rsid w:val="5A642F5C"/>
    <w:rsid w:val="5A7A2444"/>
    <w:rsid w:val="5A896991"/>
    <w:rsid w:val="5A910CA3"/>
    <w:rsid w:val="5A912EB8"/>
    <w:rsid w:val="5A9B1936"/>
    <w:rsid w:val="5AA13D98"/>
    <w:rsid w:val="5AA24261"/>
    <w:rsid w:val="5AC46304"/>
    <w:rsid w:val="5AC6215B"/>
    <w:rsid w:val="5AE10278"/>
    <w:rsid w:val="5AEB7F84"/>
    <w:rsid w:val="5AF224A0"/>
    <w:rsid w:val="5AF40731"/>
    <w:rsid w:val="5AFE53F8"/>
    <w:rsid w:val="5B0433CC"/>
    <w:rsid w:val="5B0616E9"/>
    <w:rsid w:val="5B091DD5"/>
    <w:rsid w:val="5B316A4C"/>
    <w:rsid w:val="5B3F428A"/>
    <w:rsid w:val="5B412114"/>
    <w:rsid w:val="5B474F0D"/>
    <w:rsid w:val="5B4C3133"/>
    <w:rsid w:val="5B597F88"/>
    <w:rsid w:val="5B7139D5"/>
    <w:rsid w:val="5B7D4980"/>
    <w:rsid w:val="5B7F6C9F"/>
    <w:rsid w:val="5B851D19"/>
    <w:rsid w:val="5B866DF5"/>
    <w:rsid w:val="5B8805BB"/>
    <w:rsid w:val="5B881F55"/>
    <w:rsid w:val="5B8B6CF3"/>
    <w:rsid w:val="5B914A01"/>
    <w:rsid w:val="5BAA52BD"/>
    <w:rsid w:val="5BC40CB4"/>
    <w:rsid w:val="5BC55BC6"/>
    <w:rsid w:val="5BD36C44"/>
    <w:rsid w:val="5BE63FFE"/>
    <w:rsid w:val="5BE96A18"/>
    <w:rsid w:val="5BEE5283"/>
    <w:rsid w:val="5BF11EDD"/>
    <w:rsid w:val="5BF633D9"/>
    <w:rsid w:val="5BFB00CD"/>
    <w:rsid w:val="5BFC1155"/>
    <w:rsid w:val="5C350FD5"/>
    <w:rsid w:val="5C522DCE"/>
    <w:rsid w:val="5C5B0DAF"/>
    <w:rsid w:val="5C5D0D87"/>
    <w:rsid w:val="5C5F4BFB"/>
    <w:rsid w:val="5C784A58"/>
    <w:rsid w:val="5C945A6C"/>
    <w:rsid w:val="5C9643DA"/>
    <w:rsid w:val="5C9F171A"/>
    <w:rsid w:val="5CC12B91"/>
    <w:rsid w:val="5CD86660"/>
    <w:rsid w:val="5CED3EB9"/>
    <w:rsid w:val="5CEE106A"/>
    <w:rsid w:val="5CFB72FE"/>
    <w:rsid w:val="5CFC4888"/>
    <w:rsid w:val="5D0222DA"/>
    <w:rsid w:val="5D0B6561"/>
    <w:rsid w:val="5D104BF5"/>
    <w:rsid w:val="5D143AF7"/>
    <w:rsid w:val="5D2101E6"/>
    <w:rsid w:val="5D267A89"/>
    <w:rsid w:val="5D283143"/>
    <w:rsid w:val="5D37597B"/>
    <w:rsid w:val="5D4E771A"/>
    <w:rsid w:val="5D6879E4"/>
    <w:rsid w:val="5D813824"/>
    <w:rsid w:val="5D9229BB"/>
    <w:rsid w:val="5D975EDA"/>
    <w:rsid w:val="5DA76A2C"/>
    <w:rsid w:val="5DB32E6B"/>
    <w:rsid w:val="5DBA5671"/>
    <w:rsid w:val="5DC56D20"/>
    <w:rsid w:val="5DD239A3"/>
    <w:rsid w:val="5DD632F9"/>
    <w:rsid w:val="5DDC09DE"/>
    <w:rsid w:val="5DE4719D"/>
    <w:rsid w:val="5DEE5B2C"/>
    <w:rsid w:val="5DF42D35"/>
    <w:rsid w:val="5E093367"/>
    <w:rsid w:val="5E48511F"/>
    <w:rsid w:val="5E560737"/>
    <w:rsid w:val="5E73F7A5"/>
    <w:rsid w:val="5E7660DE"/>
    <w:rsid w:val="5E8124EC"/>
    <w:rsid w:val="5E9068CC"/>
    <w:rsid w:val="5E914D18"/>
    <w:rsid w:val="5EA00D22"/>
    <w:rsid w:val="5EB32911"/>
    <w:rsid w:val="5EC02656"/>
    <w:rsid w:val="5EC24E86"/>
    <w:rsid w:val="5EC8301F"/>
    <w:rsid w:val="5ED05CA5"/>
    <w:rsid w:val="5ED44F11"/>
    <w:rsid w:val="5EFD20D9"/>
    <w:rsid w:val="5F162B4D"/>
    <w:rsid w:val="5F196402"/>
    <w:rsid w:val="5F1B447B"/>
    <w:rsid w:val="5F360CEB"/>
    <w:rsid w:val="5F3F088E"/>
    <w:rsid w:val="5F3F1B15"/>
    <w:rsid w:val="5F4D601E"/>
    <w:rsid w:val="5F83217D"/>
    <w:rsid w:val="5F8C3692"/>
    <w:rsid w:val="5FA86034"/>
    <w:rsid w:val="5FA92345"/>
    <w:rsid w:val="5FB62AD5"/>
    <w:rsid w:val="5FCF1B53"/>
    <w:rsid w:val="5FDB1F59"/>
    <w:rsid w:val="5FE2705A"/>
    <w:rsid w:val="5FE7474D"/>
    <w:rsid w:val="5FF13208"/>
    <w:rsid w:val="600517B8"/>
    <w:rsid w:val="601654D5"/>
    <w:rsid w:val="602F370C"/>
    <w:rsid w:val="60307B97"/>
    <w:rsid w:val="60335542"/>
    <w:rsid w:val="60350178"/>
    <w:rsid w:val="6037151A"/>
    <w:rsid w:val="6039362C"/>
    <w:rsid w:val="605D71EA"/>
    <w:rsid w:val="60675D31"/>
    <w:rsid w:val="606A692E"/>
    <w:rsid w:val="607064ED"/>
    <w:rsid w:val="607B18C7"/>
    <w:rsid w:val="60822B6A"/>
    <w:rsid w:val="60967B30"/>
    <w:rsid w:val="609D66A2"/>
    <w:rsid w:val="609F12DD"/>
    <w:rsid w:val="60A56859"/>
    <w:rsid w:val="60C90836"/>
    <w:rsid w:val="60CB1C3F"/>
    <w:rsid w:val="60DC274E"/>
    <w:rsid w:val="60E43DBA"/>
    <w:rsid w:val="60E91A96"/>
    <w:rsid w:val="60E92BEA"/>
    <w:rsid w:val="60F11A9E"/>
    <w:rsid w:val="60F340FE"/>
    <w:rsid w:val="611F65B2"/>
    <w:rsid w:val="61314EE2"/>
    <w:rsid w:val="61410F1F"/>
    <w:rsid w:val="614C39CF"/>
    <w:rsid w:val="61AD2C98"/>
    <w:rsid w:val="61BC0D44"/>
    <w:rsid w:val="61C714BE"/>
    <w:rsid w:val="61CA1810"/>
    <w:rsid w:val="61D77208"/>
    <w:rsid w:val="61E831B7"/>
    <w:rsid w:val="61FA6CA6"/>
    <w:rsid w:val="62051CA5"/>
    <w:rsid w:val="62117288"/>
    <w:rsid w:val="62142BFC"/>
    <w:rsid w:val="622A306B"/>
    <w:rsid w:val="62325AA7"/>
    <w:rsid w:val="623546B9"/>
    <w:rsid w:val="623923BC"/>
    <w:rsid w:val="62414D0F"/>
    <w:rsid w:val="624C68BC"/>
    <w:rsid w:val="624E7450"/>
    <w:rsid w:val="62682234"/>
    <w:rsid w:val="626B613C"/>
    <w:rsid w:val="626B6422"/>
    <w:rsid w:val="62790F28"/>
    <w:rsid w:val="62820D6E"/>
    <w:rsid w:val="629B7F14"/>
    <w:rsid w:val="62A1296B"/>
    <w:rsid w:val="62AA63A9"/>
    <w:rsid w:val="62AD3B37"/>
    <w:rsid w:val="62B347D0"/>
    <w:rsid w:val="62D91E87"/>
    <w:rsid w:val="630316C4"/>
    <w:rsid w:val="63082485"/>
    <w:rsid w:val="630F722C"/>
    <w:rsid w:val="63153B1C"/>
    <w:rsid w:val="63171C8B"/>
    <w:rsid w:val="63227EBB"/>
    <w:rsid w:val="634213C0"/>
    <w:rsid w:val="63530E60"/>
    <w:rsid w:val="63577E05"/>
    <w:rsid w:val="63625966"/>
    <w:rsid w:val="636D582F"/>
    <w:rsid w:val="637B1191"/>
    <w:rsid w:val="638176B1"/>
    <w:rsid w:val="638D6663"/>
    <w:rsid w:val="63910BF9"/>
    <w:rsid w:val="639507B6"/>
    <w:rsid w:val="639745DF"/>
    <w:rsid w:val="63A34C29"/>
    <w:rsid w:val="63A80AFE"/>
    <w:rsid w:val="63AF5116"/>
    <w:rsid w:val="63B70D7D"/>
    <w:rsid w:val="63CF22E5"/>
    <w:rsid w:val="63DB4CA7"/>
    <w:rsid w:val="63E36BD4"/>
    <w:rsid w:val="63ED330F"/>
    <w:rsid w:val="63F325EE"/>
    <w:rsid w:val="63F44E8C"/>
    <w:rsid w:val="63FA081C"/>
    <w:rsid w:val="63FD1D71"/>
    <w:rsid w:val="63FE5A09"/>
    <w:rsid w:val="64163FAF"/>
    <w:rsid w:val="64211126"/>
    <w:rsid w:val="64497E7C"/>
    <w:rsid w:val="64511EB6"/>
    <w:rsid w:val="64744EC0"/>
    <w:rsid w:val="64856EF3"/>
    <w:rsid w:val="648A317D"/>
    <w:rsid w:val="6497246F"/>
    <w:rsid w:val="6499071E"/>
    <w:rsid w:val="64AC46B3"/>
    <w:rsid w:val="64B230C0"/>
    <w:rsid w:val="64E71F99"/>
    <w:rsid w:val="65270184"/>
    <w:rsid w:val="654A0D80"/>
    <w:rsid w:val="654B02D7"/>
    <w:rsid w:val="654E33A1"/>
    <w:rsid w:val="65561F79"/>
    <w:rsid w:val="655820EC"/>
    <w:rsid w:val="655A5A5F"/>
    <w:rsid w:val="655E74F9"/>
    <w:rsid w:val="658B172F"/>
    <w:rsid w:val="658C4B05"/>
    <w:rsid w:val="659A591B"/>
    <w:rsid w:val="659D48E7"/>
    <w:rsid w:val="65B45DAE"/>
    <w:rsid w:val="65BC28CE"/>
    <w:rsid w:val="65CC225B"/>
    <w:rsid w:val="65CC7CE0"/>
    <w:rsid w:val="65D81B82"/>
    <w:rsid w:val="65E67A61"/>
    <w:rsid w:val="65EC4305"/>
    <w:rsid w:val="65F454AD"/>
    <w:rsid w:val="66036690"/>
    <w:rsid w:val="66054139"/>
    <w:rsid w:val="660622C7"/>
    <w:rsid w:val="66112F0B"/>
    <w:rsid w:val="6611731E"/>
    <w:rsid w:val="661D6075"/>
    <w:rsid w:val="664E0694"/>
    <w:rsid w:val="665809C5"/>
    <w:rsid w:val="665A1E94"/>
    <w:rsid w:val="665A2CA8"/>
    <w:rsid w:val="666212FC"/>
    <w:rsid w:val="66706783"/>
    <w:rsid w:val="667711DF"/>
    <w:rsid w:val="66822A40"/>
    <w:rsid w:val="66894914"/>
    <w:rsid w:val="66913A28"/>
    <w:rsid w:val="66970CC4"/>
    <w:rsid w:val="66A82EFB"/>
    <w:rsid w:val="66BE19D7"/>
    <w:rsid w:val="66C31A4D"/>
    <w:rsid w:val="66C95231"/>
    <w:rsid w:val="66CB1379"/>
    <w:rsid w:val="66E46287"/>
    <w:rsid w:val="66EF1D5B"/>
    <w:rsid w:val="66F63325"/>
    <w:rsid w:val="66FE5842"/>
    <w:rsid w:val="67065764"/>
    <w:rsid w:val="670921B5"/>
    <w:rsid w:val="6718068C"/>
    <w:rsid w:val="6718713B"/>
    <w:rsid w:val="673053B3"/>
    <w:rsid w:val="673F669D"/>
    <w:rsid w:val="674A16B3"/>
    <w:rsid w:val="675B64E2"/>
    <w:rsid w:val="67674868"/>
    <w:rsid w:val="676A54C3"/>
    <w:rsid w:val="67747877"/>
    <w:rsid w:val="677F1626"/>
    <w:rsid w:val="678B0C62"/>
    <w:rsid w:val="679E2C8B"/>
    <w:rsid w:val="67A119A2"/>
    <w:rsid w:val="67C54DF9"/>
    <w:rsid w:val="67CC0B6F"/>
    <w:rsid w:val="67CD5013"/>
    <w:rsid w:val="67F01D2C"/>
    <w:rsid w:val="68002460"/>
    <w:rsid w:val="68070700"/>
    <w:rsid w:val="68086CA3"/>
    <w:rsid w:val="68107267"/>
    <w:rsid w:val="681A5D7E"/>
    <w:rsid w:val="68372DA6"/>
    <w:rsid w:val="683B38A7"/>
    <w:rsid w:val="685928C0"/>
    <w:rsid w:val="68723855"/>
    <w:rsid w:val="6877157C"/>
    <w:rsid w:val="687E00BB"/>
    <w:rsid w:val="68856966"/>
    <w:rsid w:val="688A7E75"/>
    <w:rsid w:val="68A63232"/>
    <w:rsid w:val="68AA18CC"/>
    <w:rsid w:val="68DA0D5D"/>
    <w:rsid w:val="68DB1820"/>
    <w:rsid w:val="68E72455"/>
    <w:rsid w:val="68E95438"/>
    <w:rsid w:val="68F30F16"/>
    <w:rsid w:val="690E33DE"/>
    <w:rsid w:val="693356C7"/>
    <w:rsid w:val="693B715C"/>
    <w:rsid w:val="694119DB"/>
    <w:rsid w:val="69416753"/>
    <w:rsid w:val="694C1301"/>
    <w:rsid w:val="695738C4"/>
    <w:rsid w:val="696D3982"/>
    <w:rsid w:val="69826A6C"/>
    <w:rsid w:val="69961F5D"/>
    <w:rsid w:val="69D12417"/>
    <w:rsid w:val="6A055C28"/>
    <w:rsid w:val="6A080703"/>
    <w:rsid w:val="6A2964FD"/>
    <w:rsid w:val="6A361C7B"/>
    <w:rsid w:val="6A451256"/>
    <w:rsid w:val="6A473150"/>
    <w:rsid w:val="6A4D05A2"/>
    <w:rsid w:val="6A5117C2"/>
    <w:rsid w:val="6A553FC5"/>
    <w:rsid w:val="6A5E3266"/>
    <w:rsid w:val="6A834E53"/>
    <w:rsid w:val="6A863B0B"/>
    <w:rsid w:val="6A9564F9"/>
    <w:rsid w:val="6A9A168C"/>
    <w:rsid w:val="6AA3576D"/>
    <w:rsid w:val="6AAE27AE"/>
    <w:rsid w:val="6AD00976"/>
    <w:rsid w:val="6AD308C7"/>
    <w:rsid w:val="6AD82E6F"/>
    <w:rsid w:val="6ADF3EB2"/>
    <w:rsid w:val="6AF12591"/>
    <w:rsid w:val="6AF56559"/>
    <w:rsid w:val="6AFA571E"/>
    <w:rsid w:val="6B005FB8"/>
    <w:rsid w:val="6B090FB7"/>
    <w:rsid w:val="6B371C3A"/>
    <w:rsid w:val="6B4636FB"/>
    <w:rsid w:val="6B6E3D77"/>
    <w:rsid w:val="6B807326"/>
    <w:rsid w:val="6B851761"/>
    <w:rsid w:val="6B9320D0"/>
    <w:rsid w:val="6B9E0A74"/>
    <w:rsid w:val="6BA3084E"/>
    <w:rsid w:val="6BA808D2"/>
    <w:rsid w:val="6BAA45A0"/>
    <w:rsid w:val="6BAB427C"/>
    <w:rsid w:val="6BB1219D"/>
    <w:rsid w:val="6BB575F8"/>
    <w:rsid w:val="6BBC20B0"/>
    <w:rsid w:val="6BC4071B"/>
    <w:rsid w:val="6BCC6904"/>
    <w:rsid w:val="6BF16C8C"/>
    <w:rsid w:val="6C022DB1"/>
    <w:rsid w:val="6C0E5DC1"/>
    <w:rsid w:val="6C0E5FED"/>
    <w:rsid w:val="6C450EF0"/>
    <w:rsid w:val="6C455DCB"/>
    <w:rsid w:val="6C4F2301"/>
    <w:rsid w:val="6C5333BE"/>
    <w:rsid w:val="6C5A0E3F"/>
    <w:rsid w:val="6C67736E"/>
    <w:rsid w:val="6C6971A2"/>
    <w:rsid w:val="6C6D02CE"/>
    <w:rsid w:val="6C6E6D06"/>
    <w:rsid w:val="6C7A2EDA"/>
    <w:rsid w:val="6C7D736D"/>
    <w:rsid w:val="6C804522"/>
    <w:rsid w:val="6C85301C"/>
    <w:rsid w:val="6C995A3B"/>
    <w:rsid w:val="6CBF0CA2"/>
    <w:rsid w:val="6CC462B9"/>
    <w:rsid w:val="6CD31351"/>
    <w:rsid w:val="6CD3411D"/>
    <w:rsid w:val="6CE60005"/>
    <w:rsid w:val="6CF92406"/>
    <w:rsid w:val="6CFB6FED"/>
    <w:rsid w:val="6D013CB3"/>
    <w:rsid w:val="6D025CB0"/>
    <w:rsid w:val="6D080BB1"/>
    <w:rsid w:val="6D1C1946"/>
    <w:rsid w:val="6D216E90"/>
    <w:rsid w:val="6D231231"/>
    <w:rsid w:val="6D396078"/>
    <w:rsid w:val="6D4E2EE1"/>
    <w:rsid w:val="6D5257FB"/>
    <w:rsid w:val="6D591C02"/>
    <w:rsid w:val="6D682B9B"/>
    <w:rsid w:val="6D6D20F4"/>
    <w:rsid w:val="6D791DBA"/>
    <w:rsid w:val="6D942EDA"/>
    <w:rsid w:val="6DA65EA9"/>
    <w:rsid w:val="6DBB0B17"/>
    <w:rsid w:val="6DBD6D00"/>
    <w:rsid w:val="6DC04CD2"/>
    <w:rsid w:val="6E4B087C"/>
    <w:rsid w:val="6E5C31EF"/>
    <w:rsid w:val="6E760AD3"/>
    <w:rsid w:val="6E7D6089"/>
    <w:rsid w:val="6E7F693B"/>
    <w:rsid w:val="6E842195"/>
    <w:rsid w:val="6E97259B"/>
    <w:rsid w:val="6EA65EF8"/>
    <w:rsid w:val="6EA93C52"/>
    <w:rsid w:val="6EAC2314"/>
    <w:rsid w:val="6EB8423B"/>
    <w:rsid w:val="6EBB60D6"/>
    <w:rsid w:val="6ECF632A"/>
    <w:rsid w:val="6EDF6F83"/>
    <w:rsid w:val="6EE86B5B"/>
    <w:rsid w:val="6F074376"/>
    <w:rsid w:val="6F076D07"/>
    <w:rsid w:val="6F220FB8"/>
    <w:rsid w:val="6F2313C5"/>
    <w:rsid w:val="6F2F6F9B"/>
    <w:rsid w:val="6F3028FE"/>
    <w:rsid w:val="6F573414"/>
    <w:rsid w:val="6F6B5A10"/>
    <w:rsid w:val="6F8A08A9"/>
    <w:rsid w:val="6F94431B"/>
    <w:rsid w:val="6F951A08"/>
    <w:rsid w:val="6F9F41DF"/>
    <w:rsid w:val="6FAA5C3A"/>
    <w:rsid w:val="6FAB550E"/>
    <w:rsid w:val="6FBA04CD"/>
    <w:rsid w:val="6FC135EB"/>
    <w:rsid w:val="6FE439BD"/>
    <w:rsid w:val="6FED0DB7"/>
    <w:rsid w:val="6FFB57A1"/>
    <w:rsid w:val="701C1948"/>
    <w:rsid w:val="701D6332"/>
    <w:rsid w:val="70291255"/>
    <w:rsid w:val="702A2FA1"/>
    <w:rsid w:val="702C48A1"/>
    <w:rsid w:val="702E74B0"/>
    <w:rsid w:val="70310F71"/>
    <w:rsid w:val="7041470C"/>
    <w:rsid w:val="7057688E"/>
    <w:rsid w:val="706278A9"/>
    <w:rsid w:val="70943980"/>
    <w:rsid w:val="70A6536F"/>
    <w:rsid w:val="70A73471"/>
    <w:rsid w:val="70AB4D71"/>
    <w:rsid w:val="70B13ABA"/>
    <w:rsid w:val="70BF02F3"/>
    <w:rsid w:val="70D80092"/>
    <w:rsid w:val="70E64988"/>
    <w:rsid w:val="70E86A80"/>
    <w:rsid w:val="70F7113B"/>
    <w:rsid w:val="70FF6719"/>
    <w:rsid w:val="710E146F"/>
    <w:rsid w:val="711463C1"/>
    <w:rsid w:val="711F4406"/>
    <w:rsid w:val="71324878"/>
    <w:rsid w:val="713559D7"/>
    <w:rsid w:val="715B1936"/>
    <w:rsid w:val="71613C92"/>
    <w:rsid w:val="717A1F81"/>
    <w:rsid w:val="71855061"/>
    <w:rsid w:val="7186536E"/>
    <w:rsid w:val="7191716F"/>
    <w:rsid w:val="71A17EEE"/>
    <w:rsid w:val="71B21F4E"/>
    <w:rsid w:val="71BA412D"/>
    <w:rsid w:val="71BC579A"/>
    <w:rsid w:val="71BF7688"/>
    <w:rsid w:val="71EF3E5F"/>
    <w:rsid w:val="71F15DA2"/>
    <w:rsid w:val="71F17F19"/>
    <w:rsid w:val="721177EE"/>
    <w:rsid w:val="72125628"/>
    <w:rsid w:val="722D2EC2"/>
    <w:rsid w:val="723148BC"/>
    <w:rsid w:val="72462A97"/>
    <w:rsid w:val="72475BB5"/>
    <w:rsid w:val="724B4950"/>
    <w:rsid w:val="72640B23"/>
    <w:rsid w:val="728269FA"/>
    <w:rsid w:val="728E1843"/>
    <w:rsid w:val="72923F2B"/>
    <w:rsid w:val="72934ED7"/>
    <w:rsid w:val="729A5852"/>
    <w:rsid w:val="72AE11E9"/>
    <w:rsid w:val="72B8558C"/>
    <w:rsid w:val="72DD1E82"/>
    <w:rsid w:val="72FB055A"/>
    <w:rsid w:val="73013BEA"/>
    <w:rsid w:val="73176809"/>
    <w:rsid w:val="731C089E"/>
    <w:rsid w:val="73232192"/>
    <w:rsid w:val="732857F3"/>
    <w:rsid w:val="732B384E"/>
    <w:rsid w:val="73300B88"/>
    <w:rsid w:val="73384967"/>
    <w:rsid w:val="73392B64"/>
    <w:rsid w:val="73444790"/>
    <w:rsid w:val="734D7496"/>
    <w:rsid w:val="73565788"/>
    <w:rsid w:val="735B2A8A"/>
    <w:rsid w:val="7365049F"/>
    <w:rsid w:val="7369250B"/>
    <w:rsid w:val="73895030"/>
    <w:rsid w:val="73956B34"/>
    <w:rsid w:val="73B07597"/>
    <w:rsid w:val="73B13A3B"/>
    <w:rsid w:val="73BB1D90"/>
    <w:rsid w:val="73CB706E"/>
    <w:rsid w:val="73EF57E6"/>
    <w:rsid w:val="73F016F1"/>
    <w:rsid w:val="74046DE2"/>
    <w:rsid w:val="74055E02"/>
    <w:rsid w:val="740A2AC2"/>
    <w:rsid w:val="74133BF5"/>
    <w:rsid w:val="741E2752"/>
    <w:rsid w:val="742055DA"/>
    <w:rsid w:val="742F470C"/>
    <w:rsid w:val="74383078"/>
    <w:rsid w:val="74413A41"/>
    <w:rsid w:val="744F2D3A"/>
    <w:rsid w:val="74504D2B"/>
    <w:rsid w:val="746318EC"/>
    <w:rsid w:val="7469620A"/>
    <w:rsid w:val="74CA6488"/>
    <w:rsid w:val="74D66820"/>
    <w:rsid w:val="74EC4B78"/>
    <w:rsid w:val="74EE6EA4"/>
    <w:rsid w:val="74F87786"/>
    <w:rsid w:val="75090C2D"/>
    <w:rsid w:val="750935A0"/>
    <w:rsid w:val="750D545C"/>
    <w:rsid w:val="752145E9"/>
    <w:rsid w:val="7524023C"/>
    <w:rsid w:val="752913AF"/>
    <w:rsid w:val="752C00EB"/>
    <w:rsid w:val="752D5D4E"/>
    <w:rsid w:val="75303DDB"/>
    <w:rsid w:val="753D03C7"/>
    <w:rsid w:val="7546251E"/>
    <w:rsid w:val="7551759B"/>
    <w:rsid w:val="755438BA"/>
    <w:rsid w:val="755B5238"/>
    <w:rsid w:val="756E14B8"/>
    <w:rsid w:val="757E794D"/>
    <w:rsid w:val="758E56B6"/>
    <w:rsid w:val="759D2157"/>
    <w:rsid w:val="75AB317B"/>
    <w:rsid w:val="75B10574"/>
    <w:rsid w:val="75B31425"/>
    <w:rsid w:val="75BA46FD"/>
    <w:rsid w:val="75C31803"/>
    <w:rsid w:val="75CE3314"/>
    <w:rsid w:val="75D07B49"/>
    <w:rsid w:val="75EF61EA"/>
    <w:rsid w:val="75F47FF3"/>
    <w:rsid w:val="760017AF"/>
    <w:rsid w:val="76095F76"/>
    <w:rsid w:val="761741DA"/>
    <w:rsid w:val="7618597E"/>
    <w:rsid w:val="762B2FA7"/>
    <w:rsid w:val="76497BA6"/>
    <w:rsid w:val="7651212C"/>
    <w:rsid w:val="76684D88"/>
    <w:rsid w:val="766B0C8A"/>
    <w:rsid w:val="766C364C"/>
    <w:rsid w:val="767C7299"/>
    <w:rsid w:val="76857E75"/>
    <w:rsid w:val="76A25837"/>
    <w:rsid w:val="76B80C3C"/>
    <w:rsid w:val="76D75768"/>
    <w:rsid w:val="76E06296"/>
    <w:rsid w:val="76E47860"/>
    <w:rsid w:val="76EA2DC0"/>
    <w:rsid w:val="76EF516B"/>
    <w:rsid w:val="77066222"/>
    <w:rsid w:val="770D0F9F"/>
    <w:rsid w:val="771B09EA"/>
    <w:rsid w:val="77271D15"/>
    <w:rsid w:val="7731213D"/>
    <w:rsid w:val="773705AC"/>
    <w:rsid w:val="77430EF2"/>
    <w:rsid w:val="77641533"/>
    <w:rsid w:val="779B2AB3"/>
    <w:rsid w:val="77A302EF"/>
    <w:rsid w:val="77AA022F"/>
    <w:rsid w:val="77BD5F45"/>
    <w:rsid w:val="77BF3E1F"/>
    <w:rsid w:val="77CD6E56"/>
    <w:rsid w:val="77CE0C1D"/>
    <w:rsid w:val="77EF3E77"/>
    <w:rsid w:val="77F47D52"/>
    <w:rsid w:val="77FC56CD"/>
    <w:rsid w:val="77FC60DA"/>
    <w:rsid w:val="78105AF2"/>
    <w:rsid w:val="784825B0"/>
    <w:rsid w:val="785921DD"/>
    <w:rsid w:val="786B7476"/>
    <w:rsid w:val="7880578A"/>
    <w:rsid w:val="788743E0"/>
    <w:rsid w:val="789C1477"/>
    <w:rsid w:val="78B00E10"/>
    <w:rsid w:val="78B54AD0"/>
    <w:rsid w:val="78B90C9C"/>
    <w:rsid w:val="78C275C5"/>
    <w:rsid w:val="78C94CF6"/>
    <w:rsid w:val="78CF2E95"/>
    <w:rsid w:val="78DB3C46"/>
    <w:rsid w:val="78DF701F"/>
    <w:rsid w:val="78F30FA3"/>
    <w:rsid w:val="790B5738"/>
    <w:rsid w:val="792A3948"/>
    <w:rsid w:val="792A5884"/>
    <w:rsid w:val="792F6D75"/>
    <w:rsid w:val="7934704A"/>
    <w:rsid w:val="79585F52"/>
    <w:rsid w:val="797B41A3"/>
    <w:rsid w:val="79894391"/>
    <w:rsid w:val="79952965"/>
    <w:rsid w:val="799C07BA"/>
    <w:rsid w:val="799F7C0F"/>
    <w:rsid w:val="79A16530"/>
    <w:rsid w:val="79A95449"/>
    <w:rsid w:val="79D078B1"/>
    <w:rsid w:val="79D130A3"/>
    <w:rsid w:val="79D5105E"/>
    <w:rsid w:val="79D71CA5"/>
    <w:rsid w:val="79DD24ED"/>
    <w:rsid w:val="7A0C0C37"/>
    <w:rsid w:val="7A225CE9"/>
    <w:rsid w:val="7A3A4EE5"/>
    <w:rsid w:val="7A501AF2"/>
    <w:rsid w:val="7A637111"/>
    <w:rsid w:val="7A7845A4"/>
    <w:rsid w:val="7A88039D"/>
    <w:rsid w:val="7A9D0144"/>
    <w:rsid w:val="7AA479EA"/>
    <w:rsid w:val="7AA62AA9"/>
    <w:rsid w:val="7AB875DB"/>
    <w:rsid w:val="7ACF29F8"/>
    <w:rsid w:val="7AD33F9E"/>
    <w:rsid w:val="7AD5460D"/>
    <w:rsid w:val="7ADA74EA"/>
    <w:rsid w:val="7AF3323C"/>
    <w:rsid w:val="7AF60280"/>
    <w:rsid w:val="7AF95952"/>
    <w:rsid w:val="7B180A18"/>
    <w:rsid w:val="7B2514E3"/>
    <w:rsid w:val="7B2D37A3"/>
    <w:rsid w:val="7B310E1B"/>
    <w:rsid w:val="7B540B90"/>
    <w:rsid w:val="7B5A1010"/>
    <w:rsid w:val="7B6C6499"/>
    <w:rsid w:val="7B6D0C41"/>
    <w:rsid w:val="7B752410"/>
    <w:rsid w:val="7B7A118C"/>
    <w:rsid w:val="7B875922"/>
    <w:rsid w:val="7BA162CB"/>
    <w:rsid w:val="7BA97688"/>
    <w:rsid w:val="7BAC3E03"/>
    <w:rsid w:val="7BE22DE1"/>
    <w:rsid w:val="7BE8554A"/>
    <w:rsid w:val="7BE9141F"/>
    <w:rsid w:val="7BE96E0F"/>
    <w:rsid w:val="7BFD31A9"/>
    <w:rsid w:val="7BFD5426"/>
    <w:rsid w:val="7C1E391E"/>
    <w:rsid w:val="7C231E8A"/>
    <w:rsid w:val="7C2C5A5F"/>
    <w:rsid w:val="7C2D571B"/>
    <w:rsid w:val="7C3F770A"/>
    <w:rsid w:val="7C440227"/>
    <w:rsid w:val="7C572CA5"/>
    <w:rsid w:val="7C72188D"/>
    <w:rsid w:val="7C72445E"/>
    <w:rsid w:val="7C724545"/>
    <w:rsid w:val="7C7525B4"/>
    <w:rsid w:val="7C8879B9"/>
    <w:rsid w:val="7C9818C7"/>
    <w:rsid w:val="7CAD2498"/>
    <w:rsid w:val="7CB24FCC"/>
    <w:rsid w:val="7CBA6FF5"/>
    <w:rsid w:val="7CC263A9"/>
    <w:rsid w:val="7CC9732F"/>
    <w:rsid w:val="7CE26F00"/>
    <w:rsid w:val="7CEC27E3"/>
    <w:rsid w:val="7CF95D05"/>
    <w:rsid w:val="7D2F4728"/>
    <w:rsid w:val="7D381224"/>
    <w:rsid w:val="7D394037"/>
    <w:rsid w:val="7D3F5BEE"/>
    <w:rsid w:val="7D4525A4"/>
    <w:rsid w:val="7D5B0573"/>
    <w:rsid w:val="7D5C2B03"/>
    <w:rsid w:val="7D626D80"/>
    <w:rsid w:val="7D6D50D3"/>
    <w:rsid w:val="7D7C0535"/>
    <w:rsid w:val="7D8A24EA"/>
    <w:rsid w:val="7D905E56"/>
    <w:rsid w:val="7D95520F"/>
    <w:rsid w:val="7D994393"/>
    <w:rsid w:val="7DB06B11"/>
    <w:rsid w:val="7DB45F90"/>
    <w:rsid w:val="7DD76A4F"/>
    <w:rsid w:val="7DEF7E01"/>
    <w:rsid w:val="7E0F479F"/>
    <w:rsid w:val="7E2320F3"/>
    <w:rsid w:val="7E251320"/>
    <w:rsid w:val="7E2E7CDF"/>
    <w:rsid w:val="7E3D530C"/>
    <w:rsid w:val="7E4703CF"/>
    <w:rsid w:val="7E4B676C"/>
    <w:rsid w:val="7E4E7747"/>
    <w:rsid w:val="7E5A1EB9"/>
    <w:rsid w:val="7E625AC2"/>
    <w:rsid w:val="7E670E3F"/>
    <w:rsid w:val="7E6A74FC"/>
    <w:rsid w:val="7E6D4EDB"/>
    <w:rsid w:val="7E717883"/>
    <w:rsid w:val="7E7E6C0F"/>
    <w:rsid w:val="7E87554A"/>
    <w:rsid w:val="7E896B5E"/>
    <w:rsid w:val="7E9C72AC"/>
    <w:rsid w:val="7EA613C1"/>
    <w:rsid w:val="7EAD22B1"/>
    <w:rsid w:val="7EC32874"/>
    <w:rsid w:val="7EC5669F"/>
    <w:rsid w:val="7ED50A09"/>
    <w:rsid w:val="7F2463C8"/>
    <w:rsid w:val="7F4330D2"/>
    <w:rsid w:val="7F5026E5"/>
    <w:rsid w:val="7F5D6589"/>
    <w:rsid w:val="7F610979"/>
    <w:rsid w:val="7F631975"/>
    <w:rsid w:val="7F644808"/>
    <w:rsid w:val="7F656C55"/>
    <w:rsid w:val="7F6A0F42"/>
    <w:rsid w:val="7F6BA41A"/>
    <w:rsid w:val="7F8738A2"/>
    <w:rsid w:val="7F8C77CD"/>
    <w:rsid w:val="7F9D1378"/>
    <w:rsid w:val="7FA01DE4"/>
    <w:rsid w:val="7FB30510"/>
    <w:rsid w:val="7FB465DF"/>
    <w:rsid w:val="7FB5365A"/>
    <w:rsid w:val="7FBB354B"/>
    <w:rsid w:val="7FCC7385"/>
    <w:rsid w:val="7FE72592"/>
    <w:rsid w:val="7FF50FD7"/>
    <w:rsid w:val="BEFBC721"/>
    <w:rsid w:val="DBFFC00F"/>
    <w:rsid w:val="FB6F49D4"/>
    <w:rsid w:val="FBFE62EC"/>
    <w:rsid w:val="FC5F2362"/>
    <w:rsid w:val="FEEB745F"/>
    <w:rsid w:val="FEF64EFC"/>
    <w:rsid w:val="FFD55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7"/>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qFormat/>
    <w:uiPriority w:val="0"/>
    <w:pPr>
      <w:spacing w:beforeLines="50" w:afterLines="50" w:line="240" w:lineRule="exact"/>
      <w:ind w:left="284" w:hanging="284"/>
      <w:jc w:val="center"/>
      <w:outlineLvl w:val="4"/>
    </w:pPr>
    <w:rPr>
      <w:color w:val="000000"/>
      <w:sz w:val="24"/>
    </w:rPr>
  </w:style>
  <w:style w:type="paragraph" w:styleId="9">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0"/>
    <w:pPr>
      <w:spacing w:after="120"/>
    </w:pPr>
  </w:style>
  <w:style w:type="paragraph" w:customStyle="1" w:styleId="8">
    <w:name w:val="正文缩进1"/>
    <w:basedOn w:val="1"/>
    <w:qFormat/>
    <w:uiPriority w:val="0"/>
    <w:pPr>
      <w:ind w:firstLine="420" w:firstLineChars="200"/>
    </w:pPr>
  </w:style>
  <w:style w:type="paragraph" w:styleId="13">
    <w:name w:val="List 3"/>
    <w:basedOn w:val="1"/>
    <w:qFormat/>
    <w:uiPriority w:val="0"/>
    <w:pPr>
      <w:ind w:left="1260" w:hanging="420"/>
    </w:pPr>
    <w:rPr>
      <w:sz w:val="24"/>
    </w:rPr>
  </w:style>
  <w:style w:type="paragraph" w:styleId="14">
    <w:name w:val="toc 7"/>
    <w:basedOn w:val="1"/>
    <w:next w:val="1"/>
    <w:qFormat/>
    <w:uiPriority w:val="0"/>
    <w:pPr>
      <w:ind w:left="1260"/>
      <w:jc w:val="left"/>
    </w:pPr>
    <w:rPr>
      <w:sz w:val="18"/>
      <w:szCs w:val="18"/>
    </w:rPr>
  </w:style>
  <w:style w:type="paragraph" w:styleId="15">
    <w:name w:val="Normal Indent"/>
    <w:basedOn w:val="1"/>
    <w:link w:val="69"/>
    <w:unhideWhenUsed/>
    <w:qFormat/>
    <w:uiPriority w:val="0"/>
    <w:pPr>
      <w:ind w:firstLine="420"/>
    </w:pPr>
  </w:style>
  <w:style w:type="paragraph" w:styleId="16">
    <w:name w:val="Document Map"/>
    <w:basedOn w:val="1"/>
    <w:link w:val="70"/>
    <w:qFormat/>
    <w:uiPriority w:val="0"/>
    <w:rPr>
      <w:rFonts w:ascii="宋体"/>
      <w:sz w:val="18"/>
      <w:szCs w:val="18"/>
    </w:rPr>
  </w:style>
  <w:style w:type="paragraph" w:styleId="17">
    <w:name w:val="annotation text"/>
    <w:basedOn w:val="1"/>
    <w:link w:val="71"/>
    <w:qFormat/>
    <w:uiPriority w:val="99"/>
    <w:pPr>
      <w:jc w:val="left"/>
    </w:pPr>
  </w:style>
  <w:style w:type="paragraph" w:styleId="18">
    <w:name w:val="Body Text 3"/>
    <w:basedOn w:val="1"/>
    <w:qFormat/>
    <w:uiPriority w:val="0"/>
    <w:rPr>
      <w:rFonts w:ascii="宋体"/>
      <w:kern w:val="0"/>
      <w:sz w:val="24"/>
      <w:szCs w:val="20"/>
    </w:rPr>
  </w:style>
  <w:style w:type="paragraph" w:styleId="19">
    <w:name w:val="Body Text Indent"/>
    <w:basedOn w:val="1"/>
    <w:next w:val="20"/>
    <w:unhideWhenUsed/>
    <w:qFormat/>
    <w:uiPriority w:val="0"/>
    <w:pPr>
      <w:spacing w:after="120"/>
      <w:ind w:left="420" w:leftChars="200"/>
    </w:pPr>
  </w:style>
  <w:style w:type="paragraph" w:styleId="20">
    <w:name w:val="envelope return"/>
    <w:basedOn w:val="1"/>
    <w:qFormat/>
    <w:uiPriority w:val="0"/>
    <w:pPr>
      <w:snapToGrid w:val="0"/>
    </w:pPr>
    <w:rPr>
      <w:rFonts w:ascii="Arial" w:hAnsi="Arial"/>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Cs/>
      <w:sz w:val="20"/>
      <w:szCs w:val="20"/>
    </w:rPr>
  </w:style>
  <w:style w:type="paragraph" w:styleId="23">
    <w:name w:val="Plain Text"/>
    <w:basedOn w:val="1"/>
    <w:next w:val="1"/>
    <w:link w:val="73"/>
    <w:qFormat/>
    <w:uiPriority w:val="99"/>
    <w:rPr>
      <w:rFonts w:ascii="宋体" w:hAnsi="Courier New"/>
      <w:szCs w:val="20"/>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pPr>
      <w:ind w:left="100" w:leftChars="2500"/>
    </w:pPr>
    <w:rPr>
      <w:rFonts w:ascii="Calibri" w:hAnsi="Calibri"/>
      <w:kern w:val="0"/>
      <w:sz w:val="20"/>
    </w:rPr>
  </w:style>
  <w:style w:type="paragraph" w:styleId="26">
    <w:name w:val="endnote text"/>
    <w:basedOn w:val="1"/>
    <w:link w:val="75"/>
    <w:qFormat/>
    <w:uiPriority w:val="0"/>
    <w:pPr>
      <w:snapToGrid w:val="0"/>
      <w:jc w:val="left"/>
    </w:pPr>
    <w:rPr>
      <w:szCs w:val="20"/>
    </w:rPr>
  </w:style>
  <w:style w:type="paragraph" w:styleId="27">
    <w:name w:val="Balloon Text"/>
    <w:basedOn w:val="1"/>
    <w:link w:val="76"/>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snapToGrid w:val="0"/>
      <w:jc w:val="left"/>
    </w:pPr>
    <w:rPr>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79"/>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80"/>
    <w:unhideWhenUsed/>
    <w:qFormat/>
    <w:uiPriority w:val="0"/>
    <w:rPr>
      <w:rFonts w:ascii="宋体"/>
      <w:sz w:val="24"/>
      <w:u w:val="single"/>
    </w:rPr>
  </w:style>
  <w:style w:type="paragraph" w:styleId="39">
    <w:name w:val="Normal (Web)"/>
    <w:basedOn w:val="1"/>
    <w:qFormat/>
    <w:uiPriority w:val="0"/>
    <w:pPr>
      <w:widowControl/>
      <w:spacing w:before="100" w:beforeAutospacing="1" w:after="100" w:afterAutospacing="1"/>
      <w:jc w:val="left"/>
    </w:pPr>
    <w:rPr>
      <w:kern w:val="0"/>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7"/>
    <w:next w:val="17"/>
    <w:link w:val="81"/>
    <w:qFormat/>
    <w:uiPriority w:val="0"/>
    <w:rPr>
      <w:b/>
      <w:bCs/>
    </w:rPr>
  </w:style>
  <w:style w:type="paragraph" w:styleId="43">
    <w:name w:val="Body Text First Indent"/>
    <w:basedOn w:val="2"/>
    <w:link w:val="82"/>
    <w:unhideWhenUsed/>
    <w:qFormat/>
    <w:uiPriority w:val="99"/>
    <w:pPr>
      <w:ind w:firstLine="420" w:firstLineChars="100"/>
    </w:pPr>
    <w:rPr>
      <w:kern w:val="0"/>
      <w:sz w:val="20"/>
      <w:szCs w:val="20"/>
    </w:rPr>
  </w:style>
  <w:style w:type="paragraph" w:styleId="44">
    <w:name w:val="Body Text First Indent 2"/>
    <w:basedOn w:val="19"/>
    <w:next w:val="15"/>
    <w:link w:val="65"/>
    <w:unhideWhenUsed/>
    <w:qFormat/>
    <w:uiPriority w:val="0"/>
    <w:pPr>
      <w:ind w:firstLine="420" w:firstLineChars="200"/>
    </w:p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endnote reference"/>
    <w:qFormat/>
    <w:uiPriority w:val="0"/>
    <w:rPr>
      <w:vertAlign w:val="superscript"/>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color w:val="CC0000"/>
    </w:rPr>
  </w:style>
  <w:style w:type="character" w:styleId="53">
    <w:name w:val="HTML Definition"/>
    <w:unhideWhenUsed/>
    <w:qFormat/>
    <w:uiPriority w:val="99"/>
    <w:rPr>
      <w:i/>
      <w:iCs/>
    </w:rPr>
  </w:style>
  <w:style w:type="character" w:styleId="54">
    <w:name w:val="Hyperlink"/>
    <w:qFormat/>
    <w:uiPriority w:val="99"/>
    <w:rPr>
      <w:color w:val="000000"/>
      <w:u w:val="none"/>
    </w:rPr>
  </w:style>
  <w:style w:type="character" w:styleId="55">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56">
    <w:name w:val="annotation reference"/>
    <w:qFormat/>
    <w:uiPriority w:val="0"/>
    <w:rPr>
      <w:sz w:val="21"/>
      <w:szCs w:val="21"/>
    </w:rPr>
  </w:style>
  <w:style w:type="character" w:styleId="57">
    <w:name w:val="HTML Cite"/>
    <w:unhideWhenUsed/>
    <w:qFormat/>
    <w:uiPriority w:val="99"/>
    <w:rPr>
      <w:sz w:val="24"/>
      <w:szCs w:val="24"/>
    </w:rPr>
  </w:style>
  <w:style w:type="character" w:styleId="58">
    <w:name w:val="footnote reference"/>
    <w:qFormat/>
    <w:uiPriority w:val="0"/>
    <w:rPr>
      <w:vertAlign w:val="superscript"/>
    </w:rPr>
  </w:style>
  <w:style w:type="character" w:styleId="59">
    <w:name w:val="HTML Keyboard"/>
    <w:unhideWhenUsed/>
    <w:qFormat/>
    <w:uiPriority w:val="99"/>
    <w:rPr>
      <w:rFonts w:hint="default" w:ascii="Consolas" w:hAnsi="Consolas" w:eastAsia="Consolas" w:cs="Consolas"/>
      <w:color w:val="FFFFFF"/>
      <w:sz w:val="21"/>
      <w:szCs w:val="21"/>
      <w:shd w:val="clear" w:color="auto" w:fill="333333"/>
    </w:rPr>
  </w:style>
  <w:style w:type="character" w:styleId="60">
    <w:name w:val="HTML Sample"/>
    <w:unhideWhenUsed/>
    <w:qFormat/>
    <w:uiPriority w:val="99"/>
    <w:rPr>
      <w:rFonts w:ascii="Consolas" w:hAnsi="Consolas" w:eastAsia="Consolas" w:cs="Consolas"/>
      <w:sz w:val="21"/>
      <w:szCs w:val="21"/>
    </w:rPr>
  </w:style>
  <w:style w:type="paragraph" w:customStyle="1" w:styleId="61">
    <w:name w:val="样式1"/>
    <w:basedOn w:val="1"/>
    <w:next w:val="6"/>
    <w:qFormat/>
    <w:uiPriority w:val="0"/>
    <w:pPr>
      <w:spacing w:line="360" w:lineRule="auto"/>
      <w:ind w:firstLine="420" w:firstLineChars="200"/>
    </w:pPr>
    <w:rPr>
      <w:rFonts w:ascii="宋体" w:hAnsi="宋体"/>
      <w:szCs w:val="21"/>
    </w:rPr>
  </w:style>
  <w:style w:type="character" w:customStyle="1" w:styleId="62">
    <w:name w:val="标题 1 字符"/>
    <w:qFormat/>
    <w:uiPriority w:val="0"/>
    <w:rPr>
      <w:rFonts w:eastAsia="宋体"/>
      <w:b/>
      <w:bCs/>
      <w:kern w:val="44"/>
      <w:sz w:val="44"/>
      <w:szCs w:val="44"/>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rPr>
  </w:style>
  <w:style w:type="character" w:customStyle="1" w:styleId="64">
    <w:name w:val="标题 2 字符"/>
    <w:qFormat/>
    <w:uiPriority w:val="0"/>
    <w:rPr>
      <w:rFonts w:ascii="Arial" w:hAnsi="Arial" w:eastAsia="黑体"/>
      <w:b/>
      <w:bCs/>
      <w:kern w:val="2"/>
      <w:sz w:val="32"/>
      <w:szCs w:val="32"/>
    </w:rPr>
  </w:style>
  <w:style w:type="character" w:customStyle="1" w:styleId="65">
    <w:name w:val="正文首行缩进 2 Char"/>
    <w:link w:val="44"/>
    <w:qFormat/>
    <w:uiPriority w:val="0"/>
    <w:rPr>
      <w:kern w:val="2"/>
      <w:sz w:val="21"/>
      <w:szCs w:val="24"/>
    </w:rPr>
  </w:style>
  <w:style w:type="character" w:customStyle="1" w:styleId="66">
    <w:name w:val="标题 1 Char"/>
    <w:link w:val="3"/>
    <w:qFormat/>
    <w:uiPriority w:val="9"/>
    <w:rPr>
      <w:rFonts w:eastAsia="宋体"/>
      <w:b/>
      <w:bCs/>
      <w:kern w:val="44"/>
      <w:sz w:val="44"/>
      <w:szCs w:val="44"/>
      <w:lang w:val="en-US" w:eastAsia="zh-CN"/>
    </w:rPr>
  </w:style>
  <w:style w:type="character" w:customStyle="1" w:styleId="67">
    <w:name w:val="标题 2 Char"/>
    <w:link w:val="4"/>
    <w:qFormat/>
    <w:uiPriority w:val="0"/>
    <w:rPr>
      <w:rFonts w:ascii="Arial" w:hAnsi="Arial" w:eastAsia="黑体"/>
      <w:b/>
      <w:bCs/>
      <w:kern w:val="2"/>
      <w:sz w:val="32"/>
      <w:szCs w:val="32"/>
      <w:lang w:val="en-US" w:eastAsia="zh-CN"/>
    </w:rPr>
  </w:style>
  <w:style w:type="character" w:customStyle="1" w:styleId="68">
    <w:name w:val="标题 3 Char"/>
    <w:link w:val="5"/>
    <w:qFormat/>
    <w:uiPriority w:val="0"/>
    <w:rPr>
      <w:rFonts w:ascii="黑体" w:hAnsi="宋体" w:eastAsia="黑体"/>
      <w:bCs/>
      <w:kern w:val="2"/>
      <w:sz w:val="28"/>
      <w:szCs w:val="28"/>
      <w:lang w:val="en-US" w:eastAsia="zh-CN"/>
    </w:rPr>
  </w:style>
  <w:style w:type="character" w:customStyle="1" w:styleId="69">
    <w:name w:val="正文缩进 Char"/>
    <w:link w:val="15"/>
    <w:qFormat/>
    <w:uiPriority w:val="0"/>
    <w:rPr>
      <w:kern w:val="2"/>
      <w:sz w:val="21"/>
      <w:szCs w:val="24"/>
    </w:rPr>
  </w:style>
  <w:style w:type="character" w:customStyle="1" w:styleId="70">
    <w:name w:val="文档结构图 Char"/>
    <w:link w:val="16"/>
    <w:qFormat/>
    <w:uiPriority w:val="0"/>
    <w:rPr>
      <w:rFonts w:ascii="宋体"/>
      <w:kern w:val="2"/>
      <w:sz w:val="18"/>
      <w:szCs w:val="18"/>
    </w:rPr>
  </w:style>
  <w:style w:type="character" w:customStyle="1" w:styleId="71">
    <w:name w:val="批注文字 Char1"/>
    <w:link w:val="17"/>
    <w:qFormat/>
    <w:uiPriority w:val="99"/>
    <w:rPr>
      <w:rFonts w:eastAsia="宋体"/>
      <w:kern w:val="2"/>
      <w:sz w:val="21"/>
      <w:szCs w:val="24"/>
      <w:lang w:val="en-US" w:eastAsia="zh-CN"/>
    </w:rPr>
  </w:style>
  <w:style w:type="character" w:customStyle="1" w:styleId="72">
    <w:name w:val="正文文本 Char"/>
    <w:link w:val="2"/>
    <w:qFormat/>
    <w:uiPriority w:val="0"/>
    <w:rPr>
      <w:rFonts w:eastAsia="宋体"/>
      <w:kern w:val="2"/>
      <w:sz w:val="21"/>
      <w:szCs w:val="24"/>
      <w:lang w:val="en-US" w:eastAsia="zh-CN"/>
    </w:rPr>
  </w:style>
  <w:style w:type="character" w:customStyle="1" w:styleId="73">
    <w:name w:val="纯文本 Char2"/>
    <w:link w:val="23"/>
    <w:qFormat/>
    <w:uiPriority w:val="0"/>
    <w:rPr>
      <w:rFonts w:ascii="宋体" w:hAnsi="Courier New"/>
      <w:kern w:val="2"/>
      <w:sz w:val="21"/>
    </w:rPr>
  </w:style>
  <w:style w:type="character" w:customStyle="1" w:styleId="74">
    <w:name w:val="日期 Char"/>
    <w:link w:val="25"/>
    <w:qFormat/>
    <w:uiPriority w:val="0"/>
    <w:rPr>
      <w:rFonts w:ascii="Calibri" w:hAnsi="Calibri"/>
      <w:szCs w:val="24"/>
    </w:rPr>
  </w:style>
  <w:style w:type="character" w:customStyle="1" w:styleId="75">
    <w:name w:val="尾注文本 Char"/>
    <w:link w:val="26"/>
    <w:qFormat/>
    <w:uiPriority w:val="0"/>
    <w:rPr>
      <w:kern w:val="2"/>
      <w:sz w:val="21"/>
    </w:rPr>
  </w:style>
  <w:style w:type="character" w:customStyle="1" w:styleId="76">
    <w:name w:val="批注框文本 Char1"/>
    <w:link w:val="27"/>
    <w:semiHidden/>
    <w:qFormat/>
    <w:uiPriority w:val="0"/>
    <w:rPr>
      <w:rFonts w:eastAsia="宋体"/>
      <w:kern w:val="2"/>
      <w:sz w:val="18"/>
      <w:szCs w:val="18"/>
      <w:lang w:val="en-US" w:eastAsia="zh-CN" w:bidi="ar-SA"/>
    </w:rPr>
  </w:style>
  <w:style w:type="character" w:customStyle="1" w:styleId="77">
    <w:name w:val="页脚 Char1"/>
    <w:link w:val="28"/>
    <w:qFormat/>
    <w:uiPriority w:val="0"/>
    <w:rPr>
      <w:rFonts w:eastAsia="宋体"/>
      <w:kern w:val="2"/>
      <w:sz w:val="18"/>
      <w:szCs w:val="18"/>
      <w:lang w:val="en-US" w:eastAsia="zh-CN"/>
    </w:rPr>
  </w:style>
  <w:style w:type="character" w:customStyle="1" w:styleId="78">
    <w:name w:val="页眉 Char1"/>
    <w:link w:val="29"/>
    <w:qFormat/>
    <w:uiPriority w:val="0"/>
    <w:rPr>
      <w:rFonts w:eastAsia="宋体"/>
      <w:kern w:val="2"/>
      <w:sz w:val="18"/>
      <w:szCs w:val="18"/>
      <w:lang w:val="en-US" w:eastAsia="zh-CN"/>
    </w:rPr>
  </w:style>
  <w:style w:type="character" w:customStyle="1" w:styleId="79">
    <w:name w:val="正文文本缩进 3 Char"/>
    <w:link w:val="35"/>
    <w:qFormat/>
    <w:uiPriority w:val="0"/>
    <w:rPr>
      <w:kern w:val="2"/>
      <w:sz w:val="16"/>
      <w:szCs w:val="16"/>
    </w:rPr>
  </w:style>
  <w:style w:type="character" w:customStyle="1" w:styleId="80">
    <w:name w:val="正文文本 2 Char"/>
    <w:link w:val="38"/>
    <w:qFormat/>
    <w:locked/>
    <w:uiPriority w:val="0"/>
    <w:rPr>
      <w:rFonts w:ascii="宋体"/>
      <w:kern w:val="2"/>
      <w:sz w:val="24"/>
      <w:szCs w:val="24"/>
      <w:u w:val="single"/>
    </w:rPr>
  </w:style>
  <w:style w:type="character" w:customStyle="1" w:styleId="81">
    <w:name w:val="批注主题 Char"/>
    <w:link w:val="42"/>
    <w:qFormat/>
    <w:uiPriority w:val="0"/>
    <w:rPr>
      <w:rFonts w:eastAsia="宋体"/>
      <w:b/>
      <w:bCs/>
      <w:kern w:val="2"/>
      <w:sz w:val="21"/>
      <w:szCs w:val="24"/>
      <w:lang w:val="en-US" w:eastAsia="zh-CN"/>
    </w:rPr>
  </w:style>
  <w:style w:type="character" w:customStyle="1" w:styleId="82">
    <w:name w:val="正文首行缩进 Char1"/>
    <w:link w:val="43"/>
    <w:semiHidden/>
    <w:qFormat/>
    <w:uiPriority w:val="99"/>
    <w:rPr>
      <w:lang w:val="en-US" w:eastAsia="zh-CN"/>
    </w:rPr>
  </w:style>
  <w:style w:type="character" w:customStyle="1" w:styleId="83">
    <w:name w:val="标题 2 字符1"/>
    <w:qFormat/>
    <w:uiPriority w:val="0"/>
    <w:rPr>
      <w:rFonts w:ascii="宋体" w:hAnsi="宋体" w:eastAsia="宋体" w:cs="Times New Roman"/>
      <w:b/>
      <w:bCs/>
      <w:kern w:val="0"/>
      <w:sz w:val="24"/>
      <w:szCs w:val="24"/>
    </w:rPr>
  </w:style>
  <w:style w:type="character" w:customStyle="1" w:styleId="84">
    <w:name w:val="批注框文本 Char"/>
    <w:qFormat/>
    <w:uiPriority w:val="0"/>
    <w:rPr>
      <w:rFonts w:ascii="Calibri" w:hAnsi="Calibri" w:eastAsia="宋体" w:cs="Times New Roman"/>
      <w:kern w:val="2"/>
      <w:sz w:val="18"/>
      <w:szCs w:val="18"/>
    </w:rPr>
  </w:style>
  <w:style w:type="character" w:customStyle="1" w:styleId="85">
    <w:name w:val="more"/>
    <w:qFormat/>
    <w:uiPriority w:val="0"/>
    <w:rPr>
      <w:color w:val="FFFFFF"/>
      <w:sz w:val="23"/>
      <w:szCs w:val="23"/>
    </w:rPr>
  </w:style>
  <w:style w:type="character" w:customStyle="1" w:styleId="86">
    <w:name w:val="标题 3 Char1"/>
    <w:qFormat/>
    <w:uiPriority w:val="0"/>
    <w:rPr>
      <w:rFonts w:ascii="黑体" w:hAnsi="宋体" w:eastAsia="黑体"/>
      <w:bCs/>
      <w:kern w:val="2"/>
      <w:sz w:val="28"/>
      <w:szCs w:val="28"/>
      <w:lang w:val="en-US" w:eastAsia="zh-CN"/>
    </w:rPr>
  </w:style>
  <w:style w:type="character" w:customStyle="1" w:styleId="87">
    <w:name w:val="hover37"/>
    <w:qFormat/>
    <w:uiPriority w:val="0"/>
  </w:style>
  <w:style w:type="character" w:customStyle="1" w:styleId="88">
    <w:name w:val="hover27"/>
    <w:qFormat/>
    <w:uiPriority w:val="0"/>
    <w:rPr>
      <w:shd w:val="clear" w:color="auto" w:fill="EEEEEE"/>
    </w:rPr>
  </w:style>
  <w:style w:type="character" w:customStyle="1" w:styleId="89">
    <w:name w:val="文一 Char Char"/>
    <w:link w:val="90"/>
    <w:qFormat/>
    <w:uiPriority w:val="0"/>
    <w:rPr>
      <w:rFonts w:ascii="等线" w:hAnsi="等线" w:eastAsia="等线"/>
      <w:spacing w:val="4"/>
      <w:sz w:val="24"/>
      <w:szCs w:val="24"/>
    </w:rPr>
  </w:style>
  <w:style w:type="paragraph" w:customStyle="1" w:styleId="90">
    <w:name w:val="文一"/>
    <w:basedOn w:val="1"/>
    <w:link w:val="89"/>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91">
    <w:name w:val="current1"/>
    <w:qFormat/>
    <w:uiPriority w:val="0"/>
    <w:rPr>
      <w:color w:val="FFFFFF"/>
      <w:bdr w:val="single" w:color="2B55AF" w:sz="6" w:space="0"/>
      <w:shd w:val="clear" w:color="auto" w:fill="4F616C"/>
    </w:rPr>
  </w:style>
  <w:style w:type="character" w:customStyle="1" w:styleId="92">
    <w:name w:val="testimonials-post1"/>
    <w:qFormat/>
    <w:uiPriority w:val="0"/>
    <w:rPr>
      <w:color w:val="656565"/>
      <w:sz w:val="18"/>
      <w:szCs w:val="18"/>
    </w:rPr>
  </w:style>
  <w:style w:type="character" w:customStyle="1" w:styleId="93">
    <w:name w:val="Char Char11"/>
    <w:qFormat/>
    <w:uiPriority w:val="0"/>
    <w:rPr>
      <w:rFonts w:ascii="Times New Roman" w:hAnsi="Times New Roman" w:eastAsia="宋体" w:cs="Times New Roman"/>
      <w:szCs w:val="24"/>
    </w:rPr>
  </w:style>
  <w:style w:type="character" w:customStyle="1" w:styleId="94">
    <w:name w:val="more8"/>
    <w:qFormat/>
    <w:uiPriority w:val="0"/>
    <w:rPr>
      <w:color w:val="FFFFFF"/>
    </w:rPr>
  </w:style>
  <w:style w:type="character" w:customStyle="1" w:styleId="95">
    <w:name w:val="hover36"/>
    <w:qFormat/>
    <w:uiPriority w:val="0"/>
  </w:style>
  <w:style w:type="character" w:customStyle="1" w:styleId="96">
    <w:name w:val="font161"/>
    <w:qFormat/>
    <w:uiPriority w:val="0"/>
    <w:rPr>
      <w:b/>
      <w:bCs/>
      <w:sz w:val="32"/>
      <w:szCs w:val="32"/>
    </w:rPr>
  </w:style>
  <w:style w:type="character" w:customStyle="1" w:styleId="97">
    <w:name w:val="sep"/>
    <w:qFormat/>
    <w:uiPriority w:val="0"/>
    <w:rPr>
      <w:shd w:val="clear" w:color="auto" w:fill="EAEAEA"/>
    </w:rPr>
  </w:style>
  <w:style w:type="character" w:customStyle="1" w:styleId="98">
    <w:name w:val="testimonials-post"/>
    <w:qFormat/>
    <w:uiPriority w:val="0"/>
    <w:rPr>
      <w:color w:val="656565"/>
      <w:sz w:val="18"/>
      <w:szCs w:val="18"/>
    </w:rPr>
  </w:style>
  <w:style w:type="character" w:customStyle="1" w:styleId="99">
    <w:name w:val="color-mode-label"/>
    <w:qFormat/>
    <w:uiPriority w:val="0"/>
  </w:style>
  <w:style w:type="character" w:customStyle="1" w:styleId="100">
    <w:name w:val="批注引用1"/>
    <w:qFormat/>
    <w:uiPriority w:val="0"/>
    <w:rPr>
      <w:sz w:val="21"/>
      <w:szCs w:val="21"/>
    </w:rPr>
  </w:style>
  <w:style w:type="character" w:customStyle="1" w:styleId="101">
    <w:name w:val="批注文字 Char"/>
    <w:qFormat/>
    <w:uiPriority w:val="0"/>
    <w:rPr>
      <w:rFonts w:eastAsia="宋体"/>
      <w:kern w:val="2"/>
      <w:sz w:val="21"/>
      <w:szCs w:val="24"/>
      <w:lang w:val="en-US" w:eastAsia="zh-CN"/>
    </w:rPr>
  </w:style>
  <w:style w:type="character" w:customStyle="1" w:styleId="102">
    <w:name w:val="fontstyle01"/>
    <w:qFormat/>
    <w:uiPriority w:val="0"/>
    <w:rPr>
      <w:rFonts w:ascii="宋体" w:hAnsi="宋体" w:eastAsia="宋体" w:cs="宋体"/>
      <w:color w:val="000000"/>
      <w:sz w:val="24"/>
      <w:szCs w:val="24"/>
    </w:rPr>
  </w:style>
  <w:style w:type="character" w:customStyle="1" w:styleId="103">
    <w:name w:val="纯文本 Char1"/>
    <w:link w:val="104"/>
    <w:qFormat/>
    <w:uiPriority w:val="0"/>
    <w:rPr>
      <w:rFonts w:ascii="宋体" w:hAnsi="Courier New" w:eastAsia="宋体"/>
      <w:kern w:val="2"/>
      <w:sz w:val="21"/>
      <w:lang w:val="en-US" w:eastAsia="zh-CN"/>
    </w:rPr>
  </w:style>
  <w:style w:type="paragraph" w:customStyle="1" w:styleId="104">
    <w:name w:val="纯文本1"/>
    <w:basedOn w:val="1"/>
    <w:link w:val="103"/>
    <w:qFormat/>
    <w:uiPriority w:val="0"/>
    <w:rPr>
      <w:rFonts w:ascii="宋体" w:hAnsi="Courier New"/>
      <w:szCs w:val="20"/>
    </w:rPr>
  </w:style>
  <w:style w:type="character" w:customStyle="1" w:styleId="105">
    <w:name w:val="old"/>
    <w:qFormat/>
    <w:uiPriority w:val="0"/>
    <w:rPr>
      <w:color w:val="999999"/>
    </w:rPr>
  </w:style>
  <w:style w:type="character" w:customStyle="1" w:styleId="106">
    <w:name w:val="Char Char12"/>
    <w:qFormat/>
    <w:uiPriority w:val="0"/>
    <w:rPr>
      <w:rFonts w:ascii="Arial" w:hAnsi="Arial" w:eastAsia="黑体" w:cs="Times New Roman"/>
      <w:b/>
      <w:bCs/>
      <w:sz w:val="32"/>
      <w:szCs w:val="32"/>
    </w:rPr>
  </w:style>
  <w:style w:type="character" w:customStyle="1" w:styleId="107">
    <w:name w:val="testimonials-name1"/>
    <w:qFormat/>
    <w:uiPriority w:val="0"/>
    <w:rPr>
      <w:color w:val="E6400C"/>
      <w:sz w:val="19"/>
      <w:szCs w:val="19"/>
    </w:rPr>
  </w:style>
  <w:style w:type="character" w:customStyle="1" w:styleId="108">
    <w:name w:val="批注主题 Char Char"/>
    <w:link w:val="109"/>
    <w:qFormat/>
    <w:uiPriority w:val="0"/>
    <w:rPr>
      <w:rFonts w:eastAsia="宋体"/>
      <w:b/>
      <w:bCs/>
      <w:kern w:val="2"/>
      <w:sz w:val="21"/>
      <w:szCs w:val="24"/>
      <w:lang w:val="en-US" w:eastAsia="zh-CN"/>
    </w:rPr>
  </w:style>
  <w:style w:type="paragraph" w:customStyle="1" w:styleId="109">
    <w:name w:val="批注主题1"/>
    <w:basedOn w:val="17"/>
    <w:next w:val="17"/>
    <w:link w:val="108"/>
    <w:qFormat/>
    <w:uiPriority w:val="0"/>
    <w:pPr>
      <w:jc w:val="both"/>
    </w:pPr>
    <w:rPr>
      <w:b/>
      <w:bCs/>
    </w:rPr>
  </w:style>
  <w:style w:type="character" w:customStyle="1" w:styleId="110">
    <w:name w:val="times"/>
    <w:qFormat/>
    <w:uiPriority w:val="0"/>
    <w:rPr>
      <w:color w:val="CDCDCD"/>
      <w:bdr w:val="single" w:color="CDCDCD" w:sz="6" w:space="0"/>
      <w:shd w:val="clear" w:color="auto" w:fill="EFEFEF"/>
    </w:rPr>
  </w:style>
  <w:style w:type="character" w:customStyle="1" w:styleId="111">
    <w:name w:val="new"/>
    <w:qFormat/>
    <w:uiPriority w:val="0"/>
    <w:rPr>
      <w:color w:val="999999"/>
    </w:rPr>
  </w:style>
  <w:style w:type="character" w:customStyle="1" w:styleId="112">
    <w:name w:val="disabled"/>
    <w:qFormat/>
    <w:uiPriority w:val="0"/>
    <w:rPr>
      <w:vanish/>
    </w:rPr>
  </w:style>
  <w:style w:type="character" w:customStyle="1" w:styleId="113">
    <w:name w:val="文档结构图 Char Char"/>
    <w:link w:val="114"/>
    <w:qFormat/>
    <w:uiPriority w:val="0"/>
    <w:rPr>
      <w:rFonts w:eastAsia="宋体"/>
      <w:kern w:val="2"/>
      <w:sz w:val="21"/>
      <w:szCs w:val="24"/>
      <w:lang w:val="en-US" w:eastAsia="zh-CN"/>
    </w:rPr>
  </w:style>
  <w:style w:type="paragraph" w:customStyle="1" w:styleId="114">
    <w:name w:val="文档结构图1"/>
    <w:basedOn w:val="1"/>
    <w:link w:val="113"/>
    <w:qFormat/>
    <w:uiPriority w:val="0"/>
    <w:pPr>
      <w:shd w:val="clear" w:color="auto" w:fill="000080"/>
    </w:pPr>
  </w:style>
  <w:style w:type="character" w:customStyle="1" w:styleId="115">
    <w:name w:val="页脚 Char"/>
    <w:qFormat/>
    <w:uiPriority w:val="0"/>
    <w:rPr>
      <w:rFonts w:eastAsia="宋体"/>
      <w:sz w:val="18"/>
      <w:szCs w:val="18"/>
    </w:rPr>
  </w:style>
  <w:style w:type="character" w:customStyle="1" w:styleId="116">
    <w:name w:val="Char Char13"/>
    <w:qFormat/>
    <w:uiPriority w:val="0"/>
    <w:rPr>
      <w:rFonts w:ascii="Times New Roman" w:hAnsi="Times New Roman" w:eastAsia="宋体" w:cs="Times New Roman"/>
      <w:b/>
      <w:bCs/>
      <w:kern w:val="44"/>
      <w:sz w:val="44"/>
      <w:szCs w:val="44"/>
    </w:rPr>
  </w:style>
  <w:style w:type="character" w:customStyle="1" w:styleId="117">
    <w:name w:val="testimonials-name"/>
    <w:qFormat/>
    <w:uiPriority w:val="0"/>
    <w:rPr>
      <w:color w:val="64AED9"/>
      <w:sz w:val="24"/>
      <w:szCs w:val="24"/>
    </w:rPr>
  </w:style>
  <w:style w:type="character" w:customStyle="1" w:styleId="118">
    <w:name w:val="正文首行缩进 Char"/>
    <w:link w:val="119"/>
    <w:qFormat/>
    <w:uiPriority w:val="0"/>
    <w:rPr>
      <w:lang w:val="en-US" w:eastAsia="zh-CN"/>
    </w:rPr>
  </w:style>
  <w:style w:type="paragraph" w:customStyle="1" w:styleId="119">
    <w:name w:val="正文首行缩进1"/>
    <w:basedOn w:val="1"/>
    <w:link w:val="118"/>
    <w:qFormat/>
    <w:uiPriority w:val="0"/>
    <w:pPr>
      <w:spacing w:line="312" w:lineRule="auto"/>
      <w:ind w:firstLine="420"/>
    </w:pPr>
    <w:rPr>
      <w:kern w:val="0"/>
      <w:sz w:val="20"/>
      <w:szCs w:val="20"/>
    </w:rPr>
  </w:style>
  <w:style w:type="character" w:customStyle="1" w:styleId="120">
    <w:name w:val="sort"/>
    <w:qFormat/>
    <w:uiPriority w:val="0"/>
    <w:rPr>
      <w:rFonts w:ascii="微软雅黑" w:hAnsi="微软雅黑" w:eastAsia="微软雅黑" w:cs="微软雅黑"/>
      <w:b/>
      <w:bCs/>
      <w:color w:val="6D6D6D"/>
    </w:rPr>
  </w:style>
  <w:style w:type="character" w:customStyle="1" w:styleId="121">
    <w:name w:val="页码1"/>
    <w:qFormat/>
    <w:uiPriority w:val="0"/>
  </w:style>
  <w:style w:type="character" w:customStyle="1" w:styleId="122">
    <w:name w:val="Char Char16"/>
    <w:qFormat/>
    <w:uiPriority w:val="0"/>
    <w:rPr>
      <w:rFonts w:ascii="Arial" w:hAnsi="Arial" w:eastAsia="黑体"/>
      <w:b/>
      <w:bCs/>
      <w:sz w:val="24"/>
      <w:szCs w:val="24"/>
      <w:lang w:val="en-US" w:eastAsia="zh-CN" w:bidi="ar-SA"/>
    </w:rPr>
  </w:style>
  <w:style w:type="character" w:customStyle="1" w:styleId="123">
    <w:name w:val="页眉 Char"/>
    <w:qFormat/>
    <w:uiPriority w:val="0"/>
    <w:rPr>
      <w:rFonts w:ascii="Times New Roman" w:hAnsi="Times New Roman" w:eastAsia="宋体" w:cs="Times New Roman"/>
      <w:sz w:val="18"/>
      <w:szCs w:val="24"/>
    </w:rPr>
  </w:style>
  <w:style w:type="character" w:customStyle="1" w:styleId="124">
    <w:name w:val="msoins"/>
    <w:qFormat/>
    <w:uiPriority w:val="0"/>
  </w:style>
  <w:style w:type="character" w:customStyle="1" w:styleId="125">
    <w:name w:val="times1"/>
    <w:qFormat/>
    <w:uiPriority w:val="0"/>
    <w:rPr>
      <w:color w:val="3399FF"/>
      <w:bdr w:val="single" w:color="D1EDF8" w:sz="6" w:space="0"/>
      <w:shd w:val="clear" w:color="auto" w:fill="EAF9FF"/>
    </w:rPr>
  </w:style>
  <w:style w:type="character" w:customStyle="1" w:styleId="126">
    <w:name w:val="hover28"/>
    <w:qFormat/>
    <w:uiPriority w:val="0"/>
    <w:rPr>
      <w:shd w:val="clear" w:color="auto" w:fill="EEEEEE"/>
    </w:rPr>
  </w:style>
  <w:style w:type="paragraph" w:customStyle="1" w:styleId="127">
    <w:name w:val="_Style 50"/>
    <w:basedOn w:val="1"/>
    <w:next w:val="1"/>
    <w:qFormat/>
    <w:uiPriority w:val="39"/>
    <w:pPr>
      <w:spacing w:before="120" w:after="120"/>
      <w:jc w:val="left"/>
    </w:pPr>
    <w:rPr>
      <w:rFonts w:ascii="Calibri" w:hAnsi="Calibri"/>
      <w:b/>
      <w:bCs/>
      <w:caps/>
      <w:sz w:val="20"/>
      <w:szCs w:val="20"/>
    </w:rPr>
  </w:style>
  <w:style w:type="paragraph" w:customStyle="1" w:styleId="128">
    <w:name w:val="公文标题"/>
    <w:basedOn w:val="5"/>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29">
    <w:name w:val="文字"/>
    <w:basedOn w:val="1"/>
    <w:qFormat/>
    <w:uiPriority w:val="0"/>
    <w:pPr>
      <w:spacing w:line="360" w:lineRule="auto"/>
      <w:ind w:firstLine="200" w:firstLineChars="200"/>
    </w:pPr>
    <w:rPr>
      <w:sz w:val="24"/>
    </w:rPr>
  </w:style>
  <w:style w:type="paragraph" w:customStyle="1" w:styleId="130">
    <w:name w:val="封一"/>
    <w:basedOn w:val="90"/>
    <w:next w:val="90"/>
    <w:qFormat/>
    <w:uiPriority w:val="0"/>
    <w:pPr>
      <w:ind w:firstLine="0" w:firstLineChars="0"/>
      <w:jc w:val="center"/>
    </w:pPr>
    <w:rPr>
      <w:rFonts w:eastAsia="黑体"/>
      <w:b/>
      <w:sz w:val="84"/>
      <w:szCs w:val="84"/>
    </w:rPr>
  </w:style>
  <w:style w:type="paragraph" w:customStyle="1" w:styleId="131">
    <w:name w:val="公文抬头"/>
    <w:basedOn w:val="8"/>
    <w:qFormat/>
    <w:uiPriority w:val="0"/>
    <w:pPr>
      <w:ind w:firstLine="0" w:firstLineChars="0"/>
    </w:pPr>
    <w:rPr>
      <w:rFonts w:ascii="仿宋_GB2312" w:eastAsia="仿宋_GB2312"/>
      <w:sz w:val="30"/>
    </w:rPr>
  </w:style>
  <w:style w:type="paragraph" w:customStyle="1" w:styleId="132">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33">
    <w:name w:val="正文文本缩进 21"/>
    <w:basedOn w:val="1"/>
    <w:qFormat/>
    <w:uiPriority w:val="0"/>
    <w:pPr>
      <w:spacing w:line="400" w:lineRule="exact"/>
      <w:ind w:left="425"/>
    </w:pPr>
    <w:rPr>
      <w:color w:val="000000"/>
      <w:sz w:val="24"/>
      <w:szCs w:val="20"/>
    </w:rPr>
  </w:style>
  <w:style w:type="paragraph" w:customStyle="1" w:styleId="134">
    <w:name w:val="修订1"/>
    <w:qFormat/>
    <w:uiPriority w:val="0"/>
    <w:rPr>
      <w:rFonts w:ascii="Times New Roman" w:hAnsi="Times New Roman" w:eastAsia="宋体" w:cs="Times New Roman"/>
      <w:kern w:val="2"/>
      <w:sz w:val="21"/>
      <w:szCs w:val="24"/>
      <w:lang w:val="en-US" w:eastAsia="zh-CN" w:bidi="ar-SA"/>
    </w:rPr>
  </w:style>
  <w:style w:type="paragraph" w:customStyle="1" w:styleId="135">
    <w:name w:val="表头"/>
    <w:basedOn w:val="1"/>
    <w:qFormat/>
    <w:uiPriority w:val="0"/>
    <w:pPr>
      <w:spacing w:line="360" w:lineRule="auto"/>
      <w:jc w:val="center"/>
    </w:pPr>
    <w:rPr>
      <w:rFonts w:ascii="黑体" w:eastAsia="黑体"/>
      <w:kern w:val="0"/>
      <w:sz w:val="24"/>
      <w:szCs w:val="20"/>
    </w:rPr>
  </w:style>
  <w:style w:type="paragraph" w:customStyle="1" w:styleId="136">
    <w:name w:val="列出段落2"/>
    <w:basedOn w:val="1"/>
    <w:qFormat/>
    <w:uiPriority w:val="0"/>
    <w:pPr>
      <w:ind w:firstLine="420" w:firstLineChars="200"/>
    </w:pPr>
    <w:rPr>
      <w:szCs w:val="21"/>
    </w:rPr>
  </w:style>
  <w:style w:type="paragraph" w:customStyle="1" w:styleId="137">
    <w:name w:val="索引 11"/>
    <w:basedOn w:val="1"/>
    <w:next w:val="1"/>
    <w:qFormat/>
    <w:uiPriority w:val="0"/>
    <w:pPr>
      <w:spacing w:line="220" w:lineRule="exact"/>
      <w:jc w:val="center"/>
    </w:pPr>
    <w:rPr>
      <w:rFonts w:ascii="仿宋_GB2312" w:eastAsia="仿宋_GB2312"/>
      <w:szCs w:val="21"/>
    </w:rPr>
  </w:style>
  <w:style w:type="paragraph" w:customStyle="1" w:styleId="138">
    <w:name w:val="Char Char Char Char"/>
    <w:basedOn w:val="1"/>
    <w:qFormat/>
    <w:uiPriority w:val="0"/>
    <w:pPr>
      <w:ind w:left="567" w:hanging="279"/>
    </w:pPr>
    <w:rPr>
      <w:sz w:val="24"/>
    </w:rPr>
  </w:style>
  <w:style w:type="paragraph" w:customStyle="1" w:styleId="139">
    <w:name w:val="Char1"/>
    <w:basedOn w:val="1"/>
    <w:qFormat/>
    <w:uiPriority w:val="0"/>
    <w:pPr>
      <w:tabs>
        <w:tab w:val="left" w:pos="360"/>
      </w:tabs>
    </w:pPr>
    <w:rPr>
      <w:sz w:val="24"/>
    </w:rPr>
  </w:style>
  <w:style w:type="paragraph" w:customStyle="1" w:styleId="140">
    <w:name w:val="Char"/>
    <w:basedOn w:val="1"/>
    <w:qFormat/>
    <w:uiPriority w:val="0"/>
    <w:pPr>
      <w:ind w:left="567" w:hanging="279"/>
    </w:pPr>
    <w:rPr>
      <w:sz w:val="24"/>
    </w:rPr>
  </w:style>
  <w:style w:type="paragraph" w:customStyle="1" w:styleId="14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43">
    <w:name w:val="Char2"/>
    <w:basedOn w:val="1"/>
    <w:qFormat/>
    <w:uiPriority w:val="0"/>
    <w:rPr>
      <w:sz w:val="24"/>
    </w:rPr>
  </w:style>
  <w:style w:type="paragraph" w:customStyle="1" w:styleId="144">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customStyle="1" w:styleId="145">
    <w:name w:val="发文落款"/>
    <w:basedOn w:val="146"/>
    <w:qFormat/>
    <w:uiPriority w:val="0"/>
    <w:pPr>
      <w:ind w:left="4094" w:right="607" w:firstLine="0"/>
      <w:jc w:val="center"/>
    </w:pPr>
  </w:style>
  <w:style w:type="paragraph" w:customStyle="1" w:styleId="1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7">
    <w:name w:val="Heading #2|1"/>
    <w:qFormat/>
    <w:uiPriority w:val="0"/>
    <w:pPr>
      <w:widowControl w:val="0"/>
      <w:spacing w:after="180"/>
      <w:ind w:left="2060"/>
      <w:outlineLvl w:val="1"/>
    </w:pPr>
    <w:rPr>
      <w:rFonts w:ascii="宋体" w:hAnsi="宋体" w:eastAsia="宋体" w:cs="宋体"/>
      <w:kern w:val="2"/>
      <w:sz w:val="21"/>
      <w:szCs w:val="24"/>
      <w:lang w:val="zh-TW" w:eastAsia="zh-TW" w:bidi="zh-TW"/>
    </w:rPr>
  </w:style>
  <w:style w:type="paragraph" w:customStyle="1" w:styleId="148">
    <w:name w:val="默认段落字体 Para Char"/>
    <w:basedOn w:val="1"/>
    <w:qFormat/>
    <w:uiPriority w:val="0"/>
    <w:rPr>
      <w:b/>
      <w:sz w:val="24"/>
    </w:rPr>
  </w:style>
  <w:style w:type="paragraph" w:customStyle="1" w:styleId="149">
    <w:name w:val="BodyText"/>
    <w:basedOn w:val="1"/>
    <w:qFormat/>
    <w:uiPriority w:val="0"/>
    <w:pPr>
      <w:spacing w:after="120"/>
    </w:pPr>
    <w:rPr>
      <w:kern w:val="0"/>
      <w:sz w:val="20"/>
      <w:szCs w:val="20"/>
    </w:rPr>
  </w:style>
  <w:style w:type="paragraph" w:customStyle="1" w:styleId="150">
    <w:name w:val="1"/>
    <w:basedOn w:val="1"/>
    <w:qFormat/>
    <w:uiPriority w:val="0"/>
  </w:style>
  <w:style w:type="paragraph" w:customStyle="1" w:styleId="151">
    <w:name w:val="段落正文"/>
    <w:basedOn w:val="1"/>
    <w:qFormat/>
    <w:uiPriority w:val="0"/>
    <w:pPr>
      <w:spacing w:line="300" w:lineRule="auto"/>
      <w:ind w:firstLine="482" w:firstLineChars="200"/>
    </w:pPr>
    <w:rPr>
      <w:sz w:val="24"/>
    </w:rPr>
  </w:style>
  <w:style w:type="paragraph" w:customStyle="1" w:styleId="152">
    <w:name w:val="正文(仿)首缩"/>
    <w:basedOn w:val="1"/>
    <w:qFormat/>
    <w:uiPriority w:val="0"/>
    <w:pPr>
      <w:tabs>
        <w:tab w:val="left" w:pos="1108"/>
      </w:tabs>
      <w:ind w:left="554"/>
    </w:pPr>
    <w:rPr>
      <w:szCs w:val="28"/>
    </w:rPr>
  </w:style>
  <w:style w:type="paragraph" w:customStyle="1" w:styleId="153">
    <w:name w:val="修订2"/>
    <w:qFormat/>
    <w:uiPriority w:val="99"/>
    <w:rPr>
      <w:rFonts w:ascii="Times New Roman" w:hAnsi="Times New Roman" w:eastAsia="宋体" w:cs="Times New Roman"/>
      <w:kern w:val="2"/>
      <w:sz w:val="21"/>
      <w:szCs w:val="24"/>
      <w:lang w:val="en-US" w:eastAsia="zh-CN" w:bidi="ar-SA"/>
    </w:rPr>
  </w:style>
  <w:style w:type="paragraph" w:customStyle="1" w:styleId="15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5">
    <w:name w:val="正题"/>
    <w:basedOn w:val="1"/>
    <w:next w:val="90"/>
    <w:qFormat/>
    <w:uiPriority w:val="0"/>
    <w:pPr>
      <w:topLinePunct/>
      <w:adjustRightInd w:val="0"/>
      <w:snapToGrid w:val="0"/>
      <w:spacing w:line="360" w:lineRule="auto"/>
      <w:jc w:val="center"/>
    </w:pPr>
    <w:rPr>
      <w:rFonts w:ascii="等线" w:hAnsi="等线" w:eastAsia="黑体"/>
      <w:b/>
      <w:spacing w:val="4"/>
      <w:sz w:val="36"/>
      <w:szCs w:val="36"/>
    </w:rPr>
  </w:style>
  <w:style w:type="paragraph" w:customStyle="1" w:styleId="156">
    <w:name w:val="Body text|3"/>
    <w:basedOn w:val="1"/>
    <w:qFormat/>
    <w:uiPriority w:val="0"/>
    <w:rPr>
      <w:rFonts w:ascii="宋体" w:hAnsi="宋体" w:cs="宋体"/>
      <w:sz w:val="20"/>
      <w:szCs w:val="20"/>
      <w:lang w:val="zh-TW" w:eastAsia="zh-TW" w:bidi="zh-TW"/>
    </w:rPr>
  </w:style>
  <w:style w:type="paragraph" w:customStyle="1" w:styleId="157">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58">
    <w:name w:val="列出段落1"/>
    <w:basedOn w:val="1"/>
    <w:qFormat/>
    <w:uiPriority w:val="0"/>
    <w:pPr>
      <w:ind w:firstLine="420" w:firstLineChars="200"/>
    </w:pPr>
  </w:style>
  <w:style w:type="paragraph" w:customStyle="1" w:styleId="159">
    <w:name w:val="_Style 7"/>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0">
    <w:name w:val="正文文本缩进 31"/>
    <w:basedOn w:val="1"/>
    <w:qFormat/>
    <w:uiPriority w:val="0"/>
    <w:pPr>
      <w:spacing w:after="120"/>
      <w:ind w:left="420" w:leftChars="200"/>
    </w:pPr>
    <w:rPr>
      <w:sz w:val="16"/>
      <w:szCs w:val="16"/>
    </w:rPr>
  </w:style>
  <w:style w:type="paragraph" w:customStyle="1" w:styleId="161">
    <w:name w:val="正文文本缩进1"/>
    <w:basedOn w:val="1"/>
    <w:qFormat/>
    <w:uiPriority w:val="0"/>
    <w:pPr>
      <w:spacing w:after="120"/>
      <w:ind w:left="420" w:leftChars="200"/>
    </w:pPr>
  </w:style>
  <w:style w:type="paragraph" w:customStyle="1" w:styleId="162">
    <w:name w:val="文二"/>
    <w:basedOn w:val="1"/>
    <w:qFormat/>
    <w:uiPriority w:val="0"/>
    <w:pPr>
      <w:jc w:val="left"/>
    </w:pPr>
    <w:rPr>
      <w:rFonts w:ascii="宋体" w:hAnsi="宋体"/>
      <w:szCs w:val="21"/>
    </w:rPr>
  </w:style>
  <w:style w:type="paragraph" w:customStyle="1" w:styleId="163">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4">
    <w:name w:val="正文 New New New New New New"/>
    <w:qFormat/>
    <w:uiPriority w:val="0"/>
    <w:pPr>
      <w:jc w:val="both"/>
    </w:pPr>
    <w:rPr>
      <w:rFonts w:ascii="Calibri" w:hAnsi="Calibri" w:eastAsia="宋体" w:cs="Times New Roman"/>
      <w:sz w:val="21"/>
      <w:szCs w:val="24"/>
      <w:lang w:val="en-US" w:eastAsia="zh-CN" w:bidi="ar-SA"/>
    </w:rPr>
  </w:style>
  <w:style w:type="paragraph" w:customStyle="1" w:styleId="165">
    <w:name w:val="_Style 3"/>
    <w:basedOn w:val="1"/>
    <w:qFormat/>
    <w:uiPriority w:val="0"/>
    <w:pPr>
      <w:ind w:firstLine="420" w:firstLineChars="200"/>
    </w:pPr>
    <w:rPr>
      <w:sz w:val="20"/>
    </w:rPr>
  </w:style>
  <w:style w:type="paragraph" w:customStyle="1" w:styleId="166">
    <w:name w:val="qptext"/>
    <w:basedOn w:val="1"/>
    <w:qFormat/>
    <w:uiPriority w:val="0"/>
    <w:pPr>
      <w:spacing w:afterLines="100" w:line="360" w:lineRule="auto"/>
      <w:ind w:right="-716" w:rightChars="-341"/>
    </w:pPr>
    <w:rPr>
      <w:rFonts w:ascii="宋体"/>
      <w:sz w:val="28"/>
      <w:szCs w:val="28"/>
    </w:rPr>
  </w:style>
  <w:style w:type="paragraph" w:customStyle="1" w:styleId="167">
    <w:name w:val="样式 宋体 行距: 1.5 倍行距"/>
    <w:basedOn w:val="1"/>
    <w:qFormat/>
    <w:uiPriority w:val="0"/>
    <w:pPr>
      <w:jc w:val="center"/>
    </w:pPr>
    <w:rPr>
      <w:b/>
    </w:rPr>
  </w:style>
  <w:style w:type="paragraph" w:customStyle="1" w:styleId="168">
    <w:name w:val="Other|1"/>
    <w:basedOn w:val="1"/>
    <w:qFormat/>
    <w:uiPriority w:val="0"/>
    <w:pPr>
      <w:spacing w:line="434" w:lineRule="auto"/>
    </w:pPr>
    <w:rPr>
      <w:rFonts w:ascii="宋体" w:hAnsi="宋体" w:cs="宋体"/>
      <w:sz w:val="20"/>
      <w:szCs w:val="20"/>
      <w:lang w:val="zh-TW" w:eastAsia="zh-TW" w:bidi="zh-TW"/>
    </w:rPr>
  </w:style>
  <w:style w:type="paragraph" w:customStyle="1" w:styleId="169">
    <w:name w:val="样式 标题 1 + 方正小标宋简体 二号 非加粗 段前: 0 磅 段后: 0 磅 行距: 1.5 倍行距"/>
    <w:basedOn w:val="3"/>
    <w:qFormat/>
    <w:uiPriority w:val="0"/>
    <w:pPr>
      <w:tabs>
        <w:tab w:val="left" w:pos="0"/>
      </w:tabs>
      <w:spacing w:before="0" w:after="0" w:line="360" w:lineRule="auto"/>
      <w:ind w:left="6552" w:hanging="432"/>
      <w:jc w:val="center"/>
    </w:pPr>
    <w:rPr>
      <w:rFonts w:eastAsia="方正小标宋简体" w:cs="宋体"/>
      <w:b w:val="0"/>
      <w:bCs w:val="0"/>
      <w:szCs w:val="20"/>
    </w:rPr>
  </w:style>
  <w:style w:type="paragraph" w:customStyle="1" w:styleId="170">
    <w:name w:val="Char Char Char Char Char Char1 Char"/>
    <w:basedOn w:val="1"/>
    <w:qFormat/>
    <w:uiPriority w:val="0"/>
    <w:pPr>
      <w:widowControl/>
      <w:spacing w:after="160" w:line="240" w:lineRule="exact"/>
      <w:jc w:val="left"/>
    </w:pPr>
    <w:rPr>
      <w:rFonts w:eastAsia="仿宋_GB2312"/>
      <w:sz w:val="32"/>
    </w:rPr>
  </w:style>
  <w:style w:type="paragraph" w:customStyle="1" w:styleId="171">
    <w:name w:val="纯文本111"/>
    <w:basedOn w:val="1"/>
    <w:qFormat/>
    <w:uiPriority w:val="0"/>
    <w:pPr>
      <w:suppressAutoHyphens/>
    </w:pPr>
    <w:rPr>
      <w:rFonts w:ascii="宋体" w:hAnsi="宋体"/>
      <w:szCs w:val="20"/>
      <w:lang w:eastAsia="ar-SA"/>
    </w:rPr>
  </w:style>
  <w:style w:type="paragraph" w:customStyle="1" w:styleId="172">
    <w:name w:val="修订11"/>
    <w:qFormat/>
    <w:uiPriority w:val="0"/>
    <w:rPr>
      <w:rFonts w:ascii="Times New Roman" w:hAnsi="Times New Roman" w:eastAsia="宋体" w:cs="Times New Roman"/>
      <w:kern w:val="2"/>
      <w:sz w:val="21"/>
      <w:szCs w:val="24"/>
      <w:lang w:val="en-US" w:eastAsia="zh-CN" w:bidi="ar-SA"/>
    </w:rPr>
  </w:style>
  <w:style w:type="paragraph" w:customStyle="1" w:styleId="173">
    <w:name w:val="封四"/>
    <w:basedOn w:val="90"/>
    <w:next w:val="90"/>
    <w:qFormat/>
    <w:uiPriority w:val="0"/>
    <w:pPr>
      <w:jc w:val="left"/>
    </w:pPr>
    <w:rPr>
      <w:sz w:val="30"/>
      <w:szCs w:val="30"/>
    </w:rPr>
  </w:style>
  <w:style w:type="paragraph" w:styleId="174">
    <w:name w:val="List Paragraph"/>
    <w:basedOn w:val="1"/>
    <w:qFormat/>
    <w:uiPriority w:val="34"/>
    <w:pPr>
      <w:ind w:firstLine="420" w:firstLineChars="200"/>
    </w:pPr>
    <w:rPr>
      <w:rFonts w:ascii="Calibri" w:hAnsi="Calibri"/>
      <w:szCs w:val="22"/>
    </w:rPr>
  </w:style>
  <w:style w:type="paragraph" w:customStyle="1" w:styleId="175">
    <w:name w:val="Body text|2"/>
    <w:basedOn w:val="1"/>
    <w:qFormat/>
    <w:uiPriority w:val="0"/>
    <w:pPr>
      <w:spacing w:line="470" w:lineRule="exact"/>
      <w:ind w:left="180" w:firstLine="520"/>
    </w:pPr>
    <w:rPr>
      <w:rFonts w:ascii="宋体" w:hAnsi="宋体" w:cs="宋体"/>
      <w:lang w:val="zh-TW" w:eastAsia="zh-TW" w:bidi="zh-TW"/>
    </w:rPr>
  </w:style>
  <w:style w:type="paragraph" w:customStyle="1" w:styleId="176">
    <w:name w:val="Table caption|1"/>
    <w:basedOn w:val="1"/>
    <w:qFormat/>
    <w:uiPriority w:val="0"/>
    <w:rPr>
      <w:rFonts w:ascii="宋体" w:hAnsi="宋体" w:cs="宋体"/>
      <w:szCs w:val="22"/>
      <w:lang w:val="zh-TW" w:eastAsia="zh-TW" w:bidi="zh-TW"/>
    </w:rPr>
  </w:style>
  <w:style w:type="paragraph" w:customStyle="1" w:styleId="177">
    <w:name w:val="封二"/>
    <w:basedOn w:val="90"/>
    <w:next w:val="90"/>
    <w:qFormat/>
    <w:uiPriority w:val="0"/>
    <w:pPr>
      <w:ind w:firstLine="0" w:firstLineChars="0"/>
      <w:jc w:val="center"/>
    </w:pPr>
    <w:rPr>
      <w:rFonts w:eastAsia="黑体"/>
      <w:b/>
      <w:sz w:val="36"/>
      <w:szCs w:val="36"/>
    </w:rPr>
  </w:style>
  <w:style w:type="paragraph" w:customStyle="1" w:styleId="178">
    <w:name w:val="日期1"/>
    <w:basedOn w:val="1"/>
    <w:next w:val="1"/>
    <w:qFormat/>
    <w:uiPriority w:val="0"/>
    <w:rPr>
      <w:sz w:val="24"/>
      <w:szCs w:val="20"/>
    </w:rPr>
  </w:style>
  <w:style w:type="paragraph" w:customStyle="1" w:styleId="179">
    <w:name w:val="Char Char Char1 Char"/>
    <w:basedOn w:val="114"/>
    <w:qFormat/>
    <w:uiPriority w:val="0"/>
    <w:rPr>
      <w:rFonts w:ascii="Tahoma" w:hAnsi="Tahoma"/>
      <w:sz w:val="24"/>
    </w:rPr>
  </w:style>
  <w:style w:type="paragraph" w:customStyle="1" w:styleId="180">
    <w:name w:val="Table Paragraph"/>
    <w:basedOn w:val="1"/>
    <w:unhideWhenUsed/>
    <w:qFormat/>
    <w:uiPriority w:val="1"/>
    <w:rPr>
      <w:rFonts w:hint="eastAsia"/>
      <w:sz w:val="24"/>
    </w:rPr>
  </w:style>
  <w:style w:type="paragraph" w:customStyle="1" w:styleId="181">
    <w:name w:val="正文文本 21"/>
    <w:basedOn w:val="1"/>
    <w:qFormat/>
    <w:uiPriority w:val="0"/>
    <w:rPr>
      <w:rFonts w:ascii="宋体" w:hAnsi="宋体"/>
      <w:u w:val="single"/>
    </w:rPr>
  </w:style>
  <w:style w:type="paragraph" w:customStyle="1" w:styleId="1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3">
    <w:name w:val="p0"/>
    <w:basedOn w:val="1"/>
    <w:qFormat/>
    <w:uiPriority w:val="0"/>
    <w:pPr>
      <w:widowControl/>
    </w:pPr>
    <w:rPr>
      <w:kern w:val="0"/>
      <w:szCs w:val="21"/>
    </w:rPr>
  </w:style>
  <w:style w:type="paragraph" w:customStyle="1" w:styleId="184">
    <w:name w:val="Char Char Char1 Char Char Char Char Char Char Char Char Char Char Char Char Char"/>
    <w:basedOn w:val="114"/>
    <w:qFormat/>
    <w:uiPriority w:val="0"/>
    <w:rPr>
      <w:rFonts w:ascii="Tahoma" w:hAnsi="Tahoma"/>
      <w:sz w:val="24"/>
    </w:rPr>
  </w:style>
  <w:style w:type="paragraph" w:customStyle="1" w:styleId="185">
    <w:name w:val="Char Char Char Char1"/>
    <w:basedOn w:val="1"/>
    <w:qFormat/>
    <w:uiPriority w:val="0"/>
    <w:pPr>
      <w:spacing w:afterLines="50" w:line="520" w:lineRule="exact"/>
      <w:jc w:val="center"/>
    </w:pPr>
  </w:style>
  <w:style w:type="paragraph" w:customStyle="1" w:styleId="186">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Body text|1"/>
    <w:qFormat/>
    <w:uiPriority w:val="0"/>
    <w:pPr>
      <w:widowControl w:val="0"/>
      <w:spacing w:line="434" w:lineRule="auto"/>
    </w:pPr>
    <w:rPr>
      <w:rFonts w:ascii="宋体" w:hAnsi="宋体" w:eastAsia="宋体" w:cs="宋体"/>
      <w:kern w:val="2"/>
      <w:lang w:val="zh-TW" w:eastAsia="zh-TW" w:bidi="zh-TW"/>
    </w:rPr>
  </w:style>
  <w:style w:type="paragraph" w:customStyle="1" w:styleId="188">
    <w:name w:val="Heading #1|1"/>
    <w:qFormat/>
    <w:uiPriority w:val="0"/>
    <w:pPr>
      <w:widowControl w:val="0"/>
      <w:spacing w:after="230"/>
      <w:jc w:val="center"/>
      <w:outlineLvl w:val="0"/>
    </w:pPr>
    <w:rPr>
      <w:rFonts w:ascii="宋体" w:hAnsi="宋体" w:eastAsia="宋体" w:cs="宋体"/>
      <w:kern w:val="2"/>
      <w:sz w:val="32"/>
      <w:szCs w:val="32"/>
      <w:lang w:val="zh-TW" w:eastAsia="zh-TW" w:bidi="zh-TW"/>
    </w:rPr>
  </w:style>
  <w:style w:type="paragraph" w:customStyle="1" w:styleId="189">
    <w:name w:val="章节三"/>
    <w:basedOn w:val="90"/>
    <w:next w:val="90"/>
    <w:qFormat/>
    <w:uiPriority w:val="0"/>
    <w:pPr>
      <w:spacing w:beforeLines="50" w:afterLines="50"/>
      <w:jc w:val="left"/>
      <w:outlineLvl w:val="2"/>
    </w:pPr>
    <w:rPr>
      <w:rFonts w:ascii="黑体" w:hAnsi="宋体" w:eastAsia="黑体"/>
      <w:b/>
      <w:snapToGrid w:val="0"/>
    </w:rPr>
  </w:style>
  <w:style w:type="paragraph" w:styleId="190">
    <w:name w:val="No Spacing"/>
    <w:basedOn w:val="1"/>
    <w:link w:val="191"/>
    <w:qFormat/>
    <w:uiPriority w:val="0"/>
    <w:rPr>
      <w:szCs w:val="22"/>
    </w:rPr>
  </w:style>
  <w:style w:type="character" w:customStyle="1" w:styleId="191">
    <w:name w:val="无间隔 Char"/>
    <w:link w:val="190"/>
    <w:qFormat/>
    <w:uiPriority w:val="0"/>
    <w:rPr>
      <w:kern w:val="2"/>
      <w:sz w:val="21"/>
      <w:szCs w:val="22"/>
    </w:rPr>
  </w:style>
  <w:style w:type="paragraph" w:customStyle="1" w:styleId="192">
    <w:name w:val="样式 标题 2 + 段前: 1 行 段后: 1 行1"/>
    <w:basedOn w:val="4"/>
    <w:qFormat/>
    <w:uiPriority w:val="0"/>
    <w:pPr>
      <w:tabs>
        <w:tab w:val="left" w:pos="567"/>
      </w:tabs>
      <w:spacing w:beforeLines="100" w:afterLines="100" w:line="360" w:lineRule="auto"/>
      <w:ind w:left="1134" w:hanging="1134"/>
      <w:contextualSpacing/>
      <w:jc w:val="left"/>
    </w:pPr>
    <w:rPr>
      <w:rFonts w:ascii="Calibri" w:hAnsi="Calibri" w:cs="宋体"/>
      <w:b w:val="0"/>
      <w:bCs w:val="0"/>
      <w:kern w:val="0"/>
      <w:sz w:val="30"/>
      <w:szCs w:val="20"/>
    </w:rPr>
  </w:style>
  <w:style w:type="paragraph" w:customStyle="1" w:styleId="193">
    <w:name w:val="样式2"/>
    <w:basedOn w:val="5"/>
    <w:qFormat/>
    <w:uiPriority w:val="0"/>
    <w:rPr>
      <w:i/>
    </w:rPr>
  </w:style>
  <w:style w:type="paragraph" w:customStyle="1" w:styleId="194">
    <w:name w:val="列出段落11"/>
    <w:basedOn w:val="1"/>
    <w:qFormat/>
    <w:uiPriority w:val="34"/>
    <w:pPr>
      <w:ind w:firstLine="420" w:firstLineChars="200"/>
    </w:pPr>
    <w:rPr>
      <w:szCs w:val="21"/>
    </w:rPr>
  </w:style>
  <w:style w:type="paragraph" w:customStyle="1" w:styleId="195">
    <w:name w:val="Char Char"/>
    <w:basedOn w:val="1"/>
    <w:qFormat/>
    <w:uiPriority w:val="0"/>
    <w:rPr>
      <w:sz w:val="30"/>
    </w:rPr>
  </w:style>
  <w:style w:type="paragraph" w:customStyle="1" w:styleId="196">
    <w:name w:val="正文文本 31"/>
    <w:basedOn w:val="1"/>
    <w:qFormat/>
    <w:uiPriority w:val="0"/>
    <w:rPr>
      <w:rFonts w:ascii="宋体"/>
      <w:sz w:val="24"/>
      <w:szCs w:val="20"/>
    </w:rPr>
  </w:style>
  <w:style w:type="paragraph" w:customStyle="1" w:styleId="197">
    <w:name w:val="样式 四号 行距: 1.5 倍行距"/>
    <w:basedOn w:val="1"/>
    <w:qFormat/>
    <w:uiPriority w:val="0"/>
    <w:pPr>
      <w:spacing w:line="360" w:lineRule="auto"/>
      <w:ind w:firstLine="560" w:firstLineChars="200"/>
    </w:pPr>
    <w:rPr>
      <w:rFonts w:cs="宋体"/>
      <w:sz w:val="24"/>
      <w:szCs w:val="20"/>
    </w:rPr>
  </w:style>
  <w:style w:type="paragraph" w:customStyle="1" w:styleId="198">
    <w:name w:val="表格文字"/>
    <w:basedOn w:val="1"/>
    <w:qFormat/>
    <w:uiPriority w:val="0"/>
    <w:pPr>
      <w:adjustRightInd w:val="0"/>
      <w:spacing w:line="420" w:lineRule="atLeast"/>
      <w:jc w:val="left"/>
      <w:textAlignment w:val="baseline"/>
    </w:pPr>
    <w:rPr>
      <w:kern w:val="0"/>
      <w:szCs w:val="20"/>
    </w:rPr>
  </w:style>
  <w:style w:type="paragraph" w:customStyle="1" w:styleId="199">
    <w:name w:val="表格"/>
    <w:basedOn w:val="1"/>
    <w:qFormat/>
    <w:uiPriority w:val="0"/>
    <w:pPr>
      <w:jc w:val="center"/>
      <w:textAlignment w:val="center"/>
    </w:pPr>
    <w:rPr>
      <w:rFonts w:ascii="华文细黑" w:hAnsi="华文细黑"/>
      <w:kern w:val="0"/>
      <w:szCs w:val="20"/>
    </w:rPr>
  </w:style>
  <w:style w:type="paragraph" w:customStyle="1" w:styleId="200">
    <w:name w:val="TOC 标题1"/>
    <w:basedOn w:val="3"/>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201">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202">
    <w:name w:val="纯文本 Char"/>
    <w:link w:val="203"/>
    <w:qFormat/>
    <w:uiPriority w:val="99"/>
    <w:rPr>
      <w:rFonts w:ascii="宋体" w:hAnsi="Courier New" w:cs="Courier New"/>
      <w:szCs w:val="21"/>
    </w:rPr>
  </w:style>
  <w:style w:type="paragraph" w:customStyle="1" w:styleId="203">
    <w:name w:val="纯文本2"/>
    <w:basedOn w:val="1"/>
    <w:link w:val="202"/>
    <w:qFormat/>
    <w:uiPriority w:val="99"/>
    <w:rPr>
      <w:rFonts w:ascii="宋体" w:hAnsi="Courier New"/>
      <w:kern w:val="0"/>
      <w:sz w:val="20"/>
      <w:szCs w:val="21"/>
    </w:rPr>
  </w:style>
  <w:style w:type="paragraph" w:customStyle="1" w:styleId="204">
    <w:name w:val="样式 宋体 四号 首行缩进:  2 字符"/>
    <w:basedOn w:val="1"/>
    <w:qFormat/>
    <w:uiPriority w:val="0"/>
    <w:pPr>
      <w:widowControl/>
    </w:pPr>
    <w:rPr>
      <w:rFonts w:cs="宋体"/>
      <w:color w:val="000000"/>
      <w:kern w:val="0"/>
      <w:szCs w:val="20"/>
    </w:rPr>
  </w:style>
  <w:style w:type="character" w:customStyle="1" w:styleId="205">
    <w:name w:val="未处理的提及"/>
    <w:unhideWhenUsed/>
    <w:qFormat/>
    <w:uiPriority w:val="99"/>
    <w:rPr>
      <w:color w:val="605E5C"/>
      <w:shd w:val="clear" w:color="auto" w:fill="E1DFDD"/>
    </w:rPr>
  </w:style>
  <w:style w:type="character" w:customStyle="1" w:styleId="206">
    <w:name w:val="纯文本 字符1"/>
    <w:qFormat/>
    <w:uiPriority w:val="0"/>
    <w:rPr>
      <w:rFonts w:ascii="等线" w:hAnsi="Courier New" w:eastAsia="等线" w:cs="Courier New"/>
      <w:kern w:val="2"/>
      <w:sz w:val="21"/>
      <w:szCs w:val="22"/>
    </w:rPr>
  </w:style>
  <w:style w:type="character" w:customStyle="1" w:styleId="207">
    <w:name w:val="批注文字 字符1"/>
    <w:qFormat/>
    <w:uiPriority w:val="0"/>
    <w:rPr>
      <w:rFonts w:eastAsia="宋体"/>
      <w:kern w:val="2"/>
      <w:sz w:val="21"/>
      <w:szCs w:val="24"/>
      <w:lang w:val="en-US" w:eastAsia="zh-CN" w:bidi="ar-SA"/>
    </w:rPr>
  </w:style>
  <w:style w:type="character" w:customStyle="1" w:styleId="208">
    <w:name w:val="标题 3 字符1"/>
    <w:qFormat/>
    <w:uiPriority w:val="0"/>
    <w:rPr>
      <w:rFonts w:ascii="黑体" w:hAnsi="宋体" w:eastAsia="黑体"/>
      <w:bCs/>
      <w:kern w:val="2"/>
      <w:sz w:val="28"/>
      <w:szCs w:val="28"/>
      <w:lang w:val="en-US" w:eastAsia="zh-CN" w:bidi="ar-SA"/>
    </w:rPr>
  </w:style>
  <w:style w:type="character" w:customStyle="1" w:styleId="209">
    <w:name w:val="font11"/>
    <w:qFormat/>
    <w:uiPriority w:val="0"/>
    <w:rPr>
      <w:rFonts w:hint="eastAsia" w:ascii="仿宋" w:hAnsi="仿宋" w:eastAsia="仿宋" w:cs="仿宋"/>
      <w:color w:val="000000"/>
      <w:sz w:val="28"/>
      <w:szCs w:val="28"/>
      <w:u w:val="none"/>
    </w:rPr>
  </w:style>
  <w:style w:type="paragraph" w:customStyle="1" w:styleId="210">
    <w:name w:val="正文1"/>
    <w:qFormat/>
    <w:uiPriority w:val="0"/>
    <w:pPr>
      <w:ind w:firstLine="360"/>
    </w:pPr>
    <w:rPr>
      <w:rFonts w:hint="eastAsia" w:ascii="Calibri" w:hAnsi="Calibri" w:eastAsia="宋体" w:cs="Times New Roman"/>
      <w:sz w:val="22"/>
      <w:lang w:val="en-US" w:eastAsia="en-US" w:bidi="ar-SA"/>
    </w:rPr>
  </w:style>
  <w:style w:type="character" w:customStyle="1" w:styleId="211">
    <w:name w:val="标题 4 字符"/>
    <w:qFormat/>
    <w:uiPriority w:val="0"/>
    <w:rPr>
      <w:rFonts w:ascii="Arial" w:hAnsi="Arial" w:eastAsia="黑体"/>
      <w:b/>
      <w:bCs/>
      <w:kern w:val="2"/>
      <w:sz w:val="28"/>
      <w:szCs w:val="28"/>
      <w:lang w:val="en-US" w:eastAsia="zh-CN" w:bidi="ar-SA"/>
    </w:rPr>
  </w:style>
  <w:style w:type="character" w:customStyle="1" w:styleId="212">
    <w:name w:val="文档结构图 字符"/>
    <w:qFormat/>
    <w:uiPriority w:val="0"/>
    <w:rPr>
      <w:rFonts w:eastAsia="宋体"/>
      <w:kern w:val="2"/>
      <w:sz w:val="21"/>
      <w:szCs w:val="24"/>
      <w:lang w:val="en-US" w:eastAsia="zh-CN" w:bidi="ar-SA"/>
    </w:rPr>
  </w:style>
  <w:style w:type="character" w:customStyle="1" w:styleId="213">
    <w:name w:val="正文文本 字符"/>
    <w:qFormat/>
    <w:uiPriority w:val="0"/>
    <w:rPr>
      <w:rFonts w:eastAsia="宋体"/>
      <w:kern w:val="2"/>
      <w:sz w:val="21"/>
      <w:szCs w:val="24"/>
      <w:lang w:val="en-US" w:eastAsia="zh-CN" w:bidi="ar-SA"/>
    </w:rPr>
  </w:style>
  <w:style w:type="character" w:customStyle="1" w:styleId="214">
    <w:name w:val="页脚 字符"/>
    <w:qFormat/>
    <w:uiPriority w:val="0"/>
    <w:rPr>
      <w:rFonts w:eastAsia="宋体"/>
      <w:kern w:val="2"/>
      <w:sz w:val="18"/>
      <w:szCs w:val="18"/>
      <w:lang w:val="en-US" w:eastAsia="zh-CN" w:bidi="ar-SA"/>
    </w:rPr>
  </w:style>
  <w:style w:type="character" w:customStyle="1" w:styleId="215">
    <w:name w:val="页眉 字符"/>
    <w:qFormat/>
    <w:uiPriority w:val="0"/>
    <w:rPr>
      <w:rFonts w:eastAsia="宋体"/>
      <w:kern w:val="2"/>
      <w:sz w:val="18"/>
      <w:szCs w:val="18"/>
      <w:lang w:val="en-US" w:eastAsia="zh-CN" w:bidi="ar-SA"/>
    </w:rPr>
  </w:style>
  <w:style w:type="character" w:customStyle="1" w:styleId="216">
    <w:name w:val="批注主题 字符"/>
    <w:qFormat/>
    <w:uiPriority w:val="0"/>
    <w:rPr>
      <w:rFonts w:eastAsia="宋体"/>
      <w:b/>
      <w:bCs/>
      <w:kern w:val="2"/>
      <w:sz w:val="21"/>
      <w:szCs w:val="24"/>
      <w:lang w:val="en-US" w:eastAsia="zh-CN" w:bidi="ar-SA"/>
    </w:rPr>
  </w:style>
  <w:style w:type="character" w:customStyle="1" w:styleId="217">
    <w:name w:val="正文文本首行缩进 字符"/>
    <w:qFormat/>
    <w:uiPriority w:val="0"/>
    <w:rPr>
      <w:rFonts w:eastAsia="宋体"/>
      <w:kern w:val="2"/>
      <w:sz w:val="21"/>
      <w:szCs w:val="24"/>
      <w:lang w:val="en-US" w:eastAsia="zh-CN" w:bidi="ar-SA"/>
    </w:rPr>
  </w:style>
  <w:style w:type="character" w:customStyle="1" w:styleId="218">
    <w:name w:val="纯文本 字符"/>
    <w:qFormat/>
    <w:uiPriority w:val="0"/>
    <w:rPr>
      <w:rFonts w:ascii="等线" w:hAnsi="Courier New" w:eastAsia="等线" w:cs="Courier New"/>
      <w:kern w:val="2"/>
      <w:sz w:val="21"/>
      <w:szCs w:val="22"/>
    </w:rPr>
  </w:style>
  <w:style w:type="character" w:customStyle="1" w:styleId="219">
    <w:name w:val="标题 3 字符"/>
    <w:qFormat/>
    <w:uiPriority w:val="0"/>
    <w:rPr>
      <w:rFonts w:ascii="黑体" w:hAnsi="宋体" w:eastAsia="黑体"/>
      <w:bCs/>
      <w:kern w:val="2"/>
      <w:sz w:val="28"/>
      <w:szCs w:val="28"/>
      <w:lang w:val="en-US" w:eastAsia="zh-CN" w:bidi="ar-SA"/>
    </w:rPr>
  </w:style>
  <w:style w:type="character" w:customStyle="1" w:styleId="220">
    <w:name w:val="font41"/>
    <w:qFormat/>
    <w:uiPriority w:val="0"/>
    <w:rPr>
      <w:rFonts w:hint="eastAsia" w:ascii="宋体" w:hAnsi="宋体" w:eastAsia="宋体" w:cs="宋体"/>
      <w:color w:val="FF0000"/>
      <w:sz w:val="20"/>
      <w:szCs w:val="20"/>
      <w:u w:val="none"/>
    </w:rPr>
  </w:style>
  <w:style w:type="character" w:customStyle="1" w:styleId="221">
    <w:name w:val="批注文字 字符"/>
    <w:qFormat/>
    <w:uiPriority w:val="0"/>
    <w:rPr>
      <w:rFonts w:eastAsia="宋体"/>
      <w:kern w:val="2"/>
      <w:sz w:val="21"/>
      <w:szCs w:val="24"/>
      <w:lang w:val="en-US" w:eastAsia="zh-CN" w:bidi="ar-SA"/>
    </w:rPr>
  </w:style>
  <w:style w:type="character" w:customStyle="1" w:styleId="222">
    <w:name w:val="font61"/>
    <w:qFormat/>
    <w:uiPriority w:val="0"/>
    <w:rPr>
      <w:rFonts w:ascii="宋体" w:hAnsi="宋体" w:eastAsia="宋体" w:cs="宋体"/>
      <w:b/>
      <w:bCs/>
      <w:color w:val="000000"/>
      <w:sz w:val="24"/>
      <w:szCs w:val="24"/>
      <w:u w:val="none"/>
    </w:rPr>
  </w:style>
  <w:style w:type="character" w:customStyle="1" w:styleId="223">
    <w:name w:val="font81"/>
    <w:qFormat/>
    <w:uiPriority w:val="0"/>
    <w:rPr>
      <w:rFonts w:ascii="宋体" w:hAnsi="宋体" w:eastAsia="宋体" w:cs="宋体"/>
      <w:b/>
      <w:bCs/>
      <w:color w:val="000000"/>
      <w:sz w:val="24"/>
      <w:szCs w:val="24"/>
      <w:u w:val="none"/>
    </w:rPr>
  </w:style>
  <w:style w:type="character" w:customStyle="1" w:styleId="224">
    <w:name w:val="font31"/>
    <w:qFormat/>
    <w:uiPriority w:val="0"/>
    <w:rPr>
      <w:rFonts w:hint="eastAsia" w:ascii="等线" w:hAnsi="等线" w:eastAsia="等线" w:cs="等线"/>
      <w:b/>
      <w:bCs/>
      <w:color w:val="000000"/>
      <w:sz w:val="24"/>
      <w:szCs w:val="24"/>
      <w:u w:val="none"/>
    </w:rPr>
  </w:style>
  <w:style w:type="character" w:customStyle="1" w:styleId="225">
    <w:name w:val="font21"/>
    <w:qFormat/>
    <w:uiPriority w:val="0"/>
    <w:rPr>
      <w:rFonts w:hint="eastAsia" w:ascii="仿宋" w:hAnsi="仿宋" w:eastAsia="仿宋" w:cs="仿宋"/>
      <w:b/>
      <w:color w:val="000000"/>
      <w:sz w:val="28"/>
      <w:szCs w:val="28"/>
      <w:u w:val="none"/>
    </w:rPr>
  </w:style>
  <w:style w:type="paragraph" w:customStyle="1" w:styleId="226">
    <w:name w:val="_Style 106"/>
    <w:basedOn w:val="1"/>
    <w:next w:val="194"/>
    <w:qFormat/>
    <w:uiPriority w:val="99"/>
    <w:pPr>
      <w:ind w:firstLine="420" w:firstLineChars="200"/>
    </w:pPr>
    <w:rPr>
      <w:rFonts w:ascii="黑体" w:hAnsi="黑体" w:eastAsia="等线" w:cs="黑体"/>
    </w:rPr>
  </w:style>
  <w:style w:type="paragraph" w:customStyle="1" w:styleId="227">
    <w:name w:val="纯文本11"/>
    <w:basedOn w:val="163"/>
    <w:qFormat/>
    <w:uiPriority w:val="0"/>
    <w:rPr>
      <w:rFonts w:ascii="宋体" w:hAnsi="宋体" w:eastAsia="宋体" w:cs="Courier New"/>
      <w:sz w:val="20"/>
      <w:lang w:val="zh-CN"/>
    </w:rPr>
  </w:style>
  <w:style w:type="paragraph" w:customStyle="1" w:styleId="228">
    <w:name w:val="_Style 64"/>
    <w:semiHidden/>
    <w:qFormat/>
    <w:uiPriority w:val="99"/>
    <w:rPr>
      <w:rFonts w:ascii="Times New Roman" w:hAnsi="Times New Roman" w:eastAsia="宋体" w:cs="Times New Roman"/>
      <w:kern w:val="2"/>
      <w:sz w:val="21"/>
      <w:szCs w:val="24"/>
      <w:lang w:val="en-US" w:eastAsia="zh-CN" w:bidi="ar-SA"/>
    </w:rPr>
  </w:style>
  <w:style w:type="character" w:customStyle="1" w:styleId="229">
    <w:name w:val="无间隔 字符"/>
    <w:qFormat/>
    <w:uiPriority w:val="0"/>
    <w:rPr>
      <w:rFonts w:eastAsia="等线"/>
      <w:kern w:val="2"/>
      <w:sz w:val="21"/>
      <w:szCs w:val="22"/>
    </w:rPr>
  </w:style>
  <w:style w:type="character" w:customStyle="1" w:styleId="230">
    <w:name w:val="NormalCharacter"/>
    <w:qFormat/>
    <w:uiPriority w:val="0"/>
    <w:rPr>
      <w:rFonts w:ascii="等线" w:hAnsi="等线" w:eastAsia="等线"/>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27168-C2F8-442E-B51A-AAB9F0352EAD}">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74</Pages>
  <Words>21954</Words>
  <Characters>23109</Characters>
  <Lines>375</Lines>
  <Paragraphs>105</Paragraphs>
  <TotalTime>62</TotalTime>
  <ScaleCrop>false</ScaleCrop>
  <LinksUpToDate>false</LinksUpToDate>
  <CharactersWithSpaces>23611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2025-04-16T09:45:00Z</dcterms:created>
  <dc:creator>Administrator.PC-20180504QPQA</dc:creator>
  <cp:lastModifiedBy>admin</cp:lastModifiedBy>
  <cp:lastPrinted>2025-04-15T02:55:00Z</cp:lastPrinted>
  <dcterms:modified xsi:type="dcterms:W3CDTF">2025-09-22T07:16:22Z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9B45D4D6B7634EE8B6B4D05709FE6798_13</vt:lpwstr>
  </property>
  <property fmtid="{D5CDD505-2E9C-101B-9397-08002B2CF9AE}" pid="4" name="_IPGFID">
    <vt:lpwstr>[DocID]=8344FC4A-4F9C-49AD-9CE9-F956303EC7F1</vt:lpwstr>
  </property>
  <property fmtid="{D5CDD505-2E9C-101B-9397-08002B2CF9AE}" pid="5" name="_IPGFLOW_P-B8DB_E-0_CV-69922C53_CN-A466F6FC">
    <vt:lpwstr>DPFPMK|3|50|22|0</vt:lpwstr>
  </property>
  <property fmtid="{D5CDD505-2E9C-101B-9397-08002B2CF9AE}" pid="6" name="_IPGFLOW_P-B8DB_E-1_FP-1_SP-1_CV-3ECB523E_CN-9C84A972">
    <vt:lpwstr>3NeEUfaPbncEMediD2xJ21omqjulENWv002rOTRz+GEkoGvCqGFGgQyRmudOFmG17EiAc8oy0CMErOG9BaVJ1N9tq0eM0Z1o7Qfww/LtvayjBtQITOjH06ohzssbaxol6aoAN2Ua9IrTt+FS4ESTyXUEc1wf9UwXn9BHyTU/mhKZbF1bSgs8PIee8N96DgkdgdVHVhFvo5+dWKQF5pF33oyEiUvxjiv3jKXNGkipzXDAxaSmP/RWhfCDKDzIydW</vt:lpwstr>
  </property>
  <property fmtid="{D5CDD505-2E9C-101B-9397-08002B2CF9AE}" pid="7" name="_IPGFLOW_P-B8DB_E-1_FP-1_SP-2_CV-ABE75BC0_CN-B6567568">
    <vt:lpwstr>QtrKW0yB7T9o8e7TavdxRDW4sMN11x5MIZP4sPCIsPESt4dFtnzWNeaiqwlk5Cmi+HZhVRV9F1fQs0+/iHjr4JohJBnmgYjPOj8BdXTH6g2g=</vt:lpwstr>
  </property>
  <property fmtid="{D5CDD505-2E9C-101B-9397-08002B2CF9AE}" pid="8" name="_IPGFLOW_P-B8DB_E-0_FP-1_CV-2D4294F3_CN-602ECAF1">
    <vt:lpwstr>DPSPMK|3|364|2|0</vt:lpwstr>
  </property>
  <property fmtid="{D5CDD505-2E9C-101B-9397-08002B2CF9AE}" pid="9" name="_IPGFLOW_P-B8DB_E-1_FP-2_SP-1_CV-6DBA754A_CN-F3035465">
    <vt:lpwstr>3NeEUfaPbncEMediD2xJ228hxV8ISuEtFTWWQ0N8ExJLhBKH4fFfqoaH9AzCrM57VpCMm03FADQfka1uRoyABMqJaoh0ZCTNMr8MN7Fr2p0Qc85QpfpE2+rstepbYvOKFzKusZ4sH219ektfZG+aQkgVv4lQ00jsEVB7HQhCAyc7dJbiNVwnJ4bIWR2SW1nBMjVl1lVX3TG4foYqEQweIzGWIIXlgA8KV/gVD9CGymPoqy/Y8SuQ+Bv8JSQzfPH</vt:lpwstr>
  </property>
  <property fmtid="{D5CDD505-2E9C-101B-9397-08002B2CF9AE}" pid="10" name="_IPGFLOW_P-B8DB_E-1_FP-2_SP-2_CV-9A5AD69_CN-2C8DAB77">
    <vt:lpwstr>CNsz6L/d04z7Mod5fArwt1TvuZOcayG1hEf70iirTUG3PS6SD7UUGu6YZPWkMPkNKchaST8EJuXYbXfLxTpxZbDrIknevFYQrk6aDUnFlyuo=</vt:lpwstr>
  </property>
  <property fmtid="{D5CDD505-2E9C-101B-9397-08002B2CF9AE}" pid="11" name="_IPGFLOW_P-B8DB_E-0_FP-2_CV-2D4294F3_CN-DDE4A63F">
    <vt:lpwstr>DPSPMK|3|364|2|0</vt:lpwstr>
  </property>
  <property fmtid="{D5CDD505-2E9C-101B-9397-08002B2CF9AE}" pid="12" name="_IPGFLOW_P-B8DB_E-1_FP-3_SP-1_CV-D8BC1B0D_CN-C3FF8DD4">
    <vt:lpwstr>3NeEUfaPbncEMediD2xJ21qklaHa0i4ZhUvjEmFM2rb18TtVtVY+4GuOtezDnSoMBYpnA85+G/1/VvXT8WtbXBEILDrxJ0TbAnc/DQkvlOH9MYlwkf7Pomicsszjm9lEf/ybbsbVzpmbAf+mkoY2mhIGENCWeyGigtAhFgkaI3VH4oy7K1PhfyyH227T+V6BnVpTWLxBL+avHmmi2Ke2FtJXr1/78fHv6uVM8ZPH6ZrPdKHH5zyt08nTGDJq40W</vt:lpwstr>
  </property>
  <property fmtid="{D5CDD505-2E9C-101B-9397-08002B2CF9AE}" pid="13" name="_IPGFLOW_P-B8DB_E-1_FP-3_SP-2_CV-B2FE1203_CN-926B8CAA">
    <vt:lpwstr>AmiM+A6Tsaa5k4p2aDSLvMEC7uuHfbvxsoJjLoPsBAHAQsD0i+b6OAR/OT4GVib7x7HUPoP2S6rPh9ZMyJf5M3iRXT25F66GxaX33c2WJsxo=</vt:lpwstr>
  </property>
  <property fmtid="{D5CDD505-2E9C-101B-9397-08002B2CF9AE}" pid="14" name="_IPGFLOW_P-B8DB_E-0_FP-3_CV-2D4294F3_CN-727FBA">
    <vt:lpwstr>DPSPMK|3|364|2|0</vt:lpwstr>
  </property>
  <property fmtid="{D5CDD505-2E9C-101B-9397-08002B2CF9AE}" pid="15" name="_IPGFLOW_P-B8DB_E-1_FP-4_SP-1_CV-DEFCBDB9_CN-7A451178">
    <vt:lpwstr>3NeEUfaPbncEMediD2xJ292ZOhbx6lu0QWrTVH2Ktmw/ubbpuVXbMciy1309TmA6WmwmkLtmQpJeYfXijzZY3t+4UD9ePhMPX6xddYMSW1uVr7DdrEibWnkdvLkHVex4agYZrSZM1BEGGL9TfjvrqrDfAr96xi4AafnysS9SQDB6k/BjVXhBdisyFjpRWDq3CubCIN873QDmqy3n6HgX12nnCQf19sf7YhwB2RECjz718wIHzvU9HPnHkHdJgxK</vt:lpwstr>
  </property>
  <property fmtid="{D5CDD505-2E9C-101B-9397-08002B2CF9AE}" pid="16" name="_IPGFLOW_P-B8DB_E-1_FP-4_SP-2_CV-6FDAA7DB_CN-FA957578">
    <vt:lpwstr>scpSB3aUZCha/+uuM/bXGXghePb96hpQ6xcBrDCo/yCXL06Ki5TvTkdpnDmPstTouaWa5QVc24Ctip0k1+7HVq9fT3W2wtWVu9P6pCAuN48k=</vt:lpwstr>
  </property>
  <property fmtid="{D5CDD505-2E9C-101B-9397-08002B2CF9AE}" pid="17" name="_IPGFLOW_P-B8DB_E-0_FP-4_CV-2D4294F3_CN-7D0179E2">
    <vt:lpwstr>DPSPMK|3|364|2|0</vt:lpwstr>
  </property>
  <property fmtid="{D5CDD505-2E9C-101B-9397-08002B2CF9AE}" pid="18" name="_IPGFLOW_P-B8DB_E-1_FP-5_SP-1_CV-96BA204A_CN-81EFBF76">
    <vt:lpwstr>3NeEUfaPbncEMediD2xJ27R0OTOY83cJYwhaGHrZc4KPboYSqwVrYy9ljncosA9GkWDrKCt71fnp5NqipjCPuBmB6SWB/5T/J0LLxYS8Ge6g2X2dbce+2B5XRiE8/L4zwyTBWUK15MqPKgEzCCxdezcaj4yM25p4J8AS0584YnCb1r4rlhY762qTbebnzKy89peKZrhXbgJk1RZKFR4IgC/z7KIKP9xLcnrqjVmQD3p26SUZHoApLlbxSEvuyN1</vt:lpwstr>
  </property>
  <property fmtid="{D5CDD505-2E9C-101B-9397-08002B2CF9AE}" pid="19" name="_IPGFLOW_P-B8DB_E-1_FP-5_SP-2_CV-26EF853B_CN-7154C6B4">
    <vt:lpwstr>zjU1VlXEnRpDISnkEGevYav0MNVjEAyK6M3iiDwrcho/okOo2PzMBJa62JuD/2P4OqKCKRMyiHjhKwYPdKxROglxilCTvB5lXnZemFVecGY57BhTdqDSiAiu0cDnrllr0</vt:lpwstr>
  </property>
  <property fmtid="{D5CDD505-2E9C-101B-9397-08002B2CF9AE}" pid="20" name="_IPGFLOW_P-B8DB_E-0_FP-5_CV-1748F583_CN-3A0AFB16">
    <vt:lpwstr>DPSPMK|3|384|2|0</vt:lpwstr>
  </property>
  <property fmtid="{D5CDD505-2E9C-101B-9397-08002B2CF9AE}" pid="21" name="_IPGFLOW_P-B8DB_E-1_FP-6_SP-1_CV-15529D7_CN-54559DFA">
    <vt:lpwstr>3NeEUfaPbncEMediD2xJ2y8i91dbNNq5e+vGPfFEGmeS3rGMHRJ1Wy0wBhdHRyFrjI7/NlmRS0bPPLWe19NlV3nExrmT33i4F6DeCcCa2VuXZqjHvBsHNP9N52juuE/+p82Aanz7SYbjpeSUn8ZMdqg3hnFdN1l8qsRj6kvBZDshtzfxDep9XfpjhfUT6CHTUOOSbieHEotrTIOLEnjKrifn5ZYZri/D7b6sre000qJypYFIGykiIrK8JTBGrCf</vt:lpwstr>
  </property>
  <property fmtid="{D5CDD505-2E9C-101B-9397-08002B2CF9AE}" pid="22" name="_IPGFLOW_P-B8DB_E-1_FP-6_SP-2_CV-5E057A32_CN-F2947FF2">
    <vt:lpwstr>1x2LUdcqH25+ma3RJawwcek7VFeTVAPd3GWkZ3uNfr8qdYmBjwfFqOS0TVHz5P87LQBGfBZqYyMgSSP0vjECwsJTbXnBVNd2oolf1fNuTb3U=</vt:lpwstr>
  </property>
  <property fmtid="{D5CDD505-2E9C-101B-9397-08002B2CF9AE}" pid="23" name="_IPGFLOW_P-B8DB_E-0_FP-6_CV-2D4294F3_CN-1D5DCCA9">
    <vt:lpwstr>DPSPMK|3|364|2|0</vt:lpwstr>
  </property>
  <property fmtid="{D5CDD505-2E9C-101B-9397-08002B2CF9AE}" pid="24" name="_IPGFLOW_P-B8DB_E-1_FP-7_SP-1_CV-1D03253B_CN-395214B1">
    <vt:lpwstr>r03wc0g3rwqXAufu4Jeaq7Bf2mZOBaIwjqUTDiRqYcSpOigBsdd2HkEYpcZYxAkk2t3MvHdowhM/7XBeSSA+dhdoHoaxMF3LlimN1kckc563sydaOaIZZYRYUK6Ld+U6//L+ZzhKRUukUBJBG24hO75VNa9JivJVf2b4bizkurVWfdMxGZ/4JsdcSVkdMVxzC8KmJpzvwA8P4QNasyVqvHE4ey2X7san6pmGZGBW4NHF8ODEQsqcFdsx1qoZ8LI</vt:lpwstr>
  </property>
  <property fmtid="{D5CDD505-2E9C-101B-9397-08002B2CF9AE}" pid="25" name="_IPGFLOW_P-B8DB_E-1_FP-7_SP-2_CV-366BD836_CN-BE454D54">
    <vt:lpwstr>royJZ+wMwvGraN21uQ7rl0RWhZ9iQ78oRVrLEAv0BA7sQH/ZzPMPaI5HzoyjInZ9Sw8pIqsuIH0lTpJgPQunXTJI1D0gfy6EMKQkansBtAuE=</vt:lpwstr>
  </property>
  <property fmtid="{D5CDD505-2E9C-101B-9397-08002B2CF9AE}" pid="26" name="_IPGFLOW_P-B8DB_E-0_FP-7_CV-2D4294F3_CN-C0CB152C">
    <vt:lpwstr>DPSPMK|3|364|2|0</vt:lpwstr>
  </property>
  <property fmtid="{D5CDD505-2E9C-101B-9397-08002B2CF9AE}" pid="27" name="_IPGFLOW_P-B8DB_E-1_FP-8_SP-1_CV-F93030C8_CN-4ABD59F">
    <vt:lpwstr>r03wc0g3rwqXAufu4Jeaq3YOsyu2xVACP1Xjj8Klh96esQCitrhZsme3Lc9erY2OOO+MmL9LTbsUm/NJB8iKM6nbjI7wPn2qHLFJnF6l4b9GphkxnBkvVw8LwSmWJWCVsOMrA5yFsrY+zFFYCfqnVLyDUCWKg44y3hVAswDGN3W1HDbJjMmpnlqLrmfcHmrfFsVfbpRfE/hANeJYvDrz32elKy3glXtfCLGqJEeRq0AZsngaLxEvuQjjI7ucBDi</vt:lpwstr>
  </property>
  <property fmtid="{D5CDD505-2E9C-101B-9397-08002B2CF9AE}" pid="28" name="_IPGFLOW_P-B8DB_E-1_FP-8_SP-2_CV-4E7ED9F1_CN-2BED5701">
    <vt:lpwstr>rwMtAZ/EYq+j2rMrRYR06bXsU4JHNxFtT5DwosruQoJDB0RKQGr5eeJb7Z8g0ZzHi9VfEZskdvCUU18Dem78i8OAELrSWkfvTdV7WZvqoB2E=</vt:lpwstr>
  </property>
  <property fmtid="{D5CDD505-2E9C-101B-9397-08002B2CF9AE}" pid="29" name="_IPGFLOW_P-B8DB_E-0_FP-8_CV-2D4294F3_CN-E7BBC019">
    <vt:lpwstr>DPSPMK|3|364|2|0</vt:lpwstr>
  </property>
  <property fmtid="{D5CDD505-2E9C-101B-9397-08002B2CF9AE}" pid="30" name="_IPGFLOW_P-B8DB_E-1_FP-9_SP-1_CV-E6F015A4_CN-5F93ACCF">
    <vt:lpwstr>r03wc0g3rwqXAufu4Jeaq6ie0eNDYwzdwsaHP5sN+uz4Y+AgBzlT9B7/FMf0/vpDlXORBoh19t6NmwiiiwFoDXxoHxXXEjB7AtKdTWIS03bsckuMcqLPVre62oc2sN4AvEDoSkPa73iSQYScmnbIVg8ULKHOAIrRggQ3cOaZSfYLsOAugCrQ/5xE5dlStAhR0rRKHPbMMMSipy+KqGVmvJP6k4Wi6VkJgfJG9tSo8e7nQWm8NTh3rsGLs0rzGl4</vt:lpwstr>
  </property>
  <property fmtid="{D5CDD505-2E9C-101B-9397-08002B2CF9AE}" pid="31" name="_IPGFLOW_P-B8DB_E-1_FP-9_SP-2_CV-F7C1C2B1_CN-3832AD8B">
    <vt:lpwstr>C/7RlQdoJDolgh8OpOtnU3FtqnWvLMHkXBppcxMQL9io7RYognB5aeyiEkclvHrkQvq4OJgr5o3mV86VUrtpMoImcrtpBAvinqb49EzMpnyM=</vt:lpwstr>
  </property>
  <property fmtid="{D5CDD505-2E9C-101B-9397-08002B2CF9AE}" pid="32" name="_IPGFLOW_P-B8DB_E-0_FP-9_CV-2D4294F3_CN-3A2D199C">
    <vt:lpwstr>DPSPMK|3|364|2|0</vt:lpwstr>
  </property>
  <property fmtid="{D5CDD505-2E9C-101B-9397-08002B2CF9AE}" pid="33" name="_IPGFLOW_P-B8DB_E-1_FP-A_SP-1_CV-A66A5C8D_CN-BB966CF9">
    <vt:lpwstr>r03wc0g3rwqXAufu4Jeaq61jxTZcaiVMkcAlmjOgzknBPR5yfAcx7LIEmvuq/IkTUllXWygmGl4SuzDvxtpOT2UgKnH92VOJSrstTlKw+p+rAalENiUmbaqyd75mes0Kb/ykL0lOtu9NB7ffm8zJ7o1BmQM4XcaHNMVG68UZ3qsN7wvMNAvvaCfzrcdh2ZkK7E+wlogYlMiyceS7qlRdDsOtOTIkKUikBEgTgHpA1z/Zh187OCXrWaANSTq64NF</vt:lpwstr>
  </property>
  <property fmtid="{D5CDD505-2E9C-101B-9397-08002B2CF9AE}" pid="34" name="_IPGFLOW_P-B8DB_E-1_FP-A_SP-2_CV-AEDA937E_CN-738E9DFA">
    <vt:lpwstr>9o24Rg4LmwNM3UFyASpZmA2wmCPvFBxON6DoJug2WdBzytmrs0NRQzaIq5xuEu/Aat2s1wDl61F3zry+dXoFVfHpHLKgv0NtS2Kp4XmqKt2w=</vt:lpwstr>
  </property>
  <property fmtid="{D5CDD505-2E9C-101B-9397-08002B2CF9AE}" pid="35" name="_IPGFLOW_P-B8DB_E-0_FP-A_CV-2D4294F3_CN-DADAB675">
    <vt:lpwstr>DPSPMK|3|364|2|0</vt:lpwstr>
  </property>
  <property fmtid="{D5CDD505-2E9C-101B-9397-08002B2CF9AE}" pid="36" name="_IPGFLOW_P-B8DB_E-1_FP-B_SP-1_CV-6107DA86_CN-FCE5E269">
    <vt:lpwstr>r03wc0g3rwqXAufu4Jeaq4DJa7NDuKwo/UbKqXEPyFzEZ+/jeMHI8YzkclpwcktyIETyv+RiyaLyWSk6E/Q7dtAE6A8FCegI4BTXRA615bgTc3anX5/vuPfltZ3KT+J8r9pdny3fwE0VvVxG8fUKlizPf+hV2m1TvcwKD8tQzMDtdeLuqwR1GyoXIAZmmvH1HtTEhs3VupB/flaLBPhwW3sXWVWiBBhi69LIchaMDJYefvXonBFTZ9Tqrox2DHQ</vt:lpwstr>
  </property>
  <property fmtid="{D5CDD505-2E9C-101B-9397-08002B2CF9AE}" pid="37" name="_IPGFLOW_P-B8DB_E-1_FP-B_SP-2_CV-8D38C333_CN-B70D2FA5">
    <vt:lpwstr>4Sv4XiftB8YU8WohXQrPnFEcV4VYCM2byyR88PEdLJqxGY+ODtb6N/y13Ktw+dZxGWiVz40MMi6mXO9ZkDxs/aGFbbYQ2vNLgqiE9ZIgdGAI=</vt:lpwstr>
  </property>
  <property fmtid="{D5CDD505-2E9C-101B-9397-08002B2CF9AE}" pid="38" name="_IPGFLOW_P-B8DB_E-0_FP-B_CV-2D4294F3_CN-6710DABB">
    <vt:lpwstr>DPSPMK|3|364|2|0</vt:lpwstr>
  </property>
  <property fmtid="{D5CDD505-2E9C-101B-9397-08002B2CF9AE}" pid="39" name="_IPGFLOW_P-B8DB_E-1_FP-C_SP-1_CV-7AB21212_CN-61865E70">
    <vt:lpwstr>r03wc0g3rwqXAufu4Jeaq2B8+ORof2efwPBt85Jat0Oq8jw2k07amgzE0gTLfgWIelu3R41hDNYvQtXMEgGqKIswTr/mST3ntIsqIg1xTb9AbkYz878UKAdcGKeUbA/qgpLgHN7p2WqXyJEd9ZBVcnsYFOpeBede0uAU9FA5a9o8tM7yKq13D/UZpRmrHlbWhcGfm/BqjtuPXYFAtCfXQkoFv6kk+cW9wgNAgHPQj8qE5bgJgmCLKGG9ijdjuPX</vt:lpwstr>
  </property>
  <property fmtid="{D5CDD505-2E9C-101B-9397-08002B2CF9AE}" pid="40" name="_IPGFLOW_P-B8DB_E-1_FP-C_SP-2_CV-E52F2187_CN-9C3545D4">
    <vt:lpwstr>LkyUiRO7jaqtKOd4govo+jLq1ntQHuKQlIMEGbNZShDJJU2yhiHGYSbEKVxQw1kcJ/CCMjFJxdMeqXW55/w6Zs703RKKI7HO5N9dTNp7A/fU=</vt:lpwstr>
  </property>
  <property fmtid="{D5CDD505-2E9C-101B-9397-08002B2CF9AE}" pid="41" name="_IPGFLOW_P-B8DB_E-0_FP-C_CV-2D4294F3_CN-BA86033E">
    <vt:lpwstr>DPSPMK|3|364|2|0</vt:lpwstr>
  </property>
  <property fmtid="{D5CDD505-2E9C-101B-9397-08002B2CF9AE}" pid="42" name="_IPGFLOW_P-B8DB_E-1_FP-D_SP-1_CV-BA370855_CN-23A528E0">
    <vt:lpwstr>r03wc0g3rwqXAufu4Jeaq9+1Iq5r834iFeUVik2JaAYwKc4bfDu37e5Xjg4l1F/BrL0Kdm9JGiccny6elrRDDuwuJmikvicqVHTzdGH5tuw3ph8jj3fHrE1gagrRxJL8kFU2v1Sqr5catxvtRbYmjdTaHiaB17JDvUBA98EtLg50pM0vuf2F+HHJqnltoD2KrA89dNa/d3xWl4ShUCxKt2oOfIROXQzw67SvQG/8Kx/HyEmL+U1foF+TdvPuCMM</vt:lpwstr>
  </property>
  <property fmtid="{D5CDD505-2E9C-101B-9397-08002B2CF9AE}" pid="43" name="_IPGFLOW_P-B8DB_E-1_FP-D_SP-2_CV-9B12E56C_CN-1DE7B939">
    <vt:lpwstr>H4RLZLDxBXuuGWZoMXfOwoS4ngCWnY/10X4WnsnpbTU3jiVlA9iKi6aNN7Iyp56RR1QC8DUikKtYCORUT/eBbGVirQ+qn7KSzqrbFIGPilfI=</vt:lpwstr>
  </property>
  <property fmtid="{D5CDD505-2E9C-101B-9397-08002B2CF9AE}" pid="44" name="_IPGFLOW_P-B8DB_E-0_FP-D_CV-2D4294F3_CN-C7F50566">
    <vt:lpwstr>DPSPMK|3|364|2|0</vt:lpwstr>
  </property>
  <property fmtid="{D5CDD505-2E9C-101B-9397-08002B2CF9AE}" pid="45" name="_IPGFLOW_P-B8DB_E-1_FP-E_SP-1_CV-A1BF5482_CN-BFD2BC6A">
    <vt:lpwstr>r03wc0g3rwqXAufu4Jeaq0D5mFtjmho6Y40sAAx5HUhGIJDGuiZf1XQKwK5BaMqM/E65M5v43BNaldbrfDfQG9U2Vd5AogLUfg9kxd2GRuaMHS3/jn9FSU/RXhM+qOJoHLZonjwkG/r6QW/958i4zrAoViBHtfmuGIAxwbhgnusEYbK7AAtynjcSzyEbmszuCXwJ2JMoj/Pnb0CtLh/ndrULI/F6eZhXvBws1+NjaAkYsL/LxUIvjK2jN/4UgQK</vt:lpwstr>
  </property>
  <property fmtid="{D5CDD505-2E9C-101B-9397-08002B2CF9AE}" pid="46" name="_IPGFLOW_P-B8DB_E-1_FP-E_SP-2_CV-27F8E858_CN-A93AA1FE">
    <vt:lpwstr>QGC1SlkurcPOxTXU8C2ShXW+sohz5la4R7nTUX19zE+Fdalt+DFJVIcytJRPyG0z2ofG/Lo+oCRBRLSLoPnzI3b85OqfRZMhwJiaQLkQHtvk=</vt:lpwstr>
  </property>
  <property fmtid="{D5CDD505-2E9C-101B-9397-08002B2CF9AE}" pid="47" name="_IPGFLOW_P-B8DB_E-0_FP-E_CV-2D4294F3_CN-1A63DCE3">
    <vt:lpwstr>DPSPMK|3|364|2|0</vt:lpwstr>
  </property>
  <property fmtid="{D5CDD505-2E9C-101B-9397-08002B2CF9AE}" pid="48" name="_IPGFLOW_P-B8DB_E-1_FP-F_SP-1_CV-53801D9B_CN-A4776BF9">
    <vt:lpwstr>r03wc0g3rwqXAufu4Jeaq0Ozq1kBqO+SZMSJ8R3Xf5K7BMSVftsOi78h8oMFEiVszOrKRQ6Jcgq3EOOI3/TKindMKqcgibSh6XvtKgw8ZG+nTweVbRGUah+hmUacKjClPuoiRIYNPvwzuvk6h9myAZZKKgLegoiV8dAYERN4y9cX+wOAIpeWj5EtgIzo9fZmhO1oPlHwBEgLOJihhFL55zKGGsp0x8XIRqYjY3eDFAF1cfGrl71gWpLg3gV5xnN</vt:lpwstr>
  </property>
  <property fmtid="{D5CDD505-2E9C-101B-9397-08002B2CF9AE}" pid="49" name="_IPGFLOW_P-B8DB_E-1_FP-F_SP-2_CV-28EBF726_CN-3112D5A6">
    <vt:lpwstr>GY+O/ZDh5mYVfUeWrBvtuB2w99IAoCYWBxRw9qjQAhUhRwcebLnbM3xPFpWY3LdK6o3tRFpBqZOCqvsFbWGkVLLdbsxad4fjakxz85aZbxLA=</vt:lpwstr>
  </property>
  <property fmtid="{D5CDD505-2E9C-101B-9397-08002B2CF9AE}" pid="50" name="_IPGFLOW_P-B8DB_E-0_FP-F_CV-2D4294F3_CN-A7A9B02D">
    <vt:lpwstr>DPSPMK|3|364|2|0</vt:lpwstr>
  </property>
  <property fmtid="{D5CDD505-2E9C-101B-9397-08002B2CF9AE}" pid="51" name="_IPGFLOW_P-B8DB_E-1_FP-10_SP-1_CV-7A656E2D_CN-186116C6">
    <vt:lpwstr>r03wc0g3rwqXAufu4JeaqxOexXAJTvCCf1HkpCQGBch/QMBSDTk71CSADwE9ZNhAey+zy60Ut1O0oSG0bMIdBbvAznPihlOzs9ArJB5+D7uiNs1r4AIfNwf840YNTi66LSxfe7VA5RyntcGpIIYbG40OQCWQht8l3+uWCXo4DBVji1Jr1dmpzMTjugle7tx3sEK3+IB//f8n/GY8ZvbTkRvjsFQNYB4wsDtLws1oA7r/q4FarCNF4Lckfrr7Hsd</vt:lpwstr>
  </property>
  <property fmtid="{D5CDD505-2E9C-101B-9397-08002B2CF9AE}" pid="52" name="_IPGFLOW_P-B8DB_E-1_FP-10_SP-2_CV-2B3DAF12_CN-2E39978B">
    <vt:lpwstr>xywjLj7iBBPGFpo+rioPEf+Vu0WyYq7sgJcSfxnoGBwP9IMQihgAjaYBgcr6jrks/PQsxaho1w8SimB/8FRT5tHxjs+9/Gox+xx4PgVpYneM=</vt:lpwstr>
  </property>
  <property fmtid="{D5CDD505-2E9C-101B-9397-08002B2CF9AE}" pid="53" name="_IPGFLOW_P-B8DB_E-0_FP-10_CV-2D4294F3_CN-F56125EB">
    <vt:lpwstr>DPSPMK|3|364|2|0</vt:lpwstr>
  </property>
  <property fmtid="{D5CDD505-2E9C-101B-9397-08002B2CF9AE}" pid="54" name="_IPGFLOW_P-B8DB_E-1_FP-11_SP-1_CV-90F086CE_CN-9C2F3220">
    <vt:lpwstr>r03wc0g3rwqXAufu4Jeaq7ZJQOwNG+tYzW4RuXClWPTsM6exGbgmHKmNabAh8a3eGTMGXXzADC6jOYmjeQfmhhVysBgq/JWjpcYICCKlXJj+WdfEqek8eWYCEB1pjHx05EWAPFbAT2FPZP/pIhF5D3pk2QKzs2Rs4/0oO1HOZWrF2h1IwQIT+Bw/FXDvfinh4cFTSFAFjLEJ40b5VkoiPFsaVN2Kk7rDFATK19e0PPs4du6/qsPPIpy4sJWjs9m</vt:lpwstr>
  </property>
  <property fmtid="{D5CDD505-2E9C-101B-9397-08002B2CF9AE}" pid="55" name="_IPGFLOW_P-B8DB_E-1_FP-11_SP-2_CV-2B4D068E_CN-44BFE1AD">
    <vt:lpwstr>G5QZefvlRCo55Tsukbb+wSg2sy3kahtzlfS5B2p/kZTJhRjhhH1x6Kclhxt+1EVDEUgGYpDctW8pCvPGtMyqloJXnC1DKKo9l1W9tUv3oEGtLSEaotLRS4Cp5teUwCoAA</vt:lpwstr>
  </property>
  <property fmtid="{D5CDD505-2E9C-101B-9397-08002B2CF9AE}" pid="56" name="_IPGFLOW_P-B8DB_E-0_FP-11_CV-1748F583_CN-B26AA71F">
    <vt:lpwstr>DPSPMK|3|384|2|0</vt:lpwstr>
  </property>
  <property fmtid="{D5CDD505-2E9C-101B-9397-08002B2CF9AE}" pid="57" name="_IPGFLOW_P-B8DB_E-1_FP-12_SP-1_CV-377C26CC_CN-DA1CCC2E">
    <vt:lpwstr>AR/Ei7b1WNEmQrFsxVP8Nk/6ikXa69FPHa3VGza8wWMq90zWsg6OErRbXviRahxOqK4GHpvCBmtvn73Q0p90+a2TT5qbnLTxyw99+YodWWZs4P7lyH4Q2dS5ohKq4ow2BpUcKaJbIyvl0V+kHtv2Ipdfx56Apsc/MdoWRgvvENl/hxUl/CzCKpoR47w2k7M33foWrCJr2HHv1XSYv2verNPErjGiD9X5eJCX7S5sqLIu44+FtvYL/BFptG6K5fM</vt:lpwstr>
  </property>
  <property fmtid="{D5CDD505-2E9C-101B-9397-08002B2CF9AE}" pid="58" name="_IPGFLOW_P-B8DB_E-1_FP-12_SP-2_CV-A65E51B6_CN-4CB0F3DC">
    <vt:lpwstr>MG39x43pLpie5WRd4ySTA3O5ea+VBEpKV7Ij4yCMTDK8NY+pNKagJoZcLd1F4/ehcqndZGS0OQjx63MRsTUIqeTiTjUTNvasE3DH0UNjY/CgWm7tgarEmKEdJCI4v+1pvcZA0CKx2D/0zBJ8SLEFvpA==</vt:lpwstr>
  </property>
  <property fmtid="{D5CDD505-2E9C-101B-9397-08002B2CF9AE}" pid="59" name="_IPGFLOW_P-B8DB_E-0_FP-12_CV-FB4CA461_CN-75FF6326">
    <vt:lpwstr>DPSPMK|3|408|2|0</vt:lpwstr>
  </property>
  <property fmtid="{D5CDD505-2E9C-101B-9397-08002B2CF9AE}" pid="60" name="_IPGFLOW_P-B8DB_E-1_FP-13_SP-1_CV-7DFF471A_CN-B3B4A024">
    <vt:lpwstr>Ip5W9VppJ3Obg+eZet1ceKWXFjA5y3PEc2LE4xghZQU0bLbAc4Xnpb4mwng5PsocQ/ITXtw6rq+fUgieV8TGNJyjyIv/3ivzslAs4dbe8jxlRWvcVbXx9PcNIBB/+QB29E73GY3UiGdgroRgKnt8TidYofW/Bw+vqUMmQE1uymX1g1Gfm+nh4uu11TK8o5w1t1ell+hyx8aUaLk4Osufr87+h2IxC0ruCT3fBeMYNt5mk880EWEVpe8p2Zu5v6x</vt:lpwstr>
  </property>
  <property fmtid="{D5CDD505-2E9C-101B-9397-08002B2CF9AE}" pid="61" name="_IPGFLOW_P-B8DB_E-1_FP-13_SP-2_CV-9583CCCF_CN-778CD037">
    <vt:lpwstr>3M5twPMOfCfosIACHkGwtVu817NA168kV2HOGvp2dmNVoGOvtTnNr5ySna0emmoZRTFl9sE4MhcFYHpgXLXb67nl5kEBoL2+XHN2xqS6KFXo=</vt:lpwstr>
  </property>
  <property fmtid="{D5CDD505-2E9C-101B-9397-08002B2CF9AE}" pid="62" name="_IPGFLOW_P-B8DB_E-0_FP-13_CV-2D4294F3_CN-48AB4925">
    <vt:lpwstr>DPSPMK|3|364|2|0</vt:lpwstr>
  </property>
  <property fmtid="{D5CDD505-2E9C-101B-9397-08002B2CF9AE}" pid="63" name="_IPGFLOW_P-B8DB_E-1_FP-14_SP-1_CV-52F32434_CN-9B412127">
    <vt:lpwstr>Ip5W9VppJ3Obg+eZet1ceNykX/EPp2D7G2nNHYTYlCAxhH2pcgWWQbHadk8Vi6guoaW4AkCXXa5zm8SLVrgs+pPNRRpRkFTFQkaBkUv/GYCYxWz8/hi3STH+DB1DP1KfB/cuXDIpjpxWTE5hCiYAEDDP1Qr4wsvf1ygG6z5oDVvVWoDDIGEAxs7/tQ3T9SZbFwstSIg0FtaW60WNLl1QLFvs/Rg7OQthCjFjqJNkJ65SOOs2Vp5MrVL1YlTUhBE</vt:lpwstr>
  </property>
  <property fmtid="{D5CDD505-2E9C-101B-9397-08002B2CF9AE}" pid="64" name="_IPGFLOW_P-B8DB_E-1_FP-14_SP-2_CV-1EC1F9D1_CN-5D92D043">
    <vt:lpwstr>M5L5vQfafnRCkIFiPO4ako2w7gyi0DqEI5g0ZKAFYd/oPhnMv07tB++HIhcXysQ0BU0cTTJNAG61aIBT49FvorM4T60ViMB4E6sAmaBVXPe0=</vt:lpwstr>
  </property>
  <property fmtid="{D5CDD505-2E9C-101B-9397-08002B2CF9AE}" pid="65" name="_IPGFLOW_P-B8DB_E-0_FP-14_CV-2D4294F3_CN-35D84F7D">
    <vt:lpwstr>DPSPMK|3|364|2|0</vt:lpwstr>
  </property>
  <property fmtid="{D5CDD505-2E9C-101B-9397-08002B2CF9AE}" pid="66" name="_IPGFLOW_P-B8DB_E-1_FP-15_SP-1_CV-1AC23415_CN-BDF9DEF8">
    <vt:lpwstr>bl5Urhxr1tXlN38KSBKJgcqpL0TG7UIo+ay7ANJlF8VB+D/Wc1Rbrdsu9yU+ODik457qK/2wh/6+NdTORJo1XiuvZvQCp2VEbDT/DtqdHMnbvdn2soKIL469fHbc1cnJMcOChVe2FHB3HR1JFtLN5ZXLARjqe4sVzz3vkc8PyXEtGFfz1DMG421c7mSC+eLseDTqqgFzryUvORdbJLa/+E+KZzAcYX7l9Au+5V3nbgkN/wGHZj9mt0UMIVpch5n</vt:lpwstr>
  </property>
  <property fmtid="{D5CDD505-2E9C-101B-9397-08002B2CF9AE}" pid="67" name="_IPGFLOW_P-B8DB_E-1_FP-15_SP-2_CV-47AE39D8_CN-E570A6CA">
    <vt:lpwstr>Wdhge9pl6mJm4fPL3OPaCOxyd90YGsJUv4AD+h6cL0x3IPMBEAHEs24Ss17izbp8ViqMWS/3EK2BhHnJeMWUtVPeNo+Xz1WmyRQGz+lozHLA=</vt:lpwstr>
  </property>
  <property fmtid="{D5CDD505-2E9C-101B-9397-08002B2CF9AE}" pid="68" name="_IPGFLOW_P-B8DB_E-0_FP-15_CV-2D4294F3_CN-E84E96F8">
    <vt:lpwstr>DPSPMK|3|364|2|0</vt:lpwstr>
  </property>
  <property fmtid="{D5CDD505-2E9C-101B-9397-08002B2CF9AE}" pid="69" name="_IPGFLOW_P-B8DB_E-1_FP-16_SP-1_CV-DF854F63_CN-C92D3487">
    <vt:lpwstr>bl5Urhxr1tXlN38KSBKJgbNdY0VaX9fuu5e0OpA0NzRGpmwkr3oodRHuy8tLZA6fXf4XFDKXfyhvPKzi1GpnsiZsCKWkO+jPi/GlQCzuBfXccR92zgFcu/X7l8LyYYTsUQHd/Es/xHxIeTbpuwgQlKO5WKhz/D4BIKbTVjYIgtO9BJ+QZlUt0HOI8B9yRFlcadxKer5JlDX9zQqCV+EPMFhtbeAhtvFaCRloDwob3MWAegPKIkISYGTRcbkjYE6</vt:lpwstr>
  </property>
  <property fmtid="{D5CDD505-2E9C-101B-9397-08002B2CF9AE}" pid="70" name="_IPGFLOW_P-B8DB_E-1_FP-16_SP-2_CV-FCC39A18_CN-A5E9F926">
    <vt:lpwstr>+ur1v/ll+cMACkHD0DUnKM9yeq3rSadX1AUV0bdFaG/JbyZJFYVcNeRBGry8sIs+iJr/eI4Bex+Xgkw62qW1WpUPIKkULC+mWOfK5QNkvXXn92C4wOCf6/V974YSw9HLqZ9YDcxOQ7d1WO6k0iNGrKQ==</vt:lpwstr>
  </property>
  <property fmtid="{D5CDD505-2E9C-101B-9397-08002B2CF9AE}" pid="71" name="_IPGFLOW_P-B8DB_E-0_FP-16_CV-FB4CA461_CN-B54609B0">
    <vt:lpwstr>DPSPMK|3|408|2|0</vt:lpwstr>
  </property>
  <property fmtid="{D5CDD505-2E9C-101B-9397-08002B2CF9AE}" pid="72" name="KSOTemplateDocerSaveRecord">
    <vt:lpwstr>eyJoZGlkIjoiN2M2YWNlOTlhNjM2YzhhZWMzYjYwOTg3OTU1ZmQwYzYiLCJ1c2VySWQiOiI0MjMwMjExNjEifQ==</vt:lpwstr>
  </property>
</Properties>
</file>