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A2037">
      <w:pPr>
        <w:rPr>
          <w:rFonts w:hint="eastAsia" w:ascii="宋体" w:hAnsi="宋体" w:cs="宋体"/>
          <w:b/>
          <w:color w:val="auto"/>
          <w:sz w:val="52"/>
          <w:szCs w:val="52"/>
          <w:highlight w:val="none"/>
          <w:lang w:eastAsia="zh-CN"/>
        </w:rPr>
      </w:pPr>
      <w:bookmarkStart w:id="523" w:name="_GoBack"/>
    </w:p>
    <w:p w14:paraId="478D3299">
      <w:pPr>
        <w:snapToGrid w:val="0"/>
        <w:spacing w:line="360" w:lineRule="auto"/>
        <w:ind w:left="-283" w:leftChars="-135"/>
        <w:jc w:val="center"/>
        <w:rPr>
          <w:rFonts w:hint="eastAsia" w:ascii="宋体" w:hAnsi="宋体" w:cs="宋体"/>
          <w:b/>
          <w:color w:val="auto"/>
          <w:sz w:val="52"/>
          <w:szCs w:val="52"/>
          <w:highlight w:val="none"/>
          <w:lang w:eastAsia="zh-CN"/>
        </w:rPr>
      </w:pPr>
    </w:p>
    <w:p w14:paraId="632464AD">
      <w:pPr>
        <w:snapToGrid w:val="0"/>
        <w:spacing w:line="360" w:lineRule="auto"/>
        <w:ind w:left="-283" w:leftChars="-135"/>
        <w:jc w:val="center"/>
        <w:rPr>
          <w:rFonts w:hint="eastAsia" w:ascii="宋体" w:hAnsi="宋体" w:cs="宋体"/>
          <w:color w:val="auto"/>
          <w:sz w:val="52"/>
          <w:szCs w:val="52"/>
          <w:highlight w:val="none"/>
        </w:rPr>
      </w:pPr>
      <w:r>
        <w:rPr>
          <w:rFonts w:hint="eastAsia" w:ascii="宋体" w:hAnsi="宋体" w:cs="宋体"/>
          <w:b/>
          <w:color w:val="auto"/>
          <w:sz w:val="52"/>
          <w:szCs w:val="52"/>
          <w:highlight w:val="none"/>
          <w:lang w:eastAsia="zh-CN"/>
        </w:rPr>
        <w:t>华南理工大学大学城校区研究生宿舍（二期）施工监理</w:t>
      </w:r>
    </w:p>
    <w:p w14:paraId="4EAF1AE5">
      <w:pPr>
        <w:spacing w:line="200" w:lineRule="exact"/>
        <w:rPr>
          <w:rFonts w:hint="eastAsia" w:ascii="宋体" w:hAnsi="宋体" w:cs="宋体"/>
          <w:color w:val="auto"/>
          <w:highlight w:val="none"/>
        </w:rPr>
      </w:pPr>
    </w:p>
    <w:p w14:paraId="7F8B20D5">
      <w:pPr>
        <w:spacing w:line="200" w:lineRule="exact"/>
        <w:rPr>
          <w:rFonts w:hint="eastAsia" w:ascii="宋体" w:hAnsi="宋体" w:cs="宋体"/>
          <w:color w:val="auto"/>
          <w:highlight w:val="none"/>
        </w:rPr>
      </w:pPr>
    </w:p>
    <w:p w14:paraId="399A617B">
      <w:pPr>
        <w:spacing w:line="200" w:lineRule="exact"/>
        <w:rPr>
          <w:rFonts w:hint="eastAsia" w:ascii="宋体" w:hAnsi="宋体" w:cs="宋体"/>
          <w:color w:val="auto"/>
          <w:highlight w:val="none"/>
        </w:rPr>
      </w:pPr>
    </w:p>
    <w:p w14:paraId="23C762AC">
      <w:pPr>
        <w:spacing w:line="269" w:lineRule="exact"/>
        <w:rPr>
          <w:rFonts w:hint="eastAsia" w:ascii="宋体" w:hAnsi="宋体" w:cs="宋体"/>
          <w:color w:val="auto"/>
          <w:highlight w:val="none"/>
        </w:rPr>
      </w:pPr>
    </w:p>
    <w:p w14:paraId="3A239A99">
      <w:pPr>
        <w:spacing w:line="269" w:lineRule="exact"/>
        <w:rPr>
          <w:rFonts w:hint="eastAsia" w:ascii="宋体" w:hAnsi="宋体" w:cs="宋体"/>
          <w:color w:val="auto"/>
          <w:highlight w:val="none"/>
        </w:rPr>
      </w:pPr>
    </w:p>
    <w:p w14:paraId="0DE1C061">
      <w:pPr>
        <w:spacing w:line="269" w:lineRule="exact"/>
        <w:rPr>
          <w:rFonts w:hint="eastAsia" w:ascii="宋体" w:hAnsi="宋体" w:cs="宋体"/>
          <w:color w:val="auto"/>
          <w:highlight w:val="none"/>
        </w:rPr>
      </w:pPr>
    </w:p>
    <w:p w14:paraId="4318F31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color w:val="auto"/>
          <w:sz w:val="84"/>
          <w:szCs w:val="84"/>
          <w:highlight w:val="none"/>
          <w:lang w:eastAsia="zh-CN"/>
        </w:rPr>
      </w:pPr>
      <w:r>
        <w:rPr>
          <w:rFonts w:hint="eastAsia" w:ascii="宋体" w:hAnsi="宋体" w:cs="宋体"/>
          <w:b/>
          <w:color w:val="auto"/>
          <w:sz w:val="84"/>
          <w:szCs w:val="84"/>
          <w:highlight w:val="none"/>
        </w:rPr>
        <w:t>招标</w:t>
      </w:r>
      <w:r>
        <w:rPr>
          <w:rFonts w:hint="eastAsia" w:ascii="宋体" w:hAnsi="宋体" w:cs="宋体"/>
          <w:b/>
          <w:color w:val="auto"/>
          <w:sz w:val="84"/>
          <w:szCs w:val="84"/>
          <w:highlight w:val="none"/>
          <w:lang w:val="en-US" w:eastAsia="zh-CN"/>
        </w:rPr>
        <w:t>文件</w:t>
      </w:r>
    </w:p>
    <w:p w14:paraId="65AEB546">
      <w:pPr>
        <w:spacing w:line="200" w:lineRule="exact"/>
        <w:rPr>
          <w:rFonts w:hint="eastAsia" w:ascii="宋体" w:hAnsi="宋体" w:cs="宋体"/>
          <w:color w:val="auto"/>
          <w:highlight w:val="none"/>
        </w:rPr>
      </w:pPr>
    </w:p>
    <w:p w14:paraId="3B1C7053">
      <w:pPr>
        <w:spacing w:line="200" w:lineRule="exact"/>
        <w:rPr>
          <w:rFonts w:hint="eastAsia" w:ascii="宋体" w:hAnsi="宋体" w:cs="宋体"/>
          <w:color w:val="auto"/>
          <w:highlight w:val="none"/>
        </w:rPr>
      </w:pPr>
    </w:p>
    <w:p w14:paraId="37D9C5F4">
      <w:pPr>
        <w:spacing w:line="200" w:lineRule="exact"/>
        <w:rPr>
          <w:rFonts w:hint="eastAsia" w:ascii="宋体" w:hAnsi="宋体" w:cs="宋体"/>
          <w:color w:val="auto"/>
          <w:highlight w:val="none"/>
        </w:rPr>
      </w:pPr>
    </w:p>
    <w:p w14:paraId="6247288C">
      <w:pPr>
        <w:spacing w:line="200" w:lineRule="exact"/>
        <w:rPr>
          <w:rFonts w:hint="eastAsia" w:ascii="宋体" w:hAnsi="宋体" w:cs="宋体"/>
          <w:color w:val="auto"/>
          <w:highlight w:val="none"/>
        </w:rPr>
      </w:pPr>
    </w:p>
    <w:p w14:paraId="14A39974">
      <w:pPr>
        <w:spacing w:line="200" w:lineRule="exact"/>
        <w:rPr>
          <w:rFonts w:hint="eastAsia" w:ascii="宋体" w:hAnsi="宋体" w:cs="宋体"/>
          <w:color w:val="auto"/>
          <w:highlight w:val="none"/>
        </w:rPr>
      </w:pPr>
    </w:p>
    <w:p w14:paraId="27EAC2C0">
      <w:pPr>
        <w:spacing w:line="200" w:lineRule="exact"/>
        <w:rPr>
          <w:rFonts w:hint="eastAsia" w:ascii="宋体" w:hAnsi="宋体" w:cs="宋体"/>
          <w:color w:val="auto"/>
          <w:highlight w:val="none"/>
        </w:rPr>
      </w:pPr>
    </w:p>
    <w:p w14:paraId="7B4EEB81">
      <w:pPr>
        <w:spacing w:line="200" w:lineRule="exact"/>
        <w:rPr>
          <w:rFonts w:hint="eastAsia" w:ascii="宋体" w:hAnsi="宋体" w:cs="宋体"/>
          <w:color w:val="auto"/>
          <w:highlight w:val="none"/>
        </w:rPr>
      </w:pPr>
    </w:p>
    <w:p w14:paraId="2C581858">
      <w:pPr>
        <w:spacing w:line="200" w:lineRule="exact"/>
        <w:rPr>
          <w:rFonts w:hint="eastAsia" w:ascii="宋体" w:hAnsi="宋体" w:cs="宋体"/>
          <w:color w:val="auto"/>
          <w:highlight w:val="none"/>
        </w:rPr>
      </w:pPr>
    </w:p>
    <w:p w14:paraId="685F48FC">
      <w:pPr>
        <w:spacing w:line="200" w:lineRule="exact"/>
        <w:rPr>
          <w:rFonts w:hint="eastAsia" w:ascii="宋体" w:hAnsi="宋体" w:cs="宋体"/>
          <w:color w:val="auto"/>
          <w:highlight w:val="none"/>
        </w:rPr>
      </w:pPr>
    </w:p>
    <w:p w14:paraId="7F8D42DC">
      <w:pPr>
        <w:spacing w:line="200" w:lineRule="exact"/>
        <w:rPr>
          <w:rFonts w:hint="eastAsia" w:ascii="宋体" w:hAnsi="宋体" w:cs="宋体"/>
          <w:color w:val="auto"/>
          <w:highlight w:val="none"/>
        </w:rPr>
      </w:pPr>
    </w:p>
    <w:p w14:paraId="162D8BFF">
      <w:pPr>
        <w:spacing w:line="200" w:lineRule="exact"/>
        <w:rPr>
          <w:rFonts w:hint="eastAsia" w:ascii="宋体" w:hAnsi="宋体" w:cs="宋体"/>
          <w:color w:val="auto"/>
          <w:highlight w:val="none"/>
        </w:rPr>
      </w:pPr>
    </w:p>
    <w:p w14:paraId="5BB7A402">
      <w:pPr>
        <w:spacing w:line="200" w:lineRule="exact"/>
        <w:rPr>
          <w:rFonts w:hint="eastAsia" w:ascii="宋体" w:hAnsi="宋体" w:cs="宋体"/>
          <w:color w:val="auto"/>
          <w:highlight w:val="none"/>
        </w:rPr>
      </w:pPr>
    </w:p>
    <w:p w14:paraId="4A72519C">
      <w:pPr>
        <w:spacing w:line="200" w:lineRule="exact"/>
        <w:rPr>
          <w:rFonts w:hint="eastAsia" w:ascii="宋体" w:hAnsi="宋体" w:cs="宋体"/>
          <w:color w:val="auto"/>
          <w:highlight w:val="none"/>
        </w:rPr>
      </w:pPr>
    </w:p>
    <w:p w14:paraId="57709A2E">
      <w:pPr>
        <w:spacing w:line="200" w:lineRule="exact"/>
        <w:rPr>
          <w:rFonts w:hint="eastAsia" w:ascii="宋体" w:hAnsi="宋体" w:cs="宋体"/>
          <w:color w:val="auto"/>
          <w:highlight w:val="none"/>
        </w:rPr>
      </w:pPr>
    </w:p>
    <w:p w14:paraId="72D5D0AF">
      <w:pPr>
        <w:spacing w:line="200" w:lineRule="exact"/>
        <w:rPr>
          <w:rFonts w:hint="eastAsia" w:ascii="宋体" w:hAnsi="宋体" w:cs="宋体"/>
          <w:color w:val="auto"/>
          <w:highlight w:val="none"/>
        </w:rPr>
      </w:pPr>
    </w:p>
    <w:p w14:paraId="64024809">
      <w:pPr>
        <w:spacing w:line="200" w:lineRule="exact"/>
        <w:rPr>
          <w:rFonts w:hint="eastAsia" w:ascii="宋体" w:hAnsi="宋体" w:cs="宋体"/>
          <w:color w:val="auto"/>
          <w:highlight w:val="none"/>
        </w:rPr>
      </w:pPr>
    </w:p>
    <w:p w14:paraId="1537C63E">
      <w:pPr>
        <w:spacing w:line="200" w:lineRule="exact"/>
        <w:rPr>
          <w:rFonts w:hint="eastAsia" w:ascii="宋体" w:hAnsi="宋体" w:cs="宋体"/>
          <w:color w:val="auto"/>
          <w:highlight w:val="none"/>
        </w:rPr>
      </w:pPr>
    </w:p>
    <w:p w14:paraId="79BB27B7">
      <w:pPr>
        <w:spacing w:line="200" w:lineRule="exact"/>
        <w:rPr>
          <w:rFonts w:hint="eastAsia" w:ascii="宋体" w:hAnsi="宋体" w:cs="宋体"/>
          <w:color w:val="auto"/>
          <w:highlight w:val="none"/>
        </w:rPr>
      </w:pPr>
    </w:p>
    <w:p w14:paraId="343BD963">
      <w:pPr>
        <w:spacing w:line="200" w:lineRule="exact"/>
        <w:rPr>
          <w:rFonts w:hint="eastAsia" w:ascii="宋体" w:hAnsi="宋体" w:cs="宋体"/>
          <w:color w:val="auto"/>
          <w:highlight w:val="none"/>
        </w:rPr>
      </w:pPr>
    </w:p>
    <w:p w14:paraId="1DE0EADE">
      <w:pPr>
        <w:spacing w:line="200" w:lineRule="exact"/>
        <w:rPr>
          <w:rFonts w:hint="eastAsia" w:ascii="宋体" w:hAnsi="宋体" w:cs="宋体"/>
          <w:color w:val="auto"/>
          <w:highlight w:val="none"/>
        </w:rPr>
      </w:pPr>
    </w:p>
    <w:p w14:paraId="0B65D3E3">
      <w:pPr>
        <w:spacing w:line="200" w:lineRule="exact"/>
        <w:rPr>
          <w:rFonts w:hint="eastAsia" w:ascii="宋体" w:hAnsi="宋体" w:cs="宋体"/>
          <w:color w:val="auto"/>
          <w:highlight w:val="none"/>
        </w:rPr>
      </w:pPr>
    </w:p>
    <w:p w14:paraId="21C73B53">
      <w:pPr>
        <w:spacing w:line="200" w:lineRule="exact"/>
        <w:rPr>
          <w:rFonts w:hint="eastAsia" w:ascii="宋体" w:hAnsi="宋体" w:cs="宋体"/>
          <w:color w:val="auto"/>
          <w:highlight w:val="none"/>
        </w:rPr>
      </w:pPr>
    </w:p>
    <w:p w14:paraId="0D7C7676">
      <w:pPr>
        <w:spacing w:line="200" w:lineRule="exact"/>
        <w:rPr>
          <w:rFonts w:hint="eastAsia" w:ascii="宋体" w:hAnsi="宋体" w:cs="宋体"/>
          <w:color w:val="auto"/>
          <w:highlight w:val="none"/>
        </w:rPr>
      </w:pPr>
    </w:p>
    <w:p w14:paraId="547928FE">
      <w:pPr>
        <w:spacing w:line="200" w:lineRule="exact"/>
        <w:rPr>
          <w:rFonts w:hint="eastAsia" w:ascii="宋体" w:hAnsi="宋体" w:cs="宋体"/>
          <w:color w:val="auto"/>
          <w:highlight w:val="none"/>
        </w:rPr>
      </w:pPr>
    </w:p>
    <w:p w14:paraId="3D865868">
      <w:pPr>
        <w:spacing w:line="281" w:lineRule="exact"/>
        <w:rPr>
          <w:rFonts w:hint="eastAsia" w:ascii="宋体" w:hAnsi="宋体" w:cs="宋体"/>
          <w:color w:val="auto"/>
          <w:highlight w:val="none"/>
        </w:rPr>
      </w:pPr>
    </w:p>
    <w:p w14:paraId="6891DAA4">
      <w:pPr>
        <w:spacing w:line="360" w:lineRule="auto"/>
        <w:ind w:left="420" w:firstLine="42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t>招 标 人：广州市重点公共建设项目管理中心</w:t>
      </w:r>
    </w:p>
    <w:p w14:paraId="11467ADF">
      <w:pPr>
        <w:spacing w:line="360" w:lineRule="auto"/>
        <w:ind w:left="420" w:firstLine="420" w:firstLineChars="0"/>
        <w:rPr>
          <w:rFonts w:hint="eastAsia" w:ascii="宋体" w:hAnsi="宋体" w:eastAsia="宋体" w:cs="宋体"/>
          <w:color w:val="auto"/>
          <w:sz w:val="32"/>
          <w:szCs w:val="32"/>
          <w:highlight w:val="none"/>
          <w:lang w:eastAsia="zh-CN"/>
        </w:rPr>
      </w:pPr>
      <w:r>
        <w:rPr>
          <w:rFonts w:hint="eastAsia" w:ascii="宋体" w:hAnsi="宋体" w:cs="宋体"/>
          <w:b/>
          <w:color w:val="auto"/>
          <w:sz w:val="32"/>
          <w:szCs w:val="32"/>
          <w:highlight w:val="none"/>
        </w:rPr>
        <w:t>招标代理：</w:t>
      </w:r>
      <w:r>
        <w:rPr>
          <w:rFonts w:hint="eastAsia" w:ascii="宋体" w:hAnsi="宋体" w:cs="宋体"/>
          <w:b/>
          <w:color w:val="auto"/>
          <w:sz w:val="32"/>
          <w:szCs w:val="32"/>
          <w:highlight w:val="none"/>
          <w:lang w:eastAsia="zh-CN"/>
        </w:rPr>
        <w:t>北京中交建设工程咨询有限公司</w:t>
      </w:r>
    </w:p>
    <w:p w14:paraId="628F0651">
      <w:pPr>
        <w:spacing w:line="360" w:lineRule="auto"/>
        <w:ind w:left="420" w:firstLine="42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
          <w:color w:val="auto"/>
          <w:sz w:val="32"/>
          <w:szCs w:val="32"/>
          <w:highlight w:val="none"/>
          <w:lang w:eastAsia="zh-CN"/>
        </w:rPr>
        <w:t>2025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月</w:t>
      </w:r>
    </w:p>
    <w:p w14:paraId="78B56275">
      <w:pPr>
        <w:ind w:left="420" w:firstLine="420" w:firstLineChars="0"/>
        <w:rPr>
          <w:rFonts w:hint="eastAsia" w:ascii="宋体" w:hAnsi="宋体" w:cs="宋体"/>
          <w:b/>
          <w:color w:val="auto"/>
          <w:sz w:val="32"/>
          <w:szCs w:val="32"/>
          <w:highlight w:val="none"/>
        </w:rPr>
      </w:pPr>
    </w:p>
    <w:p w14:paraId="63A63392">
      <w:pPr>
        <w:spacing w:line="0" w:lineRule="atLeast"/>
        <w:ind w:left="1680" w:firstLine="420"/>
        <w:rPr>
          <w:rFonts w:eastAsia="Times New Roman"/>
          <w:color w:val="auto"/>
          <w:sz w:val="32"/>
          <w:szCs w:val="32"/>
          <w:highlight w:val="none"/>
        </w:r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14:paraId="18938379">
      <w:pPr>
        <w:spacing w:before="480" w:line="276" w:lineRule="auto"/>
        <w:jc w:val="center"/>
        <w:rPr>
          <w:rFonts w:ascii="宋体" w:hAnsi="宋体" w:cs="Calibri"/>
          <w:b/>
          <w:color w:val="auto"/>
          <w:kern w:val="0"/>
          <w:sz w:val="32"/>
          <w:szCs w:val="21"/>
          <w:highlight w:val="none"/>
          <w:lang w:val="zh-CN"/>
        </w:rPr>
      </w:pPr>
      <w:bookmarkStart w:id="0" w:name="_Toc152045511"/>
      <w:bookmarkStart w:id="1" w:name="_Toc152042287"/>
      <w:bookmarkStart w:id="2" w:name="_Toc144974479"/>
      <w:r>
        <w:rPr>
          <w:rFonts w:hint="eastAsia" w:ascii="宋体" w:hAnsi="宋体" w:cs="Calibri"/>
          <w:b/>
          <w:color w:val="auto"/>
          <w:kern w:val="0"/>
          <w:sz w:val="32"/>
          <w:szCs w:val="21"/>
          <w:highlight w:val="none"/>
          <w:lang w:val="zh-CN"/>
        </w:rPr>
        <w:t>目录</w:t>
      </w:r>
    </w:p>
    <w:p w14:paraId="09AFC2A5">
      <w:pPr>
        <w:jc w:val="center"/>
        <w:rPr>
          <w:color w:val="auto"/>
          <w:highlight w:val="none"/>
          <w:lang w:val="zh-CN"/>
        </w:rPr>
      </w:pPr>
    </w:p>
    <w:p w14:paraId="4629D4A8">
      <w:pPr>
        <w:pStyle w:val="8"/>
        <w:tabs>
          <w:tab w:val="right" w:leader="dot" w:pos="8640"/>
        </w:tabs>
        <w:spacing w:line="480" w:lineRule="auto"/>
        <w:rPr>
          <w:rFonts w:hint="eastAsia" w:ascii="宋体" w:hAnsi="宋体" w:eastAsia="宋体" w:cs="宋体"/>
          <w:b/>
          <w:bCs/>
          <w:color w:val="auto"/>
          <w:sz w:val="28"/>
          <w:szCs w:val="28"/>
          <w:highlight w:val="none"/>
        </w:rPr>
      </w:pPr>
      <w:r>
        <w:rPr>
          <w:rFonts w:ascii="Times New Roman" w:hAnsi="Times New Roman" w:cs="Calibri"/>
          <w:color w:val="auto"/>
          <w:sz w:val="28"/>
          <w:szCs w:val="28"/>
          <w:highlight w:val="none"/>
        </w:rPr>
        <w:fldChar w:fldCharType="begin"/>
      </w:r>
      <w:r>
        <w:rPr>
          <w:rFonts w:ascii="Times New Roman" w:hAnsi="Times New Roman" w:cs="Calibri"/>
          <w:color w:val="auto"/>
          <w:sz w:val="28"/>
          <w:szCs w:val="28"/>
          <w:highlight w:val="none"/>
        </w:rPr>
        <w:instrText xml:space="preserve"> TOC \o "1-1" \h \z \u </w:instrText>
      </w:r>
      <w:r>
        <w:rPr>
          <w:rFonts w:ascii="Times New Roman" w:hAnsi="Times New Roman" w:cs="Calibri"/>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_Toc19392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_Toc19392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9240E41">
      <w:pPr>
        <w:pStyle w:val="8"/>
        <w:tabs>
          <w:tab w:val="right" w:leader="dot" w:pos="8640"/>
        </w:tabs>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_Toc5452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_Toc5452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584CCF4">
      <w:pPr>
        <w:pStyle w:val="8"/>
        <w:tabs>
          <w:tab w:val="right" w:leader="dot" w:pos="8640"/>
        </w:tabs>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_Toc10162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_Toc10162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20B0762">
      <w:pPr>
        <w:pStyle w:val="8"/>
        <w:tabs>
          <w:tab w:val="right" w:leader="dot" w:pos="8640"/>
        </w:tabs>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rPr>
        <w:t>第三章 评标办法（“评定分离”定标办法）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_Toc1233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40AD59">
      <w:pPr>
        <w:pStyle w:val="8"/>
        <w:tabs>
          <w:tab w:val="right" w:leader="dot" w:pos="8640"/>
        </w:tabs>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_Toc19499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44"/>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_Toc19499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FEFC300">
      <w:pPr>
        <w:pStyle w:val="8"/>
        <w:tabs>
          <w:tab w:val="right" w:leader="dot" w:pos="8640"/>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_Toc18154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_Toc18154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69BDEBD">
      <w:pPr>
        <w:pStyle w:val="8"/>
        <w:tabs>
          <w:tab w:val="right" w:leader="dot" w:pos="8640"/>
        </w:tabs>
        <w:spacing w:line="480" w:lineRule="auto"/>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_Toc23927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kern w:val="0"/>
          <w:sz w:val="28"/>
          <w:szCs w:val="28"/>
          <w:highlight w:val="none"/>
        </w:rPr>
        <w:t>第五章 委托人要求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_Toc23927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7B20E2F">
      <w:pPr>
        <w:pStyle w:val="8"/>
        <w:tabs>
          <w:tab w:val="right" w:leader="dot" w:pos="8640"/>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_Toc23009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_Toc23009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5AAE15B">
      <w:pPr>
        <w:pStyle w:val="8"/>
        <w:tabs>
          <w:tab w:val="right" w:leader="dot" w:pos="8640"/>
        </w:tabs>
        <w:spacing w:line="480" w:lineRule="auto"/>
        <w:ind w:firstLine="560" w:firstLineChars="200"/>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_Toc26401 </w:instrText>
      </w:r>
      <w:r>
        <w:rPr>
          <w:color w:val="auto"/>
          <w:sz w:val="28"/>
          <w:szCs w:val="28"/>
          <w:highlight w:val="none"/>
        </w:rPr>
        <w:fldChar w:fldCharType="separate"/>
      </w:r>
      <w:r>
        <w:rPr>
          <w:rFonts w:hint="eastAsia" w:ascii="宋体" w:hAnsi="宋体"/>
          <w:color w:val="auto"/>
          <w:kern w:val="44"/>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_Toc26401 \h </w:instrText>
      </w:r>
      <w:r>
        <w:rPr>
          <w:color w:val="auto"/>
          <w:sz w:val="28"/>
          <w:szCs w:val="28"/>
          <w:highlight w:val="none"/>
        </w:rPr>
        <w:fldChar w:fldCharType="separate"/>
      </w:r>
      <w:r>
        <w:rPr>
          <w:color w:val="auto"/>
          <w:sz w:val="28"/>
          <w:szCs w:val="28"/>
          <w:highlight w:val="none"/>
        </w:rPr>
        <w:t>56</w:t>
      </w:r>
      <w:r>
        <w:rPr>
          <w:color w:val="auto"/>
          <w:sz w:val="28"/>
          <w:szCs w:val="28"/>
          <w:highlight w:val="none"/>
        </w:rPr>
        <w:fldChar w:fldCharType="end"/>
      </w:r>
      <w:r>
        <w:rPr>
          <w:color w:val="auto"/>
          <w:sz w:val="28"/>
          <w:szCs w:val="28"/>
          <w:highlight w:val="none"/>
        </w:rPr>
        <w:fldChar w:fldCharType="end"/>
      </w:r>
    </w:p>
    <w:p w14:paraId="7CAD8A76">
      <w:pPr>
        <w:rPr>
          <w:color w:val="auto"/>
          <w:highlight w:val="none"/>
        </w:rPr>
      </w:pPr>
      <w:r>
        <w:rPr>
          <w:color w:val="auto"/>
          <w:sz w:val="28"/>
          <w:szCs w:val="28"/>
          <w:highlight w:val="none"/>
        </w:rPr>
        <w:fldChar w:fldCharType="end"/>
      </w:r>
      <w:bookmarkEnd w:id="0"/>
      <w:bookmarkEnd w:id="1"/>
      <w:bookmarkEnd w:id="2"/>
      <w:bookmarkStart w:id="3" w:name="_Toc511557024"/>
      <w:r>
        <w:rPr>
          <w:color w:val="auto"/>
          <w:highlight w:val="none"/>
        </w:rPr>
        <w:br w:type="page"/>
      </w:r>
    </w:p>
    <w:p w14:paraId="4B11B0C6">
      <w:pPr>
        <w:rPr>
          <w:color w:val="auto"/>
          <w:highlight w:val="none"/>
        </w:rPr>
      </w:pPr>
    </w:p>
    <w:p w14:paraId="49ADE9FB">
      <w:pPr>
        <w:jc w:val="center"/>
        <w:outlineLvl w:val="0"/>
        <w:rPr>
          <w:b/>
          <w:color w:val="auto"/>
          <w:sz w:val="44"/>
          <w:szCs w:val="44"/>
          <w:highlight w:val="none"/>
        </w:rPr>
      </w:pPr>
      <w:bookmarkStart w:id="4" w:name="_Toc19392"/>
      <w:r>
        <w:rPr>
          <w:rFonts w:hint="eastAsia"/>
          <w:b/>
          <w:color w:val="auto"/>
          <w:sz w:val="44"/>
          <w:szCs w:val="44"/>
          <w:highlight w:val="none"/>
        </w:rPr>
        <w:t>第</w:t>
      </w:r>
      <w:bookmarkEnd w:id="3"/>
      <w:r>
        <w:rPr>
          <w:rFonts w:hint="eastAsia"/>
          <w:b/>
          <w:color w:val="auto"/>
          <w:sz w:val="44"/>
          <w:szCs w:val="44"/>
          <w:highlight w:val="none"/>
        </w:rPr>
        <w:t>一卷</w:t>
      </w:r>
      <w:bookmarkEnd w:id="4"/>
    </w:p>
    <w:p w14:paraId="4B717743">
      <w:pPr>
        <w:spacing w:before="120"/>
        <w:jc w:val="center"/>
        <w:rPr>
          <w:rFonts w:hint="eastAsia" w:ascii="宋体" w:hAnsi="宋体"/>
          <w:color w:val="auto"/>
          <w:highlight w:val="none"/>
        </w:rPr>
      </w:pPr>
      <w:r>
        <w:rPr>
          <w:rFonts w:hint="eastAsia" w:ascii="宋体" w:hAnsi="宋体"/>
          <w:color w:val="auto"/>
          <w:highlight w:val="none"/>
        </w:rPr>
        <w:br w:type="page"/>
      </w:r>
    </w:p>
    <w:p w14:paraId="5BB004D9">
      <w:pPr>
        <w:spacing w:before="120" w:after="330"/>
        <w:jc w:val="center"/>
        <w:outlineLvl w:val="0"/>
        <w:rPr>
          <w:rFonts w:ascii="宋体" w:hAnsi="宋体"/>
          <w:b/>
          <w:color w:val="auto"/>
          <w:kern w:val="44"/>
          <w:sz w:val="44"/>
          <w:szCs w:val="20"/>
          <w:highlight w:val="none"/>
        </w:rPr>
      </w:pPr>
      <w:bookmarkStart w:id="5" w:name="_Toc5452"/>
      <w:r>
        <w:rPr>
          <w:rFonts w:hint="eastAsia" w:ascii="宋体" w:hAnsi="宋体"/>
          <w:b/>
          <w:color w:val="auto"/>
          <w:kern w:val="44"/>
          <w:sz w:val="44"/>
          <w:szCs w:val="20"/>
          <w:highlight w:val="none"/>
        </w:rPr>
        <w:t>第一章 招标公告</w:t>
      </w:r>
      <w:bookmarkEnd w:id="5"/>
    </w:p>
    <w:p w14:paraId="4C4AC8E9">
      <w:pPr>
        <w:widowControl/>
        <w:jc w:val="center"/>
        <w:rPr>
          <w:rFonts w:hint="eastAsia" w:ascii="宋体" w:hAnsi="宋体"/>
          <w:b/>
          <w:color w:val="auto"/>
          <w:sz w:val="32"/>
          <w:szCs w:val="32"/>
          <w:highlight w:val="none"/>
        </w:rPr>
      </w:pPr>
      <w:bookmarkStart w:id="6" w:name="_Toc535938694"/>
      <w:r>
        <w:rPr>
          <w:rFonts w:hint="eastAsia" w:ascii="宋体" w:hAnsi="宋体"/>
          <w:b/>
          <w:color w:val="auto"/>
          <w:sz w:val="32"/>
          <w:szCs w:val="32"/>
          <w:highlight w:val="none"/>
        </w:rPr>
        <w:t>（另册）</w:t>
      </w:r>
    </w:p>
    <w:p w14:paraId="4A5D496C">
      <w:pPr>
        <w:widowControl/>
        <w:jc w:val="center"/>
        <w:rPr>
          <w:rFonts w:hint="eastAsia" w:ascii="宋体" w:hAnsi="宋体"/>
          <w:b/>
          <w:color w:val="auto"/>
          <w:sz w:val="32"/>
          <w:szCs w:val="32"/>
          <w:highlight w:val="none"/>
        </w:rPr>
      </w:pPr>
    </w:p>
    <w:p w14:paraId="51FBD89E">
      <w:pPr>
        <w:widowControl/>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p>
    <w:bookmarkEnd w:id="6"/>
    <w:p w14:paraId="11D67A42">
      <w:pPr>
        <w:spacing w:before="340"/>
        <w:jc w:val="center"/>
        <w:outlineLvl w:val="0"/>
        <w:rPr>
          <w:rFonts w:ascii="宋体" w:hAnsi="宋体"/>
          <w:b/>
          <w:color w:val="auto"/>
          <w:kern w:val="44"/>
          <w:sz w:val="44"/>
          <w:szCs w:val="20"/>
          <w:highlight w:val="none"/>
        </w:rPr>
      </w:pPr>
      <w:bookmarkStart w:id="7" w:name="_Toc10162"/>
      <w:r>
        <w:rPr>
          <w:rFonts w:hint="eastAsia" w:ascii="宋体" w:hAnsi="宋体"/>
          <w:b/>
          <w:color w:val="auto"/>
          <w:kern w:val="44"/>
          <w:sz w:val="44"/>
          <w:szCs w:val="20"/>
          <w:highlight w:val="none"/>
        </w:rPr>
        <w:t>第二章 投标人须知</w:t>
      </w:r>
      <w:bookmarkEnd w:id="7"/>
    </w:p>
    <w:p w14:paraId="45344307">
      <w:pPr>
        <w:spacing w:before="240"/>
        <w:jc w:val="center"/>
        <w:outlineLvl w:val="1"/>
        <w:rPr>
          <w:rFonts w:ascii="宋体" w:hAnsi="宋体"/>
          <w:b/>
          <w:bCs/>
          <w:color w:val="auto"/>
          <w:kern w:val="0"/>
          <w:sz w:val="32"/>
          <w:szCs w:val="32"/>
          <w:highlight w:val="none"/>
        </w:rPr>
      </w:pPr>
      <w:bookmarkStart w:id="8" w:name="_Toc530470621"/>
      <w:bookmarkStart w:id="9" w:name="_Toc535938711"/>
      <w:bookmarkStart w:id="10" w:name="_Toc529196512"/>
      <w:r>
        <w:rPr>
          <w:rFonts w:hint="eastAsia" w:ascii="宋体" w:hAnsi="宋体"/>
          <w:b/>
          <w:bCs/>
          <w:color w:val="auto"/>
          <w:kern w:val="0"/>
          <w:sz w:val="32"/>
          <w:szCs w:val="32"/>
          <w:highlight w:val="none"/>
        </w:rPr>
        <w:t>投标人须知前附表</w:t>
      </w:r>
    </w:p>
    <w:tbl>
      <w:tblPr>
        <w:tblStyle w:val="12"/>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394CA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14:paraId="50CEC018">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1CA6CA34">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231A2EC5">
            <w:pPr>
              <w:keepNext w:val="0"/>
              <w:keepLines w:val="0"/>
              <w:suppressLineNumbers w:val="0"/>
              <w:snapToGrid w:val="0"/>
              <w:spacing w:before="0" w:beforeAutospacing="0" w:after="0" w:afterAutospacing="0"/>
              <w:ind w:left="0" w:right="0"/>
              <w:jc w:val="center"/>
              <w:rPr>
                <w:rFonts w:hint="default" w:ascii="宋体" w:hAnsi="宋体"/>
                <w:b/>
                <w:color w:val="auto"/>
                <w:szCs w:val="21"/>
                <w:highlight w:val="none"/>
              </w:rPr>
            </w:pPr>
            <w:r>
              <w:rPr>
                <w:rFonts w:hint="eastAsia" w:ascii="宋体" w:hAnsi="宋体"/>
                <w:b/>
                <w:color w:val="auto"/>
                <w:szCs w:val="21"/>
                <w:highlight w:val="none"/>
              </w:rPr>
              <w:t>编列内容</w:t>
            </w:r>
          </w:p>
        </w:tc>
      </w:tr>
      <w:tr w14:paraId="64F407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44DFF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0B7233B7">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58F59448">
            <w:pPr>
              <w:keepNext w:val="0"/>
              <w:keepLines w:val="0"/>
              <w:suppressLineNumbers w:val="0"/>
              <w:spacing w:before="0" w:beforeAutospacing="0" w:after="0" w:afterAutospacing="0"/>
              <w:ind w:left="630" w:right="0" w:hanging="630" w:hangingChars="300"/>
              <w:rPr>
                <w:rFonts w:hint="default"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u w:val="single"/>
              </w:rPr>
              <w:t>广州市重点公共建设项目管理中心</w:t>
            </w:r>
          </w:p>
          <w:p w14:paraId="3B672C2B">
            <w:pPr>
              <w:keepNext w:val="0"/>
              <w:keepLines w:val="0"/>
              <w:suppressLineNumbers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地址：</w:t>
            </w:r>
            <w:r>
              <w:rPr>
                <w:rFonts w:hint="eastAsia" w:ascii="宋体" w:hAnsi="宋体"/>
                <w:color w:val="auto"/>
                <w:szCs w:val="21"/>
                <w:highlight w:val="none"/>
                <w:u w:val="single"/>
              </w:rPr>
              <w:t>广州市番禺区星运路1号</w:t>
            </w:r>
          </w:p>
          <w:p w14:paraId="7A991A05">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u w:val="single"/>
                <w:lang w:val="en-US" w:eastAsia="zh-CN"/>
              </w:rPr>
              <w:t>李工</w:t>
            </w:r>
          </w:p>
          <w:p w14:paraId="0B769CC5">
            <w:pPr>
              <w:keepNext w:val="0"/>
              <w:keepLines w:val="0"/>
              <w:suppressLineNumbers w:val="0"/>
              <w:snapToGrid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电话：</w:t>
            </w:r>
            <w:r>
              <w:rPr>
                <w:rFonts w:hint="default" w:ascii="宋体" w:hAnsi="宋体"/>
                <w:color w:val="auto"/>
                <w:sz w:val="21"/>
                <w:szCs w:val="21"/>
                <w:highlight w:val="none"/>
                <w:u w:val="single"/>
                <w:lang w:eastAsia="zh-CN"/>
              </w:rPr>
              <w:t>020-2290568</w:t>
            </w:r>
            <w:r>
              <w:rPr>
                <w:rFonts w:hint="eastAsia" w:ascii="宋体" w:hAnsi="宋体"/>
                <w:color w:val="auto"/>
                <w:sz w:val="21"/>
                <w:szCs w:val="21"/>
                <w:highlight w:val="none"/>
                <w:u w:val="single"/>
                <w:lang w:val="en-US" w:eastAsia="zh-CN"/>
              </w:rPr>
              <w:t>2</w:t>
            </w:r>
          </w:p>
        </w:tc>
      </w:tr>
      <w:tr w14:paraId="289D44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3E1554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4F637BD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0F5F6D4A">
            <w:pPr>
              <w:keepNext w:val="0"/>
              <w:keepLines w:val="0"/>
              <w:suppressLineNumbers w:val="0"/>
              <w:spacing w:before="0" w:beforeAutospacing="0" w:after="0" w:afterAutospacing="0"/>
              <w:ind w:left="0" w:right="0"/>
              <w:rPr>
                <w:rFonts w:hint="eastAsia" w:ascii="宋体" w:hAnsi="宋体" w:eastAsia="宋体"/>
                <w:color w:val="auto"/>
                <w:szCs w:val="21"/>
                <w:highlight w:val="none"/>
                <w:u w:val="single"/>
                <w:lang w:eastAsia="zh-CN"/>
              </w:rPr>
            </w:pPr>
            <w:r>
              <w:rPr>
                <w:rFonts w:hint="eastAsia" w:ascii="宋体" w:hAnsi="宋体"/>
                <w:color w:val="auto"/>
                <w:szCs w:val="21"/>
                <w:highlight w:val="none"/>
              </w:rPr>
              <w:t>名称：</w:t>
            </w:r>
            <w:r>
              <w:rPr>
                <w:rFonts w:hint="eastAsia" w:ascii="宋体" w:hAnsi="宋体"/>
                <w:color w:val="auto"/>
                <w:szCs w:val="21"/>
                <w:highlight w:val="none"/>
                <w:u w:val="single"/>
                <w:lang w:eastAsia="zh-CN"/>
              </w:rPr>
              <w:t>北京中交建设工程咨询有限公司</w:t>
            </w:r>
          </w:p>
          <w:p w14:paraId="5CC1F542">
            <w:pPr>
              <w:keepNext w:val="0"/>
              <w:keepLines w:val="0"/>
              <w:suppressLineNumbers w:val="0"/>
              <w:spacing w:before="0" w:beforeAutospacing="0" w:after="0" w:afterAutospacing="0"/>
              <w:ind w:left="0" w:right="0"/>
              <w:rPr>
                <w:rFonts w:hint="eastAsia" w:ascii="宋体" w:hAnsi="宋体" w:eastAsia="宋体"/>
                <w:color w:val="auto"/>
                <w:szCs w:val="21"/>
                <w:highlight w:val="none"/>
                <w:u w:val="singl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广州市天河区黄埔大道西159号富星商贸大厦西塔7楼</w:t>
            </w:r>
          </w:p>
          <w:p w14:paraId="5EB63994">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u w:val="single"/>
                <w:lang w:val="en-US" w:eastAsia="zh-CN"/>
              </w:rPr>
              <w:t>李工、胡工</w:t>
            </w:r>
          </w:p>
          <w:p w14:paraId="60ABE096">
            <w:pPr>
              <w:keepNext w:val="0"/>
              <w:keepLines w:val="0"/>
              <w:suppressLineNumbers w:val="0"/>
              <w:spacing w:before="0" w:beforeAutospacing="0" w:after="0" w:afterAutospacing="0"/>
              <w:ind w:left="0" w:right="0"/>
              <w:rPr>
                <w:rFonts w:hint="eastAsia"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u w:val="single"/>
                <w:lang w:eastAsia="zh-CN"/>
              </w:rPr>
              <w:t>020-</w:t>
            </w:r>
            <w:r>
              <w:rPr>
                <w:rFonts w:hint="eastAsia" w:ascii="宋体" w:hAnsi="宋体"/>
                <w:color w:val="auto"/>
                <w:szCs w:val="21"/>
                <w:highlight w:val="none"/>
                <w:u w:val="single"/>
                <w:lang w:val="en-US" w:eastAsia="zh-CN"/>
              </w:rPr>
              <w:t>87575800-811</w:t>
            </w:r>
          </w:p>
        </w:tc>
      </w:tr>
      <w:tr w14:paraId="58AAE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464FDE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79ABA9F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75BB7EB4">
            <w:pPr>
              <w:keepNext w:val="0"/>
              <w:keepLines w:val="0"/>
              <w:suppressLineNumbers w:val="0"/>
              <w:snapToGrid w:val="0"/>
              <w:spacing w:before="0" w:beforeAutospacing="0" w:after="0" w:afterAutospacing="0"/>
              <w:ind w:left="0" w:right="0" w:firstLine="29" w:firstLineChars="14"/>
              <w:rPr>
                <w:rFonts w:hint="eastAsia"/>
                <w:color w:val="auto"/>
                <w:highlight w:val="none"/>
              </w:rPr>
            </w:pPr>
            <w:r>
              <w:rPr>
                <w:rFonts w:hint="eastAsia" w:ascii="宋体" w:hAnsi="宋体"/>
                <w:color w:val="auto"/>
                <w:szCs w:val="21"/>
                <w:highlight w:val="none"/>
                <w:u w:val="single"/>
                <w:lang w:eastAsia="zh-CN"/>
              </w:rPr>
              <w:t>华南理工大学大学城校区研究生宿舍（二期）施工监理</w:t>
            </w:r>
          </w:p>
        </w:tc>
      </w:tr>
      <w:tr w14:paraId="6F84F9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3A360F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1963E2E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40458D79">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详见招标公告</w:t>
            </w:r>
          </w:p>
        </w:tc>
      </w:tr>
      <w:tr w14:paraId="3E71C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1706763">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7EDB01F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4483F680">
            <w:pPr>
              <w:keepNext w:val="0"/>
              <w:keepLines w:val="0"/>
              <w:suppressLineNumbers w:val="0"/>
              <w:snapToGrid w:val="0"/>
              <w:spacing w:before="0" w:beforeAutospacing="0" w:after="0" w:afterAutospacing="0"/>
              <w:ind w:left="0" w:right="106"/>
              <w:rPr>
                <w:rFonts w:hint="default" w:ascii="宋体" w:hAnsi="宋体"/>
                <w:color w:val="auto"/>
                <w:szCs w:val="21"/>
                <w:highlight w:val="none"/>
                <w:u w:val="single"/>
              </w:rPr>
            </w:pPr>
            <w:r>
              <w:rPr>
                <w:rFonts w:hint="eastAsia" w:ascii="宋体" w:hAnsi="宋体"/>
                <w:color w:val="auto"/>
                <w:szCs w:val="21"/>
                <w:highlight w:val="none"/>
                <w:u w:val="single"/>
              </w:rPr>
              <w:t>详见招标公告</w:t>
            </w:r>
          </w:p>
        </w:tc>
      </w:tr>
      <w:tr w14:paraId="13F4E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9107EB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3C147F4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785814EC">
            <w:pPr>
              <w:keepNext w:val="0"/>
              <w:keepLines w:val="0"/>
              <w:suppressLineNumbers w:val="0"/>
              <w:snapToGrid w:val="0"/>
              <w:spacing w:before="0" w:beforeAutospacing="0" w:after="0" w:afterAutospacing="0" w:line="400" w:lineRule="exact"/>
              <w:ind w:left="0" w:leftChars="0" w:right="107" w:rightChars="51"/>
              <w:rPr>
                <w:rFonts w:hint="default" w:ascii="宋体" w:hAnsi="宋体"/>
                <w:color w:val="auto"/>
                <w:szCs w:val="21"/>
                <w:highlight w:val="none"/>
                <w:u w:val="single"/>
              </w:rPr>
            </w:pPr>
            <w:r>
              <w:rPr>
                <w:rFonts w:hint="default" w:ascii="宋体" w:hAnsi="宋体"/>
                <w:color w:val="auto"/>
                <w:szCs w:val="21"/>
                <w:highlight w:val="none"/>
                <w:u w:val="single"/>
              </w:rPr>
              <w:t>本项目计划2025年</w:t>
            </w:r>
            <w:r>
              <w:rPr>
                <w:rFonts w:hint="eastAsia" w:ascii="宋体" w:hAnsi="宋体"/>
                <w:color w:val="auto"/>
                <w:szCs w:val="21"/>
                <w:highlight w:val="none"/>
                <w:u w:val="single"/>
                <w:lang w:val="en-US" w:eastAsia="zh-CN"/>
              </w:rPr>
              <w:t xml:space="preserve">  </w:t>
            </w:r>
            <w:r>
              <w:rPr>
                <w:rFonts w:hint="default" w:ascii="宋体" w:hAnsi="宋体"/>
                <w:color w:val="auto"/>
                <w:szCs w:val="21"/>
                <w:highlight w:val="none"/>
                <w:u w:val="single"/>
                <w:lang w:eastAsia="zh-CN"/>
                <w:woUserID w:val="1"/>
              </w:rPr>
              <w:t>11</w:t>
            </w:r>
            <w:r>
              <w:rPr>
                <w:rFonts w:hint="eastAsia" w:ascii="宋体" w:hAnsi="宋体"/>
                <w:color w:val="auto"/>
                <w:szCs w:val="21"/>
                <w:highlight w:val="none"/>
                <w:u w:val="single"/>
                <w:lang w:val="en-US" w:eastAsia="zh-CN"/>
              </w:rPr>
              <w:t xml:space="preserve"> </w:t>
            </w:r>
            <w:r>
              <w:rPr>
                <w:rFonts w:hint="default" w:ascii="宋体" w:hAnsi="宋体"/>
                <w:color w:val="auto"/>
                <w:szCs w:val="21"/>
                <w:highlight w:val="none"/>
                <w:u w:val="single"/>
              </w:rPr>
              <w:t>月</w:t>
            </w:r>
            <w:r>
              <w:rPr>
                <w:rFonts w:hint="eastAsia" w:ascii="宋体" w:hAnsi="宋体"/>
                <w:color w:val="auto"/>
                <w:szCs w:val="21"/>
                <w:highlight w:val="none"/>
                <w:u w:val="single"/>
                <w:lang w:val="en-US" w:eastAsia="zh-CN"/>
              </w:rPr>
              <w:t xml:space="preserve">  </w:t>
            </w:r>
            <w:r>
              <w:rPr>
                <w:rFonts w:hint="default" w:ascii="宋体" w:hAnsi="宋体"/>
                <w:color w:val="auto"/>
                <w:szCs w:val="21"/>
                <w:highlight w:val="none"/>
                <w:u w:val="single"/>
                <w:lang w:eastAsia="zh-CN"/>
                <w:woUserID w:val="1"/>
              </w:rPr>
              <w:t>1</w:t>
            </w:r>
            <w:r>
              <w:rPr>
                <w:rFonts w:hint="eastAsia" w:ascii="宋体" w:hAnsi="宋体"/>
                <w:color w:val="auto"/>
                <w:szCs w:val="21"/>
                <w:highlight w:val="none"/>
                <w:u w:val="single"/>
                <w:lang w:val="en-US" w:eastAsia="zh-CN"/>
              </w:rPr>
              <w:t xml:space="preserve"> 日</w:t>
            </w:r>
            <w:r>
              <w:rPr>
                <w:rFonts w:hint="default" w:ascii="宋体" w:hAnsi="宋体"/>
                <w:color w:val="auto"/>
                <w:szCs w:val="21"/>
                <w:highlight w:val="none"/>
                <w:u w:val="single"/>
              </w:rPr>
              <w:t>开工。具体开工时间以总监理工程师签发开工令为准。计划20</w:t>
            </w:r>
            <w:r>
              <w:rPr>
                <w:rFonts w:hint="default" w:ascii="宋体" w:hAnsi="宋体"/>
                <w:color w:val="auto"/>
                <w:szCs w:val="21"/>
                <w:highlight w:val="none"/>
                <w:u w:val="single"/>
                <w:woUserID w:val="1"/>
              </w:rPr>
              <w:t>27</w:t>
            </w:r>
            <w:r>
              <w:rPr>
                <w:rFonts w:hint="default" w:ascii="宋体" w:hAnsi="宋体"/>
                <w:color w:val="auto"/>
                <w:szCs w:val="21"/>
                <w:highlight w:val="none"/>
                <w:u w:val="single"/>
              </w:rPr>
              <w:t>年</w:t>
            </w:r>
            <w:r>
              <w:rPr>
                <w:rFonts w:hint="eastAsia" w:ascii="宋体" w:hAnsi="宋体"/>
                <w:color w:val="auto"/>
                <w:szCs w:val="21"/>
                <w:highlight w:val="none"/>
                <w:u w:val="single"/>
                <w:lang w:val="en-US" w:eastAsia="zh-CN"/>
              </w:rPr>
              <w:t xml:space="preserve"> </w:t>
            </w:r>
            <w:r>
              <w:rPr>
                <w:rFonts w:hint="default" w:ascii="宋体" w:hAnsi="宋体"/>
                <w:color w:val="auto"/>
                <w:szCs w:val="21"/>
                <w:highlight w:val="none"/>
                <w:u w:val="single"/>
                <w:lang w:eastAsia="zh-CN"/>
                <w:woUserID w:val="1"/>
              </w:rPr>
              <w:t xml:space="preserve"> 6</w:t>
            </w:r>
            <w:r>
              <w:rPr>
                <w:rFonts w:hint="default" w:ascii="宋体" w:hAnsi="宋体"/>
                <w:color w:val="auto"/>
                <w:szCs w:val="21"/>
                <w:highlight w:val="none"/>
                <w:u w:val="single"/>
              </w:rPr>
              <w:t>月</w:t>
            </w:r>
            <w:r>
              <w:rPr>
                <w:rFonts w:hint="eastAsia" w:ascii="宋体" w:hAnsi="宋体"/>
                <w:color w:val="auto"/>
                <w:szCs w:val="21"/>
                <w:highlight w:val="none"/>
                <w:u w:val="single"/>
                <w:lang w:val="en-US" w:eastAsia="zh-CN"/>
              </w:rPr>
              <w:t xml:space="preserve"> </w:t>
            </w:r>
            <w:r>
              <w:rPr>
                <w:rFonts w:hint="default" w:ascii="宋体" w:hAnsi="宋体"/>
                <w:color w:val="auto"/>
                <w:szCs w:val="21"/>
                <w:highlight w:val="none"/>
                <w:u w:val="single"/>
                <w:lang w:eastAsia="zh-CN"/>
                <w:woUserID w:val="1"/>
              </w:rPr>
              <w:t>30</w:t>
            </w:r>
            <w:r>
              <w:rPr>
                <w:rFonts w:hint="default" w:ascii="宋体" w:hAnsi="宋体"/>
                <w:color w:val="auto"/>
                <w:szCs w:val="21"/>
                <w:highlight w:val="none"/>
                <w:u w:val="single"/>
              </w:rPr>
              <w:t>日竣工。本项目施工总工期暂定</w:t>
            </w:r>
            <w:r>
              <w:rPr>
                <w:rFonts w:hint="default" w:ascii="宋体" w:hAnsi="宋体"/>
                <w:color w:val="auto"/>
                <w:szCs w:val="21"/>
                <w:highlight w:val="none"/>
                <w:u w:val="single"/>
                <w:woUserID w:val="1"/>
              </w:rPr>
              <w:t>607</w:t>
            </w:r>
            <w:r>
              <w:rPr>
                <w:rFonts w:hint="eastAsia" w:ascii="宋体" w:hAnsi="宋体"/>
                <w:color w:val="auto"/>
                <w:szCs w:val="21"/>
                <w:highlight w:val="none"/>
                <w:u w:val="single"/>
                <w:lang w:val="en-US" w:eastAsia="zh-CN"/>
              </w:rPr>
              <w:t xml:space="preserve">  个日历天</w:t>
            </w:r>
            <w:r>
              <w:rPr>
                <w:rFonts w:hint="default" w:ascii="宋体" w:hAnsi="宋体"/>
                <w:color w:val="auto"/>
                <w:szCs w:val="21"/>
                <w:highlight w:val="none"/>
                <w:u w:val="single"/>
                <w:lang w:eastAsia="zh-CN"/>
              </w:rPr>
              <w:t>。注：</w:t>
            </w:r>
            <w:r>
              <w:rPr>
                <w:rFonts w:hint="default" w:ascii="宋体" w:hAnsi="宋体"/>
                <w:color w:val="auto"/>
                <w:szCs w:val="21"/>
                <w:highlight w:val="none"/>
                <w:u w:val="single"/>
              </w:rPr>
              <w:t>开工当天不计入总工期。</w:t>
            </w:r>
          </w:p>
        </w:tc>
      </w:tr>
      <w:tr w14:paraId="324A6E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F22128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12E3734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006C3AA4">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u w:val="single"/>
              </w:rPr>
              <w:t>详见招标公告</w:t>
            </w:r>
          </w:p>
        </w:tc>
      </w:tr>
      <w:tr w14:paraId="78C0A8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52DAE8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7DAB7CF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1D405A56">
            <w:pPr>
              <w:keepNext w:val="0"/>
              <w:keepLines w:val="0"/>
              <w:suppressLineNumbers w:val="0"/>
              <w:spacing w:before="0" w:beforeAutospacing="0" w:after="0" w:afterAutospacing="0"/>
              <w:ind w:left="40" w:leftChars="19" w:right="107" w:rightChars="51"/>
              <w:rPr>
                <w:rFonts w:hint="default" w:ascii="宋体" w:hAnsi="宋体"/>
                <w:color w:val="auto"/>
                <w:szCs w:val="21"/>
                <w:highlight w:val="none"/>
              </w:rPr>
            </w:pPr>
            <w:r>
              <w:rPr>
                <w:rFonts w:hint="eastAsia" w:ascii="宋体" w:hAnsi="宋体"/>
                <w:color w:val="auto"/>
                <w:szCs w:val="21"/>
                <w:highlight w:val="none"/>
                <w:u w:val="single"/>
              </w:rPr>
              <w:t>详见招标公告</w:t>
            </w:r>
          </w:p>
        </w:tc>
      </w:tr>
      <w:tr w14:paraId="0EBCF6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154479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639974F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5914C9A7">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u w:val="single"/>
              </w:rPr>
              <w:t>已落实</w:t>
            </w:r>
          </w:p>
        </w:tc>
      </w:tr>
      <w:tr w14:paraId="366E5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D34116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3833036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1109A71C">
            <w:pPr>
              <w:keepNext w:val="0"/>
              <w:keepLines w:val="0"/>
              <w:suppressLineNumbers w:val="0"/>
              <w:snapToGrid w:val="0"/>
              <w:spacing w:before="0" w:beforeAutospacing="0" w:after="0" w:afterAutospacing="0"/>
              <w:ind w:left="0" w:right="106"/>
              <w:rPr>
                <w:rFonts w:hint="default" w:ascii="宋体" w:hAnsi="宋体"/>
                <w:color w:val="auto"/>
                <w:szCs w:val="21"/>
                <w:highlight w:val="none"/>
              </w:rPr>
            </w:pPr>
            <w:r>
              <w:rPr>
                <w:rFonts w:hint="eastAsia" w:ascii="宋体" w:hAnsi="宋体"/>
                <w:color w:val="auto"/>
                <w:szCs w:val="21"/>
                <w:highlight w:val="none"/>
                <w:u w:val="single"/>
              </w:rPr>
              <w:t>详见招标公告</w:t>
            </w:r>
          </w:p>
        </w:tc>
      </w:tr>
      <w:tr w14:paraId="0AD6F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2D4E6C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1DC2935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1BA22A55">
            <w:pPr>
              <w:keepNext w:val="0"/>
              <w:keepLines w:val="0"/>
              <w:suppressLineNumbers w:val="0"/>
              <w:spacing w:before="0" w:beforeAutospacing="0" w:after="0" w:afterAutospacing="0"/>
              <w:ind w:left="40" w:leftChars="19" w:right="107" w:rightChars="51"/>
              <w:rPr>
                <w:rFonts w:hint="default" w:ascii="宋体" w:hAnsi="宋体"/>
                <w:color w:val="auto"/>
                <w:szCs w:val="21"/>
                <w:highlight w:val="none"/>
              </w:rPr>
            </w:pPr>
            <w:r>
              <w:rPr>
                <w:rFonts w:hint="eastAsia" w:ascii="宋体" w:hAnsi="宋体"/>
                <w:color w:val="auto"/>
                <w:szCs w:val="21"/>
                <w:highlight w:val="none"/>
                <w:u w:val="single"/>
              </w:rPr>
              <w:t>详见招标公告</w:t>
            </w:r>
          </w:p>
        </w:tc>
      </w:tr>
      <w:tr w14:paraId="4D6F66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9C55C5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61D04DF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6C77924E">
            <w:pPr>
              <w:keepNext w:val="0"/>
              <w:keepLines w:val="0"/>
              <w:suppressLineNumbers w:val="0"/>
              <w:topLinePunct/>
              <w:adjustRightInd w:val="0"/>
              <w:snapToGrid w:val="0"/>
              <w:spacing w:before="0" w:beforeAutospacing="0" w:after="0" w:afterAutospacing="0" w:line="400" w:lineRule="exact"/>
              <w:ind w:left="0" w:right="0" w:firstLine="0"/>
              <w:rPr>
                <w:rFonts w:hint="default" w:ascii="宋体" w:hAnsi="宋体"/>
                <w:color w:val="auto"/>
                <w:szCs w:val="21"/>
                <w:highlight w:val="none"/>
                <w:u w:val="single"/>
              </w:rPr>
            </w:pPr>
            <w:r>
              <w:rPr>
                <w:rFonts w:hint="default" w:ascii="宋体" w:hAnsi="宋体"/>
                <w:color w:val="auto"/>
                <w:szCs w:val="21"/>
                <w:highlight w:val="none"/>
                <w:u w:val="single"/>
              </w:rPr>
              <w:t>一次性通过竣工联合验收，且分部工程验收合格率100%，项目所涉及的政府专项验收全部通过，单位工程一次竣工验收合格。确保广州市建设工程优质奖。</w:t>
            </w:r>
          </w:p>
        </w:tc>
      </w:tr>
      <w:tr w14:paraId="4B23A6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F029D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5A75B4A3">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303026AF">
            <w:pPr>
              <w:keepNext w:val="0"/>
              <w:keepLines w:val="0"/>
              <w:suppressLineNumbers w:val="0"/>
              <w:snapToGrid w:val="0"/>
              <w:spacing w:before="12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（1）资质要求：</w:t>
            </w:r>
            <w:r>
              <w:rPr>
                <w:rFonts w:hint="eastAsia" w:ascii="宋体" w:hAnsi="宋体"/>
                <w:color w:val="auto"/>
                <w:szCs w:val="21"/>
                <w:highlight w:val="none"/>
                <w:u w:val="single"/>
              </w:rPr>
              <w:t>见招标公告投标人资格要求；</w:t>
            </w:r>
          </w:p>
          <w:p w14:paraId="7739F18F">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（2）财务要求：</w:t>
            </w:r>
            <w:r>
              <w:rPr>
                <w:rFonts w:hint="eastAsia" w:ascii="宋体" w:hAnsi="宋体"/>
                <w:color w:val="auto"/>
                <w:szCs w:val="21"/>
                <w:highlight w:val="none"/>
                <w:u w:val="single"/>
              </w:rPr>
              <w:t>/</w:t>
            </w:r>
          </w:p>
          <w:p w14:paraId="744B8BC7">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（3）业绩要求：</w:t>
            </w:r>
            <w:r>
              <w:rPr>
                <w:rFonts w:hint="eastAsia" w:ascii="宋体" w:hAnsi="宋体"/>
                <w:color w:val="auto"/>
                <w:szCs w:val="21"/>
                <w:highlight w:val="none"/>
                <w:u w:val="single"/>
              </w:rPr>
              <w:t>见招标公告投标人资格要求；</w:t>
            </w:r>
          </w:p>
          <w:p w14:paraId="386FFDB8">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（4）信誉要求：</w:t>
            </w:r>
            <w:r>
              <w:rPr>
                <w:rFonts w:hint="eastAsia" w:ascii="宋体" w:hAnsi="宋体"/>
                <w:color w:val="auto"/>
                <w:szCs w:val="21"/>
                <w:highlight w:val="none"/>
                <w:u w:val="single"/>
              </w:rPr>
              <w:t>/</w:t>
            </w:r>
          </w:p>
          <w:p w14:paraId="72A6A4F6">
            <w:pPr>
              <w:keepNext w:val="0"/>
              <w:keepLines w:val="0"/>
              <w:suppressLineNumbers w:val="0"/>
              <w:snapToGrid w:val="0"/>
              <w:spacing w:before="0" w:beforeAutospacing="0" w:after="0" w:afterAutospacing="0"/>
              <w:ind w:left="0" w:right="106"/>
              <w:jc w:val="left"/>
              <w:rPr>
                <w:rFonts w:hint="default" w:ascii="宋体" w:hAnsi="宋体"/>
                <w:color w:val="auto"/>
                <w:szCs w:val="21"/>
                <w:highlight w:val="none"/>
              </w:rPr>
            </w:pPr>
            <w:r>
              <w:rPr>
                <w:rFonts w:hint="eastAsia" w:ascii="宋体" w:hAnsi="宋体"/>
                <w:color w:val="auto"/>
                <w:szCs w:val="21"/>
                <w:highlight w:val="none"/>
              </w:rPr>
              <w:t>（5）总监理工程师的资格要求：</w:t>
            </w:r>
            <w:r>
              <w:rPr>
                <w:rFonts w:hint="eastAsia" w:ascii="宋体" w:hAnsi="宋体"/>
                <w:color w:val="auto"/>
                <w:szCs w:val="21"/>
                <w:highlight w:val="none"/>
                <w:u w:val="single"/>
              </w:rPr>
              <w:t>见招标公告投标人资格要求；</w:t>
            </w:r>
          </w:p>
          <w:p w14:paraId="11C4BEC1">
            <w:pPr>
              <w:keepNext w:val="0"/>
              <w:keepLines w:val="0"/>
              <w:suppressLineNumbers w:val="0"/>
              <w:snapToGrid w:val="0"/>
              <w:spacing w:before="0" w:beforeAutospacing="0" w:after="0" w:afterAutospacing="0"/>
              <w:ind w:left="0" w:right="106"/>
              <w:rPr>
                <w:rFonts w:hint="default" w:ascii="宋体" w:hAnsi="宋体"/>
                <w:color w:val="auto"/>
                <w:szCs w:val="21"/>
                <w:highlight w:val="none"/>
              </w:rPr>
            </w:pPr>
            <w:r>
              <w:rPr>
                <w:rFonts w:hint="eastAsia" w:ascii="宋体" w:hAnsi="宋体"/>
                <w:color w:val="auto"/>
                <w:szCs w:val="21"/>
                <w:highlight w:val="none"/>
              </w:rPr>
              <w:t>（6）其他主要人员要求：</w:t>
            </w:r>
            <w:r>
              <w:rPr>
                <w:rFonts w:hint="eastAsia" w:ascii="宋体" w:hAnsi="宋体"/>
                <w:color w:val="auto"/>
                <w:szCs w:val="21"/>
                <w:highlight w:val="none"/>
                <w:u w:val="single"/>
              </w:rPr>
              <w:t>/</w:t>
            </w:r>
          </w:p>
          <w:p w14:paraId="1F0C2DB4">
            <w:pPr>
              <w:keepNext w:val="0"/>
              <w:keepLines w:val="0"/>
              <w:suppressLineNumbers w:val="0"/>
              <w:tabs>
                <w:tab w:val="right" w:pos="6060"/>
              </w:tabs>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（7）试验检测仪器设备要求：</w:t>
            </w:r>
            <w:r>
              <w:rPr>
                <w:rFonts w:hint="eastAsia" w:ascii="宋体" w:hAnsi="宋体"/>
                <w:color w:val="auto"/>
                <w:szCs w:val="21"/>
                <w:highlight w:val="none"/>
                <w:u w:val="single"/>
              </w:rPr>
              <w:t>/</w:t>
            </w:r>
          </w:p>
          <w:p w14:paraId="3DF2244F">
            <w:pPr>
              <w:keepNext w:val="0"/>
              <w:keepLines w:val="0"/>
              <w:suppressLineNumbers w:val="0"/>
              <w:snapToGrid w:val="0"/>
              <w:spacing w:before="0" w:beforeAutospacing="0" w:after="0" w:afterAutospacing="0"/>
              <w:ind w:left="0" w:right="106"/>
              <w:rPr>
                <w:rFonts w:hint="default" w:ascii="宋体" w:hAnsi="宋体"/>
                <w:color w:val="auto"/>
                <w:szCs w:val="21"/>
                <w:highlight w:val="none"/>
              </w:rPr>
            </w:pPr>
            <w:r>
              <w:rPr>
                <w:rFonts w:hint="eastAsia" w:ascii="宋体" w:hAnsi="宋体"/>
                <w:color w:val="auto"/>
                <w:szCs w:val="21"/>
                <w:highlight w:val="none"/>
              </w:rPr>
              <w:t>（8）其他要求：</w:t>
            </w:r>
            <w:r>
              <w:rPr>
                <w:rFonts w:hint="eastAsia" w:ascii="宋体" w:hAnsi="宋体"/>
                <w:color w:val="auto"/>
                <w:szCs w:val="21"/>
                <w:highlight w:val="none"/>
                <w:u w:val="single"/>
              </w:rPr>
              <w:t>见招标公告投标人资格要求。</w:t>
            </w:r>
          </w:p>
        </w:tc>
      </w:tr>
      <w:tr w14:paraId="5210B7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CDF686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73E3F46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061CA6CA">
            <w:pPr>
              <w:keepNext w:val="0"/>
              <w:keepLines w:val="0"/>
              <w:suppressLineNumbers w:val="0"/>
              <w:snapToGrid w:val="0"/>
              <w:spacing w:before="0" w:beforeAutospacing="0" w:after="0" w:afterAutospacing="0"/>
              <w:ind w:left="108" w:right="-238"/>
              <w:rPr>
                <w:rFonts w:hint="default"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position w:val="3"/>
                <w:szCs w:val="21"/>
                <w:highlight w:val="none"/>
              </w:rPr>
              <w:t>不接受</w:t>
            </w:r>
          </w:p>
          <w:p w14:paraId="6FEA8E60">
            <w:pPr>
              <w:keepNext w:val="0"/>
              <w:keepLines w:val="0"/>
              <w:suppressLineNumbers w:val="0"/>
              <w:snapToGrid w:val="0"/>
              <w:spacing w:before="0" w:beforeAutospacing="0" w:after="0" w:afterAutospacing="0"/>
              <w:ind w:left="0" w:right="0" w:firstLine="105" w:firstLineChars="50"/>
              <w:rPr>
                <w:rFonts w:hint="default" w:ascii="宋体" w:hAnsi="宋体"/>
                <w:color w:val="auto"/>
                <w:szCs w:val="21"/>
                <w:highlight w:val="none"/>
              </w:rPr>
            </w:pPr>
            <w:r>
              <w:rPr>
                <w:rFonts w:hint="eastAsia" w:ascii="宋体" w:hAnsi="宋体"/>
                <w:color w:val="auto"/>
                <w:szCs w:val="21"/>
                <w:highlight w:val="none"/>
              </w:rPr>
              <w:t>□接受，应满足下列要求：</w:t>
            </w:r>
            <w:r>
              <w:rPr>
                <w:rFonts w:hint="default" w:hAnsi="宋体"/>
                <w:color w:val="auto"/>
                <w:szCs w:val="21"/>
                <w:highlight w:val="none"/>
                <w:u w:val="single"/>
              </w:rPr>
              <w:t>/</w:t>
            </w:r>
          </w:p>
        </w:tc>
      </w:tr>
      <w:tr w14:paraId="238D3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3591E8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1.4.3</w:t>
            </w:r>
          </w:p>
        </w:tc>
        <w:tc>
          <w:tcPr>
            <w:tcW w:w="2161" w:type="dxa"/>
            <w:tcBorders>
              <w:top w:val="single" w:color="auto" w:sz="6" w:space="0"/>
              <w:left w:val="single" w:color="auto" w:sz="6" w:space="0"/>
              <w:bottom w:val="single" w:color="auto" w:sz="6" w:space="0"/>
              <w:right w:val="single" w:color="auto" w:sz="6" w:space="0"/>
            </w:tcBorders>
            <w:noWrap/>
            <w:vAlign w:val="center"/>
          </w:tcPr>
          <w:p w14:paraId="0992EAAB">
            <w:pPr>
              <w:keepNext w:val="0"/>
              <w:keepLines w:val="0"/>
              <w:suppressLineNumbers w:val="0"/>
              <w:snapToGrid w:val="0"/>
              <w:spacing w:before="0" w:beforeAutospacing="0" w:after="0" w:afterAutospacing="0"/>
              <w:ind w:left="0" w:leftChars="0" w:right="0" w:rightChars="0"/>
              <w:jc w:val="center"/>
              <w:rPr>
                <w:rFonts w:hint="eastAsia" w:ascii="宋体" w:hAnsi="宋体"/>
                <w:color w:val="auto"/>
                <w:szCs w:val="21"/>
                <w:highlight w:val="none"/>
              </w:rPr>
            </w:pPr>
            <w:r>
              <w:rPr>
                <w:rFonts w:hint="default" w:ascii="宋体" w:hAnsi="宋体"/>
                <w:color w:val="auto"/>
                <w:szCs w:val="21"/>
                <w:highlight w:val="none"/>
              </w:rPr>
              <w:t>投标人不得存在的</w:t>
            </w:r>
            <w:r>
              <w:rPr>
                <w:rFonts w:hint="eastAsia" w:ascii="宋体" w:hAnsi="宋体"/>
                <w:color w:val="auto"/>
                <w:szCs w:val="21"/>
                <w:highlight w:val="none"/>
              </w:rPr>
              <w:t>其他</w:t>
            </w:r>
            <w:r>
              <w:rPr>
                <w:rFonts w:hint="default" w:ascii="宋体" w:hAnsi="宋体"/>
                <w:color w:val="auto"/>
                <w:szCs w:val="21"/>
                <w:highlight w:val="none"/>
              </w:rPr>
              <w:t>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713EEA51">
            <w:pPr>
              <w:keepNext w:val="0"/>
              <w:keepLines w:val="0"/>
              <w:suppressLineNumbers w:val="0"/>
              <w:topLinePunct/>
              <w:snapToGrid w:val="0"/>
              <w:spacing w:before="0" w:beforeAutospacing="0" w:after="0" w:afterAutospacing="0"/>
              <w:ind w:left="0" w:leftChars="0" w:right="0" w:rightChars="0"/>
              <w:jc w:val="left"/>
              <w:rPr>
                <w:rFonts w:hint="default" w:ascii="宋体" w:hAnsi="宋体" w:eastAsia="微软雅黑"/>
                <w:color w:val="auto"/>
                <w:kern w:val="0"/>
                <w:sz w:val="20"/>
                <w:szCs w:val="21"/>
                <w:highlight w:val="none"/>
              </w:rPr>
            </w:pPr>
            <w:r>
              <w:rPr>
                <w:rFonts w:hint="eastAsia" w:ascii="宋体" w:hAnsi="宋体"/>
                <w:color w:val="auto"/>
                <w:szCs w:val="21"/>
                <w:highlight w:val="none"/>
                <w:u w:val="single"/>
              </w:rPr>
              <w:t xml:space="preserve">/ </w:t>
            </w:r>
          </w:p>
        </w:tc>
      </w:tr>
      <w:tr w14:paraId="2FEC94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74122F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27CF5D7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773BEBFB">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不组织。由投标人自行踏勘</w:t>
            </w:r>
          </w:p>
          <w:p w14:paraId="645728FA">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□组织，踏勘时间：</w:t>
            </w:r>
            <w:r>
              <w:rPr>
                <w:rFonts w:hint="eastAsia" w:ascii="宋体" w:hAnsi="宋体"/>
                <w:color w:val="auto"/>
                <w:kern w:val="0"/>
                <w:szCs w:val="21"/>
                <w:highlight w:val="none"/>
                <w:u w:val="single"/>
              </w:rPr>
              <w:t>/</w:t>
            </w:r>
          </w:p>
          <w:p w14:paraId="0209CB0C">
            <w:pPr>
              <w:keepNext w:val="0"/>
              <w:keepLines w:val="0"/>
              <w:suppressLineNumbers w:val="0"/>
              <w:topLinePunct/>
              <w:snapToGrid w:val="0"/>
              <w:spacing w:before="0" w:beforeAutospacing="0" w:after="0" w:afterAutospacing="0"/>
              <w:ind w:left="0" w:right="0" w:firstLine="884" w:firstLineChars="421"/>
              <w:rPr>
                <w:rFonts w:hint="default" w:ascii="宋体" w:hAnsi="宋体"/>
                <w:color w:val="auto"/>
                <w:szCs w:val="21"/>
                <w:highlight w:val="none"/>
              </w:rPr>
            </w:pPr>
            <w:r>
              <w:rPr>
                <w:rFonts w:hint="eastAsia" w:ascii="宋体" w:hAnsi="宋体"/>
                <w:color w:val="auto"/>
                <w:szCs w:val="21"/>
                <w:highlight w:val="none"/>
              </w:rPr>
              <w:t>踏勘集中地点：</w:t>
            </w:r>
            <w:r>
              <w:rPr>
                <w:rFonts w:hint="eastAsia" w:ascii="宋体" w:hAnsi="宋体"/>
                <w:color w:val="auto"/>
                <w:kern w:val="0"/>
                <w:szCs w:val="21"/>
                <w:highlight w:val="none"/>
                <w:u w:val="single"/>
              </w:rPr>
              <w:t>/</w:t>
            </w:r>
          </w:p>
        </w:tc>
      </w:tr>
      <w:tr w14:paraId="04DDDD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EBFE4D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6839580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45561F3E">
            <w:pPr>
              <w:keepNext w:val="0"/>
              <w:keepLines w:val="0"/>
              <w:suppressLineNumbers w:val="0"/>
              <w:topLinePunct/>
              <w:spacing w:before="0" w:beforeAutospacing="0" w:after="0" w:afterAutospacing="0"/>
              <w:ind w:left="40" w:leftChars="19" w:right="107" w:rightChars="51"/>
              <w:rPr>
                <w:rFonts w:hint="default" w:ascii="宋体" w:hAnsi="宋体"/>
                <w:color w:val="auto"/>
                <w:kern w:val="0"/>
                <w:szCs w:val="21"/>
                <w:highlight w:val="none"/>
              </w:rPr>
            </w:pPr>
            <w:r>
              <w:rPr>
                <w:rFonts w:hint="eastAsia" w:ascii="宋体" w:hAnsi="宋体"/>
                <w:color w:val="auto"/>
                <w:kern w:val="0"/>
                <w:szCs w:val="21"/>
                <w:highlight w:val="none"/>
              </w:rPr>
              <w:t>■不召开</w:t>
            </w:r>
          </w:p>
          <w:p w14:paraId="3CDE3CE9">
            <w:pPr>
              <w:keepNext w:val="0"/>
              <w:keepLines w:val="0"/>
              <w:suppressLineNumbers w:val="0"/>
              <w:spacing w:before="0" w:beforeAutospacing="0" w:after="0" w:afterAutospacing="0"/>
              <w:ind w:left="40" w:leftChars="19" w:right="107" w:rightChars="51"/>
              <w:rPr>
                <w:rFonts w:hint="default" w:ascii="宋体" w:hAnsi="宋体"/>
                <w:color w:val="auto"/>
                <w:szCs w:val="21"/>
                <w:highlight w:val="none"/>
              </w:rPr>
            </w:pPr>
            <w:r>
              <w:rPr>
                <w:rFonts w:hint="eastAsia" w:ascii="宋体" w:hAnsi="宋体"/>
                <w:color w:val="auto"/>
                <w:szCs w:val="21"/>
                <w:highlight w:val="none"/>
              </w:rPr>
              <w:t>□召开，召开时间：</w:t>
            </w:r>
            <w:r>
              <w:rPr>
                <w:rFonts w:hint="eastAsia" w:ascii="宋体" w:hAnsi="宋体"/>
                <w:color w:val="auto"/>
                <w:szCs w:val="21"/>
                <w:highlight w:val="none"/>
                <w:u w:val="single"/>
              </w:rPr>
              <w:t>/</w:t>
            </w:r>
          </w:p>
          <w:p w14:paraId="5F2EC354">
            <w:pPr>
              <w:keepNext w:val="0"/>
              <w:keepLines w:val="0"/>
              <w:suppressLineNumbers w:val="0"/>
              <w:snapToGrid w:val="0"/>
              <w:spacing w:before="0" w:beforeAutospacing="0" w:after="0" w:afterAutospacing="0"/>
              <w:ind w:left="0" w:right="0" w:firstLine="884" w:firstLineChars="421"/>
              <w:rPr>
                <w:rFonts w:hint="default" w:ascii="宋体" w:hAnsi="宋体"/>
                <w:color w:val="auto"/>
                <w:szCs w:val="21"/>
                <w:highlight w:val="none"/>
              </w:rPr>
            </w:pPr>
            <w:r>
              <w:rPr>
                <w:rFonts w:hint="eastAsia" w:ascii="宋体" w:hAnsi="宋体"/>
                <w:color w:val="auto"/>
                <w:szCs w:val="21"/>
                <w:highlight w:val="none"/>
              </w:rPr>
              <w:t>召开地点：</w:t>
            </w:r>
            <w:r>
              <w:rPr>
                <w:rFonts w:hint="eastAsia" w:ascii="宋体" w:hAnsi="宋体"/>
                <w:color w:val="auto"/>
                <w:szCs w:val="21"/>
                <w:highlight w:val="none"/>
                <w:u w:val="single"/>
              </w:rPr>
              <w:t>/</w:t>
            </w:r>
          </w:p>
        </w:tc>
      </w:tr>
      <w:tr w14:paraId="3DAF3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72DD57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C9FABF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0EA77EC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w:t>
            </w:r>
          </w:p>
        </w:tc>
      </w:tr>
      <w:tr w14:paraId="00599F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756C283">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260DE3DE">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2F97B2C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形式：</w:t>
            </w:r>
            <w:r>
              <w:rPr>
                <w:rFonts w:hint="eastAsia" w:ascii="宋体" w:hAnsi="宋体"/>
                <w:color w:val="auto"/>
                <w:szCs w:val="21"/>
                <w:highlight w:val="none"/>
                <w:u w:val="single"/>
              </w:rPr>
              <w:t>/</w:t>
            </w:r>
          </w:p>
        </w:tc>
      </w:tr>
      <w:tr w14:paraId="1C0222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437BDB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175067A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EC941AA">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p>
        </w:tc>
      </w:tr>
      <w:tr w14:paraId="220806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B47B98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822259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5D1CCD7C">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kern w:val="0"/>
                <w:szCs w:val="21"/>
                <w:highlight w:val="none"/>
                <w:u w:val="single"/>
              </w:rPr>
              <w:t>/</w:t>
            </w:r>
          </w:p>
        </w:tc>
      </w:tr>
      <w:tr w14:paraId="3F1FD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64FFF5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6DF1062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53B595EA">
            <w:pPr>
              <w:keepNext w:val="0"/>
              <w:keepLines w:val="0"/>
              <w:suppressLineNumbers w:val="0"/>
              <w:spacing w:before="0" w:beforeAutospacing="0" w:after="0" w:afterAutospacing="0"/>
              <w:ind w:left="40" w:leftChars="19" w:right="107" w:rightChars="51"/>
              <w:rPr>
                <w:rFonts w:hint="default" w:ascii="宋体" w:hAnsi="宋体"/>
                <w:color w:val="auto"/>
                <w:szCs w:val="21"/>
                <w:highlight w:val="none"/>
              </w:rPr>
            </w:pPr>
            <w:r>
              <w:rPr>
                <w:rFonts w:hint="eastAsia" w:ascii="宋体" w:hAnsi="宋体"/>
                <w:color w:val="auto"/>
                <w:szCs w:val="21"/>
                <w:highlight w:val="none"/>
              </w:rPr>
              <w:t>■不允许</w:t>
            </w:r>
          </w:p>
          <w:p w14:paraId="4734406D">
            <w:pPr>
              <w:keepNext w:val="0"/>
              <w:keepLines w:val="0"/>
              <w:suppressLineNumbers w:val="0"/>
              <w:topLinePunct/>
              <w:spacing w:before="0" w:beforeAutospacing="0" w:after="0" w:afterAutospacing="0"/>
              <w:ind w:left="40" w:leftChars="19" w:right="107" w:rightChars="51"/>
              <w:rPr>
                <w:rFonts w:hint="default" w:ascii="宋体" w:hAnsi="宋体"/>
                <w:color w:val="auto"/>
                <w:kern w:val="0"/>
                <w:szCs w:val="21"/>
                <w:highlight w:val="none"/>
              </w:rPr>
            </w:pPr>
            <w:r>
              <w:rPr>
                <w:rFonts w:hint="eastAsia" w:ascii="宋体" w:hAnsi="宋体"/>
                <w:color w:val="auto"/>
                <w:kern w:val="0"/>
                <w:szCs w:val="21"/>
                <w:highlight w:val="none"/>
              </w:rPr>
              <w:t>□允许，偏差范围：</w:t>
            </w:r>
            <w:r>
              <w:rPr>
                <w:rFonts w:hint="eastAsia" w:ascii="宋体" w:hAnsi="宋体"/>
                <w:color w:val="auto"/>
                <w:kern w:val="0"/>
                <w:szCs w:val="21"/>
                <w:highlight w:val="none"/>
                <w:u w:val="single"/>
              </w:rPr>
              <w:t>/</w:t>
            </w:r>
          </w:p>
          <w:p w14:paraId="5568BDF4">
            <w:pPr>
              <w:keepNext w:val="0"/>
              <w:keepLines w:val="0"/>
              <w:suppressLineNumbers w:val="0"/>
              <w:topLinePunct/>
              <w:snapToGrid w:val="0"/>
              <w:spacing w:before="0" w:beforeAutospacing="0" w:after="0" w:afterAutospacing="0"/>
              <w:ind w:left="0" w:right="0" w:firstLine="884" w:firstLineChars="421"/>
              <w:jc w:val="left"/>
              <w:rPr>
                <w:rFonts w:hint="default" w:hAnsi="宋体"/>
                <w:color w:val="auto"/>
                <w:szCs w:val="21"/>
                <w:highlight w:val="none"/>
              </w:rPr>
            </w:pPr>
            <w:r>
              <w:rPr>
                <w:rFonts w:hint="eastAsia" w:ascii="宋体" w:hAnsi="宋体"/>
                <w:color w:val="auto"/>
                <w:szCs w:val="21"/>
                <w:highlight w:val="none"/>
              </w:rPr>
              <w:t>偏差幅度：</w:t>
            </w:r>
            <w:r>
              <w:rPr>
                <w:rFonts w:hint="eastAsia" w:ascii="宋体" w:hAnsi="宋体"/>
                <w:color w:val="auto"/>
                <w:szCs w:val="21"/>
                <w:highlight w:val="none"/>
                <w:u w:val="single"/>
              </w:rPr>
              <w:t>/</w:t>
            </w:r>
          </w:p>
        </w:tc>
      </w:tr>
      <w:tr w14:paraId="0ED420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C61BB9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464915E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385C9A06">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p>
        </w:tc>
      </w:tr>
      <w:tr w14:paraId="384ED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9F89EB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74BBD33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11728D7E">
            <w:pPr>
              <w:keepNext w:val="0"/>
              <w:keepLines w:val="0"/>
              <w:suppressLineNumbers w:val="0"/>
              <w:snapToGrid w:val="0"/>
              <w:spacing w:before="0" w:beforeAutospacing="0" w:after="0" w:afterAutospacing="0"/>
              <w:ind w:left="0" w:right="0" w:firstLine="210" w:firstLineChars="100"/>
              <w:rPr>
                <w:rFonts w:hint="default"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u w:val="single"/>
              </w:rPr>
              <w:t>在提交投标文件截止时间18天前提出。</w:t>
            </w:r>
          </w:p>
        </w:tc>
      </w:tr>
      <w:tr w14:paraId="5A6EA7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8"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27926475">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2D1E4D5">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3E0F42B5">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auto"/>
                <w:kern w:val="0"/>
                <w:szCs w:val="21"/>
                <w:highlight w:val="none"/>
                <w:u w:val="single"/>
              </w:rPr>
            </w:pPr>
            <w:r>
              <w:rPr>
                <w:rFonts w:hint="eastAsia" w:ascii="宋体" w:hAnsi="宋体" w:cs="宋体"/>
                <w:color w:val="auto"/>
                <w:kern w:val="0"/>
                <w:szCs w:val="21"/>
                <w:highlight w:val="none"/>
              </w:rPr>
              <w:t>形式：</w:t>
            </w:r>
            <w:r>
              <w:rPr>
                <w:rFonts w:hint="eastAsia" w:ascii="宋体" w:hAnsi="宋体" w:cs="宋体"/>
                <w:color w:val="auto"/>
                <w:kern w:val="0"/>
                <w:szCs w:val="21"/>
                <w:highlight w:val="none"/>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w:t>
            </w:r>
            <w:r>
              <w:rPr>
                <w:rFonts w:hint="eastAsia" w:ascii="宋体" w:hAnsi="宋体" w:cs="宋体"/>
                <w:color w:val="auto"/>
                <w:kern w:val="0"/>
                <w:szCs w:val="21"/>
                <w:highlight w:val="none"/>
                <w:u w:val="single"/>
                <w:lang w:eastAsia="zh-CN"/>
              </w:rPr>
              <w:t>《建设工程全流程电子化项目操作指南》</w:t>
            </w:r>
            <w:r>
              <w:rPr>
                <w:rFonts w:hint="eastAsia" w:ascii="宋体" w:hAnsi="宋体" w:cs="宋体"/>
                <w:color w:val="auto"/>
                <w:kern w:val="0"/>
                <w:szCs w:val="21"/>
                <w:highlight w:val="none"/>
                <w:u w:val="single"/>
              </w:rPr>
              <w:t>。</w:t>
            </w:r>
          </w:p>
          <w:p w14:paraId="13ACEDD0">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auto"/>
                <w:kern w:val="0"/>
                <w:szCs w:val="21"/>
                <w:highlight w:val="none"/>
                <w:u w:val="single"/>
              </w:rPr>
            </w:pPr>
            <w:r>
              <w:rPr>
                <w:rFonts w:hint="eastAsia" w:ascii="宋体" w:hAnsi="宋体" w:cs="宋体"/>
                <w:color w:val="auto"/>
                <w:kern w:val="0"/>
                <w:szCs w:val="21"/>
                <w:highlight w:val="none"/>
                <w:u w:val="single"/>
              </w:rPr>
              <w:t>2.投标人应在投标截止时间18日前停止提疑。招标人应在投标截止时间15日前解答投标人对招标文件提出的疑问，形成答疑纪要，并在广州交易集团有限公司（广州公共资源交易中心）网站发布。</w:t>
            </w:r>
          </w:p>
          <w:p w14:paraId="6EA7B4A8">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auto"/>
                <w:kern w:val="0"/>
                <w:szCs w:val="21"/>
                <w:highlight w:val="none"/>
                <w:u w:val="single"/>
              </w:rPr>
            </w:pPr>
            <w:r>
              <w:rPr>
                <w:rFonts w:hint="eastAsia" w:ascii="宋体" w:hAnsi="宋体" w:cs="宋体"/>
                <w:color w:val="auto"/>
                <w:kern w:val="0"/>
                <w:szCs w:val="21"/>
                <w:highlight w:val="none"/>
                <w:u w:val="single"/>
              </w:rPr>
              <w:t>3.答疑纪要一经在广州交易集团有限公司（广州公共资源交易中心）网站发布，视作已发放给所有投标人。</w:t>
            </w:r>
          </w:p>
          <w:p w14:paraId="7BFE3714">
            <w:pPr>
              <w:keepNext w:val="0"/>
              <w:keepLines w:val="0"/>
              <w:suppressLineNumbers w:val="0"/>
              <w:snapToGrid w:val="0"/>
              <w:spacing w:before="0" w:beforeAutospacing="0" w:after="0" w:afterAutospacing="0"/>
              <w:ind w:left="0" w:right="174" w:rightChars="83" w:firstLine="210" w:firstLineChars="100"/>
              <w:rPr>
                <w:rFonts w:hint="default" w:ascii="宋体" w:hAnsi="宋体" w:cs="宋体"/>
                <w:color w:val="auto"/>
                <w:kern w:val="0"/>
                <w:szCs w:val="21"/>
                <w:highlight w:val="none"/>
                <w:u w:val="single"/>
              </w:rPr>
            </w:pPr>
            <w:r>
              <w:rPr>
                <w:rFonts w:hint="eastAsia" w:ascii="宋体" w:hAnsi="宋体" w:cs="宋体"/>
                <w:color w:val="auto"/>
                <w:kern w:val="0"/>
                <w:szCs w:val="21"/>
                <w:highlight w:val="none"/>
                <w:u w:val="single"/>
              </w:rPr>
              <w:t>4.答疑纪要为招标文件的一部分。投标人可在广州交易集团有限公司（广州公共资源交易中心）网站浏览、下载答疑纪要。</w:t>
            </w:r>
          </w:p>
          <w:p w14:paraId="23384BF8">
            <w:pPr>
              <w:keepNext w:val="0"/>
              <w:keepLines w:val="0"/>
              <w:suppressLineNumbers w:val="0"/>
              <w:snapToGrid w:val="0"/>
              <w:spacing w:before="0" w:beforeAutospacing="0" w:after="0" w:afterAutospacing="0"/>
              <w:ind w:left="0" w:right="0"/>
              <w:rPr>
                <w:rFonts w:hint="default" w:ascii="宋体" w:hAnsi="宋体"/>
                <w:b/>
                <w:bCs/>
                <w:color w:val="auto"/>
                <w:szCs w:val="21"/>
                <w:highlight w:val="none"/>
                <w:u w:val="single"/>
              </w:rPr>
            </w:pPr>
            <w:r>
              <w:rPr>
                <w:rFonts w:hint="eastAsia" w:ascii="宋体" w:hAnsi="宋体" w:cs="宋体"/>
                <w:b/>
                <w:bCs/>
                <w:color w:val="auto"/>
                <w:szCs w:val="21"/>
                <w:highlight w:val="none"/>
                <w:u w:val="single"/>
              </w:rPr>
              <w:t>具体操作详见广州交易集团有限公司（广州公共资源交易中心）网站发布的最新版操作指引。</w:t>
            </w:r>
          </w:p>
        </w:tc>
      </w:tr>
      <w:tr w14:paraId="69F8E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D3A1AA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0040447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02EA4526">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color w:val="auto"/>
                <w:szCs w:val="21"/>
                <w:highlight w:val="none"/>
                <w:u w:val="single"/>
              </w:rPr>
              <w:t>在递交投标文件截止时间15天前；本项目的招标文件澄清及答疑文件将在广州交易集团有限公司（广州公共资源交易中心）网上发布，投标人自行下载。</w:t>
            </w:r>
          </w:p>
        </w:tc>
      </w:tr>
      <w:tr w14:paraId="4E71DB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E9378E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78ECDDC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24223B7F">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7D1AC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48D85B2E">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094E5C43">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4B7CCCD">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w:t>
            </w:r>
          </w:p>
        </w:tc>
      </w:tr>
      <w:tr w14:paraId="06242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D21059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3E22DFD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0087BAC">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以补充公告或项目答疑澄清的方式在广州交易集团有限公司（广州公共资源交易中心）网站发布。</w:t>
            </w:r>
          </w:p>
        </w:tc>
      </w:tr>
      <w:tr w14:paraId="374502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1CFD1D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6577885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3F9D7C24">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olor w:val="auto"/>
                <w:szCs w:val="21"/>
                <w:highlight w:val="none"/>
                <w:u w:val="single"/>
              </w:rPr>
              <w:t>发出即视作收到。</w:t>
            </w:r>
          </w:p>
        </w:tc>
      </w:tr>
      <w:tr w14:paraId="28A13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0E65BAA0">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2A79A02">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D6FA882">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1C56D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44D1F9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01CF0A9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0DD36D8F">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满足本项目评审要求的其他资料等投标人认为需要提供的资料。</w:t>
            </w:r>
          </w:p>
        </w:tc>
      </w:tr>
      <w:tr w14:paraId="097CDB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9E8711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41BD3D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00325422">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w:t>
            </w:r>
          </w:p>
        </w:tc>
      </w:tr>
      <w:tr w14:paraId="25A20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FA93C6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5CB710C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1F3B3BD4">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s="宋体"/>
                <w:color w:val="auto"/>
                <w:szCs w:val="21"/>
                <w:highlight w:val="none"/>
                <w:u w:val="single"/>
              </w:rPr>
              <w:t>自行报价（以元为单位，精确到小数位后2位）。投标报价不得高于</w:t>
            </w:r>
            <w:r>
              <w:rPr>
                <w:rFonts w:hint="eastAsia" w:ascii="宋体" w:hAnsi="宋体" w:cs="宋体"/>
                <w:color w:val="auto"/>
                <w:szCs w:val="21"/>
                <w:highlight w:val="none"/>
                <w:u w:val="single"/>
                <w:lang w:val="en-US" w:eastAsia="zh-CN"/>
              </w:rPr>
              <w:t>最高投标限价</w:t>
            </w:r>
            <w:r>
              <w:rPr>
                <w:rFonts w:hint="eastAsia" w:ascii="宋体" w:hAnsi="宋体" w:cs="宋体"/>
                <w:color w:val="auto"/>
                <w:szCs w:val="21"/>
                <w:highlight w:val="none"/>
                <w:u w:val="single"/>
              </w:rPr>
              <w:t>，由投标人根据招标文件要求以及企业自身情况填写报价。结算方式：按合同约定执行。</w:t>
            </w:r>
          </w:p>
        </w:tc>
      </w:tr>
      <w:tr w14:paraId="5747F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D01C18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4D7DEDA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7D619626">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□无</w:t>
            </w:r>
          </w:p>
          <w:p w14:paraId="71E4F6DC">
            <w:pPr>
              <w:keepNext w:val="0"/>
              <w:keepLines w:val="0"/>
              <w:suppressLineNumbers w:val="0"/>
              <w:tabs>
                <w:tab w:val="left" w:pos="7513"/>
              </w:tabs>
              <w:adjustRightInd w:val="0"/>
              <w:snapToGrid w:val="0"/>
              <w:spacing w:before="0" w:beforeAutospacing="0" w:after="0" w:afterAutospacing="0"/>
              <w:ind w:left="0" w:right="0"/>
              <w:rPr>
                <w:rFonts w:hint="default" w:ascii="宋体" w:hAnsi="宋体" w:eastAsia="宋体"/>
                <w:color w:val="auto"/>
                <w:szCs w:val="21"/>
                <w:highlight w:val="none"/>
                <w:u w:val="single"/>
                <w:lang w:val="en-US" w:eastAsia="zh-CN"/>
              </w:rPr>
            </w:pPr>
            <w:r>
              <w:rPr>
                <w:rFonts w:hint="eastAsia" w:ascii="宋体" w:hAnsi="宋体"/>
                <w:color w:val="auto"/>
                <w:spacing w:val="-1"/>
                <w:szCs w:val="21"/>
                <w:highlight w:val="none"/>
              </w:rPr>
              <w:t>■</w:t>
            </w:r>
            <w:r>
              <w:rPr>
                <w:rFonts w:hint="eastAsia" w:ascii="宋体" w:hAnsi="宋体"/>
                <w:color w:val="auto"/>
                <w:szCs w:val="21"/>
                <w:highlight w:val="none"/>
              </w:rPr>
              <w:t>有，</w:t>
            </w:r>
            <w:r>
              <w:rPr>
                <w:rFonts w:hint="eastAsia" w:ascii="宋体" w:hAnsi="宋体"/>
                <w:color w:val="auto"/>
                <w:szCs w:val="21"/>
                <w:highlight w:val="none"/>
                <w:u w:val="single"/>
              </w:rPr>
              <w:t>监理费最高投标限价为人民币</w:t>
            </w:r>
            <w:r>
              <w:rPr>
                <w:rFonts w:hint="eastAsia" w:ascii="宋体" w:hAnsi="宋体"/>
                <w:color w:val="auto"/>
                <w:szCs w:val="21"/>
                <w:highlight w:val="none"/>
                <w:u w:val="single"/>
                <w:lang w:val="en-US" w:eastAsia="zh-CN"/>
              </w:rPr>
              <w:t>5911800.00元</w:t>
            </w:r>
            <w:r>
              <w:rPr>
                <w:rFonts w:hint="eastAsia" w:ascii="宋体" w:hAnsi="宋体"/>
                <w:color w:val="auto"/>
                <w:szCs w:val="21"/>
                <w:highlight w:val="none"/>
                <w:u w:val="single"/>
              </w:rPr>
              <w:t>。</w:t>
            </w:r>
          </w:p>
          <w:p w14:paraId="3E0DE159">
            <w:pPr>
              <w:keepNext w:val="0"/>
              <w:keepLines w:val="0"/>
              <w:suppressLineNumbers w:val="0"/>
              <w:tabs>
                <w:tab w:val="left" w:pos="7513"/>
              </w:tabs>
              <w:adjustRightInd w:val="0"/>
              <w:snapToGrid w:val="0"/>
              <w:spacing w:before="0" w:beforeAutospacing="0" w:after="0" w:afterAutospacing="0"/>
              <w:ind w:left="0" w:right="0"/>
              <w:rPr>
                <w:rFonts w:hint="default" w:ascii="宋体" w:hAnsi="宋体"/>
                <w:b/>
                <w:bCs/>
                <w:color w:val="auto"/>
                <w:szCs w:val="21"/>
                <w:highlight w:val="none"/>
                <w:u w:val="single"/>
              </w:rPr>
            </w:pPr>
            <w:r>
              <w:rPr>
                <w:rFonts w:hint="eastAsia" w:ascii="宋体" w:hAnsi="宋体"/>
                <w:b/>
                <w:bCs/>
                <w:snapToGrid w:val="0"/>
                <w:color w:val="auto"/>
                <w:spacing w:val="4"/>
                <w:kern w:val="0"/>
                <w:szCs w:val="21"/>
                <w:highlight w:val="none"/>
              </w:rPr>
              <w:t>注：投标报价不得超过本项目最高投标限价。</w:t>
            </w:r>
          </w:p>
        </w:tc>
      </w:tr>
      <w:tr w14:paraId="6CA200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9A48CA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429994B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投标报价的其他</w:t>
            </w:r>
          </w:p>
          <w:p w14:paraId="552757A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BAB78FB">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snapToGrid w:val="0"/>
                <w:color w:val="auto"/>
                <w:spacing w:val="4"/>
                <w:kern w:val="0"/>
                <w:szCs w:val="21"/>
                <w:highlight w:val="none"/>
                <w:u w:val="single"/>
              </w:rPr>
              <w:t>投标人必须详细审阅全部招标文件及招标图纸,充分考虑职责和义务,全面地理解招标文件对投标报价的要求,并按招标人提出的条件及内容进行报价。</w:t>
            </w:r>
          </w:p>
        </w:tc>
      </w:tr>
      <w:tr w14:paraId="46B2D7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CAC94F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12E8253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029F9CFF">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120日历天（从投标截止之日算起）。</w:t>
            </w:r>
          </w:p>
        </w:tc>
      </w:tr>
      <w:tr w14:paraId="740E17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6CD685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5A2A320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24444BC4">
            <w:pPr>
              <w:keepNext w:val="0"/>
              <w:keepLines w:val="0"/>
              <w:suppressLineNumbers w:val="0"/>
              <w:spacing w:before="0" w:beforeAutospacing="0" w:after="0" w:afterAutospacing="0"/>
              <w:ind w:left="0" w:right="0"/>
              <w:rPr>
                <w:rFonts w:hint="default" w:ascii="宋体" w:hAnsi="宋体" w:cs="宋体"/>
                <w:color w:val="auto"/>
                <w:szCs w:val="21"/>
                <w:highlight w:val="none"/>
                <w:woUserID w:val="1"/>
              </w:rPr>
            </w:pPr>
            <w:r>
              <w:rPr>
                <w:rFonts w:hint="eastAsia" w:ascii="宋体" w:hAnsi="宋体" w:cs="宋体"/>
                <w:color w:val="auto"/>
                <w:szCs w:val="21"/>
                <w:highlight w:val="none"/>
              </w:rPr>
              <w:t>是否要求投标人递交投标保证金：</w:t>
            </w:r>
          </w:p>
          <w:p w14:paraId="6328596D">
            <w:pPr>
              <w:keepNext w:val="0"/>
              <w:keepLines w:val="0"/>
              <w:suppressLineNumbers w:val="0"/>
              <w:spacing w:before="0" w:beforeAutospacing="0" w:after="0" w:afterAutospacing="0"/>
              <w:ind w:left="0" w:right="0"/>
              <w:rPr>
                <w:rFonts w:hint="default" w:ascii="宋体" w:hAnsi="宋体" w:cs="宋体"/>
                <w:color w:val="auto"/>
                <w:szCs w:val="21"/>
                <w:highlight w:val="none"/>
              </w:rPr>
            </w:pPr>
            <w:r>
              <w:rPr>
                <w:rFonts w:hint="eastAsia" w:hAnsi="宋体" w:cs="宋体"/>
                <w:color w:val="auto"/>
                <w:szCs w:val="21"/>
                <w:highlight w:val="none"/>
              </w:rPr>
              <w:t>□</w:t>
            </w:r>
            <w:r>
              <w:rPr>
                <w:rFonts w:hint="eastAsia" w:ascii="宋体" w:hAnsi="宋体" w:cs="宋体"/>
                <w:color w:val="auto"/>
                <w:szCs w:val="21"/>
                <w:highlight w:val="none"/>
              </w:rPr>
              <w:t>要求</w:t>
            </w:r>
          </w:p>
          <w:p w14:paraId="4AE4B9C6">
            <w:pPr>
              <w:keepNext w:val="0"/>
              <w:keepLines w:val="0"/>
              <w:suppressLineNumbers w:val="0"/>
              <w:spacing w:before="0" w:beforeAutospacing="0" w:after="0" w:afterAutospacing="0"/>
              <w:ind w:left="0" w:right="0"/>
              <w:rPr>
                <w:rFonts w:hint="default" w:hAnsi="宋体"/>
                <w:color w:val="auto"/>
                <w:szCs w:val="21"/>
                <w:highlight w:val="none"/>
              </w:rPr>
            </w:pPr>
            <w:r>
              <w:rPr>
                <w:rFonts w:hint="eastAsia" w:ascii="宋体" w:hAnsi="宋体"/>
                <w:color w:val="auto"/>
                <w:spacing w:val="-1"/>
                <w:szCs w:val="21"/>
                <w:highlight w:val="none"/>
              </w:rPr>
              <w:t>■</w:t>
            </w:r>
            <w:r>
              <w:rPr>
                <w:rFonts w:hint="eastAsia" w:hAnsi="宋体" w:cs="宋体"/>
                <w:color w:val="auto"/>
                <w:szCs w:val="21"/>
                <w:highlight w:val="none"/>
              </w:rPr>
              <w:t>不要求</w:t>
            </w:r>
            <w:r>
              <w:rPr>
                <w:rFonts w:hint="eastAsia" w:hAnsi="宋体" w:cs="宋体"/>
                <w:color w:val="auto"/>
                <w:szCs w:val="21"/>
                <w:highlight w:val="none"/>
                <w:lang w:val="en-US" w:eastAsia="zh-CN"/>
              </w:rPr>
              <w:t>，本项目在投标时免交投标保证金是为企业减负的举措，并未免除投标人的投标义务，投标人一旦发生招标文件不予退还情形投标保证金情形的，将按照招标人的要求在规定的时间内向招标人足额补交投标保证金</w:t>
            </w:r>
            <w:r>
              <w:rPr>
                <w:rFonts w:hint="default" w:hAnsi="宋体" w:cs="宋体"/>
                <w:color w:val="auto"/>
                <w:szCs w:val="21"/>
                <w:highlight w:val="none"/>
                <w:lang w:eastAsia="zh-CN"/>
                <w:woUserID w:val="1"/>
              </w:rPr>
              <w:t>（投标保证金为</w:t>
            </w:r>
            <w:r>
              <w:rPr>
                <w:rFonts w:hint="default" w:ascii="宋体" w:hAnsi="宋体" w:cs="宋体"/>
                <w:color w:val="auto"/>
                <w:szCs w:val="21"/>
                <w:highlight w:val="none"/>
                <w:woUserID w:val="1"/>
              </w:rPr>
              <w:t>人民币贰万元）</w:t>
            </w:r>
            <w:r>
              <w:rPr>
                <w:rFonts w:hint="eastAsia" w:hAnsi="宋体" w:cs="宋体"/>
                <w:color w:val="auto"/>
                <w:szCs w:val="21"/>
                <w:highlight w:val="none"/>
                <w:lang w:val="en-US" w:eastAsia="zh-CN"/>
              </w:rPr>
              <w:t>，否则将按相关规定进行信用记录。</w:t>
            </w:r>
          </w:p>
        </w:tc>
      </w:tr>
      <w:tr w14:paraId="51F67D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A1BA39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700CAE5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719D059E">
            <w:pPr>
              <w:keepNext w:val="0"/>
              <w:keepLines w:val="0"/>
              <w:numPr>
                <w:ilvl w:val="-1"/>
                <w:numId w:val="0"/>
              </w:numPr>
              <w:suppressLineNumbers w:val="0"/>
              <w:snapToGrid w:val="0"/>
              <w:spacing w:before="0" w:beforeAutospacing="0" w:after="0" w:afterAutospacing="0"/>
              <w:ind w:left="0" w:right="0"/>
              <w:rPr>
                <w:rFonts w:hint="eastAsia" w:ascii="宋体" w:hAnsi="宋体"/>
                <w:color w:val="auto"/>
                <w:szCs w:val="21"/>
                <w:highlight w:val="none"/>
                <w:lang w:val="en-US" w:eastAsia="zh-CN"/>
              </w:rPr>
            </w:pPr>
            <w:r>
              <w:rPr>
                <w:rFonts w:hint="default" w:ascii="宋体" w:hAnsi="宋体"/>
                <w:color w:val="auto"/>
                <w:szCs w:val="21"/>
                <w:highlight w:val="none"/>
                <w:lang w:eastAsia="zh-CN"/>
              </w:rPr>
              <w:t>（4）</w:t>
            </w:r>
            <w:r>
              <w:rPr>
                <w:rFonts w:hint="eastAsia" w:ascii="宋体" w:hAnsi="宋体"/>
                <w:color w:val="auto"/>
                <w:szCs w:val="21"/>
                <w:highlight w:val="none"/>
                <w:lang w:val="en-US" w:eastAsia="zh-CN"/>
              </w:rPr>
              <w:t>存在串通投标、围标情况的；</w:t>
            </w:r>
          </w:p>
          <w:p w14:paraId="11C2446A">
            <w:pPr>
              <w:keepNext w:val="0"/>
              <w:keepLines w:val="0"/>
              <w:numPr>
                <w:ilvl w:val="-1"/>
                <w:numId w:val="0"/>
              </w:numPr>
              <w:suppressLineNumbers w:val="0"/>
              <w:snapToGrid w:val="0"/>
              <w:spacing w:before="0" w:beforeAutospacing="0" w:after="0" w:afterAutospacing="0"/>
              <w:ind w:left="0" w:right="0"/>
              <w:rPr>
                <w:rFonts w:hint="eastAsia" w:ascii="宋体" w:hAnsi="宋体"/>
                <w:color w:val="auto"/>
                <w:szCs w:val="21"/>
                <w:highlight w:val="none"/>
                <w:lang w:val="en-US" w:eastAsia="zh-CN"/>
              </w:rPr>
            </w:pPr>
            <w:r>
              <w:rPr>
                <w:rFonts w:hint="default" w:ascii="宋体" w:hAnsi="宋体"/>
                <w:color w:val="auto"/>
                <w:szCs w:val="21"/>
                <w:highlight w:val="none"/>
                <w:lang w:eastAsia="zh-CN"/>
              </w:rPr>
              <w:t>（5）</w:t>
            </w:r>
            <w:r>
              <w:rPr>
                <w:rFonts w:hint="eastAsia" w:ascii="宋体" w:hAnsi="宋体"/>
                <w:color w:val="auto"/>
                <w:szCs w:val="21"/>
                <w:highlight w:val="none"/>
                <w:lang w:val="en-US" w:eastAsia="zh-CN"/>
              </w:rPr>
              <w:t>投标人以他人名义投标或者允许他人挂靠投标或借用本公司名义投标的；</w:t>
            </w:r>
          </w:p>
          <w:p w14:paraId="60616A9E">
            <w:pPr>
              <w:keepNext w:val="0"/>
              <w:keepLines w:val="0"/>
              <w:numPr>
                <w:ilvl w:val="-1"/>
                <w:numId w:val="0"/>
              </w:numPr>
              <w:suppressLineNumbers w:val="0"/>
              <w:snapToGrid w:val="0"/>
              <w:spacing w:before="0" w:beforeAutospacing="0" w:after="0" w:afterAutospacing="0"/>
              <w:ind w:left="0" w:right="0"/>
              <w:rPr>
                <w:rFonts w:hint="eastAsia" w:ascii="宋体" w:hAnsi="宋体"/>
                <w:color w:val="auto"/>
                <w:szCs w:val="21"/>
                <w:highlight w:val="none"/>
                <w:lang w:val="en-US" w:eastAsia="zh-CN"/>
              </w:rPr>
            </w:pPr>
            <w:r>
              <w:rPr>
                <w:rFonts w:hint="default" w:ascii="宋体" w:hAnsi="宋体"/>
                <w:color w:val="auto"/>
                <w:szCs w:val="21"/>
                <w:highlight w:val="none"/>
                <w:lang w:eastAsia="zh-CN"/>
              </w:rPr>
              <w:t>（6）</w:t>
            </w:r>
            <w:r>
              <w:rPr>
                <w:rFonts w:hint="eastAsia" w:ascii="宋体" w:hAnsi="宋体"/>
                <w:color w:val="auto"/>
                <w:szCs w:val="21"/>
                <w:highlight w:val="none"/>
                <w:lang w:val="en-US" w:eastAsia="zh-CN"/>
              </w:rPr>
              <w:t>提供虚假投标文件、虚假证明、虚假承诺/声明/保证或者以其他方式弄虚作假的；</w:t>
            </w:r>
          </w:p>
          <w:p w14:paraId="2A818272">
            <w:pPr>
              <w:keepNext w:val="0"/>
              <w:keepLines w:val="0"/>
              <w:numPr>
                <w:ilvl w:val="0"/>
                <w:numId w:val="0"/>
              </w:numPr>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lang w:val="en-US" w:eastAsia="zh-CN"/>
              </w:rPr>
              <w:t>（7）法律或者本招标文件规定的其他情形。</w:t>
            </w:r>
          </w:p>
        </w:tc>
      </w:tr>
      <w:tr w14:paraId="0107F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5EC71E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6E75811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666EB99">
            <w:pPr>
              <w:keepNext w:val="0"/>
              <w:keepLines w:val="0"/>
              <w:suppressLineNumbers w:val="0"/>
              <w:topLinePunct/>
              <w:snapToGrid w:val="0"/>
              <w:spacing w:before="0" w:beforeAutospacing="0" w:after="0" w:afterAutospacing="0"/>
              <w:ind w:left="0" w:right="174" w:rightChars="83"/>
              <w:rPr>
                <w:rFonts w:hint="default" w:ascii="宋体" w:hAnsi="宋体" w:eastAsia="Times New Roman"/>
                <w:color w:val="auto"/>
                <w:kern w:val="0"/>
                <w:szCs w:val="21"/>
                <w:highlight w:val="none"/>
              </w:rPr>
            </w:pPr>
            <w:r>
              <w:rPr>
                <w:rFonts w:hint="eastAsia" w:ascii="宋体" w:hAnsi="宋体"/>
                <w:color w:val="auto"/>
                <w:spacing w:val="-1"/>
                <w:szCs w:val="21"/>
                <w:highlight w:val="none"/>
              </w:rPr>
              <w:t>■</w:t>
            </w:r>
            <w:r>
              <w:rPr>
                <w:rFonts w:hint="eastAsia" w:ascii="宋体" w:hAnsi="宋体" w:cs="宋体"/>
                <w:color w:val="auto"/>
                <w:kern w:val="0"/>
                <w:szCs w:val="21"/>
                <w:highlight w:val="none"/>
              </w:rPr>
              <w:t>无</w:t>
            </w:r>
          </w:p>
          <w:p w14:paraId="285671D8">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kern w:val="0"/>
                <w:szCs w:val="21"/>
                <w:highlight w:val="none"/>
              </w:rPr>
              <w:t>□</w:t>
            </w:r>
            <w:r>
              <w:rPr>
                <w:rFonts w:hint="eastAsia" w:ascii="宋体" w:hAnsi="Times New Roman"/>
                <w:color w:val="auto"/>
                <w:kern w:val="0"/>
                <w:szCs w:val="21"/>
                <w:highlight w:val="none"/>
              </w:rPr>
              <w:t>有</w:t>
            </w:r>
          </w:p>
        </w:tc>
      </w:tr>
      <w:tr w14:paraId="0FE754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107D56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6577883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24631F3">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w:t>
            </w:r>
          </w:p>
        </w:tc>
      </w:tr>
      <w:tr w14:paraId="0F4D1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AA300C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1038278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34E0BCFF">
            <w:pPr>
              <w:keepNext w:val="0"/>
              <w:keepLines w:val="0"/>
              <w:suppressLineNumbers w:val="0"/>
              <w:snapToGrid w:val="0"/>
              <w:spacing w:before="0" w:beforeAutospacing="0" w:after="0" w:afterAutospacing="0"/>
              <w:ind w:left="0" w:right="0"/>
              <w:rPr>
                <w:rFonts w:hint="eastAsia" w:ascii="宋体" w:hAnsi="宋体"/>
                <w:color w:val="auto"/>
                <w:szCs w:val="21"/>
                <w:highlight w:val="none"/>
              </w:rPr>
            </w:pPr>
            <w:r>
              <w:rPr>
                <w:rFonts w:hint="eastAsia" w:ascii="宋体" w:hAnsi="宋体"/>
                <w:color w:val="auto"/>
                <w:szCs w:val="21"/>
                <w:highlight w:val="none"/>
                <w:u w:val="single"/>
              </w:rPr>
              <w:t>见招标公告投标人资格要求。</w:t>
            </w:r>
          </w:p>
        </w:tc>
      </w:tr>
      <w:tr w14:paraId="7B70B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CCFF42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0BDAC75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近年发生的诉讼</w:t>
            </w:r>
          </w:p>
          <w:p w14:paraId="3464E94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33DF9FD9">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p>
        </w:tc>
      </w:tr>
      <w:tr w14:paraId="0467CD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5F674E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25C823A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4DCF206F">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不允许</w:t>
            </w:r>
          </w:p>
          <w:p w14:paraId="7768592C">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□允许</w:t>
            </w:r>
          </w:p>
        </w:tc>
      </w:tr>
      <w:tr w14:paraId="45298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0F69EA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3347C43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8C6AF50">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p>
        </w:tc>
      </w:tr>
      <w:tr w14:paraId="72347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16C915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30EF708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639DA6E7">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w:t>
            </w:r>
          </w:p>
        </w:tc>
      </w:tr>
      <w:tr w14:paraId="5A7B7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7EE6BE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5E7F05D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C2EC28E">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证书证件需为清晰扫描件，并采用单位数字证书，按照招标文件要求在相应位置加盖电子印章。</w:t>
            </w:r>
          </w:p>
        </w:tc>
      </w:tr>
      <w:tr w14:paraId="2F120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1649B1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6C96A7C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79C6603">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auto"/>
                <w:szCs w:val="21"/>
                <w:highlight w:val="none"/>
                <w:u w:val="single"/>
              </w:rPr>
            </w:pPr>
            <w:r>
              <w:rPr>
                <w:rFonts w:hint="eastAsia" w:ascii="宋体" w:hAnsi="宋体"/>
                <w:color w:val="auto"/>
                <w:szCs w:val="21"/>
                <w:highlight w:val="none"/>
                <w:u w:val="single"/>
              </w:rPr>
              <w:t>投标文件全部采用电子文档，投标文件所附证书证件均为扫描件，并采用单位数字证书，</w:t>
            </w:r>
            <w:r>
              <w:rPr>
                <w:rFonts w:hint="eastAsia" w:ascii="宋体" w:hAnsi="宋体"/>
                <w:color w:val="auto"/>
                <w:szCs w:val="21"/>
                <w:highlight w:val="none"/>
                <w:u w:val="single"/>
                <w:lang w:eastAsia="zh-CN"/>
              </w:rPr>
              <w:t>对投标文件</w:t>
            </w:r>
            <w:r>
              <w:rPr>
                <w:rFonts w:hint="eastAsia" w:ascii="宋体" w:hAnsi="宋体"/>
                <w:color w:val="auto"/>
                <w:szCs w:val="21"/>
                <w:highlight w:val="none"/>
                <w:u w:val="single"/>
              </w:rPr>
              <w:t>加盖电子印章。投标文件中需个人签字或盖章的，应加盖个人电子印章或在线下完成后扫描上传。具体操作详见附件</w:t>
            </w:r>
            <w:r>
              <w:rPr>
                <w:rFonts w:hint="eastAsia" w:ascii="宋体" w:hAnsi="宋体"/>
                <w:color w:val="auto"/>
                <w:szCs w:val="21"/>
                <w:highlight w:val="none"/>
                <w:u w:val="single"/>
                <w:lang w:eastAsia="zh-CN"/>
              </w:rPr>
              <w:t>《建设工程全流程电子化项目操作指南》</w:t>
            </w:r>
            <w:r>
              <w:rPr>
                <w:rFonts w:hint="eastAsia" w:ascii="宋体" w:hAnsi="宋体"/>
                <w:color w:val="auto"/>
                <w:szCs w:val="21"/>
                <w:highlight w:val="none"/>
                <w:u w:val="single"/>
              </w:rPr>
              <w:t>。</w:t>
            </w:r>
          </w:p>
        </w:tc>
      </w:tr>
      <w:tr w14:paraId="6DE64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87E04A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4.1.1</w:t>
            </w:r>
            <w:r>
              <w:rPr>
                <w:rFonts w:hint="eastAsia" w:ascii="宋体" w:hAnsi="宋体"/>
                <w:color w:val="auto"/>
                <w:szCs w:val="21"/>
                <w:highlight w:val="none"/>
              </w:rPr>
              <w:t>（</w:t>
            </w:r>
            <w:r>
              <w:rPr>
                <w:rFonts w:hint="default" w:ascii="宋体" w:hAnsi="宋体"/>
                <w:color w:val="auto"/>
                <w:szCs w:val="21"/>
                <w:highlight w:val="none"/>
              </w:rPr>
              <w:t>A</w:t>
            </w:r>
            <w:r>
              <w:rPr>
                <w:rFonts w:hint="eastAsia" w:ascii="宋体" w:hAnsi="宋体"/>
                <w:color w:val="auto"/>
                <w:szCs w:val="21"/>
                <w:highlight w:val="none"/>
              </w:rPr>
              <w:t>）</w:t>
            </w:r>
          </w:p>
        </w:tc>
        <w:tc>
          <w:tcPr>
            <w:tcW w:w="2161" w:type="dxa"/>
            <w:tcBorders>
              <w:top w:val="single" w:color="auto" w:sz="6" w:space="0"/>
              <w:left w:val="single" w:color="auto" w:sz="6" w:space="0"/>
              <w:bottom w:val="single" w:color="auto" w:sz="6" w:space="0"/>
              <w:right w:val="single" w:color="auto" w:sz="6" w:space="0"/>
            </w:tcBorders>
            <w:noWrap/>
            <w:vAlign w:val="center"/>
          </w:tcPr>
          <w:p w14:paraId="5E97BCB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7774592E">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auto"/>
                <w:szCs w:val="21"/>
                <w:highlight w:val="none"/>
                <w:u w:val="single"/>
              </w:rPr>
            </w:pPr>
            <w:r>
              <w:rPr>
                <w:rFonts w:hint="eastAsia" w:ascii="宋体" w:hAnsi="宋体"/>
                <w:color w:val="auto"/>
                <w:szCs w:val="21"/>
                <w:highlight w:val="none"/>
                <w:u w:val="single"/>
              </w:rPr>
              <w:t>本项目不适用。</w:t>
            </w:r>
          </w:p>
        </w:tc>
      </w:tr>
      <w:tr w14:paraId="741549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D286D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54F0506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3291F354">
            <w:pPr>
              <w:keepNext w:val="0"/>
              <w:keepLines w:val="0"/>
              <w:suppressLineNumbers w:val="0"/>
              <w:topLinePunct/>
              <w:adjustRightInd w:val="0"/>
              <w:snapToGrid w:val="0"/>
              <w:spacing w:before="0" w:beforeAutospacing="0" w:after="0" w:afterAutospacing="0"/>
              <w:ind w:left="0" w:right="0"/>
              <w:textAlignment w:val="baseline"/>
              <w:outlineLvl w:val="1"/>
              <w:rPr>
                <w:rFonts w:hint="default" w:ascii="宋体" w:hAnsi="宋体"/>
                <w:color w:val="auto"/>
                <w:szCs w:val="21"/>
                <w:highlight w:val="none"/>
                <w:u w:val="single"/>
              </w:rPr>
            </w:pPr>
            <w:r>
              <w:rPr>
                <w:rFonts w:hint="eastAsia" w:ascii="宋体" w:hAnsi="宋体"/>
                <w:color w:val="auto"/>
                <w:szCs w:val="21"/>
                <w:highlight w:val="none"/>
                <w:u w:val="single"/>
              </w:rPr>
              <w:t>网上递交的电子投标文件须进行加密。具体操作详见附件</w:t>
            </w:r>
            <w:r>
              <w:rPr>
                <w:rFonts w:hint="eastAsia" w:ascii="宋体" w:hAnsi="宋体"/>
                <w:color w:val="auto"/>
                <w:szCs w:val="21"/>
                <w:highlight w:val="none"/>
                <w:u w:val="single"/>
                <w:lang w:eastAsia="zh-CN"/>
              </w:rPr>
              <w:t>《建设工程全流程电子化项目操作指南》</w:t>
            </w:r>
            <w:r>
              <w:rPr>
                <w:rFonts w:hint="eastAsia" w:ascii="宋体" w:hAnsi="宋体"/>
                <w:color w:val="auto"/>
                <w:szCs w:val="21"/>
                <w:highlight w:val="none"/>
                <w:u w:val="single"/>
              </w:rPr>
              <w:t>。</w:t>
            </w:r>
          </w:p>
        </w:tc>
      </w:tr>
      <w:tr w14:paraId="6F41F5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EF93EA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02BC90A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封套上应载明</w:t>
            </w:r>
          </w:p>
          <w:p w14:paraId="1009878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shd w:val="clear" w:color="auto" w:fill="D9D9D9"/>
              </w:rPr>
            </w:pPr>
            <w:r>
              <w:rPr>
                <w:rFonts w:hint="eastAsia" w:ascii="宋体" w:hAnsi="宋体"/>
                <w:color w:val="auto"/>
                <w:szCs w:val="21"/>
                <w:highlight w:val="none"/>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6B4AB999">
            <w:pPr>
              <w:keepNext w:val="0"/>
              <w:keepLines w:val="0"/>
              <w:suppressLineNumbers w:val="0"/>
              <w:topLinePunct/>
              <w:snapToGrid w:val="0"/>
              <w:spacing w:before="0" w:beforeAutospacing="0" w:after="0" w:afterAutospacing="0"/>
              <w:ind w:left="0" w:right="174" w:rightChars="83"/>
              <w:rPr>
                <w:rFonts w:hint="default" w:ascii="宋体" w:hAnsi="宋体"/>
                <w:color w:val="auto"/>
                <w:kern w:val="0"/>
                <w:szCs w:val="21"/>
                <w:highlight w:val="none"/>
              </w:rPr>
            </w:pPr>
            <w:r>
              <w:rPr>
                <w:rFonts w:hint="eastAsia" w:ascii="宋体" w:hAnsi="宋体"/>
                <w:color w:val="auto"/>
                <w:kern w:val="0"/>
                <w:szCs w:val="21"/>
                <w:highlight w:val="none"/>
              </w:rPr>
              <w:t>如有提交投标文件光盘备用，封套上应注明如下信息：</w:t>
            </w:r>
          </w:p>
          <w:p w14:paraId="4870D3D9">
            <w:pPr>
              <w:keepNext w:val="0"/>
              <w:keepLines w:val="0"/>
              <w:suppressLineNumbers w:val="0"/>
              <w:topLinePunct/>
              <w:snapToGrid w:val="0"/>
              <w:spacing w:before="0" w:beforeAutospacing="0" w:after="0" w:afterAutospacing="0"/>
              <w:ind w:left="0" w:right="174" w:rightChars="83"/>
              <w:rPr>
                <w:rFonts w:hint="default" w:ascii="宋体" w:hAnsi="宋体"/>
                <w:color w:val="auto"/>
                <w:kern w:val="0"/>
                <w:szCs w:val="21"/>
                <w:highlight w:val="none"/>
              </w:rPr>
            </w:pPr>
            <w:r>
              <w:rPr>
                <w:rFonts w:hint="eastAsia"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14:paraId="0FD4442F">
            <w:pPr>
              <w:keepNext w:val="0"/>
              <w:keepLines w:val="0"/>
              <w:suppressLineNumbers w:val="0"/>
              <w:topLinePunct/>
              <w:snapToGrid w:val="0"/>
              <w:spacing w:before="0" w:beforeAutospacing="0" w:after="0" w:afterAutospacing="0"/>
              <w:ind w:left="0" w:right="174" w:rightChars="83"/>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招标人地址：</w:t>
            </w:r>
            <w:r>
              <w:rPr>
                <w:rFonts w:hint="eastAsia" w:ascii="宋体" w:hAnsi="宋体"/>
                <w:color w:val="auto"/>
                <w:kern w:val="0"/>
                <w:szCs w:val="21"/>
                <w:highlight w:val="none"/>
                <w:u w:val="single"/>
              </w:rPr>
              <w:t xml:space="preserve">                 </w:t>
            </w:r>
          </w:p>
          <w:p w14:paraId="05766DD7">
            <w:pPr>
              <w:keepNext w:val="0"/>
              <w:keepLines w:val="0"/>
              <w:suppressLineNumbers w:val="0"/>
              <w:topLinePunct/>
              <w:snapToGrid w:val="0"/>
              <w:spacing w:before="0" w:beforeAutospacing="0" w:after="0" w:afterAutospacing="0"/>
              <w:ind w:left="0" w:right="174" w:rightChars="83"/>
              <w:rPr>
                <w:rFonts w:hint="default" w:ascii="宋体" w:hAnsi="宋体"/>
                <w:color w:val="auto"/>
                <w:kern w:val="0"/>
                <w:szCs w:val="21"/>
                <w:highlight w:val="none"/>
              </w:rPr>
            </w:pPr>
            <w:r>
              <w:rPr>
                <w:rFonts w:hint="eastAsia" w:ascii="宋体" w:hAnsi="宋体"/>
                <w:color w:val="auto"/>
                <w:kern w:val="0"/>
                <w:szCs w:val="21"/>
                <w:highlight w:val="none"/>
                <w:u w:val="single"/>
                <w:lang w:eastAsia="zh-CN"/>
              </w:rPr>
              <w:t>华南理工大学大学城校区研究生宿舍（二期）施工监理</w:t>
            </w:r>
            <w:r>
              <w:rPr>
                <w:rFonts w:hint="eastAsia" w:ascii="宋体" w:hAnsi="宋体"/>
                <w:color w:val="auto"/>
                <w:kern w:val="0"/>
                <w:szCs w:val="21"/>
                <w:highlight w:val="none"/>
                <w:u w:val="single"/>
              </w:rPr>
              <w:t>（项目名称）</w:t>
            </w:r>
            <w:r>
              <w:rPr>
                <w:rFonts w:hint="eastAsia" w:ascii="宋体" w:hAnsi="宋体"/>
                <w:color w:val="auto"/>
                <w:kern w:val="0"/>
                <w:szCs w:val="21"/>
                <w:highlight w:val="none"/>
              </w:rPr>
              <w:t>投标文件</w:t>
            </w:r>
          </w:p>
          <w:p w14:paraId="4F629EC9">
            <w:pPr>
              <w:keepNext w:val="0"/>
              <w:keepLines w:val="0"/>
              <w:suppressLineNumbers w:val="0"/>
              <w:topLinePunct/>
              <w:snapToGrid w:val="0"/>
              <w:spacing w:before="0" w:beforeAutospacing="0" w:after="0" w:afterAutospacing="0"/>
              <w:ind w:left="0" w:right="174" w:rightChars="83"/>
              <w:rPr>
                <w:rFonts w:hint="default" w:ascii="宋体" w:hAnsi="宋体"/>
                <w:color w:val="auto"/>
                <w:kern w:val="0"/>
                <w:szCs w:val="21"/>
                <w:highlight w:val="none"/>
              </w:rPr>
            </w:pPr>
            <w:r>
              <w:rPr>
                <w:rFonts w:hint="eastAsia" w:ascii="宋体" w:hAnsi="宋体"/>
                <w:color w:val="auto"/>
                <w:kern w:val="0"/>
                <w:szCs w:val="21"/>
                <w:highlight w:val="none"/>
              </w:rPr>
              <w:t>招标项目编号：</w:t>
            </w:r>
            <w:r>
              <w:rPr>
                <w:rFonts w:hint="eastAsia" w:ascii="宋体" w:hAnsi="宋体"/>
                <w:color w:val="auto"/>
                <w:kern w:val="0"/>
                <w:szCs w:val="21"/>
                <w:highlight w:val="none"/>
                <w:u w:val="single"/>
              </w:rPr>
              <w:t xml:space="preserve">               </w:t>
            </w:r>
          </w:p>
          <w:p w14:paraId="315B9C2B">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lang w:val="en-US" w:eastAsia="zh-CN"/>
              </w:rPr>
              <w:t>分</w:t>
            </w:r>
            <w:r>
              <w:rPr>
                <w:rFonts w:hint="eastAsia" w:ascii="宋体" w:hAnsi="宋体"/>
                <w:color w:val="auto"/>
                <w:kern w:val="0"/>
                <w:szCs w:val="21"/>
                <w:highlight w:val="none"/>
              </w:rPr>
              <w:t>前不得开启</w:t>
            </w:r>
          </w:p>
        </w:tc>
      </w:tr>
      <w:tr w14:paraId="28E9F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97D8D5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678362E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19C12378">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xml:space="preserve"> 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（北京时间）</w:t>
            </w:r>
          </w:p>
        </w:tc>
      </w:tr>
      <w:tr w14:paraId="7D890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7F9E81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7F044A3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51103714">
            <w:pPr>
              <w:keepNext w:val="0"/>
              <w:keepLines w:val="0"/>
              <w:suppressLineNumbers w:val="0"/>
              <w:snapToGrid w:val="0"/>
              <w:spacing w:before="0" w:beforeAutospacing="0" w:after="0" w:afterAutospacing="0"/>
              <w:ind w:left="0" w:right="0"/>
              <w:rPr>
                <w:rFonts w:hint="default"/>
                <w:color w:val="auto"/>
                <w:highlight w:val="none"/>
                <w:u w:val="single"/>
              </w:rPr>
            </w:pPr>
            <w:r>
              <w:rPr>
                <w:rFonts w:hint="eastAsia"/>
                <w:color w:val="auto"/>
                <w:highlight w:val="none"/>
                <w:u w:val="single"/>
              </w:rPr>
              <w:t xml:space="preserve">1.递交方式：网上递交投标文件 </w:t>
            </w:r>
          </w:p>
          <w:p w14:paraId="47BA02F3">
            <w:pPr>
              <w:keepNext w:val="0"/>
              <w:keepLines w:val="0"/>
              <w:suppressLineNumbers w:val="0"/>
              <w:snapToGrid w:val="0"/>
              <w:spacing w:before="0" w:beforeAutospacing="0" w:after="0" w:afterAutospacing="0"/>
              <w:ind w:left="0" w:right="0"/>
              <w:rPr>
                <w:rFonts w:hint="default"/>
                <w:color w:val="auto"/>
                <w:highlight w:val="none"/>
                <w:u w:val="single"/>
              </w:rPr>
            </w:pPr>
            <w:r>
              <w:rPr>
                <w:rFonts w:hint="eastAsia"/>
                <w:color w:val="auto"/>
                <w:highlight w:val="none"/>
                <w:u w:val="single"/>
              </w:rPr>
              <w:t>2.地点：广州交易集团有限公司（广州公共资源交易中心）网站。</w:t>
            </w:r>
          </w:p>
          <w:p w14:paraId="524F9662">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color w:val="auto"/>
                <w:highlight w:val="none"/>
                <w:u w:val="single"/>
              </w:rPr>
              <w:t>3.上述时间及地点是否有改变，请密切留意招标答疑纪要的相关信息</w:t>
            </w:r>
          </w:p>
        </w:tc>
      </w:tr>
      <w:tr w14:paraId="3D7278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F782FD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7DAC083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71A688FF">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否</w:t>
            </w:r>
          </w:p>
          <w:p w14:paraId="44F782A8">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□是，退还时间：</w:t>
            </w:r>
          </w:p>
        </w:tc>
      </w:tr>
      <w:tr w14:paraId="673CE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56741CD">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14:paraId="28FBA91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1732168C">
            <w:pPr>
              <w:keepNext w:val="0"/>
              <w:keepLines w:val="0"/>
              <w:suppressLineNumbers w:val="0"/>
              <w:topLinePunct/>
              <w:snapToGrid w:val="0"/>
              <w:spacing w:before="0" w:beforeAutospacing="0" w:after="0" w:afterAutospacing="0"/>
              <w:ind w:left="0" w:right="0"/>
              <w:rPr>
                <w:rFonts w:hint="default" w:ascii="宋体" w:hAnsi="宋体"/>
                <w:color w:val="auto"/>
                <w:spacing w:val="-1"/>
                <w:szCs w:val="21"/>
                <w:highlight w:val="none"/>
                <w:u w:val="single"/>
              </w:rPr>
            </w:pPr>
            <w:r>
              <w:rPr>
                <w:rFonts w:hint="eastAsia" w:ascii="宋体" w:hAnsi="Times New Roman"/>
                <w:color w:val="auto"/>
                <w:kern w:val="0"/>
                <w:szCs w:val="21"/>
                <w:highlight w:val="none"/>
                <w:u w:val="single"/>
              </w:rPr>
              <w:t>本项目不适用。</w:t>
            </w:r>
          </w:p>
        </w:tc>
      </w:tr>
      <w:tr w14:paraId="0793D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2FEF472">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0A7125F4">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0B7474DC">
            <w:pPr>
              <w:keepNext w:val="0"/>
              <w:keepLines w:val="0"/>
              <w:suppressLineNumbers w:val="0"/>
              <w:spacing w:before="0" w:beforeAutospacing="0" w:after="0" w:afterAutospacing="0"/>
              <w:ind w:left="0" w:right="0"/>
              <w:jc w:val="left"/>
              <w:rPr>
                <w:rFonts w:hint="eastAsia" w:ascii="宋体" w:hAnsi="宋体"/>
                <w:color w:val="auto"/>
                <w:kern w:val="0"/>
                <w:szCs w:val="21"/>
                <w:highlight w:val="none"/>
              </w:rPr>
            </w:pPr>
            <w:r>
              <w:rPr>
                <w:rFonts w:hint="eastAsia" w:ascii="宋体" w:hAnsi="宋体"/>
                <w:color w:val="auto"/>
                <w:kern w:val="0"/>
                <w:szCs w:val="21"/>
                <w:highlight w:val="none"/>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olor w:val="auto"/>
                <w:kern w:val="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8FD75B6">
            <w:pPr>
              <w:keepNext w:val="0"/>
              <w:keepLines w:val="0"/>
              <w:suppressLineNumbers w:val="0"/>
              <w:autoSpaceDE w:val="0"/>
              <w:autoSpaceDN w:val="0"/>
              <w:adjustRightInd w:val="0"/>
              <w:snapToGrid w:val="0"/>
              <w:spacing w:before="0" w:beforeAutospacing="0" w:after="0" w:afterAutospacing="0"/>
              <w:ind w:left="0" w:right="0"/>
              <w:rPr>
                <w:rFonts w:hint="default" w:ascii="宋体" w:hAnsi="宋体" w:eastAsia="仿宋_GB2312" w:cs="仿宋_GB2312"/>
                <w:color w:val="auto"/>
                <w:szCs w:val="21"/>
                <w:highlight w:val="none"/>
              </w:rPr>
            </w:pPr>
            <w:r>
              <w:rPr>
                <w:rFonts w:hint="eastAsia" w:ascii="宋体" w:hAnsi="宋体" w:cs="宋体"/>
                <w:b/>
                <w:color w:val="auto"/>
                <w:szCs w:val="21"/>
                <w:highlight w:val="none"/>
              </w:rPr>
              <w:t>具体时间、地点可以到广州交易集团有限公司（广州公共资源交易中心）网站的项目查询</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日程安排、答疑纪要</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中输入本项目编号或项目名称进行查询。</w:t>
            </w:r>
          </w:p>
        </w:tc>
      </w:tr>
      <w:tr w14:paraId="18932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EDE72E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14:paraId="7B7E91E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5AE01EAD">
            <w:pPr>
              <w:keepNext w:val="0"/>
              <w:keepLines w:val="0"/>
              <w:suppressLineNumbers w:val="0"/>
              <w:spacing w:before="0" w:beforeAutospacing="0" w:after="0" w:afterAutospacing="0"/>
              <w:ind w:left="0" w:right="0"/>
              <w:rPr>
                <w:rFonts w:hint="default"/>
                <w:color w:val="auto"/>
                <w:szCs w:val="21"/>
                <w:highlight w:val="none"/>
                <w:u w:val="single"/>
              </w:rPr>
            </w:pPr>
            <w:r>
              <w:rPr>
                <w:rFonts w:hint="eastAsia"/>
                <w:color w:val="auto"/>
                <w:highlight w:val="none"/>
                <w:u w:val="single"/>
              </w:rPr>
              <w:t>本项目不适用。</w:t>
            </w:r>
          </w:p>
        </w:tc>
      </w:tr>
      <w:tr w14:paraId="5BE208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F8E06F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14:paraId="4E342247">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color w:val="auto"/>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1ABE6578">
            <w:pPr>
              <w:keepNext w:val="0"/>
              <w:keepLines w:val="0"/>
              <w:suppressLineNumbers w:val="0"/>
              <w:spacing w:before="0" w:beforeAutospacing="0" w:after="0" w:afterAutospacing="0"/>
              <w:ind w:left="0" w:right="0"/>
              <w:rPr>
                <w:rFonts w:hint="default"/>
                <w:color w:val="auto"/>
                <w:szCs w:val="21"/>
                <w:highlight w:val="none"/>
                <w:u w:val="single"/>
              </w:rPr>
            </w:pPr>
            <w:r>
              <w:rPr>
                <w:rFonts w:hint="eastAsia"/>
                <w:color w:val="auto"/>
                <w:highlight w:val="none"/>
                <w:u w:val="single"/>
              </w:rPr>
              <w:t>本项目不适用。</w:t>
            </w:r>
          </w:p>
        </w:tc>
      </w:tr>
      <w:tr w14:paraId="57284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5"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129A8EF0">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7C6A34CA">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4FD4CCC6">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rPr>
              <w:t>5.2.1</w:t>
            </w:r>
            <w:r>
              <w:rPr>
                <w:rFonts w:hint="eastAsia" w:ascii="宋体" w:hAnsi="宋体"/>
                <w:color w:val="auto"/>
                <w:szCs w:val="21"/>
                <w:highlight w:val="none"/>
                <w:u w:val="single"/>
              </w:rPr>
              <w:t>主持人按下列程序进行开标：</w:t>
            </w:r>
          </w:p>
          <w:p w14:paraId="46E82B3F">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（1）宣布开标纪律；</w:t>
            </w:r>
          </w:p>
          <w:p w14:paraId="044E8285">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（2）公布在投标截止时间前递交投标文件的投标人名称；</w:t>
            </w:r>
          </w:p>
          <w:p w14:paraId="54CEE5D8">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（3）宣布开标人、唱标人、记录人、监标人等有关人员姓名；</w:t>
            </w:r>
          </w:p>
          <w:p w14:paraId="244D01AC">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（4）（B）投标人通过电子招标投标交易平台对已递交的电子投标文件进行解密，公布招标项目名称、投标人名称</w:t>
            </w:r>
            <w:r>
              <w:rPr>
                <w:rFonts w:hint="eastAsia" w:ascii="宋体" w:hAnsi="宋体"/>
                <w:strike/>
                <w:color w:val="auto"/>
                <w:szCs w:val="21"/>
                <w:highlight w:val="none"/>
                <w:u w:val="single"/>
              </w:rPr>
              <w:t>、投标保证金的递交情况</w:t>
            </w:r>
            <w:r>
              <w:rPr>
                <w:rFonts w:hint="eastAsia" w:ascii="宋体" w:hAnsi="宋体"/>
                <w:color w:val="auto"/>
                <w:szCs w:val="21"/>
                <w:highlight w:val="none"/>
                <w:u w:val="single"/>
              </w:rPr>
              <w:t>、投标报价、监理服务期限及其他内容，并记录在案；</w:t>
            </w:r>
          </w:p>
          <w:p w14:paraId="6260B051">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（5）（B）</w:t>
            </w:r>
            <w:r>
              <w:rPr>
                <w:rFonts w:hint="eastAsia" w:ascii="宋体" w:hAnsi="宋体"/>
                <w:color w:val="auto"/>
                <w:szCs w:val="21"/>
                <w:highlight w:val="none"/>
                <w:u w:val="single"/>
                <w:lang w:val="en-US" w:eastAsia="zh-CN"/>
              </w:rPr>
              <w:t>参加开标的</w:t>
            </w:r>
            <w:r>
              <w:rPr>
                <w:rFonts w:hint="eastAsia" w:ascii="宋体" w:hAnsi="宋体"/>
                <w:color w:val="auto"/>
                <w:szCs w:val="21"/>
                <w:highlight w:val="none"/>
                <w:u w:val="single"/>
              </w:rPr>
              <w:t>投标人代表、招标人代表、监标人、记录人等有关人员在开标记录上签字确认；若有关人员不签字的，不影响开标程序；</w:t>
            </w:r>
          </w:p>
          <w:p w14:paraId="1BC683A5">
            <w:pPr>
              <w:keepNext w:val="0"/>
              <w:keepLines w:val="0"/>
              <w:suppressLineNumbers w:val="0"/>
              <w:snapToGrid w:val="0"/>
              <w:spacing w:before="0" w:beforeAutospacing="0" w:after="0" w:afterAutospacing="0"/>
              <w:ind w:left="0" w:right="0"/>
              <w:rPr>
                <w:rFonts w:hint="default" w:ascii="宋体" w:hAnsi="宋体"/>
                <w:color w:val="auto"/>
                <w:szCs w:val="21"/>
                <w:highlight w:val="none"/>
                <w:u w:val="single"/>
              </w:rPr>
            </w:pPr>
            <w:r>
              <w:rPr>
                <w:rFonts w:hint="eastAsia" w:ascii="宋体" w:hAnsi="宋体"/>
                <w:color w:val="auto"/>
                <w:szCs w:val="21"/>
                <w:highlight w:val="none"/>
                <w:u w:val="single"/>
              </w:rPr>
              <w:t>（6）开标结束。</w:t>
            </w:r>
          </w:p>
        </w:tc>
      </w:tr>
      <w:tr w14:paraId="2DBBD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F6FE264">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0F0ECEA1">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24FD8B0">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5.2.2</w:t>
            </w:r>
            <w:r>
              <w:rPr>
                <w:rFonts w:hint="eastAsia" w:ascii="宋体" w:hAnsi="宋体"/>
                <w:color w:val="auto"/>
                <w:szCs w:val="21"/>
                <w:highlight w:val="none"/>
                <w:u w:val="single"/>
              </w:rPr>
              <w:t>投标截止时间前未完成投标文件传输的或因投标人之外的原因造成投标文件未解密的或未在投标截止时间后</w:t>
            </w:r>
            <w:r>
              <w:rPr>
                <w:rFonts w:hint="default" w:ascii="宋体" w:hAnsi="宋体"/>
                <w:color w:val="auto"/>
                <w:szCs w:val="21"/>
                <w:highlight w:val="none"/>
                <w:u w:val="single"/>
              </w:rPr>
              <w:t>一个</w:t>
            </w:r>
            <w:r>
              <w:rPr>
                <w:rFonts w:hint="eastAsia" w:ascii="宋体" w:hAnsi="宋体"/>
                <w:color w:val="auto"/>
                <w:szCs w:val="21"/>
                <w:highlight w:val="none"/>
                <w:u w:val="single"/>
              </w:rPr>
              <w:t>小时解密的，视为投标人其撤回投标文件。因投标人原因造成投标文件未解密的，视为撤销其投标文件。</w:t>
            </w:r>
          </w:p>
        </w:tc>
      </w:tr>
      <w:tr w14:paraId="73FBC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7A56E1E0">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08DF8E2">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BA9E823">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5.2.3</w:t>
            </w:r>
            <w:r>
              <w:rPr>
                <w:rFonts w:hint="eastAsia" w:ascii="宋体" w:hAnsi="宋体"/>
                <w:color w:val="auto"/>
                <w:szCs w:val="21"/>
                <w:highlight w:val="none"/>
                <w:u w:val="single"/>
              </w:rPr>
              <w:t>开标时，本项目两个（含两个）以上的投标人加密打包投标文件电脑机器特征码一致的，不参与下一程序，并由评标委员会否决其投标。</w:t>
            </w:r>
          </w:p>
        </w:tc>
      </w:tr>
      <w:tr w14:paraId="13C03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81EF01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38E5AB7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294E766E">
            <w:pPr>
              <w:keepNext w:val="0"/>
              <w:keepLines w:val="0"/>
              <w:suppressLineNumbers w:val="0"/>
              <w:snapToGrid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szCs w:val="21"/>
                <w:highlight w:val="none"/>
                <w:u w:val="single"/>
              </w:rPr>
              <w:t>由招标人依法组建。</w:t>
            </w:r>
          </w:p>
        </w:tc>
      </w:tr>
      <w:tr w14:paraId="103D5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2643251">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5F4DA7DF">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37AE6D22">
            <w:pPr>
              <w:keepNext w:val="0"/>
              <w:keepLines w:val="0"/>
              <w:widowControl w:val="0"/>
              <w:suppressLineNumbers w:val="0"/>
              <w:snapToGrid w:val="0"/>
              <w:spacing w:before="0" w:beforeAutospacing="0" w:after="0" w:afterAutospacing="0"/>
              <w:ind w:left="0" w:right="0"/>
              <w:jc w:val="both"/>
              <w:rPr>
                <w:rFonts w:hint="eastAsia" w:ascii="宋体" w:hAnsi="宋体" w:eastAsia="宋体"/>
                <w:color w:val="auto"/>
                <w:szCs w:val="21"/>
                <w:highlight w:val="none"/>
                <w:u w:val="single"/>
                <w:lang w:eastAsia="zh-CN"/>
              </w:rPr>
            </w:pPr>
            <w:r>
              <w:rPr>
                <w:rFonts w:hint="eastAsia"/>
                <w:color w:val="auto"/>
                <w:szCs w:val="21"/>
                <w:highlight w:val="none"/>
                <w:u w:val="single"/>
              </w:rPr>
              <w:t>所有通过初步评审</w:t>
            </w:r>
            <w:r>
              <w:rPr>
                <w:rFonts w:hint="eastAsia" w:ascii="宋体" w:hAnsi="宋体" w:cs="宋体"/>
                <w:color w:val="auto"/>
                <w:highlight w:val="none"/>
                <w:u w:val="single"/>
              </w:rPr>
              <w:t>（形式评审、资格评审、响应性评审）的</w:t>
            </w:r>
            <w:r>
              <w:rPr>
                <w:rFonts w:hint="eastAsia"/>
                <w:color w:val="auto"/>
                <w:szCs w:val="21"/>
                <w:highlight w:val="none"/>
                <w:u w:val="single"/>
              </w:rPr>
              <w:t>投标人全部被推荐为合格的中标候选人，进入定标阶段</w:t>
            </w:r>
            <w:r>
              <w:rPr>
                <w:rFonts w:hint="eastAsia" w:ascii="宋体" w:hAnsi="宋体"/>
                <w:color w:val="auto"/>
                <w:highlight w:val="none"/>
                <w:u w:val="single"/>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auto"/>
                <w:szCs w:val="21"/>
                <w:highlight w:val="none"/>
                <w:u w:val="single"/>
              </w:rPr>
              <w:t>。</w:t>
            </w:r>
            <w:r>
              <w:rPr>
                <w:rFonts w:hint="eastAsia" w:ascii="宋体" w:hAnsi="宋体"/>
                <w:color w:val="auto"/>
                <w:highlight w:val="none"/>
                <w:u w:val="single"/>
              </w:rPr>
              <w:t>合格的中标候选人少于</w:t>
            </w:r>
            <w:r>
              <w:rPr>
                <w:rFonts w:hint="default" w:ascii="宋体" w:hAnsi="宋体"/>
                <w:color w:val="auto"/>
                <w:highlight w:val="none"/>
                <w:u w:val="single"/>
              </w:rPr>
              <w:t>3</w:t>
            </w:r>
            <w:r>
              <w:rPr>
                <w:rFonts w:hint="eastAsia" w:ascii="宋体" w:hAnsi="宋体"/>
                <w:color w:val="auto"/>
                <w:highlight w:val="none"/>
                <w:u w:val="single"/>
              </w:rPr>
              <w:t>家的，应当重新招标。</w:t>
            </w:r>
          </w:p>
        </w:tc>
      </w:tr>
      <w:tr w14:paraId="36758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0939DB9">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316B48A3">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440CBB27">
            <w:pPr>
              <w:keepNext w:val="0"/>
              <w:keepLines w:val="0"/>
              <w:suppressLineNumbers w:val="0"/>
              <w:snapToGrid w:val="0"/>
              <w:spacing w:before="0" w:beforeAutospacing="0" w:after="0" w:afterAutospacing="0"/>
              <w:ind w:left="34" w:right="108"/>
              <w:rPr>
                <w:rFonts w:hint="eastAsia" w:ascii="宋体" w:hAnsi="宋体"/>
                <w:color w:val="auto"/>
                <w:szCs w:val="21"/>
                <w:highlight w:val="none"/>
                <w:u w:val="single"/>
              </w:rPr>
            </w:pPr>
            <w:r>
              <w:rPr>
                <w:rFonts w:hint="eastAsia" w:ascii="宋体" w:hAnsi="宋体"/>
                <w:color w:val="auto"/>
                <w:szCs w:val="21"/>
                <w:highlight w:val="none"/>
              </w:rPr>
              <w:t>公示媒介：</w:t>
            </w:r>
            <w:r>
              <w:rPr>
                <w:rFonts w:hint="eastAsia" w:ascii="宋体" w:hAnsi="宋体"/>
                <w:bCs/>
                <w:color w:val="auto"/>
                <w:szCs w:val="21"/>
                <w:highlight w:val="none"/>
                <w:u w:val="single"/>
              </w:rPr>
              <w:t>中国招标投标公共服务平台、广东省招标投标监管网、广州交易集团有限公司（广州公共资源交易中心）网站</w:t>
            </w:r>
          </w:p>
          <w:p w14:paraId="2B7FA0BA">
            <w:pPr>
              <w:keepNext w:val="0"/>
              <w:keepLines w:val="0"/>
              <w:suppressLineNumbers w:val="0"/>
              <w:snapToGrid w:val="0"/>
              <w:spacing w:before="0" w:beforeAutospacing="0" w:after="0" w:afterAutospacing="0"/>
              <w:ind w:left="34" w:right="106"/>
              <w:rPr>
                <w:rFonts w:hint="default"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3</w:t>
            </w:r>
            <w:r>
              <w:rPr>
                <w:rFonts w:hint="eastAsia" w:ascii="宋体" w:hAnsi="宋体"/>
                <w:color w:val="auto"/>
                <w:szCs w:val="21"/>
                <w:highlight w:val="none"/>
              </w:rPr>
              <w:t>日</w:t>
            </w:r>
          </w:p>
        </w:tc>
      </w:tr>
      <w:tr w14:paraId="01FD2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05A19D5">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03338772">
            <w:pPr>
              <w:keepNext w:val="0"/>
              <w:keepLines w:val="0"/>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定标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0A61EB66">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（1）定标工作由招标人依法组建的定标委员会负责。</w:t>
            </w:r>
          </w:p>
          <w:p w14:paraId="00D581EE">
            <w:pPr>
              <w:keepNext w:val="0"/>
              <w:keepLines w:val="0"/>
              <w:widowControl w:val="0"/>
              <w:suppressLineNumbers w:val="0"/>
              <w:snapToGrid w:val="0"/>
              <w:spacing w:before="0" w:beforeAutospacing="0" w:after="0" w:afterAutospacing="0"/>
              <w:ind w:left="0" w:right="0"/>
              <w:jc w:val="both"/>
              <w:rPr>
                <w:rFonts w:hint="default"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定标委员会按照第三章评标办法（“评定分离”定标办法）规定的定标方法、标准和程序，在评标委员会向招标人推荐的合格的中标候选人中，采用以差额选举逐轮淘汰投票计数法的“记名投票+撰写评语”方式确定中标人。</w:t>
            </w:r>
          </w:p>
          <w:p w14:paraId="1825556C">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u w:val="single"/>
                <w:lang w:bidi="ar"/>
              </w:rPr>
            </w:pPr>
            <w:r>
              <w:rPr>
                <w:rFonts w:hint="eastAsia" w:ascii="宋体" w:hAnsi="宋体" w:eastAsia="宋体" w:cs="宋体"/>
                <w:color w:val="auto"/>
                <w:kern w:val="2"/>
                <w:sz w:val="21"/>
                <w:szCs w:val="21"/>
                <w:highlight w:val="none"/>
                <w:u w:val="single"/>
                <w:lang w:val="en-US" w:eastAsia="zh-CN" w:bidi="ar"/>
              </w:rPr>
              <w:t>（3）招标人应当在定标工作完成后的3日内公示中标结果。公示内容包括：定标时间、所有合格的中标候选人的评审结果或票数及理由、中标人等内容。</w:t>
            </w:r>
          </w:p>
          <w:p w14:paraId="28EED11A">
            <w:pPr>
              <w:keepNext w:val="0"/>
              <w:keepLines w:val="0"/>
              <w:suppressLineNumbers w:val="0"/>
              <w:topLinePunct w:val="0"/>
              <w:snapToGrid w:val="0"/>
              <w:spacing w:before="0" w:beforeAutospacing="0" w:after="0" w:afterAutospacing="0" w:line="240" w:lineRule="auto"/>
              <w:ind w:left="0" w:right="0"/>
              <w:rPr>
                <w:rFonts w:hint="default" w:ascii="宋体" w:hAnsi="宋体"/>
                <w:color w:val="auto"/>
                <w:szCs w:val="21"/>
                <w:highlight w:val="none"/>
              </w:rPr>
            </w:pPr>
            <w:r>
              <w:rPr>
                <w:rFonts w:hint="eastAsia" w:ascii="宋体" w:hAnsi="宋体" w:eastAsia="宋体" w:cs="宋体"/>
                <w:color w:val="auto"/>
                <w:kern w:val="2"/>
                <w:sz w:val="21"/>
                <w:szCs w:val="21"/>
                <w:highlight w:val="none"/>
                <w:u w:val="single"/>
                <w:lang w:val="en-US" w:eastAsia="zh-CN" w:bidi="ar"/>
              </w:rPr>
              <w:t>（4）定标后出现中标人放弃中标、因不可抗力不能履行合同或不符合法定情形的，招标人可从其他合格的中标候选人中采用原定标办法，由原定标委员会</w:t>
            </w:r>
            <w:r>
              <w:rPr>
                <w:rFonts w:hint="default" w:ascii="宋体" w:hAnsi="宋体" w:cs="宋体"/>
                <w:color w:val="auto"/>
                <w:kern w:val="2"/>
                <w:sz w:val="21"/>
                <w:szCs w:val="21"/>
                <w:highlight w:val="none"/>
                <w:u w:val="single"/>
                <w:lang w:eastAsia="zh-CN" w:bidi="ar"/>
              </w:rPr>
              <w:t>重新</w:t>
            </w:r>
            <w:r>
              <w:rPr>
                <w:rFonts w:hint="eastAsia" w:ascii="宋体" w:hAnsi="宋体" w:eastAsia="宋体" w:cs="宋体"/>
                <w:color w:val="auto"/>
                <w:kern w:val="2"/>
                <w:sz w:val="21"/>
                <w:szCs w:val="21"/>
                <w:highlight w:val="none"/>
                <w:u w:val="single"/>
                <w:lang w:val="en-US" w:eastAsia="zh-CN" w:bidi="ar"/>
              </w:rPr>
              <w:t>确定中标人，也可以重新招标。</w:t>
            </w:r>
          </w:p>
        </w:tc>
      </w:tr>
      <w:tr w14:paraId="267DE4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A647348">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632F89A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27A14F73">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是否要求中标人提交履约保证金：</w:t>
            </w:r>
          </w:p>
          <w:p w14:paraId="244A4851">
            <w:pPr>
              <w:keepNext w:val="0"/>
              <w:keepLines w:val="0"/>
              <w:suppressLineNumbers w:val="0"/>
              <w:topLinePunct/>
              <w:spacing w:before="0" w:beforeAutospacing="0" w:after="0" w:afterAutospacing="0"/>
              <w:ind w:left="40" w:leftChars="19" w:right="107" w:rightChars="51"/>
              <w:rPr>
                <w:rFonts w:hint="default" w:ascii="宋体" w:hAnsi="宋体"/>
                <w:color w:val="auto"/>
                <w:szCs w:val="21"/>
                <w:highlight w:val="none"/>
              </w:rPr>
            </w:pPr>
            <w:r>
              <w:rPr>
                <w:rFonts w:hint="eastAsia" w:ascii="宋体" w:hAnsi="宋体"/>
                <w:color w:val="auto"/>
                <w:spacing w:val="-1"/>
                <w:szCs w:val="21"/>
                <w:highlight w:val="none"/>
              </w:rPr>
              <w:t>■</w:t>
            </w:r>
            <w:r>
              <w:rPr>
                <w:rFonts w:hint="eastAsia" w:ascii="宋体" w:hAnsi="宋体"/>
                <w:color w:val="auto"/>
                <w:szCs w:val="21"/>
                <w:highlight w:val="none"/>
              </w:rPr>
              <w:t>要求，履约保证金的形式：</w:t>
            </w:r>
            <w:r>
              <w:rPr>
                <w:rFonts w:hint="default" w:ascii="宋体" w:hAnsi="宋体"/>
                <w:color w:val="auto"/>
                <w:szCs w:val="21"/>
                <w:highlight w:val="none"/>
                <w:u w:val="single"/>
              </w:rPr>
              <w:t>中标人根据自身情况，自主选择提供</w:t>
            </w:r>
            <w:r>
              <w:rPr>
                <w:rFonts w:hint="eastAsia" w:ascii="宋体" w:hAnsi="宋体"/>
                <w:color w:val="auto"/>
                <w:szCs w:val="21"/>
                <w:highlight w:val="none"/>
                <w:u w:val="single"/>
              </w:rPr>
              <w:t>履约</w:t>
            </w:r>
            <w:r>
              <w:rPr>
                <w:rFonts w:hint="default" w:ascii="宋体" w:hAnsi="宋体"/>
                <w:color w:val="auto"/>
                <w:szCs w:val="21"/>
                <w:highlight w:val="none"/>
                <w:u w:val="single"/>
              </w:rPr>
              <w:t>保证金的形式。担保内容、担保范围、担保金额、担保要求等须按合同约定格式。</w:t>
            </w:r>
          </w:p>
          <w:p w14:paraId="035FC010">
            <w:pPr>
              <w:keepNext w:val="0"/>
              <w:keepLines w:val="0"/>
              <w:suppressLineNumbers w:val="0"/>
              <w:spacing w:before="0" w:beforeAutospacing="0" w:after="0" w:afterAutospacing="0"/>
              <w:ind w:left="0" w:leftChars="0" w:right="107" w:rightChars="51" w:firstLine="0" w:firstLineChars="0"/>
              <w:rPr>
                <w:rFonts w:hint="default" w:ascii="宋体" w:hAnsi="宋体"/>
                <w:color w:val="auto"/>
                <w:szCs w:val="21"/>
                <w:highlight w:val="none"/>
              </w:rPr>
            </w:pPr>
            <w:r>
              <w:rPr>
                <w:rFonts w:hint="eastAsia" w:ascii="宋体" w:hAnsi="宋体"/>
                <w:color w:val="auto"/>
                <w:szCs w:val="21"/>
                <w:highlight w:val="none"/>
              </w:rPr>
              <w:t>履约保证金的金额：</w:t>
            </w:r>
            <w:r>
              <w:rPr>
                <w:rFonts w:hint="eastAsia" w:ascii="宋体" w:hAnsi="宋体"/>
                <w:color w:val="auto"/>
                <w:szCs w:val="21"/>
                <w:highlight w:val="none"/>
                <w:u w:val="single"/>
              </w:rPr>
              <w:t>中标价款的10%。</w:t>
            </w:r>
          </w:p>
          <w:p w14:paraId="5687F8F5">
            <w:pPr>
              <w:keepNext w:val="0"/>
              <w:keepLines w:val="0"/>
              <w:suppressLineNumbers w:val="0"/>
              <w:topLinePunct/>
              <w:snapToGrid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□不要求</w:t>
            </w:r>
          </w:p>
        </w:tc>
      </w:tr>
      <w:tr w14:paraId="3E6D31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C54B68E">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16A26AA7">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30ACDE0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□否</w:t>
            </w:r>
          </w:p>
          <w:p w14:paraId="0C52675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■是，具体要求：</w:t>
            </w:r>
          </w:p>
          <w:p w14:paraId="62A41393">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具体操作详见广州交易集团有限公司（广州公共资源交易中心）网站发布的</w:t>
            </w:r>
            <w:r>
              <w:rPr>
                <w:rFonts w:hint="eastAsia" w:ascii="宋体" w:hAnsi="宋体"/>
                <w:color w:val="auto"/>
                <w:szCs w:val="21"/>
                <w:highlight w:val="none"/>
                <w:lang w:eastAsia="zh-CN"/>
              </w:rPr>
              <w:t>《建设工程全流程电子化项目操作指南》</w:t>
            </w:r>
            <w:r>
              <w:rPr>
                <w:rFonts w:hint="eastAsia" w:ascii="宋体" w:hAnsi="宋体"/>
                <w:color w:val="auto"/>
                <w:szCs w:val="21"/>
                <w:highlight w:val="none"/>
              </w:rPr>
              <w:t>。</w:t>
            </w:r>
          </w:p>
          <w:p w14:paraId="30C7AFE5">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提交投标文件光盘备用</w:t>
            </w:r>
          </w:p>
          <w:p w14:paraId="00AC7AA9">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投标人将按</w:t>
            </w:r>
            <w:r>
              <w:rPr>
                <w:rFonts w:hint="eastAsia" w:ascii="宋体" w:hAnsi="宋体"/>
                <w:color w:val="auto"/>
                <w:szCs w:val="21"/>
                <w:highlight w:val="none"/>
                <w:lang w:eastAsia="zh-CN"/>
              </w:rPr>
              <w:t>《建设工程全流程电子化项目操作指南》</w:t>
            </w:r>
            <w:r>
              <w:rPr>
                <w:rFonts w:hint="eastAsia" w:ascii="宋体" w:hAnsi="宋体"/>
                <w:color w:val="auto"/>
                <w:szCs w:val="21"/>
                <w:highlight w:val="none"/>
              </w:rPr>
              <w:t>的操作方法制作的非加密的电子投标文件刻入光盘（1份），在规定的时间、地点</w:t>
            </w:r>
            <w:r>
              <w:rPr>
                <w:rFonts w:hint="eastAsia" w:ascii="宋体" w:hAnsi="宋体" w:cs="宋体"/>
                <w:b/>
                <w:color w:val="auto"/>
                <w:szCs w:val="21"/>
                <w:highlight w:val="none"/>
                <w:u w:val="single"/>
                <w:lang w:bidi="ar"/>
              </w:rPr>
              <w:t>凭法定代表人证明书原件、法定代表人授权委托证明书原件（非法定代表人办理手续时提供）、本人身份证原件</w:t>
            </w:r>
            <w:r>
              <w:rPr>
                <w:rFonts w:hint="eastAsia" w:ascii="宋体" w:hAnsi="宋体"/>
                <w:color w:val="auto"/>
                <w:szCs w:val="21"/>
                <w:highlight w:val="none"/>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4CA0D4D3">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3.补救方案</w:t>
            </w:r>
          </w:p>
          <w:p w14:paraId="7312A6E2">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（1）投标文件解密失败的补救方案：</w:t>
            </w:r>
          </w:p>
          <w:p w14:paraId="39EDC0E1">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75FC008">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（2）评标时突发情况的补救方案</w:t>
            </w:r>
          </w:p>
          <w:p w14:paraId="0EF97BC3">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若遇不可抗力发生（如：网络瘫痪、服务器损坏、交易系统故障短期无法恢复等因素），由评标委员会开启现场递交的全部投标文件光盘，并按光盘内容进行评审。</w:t>
            </w:r>
          </w:p>
          <w:p w14:paraId="0459A8A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（3）除发生上述情况外，开标评标均以投标人通过交易平台网上递交的电子投标文件为准。</w:t>
            </w:r>
          </w:p>
        </w:tc>
      </w:tr>
      <w:tr w14:paraId="41A73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20F8C9C">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454C7674">
            <w:pPr>
              <w:keepNext w:val="0"/>
              <w:keepLines w:val="0"/>
              <w:suppressLineNumbers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需要补充的其他内容</w:t>
            </w:r>
          </w:p>
        </w:tc>
      </w:tr>
      <w:tr w14:paraId="52444C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69464AB">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5590B686">
            <w:pPr>
              <w:keepNext w:val="0"/>
              <w:keepLines w:val="0"/>
              <w:suppressLineNumbers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特别提醒</w:t>
            </w:r>
          </w:p>
        </w:tc>
        <w:tc>
          <w:tcPr>
            <w:tcW w:w="6946" w:type="dxa"/>
            <w:tcBorders>
              <w:top w:val="single" w:color="auto" w:sz="6" w:space="0"/>
              <w:left w:val="single" w:color="auto" w:sz="6" w:space="0"/>
              <w:bottom w:val="single" w:color="auto" w:sz="6" w:space="0"/>
              <w:right w:val="single" w:color="auto" w:sz="4" w:space="0"/>
            </w:tcBorders>
            <w:noWrap/>
            <w:vAlign w:val="center"/>
          </w:tcPr>
          <w:p w14:paraId="73285ED8">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投标人在本项目招标人的工程项目中存在下列行为的，将被拒绝1年内参与我单位后续工程投标。（注：拒绝投标时限自招标人发出通知之日起计）：</w:t>
            </w:r>
          </w:p>
          <w:p w14:paraId="45A20EE7">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（1）将中标工程转包或者违法分包的；</w:t>
            </w:r>
          </w:p>
          <w:p w14:paraId="653EFAA1">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41C16009">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（3）在投标文件中提供虚假材料的；</w:t>
            </w:r>
          </w:p>
          <w:p w14:paraId="0B5811AB">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（4）存在行贿情形的；</w:t>
            </w:r>
          </w:p>
          <w:p w14:paraId="2DFE5D79">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（5）为招标人提供服务过程中存在因过错行为被生效法律文书认定承担违约或侵权责任的；</w:t>
            </w:r>
          </w:p>
          <w:p w14:paraId="6D5D8006">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（6）违反合同约定自行调换或未按照招标人要求及时更换项目负责人（即总监理工程师）的；</w:t>
            </w:r>
          </w:p>
          <w:p w14:paraId="334A3C01">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（7）委派的项目负责人已在其他在建项目中任职且任职数量不符合相关规定并拒绝按照任职承诺书的规定更换的。</w:t>
            </w:r>
          </w:p>
          <w:p w14:paraId="681CDFD2">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（8）中标人在收到中标通知书后，无正当理由不与招标人订立合同，在签订合同时向招标人提出附加条件，或者不按照招标文件要求提交履约保证金；</w:t>
            </w:r>
          </w:p>
          <w:p w14:paraId="5FED9BDF">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（9）存在串通投标、围标情况的；</w:t>
            </w:r>
          </w:p>
          <w:p w14:paraId="013EB742">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（10）投标人以他人名义投标或者允许他人挂靠投标或借用本公司名义投标的；</w:t>
            </w:r>
          </w:p>
          <w:p w14:paraId="1FF9321F">
            <w:pPr>
              <w:keepNext w:val="0"/>
              <w:keepLines w:val="0"/>
              <w:suppressLineNumbers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（11）提供虚假投标文件、虚假证明、虚假承诺/声明/保证或者以其他方式弄虚作假的</w:t>
            </w:r>
            <w:r>
              <w:rPr>
                <w:rFonts w:hint="eastAsia" w:ascii="宋体" w:hAnsi="宋体"/>
                <w:color w:val="auto"/>
                <w:szCs w:val="21"/>
                <w:highlight w:val="none"/>
                <w:lang w:eastAsia="zh-CN"/>
              </w:rPr>
              <w:t>；</w:t>
            </w:r>
          </w:p>
          <w:p w14:paraId="16184D18">
            <w:pPr>
              <w:keepNext w:val="0"/>
              <w:keepLines w:val="0"/>
              <w:suppressLineNumbers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12</w:t>
            </w:r>
            <w:r>
              <w:rPr>
                <w:rFonts w:hint="eastAsia" w:ascii="宋体" w:hAnsi="宋体"/>
                <w:color w:val="auto"/>
                <w:szCs w:val="21"/>
                <w:highlight w:val="none"/>
                <w:lang w:eastAsia="zh-CN"/>
              </w:rPr>
              <w:t>）存在少放、不放业绩、奖项等客观评审资料，减少自身竞争力情形的。</w:t>
            </w:r>
          </w:p>
        </w:tc>
      </w:tr>
      <w:tr w14:paraId="10CEE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5D8EFF2">
            <w:pPr>
              <w:keepNext w:val="0"/>
              <w:keepLines w:val="0"/>
              <w:suppressLineNumbers w:val="0"/>
              <w:snapToGrid w:val="0"/>
              <w:spacing w:before="0" w:beforeAutospacing="0" w:after="0" w:afterAutospacing="0"/>
              <w:ind w:left="0" w:right="0"/>
              <w:jc w:val="center"/>
              <w:rPr>
                <w:rFonts w:hint="eastAsia" w:ascii="宋体" w:hAnsi="宋体"/>
                <w:strike w:val="0"/>
                <w:color w:val="auto"/>
                <w:szCs w:val="21"/>
                <w:highlight w:val="none"/>
              </w:rPr>
            </w:pPr>
            <w:r>
              <w:rPr>
                <w:rFonts w:hint="default" w:ascii="宋体" w:hAnsi="宋体"/>
                <w:strike w:val="0"/>
                <w:color w:val="auto"/>
                <w:szCs w:val="21"/>
                <w:highlight w:val="none"/>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22ACE013">
            <w:pPr>
              <w:keepNext w:val="0"/>
              <w:keepLines w:val="0"/>
              <w:suppressLineNumbers w:val="0"/>
              <w:spacing w:before="0" w:beforeAutospacing="0" w:after="0" w:afterAutospacing="0" w:line="400" w:lineRule="exact"/>
              <w:ind w:left="0" w:right="0"/>
              <w:jc w:val="center"/>
              <w:rPr>
                <w:rFonts w:hint="eastAsia" w:ascii="宋体" w:hAnsi="宋体"/>
                <w:strike w:val="0"/>
                <w:color w:val="auto"/>
                <w:szCs w:val="21"/>
                <w:highlight w:val="none"/>
              </w:rPr>
            </w:pPr>
            <w:r>
              <w:rPr>
                <w:rFonts w:hint="default" w:ascii="宋体" w:hAnsi="宋体"/>
                <w:strike w:val="0"/>
                <w:color w:val="auto"/>
                <w:szCs w:val="21"/>
                <w:highlight w:val="none"/>
              </w:rPr>
              <w:t>送达</w:t>
            </w:r>
          </w:p>
        </w:tc>
        <w:tc>
          <w:tcPr>
            <w:tcW w:w="6946" w:type="dxa"/>
            <w:tcBorders>
              <w:top w:val="single" w:color="auto" w:sz="6" w:space="0"/>
              <w:left w:val="single" w:color="auto" w:sz="6" w:space="0"/>
              <w:bottom w:val="single" w:color="auto" w:sz="6" w:space="0"/>
              <w:right w:val="single" w:color="auto" w:sz="4" w:space="0"/>
            </w:tcBorders>
            <w:noWrap/>
            <w:vAlign w:val="center"/>
          </w:tcPr>
          <w:p w14:paraId="128418A9">
            <w:pPr>
              <w:keepNext w:val="0"/>
              <w:keepLines w:val="0"/>
              <w:suppressLineNumbers w:val="0"/>
              <w:spacing w:before="0" w:beforeAutospacing="0" w:after="0" w:afterAutospacing="0" w:line="240" w:lineRule="auto"/>
              <w:ind w:left="0" w:right="0" w:rightChars="0"/>
              <w:rPr>
                <w:rFonts w:hint="eastAsia" w:ascii="宋体" w:hAnsi="宋体"/>
                <w:strike w:val="0"/>
                <w:color w:val="auto"/>
                <w:szCs w:val="21"/>
                <w:highlight w:val="none"/>
              </w:rPr>
            </w:pPr>
            <w:r>
              <w:rPr>
                <w:rFonts w:hint="default" w:ascii="宋体" w:hAnsi="宋体"/>
                <w:strike w:val="0"/>
                <w:color w:val="auto"/>
                <w:szCs w:val="21"/>
                <w:highlight w:val="none"/>
              </w:rPr>
              <w:t>《投诉处理决定书》和《行政处理决定书》在广州市住房和城乡建设局网站上公布的，视为送达其他与决定书有关的当事人。</w:t>
            </w:r>
          </w:p>
        </w:tc>
      </w:tr>
      <w:tr w14:paraId="179D6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169567">
            <w:pPr>
              <w:keepNext w:val="0"/>
              <w:keepLines w:val="0"/>
              <w:suppressLineNumbers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75B474B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7E7AC5EB">
            <w:pPr>
              <w:keepNext w:val="0"/>
              <w:keepLines w:val="0"/>
              <w:suppressLineNumbers w:val="0"/>
              <w:spacing w:before="0" w:beforeAutospacing="0" w:after="0" w:afterAutospacing="0"/>
              <w:ind w:left="0" w:right="0"/>
              <w:rPr>
                <w:rFonts w:hint="default" w:ascii="宋体" w:hAnsi="宋体"/>
                <w:color w:val="auto"/>
                <w:kern w:val="0"/>
                <w:szCs w:val="21"/>
                <w:highlight w:val="none"/>
              </w:rPr>
            </w:pPr>
            <w:r>
              <w:rPr>
                <w:rFonts w:hint="eastAsia" w:ascii="宋体" w:hAnsi="宋体"/>
                <w:color w:val="auto"/>
                <w:szCs w:val="21"/>
                <w:highlight w:val="none"/>
              </w:rPr>
              <w:t>本项目采用资格后审方式，资格审查与评标同时进行，通过形式评审、资格审查、响应性评审的投标人不足</w:t>
            </w:r>
            <w:r>
              <w:rPr>
                <w:rFonts w:hint="eastAsia" w:ascii="宋体" w:hAnsi="宋体"/>
                <w:b/>
                <w:color w:val="auto"/>
                <w:szCs w:val="21"/>
                <w:highlight w:val="none"/>
              </w:rPr>
              <w:t>3名</w:t>
            </w:r>
            <w:r>
              <w:rPr>
                <w:rFonts w:hint="eastAsia" w:ascii="宋体" w:hAnsi="宋体"/>
                <w:color w:val="auto"/>
                <w:szCs w:val="21"/>
                <w:highlight w:val="none"/>
              </w:rPr>
              <w:t>时为招标失败。招标人分析招标失败原因，修正招标方案，报有关管理部门核准后，重新组织招标。</w:t>
            </w:r>
          </w:p>
        </w:tc>
      </w:tr>
      <w:tr w14:paraId="5594A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AF1AF8A">
            <w:pPr>
              <w:keepNext w:val="0"/>
              <w:keepLines w:val="0"/>
              <w:suppressLineNumbers w:val="0"/>
              <w:snapToGrid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10.</w:t>
            </w:r>
            <w:r>
              <w:rPr>
                <w:rFonts w:hint="eastAsia" w:ascii="宋体" w:hAnsi="宋体"/>
                <w:color w:val="auto"/>
                <w:szCs w:val="21"/>
                <w:highlight w:val="none"/>
                <w:lang w:val="en-US" w:eastAsia="zh-CN"/>
              </w:rPr>
              <w:t>4</w:t>
            </w:r>
          </w:p>
        </w:tc>
        <w:tc>
          <w:tcPr>
            <w:tcW w:w="2161" w:type="dxa"/>
            <w:tcBorders>
              <w:top w:val="single" w:color="auto" w:sz="6" w:space="0"/>
              <w:left w:val="single" w:color="auto" w:sz="6" w:space="0"/>
              <w:bottom w:val="single" w:color="auto" w:sz="6" w:space="0"/>
              <w:right w:val="single" w:color="auto" w:sz="6" w:space="0"/>
            </w:tcBorders>
            <w:noWrap/>
            <w:vAlign w:val="center"/>
          </w:tcPr>
          <w:p w14:paraId="53C99B92">
            <w:pPr>
              <w:keepNext w:val="0"/>
              <w:keepLines w:val="0"/>
              <w:suppressLineNumbers w:val="0"/>
              <w:spacing w:before="0" w:beforeAutospacing="0" w:after="0" w:afterAutospacing="0"/>
              <w:ind w:left="0" w:right="174" w:rightChars="83"/>
              <w:jc w:val="center"/>
              <w:rPr>
                <w:rFonts w:hint="default" w:ascii="宋体" w:hAnsi="宋体"/>
                <w:color w:val="auto"/>
                <w:szCs w:val="21"/>
                <w:highlight w:val="none"/>
              </w:rPr>
            </w:pPr>
            <w:r>
              <w:rPr>
                <w:rFonts w:hint="eastAsia" w:ascii="宋体" w:hAnsi="宋体"/>
                <w:color w:val="auto"/>
                <w:szCs w:val="21"/>
                <w:highlight w:val="none"/>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0502CEC">
            <w:pPr>
              <w:keepNext w:val="0"/>
              <w:keepLines w:val="0"/>
              <w:suppressLineNumbers w:val="0"/>
              <w:spacing w:before="0" w:beforeAutospacing="0" w:after="0" w:afterAutospacing="0"/>
              <w:ind w:left="0" w:right="174" w:rightChars="83"/>
              <w:rPr>
                <w:rFonts w:hint="default" w:ascii="宋体" w:hAnsi="宋体"/>
                <w:color w:val="auto"/>
                <w:szCs w:val="21"/>
                <w:highlight w:val="none"/>
              </w:rPr>
            </w:pPr>
            <w:r>
              <w:rPr>
                <w:rFonts w:hint="eastAsia" w:ascii="宋体" w:hAnsi="宋体"/>
                <w:color w:val="auto"/>
                <w:szCs w:val="21"/>
                <w:highlight w:val="none"/>
              </w:rPr>
              <w:t>在产生中标候选人后，招标人将中标候选人的投标文件商务部分的电子版（报价清单、方案等涉及商业秘密的内容除外）在广州交易集团有限公司（广州公共资源交易中心）网站公开。</w:t>
            </w:r>
          </w:p>
        </w:tc>
      </w:tr>
      <w:tr w14:paraId="469B59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C44C674">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10.</w:t>
            </w:r>
            <w:r>
              <w:rPr>
                <w:rFonts w:hint="eastAsia" w:ascii="宋体" w:hAnsi="宋体"/>
                <w:color w:val="auto"/>
                <w:szCs w:val="21"/>
                <w:highlight w:val="none"/>
                <w:lang w:val="en-US" w:eastAsia="zh-CN"/>
              </w:rPr>
              <w:t>5</w:t>
            </w:r>
          </w:p>
        </w:tc>
        <w:tc>
          <w:tcPr>
            <w:tcW w:w="2161" w:type="dxa"/>
            <w:tcBorders>
              <w:top w:val="single" w:color="auto" w:sz="6" w:space="0"/>
              <w:left w:val="single" w:color="auto" w:sz="6" w:space="0"/>
              <w:bottom w:val="single" w:color="auto" w:sz="6" w:space="0"/>
              <w:right w:val="single" w:color="auto" w:sz="6" w:space="0"/>
            </w:tcBorders>
            <w:noWrap/>
            <w:vAlign w:val="center"/>
          </w:tcPr>
          <w:p w14:paraId="0C37B746">
            <w:pPr>
              <w:keepNext w:val="0"/>
              <w:keepLines w:val="0"/>
              <w:suppressLineNumbers w:val="0"/>
              <w:spacing w:before="0" w:beforeAutospacing="0" w:after="0" w:afterAutospacing="0"/>
              <w:ind w:left="0" w:right="174" w:rightChars="83"/>
              <w:jc w:val="center"/>
              <w:rPr>
                <w:rFonts w:hint="default" w:ascii="宋体" w:hAnsi="宋体"/>
                <w:color w:val="auto"/>
                <w:szCs w:val="21"/>
                <w:highlight w:val="none"/>
              </w:rPr>
            </w:pPr>
            <w:r>
              <w:rPr>
                <w:rFonts w:hint="eastAsia" w:ascii="宋体" w:hAnsi="宋体"/>
                <w:color w:val="auto"/>
                <w:szCs w:val="21"/>
                <w:highlight w:val="none"/>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1970D674">
            <w:pPr>
              <w:keepNext w:val="0"/>
              <w:keepLines w:val="0"/>
              <w:widowControl/>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rPr>
              <w:t>否决投标条款：</w:t>
            </w:r>
          </w:p>
          <w:p w14:paraId="2D22560B">
            <w:pPr>
              <w:keepNext w:val="0"/>
              <w:keepLines w:val="0"/>
              <w:widowControl/>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default" w:ascii="宋体" w:hAnsi="宋体"/>
                <w:color w:val="auto"/>
                <w:szCs w:val="21"/>
                <w:highlight w:val="none"/>
              </w:rPr>
              <w:t>投标人未按</w:t>
            </w:r>
            <w:r>
              <w:rPr>
                <w:rFonts w:hint="eastAsia" w:ascii="宋体" w:hAnsi="宋体"/>
                <w:color w:val="auto"/>
                <w:szCs w:val="21"/>
                <w:highlight w:val="none"/>
                <w:lang w:val="en-US" w:eastAsia="zh-CN"/>
              </w:rPr>
              <w:t>招标</w:t>
            </w:r>
            <w:r>
              <w:rPr>
                <w:rFonts w:hint="default" w:ascii="宋体" w:hAnsi="宋体"/>
                <w:color w:val="auto"/>
                <w:szCs w:val="21"/>
                <w:highlight w:val="none"/>
              </w:rPr>
              <w:t>文件要求提供附件或未按要求加盖电子印章及签名的，经评标委员会认定后，其投标文件将被否决。</w:t>
            </w:r>
          </w:p>
          <w:p w14:paraId="19EBF2D6">
            <w:pPr>
              <w:keepNext w:val="0"/>
              <w:keepLines w:val="0"/>
              <w:widowControl/>
              <w:suppressLineNumbers w:val="0"/>
              <w:spacing w:before="0" w:beforeAutospacing="0" w:after="0" w:afterAutospacing="0" w:line="276" w:lineRule="auto"/>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default" w:ascii="宋体" w:hAnsi="宋体"/>
                <w:color w:val="auto"/>
                <w:szCs w:val="21"/>
                <w:highlight w:val="none"/>
              </w:rPr>
              <w:t>、投标文件中投标报价高于投标最高限价的，其投标文件将被否决。</w:t>
            </w:r>
          </w:p>
          <w:p w14:paraId="7B21F1C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lang w:val="en-US" w:eastAsia="zh-CN"/>
              </w:rPr>
              <w:t>3</w:t>
            </w:r>
            <w:r>
              <w:rPr>
                <w:rFonts w:hint="default" w:ascii="宋体" w:hAnsi="宋体"/>
                <w:color w:val="auto"/>
                <w:szCs w:val="21"/>
                <w:highlight w:val="none"/>
              </w:rPr>
              <w:t>、投标文件符合列于《评标办法前附表》“形式评审标准”“资格评审标准”“响应性评审标准”中所有情形的，为有效投标文件。任</w:t>
            </w:r>
            <w:r>
              <w:rPr>
                <w:rFonts w:hint="eastAsia" w:ascii="宋体" w:hAnsi="宋体"/>
                <w:color w:val="auto"/>
                <w:szCs w:val="21"/>
                <w:highlight w:val="none"/>
              </w:rPr>
              <w:t>一情形不符合均为无效投标文件，经评标委员会认定后，其投标文件将被否决。</w:t>
            </w:r>
          </w:p>
        </w:tc>
      </w:tr>
      <w:tr w14:paraId="7FD905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703F879">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rPr>
              <w:t>10.</w:t>
            </w:r>
            <w:r>
              <w:rPr>
                <w:rFonts w:hint="eastAsia" w:ascii="宋体" w:hAnsi="宋体"/>
                <w:color w:val="auto"/>
                <w:szCs w:val="21"/>
                <w:highlight w:val="none"/>
                <w:lang w:val="en-US" w:eastAsia="zh-CN"/>
              </w:rPr>
              <w:t>6</w:t>
            </w:r>
          </w:p>
        </w:tc>
        <w:tc>
          <w:tcPr>
            <w:tcW w:w="2161" w:type="dxa"/>
            <w:tcBorders>
              <w:top w:val="single" w:color="auto" w:sz="6" w:space="0"/>
              <w:left w:val="single" w:color="auto" w:sz="6" w:space="0"/>
              <w:bottom w:val="single" w:color="auto" w:sz="6" w:space="0"/>
              <w:right w:val="single" w:color="auto" w:sz="6" w:space="0"/>
            </w:tcBorders>
            <w:noWrap/>
            <w:vAlign w:val="center"/>
          </w:tcPr>
          <w:p w14:paraId="76C1DEEB">
            <w:pPr>
              <w:keepNext w:val="0"/>
              <w:keepLines w:val="0"/>
              <w:suppressLineNumbers w:val="0"/>
              <w:spacing w:before="0" w:beforeAutospacing="0" w:after="0" w:afterAutospacing="0"/>
              <w:ind w:left="0" w:right="174" w:rightChars="83"/>
              <w:jc w:val="center"/>
              <w:rPr>
                <w:rFonts w:hint="default" w:ascii="宋体" w:hAnsi="宋体"/>
                <w:color w:val="auto"/>
                <w:szCs w:val="21"/>
                <w:highlight w:val="none"/>
              </w:rPr>
            </w:pPr>
            <w:r>
              <w:rPr>
                <w:rFonts w:hint="eastAsia" w:ascii="宋体" w:hAnsi="宋体"/>
                <w:color w:val="auto"/>
                <w:szCs w:val="21"/>
                <w:highlight w:val="none"/>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794F23AE">
            <w:pPr>
              <w:keepNext w:val="0"/>
              <w:keepLines w:val="0"/>
              <w:suppressLineNumbers w:val="0"/>
              <w:spacing w:before="0" w:beforeAutospacing="0" w:after="0" w:afterAutospacing="0"/>
              <w:ind w:left="38" w:leftChars="17" w:right="0" w:hanging="2" w:hangingChars="1"/>
              <w:rPr>
                <w:rFonts w:hint="default" w:ascii="宋体" w:hAnsi="宋体"/>
                <w:color w:val="auto"/>
                <w:szCs w:val="21"/>
                <w:highlight w:val="none"/>
              </w:rPr>
            </w:pPr>
            <w:r>
              <w:rPr>
                <w:rFonts w:hint="eastAsia" w:ascii="宋体" w:hAnsi="宋体"/>
                <w:color w:val="auto"/>
                <w:szCs w:val="21"/>
                <w:highlight w:val="none"/>
              </w:rPr>
              <w:t>在中标</w:t>
            </w:r>
            <w:r>
              <w:rPr>
                <w:rFonts w:hint="eastAsia" w:ascii="宋体" w:hAnsi="宋体"/>
                <w:color w:val="auto"/>
                <w:szCs w:val="21"/>
                <w:highlight w:val="none"/>
                <w:lang w:val="en-US" w:eastAsia="zh-CN"/>
              </w:rPr>
              <w:t>结果</w:t>
            </w:r>
            <w:r>
              <w:rPr>
                <w:rFonts w:hint="eastAsia" w:ascii="宋体" w:hAnsi="宋体"/>
                <w:color w:val="auto"/>
                <w:szCs w:val="21"/>
                <w:highlight w:val="none"/>
              </w:rPr>
              <w:t>公示结束后</w:t>
            </w:r>
            <w:r>
              <w:rPr>
                <w:rFonts w:hint="default" w:ascii="宋体" w:hAnsi="宋体"/>
                <w:color w:val="auto"/>
                <w:szCs w:val="21"/>
                <w:highlight w:val="none"/>
              </w:rPr>
              <w:t>5个工作日内，</w:t>
            </w:r>
            <w:r>
              <w:rPr>
                <w:rFonts w:hint="eastAsia" w:ascii="宋体" w:hAnsi="宋体"/>
                <w:color w:val="auto"/>
                <w:szCs w:val="21"/>
                <w:highlight w:val="none"/>
                <w:lang w:val="en-US" w:eastAsia="zh-CN"/>
              </w:rPr>
              <w:t>中标单位</w:t>
            </w:r>
            <w:r>
              <w:rPr>
                <w:rFonts w:hint="default" w:ascii="宋体" w:hAnsi="宋体"/>
                <w:color w:val="auto"/>
                <w:szCs w:val="21"/>
                <w:highlight w:val="none"/>
              </w:rPr>
              <w:t>向招标人提交与在</w:t>
            </w:r>
            <w:r>
              <w:rPr>
                <w:rFonts w:hint="eastAsia" w:ascii="宋体" w:hAnsi="宋体"/>
                <w:color w:val="auto"/>
                <w:szCs w:val="21"/>
                <w:highlight w:val="none"/>
              </w:rPr>
              <w:t>广州交易集团有限公司（广州公共资源交易中心）</w:t>
            </w:r>
            <w:r>
              <w:rPr>
                <w:rFonts w:hint="default" w:ascii="宋体" w:hAnsi="宋体"/>
                <w:color w:val="auto"/>
                <w:szCs w:val="21"/>
                <w:highlight w:val="none"/>
              </w:rPr>
              <w:t>系统上传投标文件内容相同的</w:t>
            </w:r>
            <w:r>
              <w:rPr>
                <w:rFonts w:hint="eastAsia" w:ascii="宋体" w:hAnsi="宋体"/>
                <w:color w:val="auto"/>
                <w:szCs w:val="21"/>
                <w:highlight w:val="none"/>
              </w:rPr>
              <w:t>电子投标文件两份（光盘）</w:t>
            </w:r>
            <w:r>
              <w:rPr>
                <w:rFonts w:hint="default" w:ascii="宋体" w:hAnsi="宋体"/>
                <w:color w:val="auto"/>
                <w:szCs w:val="21"/>
                <w:highlight w:val="none"/>
              </w:rPr>
              <w:t>。纸质版投标文件按需提供。</w:t>
            </w:r>
          </w:p>
        </w:tc>
      </w:tr>
    </w:tbl>
    <w:p w14:paraId="641B515B">
      <w:pPr>
        <w:spacing w:before="240" w:beforeLines="100" w:line="360" w:lineRule="auto"/>
        <w:jc w:val="left"/>
        <w:outlineLvl w:val="1"/>
        <w:rPr>
          <w:rFonts w:ascii="宋体" w:hAnsi="宋体"/>
          <w:b/>
          <w:bCs/>
          <w:color w:val="auto"/>
          <w:sz w:val="32"/>
          <w:szCs w:val="32"/>
          <w:highlight w:val="none"/>
        </w:rPr>
      </w:pPr>
      <w:r>
        <w:rPr>
          <w:rFonts w:hint="eastAsia" w:ascii="宋体" w:hAnsi="宋体"/>
          <w:color w:val="auto"/>
          <w:highlight w:val="none"/>
        </w:rPr>
        <w:br w:type="page"/>
      </w:r>
      <w:bookmarkEnd w:id="8"/>
      <w:bookmarkEnd w:id="9"/>
      <w:bookmarkEnd w:id="10"/>
      <w:r>
        <w:rPr>
          <w:rFonts w:hint="eastAsia" w:ascii="宋体" w:hAnsi="宋体"/>
          <w:b/>
          <w:bCs/>
          <w:color w:val="auto"/>
          <w:sz w:val="28"/>
          <w:szCs w:val="32"/>
          <w:highlight w:val="none"/>
        </w:rPr>
        <w:t>第二章 正文详见《中华人民共和国标准监理招标文件》（2017年版）</w:t>
      </w:r>
    </w:p>
    <w:p w14:paraId="16E1DDF1">
      <w:pPr>
        <w:spacing w:before="260"/>
        <w:outlineLvl w:val="2"/>
        <w:rPr>
          <w:rFonts w:ascii="宋体" w:hAnsi="宋体"/>
          <w:b/>
          <w:color w:val="auto"/>
          <w:sz w:val="32"/>
          <w:szCs w:val="32"/>
          <w:highlight w:val="none"/>
        </w:rPr>
      </w:pPr>
      <w:bookmarkStart w:id="11" w:name="_Toc515205193"/>
      <w:bookmarkStart w:id="12" w:name="_Toc529196520"/>
      <w:r>
        <w:rPr>
          <w:rFonts w:hint="eastAsia" w:ascii="宋体" w:hAnsi="宋体"/>
          <w:b/>
          <w:color w:val="auto"/>
          <w:sz w:val="32"/>
          <w:szCs w:val="32"/>
          <w:highlight w:val="none"/>
        </w:rPr>
        <w:t>1. 总则</w:t>
      </w:r>
      <w:bookmarkEnd w:id="11"/>
      <w:bookmarkEnd w:id="12"/>
    </w:p>
    <w:p w14:paraId="7F9493B7">
      <w:pPr>
        <w:spacing w:before="240" w:beforeLines="100" w:after="240" w:afterLines="100"/>
        <w:rPr>
          <w:rFonts w:ascii="宋体" w:hAnsi="宋体"/>
          <w:b/>
          <w:color w:val="auto"/>
          <w:sz w:val="28"/>
          <w:szCs w:val="28"/>
          <w:highlight w:val="none"/>
        </w:rPr>
      </w:pPr>
      <w:bookmarkStart w:id="13" w:name="_Toc515205194"/>
      <w:bookmarkStart w:id="14" w:name="_Toc529196521"/>
      <w:r>
        <w:rPr>
          <w:rFonts w:hint="eastAsia" w:ascii="宋体" w:hAnsi="宋体"/>
          <w:b/>
          <w:color w:val="auto"/>
          <w:sz w:val="28"/>
          <w:szCs w:val="28"/>
          <w:highlight w:val="none"/>
        </w:rPr>
        <w:t>1.1 招标项目概况</w:t>
      </w:r>
      <w:bookmarkEnd w:id="13"/>
      <w:bookmarkEnd w:id="14"/>
    </w:p>
    <w:p w14:paraId="5B505F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1.1.1根据《中华人民共和国招标投标法》、《中华人民共和国招标投标法实施条例》等有关法律、法规和规章的规定，本招标项目已具备招标条件，现对监理进行招标。</w:t>
      </w:r>
    </w:p>
    <w:p w14:paraId="32D65D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招标人：见投标人须知前附表。</w:t>
      </w:r>
    </w:p>
    <w:p w14:paraId="7C06AC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招标代理机构：见投标人须知前附表。</w:t>
      </w:r>
    </w:p>
    <w:p w14:paraId="380679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招标项目名称：见投标人须知前附表。</w:t>
      </w:r>
    </w:p>
    <w:p w14:paraId="788EE0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 项目建设地点：见投标人须知前附表。</w:t>
      </w:r>
    </w:p>
    <w:p w14:paraId="61C51B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 项目建设规模：见投标人须知前附表。</w:t>
      </w:r>
    </w:p>
    <w:p w14:paraId="52F984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1.1.7 工程项目施工预计开工日期和建设周期：见投标人须知前附表。</w:t>
      </w:r>
    </w:p>
    <w:p w14:paraId="4C92CF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1.1.8 建筑安装工程费/工程概算：见投标人须知前附表。</w:t>
      </w:r>
    </w:p>
    <w:p w14:paraId="198A44FD">
      <w:pPr>
        <w:spacing w:before="240" w:beforeLines="100" w:after="240" w:afterLines="100"/>
        <w:rPr>
          <w:rFonts w:ascii="宋体" w:hAnsi="宋体"/>
          <w:b/>
          <w:color w:val="auto"/>
          <w:sz w:val="28"/>
          <w:szCs w:val="28"/>
          <w:highlight w:val="none"/>
        </w:rPr>
      </w:pPr>
      <w:bookmarkStart w:id="15" w:name="_Toc515205195"/>
      <w:bookmarkStart w:id="16" w:name="_Toc529196522"/>
      <w:r>
        <w:rPr>
          <w:rFonts w:hint="eastAsia" w:ascii="宋体" w:hAnsi="宋体"/>
          <w:b/>
          <w:color w:val="auto"/>
          <w:sz w:val="28"/>
          <w:szCs w:val="28"/>
          <w:highlight w:val="none"/>
        </w:rPr>
        <w:t>1.2 招标项目的资金来源和落实情况</w:t>
      </w:r>
      <w:bookmarkEnd w:id="15"/>
      <w:bookmarkEnd w:id="16"/>
    </w:p>
    <w:p w14:paraId="225DF8B8">
      <w:pPr>
        <w:spacing w:line="360" w:lineRule="auto"/>
        <w:ind w:firstLine="420" w:firstLineChars="200"/>
        <w:rPr>
          <w:rFonts w:ascii="宋体" w:hAnsi="宋体"/>
          <w:color w:val="auto"/>
          <w:highlight w:val="none"/>
        </w:rPr>
      </w:pPr>
      <w:r>
        <w:rPr>
          <w:rFonts w:hint="eastAsia" w:ascii="宋体" w:hAnsi="宋体"/>
          <w:color w:val="auto"/>
          <w:highlight w:val="none"/>
        </w:rPr>
        <w:t>1.2.1 资金来源及比例：见投标人须知前附表。</w:t>
      </w:r>
    </w:p>
    <w:p w14:paraId="7718B73D">
      <w:pPr>
        <w:spacing w:line="360" w:lineRule="auto"/>
        <w:ind w:firstLine="420" w:firstLineChars="200"/>
        <w:rPr>
          <w:rFonts w:ascii="宋体" w:hAnsi="宋体"/>
          <w:color w:val="auto"/>
          <w:highlight w:val="none"/>
        </w:rPr>
      </w:pPr>
      <w:r>
        <w:rPr>
          <w:rFonts w:hint="eastAsia" w:ascii="宋体" w:hAnsi="宋体"/>
          <w:color w:val="auto"/>
          <w:highlight w:val="none"/>
        </w:rPr>
        <w:t>1.2.2 资金落实情况：见投标人须知前附表。</w:t>
      </w:r>
    </w:p>
    <w:p w14:paraId="3EE48F8A">
      <w:pPr>
        <w:spacing w:before="240" w:beforeLines="100" w:after="240" w:afterLines="100"/>
        <w:rPr>
          <w:rFonts w:ascii="宋体" w:hAnsi="宋体"/>
          <w:b/>
          <w:color w:val="auto"/>
          <w:sz w:val="28"/>
          <w:szCs w:val="28"/>
          <w:highlight w:val="none"/>
        </w:rPr>
      </w:pPr>
      <w:bookmarkStart w:id="17" w:name="_Toc529196523"/>
      <w:bookmarkStart w:id="18" w:name="_Toc515205196"/>
      <w:r>
        <w:rPr>
          <w:rFonts w:hint="eastAsia" w:ascii="宋体" w:hAnsi="宋体"/>
          <w:b/>
          <w:color w:val="auto"/>
          <w:sz w:val="28"/>
          <w:szCs w:val="28"/>
          <w:highlight w:val="none"/>
        </w:rPr>
        <w:t>1.3招标范围、监理服务期限和质量标准</w:t>
      </w:r>
      <w:bookmarkEnd w:id="17"/>
      <w:bookmarkEnd w:id="18"/>
    </w:p>
    <w:p w14:paraId="34AAC6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招标范围：见投标人须知前附表。</w:t>
      </w:r>
    </w:p>
    <w:p w14:paraId="56AFAD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监理服务期限：见投标人须知前附表。</w:t>
      </w:r>
    </w:p>
    <w:p w14:paraId="3E6CE4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质量标准：见投标人须知前附表。</w:t>
      </w:r>
    </w:p>
    <w:p w14:paraId="39DBF43B">
      <w:pPr>
        <w:spacing w:before="240" w:beforeLines="100" w:after="240" w:afterLines="100"/>
        <w:rPr>
          <w:rFonts w:ascii="宋体" w:hAnsi="宋体"/>
          <w:b/>
          <w:color w:val="auto"/>
          <w:sz w:val="28"/>
          <w:szCs w:val="28"/>
          <w:highlight w:val="none"/>
        </w:rPr>
      </w:pPr>
      <w:bookmarkStart w:id="19" w:name="_Toc529196524"/>
      <w:bookmarkStart w:id="20" w:name="_Toc515205197"/>
      <w:r>
        <w:rPr>
          <w:rFonts w:hint="eastAsia" w:ascii="宋体" w:hAnsi="宋体"/>
          <w:b/>
          <w:color w:val="auto"/>
          <w:sz w:val="28"/>
          <w:szCs w:val="28"/>
          <w:highlight w:val="none"/>
        </w:rPr>
        <w:t>1.4投标人资格要求</w:t>
      </w:r>
      <w:bookmarkEnd w:id="19"/>
      <w:bookmarkEnd w:id="20"/>
    </w:p>
    <w:p w14:paraId="32E883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 投标人应具备承担本招标项目资质条件、能力和信誉：</w:t>
      </w:r>
    </w:p>
    <w:p w14:paraId="388B468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（1）资质要求：见投标人须知前附表；</w:t>
      </w:r>
    </w:p>
    <w:p w14:paraId="176A4BB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（2）财务要求：见投标人须知前附表；</w:t>
      </w:r>
    </w:p>
    <w:p w14:paraId="3EADBEB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（3）业绩要求：见投标人须知前附表；</w:t>
      </w:r>
    </w:p>
    <w:p w14:paraId="420E5D1C">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（4）信誉要求：见投标人须知前附表；</w:t>
      </w:r>
    </w:p>
    <w:p w14:paraId="19C24688">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（5）总监理工程师的资格要求：应当具备工程注册监理工程师执业资格（如有），具体要求见投标人须知前附表；</w:t>
      </w:r>
    </w:p>
    <w:p w14:paraId="790F4950">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（6）其他主要人员要求：见投标人须知前附表。</w:t>
      </w:r>
    </w:p>
    <w:p w14:paraId="331F5F07">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（7）试验检测仪器设备要求：见投标人须知前附表。</w:t>
      </w:r>
    </w:p>
    <w:p w14:paraId="1870438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（8）其他要求：见投标人须知前附表。</w:t>
      </w:r>
    </w:p>
    <w:p w14:paraId="0B10F4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需要提交的相关证明材料见本章第3.5款的规定。</w:t>
      </w:r>
    </w:p>
    <w:p w14:paraId="7C404E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1.4.2投标人须知前附表规定接受联合体投标的，联合体除应符合本章第1.4.1项和投标人须知前附表的要求外，还应遵守以下规定：</w:t>
      </w:r>
    </w:p>
    <w:p w14:paraId="630A3815">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（1）联合体各方应按招标文件提供的格式签订联合体协议书，明确联合体牵头人和各方权利义务，并承诺就中标项目向招标人承担连带责任；</w:t>
      </w:r>
    </w:p>
    <w:p w14:paraId="0EB39221">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05A8C4B4">
      <w:pPr>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（3）联合体各方不得再以自己名义单独或参加其他联合体在本招标项目中投标，否则各相关投标均无效。</w:t>
      </w:r>
    </w:p>
    <w:p w14:paraId="3D665C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 投标人不得存在下列情形之一：</w:t>
      </w:r>
    </w:p>
    <w:p w14:paraId="2BDAC3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14:paraId="0086E0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14:paraId="7CED58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14:paraId="350E73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14:paraId="71256D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14:paraId="1DEFD1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14:paraId="074736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14:paraId="35B4BD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14:paraId="0D9D2B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14:paraId="781035EF">
      <w:pPr>
        <w:spacing w:before="1" w:line="360" w:lineRule="auto"/>
        <w:ind w:firstLine="440" w:firstLineChars="200"/>
        <w:rPr>
          <w:rFonts w:ascii="宋体" w:hAnsi="宋体" w:cs="宋体"/>
          <w:color w:val="auto"/>
          <w:szCs w:val="21"/>
          <w:highlight w:val="none"/>
        </w:rPr>
      </w:pPr>
      <w:r>
        <w:rPr>
          <w:rFonts w:ascii="宋体" w:hAnsi="宋体" w:cs="宋体"/>
          <w:color w:val="auto"/>
          <w:spacing w:val="5"/>
          <w:szCs w:val="21"/>
          <w:highlight w:val="none"/>
        </w:rPr>
        <w:t>(</w:t>
      </w:r>
      <w:r>
        <w:rPr>
          <w:rFonts w:ascii="Times New Roman" w:hAnsi="Times New Roman" w:eastAsia="Times New Roman"/>
          <w:color w:val="auto"/>
          <w:spacing w:val="5"/>
          <w:szCs w:val="21"/>
          <w:highlight w:val="none"/>
        </w:rPr>
        <w:t>10</w:t>
      </w:r>
      <w:r>
        <w:rPr>
          <w:rFonts w:ascii="宋体" w:hAnsi="宋体" w:cs="宋体"/>
          <w:color w:val="auto"/>
          <w:spacing w:val="5"/>
          <w:szCs w:val="21"/>
          <w:highlight w:val="none"/>
        </w:rPr>
        <w:t>)被依法暂停或者取消投标资格；</w:t>
      </w:r>
      <w:r>
        <w:rPr>
          <w:rFonts w:hint="eastAsia" w:ascii="宋体" w:hAnsi="宋体" w:cs="宋体"/>
          <w:color w:val="auto"/>
          <w:spacing w:val="5"/>
          <w:szCs w:val="21"/>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auto"/>
          <w:spacing w:val="5"/>
          <w:szCs w:val="21"/>
          <w:highlight w:val="none"/>
        </w:rPr>
        <w:t>）</w:t>
      </w:r>
    </w:p>
    <w:p w14:paraId="47902C9B">
      <w:pPr>
        <w:spacing w:before="37" w:line="360" w:lineRule="auto"/>
        <w:ind w:right="-20" w:firstLine="468" w:firstLineChars="200"/>
        <w:jc w:val="left"/>
        <w:rPr>
          <w:rFonts w:ascii="宋体" w:hAnsi="宋体"/>
          <w:color w:val="auto"/>
          <w:highlight w:val="none"/>
        </w:rPr>
      </w:pPr>
      <w:r>
        <w:rPr>
          <w:rFonts w:ascii="宋体" w:hAnsi="宋体" w:cs="宋体"/>
          <w:color w:val="auto"/>
          <w:spacing w:val="12"/>
          <w:szCs w:val="21"/>
          <w:highlight w:val="none"/>
        </w:rPr>
        <w:t>(</w:t>
      </w:r>
      <w:r>
        <w:rPr>
          <w:rFonts w:ascii="Times New Roman" w:hAnsi="Times New Roman" w:eastAsia="Times New Roman"/>
          <w:color w:val="auto"/>
          <w:spacing w:val="6"/>
          <w:szCs w:val="21"/>
          <w:highlight w:val="none"/>
        </w:rPr>
        <w:t>11</w:t>
      </w:r>
      <w:r>
        <w:rPr>
          <w:rFonts w:ascii="宋体" w:hAnsi="宋体" w:cs="宋体"/>
          <w:color w:val="auto"/>
          <w:spacing w:val="6"/>
          <w:szCs w:val="21"/>
          <w:highlight w:val="none"/>
        </w:rPr>
        <w:t>)被责令停产停业、暂扣或者吊销许可证、暂扣或者吊销执照；</w:t>
      </w:r>
      <w:r>
        <w:rPr>
          <w:rFonts w:hint="eastAsia" w:ascii="宋体" w:hAnsi="宋体"/>
          <w:color w:val="auto"/>
          <w:highlight w:val="none"/>
          <w:u w:val="single"/>
        </w:rPr>
        <w:t>（本项事实应当以根据《中华人民共和国行政处罚法》依法作出并已经生效的行政处罚决定为认定依据。）</w:t>
      </w:r>
    </w:p>
    <w:p w14:paraId="35034E7C">
      <w:pPr>
        <w:spacing w:before="151" w:line="360" w:lineRule="auto"/>
        <w:ind w:firstLine="545" w:firstLineChars="250"/>
        <w:rPr>
          <w:rFonts w:ascii="宋体" w:hAnsi="宋体" w:cs="宋体"/>
          <w:color w:val="auto"/>
          <w:szCs w:val="21"/>
          <w:highlight w:val="none"/>
        </w:rPr>
      </w:pPr>
      <w:r>
        <w:rPr>
          <w:rFonts w:ascii="宋体" w:hAnsi="宋体" w:cs="宋体"/>
          <w:color w:val="auto"/>
          <w:spacing w:val="4"/>
          <w:szCs w:val="21"/>
          <w:highlight w:val="none"/>
        </w:rPr>
        <w:t>(</w:t>
      </w:r>
      <w:r>
        <w:rPr>
          <w:rFonts w:ascii="Times New Roman" w:hAnsi="Times New Roman" w:eastAsia="Times New Roman"/>
          <w:color w:val="auto"/>
          <w:spacing w:val="3"/>
          <w:szCs w:val="21"/>
          <w:highlight w:val="none"/>
        </w:rPr>
        <w:t>12</w:t>
      </w:r>
      <w:r>
        <w:rPr>
          <w:rFonts w:ascii="宋体" w:hAnsi="宋体" w:cs="宋体"/>
          <w:color w:val="auto"/>
          <w:spacing w:val="3"/>
          <w:szCs w:val="21"/>
          <w:highlight w:val="none"/>
        </w:rPr>
        <w:t>)进入清算程序，或被宣告破产，或其他丧失履约能力的情形；</w:t>
      </w:r>
    </w:p>
    <w:p w14:paraId="5C7B763B">
      <w:pPr>
        <w:widowControl/>
        <w:spacing w:before="39" w:line="360" w:lineRule="auto"/>
        <w:ind w:right="-20" w:firstLine="484" w:firstLineChars="200"/>
        <w:jc w:val="left"/>
        <w:rPr>
          <w:rFonts w:ascii="宋体" w:hAnsi="宋体"/>
          <w:color w:val="auto"/>
          <w:highlight w:val="none"/>
          <w:u w:val="single"/>
        </w:rPr>
      </w:pPr>
      <w:r>
        <w:rPr>
          <w:rFonts w:ascii="宋体" w:hAnsi="宋体" w:cs="宋体"/>
          <w:color w:val="auto"/>
          <w:spacing w:val="16"/>
          <w:szCs w:val="21"/>
          <w:highlight w:val="none"/>
        </w:rPr>
        <w:t>(</w:t>
      </w:r>
      <w:r>
        <w:rPr>
          <w:rFonts w:ascii="Times New Roman" w:hAnsi="Times New Roman" w:eastAsia="Times New Roman"/>
          <w:color w:val="auto"/>
          <w:spacing w:val="13"/>
          <w:szCs w:val="21"/>
          <w:highlight w:val="none"/>
        </w:rPr>
        <w:t>1</w:t>
      </w:r>
      <w:r>
        <w:rPr>
          <w:rFonts w:ascii="Times New Roman" w:hAnsi="Times New Roman" w:eastAsia="Times New Roman"/>
          <w:color w:val="auto"/>
          <w:spacing w:val="8"/>
          <w:szCs w:val="21"/>
          <w:highlight w:val="none"/>
        </w:rPr>
        <w:t>3</w:t>
      </w:r>
      <w:r>
        <w:rPr>
          <w:rFonts w:ascii="宋体" w:hAnsi="宋体" w:cs="宋体"/>
          <w:color w:val="auto"/>
          <w:spacing w:val="8"/>
          <w:szCs w:val="21"/>
          <w:highlight w:val="none"/>
        </w:rPr>
        <w:t>)在最近三年内发生重大监理质量问题</w:t>
      </w:r>
      <w:r>
        <w:rPr>
          <w:rFonts w:ascii="宋体" w:hAnsi="宋体" w:cs="宋体"/>
          <w:color w:val="auto"/>
          <w:spacing w:val="-1"/>
          <w:szCs w:val="21"/>
          <w:highlight w:val="none"/>
        </w:rPr>
        <w:t>；</w:t>
      </w:r>
      <w:r>
        <w:rPr>
          <w:rFonts w:ascii="宋体" w:hAnsi="宋体"/>
          <w:color w:val="auto"/>
          <w:szCs w:val="24"/>
          <w:highlight w:val="none"/>
          <w:u w:val="single"/>
          <w:lang w:bidi="ar"/>
        </w:rPr>
        <w:t>（“重大</w:t>
      </w:r>
      <w:r>
        <w:rPr>
          <w:rFonts w:hint="eastAsia" w:ascii="宋体" w:hAnsi="宋体"/>
          <w:color w:val="auto"/>
          <w:szCs w:val="24"/>
          <w:highlight w:val="none"/>
          <w:u w:val="single"/>
          <w:lang w:bidi="ar"/>
        </w:rPr>
        <w:t>监理</w:t>
      </w:r>
      <w:r>
        <w:rPr>
          <w:rFonts w:ascii="宋体" w:hAnsi="宋体"/>
          <w:color w:val="auto"/>
          <w:szCs w:val="24"/>
          <w:highlight w:val="none"/>
          <w:u w:val="single"/>
          <w:lang w:bidi="ar"/>
        </w:rPr>
        <w:t>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D563A9E">
      <w:pPr>
        <w:spacing w:before="231" w:line="562" w:lineRule="exact"/>
        <w:ind w:left="427"/>
        <w:rPr>
          <w:rFonts w:ascii="宋体" w:hAnsi="宋体" w:cs="宋体"/>
          <w:color w:val="auto"/>
          <w:szCs w:val="21"/>
          <w:highlight w:val="none"/>
        </w:rPr>
      </w:pPr>
      <w:r>
        <w:rPr>
          <w:rFonts w:ascii="宋体" w:hAnsi="宋体" w:cs="宋体"/>
          <w:color w:val="auto"/>
          <w:spacing w:val="5"/>
          <w:position w:val="27"/>
          <w:szCs w:val="21"/>
          <w:highlight w:val="none"/>
        </w:rPr>
        <w:t>(</w:t>
      </w:r>
      <w:r>
        <w:rPr>
          <w:rFonts w:ascii="Times New Roman" w:hAnsi="Times New Roman" w:eastAsia="Times New Roman"/>
          <w:color w:val="auto"/>
          <w:spacing w:val="3"/>
          <w:position w:val="27"/>
          <w:szCs w:val="21"/>
          <w:highlight w:val="none"/>
        </w:rPr>
        <w:t>14</w:t>
      </w:r>
      <w:r>
        <w:rPr>
          <w:rFonts w:ascii="宋体" w:hAnsi="宋体" w:cs="宋体"/>
          <w:color w:val="auto"/>
          <w:spacing w:val="3"/>
          <w:position w:val="27"/>
          <w:szCs w:val="21"/>
          <w:highlight w:val="none"/>
        </w:rPr>
        <w:t>) 法律法规或投标人须知前附表规定的其他情形。</w:t>
      </w:r>
    </w:p>
    <w:p w14:paraId="371EF5B1">
      <w:pPr>
        <w:spacing w:before="240" w:beforeLines="100" w:after="240" w:afterLines="100"/>
        <w:rPr>
          <w:rFonts w:ascii="宋体" w:hAnsi="宋体"/>
          <w:b/>
          <w:color w:val="auto"/>
          <w:sz w:val="28"/>
          <w:szCs w:val="28"/>
          <w:highlight w:val="none"/>
        </w:rPr>
      </w:pPr>
      <w:bookmarkStart w:id="21" w:name="_Toc515205198"/>
      <w:bookmarkStart w:id="22" w:name="_Toc529196525"/>
      <w:r>
        <w:rPr>
          <w:rFonts w:hint="eastAsia" w:ascii="宋体" w:hAnsi="宋体"/>
          <w:b/>
          <w:color w:val="auto"/>
          <w:sz w:val="28"/>
          <w:szCs w:val="28"/>
          <w:highlight w:val="none"/>
        </w:rPr>
        <w:t>1.5 费用承担</w:t>
      </w:r>
      <w:bookmarkEnd w:id="21"/>
      <w:bookmarkEnd w:id="22"/>
    </w:p>
    <w:p w14:paraId="507B24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14:paraId="5B189683">
      <w:pPr>
        <w:spacing w:before="240" w:beforeLines="100" w:after="240" w:afterLines="100"/>
        <w:rPr>
          <w:rFonts w:ascii="宋体" w:hAnsi="宋体"/>
          <w:b/>
          <w:color w:val="auto"/>
          <w:sz w:val="28"/>
          <w:szCs w:val="28"/>
          <w:highlight w:val="none"/>
        </w:rPr>
      </w:pPr>
      <w:bookmarkStart w:id="23" w:name="_Toc529196526"/>
      <w:bookmarkStart w:id="24" w:name="_Toc515205199"/>
      <w:r>
        <w:rPr>
          <w:rFonts w:hint="eastAsia" w:ascii="宋体" w:hAnsi="宋体"/>
          <w:b/>
          <w:color w:val="auto"/>
          <w:sz w:val="28"/>
          <w:szCs w:val="28"/>
          <w:highlight w:val="none"/>
        </w:rPr>
        <w:t>1.6保密</w:t>
      </w:r>
      <w:bookmarkEnd w:id="23"/>
      <w:bookmarkEnd w:id="24"/>
    </w:p>
    <w:p w14:paraId="18AB5980">
      <w:pPr>
        <w:spacing w:line="360" w:lineRule="auto"/>
        <w:ind w:firstLine="420" w:firstLineChars="200"/>
        <w:rPr>
          <w:rFonts w:ascii="宋体" w:hAnsi="宋体"/>
          <w:color w:val="auto"/>
          <w:highlight w:val="none"/>
        </w:rPr>
      </w:pPr>
      <w:r>
        <w:rPr>
          <w:rFonts w:hint="eastAsia" w:ascii="宋体" w:hAnsi="宋体"/>
          <w:color w:val="auto"/>
          <w:highlight w:val="none"/>
        </w:rPr>
        <w:t>参与招标投标活动的各方应对招标文件和投标文件中</w:t>
      </w:r>
      <w:bookmarkStart w:id="25" w:name="_Toc361508589"/>
      <w:bookmarkStart w:id="26" w:name="_Toc352691477"/>
      <w:bookmarkStart w:id="27" w:name="_Toc369531519"/>
      <w:bookmarkStart w:id="28" w:name="_Toc5326"/>
      <w:bookmarkStart w:id="29" w:name="_Toc384308214"/>
      <w:r>
        <w:rPr>
          <w:rFonts w:hint="eastAsia" w:ascii="宋体" w:hAnsi="宋体"/>
          <w:color w:val="auto"/>
          <w:highlight w:val="none"/>
        </w:rPr>
        <w:t>的商业和技术等秘密保密</w:t>
      </w:r>
      <w:bookmarkEnd w:id="25"/>
      <w:bookmarkEnd w:id="26"/>
      <w:bookmarkEnd w:id="27"/>
      <w:bookmarkEnd w:id="28"/>
      <w:bookmarkEnd w:id="29"/>
      <w:r>
        <w:rPr>
          <w:rFonts w:hint="eastAsia" w:ascii="宋体" w:hAnsi="宋体"/>
          <w:color w:val="auto"/>
          <w:highlight w:val="none"/>
        </w:rPr>
        <w:t>，否则应承担相应的法律责任。</w:t>
      </w:r>
    </w:p>
    <w:p w14:paraId="08FB09C2">
      <w:pPr>
        <w:spacing w:before="240" w:beforeLines="100" w:after="240" w:afterLines="100"/>
        <w:rPr>
          <w:rFonts w:ascii="宋体" w:hAnsi="宋体"/>
          <w:b/>
          <w:color w:val="auto"/>
          <w:sz w:val="28"/>
          <w:szCs w:val="28"/>
          <w:highlight w:val="none"/>
        </w:rPr>
      </w:pPr>
      <w:bookmarkStart w:id="30" w:name="_Toc529196527"/>
      <w:bookmarkStart w:id="31" w:name="_Toc515205200"/>
      <w:r>
        <w:rPr>
          <w:rFonts w:hint="eastAsia" w:ascii="宋体" w:hAnsi="宋体"/>
          <w:b/>
          <w:color w:val="auto"/>
          <w:sz w:val="28"/>
          <w:szCs w:val="28"/>
          <w:highlight w:val="none"/>
        </w:rPr>
        <w:t>1.7 语言文字</w:t>
      </w:r>
      <w:bookmarkEnd w:id="30"/>
      <w:bookmarkEnd w:id="31"/>
    </w:p>
    <w:p w14:paraId="2C8E4306">
      <w:pPr>
        <w:spacing w:line="360" w:lineRule="auto"/>
        <w:ind w:firstLine="420" w:firstLineChars="200"/>
        <w:rPr>
          <w:rFonts w:ascii="宋体" w:hAnsi="宋体"/>
          <w:color w:val="auto"/>
          <w:highlight w:val="none"/>
        </w:rPr>
      </w:pPr>
      <w:r>
        <w:rPr>
          <w:rFonts w:hint="eastAsia" w:ascii="宋体" w:hAnsi="宋体"/>
          <w:color w:val="auto"/>
          <w:highlight w:val="none"/>
        </w:rPr>
        <w:t>招标投标文件使用的语言文字为中文。专用术语使用外文的，应附有中文注释。</w:t>
      </w:r>
    </w:p>
    <w:p w14:paraId="5438C98C">
      <w:pPr>
        <w:spacing w:before="240" w:beforeLines="100" w:after="240" w:afterLines="100"/>
        <w:rPr>
          <w:rFonts w:ascii="宋体" w:hAnsi="宋体"/>
          <w:b/>
          <w:color w:val="auto"/>
          <w:sz w:val="28"/>
          <w:szCs w:val="28"/>
          <w:highlight w:val="none"/>
        </w:rPr>
      </w:pPr>
      <w:bookmarkStart w:id="32" w:name="_Toc529196528"/>
      <w:bookmarkStart w:id="33" w:name="_Toc515205201"/>
      <w:r>
        <w:rPr>
          <w:rFonts w:hint="eastAsia" w:ascii="宋体" w:hAnsi="宋体"/>
          <w:b/>
          <w:color w:val="auto"/>
          <w:sz w:val="28"/>
          <w:szCs w:val="28"/>
          <w:highlight w:val="none"/>
        </w:rPr>
        <w:t>1.8计量单位</w:t>
      </w:r>
      <w:bookmarkEnd w:id="32"/>
      <w:bookmarkEnd w:id="33"/>
    </w:p>
    <w:p w14:paraId="051854CF">
      <w:pPr>
        <w:spacing w:line="360" w:lineRule="auto"/>
        <w:ind w:firstLine="420" w:firstLineChars="200"/>
        <w:rPr>
          <w:rFonts w:ascii="宋体" w:hAnsi="宋体"/>
          <w:color w:val="auto"/>
          <w:highlight w:val="none"/>
        </w:rPr>
      </w:pPr>
      <w:r>
        <w:rPr>
          <w:rFonts w:hint="eastAsia" w:ascii="宋体" w:hAnsi="宋体"/>
          <w:color w:val="auto"/>
          <w:highlight w:val="none"/>
        </w:rPr>
        <w:t>所有计量均采用中华人民共和国法定计量单位。</w:t>
      </w:r>
    </w:p>
    <w:p w14:paraId="3943EEDC">
      <w:pPr>
        <w:spacing w:before="240" w:beforeLines="100" w:after="240" w:afterLines="100"/>
        <w:rPr>
          <w:rFonts w:ascii="宋体" w:hAnsi="宋体"/>
          <w:b/>
          <w:color w:val="auto"/>
          <w:sz w:val="28"/>
          <w:szCs w:val="28"/>
          <w:highlight w:val="none"/>
        </w:rPr>
      </w:pPr>
      <w:bookmarkStart w:id="34" w:name="_Toc300834959"/>
      <w:bookmarkStart w:id="35" w:name="_Toc529196529"/>
      <w:bookmarkStart w:id="36" w:name="_Toc144974507"/>
      <w:bookmarkStart w:id="37" w:name="_Toc370676289"/>
      <w:bookmarkStart w:id="38" w:name="_Toc384308219"/>
      <w:bookmarkStart w:id="39" w:name="_Toc391393967"/>
      <w:bookmarkStart w:id="40" w:name="_Toc482188480"/>
      <w:bookmarkStart w:id="41" w:name="_Toc152045539"/>
      <w:bookmarkStart w:id="42" w:name="_Toc247527563"/>
      <w:bookmarkStart w:id="43" w:name="_Toc361508594"/>
      <w:bookmarkStart w:id="44" w:name="_Toc152042315"/>
      <w:bookmarkStart w:id="45" w:name="_Toc515205202"/>
      <w:bookmarkStart w:id="46" w:name="_Toc247513962"/>
      <w:r>
        <w:rPr>
          <w:rFonts w:hint="eastAsia" w:ascii="宋体" w:hAnsi="宋体"/>
          <w:b/>
          <w:color w:val="auto"/>
          <w:sz w:val="28"/>
          <w:szCs w:val="28"/>
          <w:highlight w:val="none"/>
        </w:rPr>
        <w:t>1.9 踏勘现场</w:t>
      </w:r>
      <w:bookmarkEnd w:id="34"/>
      <w:bookmarkEnd w:id="35"/>
      <w:bookmarkEnd w:id="36"/>
      <w:bookmarkEnd w:id="37"/>
      <w:bookmarkEnd w:id="38"/>
      <w:bookmarkEnd w:id="39"/>
      <w:bookmarkEnd w:id="40"/>
      <w:bookmarkEnd w:id="41"/>
      <w:bookmarkEnd w:id="42"/>
      <w:bookmarkEnd w:id="43"/>
      <w:bookmarkEnd w:id="44"/>
      <w:bookmarkEnd w:id="45"/>
      <w:bookmarkEnd w:id="46"/>
    </w:p>
    <w:p w14:paraId="21BA0CC5">
      <w:pPr>
        <w:spacing w:line="360" w:lineRule="auto"/>
        <w:ind w:firstLine="420" w:firstLineChars="200"/>
        <w:rPr>
          <w:rFonts w:ascii="宋体" w:hAnsi="宋体"/>
          <w:color w:val="auto"/>
          <w:highlight w:val="none"/>
        </w:rPr>
      </w:pPr>
      <w:r>
        <w:rPr>
          <w:rFonts w:hint="eastAsia" w:ascii="宋体" w:hAnsi="宋体"/>
          <w:color w:val="auto"/>
          <w:highlight w:val="none"/>
        </w:rPr>
        <w:t>1.9.1 投标人须知前附表规定组织踏勘现场的，招标人按投标人须知前附表规定的时间、地点组织投标人踏勘项目现场。部分投标人未按时参加踏勘现场的，不影响踏勘现场的正常进行。</w:t>
      </w:r>
    </w:p>
    <w:p w14:paraId="72888D1B">
      <w:pPr>
        <w:spacing w:line="360" w:lineRule="auto"/>
        <w:ind w:firstLine="420" w:firstLineChars="200"/>
        <w:rPr>
          <w:rFonts w:ascii="宋体" w:hAnsi="宋体"/>
          <w:color w:val="auto"/>
          <w:highlight w:val="none"/>
        </w:rPr>
      </w:pPr>
      <w:r>
        <w:rPr>
          <w:rFonts w:hint="eastAsia" w:ascii="宋体" w:hAnsi="宋体"/>
          <w:color w:val="auto"/>
          <w:highlight w:val="none"/>
        </w:rPr>
        <w:t>1.9.2 投标人踏勘现场发生的费用自理。</w:t>
      </w:r>
    </w:p>
    <w:p w14:paraId="2408242A">
      <w:pPr>
        <w:spacing w:line="360" w:lineRule="auto"/>
        <w:ind w:firstLine="42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14:paraId="04CB4BB1">
      <w:pPr>
        <w:spacing w:line="360" w:lineRule="auto"/>
        <w:ind w:firstLine="420" w:firstLineChars="200"/>
        <w:rPr>
          <w:rFonts w:ascii="宋体" w:hAnsi="宋体"/>
          <w:color w:val="auto"/>
          <w:highlight w:val="none"/>
        </w:rPr>
      </w:pPr>
      <w:r>
        <w:rPr>
          <w:rFonts w:hint="eastAsia" w:ascii="宋体" w:hAnsi="宋体"/>
          <w:color w:val="auto"/>
          <w:highlight w:val="none"/>
        </w:rPr>
        <w:t>1.9.4 招标人在踏勘现场中介绍的工程场地和相关的周边环境情况，供投标人在编制投标文件时参考，招标人不对投标人据此作出的判断和决策负责。</w:t>
      </w:r>
    </w:p>
    <w:p w14:paraId="02DB9864">
      <w:pPr>
        <w:spacing w:before="240" w:beforeLines="100" w:after="240" w:afterLines="100"/>
        <w:rPr>
          <w:rFonts w:ascii="宋体" w:hAnsi="宋体"/>
          <w:b/>
          <w:color w:val="auto"/>
          <w:sz w:val="28"/>
          <w:szCs w:val="28"/>
          <w:highlight w:val="none"/>
        </w:rPr>
      </w:pPr>
      <w:bookmarkStart w:id="47" w:name="_Toc529196530"/>
      <w:bookmarkStart w:id="48" w:name="_Toc515205203"/>
      <w:r>
        <w:rPr>
          <w:rFonts w:hint="eastAsia" w:ascii="宋体" w:hAnsi="宋体"/>
          <w:b/>
          <w:color w:val="auto"/>
          <w:sz w:val="28"/>
          <w:szCs w:val="28"/>
          <w:highlight w:val="none"/>
        </w:rPr>
        <w:t>1.10投标预备会</w:t>
      </w:r>
      <w:bookmarkEnd w:id="47"/>
      <w:bookmarkEnd w:id="48"/>
    </w:p>
    <w:p w14:paraId="4EF5F4DC">
      <w:pPr>
        <w:spacing w:line="360" w:lineRule="auto"/>
        <w:ind w:firstLine="420" w:firstLineChars="200"/>
        <w:rPr>
          <w:rFonts w:ascii="宋体" w:hAnsi="宋体"/>
          <w:color w:val="auto"/>
          <w:highlight w:val="none"/>
        </w:rPr>
      </w:pPr>
      <w:r>
        <w:rPr>
          <w:rFonts w:hint="eastAsia" w:ascii="宋体" w:hAnsi="宋体"/>
          <w:color w:val="auto"/>
          <w:highlight w:val="none"/>
        </w:rPr>
        <w:t>1.10.1 投标人须知前附表规定召开投标预备会的，招标人按投标人须知前附表规定的时间和地点召开投标预备会，澄清投标人提出的问题。</w:t>
      </w:r>
    </w:p>
    <w:p w14:paraId="6486A75E">
      <w:pPr>
        <w:spacing w:line="360" w:lineRule="auto"/>
        <w:ind w:firstLine="420" w:firstLineChars="200"/>
        <w:rPr>
          <w:rFonts w:ascii="宋体" w:hAnsi="宋体"/>
          <w:color w:val="auto"/>
          <w:highlight w:val="none"/>
        </w:rPr>
      </w:pPr>
      <w:r>
        <w:rPr>
          <w:rFonts w:hint="eastAsia" w:ascii="宋体" w:hAnsi="宋体"/>
          <w:color w:val="auto"/>
          <w:highlight w:val="none"/>
        </w:rPr>
        <w:t>1.10.2 投标人应按投标人须知前附表规定的时间和形式将提出的问题送达招标人，以便招标人在会议期间澄清。</w:t>
      </w:r>
    </w:p>
    <w:p w14:paraId="1619063B">
      <w:pPr>
        <w:spacing w:line="360" w:lineRule="auto"/>
        <w:ind w:firstLine="420" w:firstLineChars="200"/>
        <w:rPr>
          <w:rFonts w:ascii="宋体" w:hAnsi="宋体"/>
          <w:color w:val="auto"/>
          <w:highlight w:val="none"/>
        </w:rPr>
      </w:pPr>
      <w:r>
        <w:rPr>
          <w:rFonts w:hint="eastAsia" w:ascii="宋体" w:hAnsi="宋体"/>
          <w:color w:val="auto"/>
          <w:highlight w:val="none"/>
        </w:rPr>
        <w:t>1.10.3 投标预备会后，招标人将对投标人所提问题的澄清，以投标人须知前附表规定的形式通知所有购买招标文件的投标人。该澄清内容为招标文件的组成部分。</w:t>
      </w:r>
    </w:p>
    <w:p w14:paraId="29AC6976">
      <w:pPr>
        <w:spacing w:before="240" w:beforeLines="100" w:after="240" w:afterLines="100"/>
        <w:rPr>
          <w:rFonts w:ascii="宋体" w:hAnsi="宋体"/>
          <w:b/>
          <w:color w:val="auto"/>
          <w:sz w:val="28"/>
          <w:szCs w:val="28"/>
          <w:highlight w:val="none"/>
        </w:rPr>
      </w:pPr>
      <w:bookmarkStart w:id="49" w:name="_Toc529196531"/>
      <w:bookmarkStart w:id="50" w:name="_Toc515205204"/>
      <w:r>
        <w:rPr>
          <w:rFonts w:hint="eastAsia" w:ascii="宋体" w:hAnsi="宋体"/>
          <w:b/>
          <w:color w:val="auto"/>
          <w:sz w:val="28"/>
          <w:szCs w:val="28"/>
          <w:highlight w:val="none"/>
        </w:rPr>
        <w:t>1.11 分包</w:t>
      </w:r>
      <w:bookmarkEnd w:id="49"/>
      <w:bookmarkEnd w:id="50"/>
    </w:p>
    <w:p w14:paraId="74F3F11E">
      <w:pPr>
        <w:spacing w:line="360" w:lineRule="auto"/>
        <w:ind w:firstLine="420" w:firstLineChars="200"/>
        <w:rPr>
          <w:rFonts w:ascii="宋体" w:hAnsi="宋体"/>
          <w:color w:val="auto"/>
          <w:highlight w:val="none"/>
        </w:rPr>
      </w:pPr>
      <w:r>
        <w:rPr>
          <w:rFonts w:hint="eastAsia" w:ascii="宋体" w:hAnsi="宋体"/>
          <w:color w:val="auto"/>
          <w:highlight w:val="none"/>
        </w:rPr>
        <w:t>本项目严禁分包。</w:t>
      </w:r>
    </w:p>
    <w:p w14:paraId="7118A259">
      <w:pPr>
        <w:spacing w:before="240" w:beforeLines="100" w:after="240" w:afterLines="100"/>
        <w:rPr>
          <w:rFonts w:ascii="宋体" w:hAnsi="宋体"/>
          <w:b/>
          <w:color w:val="auto"/>
          <w:sz w:val="28"/>
          <w:szCs w:val="28"/>
          <w:highlight w:val="none"/>
        </w:rPr>
      </w:pPr>
      <w:bookmarkStart w:id="51" w:name="_Toc529196532"/>
      <w:bookmarkStart w:id="52" w:name="_Toc515205205"/>
      <w:r>
        <w:rPr>
          <w:rFonts w:hint="eastAsia" w:ascii="宋体" w:hAnsi="宋体"/>
          <w:b/>
          <w:color w:val="auto"/>
          <w:sz w:val="28"/>
          <w:szCs w:val="28"/>
          <w:highlight w:val="none"/>
        </w:rPr>
        <w:t>1.12响应和偏差</w:t>
      </w:r>
      <w:bookmarkEnd w:id="51"/>
      <w:bookmarkEnd w:id="52"/>
    </w:p>
    <w:p w14:paraId="1FB9E946">
      <w:pPr>
        <w:spacing w:line="360" w:lineRule="auto"/>
        <w:ind w:firstLine="420" w:firstLineChars="200"/>
        <w:rPr>
          <w:rFonts w:ascii="宋体" w:hAnsi="宋体"/>
          <w:color w:val="auto"/>
          <w:highlight w:val="none"/>
        </w:rPr>
      </w:pPr>
      <w:r>
        <w:rPr>
          <w:rFonts w:hint="eastAsia" w:ascii="宋体" w:hAnsi="宋体"/>
          <w:color w:val="auto"/>
          <w:highlight w:val="none"/>
        </w:rPr>
        <w:t>1.12.1投标文件应当对招标文件的实质性要求和条件作出满足性或更有利于招标人的响应，否则，投标人的投标将被否决。实质性要求和条件见投标人须知前附表。</w:t>
      </w:r>
    </w:p>
    <w:p w14:paraId="6F7B093E">
      <w:pPr>
        <w:spacing w:line="360" w:lineRule="auto"/>
        <w:ind w:firstLine="420" w:firstLineChars="200"/>
        <w:rPr>
          <w:rFonts w:ascii="宋体" w:hAnsi="宋体"/>
          <w:color w:val="auto"/>
          <w:highlight w:val="none"/>
        </w:rPr>
      </w:pPr>
      <w:r>
        <w:rPr>
          <w:rFonts w:hint="eastAsia" w:ascii="宋体" w:hAnsi="宋体"/>
          <w:color w:val="auto"/>
          <w:highlight w:val="none"/>
        </w:rPr>
        <w:t>1.12.2 投标人应根据招标文件的要求提供投标监理大纲等内容以对招标文件作出响应。</w:t>
      </w:r>
    </w:p>
    <w:p w14:paraId="33C48559">
      <w:pPr>
        <w:spacing w:line="360" w:lineRule="auto"/>
        <w:ind w:firstLine="420" w:firstLineChars="200"/>
        <w:rPr>
          <w:rFonts w:ascii="宋体" w:hAnsi="宋体"/>
          <w:color w:val="auto"/>
          <w:highlight w:val="none"/>
        </w:rPr>
      </w:pPr>
      <w:r>
        <w:rPr>
          <w:rFonts w:hint="eastAsia" w:ascii="宋体" w:hAnsi="宋体"/>
          <w:color w:val="auto"/>
          <w:highlight w:val="none"/>
        </w:rPr>
        <w:t>1.12.3投标人须知前附表允许投标文件偏离招标文件某些要求的，偏差应当符合招标文件规定的偏差范围和幅度。</w:t>
      </w:r>
    </w:p>
    <w:p w14:paraId="59E7324B">
      <w:pPr>
        <w:spacing w:before="260"/>
        <w:outlineLvl w:val="2"/>
        <w:rPr>
          <w:rFonts w:ascii="宋体" w:hAnsi="宋体"/>
          <w:b/>
          <w:color w:val="auto"/>
          <w:sz w:val="32"/>
          <w:szCs w:val="32"/>
          <w:highlight w:val="none"/>
        </w:rPr>
      </w:pPr>
      <w:bookmarkStart w:id="53" w:name="_Toc529196533"/>
      <w:bookmarkStart w:id="54" w:name="_Toc515205206"/>
      <w:r>
        <w:rPr>
          <w:rFonts w:hint="eastAsia" w:ascii="宋体" w:hAnsi="宋体"/>
          <w:b/>
          <w:color w:val="auto"/>
          <w:sz w:val="32"/>
          <w:szCs w:val="32"/>
          <w:highlight w:val="none"/>
        </w:rPr>
        <w:t>2. 招标文件</w:t>
      </w:r>
      <w:bookmarkEnd w:id="53"/>
      <w:bookmarkEnd w:id="54"/>
    </w:p>
    <w:p w14:paraId="7EF588DF">
      <w:pPr>
        <w:spacing w:before="240" w:beforeLines="100" w:after="240" w:afterLines="100"/>
        <w:rPr>
          <w:rFonts w:ascii="宋体" w:hAnsi="宋体"/>
          <w:b/>
          <w:color w:val="auto"/>
          <w:sz w:val="28"/>
          <w:szCs w:val="28"/>
          <w:highlight w:val="none"/>
        </w:rPr>
      </w:pPr>
      <w:bookmarkStart w:id="55" w:name="_Toc515205207"/>
      <w:bookmarkStart w:id="56" w:name="_Toc529196534"/>
      <w:r>
        <w:rPr>
          <w:rFonts w:hint="eastAsia" w:ascii="宋体" w:hAnsi="宋体"/>
          <w:b/>
          <w:color w:val="auto"/>
          <w:sz w:val="28"/>
          <w:szCs w:val="28"/>
          <w:highlight w:val="none"/>
        </w:rPr>
        <w:t>2.1 招标文件的组成</w:t>
      </w:r>
      <w:bookmarkEnd w:id="55"/>
      <w:bookmarkEnd w:id="56"/>
    </w:p>
    <w:p w14:paraId="6C647894">
      <w:pPr>
        <w:spacing w:line="360" w:lineRule="auto"/>
        <w:ind w:firstLine="359" w:firstLineChars="171"/>
        <w:rPr>
          <w:rFonts w:ascii="宋体" w:hAnsi="宋体"/>
          <w:color w:val="auto"/>
          <w:highlight w:val="none"/>
        </w:rPr>
      </w:pPr>
      <w:r>
        <w:rPr>
          <w:rFonts w:hint="eastAsia" w:ascii="宋体" w:hAnsi="宋体"/>
          <w:color w:val="auto"/>
          <w:highlight w:val="none"/>
        </w:rPr>
        <w:t>本招标文件包括：</w:t>
      </w:r>
    </w:p>
    <w:p w14:paraId="11D4086C">
      <w:pPr>
        <w:spacing w:line="360" w:lineRule="auto"/>
        <w:ind w:firstLine="359" w:firstLineChars="171"/>
        <w:rPr>
          <w:rFonts w:ascii="宋体" w:hAnsi="宋体"/>
          <w:color w:val="auto"/>
          <w:highlight w:val="none"/>
        </w:rPr>
      </w:pPr>
      <w:r>
        <w:rPr>
          <w:rFonts w:hint="eastAsia" w:ascii="宋体" w:hAnsi="宋体"/>
          <w:color w:val="auto"/>
          <w:highlight w:val="none"/>
        </w:rPr>
        <w:t>（1）招标公告；</w:t>
      </w:r>
    </w:p>
    <w:p w14:paraId="72BC5CD5">
      <w:pPr>
        <w:spacing w:line="360" w:lineRule="auto"/>
        <w:ind w:firstLine="359" w:firstLineChars="171"/>
        <w:rPr>
          <w:rFonts w:ascii="宋体" w:hAnsi="宋体"/>
          <w:color w:val="auto"/>
          <w:highlight w:val="none"/>
        </w:rPr>
      </w:pPr>
      <w:r>
        <w:rPr>
          <w:rFonts w:hint="eastAsia" w:ascii="宋体" w:hAnsi="宋体"/>
          <w:color w:val="auto"/>
          <w:highlight w:val="none"/>
        </w:rPr>
        <w:t>（2）投标人须知；</w:t>
      </w:r>
    </w:p>
    <w:p w14:paraId="32700891">
      <w:pPr>
        <w:spacing w:line="360" w:lineRule="auto"/>
        <w:ind w:firstLine="359" w:firstLineChars="171"/>
        <w:rPr>
          <w:rFonts w:ascii="宋体" w:hAnsi="宋体"/>
          <w:color w:val="auto"/>
          <w:highlight w:val="none"/>
        </w:rPr>
      </w:pPr>
      <w:r>
        <w:rPr>
          <w:rFonts w:hint="eastAsia" w:ascii="宋体" w:hAnsi="宋体"/>
          <w:color w:val="auto"/>
          <w:highlight w:val="none"/>
        </w:rPr>
        <w:t>（3）评标办法；</w:t>
      </w:r>
    </w:p>
    <w:p w14:paraId="7EC8BA1A">
      <w:pPr>
        <w:spacing w:line="360" w:lineRule="auto"/>
        <w:ind w:firstLine="359" w:firstLineChars="171"/>
        <w:rPr>
          <w:rFonts w:ascii="宋体" w:hAnsi="宋体"/>
          <w:color w:val="auto"/>
          <w:highlight w:val="none"/>
        </w:rPr>
      </w:pPr>
      <w:r>
        <w:rPr>
          <w:rFonts w:hint="eastAsia" w:ascii="宋体" w:hAnsi="宋体"/>
          <w:color w:val="auto"/>
          <w:highlight w:val="none"/>
        </w:rPr>
        <w:t>（4）合同条款及格式；</w:t>
      </w:r>
    </w:p>
    <w:p w14:paraId="78951261">
      <w:pPr>
        <w:spacing w:line="360" w:lineRule="auto"/>
        <w:ind w:firstLine="359" w:firstLineChars="171"/>
        <w:rPr>
          <w:rFonts w:ascii="宋体" w:hAnsi="宋体"/>
          <w:color w:val="auto"/>
          <w:highlight w:val="none"/>
        </w:rPr>
      </w:pPr>
      <w:r>
        <w:rPr>
          <w:rFonts w:hint="eastAsia" w:ascii="宋体" w:hAnsi="宋体"/>
          <w:color w:val="auto"/>
          <w:highlight w:val="none"/>
        </w:rPr>
        <w:t>（5）委托人要求；</w:t>
      </w:r>
    </w:p>
    <w:p w14:paraId="4AED1CEC">
      <w:pPr>
        <w:spacing w:line="360" w:lineRule="auto"/>
        <w:ind w:firstLine="359" w:firstLineChars="171"/>
        <w:rPr>
          <w:rFonts w:ascii="宋体" w:hAnsi="宋体"/>
          <w:color w:val="auto"/>
          <w:highlight w:val="none"/>
        </w:rPr>
      </w:pPr>
      <w:r>
        <w:rPr>
          <w:rFonts w:hint="eastAsia" w:ascii="宋体" w:hAnsi="宋体"/>
          <w:color w:val="auto"/>
          <w:highlight w:val="none"/>
        </w:rPr>
        <w:t>（6）投标文件格式；</w:t>
      </w:r>
    </w:p>
    <w:p w14:paraId="7B1FA3F4">
      <w:pPr>
        <w:spacing w:line="360" w:lineRule="auto"/>
        <w:ind w:firstLine="359" w:firstLineChars="171"/>
        <w:rPr>
          <w:rFonts w:ascii="宋体" w:hAnsi="宋体"/>
          <w:color w:val="auto"/>
          <w:highlight w:val="none"/>
        </w:rPr>
      </w:pPr>
      <w:r>
        <w:rPr>
          <w:rFonts w:hint="eastAsia" w:ascii="宋体" w:hAnsi="宋体"/>
          <w:color w:val="auto"/>
          <w:highlight w:val="none"/>
        </w:rPr>
        <w:t>（7）投标人须知前附表规定的其他资料。</w:t>
      </w:r>
    </w:p>
    <w:p w14:paraId="1CFEEC1D">
      <w:pPr>
        <w:spacing w:line="360" w:lineRule="auto"/>
        <w:ind w:firstLine="420" w:firstLineChars="200"/>
        <w:rPr>
          <w:rFonts w:ascii="宋体" w:hAnsi="宋体"/>
          <w:color w:val="auto"/>
          <w:highlight w:val="none"/>
        </w:rPr>
      </w:pPr>
      <w:r>
        <w:rPr>
          <w:rFonts w:hint="eastAsia" w:ascii="宋体" w:hAnsi="宋体"/>
          <w:color w:val="auto"/>
          <w:highlight w:val="none"/>
        </w:rPr>
        <w:t>根据本章第1.10款、第2.2款和第2.3款对招标文件所作的澄清、修改，构成招标文件的组成部分。</w:t>
      </w:r>
    </w:p>
    <w:p w14:paraId="4ED2A8BC">
      <w:pPr>
        <w:spacing w:before="240" w:beforeLines="100" w:after="240" w:afterLines="100"/>
        <w:rPr>
          <w:rFonts w:ascii="宋体" w:hAnsi="宋体"/>
          <w:b/>
          <w:color w:val="auto"/>
          <w:sz w:val="28"/>
          <w:szCs w:val="28"/>
          <w:highlight w:val="none"/>
        </w:rPr>
      </w:pPr>
      <w:bookmarkStart w:id="57" w:name="_Toc529196535"/>
      <w:bookmarkStart w:id="58" w:name="_Toc515205208"/>
      <w:r>
        <w:rPr>
          <w:rFonts w:hint="eastAsia" w:ascii="宋体" w:hAnsi="宋体"/>
          <w:b/>
          <w:color w:val="auto"/>
          <w:sz w:val="28"/>
          <w:szCs w:val="28"/>
          <w:highlight w:val="none"/>
        </w:rPr>
        <w:t>2.2 招标文件的澄清</w:t>
      </w:r>
      <w:bookmarkEnd w:id="57"/>
      <w:bookmarkEnd w:id="58"/>
    </w:p>
    <w:p w14:paraId="3B87A219">
      <w:pPr>
        <w:spacing w:line="360" w:lineRule="auto"/>
        <w:ind w:firstLine="359" w:firstLineChars="171"/>
        <w:rPr>
          <w:rFonts w:ascii="宋体" w:hAnsi="宋体"/>
          <w:color w:val="auto"/>
          <w:highlight w:val="none"/>
        </w:rPr>
      </w:pPr>
      <w:r>
        <w:rPr>
          <w:rFonts w:hint="eastAsia" w:ascii="宋体" w:hAnsi="宋体"/>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0CE22CB">
      <w:pPr>
        <w:spacing w:line="360" w:lineRule="auto"/>
        <w:ind w:firstLine="359" w:firstLineChars="171"/>
        <w:rPr>
          <w:rFonts w:ascii="宋体" w:hAnsi="宋体"/>
          <w:color w:val="auto"/>
          <w:highlight w:val="none"/>
        </w:rPr>
      </w:pPr>
      <w:r>
        <w:rPr>
          <w:rFonts w:hint="eastAsia" w:ascii="宋体" w:hAnsi="宋体"/>
          <w:color w:val="auto"/>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33B10E1F">
      <w:pPr>
        <w:spacing w:line="360" w:lineRule="auto"/>
        <w:ind w:firstLine="359" w:firstLineChars="171"/>
        <w:rPr>
          <w:rFonts w:ascii="宋体" w:hAnsi="宋体"/>
          <w:color w:val="auto"/>
          <w:highlight w:val="none"/>
        </w:rPr>
      </w:pPr>
      <w:r>
        <w:rPr>
          <w:rFonts w:hint="eastAsia" w:ascii="宋体" w:hAnsi="宋体"/>
          <w:color w:val="auto"/>
          <w:highlight w:val="none"/>
        </w:rPr>
        <w:t>2.2.3 投标人在收到澄清后，应按投标人须知前附表规定的时间和形式通知招标人，确认已收到该澄清。</w:t>
      </w:r>
    </w:p>
    <w:p w14:paraId="2E5F3ED4">
      <w:pPr>
        <w:spacing w:line="360" w:lineRule="auto"/>
        <w:ind w:firstLine="359" w:firstLineChars="171"/>
        <w:rPr>
          <w:rFonts w:ascii="宋体" w:hAnsi="宋体"/>
          <w:color w:val="auto"/>
          <w:highlight w:val="none"/>
        </w:rPr>
      </w:pPr>
      <w:r>
        <w:rPr>
          <w:rFonts w:hint="eastAsia" w:ascii="宋体" w:hAnsi="宋体"/>
          <w:color w:val="auto"/>
          <w:highlight w:val="none"/>
        </w:rPr>
        <w:t>2.2.4 除非招标人认为确有必要答复，否则，招标人有权拒绝回复投标人在本章第2.2.1项规定的时间后的任何澄清要求。</w:t>
      </w:r>
    </w:p>
    <w:p w14:paraId="5F7F18C5">
      <w:pPr>
        <w:spacing w:before="240" w:beforeLines="100" w:after="240" w:afterLines="100"/>
        <w:rPr>
          <w:rFonts w:ascii="宋体" w:hAnsi="宋体"/>
          <w:b/>
          <w:color w:val="auto"/>
          <w:sz w:val="28"/>
          <w:szCs w:val="28"/>
          <w:highlight w:val="none"/>
        </w:rPr>
      </w:pPr>
      <w:bookmarkStart w:id="59" w:name="_Toc529196536"/>
      <w:bookmarkStart w:id="60" w:name="_Toc515205209"/>
      <w:bookmarkStart w:id="61" w:name="_Toc352691479"/>
      <w:r>
        <w:rPr>
          <w:rFonts w:hint="eastAsia" w:ascii="宋体" w:hAnsi="宋体"/>
          <w:b/>
          <w:color w:val="auto"/>
          <w:sz w:val="28"/>
          <w:szCs w:val="28"/>
          <w:highlight w:val="none"/>
        </w:rPr>
        <w:t>2.3 招标文件的修</w:t>
      </w:r>
      <w:bookmarkStart w:id="62" w:name="_Toc369531521"/>
      <w:bookmarkStart w:id="63" w:name="_Toc16514"/>
      <w:r>
        <w:rPr>
          <w:rFonts w:hint="eastAsia" w:ascii="宋体" w:hAnsi="宋体"/>
          <w:b/>
          <w:color w:val="auto"/>
          <w:sz w:val="28"/>
          <w:szCs w:val="28"/>
          <w:highlight w:val="none"/>
        </w:rPr>
        <w:t>改</w:t>
      </w:r>
      <w:bookmarkEnd w:id="59"/>
      <w:bookmarkEnd w:id="60"/>
    </w:p>
    <w:p w14:paraId="7F748A42">
      <w:pPr>
        <w:spacing w:line="360" w:lineRule="auto"/>
        <w:ind w:firstLine="359" w:firstLineChars="171"/>
        <w:rPr>
          <w:rFonts w:ascii="宋体" w:hAnsi="宋体"/>
          <w:color w:val="auto"/>
          <w:highlight w:val="none"/>
        </w:rPr>
      </w:pPr>
      <w:r>
        <w:rPr>
          <w:rFonts w:hint="eastAsia" w:ascii="宋体" w:hAnsi="宋体"/>
          <w:color w:val="auto"/>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1"/>
    <w:bookmarkEnd w:id="62"/>
    <w:bookmarkEnd w:id="63"/>
    <w:p w14:paraId="0AE501B0">
      <w:pPr>
        <w:spacing w:line="360" w:lineRule="auto"/>
        <w:ind w:firstLine="359" w:firstLineChars="171"/>
        <w:rPr>
          <w:rFonts w:ascii="宋体" w:hAnsi="宋体"/>
          <w:color w:val="auto"/>
          <w:highlight w:val="none"/>
        </w:rPr>
      </w:pPr>
      <w:r>
        <w:rPr>
          <w:rFonts w:hint="eastAsia" w:ascii="宋体" w:hAnsi="宋体"/>
          <w:color w:val="auto"/>
          <w:highlight w:val="none"/>
        </w:rPr>
        <w:t>2.3.2 投标人收到修改内容</w:t>
      </w:r>
      <w:bookmarkStart w:id="64" w:name="_Toc152042314"/>
      <w:bookmarkStart w:id="65" w:name="_Toc144974506"/>
      <w:bookmarkStart w:id="66" w:name="_Toc384308218"/>
      <w:bookmarkStart w:id="67" w:name="_Toc247527562"/>
      <w:bookmarkStart w:id="68" w:name="_Toc352691482"/>
      <w:bookmarkStart w:id="69" w:name="_Toc24632"/>
      <w:bookmarkStart w:id="70" w:name="_Toc300834958"/>
      <w:bookmarkStart w:id="71" w:name="_Toc152045538"/>
      <w:bookmarkStart w:id="72" w:name="_Toc369531524"/>
      <w:bookmarkStart w:id="73" w:name="_Toc361508593"/>
      <w:bookmarkStart w:id="74" w:name="_Toc247513961"/>
      <w:r>
        <w:rPr>
          <w:rFonts w:hint="eastAsia" w:ascii="宋体" w:hAnsi="宋体"/>
          <w:color w:val="auto"/>
          <w:highlight w:val="none"/>
        </w:rPr>
        <w:t>后，</w:t>
      </w:r>
      <w:bookmarkEnd w:id="64"/>
      <w:bookmarkEnd w:id="65"/>
      <w:bookmarkEnd w:id="66"/>
      <w:bookmarkEnd w:id="67"/>
      <w:bookmarkEnd w:id="68"/>
      <w:bookmarkEnd w:id="69"/>
      <w:bookmarkEnd w:id="70"/>
      <w:bookmarkEnd w:id="71"/>
      <w:bookmarkEnd w:id="72"/>
      <w:bookmarkEnd w:id="73"/>
      <w:bookmarkEnd w:id="74"/>
      <w:bookmarkStart w:id="75" w:name="_Toc16623"/>
      <w:bookmarkStart w:id="76" w:name="_Toc384308220"/>
      <w:bookmarkStart w:id="77" w:name="_Toc247513963"/>
      <w:bookmarkStart w:id="78" w:name="_Toc152045540"/>
      <w:bookmarkStart w:id="79" w:name="_Toc300834960"/>
      <w:bookmarkStart w:id="80" w:name="_Toc152042316"/>
      <w:bookmarkStart w:id="81" w:name="_Toc247527564"/>
      <w:bookmarkStart w:id="82" w:name="_Toc369531526"/>
      <w:bookmarkStart w:id="83" w:name="_Toc361508595"/>
      <w:bookmarkStart w:id="84" w:name="_Toc144974508"/>
      <w:bookmarkStart w:id="85" w:name="_Toc352691484"/>
      <w:r>
        <w:rPr>
          <w:rFonts w:hint="eastAsia" w:ascii="宋体" w:hAnsi="宋体"/>
          <w:color w:val="auto"/>
          <w:highlight w:val="none"/>
        </w:rPr>
        <w:t>应按投标人须知前附表规定的时间和形式通知招标人，确认已收到该修改。</w:t>
      </w:r>
    </w:p>
    <w:p w14:paraId="4ADF33A4">
      <w:pPr>
        <w:spacing w:before="240" w:beforeLines="100" w:after="240" w:afterLines="100"/>
        <w:rPr>
          <w:rFonts w:ascii="宋体" w:hAnsi="宋体"/>
          <w:b/>
          <w:color w:val="auto"/>
          <w:sz w:val="28"/>
          <w:szCs w:val="28"/>
          <w:highlight w:val="none"/>
        </w:rPr>
      </w:pPr>
      <w:bookmarkStart w:id="86" w:name="_Toc529196537"/>
      <w:bookmarkStart w:id="87" w:name="_Toc515205210"/>
      <w:r>
        <w:rPr>
          <w:rFonts w:hint="eastAsia" w:ascii="宋体" w:hAnsi="宋体"/>
          <w:b/>
          <w:color w:val="auto"/>
          <w:sz w:val="28"/>
          <w:szCs w:val="28"/>
          <w:highlight w:val="none"/>
        </w:rPr>
        <w:t>2.</w:t>
      </w:r>
      <w:bookmarkEnd w:id="75"/>
      <w:bookmarkEnd w:id="76"/>
      <w:bookmarkEnd w:id="77"/>
      <w:bookmarkEnd w:id="78"/>
      <w:bookmarkEnd w:id="79"/>
      <w:bookmarkEnd w:id="80"/>
      <w:bookmarkEnd w:id="81"/>
      <w:bookmarkEnd w:id="82"/>
      <w:bookmarkEnd w:id="83"/>
      <w:bookmarkEnd w:id="84"/>
      <w:bookmarkEnd w:id="85"/>
      <w:r>
        <w:rPr>
          <w:rFonts w:hint="eastAsia" w:ascii="宋体" w:hAnsi="宋体"/>
          <w:b/>
          <w:color w:val="auto"/>
          <w:sz w:val="28"/>
          <w:szCs w:val="28"/>
          <w:highlight w:val="none"/>
        </w:rPr>
        <w:t>4 招标文件的异议</w:t>
      </w:r>
      <w:bookmarkEnd w:id="86"/>
      <w:bookmarkEnd w:id="87"/>
    </w:p>
    <w:p w14:paraId="37BB0CA9">
      <w:pPr>
        <w:spacing w:before="69" w:line="359" w:lineRule="auto"/>
        <w:ind w:left="3" w:firstLine="421"/>
        <w:rPr>
          <w:rFonts w:hint="eastAsia" w:ascii="宋体" w:hAnsi="宋体"/>
          <w:color w:val="auto"/>
          <w:highlight w:val="none"/>
        </w:rPr>
      </w:pPr>
      <w:r>
        <w:rPr>
          <w:rFonts w:hint="eastAsia" w:ascii="宋体" w:hAnsi="宋体"/>
          <w:color w:val="auto"/>
          <w:highlight w:val="none"/>
        </w:rPr>
        <w:t>投标人或者其他利害关系人对招标文件有异议的，应当在投标截止时间10日前以书面形式提出。招标人将在收到异议之日起3日内作出答复；作出答复前，将暂停招标投标活动。</w:t>
      </w:r>
    </w:p>
    <w:p w14:paraId="218EFAFA">
      <w:pPr>
        <w:spacing w:before="69" w:line="359" w:lineRule="auto"/>
        <w:ind w:left="3" w:firstLine="421"/>
        <w:rPr>
          <w:rFonts w:ascii="宋体" w:hAnsi="宋体" w:cs="宋体"/>
          <w:color w:val="auto"/>
          <w:szCs w:val="21"/>
          <w:highlight w:val="none"/>
          <w:u w:val="single"/>
        </w:rPr>
      </w:pPr>
      <w:r>
        <w:rPr>
          <w:rFonts w:hint="eastAsia" w:ascii="宋体" w:hAnsi="宋体" w:cs="宋体"/>
          <w:color w:val="auto"/>
          <w:spacing w:val="-6"/>
          <w:szCs w:val="21"/>
          <w:highlight w:val="none"/>
          <w:u w:val="single"/>
        </w:rPr>
        <w:t>注</w:t>
      </w:r>
      <w:r>
        <w:rPr>
          <w:rFonts w:ascii="宋体" w:hAnsi="宋体" w:cs="宋体"/>
          <w:color w:val="auto"/>
          <w:spacing w:val="-6"/>
          <w:szCs w:val="21"/>
          <w:highlight w:val="none"/>
          <w:u w:val="single"/>
        </w:rPr>
        <w:t>：</w:t>
      </w:r>
      <w:r>
        <w:rPr>
          <w:rFonts w:hint="eastAsia" w:ascii="宋体" w:hAnsi="宋体" w:cs="宋体"/>
          <w:color w:val="auto"/>
          <w:spacing w:val="-6"/>
          <w:szCs w:val="21"/>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787877">
      <w:pPr>
        <w:spacing w:line="360" w:lineRule="auto"/>
        <w:ind w:firstLine="359" w:firstLineChars="171"/>
        <w:rPr>
          <w:rFonts w:ascii="宋体" w:hAnsi="宋体"/>
          <w:color w:val="auto"/>
          <w:highlight w:val="none"/>
        </w:rPr>
      </w:pPr>
    </w:p>
    <w:p w14:paraId="76EEE606">
      <w:pPr>
        <w:spacing w:before="260"/>
        <w:outlineLvl w:val="2"/>
        <w:rPr>
          <w:rFonts w:ascii="宋体" w:hAnsi="宋体"/>
          <w:b/>
          <w:color w:val="auto"/>
          <w:sz w:val="32"/>
          <w:szCs w:val="32"/>
          <w:highlight w:val="none"/>
        </w:rPr>
      </w:pPr>
      <w:bookmarkStart w:id="88" w:name="_Toc515205211"/>
      <w:bookmarkStart w:id="89" w:name="_Toc529196538"/>
      <w:r>
        <w:rPr>
          <w:rFonts w:hint="eastAsia" w:ascii="宋体" w:hAnsi="宋体"/>
          <w:b/>
          <w:color w:val="auto"/>
          <w:sz w:val="32"/>
          <w:szCs w:val="32"/>
          <w:highlight w:val="none"/>
        </w:rPr>
        <w:t>3. 投标文件</w:t>
      </w:r>
      <w:bookmarkEnd w:id="88"/>
      <w:bookmarkEnd w:id="89"/>
    </w:p>
    <w:p w14:paraId="56927717">
      <w:pPr>
        <w:spacing w:before="240" w:beforeLines="100" w:after="240" w:afterLines="100"/>
        <w:rPr>
          <w:rFonts w:ascii="宋体" w:hAnsi="宋体"/>
          <w:b/>
          <w:color w:val="auto"/>
          <w:sz w:val="28"/>
          <w:szCs w:val="28"/>
          <w:highlight w:val="none"/>
        </w:rPr>
      </w:pPr>
      <w:bookmarkStart w:id="90" w:name="_Toc515205212"/>
      <w:bookmarkStart w:id="91" w:name="_Toc529196539"/>
      <w:r>
        <w:rPr>
          <w:rFonts w:hint="eastAsia" w:ascii="宋体" w:hAnsi="宋体"/>
          <w:b/>
          <w:color w:val="auto"/>
          <w:sz w:val="28"/>
          <w:szCs w:val="28"/>
          <w:highlight w:val="none"/>
        </w:rPr>
        <w:t>3.1 投标文件的组成</w:t>
      </w:r>
      <w:bookmarkEnd w:id="90"/>
      <w:bookmarkEnd w:id="91"/>
    </w:p>
    <w:p w14:paraId="5D2FFBA3">
      <w:pPr>
        <w:spacing w:line="360" w:lineRule="auto"/>
        <w:ind w:firstLine="420" w:firstLineChars="200"/>
        <w:rPr>
          <w:rFonts w:ascii="宋体" w:hAnsi="宋体"/>
          <w:color w:val="auto"/>
          <w:highlight w:val="none"/>
        </w:rPr>
      </w:pPr>
      <w:r>
        <w:rPr>
          <w:rFonts w:hint="eastAsia" w:ascii="宋体" w:hAnsi="宋体"/>
          <w:color w:val="auto"/>
          <w:highlight w:val="none"/>
        </w:rPr>
        <w:t>3.1.1 投标文件应包括下列内容：</w:t>
      </w:r>
    </w:p>
    <w:p w14:paraId="53728C49">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（1）投标函及投标函附录；</w:t>
      </w:r>
    </w:p>
    <w:p w14:paraId="2F35F10F">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（2）法定代表人身份证明或授权委托书；</w:t>
      </w:r>
    </w:p>
    <w:p w14:paraId="1F662EE0">
      <w:pPr>
        <w:topLinePunct/>
        <w:adjustRightInd w:val="0"/>
        <w:snapToGrid w:val="0"/>
        <w:spacing w:line="360" w:lineRule="auto"/>
        <w:ind w:firstLine="420" w:firstLineChars="200"/>
        <w:rPr>
          <w:rFonts w:hint="default" w:ascii="宋体" w:hAnsi="宋体"/>
          <w:color w:val="auto"/>
          <w:kern w:val="0"/>
          <w:szCs w:val="24"/>
          <w:highlight w:val="none"/>
        </w:rPr>
      </w:pPr>
      <w:r>
        <w:rPr>
          <w:rFonts w:hint="eastAsia" w:ascii="宋体" w:hAnsi="宋体"/>
          <w:color w:val="auto"/>
          <w:kern w:val="0"/>
          <w:szCs w:val="24"/>
          <w:highlight w:val="none"/>
        </w:rPr>
        <w:t>（</w:t>
      </w:r>
      <w:r>
        <w:rPr>
          <w:rFonts w:hint="default" w:ascii="宋体" w:hAnsi="宋体"/>
          <w:color w:val="auto"/>
          <w:kern w:val="0"/>
          <w:szCs w:val="24"/>
          <w:highlight w:val="none"/>
        </w:rPr>
        <w:t>3</w:t>
      </w:r>
      <w:r>
        <w:rPr>
          <w:rFonts w:hint="eastAsia" w:ascii="宋体" w:hAnsi="宋体"/>
          <w:color w:val="auto"/>
          <w:kern w:val="0"/>
          <w:szCs w:val="24"/>
          <w:highlight w:val="none"/>
        </w:rPr>
        <w:t>）监理报酬清单</w:t>
      </w:r>
      <w:r>
        <w:rPr>
          <w:rFonts w:hint="default" w:ascii="宋体" w:hAnsi="宋体"/>
          <w:color w:val="auto"/>
          <w:kern w:val="0"/>
          <w:szCs w:val="24"/>
          <w:highlight w:val="none"/>
        </w:rPr>
        <w:t>；</w:t>
      </w:r>
    </w:p>
    <w:p w14:paraId="795FBBCD">
      <w:pPr>
        <w:topLinePunct/>
        <w:adjustRightInd w:val="0"/>
        <w:snapToGrid w:val="0"/>
        <w:spacing w:line="360" w:lineRule="auto"/>
        <w:ind w:firstLine="420" w:firstLineChars="200"/>
        <w:rPr>
          <w:rFonts w:hint="default" w:ascii="宋体" w:hAnsi="宋体"/>
          <w:color w:val="auto"/>
          <w:kern w:val="0"/>
          <w:szCs w:val="24"/>
          <w:highlight w:val="none"/>
        </w:rPr>
      </w:pPr>
      <w:r>
        <w:rPr>
          <w:rFonts w:hint="eastAsia" w:ascii="宋体" w:hAnsi="宋体"/>
          <w:color w:val="auto"/>
          <w:kern w:val="0"/>
          <w:szCs w:val="24"/>
          <w:highlight w:val="none"/>
        </w:rPr>
        <w:t>（</w:t>
      </w:r>
      <w:r>
        <w:rPr>
          <w:rFonts w:hint="default" w:ascii="宋体" w:hAnsi="宋体"/>
          <w:color w:val="auto"/>
          <w:kern w:val="0"/>
          <w:szCs w:val="24"/>
          <w:highlight w:val="none"/>
        </w:rPr>
        <w:t>4</w:t>
      </w:r>
      <w:r>
        <w:rPr>
          <w:rFonts w:hint="eastAsia" w:ascii="宋体" w:hAnsi="宋体"/>
          <w:color w:val="auto"/>
          <w:kern w:val="0"/>
          <w:szCs w:val="24"/>
          <w:highlight w:val="none"/>
        </w:rPr>
        <w:t>）资格审查资料</w:t>
      </w:r>
      <w:r>
        <w:rPr>
          <w:rFonts w:hint="default" w:ascii="宋体" w:hAnsi="宋体"/>
          <w:color w:val="auto"/>
          <w:kern w:val="0"/>
          <w:szCs w:val="24"/>
          <w:highlight w:val="none"/>
        </w:rPr>
        <w:t>；</w:t>
      </w:r>
    </w:p>
    <w:p w14:paraId="170813BC">
      <w:pPr>
        <w:topLinePunct/>
        <w:adjustRightInd w:val="0"/>
        <w:snapToGrid w:val="0"/>
        <w:spacing w:line="360" w:lineRule="auto"/>
        <w:ind w:firstLine="420" w:firstLineChars="200"/>
        <w:rPr>
          <w:rFonts w:hint="eastAsia" w:ascii="宋体" w:hAnsi="宋体"/>
          <w:color w:val="auto"/>
          <w:kern w:val="0"/>
          <w:szCs w:val="24"/>
          <w:highlight w:val="none"/>
        </w:rPr>
      </w:pPr>
      <w:r>
        <w:rPr>
          <w:rFonts w:hint="eastAsia" w:ascii="宋体" w:hAnsi="宋体"/>
          <w:color w:val="auto"/>
          <w:kern w:val="0"/>
          <w:szCs w:val="24"/>
          <w:highlight w:val="none"/>
        </w:rPr>
        <w:t>（</w:t>
      </w:r>
      <w:r>
        <w:rPr>
          <w:rFonts w:hint="default" w:ascii="宋体" w:hAnsi="宋体"/>
          <w:color w:val="auto"/>
          <w:kern w:val="0"/>
          <w:szCs w:val="24"/>
          <w:highlight w:val="none"/>
        </w:rPr>
        <w:t>5</w:t>
      </w:r>
      <w:r>
        <w:rPr>
          <w:rFonts w:hint="eastAsia" w:ascii="宋体" w:hAnsi="宋体"/>
          <w:color w:val="auto"/>
          <w:kern w:val="0"/>
          <w:szCs w:val="24"/>
          <w:highlight w:val="none"/>
        </w:rPr>
        <w:t>）监理大纲；</w:t>
      </w:r>
    </w:p>
    <w:p w14:paraId="37AE727B">
      <w:pPr>
        <w:topLinePunct/>
        <w:adjustRightInd w:val="0"/>
        <w:snapToGrid w:val="0"/>
        <w:spacing w:line="360" w:lineRule="auto"/>
        <w:ind w:firstLine="420" w:firstLineChars="200"/>
        <w:rPr>
          <w:rFonts w:hint="default" w:ascii="宋体" w:hAnsi="宋体"/>
          <w:color w:val="auto"/>
          <w:kern w:val="0"/>
          <w:szCs w:val="24"/>
          <w:highlight w:val="none"/>
        </w:rPr>
      </w:pPr>
      <w:r>
        <w:rPr>
          <w:rFonts w:hint="default" w:ascii="宋体" w:hAnsi="宋体"/>
          <w:color w:val="auto"/>
          <w:kern w:val="0"/>
          <w:szCs w:val="24"/>
          <w:highlight w:val="none"/>
        </w:rPr>
        <w:t>（6）企业资信相关资料；</w:t>
      </w:r>
    </w:p>
    <w:p w14:paraId="6527A13F">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w:t>
      </w:r>
      <w:r>
        <w:rPr>
          <w:rFonts w:hint="default" w:ascii="宋体" w:hAnsi="宋体"/>
          <w:color w:val="auto"/>
          <w:kern w:val="0"/>
          <w:szCs w:val="24"/>
          <w:highlight w:val="none"/>
        </w:rPr>
        <w:t>7</w:t>
      </w:r>
      <w:r>
        <w:rPr>
          <w:rFonts w:hint="eastAsia" w:ascii="宋体" w:hAnsi="宋体"/>
          <w:color w:val="auto"/>
          <w:kern w:val="0"/>
          <w:szCs w:val="24"/>
          <w:highlight w:val="none"/>
        </w:rPr>
        <w:t>）投标人须知前附表规定的其他资料；</w:t>
      </w:r>
    </w:p>
    <w:p w14:paraId="04D5AA6C">
      <w:pPr>
        <w:spacing w:line="360" w:lineRule="auto"/>
        <w:ind w:firstLine="420" w:firstLineChars="200"/>
        <w:rPr>
          <w:rFonts w:ascii="宋体" w:hAnsi="宋体"/>
          <w:color w:val="auto"/>
          <w:highlight w:val="none"/>
        </w:rPr>
      </w:pPr>
      <w:r>
        <w:rPr>
          <w:rFonts w:hint="eastAsia" w:ascii="宋体" w:hAnsi="宋体"/>
          <w:color w:val="auto"/>
          <w:highlight w:val="none"/>
        </w:rPr>
        <w:t>投标人在评标过程中作出的符合法律法规和招标文件规定的澄清确认，构成投标文件的组成部分。</w:t>
      </w:r>
    </w:p>
    <w:p w14:paraId="0F8DCE1D">
      <w:pPr>
        <w:spacing w:before="0" w:beforeLines="-2147483648" w:after="0" w:afterLines="-2147483648" w:line="360" w:lineRule="auto"/>
        <w:ind w:firstLine="481" w:firstLineChars="171"/>
        <w:rPr>
          <w:rFonts w:ascii="宋体" w:hAnsi="宋体"/>
          <w:b/>
          <w:color w:val="auto"/>
          <w:sz w:val="28"/>
          <w:szCs w:val="28"/>
          <w:highlight w:val="none"/>
        </w:rPr>
      </w:pPr>
      <w:bookmarkStart w:id="92" w:name="_Toc529196540"/>
      <w:bookmarkStart w:id="93" w:name="_Toc514876754"/>
      <w:bookmarkStart w:id="94" w:name="_Toc515205213"/>
      <w:r>
        <w:rPr>
          <w:rFonts w:hint="eastAsia" w:ascii="宋体" w:hAnsi="宋体"/>
          <w:b/>
          <w:color w:val="auto"/>
          <w:sz w:val="28"/>
          <w:szCs w:val="28"/>
          <w:highlight w:val="none"/>
        </w:rPr>
        <w:t>3.2 投标报价</w:t>
      </w:r>
      <w:bookmarkEnd w:id="92"/>
      <w:bookmarkEnd w:id="93"/>
      <w:bookmarkEnd w:id="94"/>
    </w:p>
    <w:p w14:paraId="45996E10">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6B1AE747">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3.2.2 投标人应充分了解该项目的总体情况以及影响投标报价的其他要素。</w:t>
      </w:r>
    </w:p>
    <w:p w14:paraId="5C5DD33A">
      <w:pPr>
        <w:topLinePunct/>
        <w:adjustRightInd w:val="0"/>
        <w:snapToGrid w:val="0"/>
        <w:spacing w:line="360" w:lineRule="auto"/>
        <w:ind w:firstLine="420" w:firstLineChars="200"/>
        <w:rPr>
          <w:rFonts w:ascii="宋体" w:hAnsi="宋体"/>
          <w:color w:val="auto"/>
          <w:kern w:val="0"/>
          <w:szCs w:val="24"/>
          <w:highlight w:val="none"/>
        </w:rPr>
      </w:pPr>
      <w:r>
        <w:rPr>
          <w:rFonts w:hint="eastAsia" w:ascii="宋体" w:hAnsi="宋体"/>
          <w:color w:val="auto"/>
          <w:kern w:val="0"/>
          <w:szCs w:val="24"/>
          <w:highlight w:val="none"/>
        </w:rPr>
        <w:t>3.2.3本项目的报价方式见投标人须知前附表。投标人在投标截止时间前修改投标函中的投标报价总额，应同时修改投标文件“监理报酬清单”中的相应报价。此修改须符合本章第 4.3 款的有关要求。</w:t>
      </w:r>
    </w:p>
    <w:p w14:paraId="096530AA">
      <w:pPr>
        <w:spacing w:line="360" w:lineRule="auto"/>
        <w:ind w:firstLine="420" w:firstLineChars="200"/>
        <w:rPr>
          <w:rFonts w:ascii="宋体" w:hAnsi="宋体"/>
          <w:color w:val="auto"/>
          <w:highlight w:val="none"/>
        </w:rPr>
      </w:pPr>
      <w:r>
        <w:rPr>
          <w:rFonts w:hint="eastAsia" w:ascii="宋体" w:hAnsi="宋体"/>
          <w:color w:val="auto"/>
          <w:highlight w:val="none"/>
        </w:rPr>
        <w:t>3.2.4．招标人设有最高投标限价的，投标人的投标报价不得超过最高投标限价，最高投标限价在投标人须知前附表中载明。</w:t>
      </w:r>
    </w:p>
    <w:p w14:paraId="753B8F97">
      <w:pPr>
        <w:spacing w:line="360" w:lineRule="auto"/>
        <w:ind w:firstLine="420" w:firstLineChars="200"/>
        <w:rPr>
          <w:rFonts w:ascii="宋体" w:hAnsi="宋体"/>
          <w:color w:val="auto"/>
          <w:highlight w:val="none"/>
        </w:rPr>
      </w:pPr>
      <w:r>
        <w:rPr>
          <w:rFonts w:hint="eastAsia" w:ascii="宋体" w:hAnsi="宋体"/>
          <w:color w:val="auto"/>
          <w:highlight w:val="none"/>
        </w:rPr>
        <w:t>3.2.5 投标报价的其他要求见投标人须知前附表3.2.5。</w:t>
      </w:r>
    </w:p>
    <w:p w14:paraId="18A95DAF">
      <w:pPr>
        <w:spacing w:before="240" w:beforeLines="100" w:after="240" w:afterLines="100"/>
        <w:rPr>
          <w:rFonts w:ascii="宋体" w:hAnsi="宋体"/>
          <w:b/>
          <w:color w:val="auto"/>
          <w:sz w:val="28"/>
          <w:szCs w:val="28"/>
          <w:highlight w:val="none"/>
        </w:rPr>
      </w:pPr>
      <w:bookmarkStart w:id="95" w:name="_Toc515205214"/>
      <w:bookmarkStart w:id="96" w:name="_Toc529196541"/>
      <w:r>
        <w:rPr>
          <w:rFonts w:hint="eastAsia" w:ascii="宋体" w:hAnsi="宋体"/>
          <w:b/>
          <w:color w:val="auto"/>
          <w:sz w:val="28"/>
          <w:szCs w:val="28"/>
          <w:highlight w:val="none"/>
        </w:rPr>
        <w:t>3.3 投标有效期</w:t>
      </w:r>
      <w:bookmarkEnd w:id="95"/>
      <w:bookmarkEnd w:id="96"/>
    </w:p>
    <w:p w14:paraId="0634CAFA">
      <w:pPr>
        <w:spacing w:line="360" w:lineRule="auto"/>
        <w:ind w:firstLine="420" w:firstLineChars="200"/>
        <w:rPr>
          <w:rFonts w:ascii="宋体" w:hAnsi="宋体"/>
          <w:color w:val="auto"/>
          <w:highlight w:val="none"/>
        </w:rPr>
      </w:pPr>
      <w:r>
        <w:rPr>
          <w:rFonts w:hint="eastAsia" w:ascii="宋体" w:hAnsi="宋体"/>
          <w:color w:val="auto"/>
          <w:highlight w:val="none"/>
        </w:rPr>
        <w:t>3.3.1 除投标人须知前附表另有规定外，投标有效期为120天。</w:t>
      </w:r>
    </w:p>
    <w:p w14:paraId="15F95367">
      <w:pPr>
        <w:spacing w:line="360" w:lineRule="auto"/>
        <w:ind w:firstLine="420" w:firstLineChars="200"/>
        <w:rPr>
          <w:rFonts w:ascii="宋体" w:hAnsi="宋体"/>
          <w:color w:val="auto"/>
          <w:highlight w:val="none"/>
        </w:rPr>
      </w:pPr>
      <w:r>
        <w:rPr>
          <w:rFonts w:hint="eastAsia" w:ascii="宋体" w:hAnsi="宋体"/>
          <w:color w:val="auto"/>
          <w:highlight w:val="none"/>
        </w:rPr>
        <w:t>3.3.2 在投标有效期内，投标人撤销投标文件的，应承担招标文件和法律规定的责任。</w:t>
      </w:r>
    </w:p>
    <w:p w14:paraId="079AA6E6">
      <w:pPr>
        <w:spacing w:line="360" w:lineRule="auto"/>
        <w:ind w:firstLine="420" w:firstLineChars="200"/>
        <w:rPr>
          <w:rFonts w:ascii="宋体" w:hAnsi="宋体"/>
          <w:color w:val="auto"/>
          <w:highlight w:val="none"/>
        </w:rPr>
      </w:pPr>
      <w:r>
        <w:rPr>
          <w:rFonts w:hint="eastAsia" w:ascii="宋体" w:hAnsi="宋体"/>
          <w:color w:val="auto"/>
          <w:highlight w:val="none"/>
        </w:rPr>
        <w:t>3.3.3 出现特殊情况需要延长投标有效期的，招标人以书面形式通知所有投标人延长投标有效期。投标人应予以书面答复，同意延长的，不得要求或被允许修改其投标文件；投标人拒绝延长的，其投标失效。</w:t>
      </w:r>
    </w:p>
    <w:p w14:paraId="718A71DA">
      <w:pPr>
        <w:spacing w:before="240" w:beforeLines="100" w:after="240" w:afterLines="100"/>
        <w:rPr>
          <w:rFonts w:ascii="宋体" w:hAnsi="宋体"/>
          <w:b/>
          <w:color w:val="auto"/>
          <w:sz w:val="28"/>
          <w:szCs w:val="28"/>
          <w:highlight w:val="none"/>
        </w:rPr>
      </w:pPr>
      <w:bookmarkStart w:id="97" w:name="_Toc515205215"/>
      <w:bookmarkStart w:id="98" w:name="_Toc529196542"/>
      <w:r>
        <w:rPr>
          <w:rFonts w:hint="eastAsia" w:ascii="宋体" w:hAnsi="宋体"/>
          <w:b/>
          <w:color w:val="auto"/>
          <w:sz w:val="28"/>
          <w:szCs w:val="28"/>
          <w:highlight w:val="none"/>
        </w:rPr>
        <w:t>3.4 投标保证金</w:t>
      </w:r>
      <w:bookmarkEnd w:id="97"/>
      <w:bookmarkEnd w:id="98"/>
      <w:r>
        <w:rPr>
          <w:rFonts w:hint="eastAsia" w:ascii="宋体" w:hAnsi="宋体"/>
          <w:b/>
          <w:color w:val="auto"/>
          <w:sz w:val="28"/>
          <w:szCs w:val="28"/>
          <w:highlight w:val="none"/>
        </w:rPr>
        <w:t>（本项目不需要缴纳投标保证金）</w:t>
      </w:r>
    </w:p>
    <w:p w14:paraId="51464D60">
      <w:pPr>
        <w:spacing w:line="360" w:lineRule="auto"/>
        <w:ind w:firstLine="420" w:firstLineChars="200"/>
        <w:rPr>
          <w:rFonts w:ascii="宋体" w:hAnsi="宋体"/>
          <w:strike/>
          <w:color w:val="auto"/>
          <w:highlight w:val="none"/>
        </w:rPr>
      </w:pPr>
      <w:r>
        <w:rPr>
          <w:rFonts w:hint="eastAsia" w:ascii="宋体" w:hAnsi="宋体"/>
          <w:strike/>
          <w:color w:val="auto"/>
          <w:highlight w:val="none"/>
        </w:rPr>
        <w:t>3.4.1 投标人在递交投标文件的同时，应按投标人须知前附表规定的金额</w:t>
      </w:r>
      <w:bookmarkStart w:id="99" w:name="_Toc144974513"/>
      <w:bookmarkStart w:id="100" w:name="_Toc369531532"/>
      <w:bookmarkStart w:id="101" w:name="_Toc152045545"/>
      <w:bookmarkStart w:id="102" w:name="_Toc300834966"/>
      <w:bookmarkStart w:id="103" w:name="_Toc384308226"/>
      <w:bookmarkStart w:id="104" w:name="_Toc247527570"/>
      <w:bookmarkStart w:id="105" w:name="_Toc247513969"/>
      <w:bookmarkStart w:id="106" w:name="_Toc361508601"/>
      <w:bookmarkStart w:id="107" w:name="_Toc352691489"/>
      <w:bookmarkStart w:id="108" w:name="_Toc152042321"/>
      <w:bookmarkStart w:id="109" w:name="_Toc4592"/>
      <w:r>
        <w:rPr>
          <w:rFonts w:hint="eastAsia" w:ascii="宋体" w:hAnsi="宋体"/>
          <w:strike/>
          <w:color w:val="auto"/>
          <w:highlight w:val="none"/>
        </w:rPr>
        <w:t>、形式和第六章“投标文</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strike/>
          <w:color w:val="auto"/>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E1B9C56">
      <w:pPr>
        <w:spacing w:line="360" w:lineRule="auto"/>
        <w:ind w:firstLine="420" w:firstLineChars="200"/>
        <w:jc w:val="left"/>
        <w:rPr>
          <w:rFonts w:ascii="宋体" w:hAnsi="宋体"/>
          <w:strike/>
          <w:color w:val="auto"/>
          <w:highlight w:val="none"/>
        </w:rPr>
      </w:pPr>
      <w:r>
        <w:rPr>
          <w:rFonts w:hint="eastAsia" w:ascii="宋体" w:hAnsi="宋体"/>
          <w:strike/>
          <w:color w:val="auto"/>
          <w:highlight w:val="none"/>
        </w:rPr>
        <w:t>3.4.2 投标人不按本章第3.4.1项</w:t>
      </w:r>
      <w:bookmarkStart w:id="110" w:name="_Toc29025"/>
      <w:bookmarkStart w:id="111" w:name="_Toc384308227"/>
      <w:bookmarkStart w:id="112" w:name="_Toc369531533"/>
      <w:bookmarkStart w:id="113" w:name="_Toc361508602"/>
      <w:bookmarkStart w:id="114" w:name="_Toc352691490"/>
      <w:r>
        <w:rPr>
          <w:rFonts w:hint="eastAsia" w:ascii="宋体" w:hAnsi="宋体"/>
          <w:strike/>
          <w:color w:val="auto"/>
          <w:highlight w:val="none"/>
        </w:rPr>
        <w:t>要求提交投标保证金的，</w:t>
      </w:r>
      <w:bookmarkEnd w:id="110"/>
      <w:bookmarkEnd w:id="111"/>
      <w:bookmarkEnd w:id="112"/>
      <w:bookmarkEnd w:id="113"/>
      <w:bookmarkEnd w:id="114"/>
      <w:r>
        <w:rPr>
          <w:rFonts w:hint="eastAsia" w:ascii="宋体" w:hAnsi="宋体"/>
          <w:strike/>
          <w:color w:val="auto"/>
          <w:highlight w:val="none"/>
        </w:rPr>
        <w:t>评标委员会将否决其投标。</w:t>
      </w:r>
    </w:p>
    <w:p w14:paraId="04F25AB5">
      <w:pPr>
        <w:spacing w:line="360" w:lineRule="auto"/>
        <w:ind w:firstLine="420" w:firstLineChars="200"/>
        <w:rPr>
          <w:rFonts w:ascii="宋体" w:hAnsi="宋体"/>
          <w:strike/>
          <w:color w:val="auto"/>
          <w:highlight w:val="none"/>
        </w:rPr>
      </w:pPr>
      <w:r>
        <w:rPr>
          <w:rFonts w:hint="eastAsia" w:ascii="宋体" w:hAnsi="宋体"/>
          <w:strike/>
          <w:color w:val="auto"/>
          <w:highlight w:val="none"/>
        </w:rPr>
        <w:t>3.4.3 招标人最迟将在与中标人</w:t>
      </w:r>
      <w:bookmarkStart w:id="115" w:name="_Toc300834967"/>
      <w:bookmarkStart w:id="116" w:name="_Toc352691491"/>
      <w:bookmarkStart w:id="117" w:name="_Toc369531534"/>
      <w:bookmarkStart w:id="118" w:name="_Toc247513970"/>
      <w:bookmarkStart w:id="119" w:name="_Toc361508603"/>
      <w:bookmarkStart w:id="120" w:name="_Toc384308228"/>
      <w:bookmarkStart w:id="121" w:name="_Toc14751"/>
      <w:bookmarkStart w:id="122" w:name="_Toc144974514"/>
      <w:bookmarkStart w:id="123" w:name="_Toc152042322"/>
      <w:bookmarkStart w:id="124" w:name="_Toc247527571"/>
      <w:bookmarkStart w:id="125" w:name="_Toc152045546"/>
      <w:r>
        <w:rPr>
          <w:rFonts w:hint="eastAsia" w:ascii="宋体" w:hAnsi="宋体"/>
          <w:strike/>
          <w:color w:val="auto"/>
          <w:highlight w:val="none"/>
        </w:rPr>
        <w:t>签订合同后5日</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strike/>
          <w:color w:val="auto"/>
          <w:highlight w:val="none"/>
        </w:rPr>
        <w:t>内</w:t>
      </w:r>
      <w:bookmarkStart w:id="126" w:name="_Toc247513971"/>
      <w:bookmarkStart w:id="127" w:name="_Toc17952"/>
      <w:bookmarkStart w:id="128" w:name="_Toc144974515"/>
      <w:bookmarkStart w:id="129" w:name="_Toc152042323"/>
      <w:bookmarkStart w:id="130" w:name="_Toc300834968"/>
      <w:bookmarkStart w:id="131" w:name="_Toc384308229"/>
      <w:bookmarkStart w:id="132" w:name="_Toc369531535"/>
      <w:bookmarkStart w:id="133" w:name="_Toc352691492"/>
      <w:bookmarkStart w:id="134" w:name="_Toc247527572"/>
      <w:bookmarkStart w:id="135" w:name="_Toc152045547"/>
      <w:bookmarkStart w:id="136" w:name="_Toc361508604"/>
      <w:r>
        <w:rPr>
          <w:rFonts w:hint="eastAsia" w:ascii="宋体" w:hAnsi="宋体"/>
          <w:strike/>
          <w:color w:val="auto"/>
          <w:highlight w:val="none"/>
        </w:rPr>
        <w:t>，向未中标的投标人和中</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strike/>
          <w:color w:val="auto"/>
          <w:highlight w:val="none"/>
        </w:rPr>
        <w:t>标人退还投标保证金。投标保证金以现金或者支票形式递交的，还应退还银行同期存款利息。</w:t>
      </w:r>
    </w:p>
    <w:p w14:paraId="5DD3F0CE">
      <w:pPr>
        <w:spacing w:line="360" w:lineRule="auto"/>
        <w:ind w:firstLine="420" w:firstLineChars="200"/>
        <w:rPr>
          <w:rFonts w:ascii="宋体" w:hAnsi="宋体"/>
          <w:strike w:val="0"/>
          <w:color w:val="auto"/>
          <w:highlight w:val="none"/>
        </w:rPr>
      </w:pPr>
      <w:r>
        <w:rPr>
          <w:rFonts w:hint="eastAsia" w:ascii="宋体" w:hAnsi="宋体"/>
          <w:strike w:val="0"/>
          <w:color w:val="auto"/>
          <w:highlight w:val="none"/>
        </w:rPr>
        <w:t>3.4.4 有下列情形之一的，投标保证金将不予退还：</w:t>
      </w:r>
    </w:p>
    <w:p w14:paraId="4616A61A">
      <w:pPr>
        <w:spacing w:line="360" w:lineRule="auto"/>
        <w:ind w:firstLine="315" w:firstLineChars="150"/>
        <w:rPr>
          <w:rFonts w:ascii="宋体" w:hAnsi="宋体"/>
          <w:strike w:val="0"/>
          <w:color w:val="auto"/>
          <w:highlight w:val="none"/>
        </w:rPr>
      </w:pPr>
      <w:r>
        <w:rPr>
          <w:rFonts w:hint="eastAsia" w:ascii="宋体" w:hAnsi="宋体"/>
          <w:strike w:val="0"/>
          <w:color w:val="auto"/>
          <w:highlight w:val="none"/>
        </w:rPr>
        <w:t>（1）投标人在投标有效期内撤销投标文件；</w:t>
      </w:r>
    </w:p>
    <w:p w14:paraId="10D56286">
      <w:pPr>
        <w:spacing w:line="360" w:lineRule="auto"/>
        <w:ind w:firstLine="315" w:firstLineChars="150"/>
        <w:rPr>
          <w:rFonts w:ascii="宋体" w:hAnsi="宋体"/>
          <w:strike w:val="0"/>
          <w:color w:val="auto"/>
          <w:highlight w:val="none"/>
        </w:rPr>
      </w:pPr>
      <w:r>
        <w:rPr>
          <w:rFonts w:hint="eastAsia" w:ascii="宋体" w:hAnsi="宋体"/>
          <w:strike w:val="0"/>
          <w:color w:val="auto"/>
          <w:highlight w:val="none"/>
        </w:rPr>
        <w:t>（2）中标人在收到中标通知书后，无正当理由不与招标人订立合同，在签订合同时向招标人提出附加条件，或者不按照招标文件要求提交履约保证金；</w:t>
      </w:r>
    </w:p>
    <w:p w14:paraId="647CDB52">
      <w:pPr>
        <w:spacing w:line="360" w:lineRule="auto"/>
        <w:ind w:firstLine="315" w:firstLineChars="150"/>
        <w:rPr>
          <w:rFonts w:ascii="宋体" w:hAnsi="宋体"/>
          <w:strike/>
          <w:color w:val="auto"/>
          <w:highlight w:val="none"/>
        </w:rPr>
      </w:pPr>
      <w:r>
        <w:rPr>
          <w:rFonts w:hint="eastAsia" w:ascii="宋体" w:hAnsi="宋体"/>
          <w:strike w:val="0"/>
          <w:color w:val="auto"/>
          <w:highlight w:val="none"/>
        </w:rPr>
        <w:t>（3）发生投标人须知前附表规定的其他可以不予退还投标保证金的情形。</w:t>
      </w:r>
    </w:p>
    <w:p w14:paraId="209949AF">
      <w:pPr>
        <w:spacing w:before="240" w:beforeLines="100" w:after="240" w:afterLines="100"/>
        <w:rPr>
          <w:rFonts w:ascii="宋体" w:hAnsi="宋体"/>
          <w:b/>
          <w:strike/>
          <w:color w:val="auto"/>
          <w:sz w:val="28"/>
          <w:szCs w:val="28"/>
          <w:highlight w:val="none"/>
        </w:rPr>
      </w:pPr>
      <w:bookmarkStart w:id="137" w:name="_Toc529196543"/>
      <w:bookmarkStart w:id="138" w:name="_Toc515205216"/>
      <w:r>
        <w:rPr>
          <w:rFonts w:ascii="宋体" w:hAnsi="宋体"/>
          <w:b/>
          <w:strike/>
          <w:color w:val="auto"/>
          <w:sz w:val="28"/>
          <w:szCs w:val="28"/>
          <w:highlight w:val="none"/>
        </w:rPr>
        <w:t xml:space="preserve">3.5 </w:t>
      </w:r>
      <w:r>
        <w:rPr>
          <w:rFonts w:hint="eastAsia" w:ascii="宋体" w:hAnsi="宋体"/>
          <w:b/>
          <w:strike/>
          <w:color w:val="auto"/>
          <w:sz w:val="28"/>
          <w:szCs w:val="28"/>
          <w:highlight w:val="none"/>
        </w:rPr>
        <w:t>资格审查资料（适用于已进行资格预审的）</w:t>
      </w:r>
      <w:bookmarkEnd w:id="137"/>
      <w:bookmarkEnd w:id="138"/>
    </w:p>
    <w:p w14:paraId="63172C73">
      <w:pPr>
        <w:spacing w:line="360" w:lineRule="auto"/>
        <w:ind w:firstLine="567" w:firstLineChars="270"/>
        <w:rPr>
          <w:rFonts w:ascii="宋体" w:hAnsi="宋体" w:cs="宋体"/>
          <w:strike/>
          <w:color w:val="auto"/>
          <w:highlight w:val="none"/>
        </w:rPr>
      </w:pPr>
      <w:r>
        <w:rPr>
          <w:rFonts w:hint="eastAsia" w:ascii="宋体" w:hAnsi="宋体" w:cs="宋体"/>
          <w:strike/>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25D097BD">
      <w:pPr>
        <w:spacing w:before="240" w:beforeLines="100" w:after="240" w:afterLines="100"/>
        <w:rPr>
          <w:rFonts w:ascii="宋体" w:hAnsi="宋体"/>
          <w:b/>
          <w:color w:val="auto"/>
          <w:sz w:val="28"/>
          <w:szCs w:val="28"/>
          <w:highlight w:val="none"/>
        </w:rPr>
      </w:pPr>
      <w:bookmarkStart w:id="139" w:name="_Toc529196544"/>
      <w:bookmarkStart w:id="140" w:name="_Toc515205217"/>
      <w:r>
        <w:rPr>
          <w:rFonts w:hint="eastAsia" w:ascii="宋体" w:hAnsi="宋体"/>
          <w:b/>
          <w:color w:val="auto"/>
          <w:sz w:val="28"/>
          <w:szCs w:val="28"/>
          <w:highlight w:val="none"/>
        </w:rPr>
        <w:t>3.5 资格审查资料（适用于未进行资格预审的）</w:t>
      </w:r>
      <w:bookmarkEnd w:id="139"/>
      <w:bookmarkEnd w:id="140"/>
    </w:p>
    <w:p w14:paraId="468FDFEA">
      <w:pPr>
        <w:spacing w:line="360" w:lineRule="auto"/>
        <w:ind w:firstLine="420" w:firstLineChars="200"/>
        <w:rPr>
          <w:rFonts w:ascii="宋体" w:hAnsi="宋体"/>
          <w:color w:val="auto"/>
          <w:highlight w:val="none"/>
        </w:rPr>
      </w:pPr>
      <w:r>
        <w:rPr>
          <w:rFonts w:hint="eastAsia" w:ascii="宋体" w:hAnsi="宋体"/>
          <w:color w:val="auto"/>
          <w:highlight w:val="none"/>
        </w:rPr>
        <w:t>除投标人须知前附表另有规定外，投标人应按下列规定提供资格审查资料，以证明其满足本章第 1.4 款规定的资质、财务、业绩、信誉等要求。</w:t>
      </w:r>
    </w:p>
    <w:p w14:paraId="3FF9457E">
      <w:pPr>
        <w:spacing w:line="360" w:lineRule="auto"/>
        <w:ind w:firstLine="420" w:firstLineChars="200"/>
        <w:rPr>
          <w:rFonts w:ascii="宋体" w:hAnsi="宋体"/>
          <w:color w:val="auto"/>
          <w:highlight w:val="none"/>
        </w:rPr>
      </w:pPr>
      <w:r>
        <w:rPr>
          <w:rFonts w:hint="eastAsia" w:ascii="宋体" w:hAnsi="宋体"/>
          <w:color w:val="auto"/>
          <w:highlight w:val="none"/>
        </w:rPr>
        <w:t>3.5.1 “投标人基本情况表”应附投标人营业执照和组织机构代码证的扫描件（按照“三证合一”或“五证合一”登记制度进行登记的，可仅提供营业执照扫描件）、投标人监理资质证书副本等材料的扫描件。</w:t>
      </w:r>
    </w:p>
    <w:p w14:paraId="364556EA">
      <w:pPr>
        <w:spacing w:line="360" w:lineRule="auto"/>
        <w:ind w:firstLine="420" w:firstLineChars="200"/>
        <w:rPr>
          <w:rFonts w:ascii="宋体" w:hAnsi="宋体"/>
          <w:color w:val="auto"/>
          <w:highlight w:val="none"/>
        </w:rPr>
      </w:pPr>
      <w:r>
        <w:rPr>
          <w:rFonts w:hint="eastAsia" w:ascii="宋体" w:hAnsi="宋体"/>
          <w:color w:val="auto"/>
          <w:highlight w:val="none"/>
        </w:rPr>
        <w:t>3.5.2 “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04ED3FEF">
      <w:pPr>
        <w:spacing w:line="360" w:lineRule="auto"/>
        <w:ind w:firstLine="420" w:firstLineChars="200"/>
        <w:rPr>
          <w:rFonts w:ascii="宋体" w:hAnsi="宋体"/>
          <w:color w:val="auto"/>
          <w:highlight w:val="none"/>
        </w:rPr>
      </w:pPr>
      <w:r>
        <w:rPr>
          <w:rFonts w:hint="eastAsia" w:ascii="宋体" w:hAnsi="宋体"/>
          <w:color w:val="auto"/>
          <w:highlight w:val="none"/>
        </w:rPr>
        <w:t>3.5.3 “近年完成的类似监理项目情况表”应附中标通知书和（或）合同协议书、委托人出具的证明文件；具体时间要求见投标人须知前附表，每张表格只填写一个项目，并标明序号。</w:t>
      </w:r>
    </w:p>
    <w:p w14:paraId="518463FB">
      <w:pPr>
        <w:spacing w:line="360" w:lineRule="auto"/>
        <w:ind w:firstLine="420" w:firstLineChars="200"/>
        <w:rPr>
          <w:rFonts w:ascii="宋体" w:hAnsi="宋体"/>
          <w:color w:val="auto"/>
          <w:highlight w:val="none"/>
        </w:rPr>
      </w:pPr>
      <w:r>
        <w:rPr>
          <w:rFonts w:hint="eastAsia" w:ascii="宋体" w:hAnsi="宋体"/>
          <w:color w:val="auto"/>
          <w:highlight w:val="none"/>
        </w:rPr>
        <w:t>3.5.4 “正在监理和新承接的项目情况表”应附中标通知书和（或）合同协议书扫描件。每张表格只填写一个项目，并标明序号。</w:t>
      </w:r>
    </w:p>
    <w:p w14:paraId="06D09984">
      <w:pPr>
        <w:spacing w:line="360" w:lineRule="auto"/>
        <w:ind w:firstLine="420" w:firstLineChars="200"/>
        <w:rPr>
          <w:rFonts w:ascii="宋体" w:hAnsi="宋体"/>
          <w:color w:val="auto"/>
          <w:highlight w:val="none"/>
        </w:rPr>
      </w:pPr>
      <w:r>
        <w:rPr>
          <w:rFonts w:hint="eastAsia" w:ascii="宋体" w:hAnsi="宋体"/>
          <w:color w:val="auto"/>
          <w:highlight w:val="none"/>
        </w:rPr>
        <w:t>3.5.5 “近年发生的诉讼及仲裁情况”应说明投标人败诉的监理合同的相关情况，并附法院或仲裁机构作出的判决、裁决等有关法律文书扫描件，具体时间要求见投标人须知前附表。</w:t>
      </w:r>
    </w:p>
    <w:p w14:paraId="51B4E7FD">
      <w:pPr>
        <w:spacing w:line="360" w:lineRule="auto"/>
        <w:ind w:firstLine="420" w:firstLineChars="200"/>
        <w:rPr>
          <w:rFonts w:ascii="宋体" w:hAnsi="宋体"/>
          <w:color w:val="auto"/>
          <w:highlight w:val="none"/>
        </w:rPr>
      </w:pPr>
      <w:r>
        <w:rPr>
          <w:rFonts w:hint="eastAsia" w:ascii="宋体" w:hAnsi="宋体"/>
          <w:color w:val="auto"/>
          <w:highlight w:val="none"/>
        </w:rPr>
        <w:t>3.5.6 “拟委任的主要人员汇总表”应填报满足本章第 1.4.1 项规定的总监理工程师和其他主要人员的相关信息。“主要人员简历表”中总监理工程师应附身份证、学历证、职称证、注册监</w:t>
      </w:r>
      <w:bookmarkStart w:id="141" w:name="page28"/>
      <w:bookmarkEnd w:id="141"/>
      <w:r>
        <w:rPr>
          <w:rFonts w:hint="eastAsia" w:ascii="宋体" w:hAnsi="宋体"/>
          <w:color w:val="auto"/>
          <w:highlight w:val="none"/>
        </w:rPr>
        <w:t>理工程师执业证书和社保缴费证明扫描件，管理过的项目业绩须附合同协议书扫描件；其他主要人员应附身份证、学历证、职称证、有关证书和社保缴费证明扫描件。</w:t>
      </w:r>
    </w:p>
    <w:p w14:paraId="51802431">
      <w:pPr>
        <w:spacing w:line="360" w:lineRule="auto"/>
        <w:ind w:firstLine="420" w:firstLineChars="200"/>
        <w:rPr>
          <w:rFonts w:ascii="宋体" w:hAnsi="宋体"/>
          <w:color w:val="auto"/>
          <w:highlight w:val="none"/>
        </w:rPr>
      </w:pPr>
      <w:r>
        <w:rPr>
          <w:rFonts w:hint="eastAsia" w:ascii="宋体" w:hAnsi="宋体"/>
          <w:color w:val="auto"/>
          <w:highlight w:val="none"/>
        </w:rPr>
        <w:t>3.5.7 “拟投入本项目的主要试验检测仪器设备表”应填报满足本章第 1.4.1 项规定的试验检测仪器设备。</w:t>
      </w:r>
    </w:p>
    <w:p w14:paraId="72A4379E">
      <w:pPr>
        <w:spacing w:line="360" w:lineRule="auto"/>
        <w:ind w:firstLine="420" w:firstLineChars="200"/>
        <w:rPr>
          <w:rFonts w:ascii="宋体" w:hAnsi="宋体"/>
          <w:strike/>
          <w:color w:val="auto"/>
          <w:highlight w:val="none"/>
        </w:rPr>
      </w:pPr>
      <w:r>
        <w:rPr>
          <w:rFonts w:ascii="宋体" w:hAnsi="宋体"/>
          <w:strike/>
          <w:color w:val="auto"/>
          <w:highlight w:val="none"/>
        </w:rPr>
        <w:t xml:space="preserve">3.5.8 </w:t>
      </w:r>
      <w:r>
        <w:rPr>
          <w:rFonts w:hint="eastAsia" w:ascii="宋体" w:hAnsi="宋体"/>
          <w:strike/>
          <w:color w:val="auto"/>
          <w:highlight w:val="none"/>
        </w:rPr>
        <w:t>投标人须知前附表规定接受联合体投标的，本章第</w:t>
      </w:r>
      <w:r>
        <w:rPr>
          <w:rFonts w:ascii="宋体" w:hAnsi="宋体"/>
          <w:strike/>
          <w:color w:val="auto"/>
          <w:highlight w:val="none"/>
        </w:rPr>
        <w:t xml:space="preserve"> 3.5.1 </w:t>
      </w:r>
      <w:r>
        <w:rPr>
          <w:rFonts w:hint="eastAsia" w:ascii="宋体" w:hAnsi="宋体"/>
          <w:strike/>
          <w:color w:val="auto"/>
          <w:highlight w:val="none"/>
        </w:rPr>
        <w:t>项至第</w:t>
      </w:r>
      <w:r>
        <w:rPr>
          <w:rFonts w:ascii="宋体" w:hAnsi="宋体"/>
          <w:strike/>
          <w:color w:val="auto"/>
          <w:highlight w:val="none"/>
        </w:rPr>
        <w:t xml:space="preserve"> 3.5.7 </w:t>
      </w:r>
      <w:r>
        <w:rPr>
          <w:rFonts w:hint="eastAsia" w:ascii="宋体" w:hAnsi="宋体"/>
          <w:strike/>
          <w:color w:val="auto"/>
          <w:highlight w:val="none"/>
        </w:rPr>
        <w:t>项规定的表格和资料应包括联合体各方相关情况。</w:t>
      </w:r>
    </w:p>
    <w:p w14:paraId="22F3ECD8">
      <w:pPr>
        <w:spacing w:before="240" w:beforeLines="100" w:after="240" w:afterLines="100"/>
        <w:rPr>
          <w:rFonts w:ascii="宋体" w:hAnsi="宋体"/>
          <w:b/>
          <w:color w:val="auto"/>
          <w:sz w:val="28"/>
          <w:szCs w:val="28"/>
          <w:highlight w:val="none"/>
        </w:rPr>
      </w:pPr>
      <w:bookmarkStart w:id="142" w:name="_Toc529196545"/>
      <w:bookmarkStart w:id="143" w:name="_Toc515205218"/>
      <w:r>
        <w:rPr>
          <w:rFonts w:hint="eastAsia" w:ascii="宋体" w:hAnsi="宋体"/>
          <w:b/>
          <w:color w:val="auto"/>
          <w:sz w:val="28"/>
          <w:szCs w:val="28"/>
          <w:highlight w:val="none"/>
        </w:rPr>
        <w:t>3.6 备选投标方案</w:t>
      </w:r>
      <w:bookmarkEnd w:id="142"/>
      <w:bookmarkEnd w:id="143"/>
    </w:p>
    <w:p w14:paraId="403A705E">
      <w:pPr>
        <w:spacing w:line="360" w:lineRule="auto"/>
        <w:ind w:firstLine="420" w:firstLineChars="200"/>
        <w:rPr>
          <w:rFonts w:ascii="宋体" w:hAnsi="宋体"/>
          <w:color w:val="auto"/>
          <w:highlight w:val="none"/>
        </w:rPr>
      </w:pPr>
      <w:r>
        <w:rPr>
          <w:rFonts w:hint="eastAsia" w:ascii="宋体" w:hAnsi="宋体"/>
          <w:color w:val="auto"/>
          <w:highlight w:val="none"/>
        </w:rPr>
        <w:t>3.6.1 除投标人须知前附表规定允许外，投标人不得递交备选投标方案，否则其投标将被否决。</w:t>
      </w:r>
    </w:p>
    <w:p w14:paraId="10D150AF">
      <w:pPr>
        <w:spacing w:line="360" w:lineRule="auto"/>
        <w:ind w:firstLine="420" w:firstLineChars="200"/>
        <w:rPr>
          <w:rFonts w:ascii="宋体" w:hAnsi="宋体"/>
          <w:color w:val="auto"/>
          <w:highlight w:val="none"/>
        </w:rPr>
      </w:pPr>
      <w:r>
        <w:rPr>
          <w:rFonts w:hint="eastAsia" w:ascii="宋体" w:hAnsi="宋体"/>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17A1DDA">
      <w:pPr>
        <w:spacing w:line="360" w:lineRule="auto"/>
        <w:ind w:firstLine="420" w:firstLineChars="200"/>
        <w:rPr>
          <w:rFonts w:ascii="宋体" w:hAnsi="宋体"/>
          <w:color w:val="auto"/>
          <w:highlight w:val="none"/>
        </w:rPr>
      </w:pPr>
      <w:r>
        <w:rPr>
          <w:rFonts w:hint="eastAsia" w:ascii="宋体" w:hAnsi="宋体"/>
          <w:color w:val="auto"/>
          <w:highlight w:val="none"/>
        </w:rPr>
        <w:t>3.6.3 投标人提供两个或两个以上投标报价，或者在投标文件中提供一个报价，但同时提供两个或两个以上</w:t>
      </w:r>
      <w:bookmarkStart w:id="144" w:name="_Toc369531538"/>
      <w:bookmarkStart w:id="145" w:name="_Toc247527575"/>
      <w:bookmarkStart w:id="146" w:name="_Toc247513974"/>
      <w:bookmarkStart w:id="147" w:name="_Toc152045550"/>
      <w:bookmarkStart w:id="148" w:name="_Toc384308232"/>
      <w:bookmarkStart w:id="149" w:name="_Toc29902"/>
      <w:bookmarkStart w:id="150" w:name="_Toc144974518"/>
      <w:bookmarkStart w:id="151" w:name="_Toc300834971"/>
      <w:bookmarkStart w:id="152" w:name="_Toc352691495"/>
      <w:bookmarkStart w:id="153" w:name="_Toc152042326"/>
      <w:bookmarkStart w:id="154" w:name="_Toc361508607"/>
      <w:r>
        <w:rPr>
          <w:rFonts w:hint="eastAsia" w:ascii="宋体" w:hAnsi="宋体"/>
          <w:color w:val="auto"/>
          <w:highlight w:val="none"/>
        </w:rPr>
        <w:t>监理方案的</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color w:val="auto"/>
          <w:highlight w:val="none"/>
        </w:rPr>
        <w:t>，视为提供备选方案。</w:t>
      </w:r>
    </w:p>
    <w:p w14:paraId="7BABAF7E">
      <w:pPr>
        <w:spacing w:before="240" w:beforeLines="100" w:after="240" w:afterLines="100"/>
        <w:rPr>
          <w:rFonts w:ascii="宋体" w:hAnsi="宋体"/>
          <w:b/>
          <w:color w:val="auto"/>
          <w:sz w:val="28"/>
          <w:szCs w:val="28"/>
          <w:highlight w:val="none"/>
        </w:rPr>
      </w:pPr>
      <w:bookmarkStart w:id="155" w:name="_Toc515205219"/>
      <w:bookmarkStart w:id="156" w:name="_Toc529196546"/>
      <w:r>
        <w:rPr>
          <w:rFonts w:hint="eastAsia" w:ascii="宋体" w:hAnsi="宋体"/>
          <w:b/>
          <w:color w:val="auto"/>
          <w:sz w:val="28"/>
          <w:szCs w:val="28"/>
          <w:highlight w:val="none"/>
        </w:rPr>
        <w:t>3.7 投标文件的编制</w:t>
      </w:r>
      <w:bookmarkEnd w:id="155"/>
      <w:bookmarkEnd w:id="156"/>
    </w:p>
    <w:p w14:paraId="64BAAEB4">
      <w:pPr>
        <w:spacing w:line="360" w:lineRule="auto"/>
        <w:ind w:firstLine="420" w:firstLineChars="200"/>
        <w:rPr>
          <w:rFonts w:ascii="宋体" w:hAnsi="宋体"/>
          <w:color w:val="auto"/>
          <w:highlight w:val="none"/>
        </w:rPr>
      </w:pPr>
      <w:r>
        <w:rPr>
          <w:rFonts w:hint="eastAsia" w:ascii="宋体" w:hAnsi="宋体"/>
          <w:color w:val="auto"/>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5FADCB8B">
      <w:pPr>
        <w:spacing w:line="360" w:lineRule="auto"/>
        <w:ind w:firstLine="420" w:firstLineChars="200"/>
        <w:rPr>
          <w:rFonts w:ascii="宋体" w:hAnsi="宋体"/>
          <w:color w:val="auto"/>
          <w:highlight w:val="none"/>
        </w:rPr>
      </w:pPr>
      <w:r>
        <w:rPr>
          <w:rFonts w:hint="eastAsia" w:ascii="宋体" w:hAnsi="宋体"/>
          <w:color w:val="auto"/>
          <w:highlight w:val="none"/>
        </w:rPr>
        <w:t>3.7.2 投标文件应当对招标文件有关监理服务期限、投标有效期、委托人要求、招标范围等实质性内容作出响应。</w:t>
      </w:r>
    </w:p>
    <w:p w14:paraId="0FC2E732">
      <w:pPr>
        <w:spacing w:line="360" w:lineRule="auto"/>
        <w:ind w:firstLine="420" w:firstLineChars="200"/>
        <w:rPr>
          <w:rFonts w:ascii="宋体" w:hAnsi="宋体"/>
          <w:strike/>
          <w:color w:val="auto"/>
          <w:highlight w:val="none"/>
        </w:rPr>
      </w:pPr>
      <w:r>
        <w:rPr>
          <w:rFonts w:hint="eastAsia" w:ascii="宋体" w:hAnsi="宋体"/>
          <w:strike/>
          <w:color w:val="auto"/>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155DFB7D">
      <w:pPr>
        <w:spacing w:line="360" w:lineRule="auto"/>
        <w:ind w:firstLine="420" w:firstLineChars="200"/>
        <w:rPr>
          <w:rFonts w:ascii="宋体" w:hAnsi="宋体"/>
          <w:strike/>
          <w:color w:val="auto"/>
          <w:highlight w:val="none"/>
        </w:rPr>
      </w:pPr>
      <w:r>
        <w:rPr>
          <w:rFonts w:hint="eastAsia" w:ascii="宋体" w:hAnsi="宋体"/>
          <w:strike/>
          <w:color w:val="auto"/>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49ADC76B">
      <w:pPr>
        <w:spacing w:line="360" w:lineRule="auto"/>
        <w:ind w:firstLine="420" w:firstLineChars="200"/>
        <w:rPr>
          <w:rFonts w:ascii="宋体" w:hAnsi="宋体"/>
          <w:strike/>
          <w:color w:val="auto"/>
          <w:highlight w:val="none"/>
        </w:rPr>
      </w:pPr>
      <w:r>
        <w:rPr>
          <w:rFonts w:hint="eastAsia" w:ascii="宋体" w:hAnsi="宋体"/>
          <w:strike/>
          <w:color w:val="auto"/>
          <w:highlight w:val="none"/>
        </w:rPr>
        <w:t>（3）投标文件的正本与副本应分别装订，并编制目录，投标文件需分册装订的，具体分册装订要求见投标人须知前附表规定。</w:t>
      </w:r>
    </w:p>
    <w:p w14:paraId="306E576A">
      <w:pPr>
        <w:spacing w:line="360" w:lineRule="auto"/>
        <w:ind w:firstLine="420" w:firstLineChars="200"/>
        <w:rPr>
          <w:rFonts w:ascii="宋体" w:hAnsi="宋体"/>
          <w:color w:val="auto"/>
          <w:highlight w:val="none"/>
        </w:rPr>
      </w:pPr>
      <w:bookmarkStart w:id="157" w:name="_Toc514946914"/>
      <w:r>
        <w:rPr>
          <w:rFonts w:hint="eastAsia" w:ascii="宋体" w:hAnsi="宋体"/>
          <w:color w:val="auto"/>
          <w:highlight w:val="none"/>
        </w:rPr>
        <w:t>3.7.3（B）投标文件全部采用电子文档，除投标人须知前附表另有规定外，投标文件所附证书证件均为扫描件，并采用单位和个人数字证书，</w:t>
      </w:r>
      <w:r>
        <w:rPr>
          <w:rFonts w:hint="eastAsia" w:ascii="宋体" w:hAnsi="宋体"/>
          <w:color w:val="auto"/>
          <w:highlight w:val="none"/>
          <w:u w:val="single"/>
          <w:lang w:eastAsia="zh-CN"/>
        </w:rPr>
        <w:t>对投标文件</w:t>
      </w:r>
      <w:r>
        <w:rPr>
          <w:rFonts w:hint="eastAsia" w:ascii="宋体" w:hAnsi="宋体"/>
          <w:color w:val="auto"/>
          <w:highlight w:val="none"/>
        </w:rPr>
        <w:t>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57"/>
    </w:p>
    <w:p w14:paraId="4692B42A">
      <w:pPr>
        <w:spacing w:before="260"/>
        <w:outlineLvl w:val="2"/>
        <w:rPr>
          <w:rFonts w:ascii="宋体" w:hAnsi="宋体"/>
          <w:b/>
          <w:color w:val="auto"/>
          <w:sz w:val="32"/>
          <w:szCs w:val="32"/>
          <w:highlight w:val="none"/>
        </w:rPr>
      </w:pPr>
      <w:bookmarkStart w:id="158" w:name="_Toc515205220"/>
      <w:bookmarkStart w:id="159" w:name="_Toc529196547"/>
      <w:r>
        <w:rPr>
          <w:rFonts w:hint="eastAsia" w:ascii="宋体" w:hAnsi="宋体"/>
          <w:b/>
          <w:color w:val="auto"/>
          <w:sz w:val="32"/>
          <w:szCs w:val="32"/>
          <w:highlight w:val="none"/>
        </w:rPr>
        <w:t>4. 投标</w:t>
      </w:r>
      <w:bookmarkEnd w:id="158"/>
      <w:bookmarkEnd w:id="159"/>
    </w:p>
    <w:p w14:paraId="33FBB0A6">
      <w:pPr>
        <w:spacing w:before="240" w:beforeLines="100" w:after="240" w:afterLines="100"/>
        <w:rPr>
          <w:rFonts w:ascii="宋体" w:hAnsi="宋体"/>
          <w:b/>
          <w:color w:val="auto"/>
          <w:sz w:val="28"/>
          <w:szCs w:val="28"/>
          <w:highlight w:val="none"/>
        </w:rPr>
      </w:pPr>
      <w:bookmarkStart w:id="160" w:name="_Toc515205221"/>
      <w:bookmarkStart w:id="161" w:name="_Toc529196548"/>
      <w:r>
        <w:rPr>
          <w:rFonts w:hint="eastAsia" w:ascii="宋体" w:hAnsi="宋体"/>
          <w:b/>
          <w:color w:val="auto"/>
          <w:sz w:val="28"/>
          <w:szCs w:val="28"/>
          <w:highlight w:val="none"/>
        </w:rPr>
        <w:t>4.1 投标文件的密封和标记</w:t>
      </w:r>
      <w:bookmarkEnd w:id="160"/>
      <w:bookmarkEnd w:id="161"/>
    </w:p>
    <w:p w14:paraId="701CAAEE">
      <w:pPr>
        <w:spacing w:line="360" w:lineRule="auto"/>
        <w:ind w:firstLine="420" w:firstLineChars="200"/>
        <w:rPr>
          <w:rFonts w:ascii="宋体" w:hAnsi="宋体"/>
          <w:strike/>
          <w:color w:val="auto"/>
          <w:highlight w:val="none"/>
        </w:rPr>
      </w:pPr>
      <w:r>
        <w:rPr>
          <w:rFonts w:hint="eastAsia" w:ascii="宋体" w:hAnsi="宋体"/>
          <w:strike/>
          <w:color w:val="auto"/>
          <w:highlight w:val="none"/>
        </w:rPr>
        <w:t>4.1.1 （A）投标文件应密封包装，并在封套的封口处加盖投标人单位章或由投标人的法定代表人或其授权的代理人签字。</w:t>
      </w:r>
    </w:p>
    <w:p w14:paraId="50111B43">
      <w:pPr>
        <w:spacing w:line="360" w:lineRule="auto"/>
        <w:ind w:firstLine="420" w:firstLineChars="200"/>
        <w:rPr>
          <w:rFonts w:ascii="宋体" w:hAnsi="宋体"/>
          <w:color w:val="auto"/>
          <w:highlight w:val="none"/>
        </w:rPr>
      </w:pPr>
      <w:r>
        <w:rPr>
          <w:rFonts w:hint="eastAsia" w:ascii="宋体" w:hAnsi="宋体"/>
          <w:color w:val="auto"/>
          <w:highlight w:val="none"/>
        </w:rPr>
        <w:t>4.1.1 （B）投标人应当按照招标文件和电子招标投标交易平台的要求加密投标文件，具体要求见投标人须知前附表。</w:t>
      </w:r>
    </w:p>
    <w:p w14:paraId="5267D878">
      <w:pPr>
        <w:spacing w:line="360" w:lineRule="auto"/>
        <w:ind w:firstLine="420" w:firstLineChars="200"/>
        <w:rPr>
          <w:rFonts w:ascii="宋体" w:hAnsi="宋体"/>
          <w:color w:val="auto"/>
          <w:highlight w:val="none"/>
        </w:rPr>
      </w:pPr>
      <w:r>
        <w:rPr>
          <w:rFonts w:hint="eastAsia" w:ascii="宋体" w:hAnsi="宋体"/>
          <w:color w:val="auto"/>
          <w:highlight w:val="none"/>
        </w:rPr>
        <w:t>4.1.2 投标文件封套上应写明的内容见投标人须知前附表。</w:t>
      </w:r>
    </w:p>
    <w:p w14:paraId="33D1F9E5">
      <w:pPr>
        <w:spacing w:line="360" w:lineRule="auto"/>
        <w:ind w:firstLine="420" w:firstLineChars="200"/>
        <w:rPr>
          <w:rFonts w:ascii="宋体" w:hAnsi="宋体"/>
          <w:color w:val="auto"/>
          <w:highlight w:val="none"/>
        </w:rPr>
      </w:pPr>
      <w:r>
        <w:rPr>
          <w:rFonts w:hint="eastAsia" w:ascii="宋体" w:hAnsi="宋体"/>
          <w:color w:val="auto"/>
          <w:highlight w:val="none"/>
        </w:rPr>
        <w:t>4.1.3 未按本章第4.1.1项要求密封的投标文件，招标人将予以拒收。</w:t>
      </w:r>
    </w:p>
    <w:p w14:paraId="1B2A79B1">
      <w:pPr>
        <w:spacing w:before="240" w:beforeLines="100" w:after="240" w:afterLines="100"/>
        <w:rPr>
          <w:rFonts w:ascii="宋体" w:hAnsi="宋体"/>
          <w:b/>
          <w:color w:val="auto"/>
          <w:sz w:val="28"/>
          <w:szCs w:val="28"/>
          <w:highlight w:val="none"/>
        </w:rPr>
      </w:pPr>
      <w:bookmarkStart w:id="162" w:name="_Toc515205222"/>
      <w:bookmarkStart w:id="163" w:name="_Toc529196549"/>
      <w:r>
        <w:rPr>
          <w:rFonts w:hint="eastAsia" w:ascii="宋体" w:hAnsi="宋体"/>
          <w:b/>
          <w:color w:val="auto"/>
          <w:sz w:val="28"/>
          <w:szCs w:val="28"/>
          <w:highlight w:val="none"/>
        </w:rPr>
        <w:t>4.2 投标文件的递交</w:t>
      </w:r>
      <w:bookmarkEnd w:id="162"/>
      <w:bookmarkEnd w:id="163"/>
    </w:p>
    <w:p w14:paraId="4183846E">
      <w:pPr>
        <w:spacing w:line="360" w:lineRule="auto"/>
        <w:ind w:firstLine="420" w:firstLineChars="200"/>
        <w:rPr>
          <w:rFonts w:ascii="宋体" w:hAnsi="宋体"/>
          <w:color w:val="auto"/>
          <w:highlight w:val="none"/>
        </w:rPr>
      </w:pPr>
      <w:r>
        <w:rPr>
          <w:rFonts w:hint="eastAsia" w:ascii="宋体" w:hAnsi="宋体"/>
          <w:color w:val="auto"/>
          <w:highlight w:val="none"/>
        </w:rPr>
        <w:t>4.2.1 投标人应在投标人须知前附表规定的投标截止时间前递交投标文件。</w:t>
      </w:r>
    </w:p>
    <w:p w14:paraId="48A6E494">
      <w:pPr>
        <w:spacing w:line="360" w:lineRule="auto"/>
        <w:ind w:firstLine="420" w:firstLineChars="200"/>
        <w:rPr>
          <w:rFonts w:ascii="宋体" w:hAnsi="宋体"/>
          <w:strike/>
          <w:color w:val="auto"/>
          <w:highlight w:val="none"/>
        </w:rPr>
      </w:pPr>
      <w:r>
        <w:rPr>
          <w:rFonts w:hint="eastAsia" w:ascii="宋体" w:hAnsi="宋体"/>
          <w:strike/>
          <w:color w:val="auto"/>
          <w:highlight w:val="none"/>
        </w:rPr>
        <w:t>4.2.2 （A）投标人递交投标文件的地点：见投标人须知前附表。</w:t>
      </w:r>
    </w:p>
    <w:p w14:paraId="02DDA313">
      <w:pPr>
        <w:spacing w:line="360" w:lineRule="auto"/>
        <w:ind w:firstLine="420" w:firstLineChars="200"/>
        <w:rPr>
          <w:rFonts w:ascii="宋体" w:hAnsi="宋体"/>
          <w:color w:val="auto"/>
          <w:highlight w:val="none"/>
        </w:rPr>
      </w:pPr>
      <w:r>
        <w:rPr>
          <w:rFonts w:hint="eastAsia" w:ascii="宋体" w:hAnsi="宋体"/>
          <w:color w:val="auto"/>
          <w:highlight w:val="none"/>
        </w:rPr>
        <w:t>4.2.2 （B）投标人通过下载招标文件的电子招标投标交易平台递交电子投标文件。</w:t>
      </w:r>
    </w:p>
    <w:p w14:paraId="24CC3C4C">
      <w:pPr>
        <w:spacing w:line="360" w:lineRule="auto"/>
        <w:ind w:firstLine="420" w:firstLineChars="200"/>
        <w:rPr>
          <w:rFonts w:ascii="宋体" w:hAnsi="宋体"/>
          <w:color w:val="auto"/>
          <w:highlight w:val="none"/>
        </w:rPr>
      </w:pPr>
      <w:r>
        <w:rPr>
          <w:rFonts w:hint="eastAsia" w:ascii="宋体" w:hAnsi="宋体"/>
          <w:color w:val="auto"/>
          <w:highlight w:val="none"/>
        </w:rPr>
        <w:t>4.2.3 除投标人须知前附表另有规定外，投标人所递交的投标文件不予退还。</w:t>
      </w:r>
    </w:p>
    <w:p w14:paraId="591CAD4D">
      <w:pPr>
        <w:spacing w:line="360" w:lineRule="auto"/>
        <w:ind w:firstLine="420" w:firstLineChars="200"/>
        <w:rPr>
          <w:rFonts w:ascii="宋体" w:hAnsi="宋体"/>
          <w:strike/>
          <w:color w:val="auto"/>
          <w:highlight w:val="none"/>
        </w:rPr>
      </w:pPr>
      <w:r>
        <w:rPr>
          <w:rFonts w:hint="eastAsia" w:ascii="宋体" w:hAnsi="宋体"/>
          <w:strike/>
          <w:color w:val="auto"/>
          <w:highlight w:val="none"/>
        </w:rPr>
        <w:t>4.2.4 （A）招标人收到投标文件后，向投标人出具签收凭证。</w:t>
      </w:r>
    </w:p>
    <w:p w14:paraId="4862AA08">
      <w:pPr>
        <w:spacing w:line="360" w:lineRule="auto"/>
        <w:ind w:firstLine="420" w:firstLineChars="200"/>
        <w:rPr>
          <w:rFonts w:ascii="宋体" w:hAnsi="宋体"/>
          <w:color w:val="auto"/>
          <w:highlight w:val="none"/>
        </w:rPr>
      </w:pPr>
      <w:r>
        <w:rPr>
          <w:rFonts w:hint="eastAsia" w:ascii="宋体" w:hAnsi="宋体"/>
          <w:color w:val="auto"/>
          <w:highlight w:val="none"/>
        </w:rPr>
        <w:t>4.2.4 （B）投标人完成电子投标文件上传后，电子招标投标交易平台即时向投标人发出递交回执通知。递交时间以递交回执通知载明的传输完成时间为准。</w:t>
      </w:r>
    </w:p>
    <w:p w14:paraId="4C785D22">
      <w:pPr>
        <w:spacing w:line="360" w:lineRule="auto"/>
        <w:ind w:firstLine="420" w:firstLineChars="200"/>
        <w:rPr>
          <w:rFonts w:ascii="宋体" w:hAnsi="宋体"/>
          <w:strike/>
          <w:color w:val="auto"/>
          <w:highlight w:val="none"/>
        </w:rPr>
      </w:pPr>
      <w:r>
        <w:rPr>
          <w:rFonts w:hint="eastAsia" w:ascii="宋体" w:hAnsi="宋体"/>
          <w:strike/>
          <w:color w:val="auto"/>
          <w:highlight w:val="none"/>
        </w:rPr>
        <w:t>4.2.5 （A）逾期送达的投标文件，招标人将予以拒收。</w:t>
      </w:r>
    </w:p>
    <w:p w14:paraId="4320D73D">
      <w:pPr>
        <w:spacing w:line="360" w:lineRule="auto"/>
        <w:ind w:firstLine="420" w:firstLineChars="200"/>
        <w:jc w:val="left"/>
        <w:rPr>
          <w:rFonts w:ascii="宋体" w:hAnsi="宋体"/>
          <w:color w:val="auto"/>
          <w:highlight w:val="none"/>
        </w:rPr>
      </w:pPr>
      <w:r>
        <w:rPr>
          <w:rFonts w:hint="eastAsia" w:ascii="宋体" w:hAnsi="宋体"/>
          <w:color w:val="auto"/>
          <w:highlight w:val="none"/>
        </w:rPr>
        <w:t>4.2.5 （B）逾期送达的投标文件，电子招标投标交易平台将予以拒收。</w:t>
      </w:r>
    </w:p>
    <w:p w14:paraId="1473C73C">
      <w:pPr>
        <w:spacing w:before="240" w:beforeLines="100" w:after="240" w:afterLines="100"/>
        <w:rPr>
          <w:rFonts w:ascii="宋体" w:hAnsi="宋体"/>
          <w:b/>
          <w:color w:val="auto"/>
          <w:sz w:val="28"/>
          <w:szCs w:val="28"/>
          <w:highlight w:val="none"/>
        </w:rPr>
      </w:pPr>
      <w:bookmarkStart w:id="164" w:name="_Toc529196550"/>
      <w:bookmarkStart w:id="165" w:name="_Toc515205223"/>
      <w:r>
        <w:rPr>
          <w:rFonts w:hint="eastAsia" w:ascii="宋体" w:hAnsi="宋体"/>
          <w:b/>
          <w:color w:val="auto"/>
          <w:sz w:val="28"/>
          <w:szCs w:val="28"/>
          <w:highlight w:val="none"/>
        </w:rPr>
        <w:t>4.3 投标文件的修改与撤回</w:t>
      </w:r>
      <w:bookmarkEnd w:id="164"/>
      <w:bookmarkEnd w:id="165"/>
    </w:p>
    <w:p w14:paraId="7A448206">
      <w:pPr>
        <w:spacing w:line="360" w:lineRule="auto"/>
        <w:ind w:firstLine="420" w:firstLineChars="200"/>
        <w:rPr>
          <w:rFonts w:ascii="宋体" w:hAnsi="宋体"/>
          <w:color w:val="auto"/>
          <w:highlight w:val="none"/>
        </w:rPr>
      </w:pPr>
      <w:r>
        <w:rPr>
          <w:rFonts w:hint="eastAsia" w:ascii="宋体" w:hAnsi="宋体"/>
          <w:color w:val="auto"/>
          <w:highlight w:val="none"/>
        </w:rPr>
        <w:t>4.3.1 在本章第4.2.1项规定的投标截止时间前，投标人可以修改或撤回已递交的投标文件，但应以书面形式通知招标人。</w:t>
      </w:r>
    </w:p>
    <w:p w14:paraId="268DB947">
      <w:pPr>
        <w:spacing w:line="360" w:lineRule="auto"/>
        <w:ind w:firstLine="420" w:firstLineChars="200"/>
        <w:rPr>
          <w:rFonts w:ascii="宋体" w:hAnsi="宋体"/>
          <w:strike/>
          <w:color w:val="auto"/>
          <w:highlight w:val="none"/>
        </w:rPr>
      </w:pPr>
      <w:r>
        <w:rPr>
          <w:rFonts w:hint="eastAsia" w:ascii="宋体" w:hAnsi="宋体"/>
          <w:strike/>
          <w:color w:val="auto"/>
          <w:highlight w:val="none"/>
        </w:rPr>
        <w:t>4.3.2 （A）投标人修改或撤回已递交投标文件的书面通知应按照本章第3.7.3（A）项的要求签字或盖章。招标人收到书面通知后，向投标人出具签收凭证。</w:t>
      </w:r>
    </w:p>
    <w:p w14:paraId="59D6AF78">
      <w:pPr>
        <w:spacing w:line="360" w:lineRule="auto"/>
        <w:ind w:firstLine="420" w:firstLineChars="200"/>
        <w:rPr>
          <w:rFonts w:ascii="宋体" w:hAnsi="宋体"/>
          <w:color w:val="auto"/>
          <w:highlight w:val="none"/>
        </w:rPr>
      </w:pPr>
      <w:r>
        <w:rPr>
          <w:rFonts w:hint="eastAsia" w:ascii="宋体" w:hAnsi="宋体"/>
          <w:color w:val="auto"/>
          <w:highlight w:val="none"/>
        </w:rPr>
        <w:t>4.3.2 （B）投标人修改或撤回已递交投标文件的通知，应按照本章第3.7.3（B）项的要求加盖电子印章。电子招标投标交易平台收到通知后，即时向投标人发出确认回执通知。</w:t>
      </w:r>
    </w:p>
    <w:p w14:paraId="51691C29">
      <w:pPr>
        <w:spacing w:line="360" w:lineRule="auto"/>
        <w:ind w:firstLine="420" w:firstLineChars="200"/>
        <w:rPr>
          <w:rFonts w:ascii="宋体" w:hAnsi="宋体"/>
          <w:strike/>
          <w:color w:val="auto"/>
          <w:highlight w:val="none"/>
        </w:rPr>
      </w:pPr>
      <w:r>
        <w:rPr>
          <w:rFonts w:hint="eastAsia" w:ascii="宋体" w:hAnsi="宋体"/>
          <w:strike/>
          <w:color w:val="auto"/>
          <w:highlight w:val="none"/>
        </w:rPr>
        <w:t>4.3.3 投标人撤回投标文件的，招标人自收到投标人书面撤回通知之日起5日内退还已收取的投标保证金。</w:t>
      </w:r>
    </w:p>
    <w:p w14:paraId="31FE7953">
      <w:pPr>
        <w:spacing w:line="360" w:lineRule="auto"/>
        <w:ind w:firstLine="420" w:firstLineChars="200"/>
        <w:rPr>
          <w:rFonts w:ascii="宋体" w:hAnsi="宋体"/>
          <w:color w:val="auto"/>
          <w:highlight w:val="none"/>
        </w:rPr>
      </w:pPr>
      <w:r>
        <w:rPr>
          <w:rFonts w:hint="eastAsia" w:ascii="宋体" w:hAnsi="宋体"/>
          <w:color w:val="auto"/>
          <w:highlight w:val="none"/>
        </w:rPr>
        <w:t>4.3.</w:t>
      </w:r>
      <w:bookmarkStart w:id="166" w:name="_Toc369531541"/>
      <w:bookmarkStart w:id="167" w:name="_Toc19203"/>
      <w:bookmarkStart w:id="168" w:name="_Toc352691497"/>
      <w:bookmarkStart w:id="169" w:name="_Toc247527578"/>
      <w:bookmarkStart w:id="170" w:name="_Toc144974521"/>
      <w:bookmarkStart w:id="171" w:name="_Toc152045553"/>
      <w:bookmarkStart w:id="172" w:name="_Toc361508610"/>
      <w:bookmarkStart w:id="173" w:name="_Toc384308235"/>
      <w:bookmarkStart w:id="174" w:name="_Toc247513977"/>
      <w:bookmarkStart w:id="175" w:name="_Toc300834974"/>
      <w:bookmarkStart w:id="176" w:name="_Toc152042329"/>
      <w:r>
        <w:rPr>
          <w:rFonts w:hint="eastAsia" w:ascii="宋体" w:hAnsi="宋体"/>
          <w:color w:val="auto"/>
          <w:highlight w:val="none"/>
        </w:rPr>
        <w:t>4 修改的内容为投标</w:t>
      </w:r>
      <w:bookmarkEnd w:id="166"/>
      <w:bookmarkEnd w:id="167"/>
      <w:bookmarkEnd w:id="168"/>
      <w:bookmarkEnd w:id="169"/>
      <w:bookmarkEnd w:id="170"/>
      <w:bookmarkEnd w:id="171"/>
      <w:bookmarkEnd w:id="172"/>
      <w:bookmarkEnd w:id="173"/>
      <w:bookmarkEnd w:id="174"/>
      <w:bookmarkEnd w:id="175"/>
      <w:bookmarkEnd w:id="176"/>
      <w:r>
        <w:rPr>
          <w:rFonts w:hint="eastAsia" w:ascii="宋体" w:hAnsi="宋体"/>
          <w:color w:val="auto"/>
          <w:highlight w:val="none"/>
        </w:rPr>
        <w:t>文件的组成部分。修改的投标文件应按照本章第3条、第4条的规定进行编制、密封、标记和递交，并标明“修改”字样。</w:t>
      </w:r>
    </w:p>
    <w:p w14:paraId="1F6BF6CE">
      <w:pPr>
        <w:spacing w:before="260"/>
        <w:outlineLvl w:val="2"/>
        <w:rPr>
          <w:rFonts w:ascii="宋体" w:hAnsi="宋体"/>
          <w:b/>
          <w:color w:val="auto"/>
          <w:sz w:val="32"/>
          <w:szCs w:val="32"/>
          <w:highlight w:val="none"/>
        </w:rPr>
      </w:pPr>
      <w:bookmarkStart w:id="177" w:name="_Toc515205224"/>
      <w:bookmarkStart w:id="178" w:name="_Toc529196551"/>
      <w:r>
        <w:rPr>
          <w:rFonts w:hint="eastAsia" w:ascii="宋体" w:hAnsi="宋体"/>
          <w:b/>
          <w:color w:val="auto"/>
          <w:sz w:val="32"/>
          <w:szCs w:val="32"/>
          <w:highlight w:val="none"/>
        </w:rPr>
        <w:t>5. 开标</w:t>
      </w:r>
      <w:bookmarkEnd w:id="177"/>
      <w:bookmarkEnd w:id="178"/>
    </w:p>
    <w:p w14:paraId="1CC669FB">
      <w:pPr>
        <w:spacing w:before="240" w:beforeLines="100" w:after="240" w:afterLines="100"/>
        <w:rPr>
          <w:rFonts w:ascii="宋体" w:hAnsi="宋体"/>
          <w:b/>
          <w:strike/>
          <w:color w:val="auto"/>
          <w:sz w:val="28"/>
          <w:szCs w:val="28"/>
          <w:highlight w:val="none"/>
        </w:rPr>
      </w:pPr>
      <w:bookmarkStart w:id="179" w:name="_Toc515205225"/>
      <w:bookmarkStart w:id="180" w:name="_Toc529196552"/>
      <w:r>
        <w:rPr>
          <w:rFonts w:hint="eastAsia" w:ascii="宋体" w:hAnsi="宋体"/>
          <w:b/>
          <w:strike/>
          <w:color w:val="auto"/>
          <w:sz w:val="28"/>
          <w:szCs w:val="28"/>
          <w:highlight w:val="none"/>
        </w:rPr>
        <w:t>5.1 开标时间和地点（A）</w:t>
      </w:r>
      <w:bookmarkEnd w:id="179"/>
      <w:bookmarkEnd w:id="180"/>
    </w:p>
    <w:p w14:paraId="705C5251">
      <w:pPr>
        <w:spacing w:line="360" w:lineRule="auto"/>
        <w:ind w:firstLine="420" w:firstLineChars="200"/>
        <w:rPr>
          <w:rFonts w:ascii="宋体" w:hAnsi="宋体"/>
          <w:strike/>
          <w:color w:val="auto"/>
          <w:highlight w:val="none"/>
        </w:rPr>
      </w:pPr>
      <w:r>
        <w:rPr>
          <w:rFonts w:hint="eastAsia" w:ascii="宋体" w:hAnsi="宋体"/>
          <w:strike/>
          <w:color w:val="auto"/>
          <w:highlight w:val="none"/>
        </w:rPr>
        <w:t>招标人在本章第4.2.1项规定的投标截止时间（开标时间）和投标人须知前附表规定的地点公开开标，并邀请所有投标人的法定代表人或其委托代理人准时参加。</w:t>
      </w:r>
    </w:p>
    <w:p w14:paraId="7E724C88">
      <w:pPr>
        <w:spacing w:before="240" w:beforeLines="100" w:after="240" w:afterLines="100"/>
        <w:rPr>
          <w:rFonts w:ascii="宋体" w:hAnsi="宋体"/>
          <w:b/>
          <w:color w:val="auto"/>
          <w:sz w:val="28"/>
          <w:szCs w:val="28"/>
          <w:highlight w:val="none"/>
        </w:rPr>
      </w:pPr>
      <w:bookmarkStart w:id="181" w:name="_Toc529196553"/>
      <w:bookmarkStart w:id="182" w:name="_Toc515205226"/>
      <w:r>
        <w:rPr>
          <w:rFonts w:hint="eastAsia" w:ascii="宋体" w:hAnsi="宋体"/>
          <w:b/>
          <w:color w:val="auto"/>
          <w:sz w:val="28"/>
          <w:szCs w:val="28"/>
          <w:highlight w:val="none"/>
        </w:rPr>
        <w:t>5.1 开标时间和地点（B）</w:t>
      </w:r>
      <w:bookmarkEnd w:id="181"/>
      <w:bookmarkEnd w:id="182"/>
    </w:p>
    <w:p w14:paraId="229BAD6E">
      <w:pPr>
        <w:spacing w:line="360" w:lineRule="auto"/>
        <w:ind w:firstLine="420" w:firstLineChars="200"/>
        <w:rPr>
          <w:rFonts w:ascii="宋体" w:hAnsi="宋体"/>
          <w:color w:val="auto"/>
          <w:highlight w:val="none"/>
        </w:rPr>
      </w:pPr>
      <w:r>
        <w:rPr>
          <w:rFonts w:hint="eastAsia" w:ascii="宋体" w:hAnsi="宋体"/>
          <w:color w:val="auto"/>
          <w:highlight w:val="none"/>
        </w:rPr>
        <w:t>招标人在本章第4.2.1项规定的投标截止时间（开标时间）,通过电子招标投标交易平台公开开标，所有投标人的法定代表人或其委托代理人应当准时参加。</w:t>
      </w:r>
    </w:p>
    <w:p w14:paraId="091B3B21">
      <w:pPr>
        <w:spacing w:before="240" w:beforeLines="100" w:after="240" w:afterLines="100"/>
        <w:rPr>
          <w:rFonts w:ascii="宋体" w:hAnsi="宋体"/>
          <w:b/>
          <w:color w:val="auto"/>
          <w:sz w:val="28"/>
          <w:szCs w:val="28"/>
          <w:highlight w:val="none"/>
        </w:rPr>
      </w:pPr>
      <w:bookmarkStart w:id="183" w:name="_Toc515205227"/>
      <w:bookmarkStart w:id="184" w:name="_Toc529196554"/>
      <w:r>
        <w:rPr>
          <w:rFonts w:hint="eastAsia" w:ascii="宋体" w:hAnsi="宋体"/>
          <w:b/>
          <w:color w:val="auto"/>
          <w:sz w:val="28"/>
          <w:szCs w:val="28"/>
          <w:highlight w:val="none"/>
        </w:rPr>
        <w:t>5.2 开标程序</w:t>
      </w:r>
      <w:bookmarkEnd w:id="183"/>
      <w:bookmarkEnd w:id="184"/>
    </w:p>
    <w:p w14:paraId="3C402950">
      <w:pPr>
        <w:spacing w:line="360" w:lineRule="auto"/>
        <w:ind w:firstLine="420" w:firstLineChars="200"/>
        <w:rPr>
          <w:rFonts w:ascii="宋体" w:hAnsi="宋体"/>
          <w:color w:val="auto"/>
          <w:highlight w:val="none"/>
        </w:rPr>
      </w:pPr>
      <w:r>
        <w:rPr>
          <w:rFonts w:hint="eastAsia" w:ascii="宋体" w:hAnsi="宋体"/>
          <w:color w:val="auto"/>
          <w:highlight w:val="none"/>
        </w:rPr>
        <w:t>主持人按下列程序进行开标：</w:t>
      </w:r>
    </w:p>
    <w:p w14:paraId="35544EE4">
      <w:pPr>
        <w:spacing w:line="360" w:lineRule="auto"/>
        <w:ind w:firstLine="420" w:firstLineChars="200"/>
        <w:rPr>
          <w:rFonts w:ascii="宋体" w:hAnsi="宋体"/>
          <w:color w:val="auto"/>
          <w:highlight w:val="none"/>
        </w:rPr>
      </w:pPr>
      <w:r>
        <w:rPr>
          <w:rFonts w:hint="eastAsia" w:ascii="宋体" w:hAnsi="宋体"/>
          <w:color w:val="auto"/>
          <w:highlight w:val="none"/>
        </w:rPr>
        <w:t>（1）宣布开标纪律；</w:t>
      </w:r>
    </w:p>
    <w:p w14:paraId="4D12A00F">
      <w:pPr>
        <w:spacing w:line="360" w:lineRule="auto"/>
        <w:ind w:firstLine="420" w:firstLineChars="200"/>
        <w:rPr>
          <w:rFonts w:ascii="宋体" w:hAnsi="宋体"/>
          <w:color w:val="auto"/>
          <w:highlight w:val="none"/>
        </w:rPr>
      </w:pPr>
      <w:r>
        <w:rPr>
          <w:rFonts w:hint="eastAsia" w:ascii="宋体" w:hAnsi="宋体"/>
          <w:color w:val="auto"/>
          <w:highlight w:val="none"/>
        </w:rPr>
        <w:t>（2）公布在投标截止时间前递交投标文件的投标人名称；</w:t>
      </w:r>
    </w:p>
    <w:p w14:paraId="52675C9E">
      <w:pPr>
        <w:spacing w:line="360" w:lineRule="auto"/>
        <w:ind w:firstLine="420" w:firstLineChars="200"/>
        <w:rPr>
          <w:rFonts w:ascii="宋体" w:hAnsi="宋体"/>
          <w:color w:val="auto"/>
          <w:highlight w:val="none"/>
        </w:rPr>
      </w:pPr>
      <w:r>
        <w:rPr>
          <w:rFonts w:hint="eastAsia" w:ascii="宋体" w:hAnsi="宋体"/>
          <w:color w:val="auto"/>
          <w:highlight w:val="none"/>
        </w:rPr>
        <w:t>（3）宣布</w:t>
      </w:r>
      <w:bookmarkStart w:id="185" w:name="_Toc361508611"/>
      <w:bookmarkStart w:id="186" w:name="_Toc247527579"/>
      <w:bookmarkStart w:id="187" w:name="_Toc384308236"/>
      <w:bookmarkStart w:id="188" w:name="_Toc152042330"/>
      <w:bookmarkStart w:id="189" w:name="_Toc144974522"/>
      <w:bookmarkStart w:id="190" w:name="_Toc247513978"/>
      <w:bookmarkStart w:id="191" w:name="_Toc300834975"/>
      <w:bookmarkStart w:id="192" w:name="_Toc352691498"/>
      <w:bookmarkStart w:id="193" w:name="_Toc152045554"/>
      <w:bookmarkStart w:id="194" w:name="_Toc369531542"/>
      <w:bookmarkStart w:id="195" w:name="_Toc22119"/>
      <w:r>
        <w:rPr>
          <w:rFonts w:hint="eastAsia" w:ascii="宋体" w:hAnsi="宋体"/>
          <w:color w:val="auto"/>
          <w:highlight w:val="none"/>
        </w:rPr>
        <w:t>开标人、唱标人、记录人</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color w:val="auto"/>
          <w:highlight w:val="none"/>
        </w:rPr>
        <w:t>、监标人等有关人员姓名；</w:t>
      </w:r>
    </w:p>
    <w:p w14:paraId="3BE556C5">
      <w:pPr>
        <w:spacing w:line="360" w:lineRule="auto"/>
        <w:ind w:firstLine="420" w:firstLineChars="200"/>
        <w:rPr>
          <w:rFonts w:ascii="宋体" w:hAnsi="宋体"/>
          <w:strike/>
          <w:color w:val="auto"/>
          <w:highlight w:val="none"/>
        </w:rPr>
      </w:pPr>
      <w:r>
        <w:rPr>
          <w:rFonts w:hint="eastAsia" w:ascii="宋体" w:hAnsi="宋体"/>
          <w:strike/>
          <w:color w:val="auto"/>
          <w:highlight w:val="none"/>
        </w:rPr>
        <w:t>（4）（A）检查投标文件的密封情况，按照投标人须知前附表规定的开标顺序当众开标，公布招标项目名称、投标人名称、投标保证金的递交情况、投标报价、监理服务期限及其他内容，并记录在案；</w:t>
      </w:r>
    </w:p>
    <w:p w14:paraId="4E2885A2">
      <w:pPr>
        <w:spacing w:line="360" w:lineRule="auto"/>
        <w:ind w:firstLine="420" w:firstLineChars="200"/>
        <w:rPr>
          <w:rFonts w:ascii="宋体" w:hAnsi="宋体"/>
          <w:color w:val="auto"/>
          <w:highlight w:val="none"/>
        </w:rPr>
      </w:pPr>
      <w:r>
        <w:rPr>
          <w:rFonts w:hint="eastAsia" w:ascii="宋体" w:hAnsi="宋体"/>
          <w:color w:val="auto"/>
          <w:highlight w:val="none"/>
        </w:rPr>
        <w:t>（4）（B）投标人通过电子招标投标交易平台对已递交的电子投标文件进行解密，公布招标项目名称、投标人名称、</w:t>
      </w:r>
      <w:r>
        <w:rPr>
          <w:rFonts w:hint="eastAsia" w:ascii="宋体" w:hAnsi="宋体"/>
          <w:strike/>
          <w:color w:val="auto"/>
          <w:highlight w:val="none"/>
        </w:rPr>
        <w:t>投标保证金的递交情况、</w:t>
      </w:r>
      <w:r>
        <w:rPr>
          <w:rFonts w:hint="eastAsia" w:ascii="宋体" w:hAnsi="宋体"/>
          <w:color w:val="auto"/>
          <w:highlight w:val="none"/>
        </w:rPr>
        <w:t>投标报价、监理服务期限及其他内容，并记录在案；</w:t>
      </w:r>
    </w:p>
    <w:p w14:paraId="2ED0DAC6">
      <w:pPr>
        <w:spacing w:line="360" w:lineRule="auto"/>
        <w:ind w:firstLine="420" w:firstLineChars="200"/>
        <w:rPr>
          <w:rFonts w:ascii="宋体" w:hAnsi="宋体"/>
          <w:strike/>
          <w:color w:val="auto"/>
          <w:highlight w:val="none"/>
        </w:rPr>
      </w:pPr>
      <w:r>
        <w:rPr>
          <w:rFonts w:hint="eastAsia" w:ascii="宋体" w:hAnsi="宋体"/>
          <w:strike/>
          <w:color w:val="auto"/>
          <w:highlight w:val="none"/>
        </w:rPr>
        <w:t>（5）（A）投标人代表、招标人代表、监标人、记录人等有关人员在开标记录上签字确认；</w:t>
      </w:r>
    </w:p>
    <w:p w14:paraId="0900D571">
      <w:pPr>
        <w:spacing w:line="360" w:lineRule="auto"/>
        <w:ind w:firstLine="420" w:firstLineChars="200"/>
        <w:rPr>
          <w:rFonts w:ascii="宋体" w:hAnsi="宋体"/>
          <w:color w:val="auto"/>
          <w:highlight w:val="none"/>
        </w:rPr>
      </w:pPr>
      <w:r>
        <w:rPr>
          <w:rFonts w:hint="eastAsia" w:ascii="宋体" w:hAnsi="宋体"/>
          <w:color w:val="auto"/>
          <w:highlight w:val="none"/>
        </w:rPr>
        <w:t>（5）（B）投标人代表、招标人代表、监标人、记录人等有关人员使用本人的电子印章在开标记录上签字确认；</w:t>
      </w:r>
    </w:p>
    <w:p w14:paraId="3117FD37">
      <w:pPr>
        <w:spacing w:line="360" w:lineRule="auto"/>
        <w:ind w:firstLine="420" w:firstLineChars="200"/>
        <w:rPr>
          <w:rFonts w:ascii="宋体" w:hAnsi="宋体"/>
          <w:color w:val="auto"/>
          <w:highlight w:val="none"/>
        </w:rPr>
      </w:pPr>
      <w:r>
        <w:rPr>
          <w:rFonts w:hint="eastAsia" w:ascii="宋体" w:hAnsi="宋体"/>
          <w:color w:val="auto"/>
          <w:highlight w:val="none"/>
        </w:rPr>
        <w:t>（6）开标结束。</w:t>
      </w:r>
    </w:p>
    <w:p w14:paraId="5F77593E">
      <w:pPr>
        <w:spacing w:before="240" w:beforeLines="100" w:after="240" w:afterLines="100"/>
        <w:rPr>
          <w:rFonts w:ascii="宋体" w:hAnsi="宋体"/>
          <w:b/>
          <w:color w:val="auto"/>
          <w:sz w:val="28"/>
          <w:szCs w:val="28"/>
          <w:highlight w:val="none"/>
        </w:rPr>
      </w:pPr>
      <w:bookmarkStart w:id="196" w:name="_Toc529196555"/>
      <w:bookmarkStart w:id="197" w:name="_Toc515205228"/>
      <w:r>
        <w:rPr>
          <w:rFonts w:hint="eastAsia" w:ascii="宋体" w:hAnsi="宋体"/>
          <w:b/>
          <w:color w:val="auto"/>
          <w:sz w:val="28"/>
          <w:szCs w:val="28"/>
          <w:highlight w:val="none"/>
        </w:rPr>
        <w:t>5.3 开标异议</w:t>
      </w:r>
      <w:bookmarkEnd w:id="196"/>
      <w:bookmarkEnd w:id="197"/>
    </w:p>
    <w:p w14:paraId="4C7A97ED">
      <w:pPr>
        <w:spacing w:line="360" w:lineRule="auto"/>
        <w:ind w:firstLine="393" w:firstLineChars="171"/>
        <w:rPr>
          <w:rFonts w:ascii="宋体" w:hAnsi="宋体"/>
          <w:color w:val="auto"/>
          <w:highlight w:val="none"/>
        </w:rPr>
      </w:pPr>
      <w:r>
        <w:rPr>
          <w:rFonts w:ascii="宋体" w:hAnsi="宋体" w:cs="宋体"/>
          <w:color w:val="auto"/>
          <w:spacing w:val="1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olor w:val="auto"/>
          <w:highlight w:val="none"/>
        </w:rPr>
        <w:t>。</w:t>
      </w:r>
    </w:p>
    <w:p w14:paraId="428E3023">
      <w:pPr>
        <w:spacing w:before="260"/>
        <w:outlineLvl w:val="2"/>
        <w:rPr>
          <w:rFonts w:ascii="宋体" w:hAnsi="宋体"/>
          <w:b/>
          <w:color w:val="auto"/>
          <w:sz w:val="32"/>
          <w:szCs w:val="32"/>
          <w:highlight w:val="none"/>
        </w:rPr>
      </w:pPr>
      <w:bookmarkStart w:id="198" w:name="_Toc515205229"/>
      <w:bookmarkStart w:id="199" w:name="_Toc529196556"/>
      <w:r>
        <w:rPr>
          <w:rFonts w:hint="eastAsia" w:ascii="宋体" w:hAnsi="宋体"/>
          <w:b/>
          <w:color w:val="auto"/>
          <w:sz w:val="32"/>
          <w:szCs w:val="32"/>
          <w:highlight w:val="none"/>
        </w:rPr>
        <w:t>6. 评标</w:t>
      </w:r>
      <w:bookmarkEnd w:id="198"/>
      <w:bookmarkEnd w:id="199"/>
    </w:p>
    <w:p w14:paraId="66F68E70">
      <w:pPr>
        <w:spacing w:before="240" w:beforeLines="100" w:after="240" w:afterLines="100"/>
        <w:rPr>
          <w:rFonts w:ascii="宋体" w:hAnsi="宋体"/>
          <w:b/>
          <w:color w:val="auto"/>
          <w:sz w:val="28"/>
          <w:szCs w:val="28"/>
          <w:highlight w:val="none"/>
        </w:rPr>
      </w:pPr>
      <w:bookmarkStart w:id="200" w:name="_Toc529196557"/>
      <w:bookmarkStart w:id="201" w:name="_Toc515205230"/>
      <w:r>
        <w:rPr>
          <w:rFonts w:hint="eastAsia" w:ascii="宋体" w:hAnsi="宋体"/>
          <w:b/>
          <w:color w:val="auto"/>
          <w:sz w:val="28"/>
          <w:szCs w:val="28"/>
          <w:highlight w:val="none"/>
        </w:rPr>
        <w:t>6.1 评标委员会</w:t>
      </w:r>
      <w:bookmarkEnd w:id="200"/>
      <w:bookmarkEnd w:id="201"/>
    </w:p>
    <w:p w14:paraId="05133E86">
      <w:pPr>
        <w:spacing w:line="360" w:lineRule="auto"/>
        <w:ind w:firstLine="420" w:firstLineChars="200"/>
        <w:rPr>
          <w:rFonts w:ascii="宋体" w:hAnsi="宋体"/>
          <w:color w:val="auto"/>
          <w:highlight w:val="none"/>
        </w:rPr>
      </w:pPr>
      <w:r>
        <w:rPr>
          <w:rFonts w:hint="eastAsia" w:ascii="宋体" w:hAnsi="宋体"/>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AB78192">
      <w:pPr>
        <w:spacing w:line="360" w:lineRule="auto"/>
        <w:ind w:firstLine="420" w:firstLineChars="200"/>
        <w:rPr>
          <w:rFonts w:ascii="宋体" w:hAnsi="宋体"/>
          <w:color w:val="auto"/>
          <w:highlight w:val="none"/>
        </w:rPr>
      </w:pPr>
      <w:r>
        <w:rPr>
          <w:rFonts w:hint="eastAsia" w:ascii="宋体" w:hAnsi="宋体"/>
          <w:color w:val="auto"/>
          <w:highlight w:val="none"/>
        </w:rPr>
        <w:t>6.1.2 评标委员会成员有下列情形之一的，应当回避：</w:t>
      </w:r>
    </w:p>
    <w:p w14:paraId="24E6D506">
      <w:pPr>
        <w:spacing w:line="360" w:lineRule="auto"/>
        <w:ind w:firstLine="718" w:firstLineChars="342"/>
        <w:rPr>
          <w:rFonts w:ascii="宋体" w:hAnsi="宋体"/>
          <w:color w:val="auto"/>
          <w:highlight w:val="none"/>
        </w:rPr>
      </w:pPr>
      <w:r>
        <w:rPr>
          <w:rFonts w:hint="eastAsia" w:ascii="宋体" w:hAnsi="宋体"/>
          <w:color w:val="auto"/>
          <w:highlight w:val="none"/>
        </w:rPr>
        <w:t>（1）投标人或投标人主要负责人的近亲属；</w:t>
      </w:r>
    </w:p>
    <w:p w14:paraId="5CD26C32">
      <w:pPr>
        <w:spacing w:line="360" w:lineRule="auto"/>
        <w:ind w:firstLine="718" w:firstLineChars="342"/>
        <w:rPr>
          <w:rFonts w:ascii="宋体" w:hAnsi="宋体"/>
          <w:color w:val="auto"/>
          <w:highlight w:val="none"/>
        </w:rPr>
      </w:pPr>
      <w:r>
        <w:rPr>
          <w:rFonts w:hint="eastAsia" w:ascii="宋体" w:hAnsi="宋体"/>
          <w:color w:val="auto"/>
          <w:highlight w:val="none"/>
        </w:rPr>
        <w:t>（2）项目主管部门或者行政监督部门的人员；</w:t>
      </w:r>
    </w:p>
    <w:p w14:paraId="33645831">
      <w:pPr>
        <w:spacing w:line="360" w:lineRule="auto"/>
        <w:ind w:firstLine="718" w:firstLineChars="342"/>
        <w:rPr>
          <w:rFonts w:ascii="宋体" w:hAnsi="宋体"/>
          <w:color w:val="auto"/>
          <w:highlight w:val="none"/>
        </w:rPr>
      </w:pPr>
      <w:r>
        <w:rPr>
          <w:rFonts w:hint="eastAsia" w:ascii="宋体" w:hAnsi="宋体"/>
          <w:color w:val="auto"/>
          <w:highlight w:val="none"/>
        </w:rPr>
        <w:t>（3）与投标人有经济利益关系，可能影响对投标公正评审的；</w:t>
      </w:r>
    </w:p>
    <w:p w14:paraId="63A477A6">
      <w:pPr>
        <w:spacing w:line="360" w:lineRule="auto"/>
        <w:ind w:firstLine="718" w:firstLineChars="342"/>
        <w:rPr>
          <w:rFonts w:hint="eastAsia" w:ascii="宋体" w:hAnsi="宋体"/>
          <w:color w:val="auto"/>
          <w:highlight w:val="none"/>
        </w:rPr>
      </w:pPr>
      <w:r>
        <w:rPr>
          <w:rFonts w:hint="eastAsia" w:ascii="宋体" w:hAnsi="宋体"/>
          <w:color w:val="auto"/>
          <w:highlight w:val="none"/>
        </w:rPr>
        <w:t>（4）曾因在招标、评</w:t>
      </w:r>
      <w:bookmarkStart w:id="202" w:name="_Toc144974523"/>
      <w:bookmarkStart w:id="203" w:name="_Toc247513979"/>
      <w:bookmarkStart w:id="204" w:name="_Toc369531543"/>
      <w:bookmarkStart w:id="205" w:name="_Toc300834976"/>
      <w:bookmarkStart w:id="206" w:name="_Toc384308237"/>
      <w:bookmarkStart w:id="207" w:name="_Toc152045555"/>
      <w:bookmarkStart w:id="208" w:name="_Toc6230"/>
      <w:bookmarkStart w:id="209" w:name="_Toc352691499"/>
      <w:bookmarkStart w:id="210" w:name="_Toc247527580"/>
      <w:bookmarkStart w:id="211" w:name="_Toc152042331"/>
      <w:bookmarkStart w:id="212" w:name="_Toc361508612"/>
      <w:r>
        <w:rPr>
          <w:rFonts w:hint="eastAsia" w:ascii="宋体" w:hAnsi="宋体"/>
          <w:color w:val="auto"/>
          <w:highlight w:val="none"/>
        </w:rPr>
        <w:t>标以及其他</w:t>
      </w:r>
      <w:bookmarkEnd w:id="202"/>
      <w:bookmarkEnd w:id="203"/>
      <w:bookmarkEnd w:id="204"/>
      <w:bookmarkEnd w:id="205"/>
      <w:bookmarkEnd w:id="206"/>
      <w:bookmarkEnd w:id="207"/>
      <w:bookmarkEnd w:id="208"/>
      <w:bookmarkEnd w:id="209"/>
      <w:bookmarkEnd w:id="210"/>
      <w:bookmarkEnd w:id="211"/>
      <w:bookmarkEnd w:id="212"/>
      <w:r>
        <w:rPr>
          <w:rFonts w:hint="eastAsia" w:ascii="宋体" w:hAnsi="宋体"/>
          <w:color w:val="auto"/>
          <w:highlight w:val="none"/>
        </w:rPr>
        <w:t>与</w:t>
      </w:r>
      <w:bookmarkStart w:id="213" w:name="_Toc384308238"/>
      <w:bookmarkStart w:id="214" w:name="_Toc352691500"/>
      <w:bookmarkStart w:id="215" w:name="_Toc152045556"/>
      <w:bookmarkStart w:id="216" w:name="_Toc247513980"/>
      <w:bookmarkStart w:id="217" w:name="_Toc144974524"/>
      <w:bookmarkStart w:id="218" w:name="_Toc152042332"/>
      <w:bookmarkStart w:id="219" w:name="_Toc361508613"/>
      <w:bookmarkStart w:id="220" w:name="_Toc369531544"/>
      <w:bookmarkStart w:id="221" w:name="_Toc247527581"/>
      <w:bookmarkStart w:id="222" w:name="_Toc17703"/>
      <w:bookmarkStart w:id="223" w:name="_Toc300834977"/>
      <w:r>
        <w:rPr>
          <w:rFonts w:hint="eastAsia" w:ascii="宋体" w:hAnsi="宋体"/>
          <w:color w:val="auto"/>
          <w:highlight w:val="none"/>
        </w:rPr>
        <w:t>招标投标有关活动中从事违法行</w:t>
      </w:r>
      <w:bookmarkEnd w:id="213"/>
      <w:bookmarkEnd w:id="214"/>
      <w:bookmarkEnd w:id="215"/>
      <w:bookmarkEnd w:id="216"/>
      <w:bookmarkEnd w:id="217"/>
      <w:bookmarkEnd w:id="218"/>
      <w:bookmarkEnd w:id="219"/>
      <w:bookmarkEnd w:id="220"/>
      <w:bookmarkEnd w:id="221"/>
      <w:bookmarkEnd w:id="222"/>
      <w:bookmarkEnd w:id="223"/>
      <w:r>
        <w:rPr>
          <w:rFonts w:hint="eastAsia" w:ascii="宋体" w:hAnsi="宋体"/>
          <w:color w:val="auto"/>
          <w:highlight w:val="none"/>
        </w:rPr>
        <w:t>为而受过行政处罚或刑事处罚的；</w:t>
      </w:r>
    </w:p>
    <w:p w14:paraId="37B87466">
      <w:pPr>
        <w:spacing w:line="360" w:lineRule="auto"/>
        <w:ind w:firstLine="718" w:firstLineChars="342"/>
        <w:rPr>
          <w:rFonts w:hint="eastAsia" w:ascii="宋体" w:hAnsi="宋体"/>
          <w:color w:val="auto"/>
          <w:highlight w:val="none"/>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5</w:t>
      </w:r>
      <w:r>
        <w:rPr>
          <w:rFonts w:hint="eastAsia" w:ascii="宋体" w:hAnsi="宋体"/>
          <w:color w:val="auto"/>
          <w:highlight w:val="none"/>
          <w:u w:val="single"/>
          <w:lang w:eastAsia="zh-CN"/>
        </w:rPr>
        <w:t>）招标项目的招标人【除组成评标委员会的招标人或其委托的招标代理机构熟悉相关业务的代表外（如有）】、投标人的工作人员、退休或离职未满3年的人员；</w:t>
      </w:r>
    </w:p>
    <w:p w14:paraId="7C537510">
      <w:pPr>
        <w:spacing w:line="360" w:lineRule="auto"/>
        <w:ind w:firstLine="718" w:firstLineChars="342"/>
        <w:rPr>
          <w:rFonts w:hint="eastAsia" w:ascii="宋体" w:hAnsi="宋体"/>
          <w:color w:val="auto"/>
          <w:highlight w:val="none"/>
          <w:lang w:eastAsia="zh-CN"/>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）与投标人有其他利害关系</w:t>
      </w:r>
      <w:r>
        <w:rPr>
          <w:rFonts w:hint="eastAsia" w:ascii="宋体" w:hAnsi="宋体"/>
          <w:color w:val="auto"/>
          <w:highlight w:val="none"/>
          <w:lang w:eastAsia="zh-CN"/>
        </w:rPr>
        <w:t>；</w:t>
      </w:r>
    </w:p>
    <w:p w14:paraId="273BF192">
      <w:pPr>
        <w:spacing w:line="360" w:lineRule="auto"/>
        <w:ind w:firstLine="718" w:firstLineChars="342"/>
        <w:rPr>
          <w:rFonts w:ascii="宋体" w:hAnsi="宋体"/>
          <w:color w:val="auto"/>
          <w:highlight w:val="none"/>
        </w:rPr>
      </w:pPr>
      <w:r>
        <w:rPr>
          <w:rFonts w:hint="eastAsia" w:ascii="宋体" w:hAnsi="宋体"/>
          <w:color w:val="auto"/>
          <w:highlight w:val="none"/>
          <w:u w:val="single"/>
          <w:lang w:eastAsia="zh-CN"/>
        </w:rPr>
        <w:t>（</w:t>
      </w:r>
      <w:r>
        <w:rPr>
          <w:rFonts w:hint="eastAsia" w:ascii="宋体" w:hAnsi="宋体"/>
          <w:color w:val="auto"/>
          <w:highlight w:val="none"/>
          <w:u w:val="single"/>
          <w:lang w:val="en-US" w:eastAsia="zh-CN"/>
        </w:rPr>
        <w:t>7</w:t>
      </w:r>
      <w:r>
        <w:rPr>
          <w:rFonts w:hint="eastAsia" w:ascii="宋体" w:hAnsi="宋体"/>
          <w:color w:val="auto"/>
          <w:highlight w:val="none"/>
          <w:u w:val="single"/>
          <w:lang w:eastAsia="zh-CN"/>
        </w:rPr>
        <w:t>）法律法规规定的其他情形。</w:t>
      </w:r>
    </w:p>
    <w:p w14:paraId="7FB0884F">
      <w:pPr>
        <w:spacing w:line="360" w:lineRule="auto"/>
        <w:ind w:firstLine="420" w:firstLineChars="200"/>
        <w:rPr>
          <w:rFonts w:ascii="宋体" w:hAnsi="宋体"/>
          <w:color w:val="auto"/>
          <w:highlight w:val="none"/>
        </w:rPr>
      </w:pPr>
      <w:r>
        <w:rPr>
          <w:rFonts w:hint="eastAsia" w:ascii="宋体" w:hAnsi="宋体"/>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EA7F21C">
      <w:pPr>
        <w:spacing w:before="240" w:beforeLines="100" w:after="240" w:afterLines="100"/>
        <w:rPr>
          <w:rFonts w:ascii="宋体" w:hAnsi="宋体"/>
          <w:b/>
          <w:color w:val="auto"/>
          <w:sz w:val="28"/>
          <w:szCs w:val="28"/>
          <w:highlight w:val="none"/>
        </w:rPr>
      </w:pPr>
      <w:bookmarkStart w:id="224" w:name="_Toc515205231"/>
      <w:bookmarkStart w:id="225" w:name="_Toc529196558"/>
      <w:r>
        <w:rPr>
          <w:rFonts w:hint="eastAsia" w:ascii="宋体" w:hAnsi="宋体"/>
          <w:b/>
          <w:color w:val="auto"/>
          <w:sz w:val="28"/>
          <w:szCs w:val="28"/>
          <w:highlight w:val="none"/>
        </w:rPr>
        <w:t>6.2 评标原则</w:t>
      </w:r>
      <w:bookmarkEnd w:id="224"/>
      <w:bookmarkEnd w:id="225"/>
    </w:p>
    <w:p w14:paraId="4DE7288A">
      <w:pPr>
        <w:spacing w:line="360" w:lineRule="auto"/>
        <w:ind w:firstLine="420" w:firstLineChars="200"/>
        <w:rPr>
          <w:rFonts w:hint="eastAsia" w:ascii="宋体" w:hAnsi="宋体"/>
          <w:color w:val="auto"/>
          <w:highlight w:val="none"/>
        </w:rPr>
      </w:pPr>
      <w:r>
        <w:rPr>
          <w:rFonts w:hint="eastAsia" w:ascii="宋体" w:hAnsi="宋体"/>
          <w:color w:val="auto"/>
          <w:highlight w:val="none"/>
        </w:rPr>
        <w:t>评标活动遵循公平、公正、科学和择优的原</w:t>
      </w:r>
      <w:bookmarkStart w:id="226" w:name="_Toc384308239"/>
      <w:bookmarkStart w:id="227" w:name="_Toc152045557"/>
      <w:bookmarkStart w:id="228" w:name="_Toc361508614"/>
      <w:bookmarkStart w:id="229" w:name="_Toc369531545"/>
      <w:bookmarkStart w:id="230" w:name="_Toc144974525"/>
      <w:bookmarkStart w:id="231" w:name="_Toc247513981"/>
      <w:bookmarkStart w:id="232" w:name="_Toc352691501"/>
      <w:bookmarkStart w:id="233" w:name="_Toc152042333"/>
      <w:bookmarkStart w:id="234" w:name="_Toc300834978"/>
      <w:bookmarkStart w:id="235" w:name="_Toc247527582"/>
      <w:bookmarkStart w:id="236" w:name="_Toc18949"/>
      <w:r>
        <w:rPr>
          <w:rFonts w:hint="eastAsia" w:ascii="宋体" w:hAnsi="宋体"/>
          <w:color w:val="auto"/>
          <w:highlight w:val="none"/>
        </w:rPr>
        <w:t>则。</w:t>
      </w:r>
    </w:p>
    <w:p w14:paraId="36FA3EC1">
      <w:pPr>
        <w:spacing w:line="360" w:lineRule="auto"/>
        <w:ind w:firstLine="420" w:firstLineChars="200"/>
        <w:rPr>
          <w:rFonts w:ascii="宋体" w:hAnsi="宋体"/>
          <w:color w:val="auto"/>
          <w:highlight w:val="none"/>
        </w:rPr>
      </w:pPr>
      <w:r>
        <w:rPr>
          <w:rFonts w:hint="eastAsia" w:ascii="宋体" w:hAnsi="宋体"/>
          <w:color w:val="auto"/>
          <w:highlight w:val="none"/>
        </w:rPr>
        <w:t>评标委员会在开始评标前，应了解评标专家的职责及守则，认真阅读附件七《评标委员会成员声明》的内容并签名，签字后方可进行评标。</w:t>
      </w:r>
    </w:p>
    <w:p w14:paraId="707FFA70">
      <w:pPr>
        <w:spacing w:before="240" w:beforeLines="100" w:after="240" w:afterLines="100"/>
        <w:rPr>
          <w:rFonts w:ascii="宋体" w:hAnsi="宋体"/>
          <w:b/>
          <w:color w:val="auto"/>
          <w:sz w:val="28"/>
          <w:szCs w:val="28"/>
          <w:highlight w:val="none"/>
        </w:rPr>
      </w:pPr>
      <w:bookmarkStart w:id="237" w:name="_Toc529196559"/>
      <w:bookmarkStart w:id="238" w:name="_Toc515205232"/>
      <w:r>
        <w:rPr>
          <w:rFonts w:hint="eastAsia" w:ascii="宋体" w:hAnsi="宋体"/>
          <w:b/>
          <w:color w:val="auto"/>
          <w:sz w:val="28"/>
          <w:szCs w:val="28"/>
          <w:highlight w:val="none"/>
        </w:rPr>
        <w:t>6.3 评标</w:t>
      </w:r>
      <w:bookmarkEnd w:id="237"/>
      <w:bookmarkEnd w:id="238"/>
    </w:p>
    <w:p w14:paraId="28396162">
      <w:pPr>
        <w:spacing w:line="360" w:lineRule="auto"/>
        <w:ind w:firstLine="420" w:firstLineChars="200"/>
        <w:rPr>
          <w:rFonts w:ascii="宋体" w:hAnsi="宋体"/>
          <w:color w:val="auto"/>
          <w:highlight w:val="none"/>
        </w:rPr>
      </w:pPr>
      <w:r>
        <w:rPr>
          <w:rFonts w:hint="eastAsia" w:ascii="宋体" w:hAnsi="宋体"/>
          <w:color w:val="auto"/>
          <w:highlight w:val="none"/>
        </w:rPr>
        <w:t>6</w:t>
      </w:r>
      <w:bookmarkEnd w:id="226"/>
      <w:bookmarkEnd w:id="227"/>
      <w:bookmarkEnd w:id="228"/>
      <w:bookmarkEnd w:id="229"/>
      <w:bookmarkEnd w:id="230"/>
      <w:bookmarkEnd w:id="231"/>
      <w:bookmarkEnd w:id="232"/>
      <w:bookmarkEnd w:id="233"/>
      <w:bookmarkEnd w:id="234"/>
      <w:bookmarkEnd w:id="235"/>
      <w:bookmarkEnd w:id="236"/>
      <w:r>
        <w:rPr>
          <w:rFonts w:hint="eastAsia" w:ascii="宋体" w:hAnsi="宋体"/>
          <w:color w:val="auto"/>
          <w:highlight w:val="none"/>
        </w:rPr>
        <w:t>.3.1评标委员会按照第三章“评标办法”规定的方法、评审因素、标准和程序对投标文件进行评审。第三章“评标办法”没有规定的方法、评审因素和标准，不作为评标依据。</w:t>
      </w:r>
    </w:p>
    <w:p w14:paraId="2EFCB424">
      <w:pPr>
        <w:spacing w:line="360" w:lineRule="auto"/>
        <w:ind w:firstLine="420" w:firstLineChars="200"/>
        <w:rPr>
          <w:rFonts w:ascii="宋体" w:hAnsi="宋体"/>
          <w:color w:val="auto"/>
          <w:highlight w:val="none"/>
        </w:rPr>
      </w:pPr>
      <w:r>
        <w:rPr>
          <w:rFonts w:hint="eastAsia" w:ascii="宋体" w:hAnsi="宋体"/>
          <w:color w:val="auto"/>
          <w:highlight w:val="none"/>
        </w:rPr>
        <w:t>6.3.2评标完成后，评标委员会应当向招标人提交书面评标报告和中标候选人名单。评标委员会推荐中标</w:t>
      </w:r>
      <w:bookmarkStart w:id="239" w:name="_Toc144974526"/>
      <w:bookmarkStart w:id="240" w:name="_Toc152045558"/>
      <w:bookmarkStart w:id="241" w:name="_Toc352691502"/>
      <w:bookmarkStart w:id="242" w:name="_Toc300834979"/>
      <w:bookmarkStart w:id="243" w:name="_Toc12259"/>
      <w:bookmarkStart w:id="244" w:name="_Toc247513982"/>
      <w:bookmarkStart w:id="245" w:name="_Toc361508615"/>
      <w:bookmarkStart w:id="246" w:name="_Toc152042334"/>
      <w:bookmarkStart w:id="247" w:name="_Toc384308240"/>
      <w:bookmarkStart w:id="248" w:name="_Toc247527583"/>
      <w:bookmarkStart w:id="249" w:name="_Toc369531546"/>
      <w:r>
        <w:rPr>
          <w:rFonts w:hint="eastAsia" w:ascii="宋体" w:hAnsi="宋体"/>
          <w:color w:val="auto"/>
          <w:highlight w:val="none"/>
        </w:rPr>
        <w:t>候选人的人数见投标人须知前附</w:t>
      </w:r>
      <w:bookmarkEnd w:id="239"/>
      <w:bookmarkEnd w:id="240"/>
      <w:bookmarkEnd w:id="241"/>
      <w:bookmarkEnd w:id="242"/>
      <w:bookmarkEnd w:id="243"/>
      <w:bookmarkEnd w:id="244"/>
      <w:bookmarkEnd w:id="245"/>
      <w:bookmarkEnd w:id="246"/>
      <w:bookmarkEnd w:id="247"/>
      <w:bookmarkEnd w:id="248"/>
      <w:bookmarkEnd w:id="249"/>
      <w:r>
        <w:rPr>
          <w:rFonts w:hint="eastAsia" w:ascii="宋体" w:hAnsi="宋体"/>
          <w:color w:val="auto"/>
          <w:highlight w:val="none"/>
        </w:rPr>
        <w:t>表。</w:t>
      </w:r>
    </w:p>
    <w:p w14:paraId="36F9BCA1">
      <w:pPr>
        <w:spacing w:before="260"/>
        <w:outlineLvl w:val="2"/>
        <w:rPr>
          <w:rFonts w:ascii="宋体" w:hAnsi="宋体"/>
          <w:b/>
          <w:color w:val="auto"/>
          <w:sz w:val="32"/>
          <w:szCs w:val="32"/>
          <w:highlight w:val="none"/>
        </w:rPr>
      </w:pPr>
      <w:bookmarkStart w:id="250" w:name="_Toc515205233"/>
      <w:bookmarkStart w:id="251" w:name="_Toc529196560"/>
      <w:r>
        <w:rPr>
          <w:rFonts w:hint="eastAsia" w:ascii="宋体" w:hAnsi="宋体"/>
          <w:b/>
          <w:color w:val="auto"/>
          <w:sz w:val="32"/>
          <w:szCs w:val="32"/>
          <w:highlight w:val="none"/>
        </w:rPr>
        <w:t>7. 合同授予</w:t>
      </w:r>
      <w:bookmarkEnd w:id="250"/>
      <w:bookmarkEnd w:id="251"/>
    </w:p>
    <w:p w14:paraId="3E6ECFDB">
      <w:pPr>
        <w:spacing w:before="240" w:beforeLines="100" w:after="240" w:afterLines="100"/>
        <w:rPr>
          <w:rFonts w:ascii="宋体" w:hAnsi="宋体"/>
          <w:b/>
          <w:color w:val="auto"/>
          <w:sz w:val="28"/>
          <w:szCs w:val="28"/>
          <w:highlight w:val="none"/>
        </w:rPr>
      </w:pPr>
      <w:bookmarkStart w:id="252" w:name="_Toc515205234"/>
      <w:bookmarkStart w:id="253" w:name="_Toc529196561"/>
      <w:r>
        <w:rPr>
          <w:rFonts w:hint="eastAsia" w:ascii="宋体" w:hAnsi="宋体"/>
          <w:b/>
          <w:color w:val="auto"/>
          <w:sz w:val="28"/>
          <w:szCs w:val="28"/>
          <w:highlight w:val="none"/>
        </w:rPr>
        <w:t>7.1 中标候选人公示</w:t>
      </w:r>
      <w:bookmarkEnd w:id="252"/>
      <w:bookmarkEnd w:id="253"/>
    </w:p>
    <w:p w14:paraId="383E3715">
      <w:pPr>
        <w:spacing w:line="360" w:lineRule="auto"/>
        <w:ind w:firstLine="420" w:firstLineChars="200"/>
        <w:rPr>
          <w:rFonts w:ascii="宋体" w:hAnsi="宋体"/>
          <w:color w:val="auto"/>
          <w:highlight w:val="none"/>
        </w:rPr>
      </w:pPr>
      <w:r>
        <w:rPr>
          <w:rFonts w:hint="eastAsia" w:ascii="宋体" w:hAnsi="宋体"/>
          <w:color w:val="auto"/>
          <w:highlight w:val="none"/>
        </w:rPr>
        <w:t>招标人在收到评标报告之日起3日内，按照投标人须知前附表规定的公示媒介和期限公示中标候选人，公示期不得少于3天。</w:t>
      </w:r>
    </w:p>
    <w:p w14:paraId="76CA2CDB">
      <w:pPr>
        <w:spacing w:before="240" w:beforeLines="100" w:after="240" w:afterLines="100"/>
        <w:rPr>
          <w:rFonts w:ascii="宋体" w:hAnsi="宋体"/>
          <w:b/>
          <w:color w:val="auto"/>
          <w:sz w:val="28"/>
          <w:szCs w:val="28"/>
          <w:highlight w:val="none"/>
        </w:rPr>
      </w:pPr>
      <w:bookmarkStart w:id="254" w:name="_Toc515205235"/>
      <w:bookmarkStart w:id="255" w:name="_Toc529196562"/>
      <w:r>
        <w:rPr>
          <w:rFonts w:hint="eastAsia" w:ascii="宋体" w:hAnsi="宋体"/>
          <w:b/>
          <w:color w:val="auto"/>
          <w:sz w:val="28"/>
          <w:szCs w:val="28"/>
          <w:highlight w:val="none"/>
        </w:rPr>
        <w:t>7.2 评标结果异议</w:t>
      </w:r>
      <w:bookmarkEnd w:id="254"/>
      <w:bookmarkEnd w:id="255"/>
    </w:p>
    <w:p w14:paraId="01D22097">
      <w:pPr>
        <w:spacing w:line="360" w:lineRule="auto"/>
        <w:ind w:firstLine="420" w:firstLineChars="200"/>
        <w:rPr>
          <w:rFonts w:ascii="宋体" w:hAnsi="宋体"/>
          <w:color w:val="auto"/>
          <w:highlight w:val="none"/>
        </w:rPr>
      </w:pPr>
      <w:r>
        <w:rPr>
          <w:rFonts w:hint="eastAsia" w:ascii="宋体" w:hAnsi="宋体" w:cs="宋体"/>
          <w:color w:val="auto"/>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ascii="宋体" w:hAnsi="宋体" w:cs="宋体"/>
          <w:color w:val="auto"/>
          <w:szCs w:val="21"/>
          <w:highlight w:val="none"/>
          <w:u w:val="single"/>
        </w:rPr>
        <w:t>招标人将在收到异议之日起 3 日内作出答复；</w:t>
      </w:r>
      <w:r>
        <w:rPr>
          <w:rFonts w:hint="eastAsia" w:ascii="宋体" w:hAnsi="宋体" w:cs="宋体"/>
          <w:color w:val="auto"/>
          <w:szCs w:val="21"/>
          <w:highlight w:val="none"/>
          <w:u w:val="single"/>
        </w:rPr>
        <w:t>作出答复前，应当暂停招标投标活动</w:t>
      </w:r>
      <w:r>
        <w:rPr>
          <w:rFonts w:hint="eastAsia" w:ascii="宋体" w:hAnsi="宋体"/>
          <w:color w:val="auto"/>
          <w:highlight w:val="none"/>
        </w:rPr>
        <w:t>。</w:t>
      </w:r>
    </w:p>
    <w:p w14:paraId="3B1AE0DE">
      <w:pPr>
        <w:spacing w:before="240" w:beforeLines="100" w:after="240" w:afterLines="100"/>
        <w:rPr>
          <w:rFonts w:ascii="宋体" w:hAnsi="宋体"/>
          <w:b/>
          <w:color w:val="auto"/>
          <w:sz w:val="28"/>
          <w:szCs w:val="28"/>
          <w:highlight w:val="none"/>
        </w:rPr>
      </w:pPr>
      <w:bookmarkStart w:id="256" w:name="_Toc529196563"/>
      <w:bookmarkStart w:id="257" w:name="_Toc515205236"/>
      <w:r>
        <w:rPr>
          <w:rFonts w:hint="eastAsia" w:ascii="宋体" w:hAnsi="宋体"/>
          <w:b/>
          <w:color w:val="auto"/>
          <w:sz w:val="28"/>
          <w:szCs w:val="28"/>
          <w:highlight w:val="none"/>
        </w:rPr>
        <w:t>7.3 中标候选人履约能力审查</w:t>
      </w:r>
      <w:bookmarkEnd w:id="256"/>
      <w:bookmarkEnd w:id="257"/>
    </w:p>
    <w:p w14:paraId="30BA9442">
      <w:pPr>
        <w:spacing w:line="360" w:lineRule="auto"/>
        <w:ind w:firstLine="420" w:firstLineChars="200"/>
        <w:rPr>
          <w:rFonts w:ascii="宋体" w:hAnsi="宋体"/>
          <w:color w:val="auto"/>
          <w:highlight w:val="none"/>
        </w:rPr>
      </w:pPr>
      <w:r>
        <w:rPr>
          <w:rFonts w:hint="eastAsia" w:ascii="宋体" w:hAnsi="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1AD1A1C">
      <w:pPr>
        <w:spacing w:before="240" w:beforeLines="100" w:after="240" w:afterLines="100"/>
        <w:rPr>
          <w:rFonts w:ascii="宋体" w:hAnsi="宋体"/>
          <w:b/>
          <w:color w:val="auto"/>
          <w:sz w:val="28"/>
          <w:szCs w:val="28"/>
          <w:highlight w:val="none"/>
        </w:rPr>
      </w:pPr>
      <w:bookmarkStart w:id="258" w:name="_Toc529196564"/>
      <w:bookmarkStart w:id="259" w:name="_Toc515205237"/>
      <w:r>
        <w:rPr>
          <w:rFonts w:hint="eastAsia" w:ascii="宋体" w:hAnsi="宋体"/>
          <w:b/>
          <w:color w:val="auto"/>
          <w:sz w:val="28"/>
          <w:szCs w:val="28"/>
          <w:highlight w:val="none"/>
        </w:rPr>
        <w:t>7.4 定标</w:t>
      </w:r>
      <w:bookmarkEnd w:id="258"/>
      <w:bookmarkEnd w:id="259"/>
    </w:p>
    <w:p w14:paraId="75C28945">
      <w:pPr>
        <w:spacing w:line="360" w:lineRule="auto"/>
        <w:ind w:firstLine="420" w:firstLineChars="200"/>
        <w:rPr>
          <w:rFonts w:ascii="宋体" w:hAnsi="宋体"/>
          <w:color w:val="auto"/>
          <w:highlight w:val="none"/>
        </w:rPr>
      </w:pPr>
      <w:r>
        <w:rPr>
          <w:rFonts w:hint="eastAsia" w:ascii="宋体" w:hAnsi="宋体"/>
          <w:color w:val="auto"/>
          <w:highlight w:val="none"/>
        </w:rPr>
        <w:t>按照投标人须知前附表的规定，</w:t>
      </w:r>
      <w:r>
        <w:rPr>
          <w:rFonts w:hint="eastAsia" w:ascii="宋体" w:hAnsi="宋体"/>
          <w:strike/>
          <w:dstrike w:val="0"/>
          <w:color w:val="auto"/>
          <w:highlight w:val="none"/>
        </w:rPr>
        <w:t>招标人或</w:t>
      </w:r>
      <w:r>
        <w:rPr>
          <w:rFonts w:hint="eastAsia" w:ascii="宋体" w:hAnsi="宋体"/>
          <w:strike w:val="0"/>
          <w:color w:val="auto"/>
          <w:highlight w:val="none"/>
        </w:rPr>
        <w:t>招标人授权的</w:t>
      </w:r>
      <w:r>
        <w:rPr>
          <w:rFonts w:hint="eastAsia" w:ascii="宋体" w:hAnsi="宋体"/>
          <w:strike w:val="0"/>
          <w:color w:val="auto"/>
          <w:highlight w:val="none"/>
          <w:u w:val="single"/>
          <w:lang w:val="en-US" w:eastAsia="zh-CN"/>
        </w:rPr>
        <w:t>定标</w:t>
      </w:r>
      <w:r>
        <w:rPr>
          <w:rFonts w:hint="eastAsia" w:ascii="宋体" w:hAnsi="宋体"/>
          <w:strike w:val="0"/>
          <w:color w:val="auto"/>
          <w:highlight w:val="none"/>
          <w:u w:val="single"/>
        </w:rPr>
        <w:t>委员会</w:t>
      </w:r>
      <w:r>
        <w:rPr>
          <w:rFonts w:hint="eastAsia" w:ascii="宋体" w:hAnsi="宋体"/>
          <w:color w:val="auto"/>
          <w:highlight w:val="none"/>
        </w:rPr>
        <w:t>依法确定中标人。</w:t>
      </w:r>
    </w:p>
    <w:p w14:paraId="09E84932">
      <w:pPr>
        <w:spacing w:before="240" w:beforeLines="100" w:after="240" w:afterLines="100"/>
        <w:rPr>
          <w:rFonts w:ascii="宋体" w:hAnsi="宋体"/>
          <w:b/>
          <w:color w:val="auto"/>
          <w:sz w:val="28"/>
          <w:szCs w:val="28"/>
          <w:highlight w:val="none"/>
        </w:rPr>
      </w:pPr>
      <w:bookmarkStart w:id="260" w:name="_Toc515205238"/>
      <w:bookmarkStart w:id="261" w:name="_Toc529196565"/>
      <w:r>
        <w:rPr>
          <w:rFonts w:hint="eastAsia" w:ascii="宋体" w:hAnsi="宋体"/>
          <w:b/>
          <w:color w:val="auto"/>
          <w:sz w:val="28"/>
          <w:szCs w:val="28"/>
          <w:highlight w:val="none"/>
        </w:rPr>
        <w:t>7.5 中标通知</w:t>
      </w:r>
      <w:bookmarkEnd w:id="260"/>
      <w:bookmarkEnd w:id="261"/>
    </w:p>
    <w:p w14:paraId="3371D894">
      <w:pPr>
        <w:spacing w:line="360" w:lineRule="auto"/>
        <w:ind w:firstLine="420" w:firstLineChars="200"/>
        <w:rPr>
          <w:rFonts w:ascii="宋体" w:hAnsi="宋体"/>
          <w:color w:val="auto"/>
          <w:highlight w:val="none"/>
        </w:rPr>
      </w:pPr>
      <w:r>
        <w:rPr>
          <w:rFonts w:hint="eastAsia" w:ascii="宋体" w:hAnsi="宋体"/>
          <w:color w:val="auto"/>
          <w:highlight w:val="none"/>
        </w:rPr>
        <w:t>在本章第3.3款规定的投标有效期内，招标人以书面形式向中标人发出中标</w:t>
      </w:r>
      <w:bookmarkStart w:id="262" w:name="_Toc361508619"/>
      <w:bookmarkStart w:id="263" w:name="_Toc369531550"/>
      <w:bookmarkStart w:id="264" w:name="_Toc5668"/>
      <w:bookmarkStart w:id="265" w:name="_Toc300834983"/>
      <w:bookmarkStart w:id="266" w:name="_Toc352691506"/>
      <w:bookmarkStart w:id="267" w:name="_Toc384308244"/>
      <w:r>
        <w:rPr>
          <w:rFonts w:hint="eastAsia" w:ascii="宋体" w:hAnsi="宋体"/>
          <w:color w:val="auto"/>
          <w:highlight w:val="none"/>
        </w:rPr>
        <w:t>通知书，同时将中</w:t>
      </w:r>
      <w:bookmarkEnd w:id="262"/>
      <w:bookmarkEnd w:id="263"/>
      <w:bookmarkEnd w:id="264"/>
      <w:bookmarkEnd w:id="265"/>
      <w:bookmarkEnd w:id="266"/>
      <w:bookmarkEnd w:id="267"/>
      <w:r>
        <w:rPr>
          <w:rFonts w:hint="eastAsia" w:ascii="宋体" w:hAnsi="宋体"/>
          <w:color w:val="auto"/>
          <w:highlight w:val="none"/>
        </w:rPr>
        <w:t>标结果通知未中标的投标人。</w:t>
      </w:r>
    </w:p>
    <w:p w14:paraId="1C43AB36">
      <w:pPr>
        <w:spacing w:before="240" w:beforeLines="100" w:after="240" w:afterLines="100"/>
        <w:rPr>
          <w:rFonts w:ascii="宋体" w:hAnsi="宋体"/>
          <w:b/>
          <w:color w:val="auto"/>
          <w:sz w:val="28"/>
          <w:szCs w:val="28"/>
          <w:highlight w:val="none"/>
        </w:rPr>
      </w:pPr>
      <w:bookmarkStart w:id="268" w:name="_Toc529196566"/>
      <w:bookmarkStart w:id="269" w:name="_Toc515205239"/>
      <w:r>
        <w:rPr>
          <w:rFonts w:hint="eastAsia" w:ascii="宋体" w:hAnsi="宋体"/>
          <w:b/>
          <w:color w:val="auto"/>
          <w:sz w:val="28"/>
          <w:szCs w:val="28"/>
          <w:highlight w:val="none"/>
        </w:rPr>
        <w:t>7.6 履约保证金</w:t>
      </w:r>
      <w:bookmarkEnd w:id="268"/>
      <w:bookmarkEnd w:id="269"/>
    </w:p>
    <w:p w14:paraId="53E13A2B">
      <w:pPr>
        <w:spacing w:line="360" w:lineRule="auto"/>
        <w:ind w:firstLine="420" w:firstLineChars="200"/>
        <w:rPr>
          <w:rFonts w:ascii="宋体" w:hAnsi="宋体"/>
          <w:color w:val="auto"/>
          <w:highlight w:val="none"/>
        </w:rPr>
      </w:pPr>
      <w:r>
        <w:rPr>
          <w:rFonts w:hint="eastAsia" w:ascii="宋体" w:hAnsi="宋体"/>
          <w:color w:val="auto"/>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strike/>
          <w:color w:val="auto"/>
          <w:highlight w:val="none"/>
        </w:rPr>
        <w:t>联合体中标的，其履约保证金以联合体各方或者联合体中牵头人的名义提交。</w:t>
      </w:r>
    </w:p>
    <w:p w14:paraId="6C168FFC">
      <w:pPr>
        <w:spacing w:line="360" w:lineRule="auto"/>
        <w:ind w:firstLine="420" w:firstLineChars="200"/>
        <w:rPr>
          <w:rFonts w:ascii="宋体" w:hAnsi="宋体"/>
          <w:color w:val="auto"/>
          <w:highlight w:val="none"/>
        </w:rPr>
      </w:pPr>
      <w:r>
        <w:rPr>
          <w:rFonts w:hint="eastAsia" w:ascii="宋体" w:hAnsi="宋体"/>
          <w:color w:val="auto"/>
          <w:highlight w:val="none"/>
        </w:rPr>
        <w:t>7.6.2 中标人不能按本章第7.6.1项要求提交履约保证金的，视为放弃中标，并按第二章投标人须知前附表10.1条的约定处理。给招标人造成损失的，中标人还应当对损失部分予以赔偿。</w:t>
      </w:r>
    </w:p>
    <w:p w14:paraId="60E39D7D">
      <w:pPr>
        <w:spacing w:before="240" w:beforeLines="100" w:after="240" w:afterLines="100"/>
        <w:rPr>
          <w:rFonts w:ascii="宋体" w:hAnsi="宋体"/>
          <w:b/>
          <w:color w:val="auto"/>
          <w:sz w:val="28"/>
          <w:szCs w:val="28"/>
          <w:highlight w:val="none"/>
        </w:rPr>
      </w:pPr>
      <w:bookmarkStart w:id="270" w:name="_Toc529196567"/>
      <w:bookmarkStart w:id="271" w:name="_Toc515205240"/>
      <w:r>
        <w:rPr>
          <w:rFonts w:hint="eastAsia" w:ascii="宋体" w:hAnsi="宋体"/>
          <w:b/>
          <w:color w:val="auto"/>
          <w:sz w:val="28"/>
          <w:szCs w:val="28"/>
          <w:highlight w:val="none"/>
        </w:rPr>
        <w:t>7.7 签订合同</w:t>
      </w:r>
      <w:bookmarkEnd w:id="270"/>
      <w:bookmarkEnd w:id="271"/>
    </w:p>
    <w:p w14:paraId="44C1E280">
      <w:pPr>
        <w:spacing w:line="360" w:lineRule="auto"/>
        <w:ind w:firstLine="420" w:firstLineChars="200"/>
        <w:rPr>
          <w:rFonts w:ascii="宋体" w:hAnsi="宋体"/>
          <w:color w:val="auto"/>
          <w:highlight w:val="none"/>
        </w:rPr>
      </w:pPr>
      <w:r>
        <w:rPr>
          <w:rFonts w:hint="eastAsia" w:ascii="宋体" w:hAnsi="宋体"/>
          <w:color w:val="auto"/>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64AB7CB2">
      <w:pPr>
        <w:spacing w:line="360" w:lineRule="auto"/>
        <w:ind w:firstLine="420" w:firstLineChars="200"/>
        <w:rPr>
          <w:rFonts w:ascii="宋体" w:hAnsi="宋体"/>
          <w:color w:val="auto"/>
          <w:highlight w:val="none"/>
        </w:rPr>
      </w:pPr>
      <w:r>
        <w:rPr>
          <w:rFonts w:hint="eastAsia" w:ascii="宋体" w:hAnsi="宋体"/>
          <w:color w:val="auto"/>
          <w:highlight w:val="none"/>
        </w:rPr>
        <w:t>7.7.2 发出中标通知书后，招标人无正当理由拒签合同，或者在签订合同时向中标人提出附加条件</w:t>
      </w:r>
      <w:r>
        <w:rPr>
          <w:rFonts w:hint="eastAsia" w:ascii="宋体" w:hAnsi="宋体"/>
          <w:strike/>
          <w:color w:val="auto"/>
          <w:highlight w:val="none"/>
        </w:rPr>
        <w:t>的，招标人向中标人退还投标保证金；</w:t>
      </w:r>
      <w:r>
        <w:rPr>
          <w:rFonts w:hint="eastAsia" w:ascii="宋体" w:hAnsi="宋体"/>
          <w:color w:val="auto"/>
          <w:highlight w:val="none"/>
        </w:rPr>
        <w:t>给中标人造成损失的，还应当赔偿损失。</w:t>
      </w:r>
    </w:p>
    <w:p w14:paraId="407F3308">
      <w:pPr>
        <w:spacing w:line="360" w:lineRule="auto"/>
        <w:ind w:firstLine="420" w:firstLineChars="200"/>
        <w:rPr>
          <w:rFonts w:ascii="宋体" w:hAnsi="宋体"/>
          <w:strike/>
          <w:color w:val="auto"/>
          <w:highlight w:val="none"/>
        </w:rPr>
      </w:pPr>
      <w:r>
        <w:rPr>
          <w:rFonts w:hint="eastAsia" w:ascii="宋体" w:hAnsi="宋体"/>
          <w:strike/>
          <w:color w:val="auto"/>
          <w:highlight w:val="none"/>
        </w:rPr>
        <w:t>7.7.3联合体中标的，联合体各方应当共同与招标人签订合同，就中标项目向招标人承担连带责任。</w:t>
      </w:r>
    </w:p>
    <w:p w14:paraId="2FD1EA1A">
      <w:pPr>
        <w:spacing w:before="260"/>
        <w:outlineLvl w:val="2"/>
        <w:rPr>
          <w:color w:val="auto"/>
          <w:highlight w:val="none"/>
        </w:rPr>
      </w:pPr>
      <w:bookmarkStart w:id="272" w:name="_Toc361508627"/>
      <w:bookmarkStart w:id="273" w:name="_Toc24067"/>
      <w:bookmarkStart w:id="274" w:name="_Toc384308252"/>
      <w:bookmarkStart w:id="275" w:name="_Toc529196568"/>
      <w:bookmarkStart w:id="276" w:name="_Toc515205241"/>
      <w:bookmarkStart w:id="277" w:name="_Toc144974536"/>
      <w:bookmarkStart w:id="278" w:name="_Toc152045568"/>
      <w:bookmarkStart w:id="279" w:name="_Toc300834991"/>
      <w:bookmarkStart w:id="280" w:name="_Toc247513992"/>
      <w:bookmarkStart w:id="281" w:name="_Toc247527593"/>
      <w:bookmarkStart w:id="282" w:name="_Toc152042344"/>
      <w:r>
        <w:rPr>
          <w:rFonts w:hint="eastAsia" w:ascii="宋体" w:hAnsi="宋体"/>
          <w:b/>
          <w:color w:val="auto"/>
          <w:sz w:val="32"/>
          <w:szCs w:val="32"/>
          <w:highlight w:val="none"/>
        </w:rPr>
        <w:t>8.</w:t>
      </w:r>
      <w:bookmarkEnd w:id="272"/>
      <w:bookmarkEnd w:id="273"/>
      <w:bookmarkEnd w:id="274"/>
      <w:r>
        <w:rPr>
          <w:rFonts w:hint="eastAsia" w:ascii="宋体" w:hAnsi="宋体"/>
          <w:b/>
          <w:color w:val="auto"/>
          <w:sz w:val="32"/>
          <w:szCs w:val="32"/>
          <w:highlight w:val="none"/>
        </w:rPr>
        <w:t>纪律和监督</w:t>
      </w:r>
      <w:bookmarkEnd w:id="275"/>
      <w:bookmarkEnd w:id="276"/>
    </w:p>
    <w:p w14:paraId="37611002">
      <w:pPr>
        <w:spacing w:before="240" w:beforeLines="100" w:after="240" w:afterLines="100"/>
        <w:rPr>
          <w:rFonts w:ascii="宋体" w:hAnsi="宋体"/>
          <w:b/>
          <w:color w:val="auto"/>
          <w:sz w:val="28"/>
          <w:szCs w:val="28"/>
          <w:highlight w:val="none"/>
        </w:rPr>
      </w:pPr>
      <w:bookmarkStart w:id="283" w:name="_Toc515205242"/>
      <w:bookmarkStart w:id="284" w:name="_Toc529196569"/>
      <w:r>
        <w:rPr>
          <w:rFonts w:hint="eastAsia" w:ascii="宋体" w:hAnsi="宋体"/>
          <w:b/>
          <w:color w:val="auto"/>
          <w:sz w:val="28"/>
          <w:szCs w:val="28"/>
          <w:highlight w:val="none"/>
        </w:rPr>
        <w:t>8.1 对招标人的纪律要求</w:t>
      </w:r>
      <w:bookmarkEnd w:id="283"/>
      <w:bookmarkEnd w:id="284"/>
    </w:p>
    <w:p w14:paraId="09C5A27F">
      <w:pPr>
        <w:spacing w:line="360" w:lineRule="auto"/>
        <w:ind w:firstLine="420" w:firstLineChars="200"/>
        <w:rPr>
          <w:rFonts w:ascii="宋体" w:hAnsi="宋体"/>
          <w:color w:val="auto"/>
          <w:highlight w:val="none"/>
        </w:rPr>
      </w:pPr>
      <w:r>
        <w:rPr>
          <w:rFonts w:hint="eastAsia" w:ascii="宋体" w:hAnsi="宋体"/>
          <w:color w:val="auto"/>
          <w:highlight w:val="none"/>
        </w:rPr>
        <w:t>招标人不得泄露招标投标活动中应当保密的情况和资料，不得与投标人串通损害国家利益、社会公共利益或者他人合法权益。</w:t>
      </w:r>
    </w:p>
    <w:p w14:paraId="12897A4B">
      <w:pPr>
        <w:spacing w:before="240" w:beforeLines="100" w:after="240" w:afterLines="100"/>
        <w:rPr>
          <w:rFonts w:ascii="宋体" w:hAnsi="宋体"/>
          <w:b/>
          <w:color w:val="auto"/>
          <w:sz w:val="28"/>
          <w:szCs w:val="28"/>
          <w:highlight w:val="none"/>
        </w:rPr>
      </w:pPr>
      <w:bookmarkStart w:id="285" w:name="_Toc529196570"/>
      <w:bookmarkStart w:id="286" w:name="_Toc515205243"/>
      <w:r>
        <w:rPr>
          <w:rFonts w:hint="eastAsia" w:ascii="宋体" w:hAnsi="宋体"/>
          <w:b/>
          <w:color w:val="auto"/>
          <w:sz w:val="28"/>
          <w:szCs w:val="28"/>
          <w:highlight w:val="none"/>
        </w:rPr>
        <w:t>8.2 对投标人的纪律要求</w:t>
      </w:r>
      <w:bookmarkEnd w:id="285"/>
      <w:bookmarkEnd w:id="286"/>
    </w:p>
    <w:p w14:paraId="626D9180">
      <w:pPr>
        <w:spacing w:line="360" w:lineRule="auto"/>
        <w:ind w:firstLine="420" w:firstLineChars="200"/>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4C184EE">
      <w:pPr>
        <w:spacing w:before="240" w:beforeLines="100" w:after="240" w:afterLines="100"/>
        <w:rPr>
          <w:rFonts w:ascii="宋体" w:hAnsi="宋体"/>
          <w:b/>
          <w:color w:val="auto"/>
          <w:sz w:val="28"/>
          <w:szCs w:val="28"/>
          <w:highlight w:val="none"/>
        </w:rPr>
      </w:pPr>
      <w:bookmarkStart w:id="287" w:name="_Toc529196571"/>
      <w:bookmarkStart w:id="288" w:name="_Toc515205244"/>
      <w:r>
        <w:rPr>
          <w:rFonts w:hint="eastAsia" w:ascii="宋体" w:hAnsi="宋体"/>
          <w:b/>
          <w:color w:val="auto"/>
          <w:sz w:val="28"/>
          <w:szCs w:val="28"/>
          <w:highlight w:val="none"/>
        </w:rPr>
        <w:t>8.3 对评标委员会成员的纪律要求</w:t>
      </w:r>
      <w:bookmarkEnd w:id="287"/>
      <w:bookmarkEnd w:id="288"/>
    </w:p>
    <w:p w14:paraId="7A753542">
      <w:pPr>
        <w:spacing w:line="360" w:lineRule="auto"/>
        <w:ind w:firstLine="420" w:firstLineChars="200"/>
        <w:rPr>
          <w:rFonts w:ascii="宋体" w:hAnsi="宋体"/>
          <w:color w:val="auto"/>
          <w:highlight w:val="none"/>
        </w:rPr>
      </w:pPr>
      <w:r>
        <w:rPr>
          <w:rFonts w:hint="eastAsia" w:ascii="宋体" w:hAnsi="宋体"/>
          <w:color w:val="auto"/>
          <w:highlight w:val="none"/>
        </w:rPr>
        <w:t>评标委员会成员不得收受他人的财物或者其他好处，不得向他人透露对投标文件的评审</w:t>
      </w:r>
      <w:bookmarkStart w:id="289" w:name="_Toc369531559"/>
      <w:bookmarkStart w:id="290" w:name="_Toc352691515"/>
      <w:bookmarkStart w:id="291" w:name="_Toc361508628"/>
      <w:bookmarkStart w:id="292" w:name="_Toc13644"/>
      <w:bookmarkStart w:id="293" w:name="_Toc384308253"/>
      <w:r>
        <w:rPr>
          <w:rFonts w:hint="eastAsia" w:ascii="宋体" w:hAnsi="宋体"/>
          <w:color w:val="auto"/>
          <w:highlight w:val="none"/>
        </w:rPr>
        <w:t>和比较、中标候选人</w:t>
      </w:r>
      <w:bookmarkEnd w:id="277"/>
      <w:bookmarkEnd w:id="278"/>
      <w:bookmarkEnd w:id="279"/>
      <w:bookmarkEnd w:id="280"/>
      <w:bookmarkEnd w:id="281"/>
      <w:bookmarkEnd w:id="282"/>
      <w:bookmarkEnd w:id="289"/>
      <w:bookmarkEnd w:id="290"/>
      <w:bookmarkEnd w:id="291"/>
      <w:bookmarkEnd w:id="292"/>
      <w:bookmarkEnd w:id="293"/>
      <w:r>
        <w:rPr>
          <w:rFonts w:hint="eastAsia" w:ascii="宋体" w:hAnsi="宋体"/>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68EBBB2">
      <w:pPr>
        <w:spacing w:before="240" w:beforeLines="100" w:after="240" w:afterLines="100"/>
        <w:rPr>
          <w:rFonts w:ascii="宋体" w:hAnsi="宋体"/>
          <w:b/>
          <w:color w:val="auto"/>
          <w:sz w:val="28"/>
          <w:szCs w:val="28"/>
          <w:highlight w:val="none"/>
        </w:rPr>
      </w:pPr>
      <w:bookmarkStart w:id="294" w:name="_Toc515205245"/>
      <w:bookmarkStart w:id="295" w:name="_Toc529196572"/>
      <w:r>
        <w:rPr>
          <w:rFonts w:hint="eastAsia" w:ascii="宋体" w:hAnsi="宋体"/>
          <w:b/>
          <w:color w:val="auto"/>
          <w:sz w:val="28"/>
          <w:szCs w:val="28"/>
          <w:highlight w:val="none"/>
        </w:rPr>
        <w:t>8.4 对与评标活动有关的工作人员的纪律要求</w:t>
      </w:r>
      <w:bookmarkEnd w:id="294"/>
      <w:bookmarkEnd w:id="295"/>
    </w:p>
    <w:p w14:paraId="3E17E7B1">
      <w:pPr>
        <w:spacing w:line="360" w:lineRule="auto"/>
        <w:ind w:firstLine="420" w:firstLineChars="200"/>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与评标活动有关的工作人员不得收受他人的财物或者其他好处，不得向他人透露对投标文件</w:t>
      </w:r>
      <w:bookmarkStart w:id="296" w:name="_Toc361508629"/>
      <w:bookmarkStart w:id="297" w:name="_Toc144974537"/>
      <w:bookmarkStart w:id="298" w:name="_Toc247527594"/>
      <w:bookmarkStart w:id="299" w:name="_Toc300834992"/>
      <w:bookmarkStart w:id="300" w:name="_Toc369531560"/>
      <w:bookmarkStart w:id="301" w:name="_Toc352691516"/>
      <w:bookmarkStart w:id="302" w:name="_Toc384308254"/>
      <w:bookmarkStart w:id="303" w:name="_Toc152045569"/>
      <w:bookmarkStart w:id="304" w:name="_Toc152042345"/>
      <w:bookmarkStart w:id="305" w:name="_Toc247513993"/>
      <w:bookmarkStart w:id="306" w:name="_Toc19429"/>
      <w:r>
        <w:rPr>
          <w:rFonts w:hint="eastAsia" w:ascii="宋体" w:hAnsi="宋体"/>
          <w:color w:val="auto"/>
          <w:highlight w:val="none"/>
        </w:rPr>
        <w:t>的评审和比较、中标</w:t>
      </w:r>
      <w:bookmarkEnd w:id="296"/>
      <w:bookmarkEnd w:id="297"/>
      <w:bookmarkEnd w:id="298"/>
      <w:bookmarkEnd w:id="299"/>
      <w:bookmarkEnd w:id="300"/>
      <w:bookmarkEnd w:id="301"/>
      <w:bookmarkEnd w:id="302"/>
      <w:bookmarkEnd w:id="303"/>
      <w:bookmarkEnd w:id="304"/>
      <w:bookmarkEnd w:id="305"/>
      <w:bookmarkEnd w:id="306"/>
      <w:r>
        <w:rPr>
          <w:rFonts w:hint="eastAsia" w:ascii="宋体" w:hAnsi="宋体"/>
          <w:color w:val="auto"/>
          <w:highlight w:val="none"/>
        </w:rPr>
        <w:t>候选人的推荐情况以及评标有关的其他情况。在评标活动中，与评标活动有关的工作人员不得擅离职守，影响评标程序正常进行。</w:t>
      </w:r>
    </w:p>
    <w:p w14:paraId="1A1A5B91">
      <w:pPr>
        <w:spacing w:before="240" w:beforeLines="100" w:after="240" w:afterLines="100"/>
        <w:rPr>
          <w:rFonts w:ascii="宋体" w:hAnsi="宋体"/>
          <w:b/>
          <w:color w:val="auto"/>
          <w:sz w:val="28"/>
          <w:szCs w:val="28"/>
          <w:highlight w:val="none"/>
        </w:rPr>
      </w:pPr>
      <w:bookmarkStart w:id="307" w:name="_Toc529196573"/>
      <w:bookmarkStart w:id="308" w:name="_Toc515205246"/>
      <w:r>
        <w:rPr>
          <w:rFonts w:hint="eastAsia" w:ascii="宋体" w:hAnsi="宋体"/>
          <w:b/>
          <w:color w:val="auto"/>
          <w:sz w:val="28"/>
          <w:szCs w:val="28"/>
          <w:highlight w:val="none"/>
        </w:rPr>
        <w:t>8.5 投诉</w:t>
      </w:r>
      <w:bookmarkEnd w:id="307"/>
      <w:bookmarkEnd w:id="308"/>
    </w:p>
    <w:p w14:paraId="20C0E178">
      <w:pPr>
        <w:spacing w:line="360" w:lineRule="auto"/>
        <w:ind w:firstLine="420" w:firstLineChars="200"/>
        <w:rPr>
          <w:rFonts w:ascii="宋体" w:hAnsi="宋体"/>
          <w:color w:val="auto"/>
          <w:highlight w:val="none"/>
        </w:rPr>
      </w:pPr>
      <w:r>
        <w:rPr>
          <w:rFonts w:hint="eastAsia" w:ascii="宋体" w:hAnsi="宋体"/>
          <w:color w:val="auto"/>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5A9110F4">
      <w:pPr>
        <w:spacing w:line="360" w:lineRule="auto"/>
        <w:ind w:firstLine="420" w:firstLineChars="200"/>
        <w:rPr>
          <w:rFonts w:ascii="宋体" w:hAnsi="宋体"/>
          <w:color w:val="auto"/>
          <w:highlight w:val="none"/>
        </w:rPr>
      </w:pPr>
      <w:r>
        <w:rPr>
          <w:rFonts w:hint="eastAsia" w:ascii="宋体" w:hAnsi="宋体"/>
          <w:color w:val="auto"/>
          <w:highlight w:val="none"/>
        </w:rPr>
        <w:t>8.5.2 投标人或者其他利害关系人对招标文件、开标和评标结果提出投诉的，应当按照投标人须知第2.4款、第5.3款和第7.2款的规定先向招标人提出异议。异议答复期间</w:t>
      </w:r>
      <w:bookmarkStart w:id="309" w:name="_Toc384308255"/>
      <w:bookmarkStart w:id="310" w:name="_Toc247527595"/>
      <w:bookmarkStart w:id="311" w:name="_Toc352691517"/>
      <w:bookmarkStart w:id="312" w:name="_Toc361508630"/>
      <w:bookmarkStart w:id="313" w:name="_Toc152042346"/>
      <w:bookmarkStart w:id="314" w:name="_Toc144974538"/>
      <w:bookmarkStart w:id="315" w:name="_Toc369531561"/>
      <w:bookmarkStart w:id="316" w:name="_Toc152045570"/>
      <w:bookmarkStart w:id="317" w:name="_Toc247513994"/>
      <w:bookmarkStart w:id="318" w:name="_Toc12776"/>
      <w:bookmarkStart w:id="319" w:name="_Toc300834993"/>
      <w:r>
        <w:rPr>
          <w:rFonts w:hint="eastAsia" w:ascii="宋体" w:hAnsi="宋体"/>
          <w:color w:val="auto"/>
          <w:highlight w:val="none"/>
        </w:rPr>
        <w:t>不计算在第8.5.</w:t>
      </w:r>
      <w:bookmarkEnd w:id="309"/>
      <w:bookmarkEnd w:id="310"/>
      <w:bookmarkEnd w:id="311"/>
      <w:bookmarkEnd w:id="312"/>
      <w:bookmarkEnd w:id="313"/>
      <w:bookmarkEnd w:id="314"/>
      <w:bookmarkEnd w:id="315"/>
      <w:bookmarkEnd w:id="316"/>
      <w:bookmarkEnd w:id="317"/>
      <w:bookmarkEnd w:id="318"/>
      <w:bookmarkEnd w:id="319"/>
      <w:r>
        <w:rPr>
          <w:rFonts w:hint="eastAsia" w:ascii="宋体" w:hAnsi="宋体"/>
          <w:color w:val="auto"/>
          <w:highlight w:val="none"/>
        </w:rPr>
        <w:t>1项规定的期限内。</w:t>
      </w:r>
    </w:p>
    <w:p w14:paraId="2D1114AD">
      <w:pPr>
        <w:spacing w:before="260"/>
        <w:outlineLvl w:val="2"/>
        <w:rPr>
          <w:rFonts w:ascii="宋体" w:hAnsi="宋体"/>
          <w:b/>
          <w:color w:val="auto"/>
          <w:sz w:val="32"/>
          <w:szCs w:val="32"/>
          <w:highlight w:val="none"/>
        </w:rPr>
      </w:pPr>
      <w:bookmarkStart w:id="320" w:name="_Toc515205247"/>
      <w:bookmarkStart w:id="321" w:name="_Toc477134992"/>
      <w:bookmarkStart w:id="322" w:name="_Toc529196574"/>
      <w:r>
        <w:rPr>
          <w:rFonts w:hint="eastAsia" w:ascii="宋体" w:hAnsi="宋体"/>
          <w:b/>
          <w:color w:val="auto"/>
          <w:sz w:val="32"/>
          <w:szCs w:val="32"/>
          <w:highlight w:val="none"/>
        </w:rPr>
        <w:t>9. 是否采用电子招标投标</w:t>
      </w:r>
      <w:bookmarkEnd w:id="320"/>
      <w:bookmarkEnd w:id="321"/>
      <w:bookmarkEnd w:id="322"/>
    </w:p>
    <w:p w14:paraId="3E901B5C">
      <w:pPr>
        <w:spacing w:before="240" w:beforeLines="100" w:line="360" w:lineRule="auto"/>
        <w:ind w:firstLine="420" w:firstLineChars="200"/>
        <w:rPr>
          <w:rFonts w:ascii="宋体" w:hAnsi="宋体"/>
          <w:color w:val="auto"/>
          <w:highlight w:val="none"/>
        </w:rPr>
      </w:pPr>
      <w:r>
        <w:rPr>
          <w:rFonts w:hint="eastAsia" w:ascii="宋体" w:hAnsi="宋体"/>
          <w:color w:val="auto"/>
          <w:highlight w:val="none"/>
        </w:rPr>
        <w:t>本招标项目是否采用电子招标投标方式，见投标人须知前附表。</w:t>
      </w:r>
    </w:p>
    <w:p w14:paraId="603F532B">
      <w:pPr>
        <w:spacing w:before="260"/>
        <w:outlineLvl w:val="2"/>
        <w:rPr>
          <w:rFonts w:ascii="宋体" w:hAnsi="宋体"/>
          <w:b/>
          <w:color w:val="auto"/>
          <w:sz w:val="32"/>
          <w:szCs w:val="32"/>
          <w:highlight w:val="none"/>
        </w:rPr>
      </w:pPr>
      <w:bookmarkStart w:id="323" w:name="_Toc529196575"/>
      <w:bookmarkStart w:id="324" w:name="_Toc515205248"/>
      <w:r>
        <w:rPr>
          <w:rFonts w:hint="eastAsia" w:ascii="宋体" w:hAnsi="宋体"/>
          <w:b/>
          <w:color w:val="auto"/>
          <w:sz w:val="32"/>
          <w:szCs w:val="32"/>
          <w:highlight w:val="none"/>
        </w:rPr>
        <w:t>10. 需要补充的其他内容</w:t>
      </w:r>
      <w:bookmarkEnd w:id="323"/>
      <w:bookmarkEnd w:id="324"/>
    </w:p>
    <w:p w14:paraId="775FD98C">
      <w:pPr>
        <w:spacing w:before="240" w:beforeLines="100"/>
        <w:ind w:firstLine="420" w:firstLineChars="200"/>
        <w:rPr>
          <w:rFonts w:ascii="宋体" w:hAnsi="宋体"/>
          <w:color w:val="auto"/>
          <w:sz w:val="18"/>
          <w:highlight w:val="none"/>
        </w:rPr>
      </w:pPr>
      <w:r>
        <w:rPr>
          <w:rFonts w:hint="eastAsia" w:ascii="宋体" w:hAnsi="宋体"/>
          <w:color w:val="auto"/>
          <w:highlight w:val="none"/>
        </w:rPr>
        <w:t>见投标人须知前附表。</w:t>
      </w:r>
    </w:p>
    <w:p w14:paraId="7B2E9A22">
      <w:pPr>
        <w:widowControl/>
        <w:jc w:val="left"/>
        <w:rPr>
          <w:color w:val="auto"/>
          <w:highlight w:val="none"/>
        </w:rPr>
        <w:sectPr>
          <w:headerReference r:id="rId6" w:type="default"/>
          <w:footerReference r:id="rId7" w:type="default"/>
          <w:pgSz w:w="12240" w:h="15840"/>
          <w:pgMar w:top="1440" w:right="1803" w:bottom="1440" w:left="1803" w:header="720" w:footer="720" w:gutter="0"/>
          <w:pgBorders>
            <w:top w:val="none" w:sz="0" w:space="0"/>
            <w:left w:val="none" w:sz="0" w:space="0"/>
            <w:bottom w:val="none" w:sz="0" w:space="0"/>
            <w:right w:val="none" w:sz="0" w:space="0"/>
          </w:pgBorders>
          <w:pgNumType w:fmt="decimal" w:start="1"/>
          <w:cols w:space="0" w:num="1"/>
          <w:rtlGutter w:val="1"/>
          <w:docGrid w:linePitch="286" w:charSpace="0"/>
        </w:sectPr>
      </w:pPr>
    </w:p>
    <w:p w14:paraId="573DB362">
      <w:pPr>
        <w:spacing w:line="2" w:lineRule="exact"/>
        <w:rPr>
          <w:rFonts w:eastAsia="Times New Roman"/>
          <w:color w:val="auto"/>
          <w:highlight w:val="none"/>
        </w:rPr>
      </w:pPr>
    </w:p>
    <w:p w14:paraId="1466E9BB">
      <w:pPr>
        <w:spacing w:after="240"/>
        <w:rPr>
          <w:b/>
          <w:color w:val="auto"/>
          <w:sz w:val="28"/>
          <w:highlight w:val="none"/>
        </w:rPr>
      </w:pPr>
      <w:bookmarkStart w:id="325" w:name="_Toc535938714"/>
      <w:bookmarkStart w:id="326" w:name="_Toc529196576"/>
      <w:bookmarkStart w:id="327" w:name="_Toc530470624"/>
      <w:r>
        <w:rPr>
          <w:rFonts w:hint="eastAsia"/>
          <w:b/>
          <w:color w:val="auto"/>
          <w:sz w:val="28"/>
          <w:szCs w:val="20"/>
          <w:highlight w:val="none"/>
        </w:rPr>
        <w:t>附件一：开标记录表</w:t>
      </w:r>
      <w:bookmarkEnd w:id="325"/>
      <w:bookmarkEnd w:id="326"/>
      <w:bookmarkEnd w:id="327"/>
      <w:r>
        <w:rPr>
          <w:rFonts w:hint="eastAsia"/>
          <w:b/>
          <w:color w:val="auto"/>
          <w:sz w:val="28"/>
          <w:highlight w:val="none"/>
        </w:rPr>
        <w:t>（按广州交易集团有限公司（广州公共资源交易中心）系统导出为准）</w:t>
      </w:r>
    </w:p>
    <w:p w14:paraId="26BBEA20">
      <w:pPr>
        <w:spacing w:line="440" w:lineRule="exact"/>
        <w:jc w:val="center"/>
        <w:rPr>
          <w:rFonts w:ascii="宋体" w:hAnsi="宋体"/>
          <w:b/>
          <w:color w:val="auto"/>
          <w:sz w:val="28"/>
          <w:highlight w:val="none"/>
        </w:rPr>
      </w:pPr>
      <w:r>
        <w:rPr>
          <w:rFonts w:hint="eastAsia" w:ascii="宋体" w:hAnsi="宋体"/>
          <w:b/>
          <w:color w:val="auto"/>
          <w:sz w:val="28"/>
          <w:highlight w:val="none"/>
        </w:rPr>
        <w:t>开标记录表</w:t>
      </w:r>
    </w:p>
    <w:p w14:paraId="676B12C6">
      <w:pPr>
        <w:spacing w:beforeLines="50" w:afterLines="50" w:line="400" w:lineRule="exact"/>
        <w:ind w:right="525"/>
        <w:jc w:val="left"/>
        <w:rPr>
          <w:rFonts w:ascii="宋体" w:hAnsi="宋体"/>
          <w:color w:val="auto"/>
          <w:sz w:val="28"/>
          <w:szCs w:val="28"/>
          <w:highlight w:val="none"/>
        </w:rPr>
      </w:pPr>
      <w:r>
        <w:rPr>
          <w:rFonts w:hint="eastAsia" w:ascii="宋体" w:hAnsi="宋体"/>
          <w:color w:val="auto"/>
          <w:sz w:val="28"/>
          <w:szCs w:val="28"/>
          <w:highlight w:val="none"/>
        </w:rPr>
        <w:t>开标时间：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时</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分</w:t>
      </w:r>
    </w:p>
    <w:p w14:paraId="6AACD571">
      <w:pPr>
        <w:spacing w:beforeLines="50" w:afterLines="50" w:line="400" w:lineRule="exact"/>
        <w:ind w:right="420"/>
        <w:jc w:val="left"/>
        <w:rPr>
          <w:rFonts w:ascii="宋体" w:hAnsi="宋体"/>
          <w:color w:val="auto"/>
          <w:sz w:val="28"/>
          <w:szCs w:val="28"/>
          <w:highlight w:val="none"/>
        </w:rPr>
      </w:pPr>
      <w:r>
        <w:rPr>
          <w:rFonts w:hint="eastAsia" w:ascii="宋体" w:hAnsi="宋体"/>
          <w:color w:val="auto"/>
          <w:sz w:val="28"/>
          <w:szCs w:val="28"/>
          <w:highlight w:val="none"/>
        </w:rPr>
        <w:t>项目名称：</w:t>
      </w:r>
    </w:p>
    <w:tbl>
      <w:tblPr>
        <w:tblStyle w:val="12"/>
        <w:tblW w:w="8901" w:type="dxa"/>
        <w:tblInd w:w="0" w:type="dxa"/>
        <w:tblLayout w:type="fixed"/>
        <w:tblCellMar>
          <w:top w:w="0" w:type="dxa"/>
          <w:left w:w="108" w:type="dxa"/>
          <w:bottom w:w="0" w:type="dxa"/>
          <w:right w:w="108" w:type="dxa"/>
        </w:tblCellMar>
      </w:tblPr>
      <w:tblGrid>
        <w:gridCol w:w="488"/>
        <w:gridCol w:w="896"/>
        <w:gridCol w:w="709"/>
        <w:gridCol w:w="993"/>
        <w:gridCol w:w="851"/>
        <w:gridCol w:w="849"/>
        <w:gridCol w:w="1134"/>
        <w:gridCol w:w="1131"/>
        <w:gridCol w:w="705"/>
        <w:gridCol w:w="1145"/>
      </w:tblGrid>
      <w:tr w14:paraId="7BA56BE9">
        <w:tblPrEx>
          <w:tblCellMar>
            <w:top w:w="0" w:type="dxa"/>
            <w:left w:w="108" w:type="dxa"/>
            <w:bottom w:w="0" w:type="dxa"/>
            <w:right w:w="108" w:type="dxa"/>
          </w:tblCellMar>
        </w:tblPrEx>
        <w:trPr>
          <w:trHeight w:val="850"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41F82FC0">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序号</w:t>
            </w:r>
          </w:p>
        </w:tc>
        <w:tc>
          <w:tcPr>
            <w:tcW w:w="896" w:type="dxa"/>
            <w:tcBorders>
              <w:top w:val="single" w:color="auto" w:sz="4" w:space="0"/>
              <w:left w:val="single" w:color="auto" w:sz="4" w:space="0"/>
              <w:bottom w:val="single" w:color="auto" w:sz="4" w:space="0"/>
              <w:right w:val="single" w:color="auto" w:sz="4" w:space="0"/>
            </w:tcBorders>
            <w:noWrap/>
            <w:vAlign w:val="center"/>
          </w:tcPr>
          <w:p w14:paraId="474629B4">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投标人</w:t>
            </w:r>
          </w:p>
        </w:tc>
        <w:tc>
          <w:tcPr>
            <w:tcW w:w="709" w:type="dxa"/>
            <w:tcBorders>
              <w:top w:val="single" w:color="auto" w:sz="4" w:space="0"/>
              <w:left w:val="single" w:color="auto" w:sz="4" w:space="0"/>
              <w:bottom w:val="single" w:color="auto" w:sz="4" w:space="0"/>
              <w:right w:val="single" w:color="auto" w:sz="4" w:space="0"/>
            </w:tcBorders>
            <w:noWrap/>
            <w:vAlign w:val="center"/>
          </w:tcPr>
          <w:p w14:paraId="2570A435">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密封情况</w:t>
            </w:r>
          </w:p>
        </w:tc>
        <w:tc>
          <w:tcPr>
            <w:tcW w:w="993" w:type="dxa"/>
            <w:tcBorders>
              <w:top w:val="single" w:color="auto" w:sz="4" w:space="0"/>
              <w:left w:val="single" w:color="auto" w:sz="4" w:space="0"/>
              <w:bottom w:val="single" w:color="auto" w:sz="4" w:space="0"/>
              <w:right w:val="single" w:color="auto" w:sz="4" w:space="0"/>
            </w:tcBorders>
            <w:noWrap/>
            <w:vAlign w:val="center"/>
          </w:tcPr>
          <w:p w14:paraId="0EC19842">
            <w:pPr>
              <w:keepNext w:val="0"/>
              <w:keepLines w:val="0"/>
              <w:suppressLineNumbers w:val="0"/>
              <w:spacing w:before="0" w:beforeAutospacing="0" w:after="0" w:afterAutospacing="0" w:line="276" w:lineRule="auto"/>
              <w:ind w:left="0" w:right="-13" w:rightChars="-6"/>
              <w:jc w:val="center"/>
              <w:rPr>
                <w:rFonts w:hint="default" w:ascii="宋体" w:hAnsi="宋体"/>
                <w:color w:val="auto"/>
                <w:highlight w:val="none"/>
              </w:rPr>
            </w:pPr>
            <w:r>
              <w:rPr>
                <w:rFonts w:hint="eastAsia" w:ascii="宋体" w:hAnsi="宋体"/>
                <w:color w:val="auto"/>
                <w:highlight w:val="none"/>
              </w:rPr>
              <w:t>投标报价（元）</w:t>
            </w:r>
          </w:p>
        </w:tc>
        <w:tc>
          <w:tcPr>
            <w:tcW w:w="851" w:type="dxa"/>
            <w:tcBorders>
              <w:top w:val="single" w:color="auto" w:sz="4" w:space="0"/>
              <w:left w:val="single" w:color="auto" w:sz="4" w:space="0"/>
              <w:bottom w:val="single" w:color="auto" w:sz="4" w:space="0"/>
              <w:right w:val="single" w:color="auto" w:sz="4" w:space="0"/>
            </w:tcBorders>
            <w:noWrap/>
            <w:vAlign w:val="center"/>
          </w:tcPr>
          <w:p w14:paraId="6BAE87E2">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总监理工程师</w:t>
            </w:r>
          </w:p>
        </w:tc>
        <w:tc>
          <w:tcPr>
            <w:tcW w:w="849" w:type="dxa"/>
            <w:tcBorders>
              <w:top w:val="single" w:color="auto" w:sz="4" w:space="0"/>
              <w:left w:val="single" w:color="auto" w:sz="4" w:space="0"/>
              <w:bottom w:val="single" w:color="auto" w:sz="4" w:space="0"/>
              <w:right w:val="single" w:color="auto" w:sz="4" w:space="0"/>
            </w:tcBorders>
            <w:noWrap/>
            <w:vAlign w:val="center"/>
          </w:tcPr>
          <w:p w14:paraId="3B1E45F5">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监理服务期限</w:t>
            </w:r>
          </w:p>
        </w:tc>
        <w:tc>
          <w:tcPr>
            <w:tcW w:w="1134" w:type="dxa"/>
            <w:tcBorders>
              <w:top w:val="single" w:color="auto" w:sz="4" w:space="0"/>
              <w:left w:val="single" w:color="auto" w:sz="4" w:space="0"/>
              <w:bottom w:val="single" w:color="auto" w:sz="4" w:space="0"/>
              <w:right w:val="single" w:color="auto" w:sz="4" w:space="0"/>
            </w:tcBorders>
            <w:noWrap/>
            <w:vAlign w:val="center"/>
          </w:tcPr>
          <w:p w14:paraId="72DCDA37">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投标文件递交情况</w:t>
            </w:r>
          </w:p>
        </w:tc>
        <w:tc>
          <w:tcPr>
            <w:tcW w:w="1131" w:type="dxa"/>
            <w:tcBorders>
              <w:top w:val="single" w:color="auto" w:sz="4" w:space="0"/>
              <w:left w:val="single" w:color="auto" w:sz="4" w:space="0"/>
              <w:bottom w:val="single" w:color="auto" w:sz="4" w:space="0"/>
              <w:right w:val="single" w:color="auto" w:sz="4" w:space="0"/>
            </w:tcBorders>
            <w:noWrap/>
            <w:vAlign w:val="center"/>
          </w:tcPr>
          <w:p w14:paraId="6B9C38AF">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投标文件解密情况</w:t>
            </w:r>
          </w:p>
        </w:tc>
        <w:tc>
          <w:tcPr>
            <w:tcW w:w="705" w:type="dxa"/>
            <w:tcBorders>
              <w:top w:val="single" w:color="auto" w:sz="4" w:space="0"/>
              <w:left w:val="single" w:color="auto" w:sz="4" w:space="0"/>
              <w:bottom w:val="single" w:color="auto" w:sz="4" w:space="0"/>
              <w:right w:val="single" w:color="auto" w:sz="4" w:space="0"/>
            </w:tcBorders>
            <w:noWrap/>
            <w:vAlign w:val="center"/>
          </w:tcPr>
          <w:p w14:paraId="7A8E3901">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备注</w:t>
            </w:r>
          </w:p>
        </w:tc>
        <w:tc>
          <w:tcPr>
            <w:tcW w:w="1145" w:type="dxa"/>
            <w:tcBorders>
              <w:top w:val="single" w:color="auto" w:sz="4" w:space="0"/>
              <w:left w:val="single" w:color="auto" w:sz="4" w:space="0"/>
              <w:bottom w:val="single" w:color="auto" w:sz="4" w:space="0"/>
              <w:right w:val="single" w:color="auto" w:sz="4" w:space="0"/>
            </w:tcBorders>
            <w:noWrap/>
            <w:vAlign w:val="center"/>
          </w:tcPr>
          <w:p w14:paraId="6CCE0A12">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投标人</w:t>
            </w:r>
          </w:p>
          <w:p w14:paraId="1F4B6F6F">
            <w:pPr>
              <w:keepNext w:val="0"/>
              <w:keepLines w:val="0"/>
              <w:suppressLineNumbers w:val="0"/>
              <w:spacing w:before="0" w:beforeAutospacing="0" w:after="0" w:afterAutospacing="0" w:line="276" w:lineRule="auto"/>
              <w:ind w:left="0" w:right="0"/>
              <w:jc w:val="center"/>
              <w:rPr>
                <w:rFonts w:hint="default" w:ascii="宋体" w:hAnsi="宋体"/>
                <w:color w:val="auto"/>
                <w:highlight w:val="none"/>
              </w:rPr>
            </w:pPr>
            <w:r>
              <w:rPr>
                <w:rFonts w:hint="eastAsia" w:ascii="宋体" w:hAnsi="宋体"/>
                <w:color w:val="auto"/>
                <w:highlight w:val="none"/>
              </w:rPr>
              <w:t>代表签名</w:t>
            </w:r>
          </w:p>
        </w:tc>
      </w:tr>
      <w:tr w14:paraId="429EF817">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41C34F9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A0EACB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584FBD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02BBCF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84D9CC7">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16D92D91">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4D1529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E2F828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228A5D6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E01A54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491CF3AC">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430EB9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C41536B">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A90F92B">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517DAF3">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958E07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3196B2F">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4308CF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F19C133">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E2870B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68F32E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475AA882">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532C10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45A4D0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0AD4A6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23BE92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594282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B98813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62F24FD1">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34B23D81">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3A0C3AF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0D8642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1B32338C">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6F9A699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E0C3EA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EAF062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B54012">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B7E55F3">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674FB38">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EC5716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2CC4A8D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6835C248">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AAFD24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57F662F4">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76C1410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3D2A9D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15EF06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472317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C0BCE2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512B748">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2B2AB5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B2123D3">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27A96D4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607E79C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621F7796">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6AAAB06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1E07A17">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34B53A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304B28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5AC07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3CEF6E0F">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E3573F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0A21AABF">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32C453D3">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E04373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479A4C37">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C40B5B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11D7742">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01D093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4D2AE1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066565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0474E268">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CF418FB">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C29894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010F7757">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F6A667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0195F4DB">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51F852B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2897ECF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C61D1A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DD5DA8E">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71EB251">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60AADD12">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6A8485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5750850F">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F30E73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0BB3D5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11DB2E05">
        <w:tblPrEx>
          <w:tblCellMar>
            <w:top w:w="0" w:type="dxa"/>
            <w:left w:w="108" w:type="dxa"/>
            <w:bottom w:w="0" w:type="dxa"/>
            <w:right w:w="108" w:type="dxa"/>
          </w:tblCellMar>
        </w:tblPrEx>
        <w:trPr>
          <w:trHeight w:val="502" w:hRule="atLeast"/>
        </w:trPr>
        <w:tc>
          <w:tcPr>
            <w:tcW w:w="488" w:type="dxa"/>
            <w:tcBorders>
              <w:top w:val="single" w:color="auto" w:sz="4" w:space="0"/>
              <w:left w:val="single" w:color="auto" w:sz="4" w:space="0"/>
              <w:bottom w:val="single" w:color="auto" w:sz="4" w:space="0"/>
              <w:right w:val="single" w:color="auto" w:sz="4" w:space="0"/>
            </w:tcBorders>
            <w:noWrap/>
            <w:vAlign w:val="center"/>
          </w:tcPr>
          <w:p w14:paraId="3623966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3266A6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908F0C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2EE711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58DFA2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73545CD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2D70BE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6A778EC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CED93CB">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BB102E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08C3B9AA">
        <w:tblPrEx>
          <w:tblCellMar>
            <w:top w:w="0" w:type="dxa"/>
            <w:left w:w="108" w:type="dxa"/>
            <w:bottom w:w="0" w:type="dxa"/>
            <w:right w:w="108" w:type="dxa"/>
          </w:tblCellMar>
        </w:tblPrEx>
        <w:tc>
          <w:tcPr>
            <w:tcW w:w="488" w:type="dxa"/>
            <w:tcBorders>
              <w:top w:val="single" w:color="auto" w:sz="4" w:space="0"/>
              <w:left w:val="single" w:color="auto" w:sz="4" w:space="0"/>
              <w:bottom w:val="single" w:color="auto" w:sz="4" w:space="0"/>
              <w:right w:val="single" w:color="auto" w:sz="4" w:space="0"/>
            </w:tcBorders>
            <w:noWrap/>
            <w:vAlign w:val="center"/>
          </w:tcPr>
          <w:p w14:paraId="04280DEC">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76DB759">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15ADEC2">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C63EBD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1FC69E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2FF20A2B">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C94F48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2339AB75">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5A70FEA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7B8A251F">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r w14:paraId="05EB05F0">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noWrap/>
            <w:vAlign w:val="center"/>
          </w:tcPr>
          <w:p w14:paraId="67AC4CA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r>
              <w:rPr>
                <w:rFonts w:hint="eastAsia" w:ascii="宋体" w:hAnsi="宋体"/>
                <w:color w:val="auto"/>
                <w:highlight w:val="none"/>
              </w:rPr>
              <w:t>最高投标限价：</w:t>
            </w:r>
          </w:p>
        </w:tc>
        <w:tc>
          <w:tcPr>
            <w:tcW w:w="993" w:type="dxa"/>
            <w:tcBorders>
              <w:top w:val="single" w:color="auto" w:sz="4" w:space="0"/>
              <w:left w:val="single" w:color="auto" w:sz="4" w:space="0"/>
              <w:bottom w:val="single" w:color="auto" w:sz="4" w:space="0"/>
              <w:right w:val="single" w:color="auto" w:sz="4" w:space="0"/>
            </w:tcBorders>
            <w:noWrap/>
            <w:vAlign w:val="center"/>
          </w:tcPr>
          <w:p w14:paraId="0FA8619A">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404FDE7">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849" w:type="dxa"/>
            <w:tcBorders>
              <w:top w:val="single" w:color="auto" w:sz="4" w:space="0"/>
              <w:left w:val="single" w:color="auto" w:sz="4" w:space="0"/>
              <w:bottom w:val="single" w:color="auto" w:sz="4" w:space="0"/>
              <w:right w:val="single" w:color="auto" w:sz="4" w:space="0"/>
            </w:tcBorders>
            <w:noWrap/>
            <w:vAlign w:val="center"/>
          </w:tcPr>
          <w:p w14:paraId="556A8D02">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55B8764">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31" w:type="dxa"/>
            <w:tcBorders>
              <w:top w:val="single" w:color="auto" w:sz="4" w:space="0"/>
              <w:left w:val="single" w:color="auto" w:sz="4" w:space="0"/>
              <w:bottom w:val="single" w:color="auto" w:sz="4" w:space="0"/>
              <w:right w:val="single" w:color="auto" w:sz="4" w:space="0"/>
            </w:tcBorders>
            <w:noWrap/>
            <w:vAlign w:val="center"/>
          </w:tcPr>
          <w:p w14:paraId="1AAE4D36">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4D13E7CD">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A061C80">
            <w:pPr>
              <w:keepNext w:val="0"/>
              <w:keepLines w:val="0"/>
              <w:suppressLineNumbers w:val="0"/>
              <w:spacing w:before="0" w:beforeAutospacing="0" w:after="0" w:afterAutospacing="0" w:line="500" w:lineRule="exact"/>
              <w:ind w:left="0" w:right="0"/>
              <w:jc w:val="center"/>
              <w:rPr>
                <w:rFonts w:hint="default" w:ascii="宋体" w:hAnsi="宋体"/>
                <w:color w:val="auto"/>
                <w:highlight w:val="none"/>
              </w:rPr>
            </w:pPr>
          </w:p>
        </w:tc>
      </w:tr>
    </w:tbl>
    <w:p w14:paraId="42197439">
      <w:pPr>
        <w:spacing w:line="440" w:lineRule="exact"/>
        <w:rPr>
          <w:rFonts w:ascii="宋体" w:hAnsi="宋体"/>
          <w:color w:val="auto"/>
          <w:highlight w:val="none"/>
        </w:rPr>
      </w:pPr>
    </w:p>
    <w:p w14:paraId="3F939373">
      <w:pPr>
        <w:spacing w:line="620" w:lineRule="exact"/>
        <w:rPr>
          <w:rFonts w:ascii="宋体" w:hAnsi="宋体"/>
          <w:color w:val="auto"/>
          <w:sz w:val="28"/>
          <w:szCs w:val="28"/>
          <w:highlight w:val="none"/>
        </w:rPr>
      </w:pPr>
      <w:r>
        <w:rPr>
          <w:rFonts w:hint="eastAsia" w:ascii="宋体" w:hAnsi="宋体"/>
          <w:color w:val="auto"/>
          <w:sz w:val="28"/>
          <w:szCs w:val="28"/>
          <w:highlight w:val="none"/>
        </w:rPr>
        <w:t>招标人代表：</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记录人：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ab/>
      </w:r>
      <w:r>
        <w:rPr>
          <w:rFonts w:hint="eastAsia" w:ascii="宋体" w:hAnsi="宋体"/>
          <w:color w:val="auto"/>
          <w:sz w:val="28"/>
          <w:szCs w:val="28"/>
          <w:highlight w:val="none"/>
        </w:rPr>
        <w:t xml:space="preserve"> 监标人：</w:t>
      </w:r>
      <w:r>
        <w:rPr>
          <w:rFonts w:hint="eastAsia" w:ascii="宋体" w:hAnsi="宋体"/>
          <w:color w:val="auto"/>
          <w:sz w:val="28"/>
          <w:szCs w:val="28"/>
          <w:highlight w:val="none"/>
          <w:u w:val="single"/>
        </w:rPr>
        <w:t xml:space="preserve">          </w:t>
      </w:r>
    </w:p>
    <w:p w14:paraId="14036A05">
      <w:pPr>
        <w:wordWrap w:val="0"/>
        <w:spacing w:line="620" w:lineRule="exact"/>
        <w:jc w:val="right"/>
        <w:rPr>
          <w:rFonts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32941FA7">
      <w:pPr>
        <w:rPr>
          <w:rFonts w:ascii="宋体" w:hAnsi="宋体"/>
          <w:color w:val="auto"/>
          <w:highlight w:val="none"/>
        </w:rPr>
      </w:pPr>
      <w:bookmarkStart w:id="328" w:name="_Toc529196577"/>
    </w:p>
    <w:p w14:paraId="0F8F5254">
      <w:pPr>
        <w:rPr>
          <w:rFonts w:ascii="宋体" w:hAnsi="宋体"/>
          <w:color w:val="auto"/>
          <w:highlight w:val="none"/>
        </w:rPr>
      </w:pPr>
    </w:p>
    <w:p w14:paraId="7897E997">
      <w:pPr>
        <w:spacing w:after="240"/>
        <w:rPr>
          <w:b/>
          <w:color w:val="auto"/>
          <w:sz w:val="28"/>
          <w:szCs w:val="20"/>
          <w:highlight w:val="none"/>
        </w:rPr>
      </w:pPr>
      <w:r>
        <w:rPr>
          <w:rFonts w:hint="eastAsia" w:ascii="宋体" w:hAnsi="宋体"/>
          <w:b/>
          <w:color w:val="auto"/>
          <w:sz w:val="28"/>
          <w:szCs w:val="20"/>
          <w:highlight w:val="none"/>
        </w:rPr>
        <w:br w:type="page"/>
      </w:r>
      <w:bookmarkStart w:id="329" w:name="_Toc530470625"/>
      <w:bookmarkStart w:id="330" w:name="_Toc535938715"/>
      <w:r>
        <w:rPr>
          <w:rFonts w:hint="eastAsia"/>
          <w:b/>
          <w:color w:val="auto"/>
          <w:sz w:val="28"/>
          <w:szCs w:val="20"/>
          <w:highlight w:val="none"/>
        </w:rPr>
        <w:t>附件二：问题澄清通知（按广州交易集团有限公司（广州公共资源交易中心）问题澄清通知格式）</w:t>
      </w:r>
      <w:bookmarkEnd w:id="328"/>
      <w:bookmarkEnd w:id="329"/>
      <w:bookmarkEnd w:id="330"/>
      <w:bookmarkStart w:id="331" w:name="_Toc152042355"/>
      <w:bookmarkStart w:id="332" w:name="_Toc144974546"/>
    </w:p>
    <w:p w14:paraId="6927D778">
      <w:pPr>
        <w:spacing w:after="240"/>
        <w:rPr>
          <w:b/>
          <w:color w:val="auto"/>
          <w:sz w:val="28"/>
          <w:szCs w:val="20"/>
          <w:highlight w:val="none"/>
        </w:rPr>
      </w:pPr>
      <w:bookmarkStart w:id="333" w:name="_Toc529196578"/>
      <w:bookmarkStart w:id="334" w:name="_Toc530470626"/>
      <w:bookmarkStart w:id="335" w:name="_Toc535938716"/>
      <w:r>
        <w:rPr>
          <w:rFonts w:hint="eastAsia"/>
          <w:b/>
          <w:color w:val="auto"/>
          <w:sz w:val="28"/>
          <w:szCs w:val="20"/>
          <w:highlight w:val="none"/>
        </w:rPr>
        <w:t>附件三：问题的澄清</w:t>
      </w:r>
      <w:bookmarkEnd w:id="331"/>
      <w:bookmarkStart w:id="336" w:name="_Toc384308263"/>
      <w:bookmarkStart w:id="337" w:name="_Toc361508637"/>
      <w:bookmarkStart w:id="338" w:name="_Toc369531568"/>
      <w:bookmarkStart w:id="339" w:name="_Toc3622"/>
      <w:bookmarkStart w:id="340" w:name="_Toc300834999"/>
      <w:bookmarkStart w:id="341" w:name="_Toc352691524"/>
      <w:bookmarkStart w:id="342" w:name="_Toc247527604"/>
      <w:bookmarkStart w:id="343" w:name="_Toc247514003"/>
      <w:bookmarkStart w:id="344" w:name="_Toc152045579"/>
      <w:bookmarkStart w:id="345" w:name="_Toc152042356"/>
      <w:r>
        <w:rPr>
          <w:rFonts w:hint="eastAsia"/>
          <w:b/>
          <w:color w:val="auto"/>
          <w:sz w:val="28"/>
          <w:szCs w:val="20"/>
          <w:highlight w:val="none"/>
        </w:rPr>
        <w:t>（按广州交易集团有限公司（广州公共资源交易中心）问题澄清格式）</w:t>
      </w:r>
      <w:bookmarkEnd w:id="333"/>
      <w:bookmarkEnd w:id="334"/>
      <w:bookmarkEnd w:id="335"/>
    </w:p>
    <w:bookmarkEnd w:id="332"/>
    <w:bookmarkEnd w:id="336"/>
    <w:bookmarkEnd w:id="337"/>
    <w:bookmarkEnd w:id="338"/>
    <w:bookmarkEnd w:id="339"/>
    <w:bookmarkEnd w:id="340"/>
    <w:bookmarkEnd w:id="341"/>
    <w:bookmarkEnd w:id="342"/>
    <w:bookmarkEnd w:id="343"/>
    <w:bookmarkEnd w:id="344"/>
    <w:bookmarkEnd w:id="345"/>
    <w:p w14:paraId="5BB2B6DF">
      <w:pPr>
        <w:spacing w:after="240"/>
        <w:rPr>
          <w:b/>
          <w:color w:val="auto"/>
          <w:sz w:val="28"/>
          <w:szCs w:val="20"/>
          <w:highlight w:val="none"/>
        </w:rPr>
      </w:pPr>
      <w:bookmarkStart w:id="346" w:name="_Toc492300623"/>
      <w:bookmarkStart w:id="347" w:name="_Toc535938718"/>
      <w:bookmarkStart w:id="348" w:name="_Toc530470627"/>
      <w:bookmarkStart w:id="349" w:name="_Toc529196579"/>
      <w:r>
        <w:rPr>
          <w:rFonts w:hint="eastAsia"/>
          <w:b/>
          <w:color w:val="auto"/>
          <w:sz w:val="28"/>
          <w:szCs w:val="20"/>
          <w:highlight w:val="none"/>
        </w:rPr>
        <w:t>附件四：中标通知书</w:t>
      </w:r>
      <w:bookmarkEnd w:id="346"/>
      <w:r>
        <w:rPr>
          <w:rFonts w:hint="eastAsia"/>
          <w:b/>
          <w:color w:val="auto"/>
          <w:sz w:val="28"/>
          <w:szCs w:val="20"/>
          <w:highlight w:val="none"/>
        </w:rPr>
        <w:t>（按广州交易集团有限公司（广州公共资源交易中心）中标通知书格式）</w:t>
      </w:r>
      <w:bookmarkEnd w:id="347"/>
      <w:bookmarkEnd w:id="348"/>
      <w:bookmarkEnd w:id="349"/>
    </w:p>
    <w:p w14:paraId="121F6790">
      <w:pPr>
        <w:spacing w:after="240"/>
        <w:rPr>
          <w:b/>
          <w:color w:val="auto"/>
          <w:sz w:val="28"/>
          <w:szCs w:val="20"/>
          <w:highlight w:val="none"/>
        </w:rPr>
      </w:pPr>
      <w:bookmarkStart w:id="350" w:name="_Toc492300625"/>
      <w:bookmarkStart w:id="351" w:name="_Toc492300624"/>
      <w:bookmarkStart w:id="352" w:name="_Toc529196580"/>
      <w:bookmarkStart w:id="353" w:name="_Toc530470628"/>
      <w:bookmarkStart w:id="354" w:name="_Toc535938719"/>
      <w:r>
        <w:rPr>
          <w:rFonts w:hint="eastAsia"/>
          <w:b/>
          <w:color w:val="auto"/>
          <w:sz w:val="28"/>
          <w:szCs w:val="20"/>
          <w:highlight w:val="none"/>
        </w:rPr>
        <w:t>附件五：</w:t>
      </w:r>
      <w:bookmarkEnd w:id="350"/>
      <w:r>
        <w:rPr>
          <w:rFonts w:hint="eastAsia"/>
          <w:b/>
          <w:color w:val="auto"/>
          <w:sz w:val="28"/>
          <w:szCs w:val="20"/>
          <w:highlight w:val="none"/>
        </w:rPr>
        <w:t>中标结果通知书</w:t>
      </w:r>
      <w:bookmarkEnd w:id="351"/>
      <w:r>
        <w:rPr>
          <w:rFonts w:hint="eastAsia"/>
          <w:b/>
          <w:color w:val="auto"/>
          <w:sz w:val="28"/>
          <w:szCs w:val="20"/>
          <w:highlight w:val="none"/>
        </w:rPr>
        <w:t>（按广州交易集团有限公司（广州公共资源交易中心）中标结果通知书格式）</w:t>
      </w:r>
      <w:bookmarkEnd w:id="352"/>
      <w:bookmarkEnd w:id="353"/>
      <w:bookmarkEnd w:id="354"/>
    </w:p>
    <w:p w14:paraId="3CE664A5">
      <w:pPr>
        <w:spacing w:after="240"/>
        <w:rPr>
          <w:rFonts w:hint="eastAsia"/>
          <w:b/>
          <w:color w:val="auto"/>
          <w:sz w:val="28"/>
          <w:szCs w:val="20"/>
          <w:highlight w:val="none"/>
        </w:rPr>
      </w:pPr>
      <w:r>
        <w:rPr>
          <w:rFonts w:hint="eastAsia"/>
          <w:b/>
          <w:color w:val="auto"/>
          <w:sz w:val="28"/>
          <w:szCs w:val="20"/>
          <w:highlight w:val="none"/>
        </w:rPr>
        <w:t>附件六：确认通知（按广州交易集团有限公司（广州公共资源交易中心）确认通知格式）</w:t>
      </w:r>
    </w:p>
    <w:p w14:paraId="650E1868">
      <w:pPr>
        <w:rPr>
          <w:rFonts w:hint="eastAsia"/>
          <w:b/>
          <w:color w:val="auto"/>
          <w:sz w:val="28"/>
          <w:szCs w:val="20"/>
          <w:highlight w:val="none"/>
        </w:rPr>
      </w:pPr>
      <w:r>
        <w:rPr>
          <w:rFonts w:hint="eastAsia"/>
          <w:b/>
          <w:color w:val="auto"/>
          <w:sz w:val="28"/>
          <w:szCs w:val="20"/>
          <w:highlight w:val="none"/>
        </w:rPr>
        <w:br w:type="page"/>
      </w:r>
    </w:p>
    <w:p w14:paraId="59846A25">
      <w:pPr>
        <w:spacing w:after="240"/>
        <w:rPr>
          <w:rFonts w:hint="eastAsia"/>
          <w:b/>
          <w:color w:val="auto"/>
          <w:sz w:val="28"/>
          <w:szCs w:val="20"/>
          <w:highlight w:val="none"/>
          <w:lang w:val="en-US" w:eastAsia="zh-CN"/>
        </w:rPr>
      </w:pPr>
      <w:r>
        <w:rPr>
          <w:rFonts w:hint="eastAsia"/>
          <w:b/>
          <w:color w:val="auto"/>
          <w:sz w:val="28"/>
          <w:szCs w:val="20"/>
          <w:highlight w:val="none"/>
          <w:lang w:val="en-US" w:eastAsia="zh-CN"/>
        </w:rPr>
        <w:t>附件七：</w:t>
      </w:r>
    </w:p>
    <w:p w14:paraId="25F2C8C6">
      <w:pPr>
        <w:spacing w:after="240"/>
        <w:jc w:val="center"/>
        <w:rPr>
          <w:rFonts w:hint="default" w:eastAsia="宋体"/>
          <w:b/>
          <w:color w:val="auto"/>
          <w:sz w:val="28"/>
          <w:szCs w:val="20"/>
          <w:highlight w:val="none"/>
          <w:lang w:val="en-US" w:eastAsia="zh-CN"/>
        </w:rPr>
      </w:pPr>
      <w:r>
        <w:rPr>
          <w:rFonts w:hint="eastAsia"/>
          <w:b/>
          <w:color w:val="auto"/>
          <w:sz w:val="28"/>
          <w:szCs w:val="20"/>
          <w:highlight w:val="none"/>
          <w:lang w:val="en-US" w:eastAsia="zh-CN"/>
        </w:rPr>
        <w:t>评标委员会成员声明</w:t>
      </w:r>
    </w:p>
    <w:p w14:paraId="2E407274">
      <w:pPr>
        <w:spacing w:beforeLines="0" w:line="379"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u w:val="single"/>
          <w:lang w:val="en-US"/>
        </w:rPr>
        <w:t xml:space="preserve"> 广州市重点公共建设项目管理中心 </w:t>
      </w:r>
      <w:r>
        <w:rPr>
          <w:rFonts w:hint="eastAsia" w:ascii="宋体" w:hAnsi="宋体" w:eastAsia="宋体" w:cs="宋体"/>
          <w:b/>
          <w:color w:val="auto"/>
          <w:szCs w:val="21"/>
          <w:highlight w:val="none"/>
          <w:lang w:eastAsia="zh-CN"/>
        </w:rPr>
        <w:t>：</w:t>
      </w:r>
    </w:p>
    <w:p w14:paraId="788A52CB">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本人就参与</w:t>
      </w:r>
      <w:r>
        <w:rPr>
          <w:rFonts w:hint="default" w:ascii="Calibri" w:hAnsi="Calibri" w:eastAsia="宋体" w:cs="Times New Roman"/>
          <w:color w:val="auto"/>
          <w:kern w:val="2"/>
          <w:sz w:val="22"/>
          <w:szCs w:val="21"/>
          <w:highlight w:val="none"/>
          <w:u w:val="single"/>
          <w:lang w:val="en-US" w:eastAsia="zh-CN" w:bidi="ar"/>
          <w14:ligatures w14:val="standardContextual"/>
        </w:rPr>
        <w:t xml:space="preserve"> </w:t>
      </w:r>
      <w:r>
        <w:rPr>
          <w:rFonts w:hint="eastAsia" w:cs="Times New Roman"/>
          <w:color w:val="auto"/>
          <w:kern w:val="2"/>
          <w:sz w:val="22"/>
          <w:szCs w:val="21"/>
          <w:highlight w:val="none"/>
          <w:u w:val="single"/>
          <w:lang w:val="en-US" w:eastAsia="zh-CN" w:bidi="ar"/>
          <w14:ligatures w14:val="standardContextual"/>
        </w:rPr>
        <w:t>华南理工大学大学城校区研究生宿舍（二期）施工监理</w:t>
      </w:r>
      <w:r>
        <w:rPr>
          <w:rFonts w:hint="default" w:ascii="Calibri" w:hAnsi="Calibri" w:eastAsia="宋体" w:cs="Times New Roman"/>
          <w:color w:val="auto"/>
          <w:kern w:val="2"/>
          <w:sz w:val="22"/>
          <w:szCs w:val="21"/>
          <w:highlight w:val="none"/>
          <w:u w:val="single"/>
          <w:lang w:val="en-US" w:eastAsia="zh-CN" w:bidi="ar"/>
          <w14:ligatures w14:val="standardContextual"/>
        </w:rPr>
        <w:t xml:space="preserve"> </w:t>
      </w:r>
      <w:r>
        <w:rPr>
          <w:rFonts w:hint="eastAsia" w:ascii="Calibri" w:hAnsi="Calibri" w:eastAsia="宋体" w:cs="宋体"/>
          <w:color w:val="auto"/>
          <w:kern w:val="2"/>
          <w:sz w:val="22"/>
          <w:szCs w:val="21"/>
          <w:highlight w:val="none"/>
          <w:lang w:val="en-US" w:eastAsia="zh-CN" w:bidi="ar"/>
          <w14:ligatures w14:val="standardContextual"/>
        </w:rPr>
        <w:t>项目的评标工作，作出郑重声明：</w:t>
      </w:r>
    </w:p>
    <w:p w14:paraId="71FC3852">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C8CD2CD">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D0ADA34">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8058BA3">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E8AA776">
      <w:pPr>
        <w:keepNext w:val="0"/>
        <w:keepLines w:val="0"/>
        <w:widowControl w:val="0"/>
        <w:suppressLineNumbers w:val="0"/>
        <w:adjustRightInd w:val="0"/>
        <w:snapToGrid w:val="0"/>
        <w:spacing w:before="0" w:beforeLines="0" w:beforeAutospacing="0" w:after="0" w:afterAutospacing="0" w:line="379" w:lineRule="exact"/>
        <w:ind w:left="0" w:right="0" w:firstLine="440" w:firstLineChars="200"/>
        <w:jc w:val="left"/>
        <w:rPr>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75E7A99">
      <w:pPr>
        <w:keepNext w:val="0"/>
        <w:keepLines w:val="0"/>
        <w:widowControl w:val="0"/>
        <w:suppressLineNumbers w:val="0"/>
        <w:adjustRightInd w:val="0"/>
        <w:snapToGrid w:val="0"/>
        <w:spacing w:before="0" w:beforeLines="0" w:beforeAutospacing="0" w:after="160" w:afterAutospacing="0" w:line="379" w:lineRule="exact"/>
        <w:ind w:left="0" w:right="0" w:firstLine="440" w:firstLineChars="200"/>
        <w:jc w:val="left"/>
        <w:rPr>
          <w:b/>
          <w:color w:val="auto"/>
          <w:szCs w:val="21"/>
          <w:highlight w:val="none"/>
          <w:lang w:val="en-US"/>
        </w:rPr>
      </w:pPr>
      <w:r>
        <w:rPr>
          <w:rFonts w:hint="eastAsia" w:ascii="Calibri" w:hAnsi="Calibri" w:eastAsia="宋体" w:cs="宋体"/>
          <w:color w:val="auto"/>
          <w:kern w:val="2"/>
          <w:sz w:val="22"/>
          <w:szCs w:val="21"/>
          <w:highlight w:val="none"/>
          <w:lang w:val="en-US" w:eastAsia="zh-CN" w:bidi="ar"/>
          <w14:ligatures w14:val="standardContextual"/>
        </w:rPr>
        <w:t>如果本人违反上述声明内容，造成的后果由本人自行承担。</w:t>
      </w:r>
      <w:r>
        <w:rPr>
          <w:rFonts w:hint="default" w:ascii="Calibri" w:hAnsi="Calibri" w:eastAsia="宋体" w:cs="Times New Roman"/>
          <w:color w:val="auto"/>
          <w:kern w:val="2"/>
          <w:sz w:val="22"/>
          <w:szCs w:val="21"/>
          <w:highlight w:val="none"/>
          <w:lang w:val="en-US" w:eastAsia="zh-CN" w:bidi="ar"/>
          <w14:ligatures w14:val="standardContextual"/>
        </w:rPr>
        <w:t xml:space="preserve">   </w:t>
      </w:r>
      <w:r>
        <w:rPr>
          <w:rFonts w:hint="default" w:ascii="Calibri" w:hAnsi="Calibri" w:eastAsia="宋体" w:cs="Times New Roman"/>
          <w:b/>
          <w:color w:val="auto"/>
          <w:kern w:val="2"/>
          <w:sz w:val="22"/>
          <w:szCs w:val="21"/>
          <w:highlight w:val="none"/>
          <w:lang w:val="en-US" w:eastAsia="zh-CN" w:bidi="ar"/>
          <w14:ligatures w14:val="standardContextual"/>
        </w:rPr>
        <w:t xml:space="preserve">                          </w:t>
      </w:r>
    </w:p>
    <w:p w14:paraId="66B53814">
      <w:pPr>
        <w:wordWrap w:val="0"/>
        <w:spacing w:beforeLines="0" w:line="379" w:lineRule="exact"/>
        <w:jc w:val="righ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声明人：</w:t>
      </w:r>
      <w:r>
        <w:rPr>
          <w:rFonts w:hint="eastAsia" w:ascii="宋体" w:hAnsi="宋体" w:eastAsia="宋体" w:cs="宋体"/>
          <w:b/>
          <w:color w:val="auto"/>
          <w:szCs w:val="21"/>
          <w:highlight w:val="none"/>
          <w:u w:val="single"/>
          <w:lang w:eastAsia="zh-CN"/>
        </w:rPr>
        <w:t xml:space="preserve"> （签名）</w:t>
      </w:r>
      <w:r>
        <w:rPr>
          <w:rFonts w:hint="eastAsia" w:ascii="宋体" w:hAnsi="宋体" w:cs="宋体"/>
          <w:b/>
          <w:color w:val="auto"/>
          <w:szCs w:val="21"/>
          <w:highlight w:val="none"/>
          <w:u w:val="single"/>
          <w:lang w:val="en-US" w:eastAsia="zh-CN"/>
        </w:rPr>
        <w:t xml:space="preserve">            </w:t>
      </w:r>
    </w:p>
    <w:p w14:paraId="105A2057">
      <w:pPr>
        <w:rPr>
          <w:rFonts w:ascii="宋体" w:hAnsi="宋体"/>
          <w:color w:val="auto"/>
          <w:highlight w:val="none"/>
        </w:rPr>
      </w:pPr>
    </w:p>
    <w:p w14:paraId="740520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b/>
          <w:color w:val="auto"/>
          <w:kern w:val="44"/>
          <w:sz w:val="44"/>
          <w:szCs w:val="20"/>
          <w:highlight w:val="none"/>
        </w:rPr>
      </w:pPr>
      <w:r>
        <w:rPr>
          <w:rFonts w:hint="eastAsia" w:ascii="宋体" w:hAnsi="宋体"/>
          <w:color w:val="auto"/>
          <w:kern w:val="44"/>
          <w:sz w:val="44"/>
          <w:szCs w:val="20"/>
          <w:highlight w:val="none"/>
        </w:rPr>
        <w:br w:type="page"/>
      </w:r>
      <w:bookmarkStart w:id="355" w:name="_Toc1233"/>
      <w:r>
        <w:rPr>
          <w:rFonts w:hint="eastAsia" w:ascii="宋体" w:hAnsi="宋体"/>
          <w:b/>
          <w:color w:val="auto"/>
          <w:kern w:val="44"/>
          <w:sz w:val="44"/>
          <w:szCs w:val="20"/>
          <w:highlight w:val="none"/>
        </w:rPr>
        <w:t>第三章 评标办法（“评定分离”定标办法）</w:t>
      </w:r>
      <w:bookmarkEnd w:id="355"/>
    </w:p>
    <w:p w14:paraId="1583D17F">
      <w:pPr>
        <w:spacing w:line="360" w:lineRule="auto"/>
        <w:ind w:left="118"/>
        <w:jc w:val="center"/>
        <w:outlineLvl w:val="2"/>
        <w:rPr>
          <w:rFonts w:hint="eastAsia" w:ascii="宋体" w:hAnsi="宋体" w:eastAsia="黑体" w:cs="宋体"/>
          <w:b/>
          <w:bCs/>
          <w:color w:val="auto"/>
          <w:kern w:val="0"/>
          <w:sz w:val="32"/>
          <w:szCs w:val="32"/>
          <w:highlight w:val="none"/>
        </w:rPr>
      </w:pPr>
      <w:bookmarkStart w:id="356" w:name="_Toc8656911"/>
      <w:bookmarkStart w:id="357" w:name="_Toc11850344"/>
      <w:r>
        <w:rPr>
          <w:rFonts w:hint="eastAsia" w:ascii="宋体" w:hAnsi="宋体" w:eastAsia="黑体" w:cs="宋体"/>
          <w:b/>
          <w:bCs/>
          <w:color w:val="auto"/>
          <w:kern w:val="0"/>
          <w:sz w:val="32"/>
          <w:szCs w:val="32"/>
          <w:highlight w:val="none"/>
        </w:rPr>
        <w:t>评标办法前附表</w:t>
      </w:r>
    </w:p>
    <w:tbl>
      <w:tblPr>
        <w:tblStyle w:val="12"/>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92"/>
        <w:gridCol w:w="1158"/>
        <w:gridCol w:w="1986"/>
        <w:gridCol w:w="5426"/>
      </w:tblGrid>
      <w:tr w14:paraId="3270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645B5D4">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条款号</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2CD4093">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评审因素</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545558">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评审标准</w:t>
            </w:r>
          </w:p>
        </w:tc>
      </w:tr>
      <w:tr w14:paraId="6D23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1974709">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4241971">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评标方法</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0673D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中标候选人排序方法</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8A67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Times New Roman"/>
                <w:color w:val="auto"/>
                <w:kern w:val="2"/>
                <w:sz w:val="21"/>
                <w:szCs w:val="21"/>
                <w:highlight w:val="none"/>
              </w:rPr>
            </w:pPr>
            <w:r>
              <w:rPr>
                <w:rFonts w:hint="eastAsia" w:ascii="宋体" w:hAnsi="宋体" w:cs="宋体"/>
                <w:color w:val="auto"/>
                <w:highlight w:val="none"/>
                <w:u w:val="single"/>
              </w:rPr>
              <w:t>本项目采用评定分离定标办法，其中：评标采用“通过制”评标办法，</w:t>
            </w:r>
            <w:r>
              <w:rPr>
                <w:rFonts w:hint="eastAsia"/>
                <w:color w:val="auto"/>
                <w:szCs w:val="21"/>
                <w:highlight w:val="none"/>
                <w:u w:val="single"/>
              </w:rPr>
              <w:t>所有通过初步评审</w:t>
            </w:r>
            <w:r>
              <w:rPr>
                <w:rFonts w:hint="eastAsia" w:ascii="宋体" w:hAnsi="宋体" w:cs="宋体"/>
                <w:color w:val="auto"/>
                <w:highlight w:val="none"/>
                <w:u w:val="single"/>
              </w:rPr>
              <w:t>（形式评审、资格评审、响应性评审）的</w:t>
            </w:r>
            <w:r>
              <w:rPr>
                <w:rFonts w:hint="eastAsia"/>
                <w:color w:val="auto"/>
                <w:szCs w:val="21"/>
                <w:highlight w:val="none"/>
                <w:u w:val="single"/>
              </w:rPr>
              <w:t>投标人全部被推荐为合格的中标候选人，进入定标阶段</w:t>
            </w:r>
            <w:r>
              <w:rPr>
                <w:rFonts w:hint="eastAsia" w:ascii="宋体" w:hAnsi="宋体"/>
                <w:color w:val="auto"/>
                <w:highlight w:val="none"/>
                <w:u w:val="single"/>
              </w:rPr>
              <w:t>【合格的中标候选人按其统一社会信用代码后4位（除校验码外）从大到小进行排位，不排序（如统一社会信用代码后4位出现字母情况的，字母以“0”进行代替大小排位；如出现后4位（除校验码外）大小一致的，则随机排位）】</w:t>
            </w:r>
            <w:r>
              <w:rPr>
                <w:rFonts w:hint="eastAsia"/>
                <w:color w:val="auto"/>
                <w:szCs w:val="21"/>
                <w:highlight w:val="none"/>
                <w:u w:val="single"/>
              </w:rPr>
              <w:t>。</w:t>
            </w:r>
          </w:p>
        </w:tc>
      </w:tr>
      <w:tr w14:paraId="77C0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47A4D58">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1B7FFE8">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形式评审标准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64E4FB">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投标人名称</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166DAF">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与营业执照、资质证书一致。</w:t>
            </w:r>
          </w:p>
        </w:tc>
      </w:tr>
      <w:tr w14:paraId="3511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10878E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DE19CD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CF36A9C">
            <w:pPr>
              <w:keepNext w:val="0"/>
              <w:keepLines w:val="0"/>
              <w:widowControl w:val="0"/>
              <w:suppressLineNumbers w:val="0"/>
              <w:spacing w:before="0" w:beforeAutospacing="0" w:after="0" w:afterAutospacing="0"/>
              <w:ind w:left="0" w:right="0"/>
              <w:jc w:val="center"/>
              <w:rPr>
                <w:rFonts w:hint="eastAsia" w:ascii="宋体" w:hAnsi="宋体" w:eastAsia="宋体" w:cs="宋体"/>
                <w:strike/>
                <w:color w:val="auto"/>
                <w:kern w:val="0"/>
                <w:sz w:val="21"/>
                <w:szCs w:val="21"/>
                <w:highlight w:val="none"/>
                <w:lang w:val="en-US" w:eastAsia="zh-CN" w:bidi="ar"/>
              </w:rPr>
            </w:pPr>
            <w:r>
              <w:rPr>
                <w:rFonts w:hint="eastAsia" w:ascii="宋体" w:hAnsi="宋体" w:eastAsia="宋体" w:cs="宋体"/>
                <w:strike w:val="0"/>
                <w:color w:val="auto"/>
                <w:kern w:val="0"/>
                <w:sz w:val="21"/>
                <w:szCs w:val="21"/>
                <w:highlight w:val="none"/>
                <w:lang w:val="en-US" w:eastAsia="zh-CN" w:bidi="ar"/>
              </w:rPr>
              <w:t>法定代表人身份证明及授权委托书</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606C3E">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由法定代表人签字（或盖章）的，应附法定代表人身份证明；由被授权人签字（或盖章）的，应附授权委托书、法定代表人身份证明。</w:t>
            </w:r>
          </w:p>
        </w:tc>
      </w:tr>
      <w:tr w14:paraId="60AB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0231CE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51A2E7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891890">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投标文件格式</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605356">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u w:val="single"/>
              </w:rPr>
            </w:pPr>
            <w:r>
              <w:rPr>
                <w:rFonts w:hint="eastAsia" w:ascii="宋体" w:hAnsi="宋体" w:eastAsia="宋体" w:cs="宋体"/>
                <w:color w:val="auto"/>
                <w:kern w:val="0"/>
                <w:sz w:val="21"/>
                <w:szCs w:val="21"/>
                <w:highlight w:val="none"/>
                <w:u w:val="single"/>
                <w:lang w:val="en-US" w:eastAsia="zh-CN" w:bidi="ar"/>
              </w:rPr>
              <w:t>符合第六章“投标文件格式”格式一、格式七中的①、②、③、④、⑤的规定。</w:t>
            </w:r>
          </w:p>
        </w:tc>
      </w:tr>
      <w:tr w14:paraId="7DB4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D21E6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CAB2E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719AE7">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spacing w:val="-7"/>
                <w:kern w:val="2"/>
                <w:sz w:val="21"/>
                <w:szCs w:val="21"/>
                <w:highlight w:val="none"/>
                <w:lang w:val="en-US" w:eastAsia="zh-CN" w:bidi="ar"/>
              </w:rPr>
              <w:t>备选投标方案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8467D0C">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不接受备选投标方案。</w:t>
            </w:r>
          </w:p>
        </w:tc>
      </w:tr>
      <w:tr w14:paraId="77AC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97D050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E4842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4E6B98E">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B2112C">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u w:val="single"/>
                <w:lang w:val="en-US" w:eastAsia="zh-CN" w:bidi="ar"/>
              </w:rPr>
              <w:t>不接受联合体投标。</w:t>
            </w:r>
          </w:p>
        </w:tc>
      </w:tr>
      <w:tr w14:paraId="1BFD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BE163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3F491F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48A1F32">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投标人机器码</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A60110">
            <w:pPr>
              <w:keepNext w:val="0"/>
              <w:keepLines w:val="0"/>
              <w:widowControl/>
              <w:suppressLineNumbers w:val="0"/>
              <w:spacing w:before="0" w:beforeAutospacing="0" w:after="0" w:afterAutospacing="0"/>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本项目</w:t>
            </w:r>
            <w:r>
              <w:rPr>
                <w:rFonts w:hint="eastAsia" w:ascii="宋体" w:hAnsi="宋体" w:eastAsia="宋体" w:cs="宋体"/>
                <w:color w:val="auto"/>
                <w:kern w:val="0"/>
                <w:sz w:val="21"/>
                <w:szCs w:val="21"/>
                <w:highlight w:val="none"/>
                <w:lang w:val="en-US" w:eastAsia="zh-CN" w:bidi="ar"/>
              </w:rPr>
              <w:t>不同投标人机器码相同，视为不合格。</w:t>
            </w:r>
          </w:p>
        </w:tc>
      </w:tr>
      <w:tr w14:paraId="5522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64B65AA">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0D531F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资格评审标准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4D42E76">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营业执照</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1AE791">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符合第二章“投标人须知”第3.5.1项规定，具备有效的营业执照。</w:t>
            </w:r>
          </w:p>
        </w:tc>
      </w:tr>
      <w:tr w14:paraId="7C7A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90DAD6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C5934D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1990C9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资质要求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8E7406">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2DFE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130F0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E3B9C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1B958B4">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财务要求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41A15A5">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057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80248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1F8A6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FC560E4">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业绩要求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755BF4">
            <w:pPr>
              <w:keepNext w:val="0"/>
              <w:keepLines w:val="0"/>
              <w:widowControl w:val="0"/>
              <w:suppressLineNumbers w:val="0"/>
              <w:spacing w:before="0" w:beforeAutospacing="0" w:after="0" w:afterAutospacing="0"/>
              <w:ind w:left="0" w:right="0"/>
              <w:jc w:val="both"/>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7B23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C16AE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A9148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BEB4E88">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信誉要求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E424F07">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3B5A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34B17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658BAF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7F013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总监理工程师</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51D158">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6DE9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3CD9F6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CF9CA8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D8B6D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其他主要人员</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6F2CDA">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1FD2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AFF209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E6C91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27D9F17">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试验检测仪器设备</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3E886C2">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w:t>
            </w:r>
          </w:p>
        </w:tc>
      </w:tr>
      <w:tr w14:paraId="01B5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689A06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ECB16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74B1F5">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其他要求</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46331DF">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符合第二章“投标人须知”第1.4.1项规定</w:t>
            </w:r>
          </w:p>
        </w:tc>
      </w:tr>
      <w:tr w14:paraId="7F3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C9A06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EAB15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7A0AF5">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联合体投标人</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F55FD5">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符合第二章“投标人须知”第1.4.2项规定</w:t>
            </w:r>
          </w:p>
        </w:tc>
      </w:tr>
      <w:tr w14:paraId="465F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A0044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73996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E73ECFA">
            <w:pPr>
              <w:keepNext w:val="0"/>
              <w:keepLines w:val="0"/>
              <w:widowControl/>
              <w:suppressLineNumbers w:val="0"/>
              <w:spacing w:before="0" w:beforeAutospacing="0" w:after="0" w:afterAutospacing="0"/>
              <w:ind w:left="0" w:right="0"/>
              <w:jc w:val="center"/>
              <w:rPr>
                <w:rFonts w:hint="eastAsia" w:ascii="宋体" w:hAnsi="宋体" w:eastAsia="宋体" w:cs="楷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不存在禁止</w:t>
            </w:r>
          </w:p>
          <w:p w14:paraId="2FD063B3">
            <w:pPr>
              <w:keepNext w:val="0"/>
              <w:keepLines w:val="0"/>
              <w:widowControl/>
              <w:suppressLineNumbers w:val="0"/>
              <w:spacing w:before="0" w:beforeAutospacing="0" w:after="0" w:afterAutospacing="0"/>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投标的情形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2DAB3E">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不存在第二章“投标人须知”第1.4.3项规定的任何一种情形</w:t>
            </w:r>
          </w:p>
        </w:tc>
      </w:tr>
      <w:tr w14:paraId="3F8A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610B471">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DF80893">
            <w:pPr>
              <w:keepNext w:val="0"/>
              <w:keepLines w:val="0"/>
              <w:widowControl/>
              <w:suppressLineNumbers w:val="0"/>
              <w:spacing w:before="0" w:beforeAutospacing="1" w:after="0" w:afterAutospacing="1"/>
              <w:ind w:left="0" w:right="0"/>
              <w:jc w:val="center"/>
              <w:rPr>
                <w:rFonts w:hint="eastAsia" w:ascii="宋体" w:hAnsi="宋体" w:eastAsia="宋体" w:cs="楷体"/>
                <w:strike/>
                <w:dstrike w:val="0"/>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响应性评审标准</w:t>
            </w: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E31CFAD">
            <w:pPr>
              <w:keepNext w:val="0"/>
              <w:keepLines w:val="0"/>
              <w:widowControl/>
              <w:suppressLineNumbers w:val="0"/>
              <w:spacing w:before="0" w:beforeAutospacing="1" w:after="0" w:afterAutospacing="1"/>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14:paraId="0359DE9F">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投标文件所列投标人名称、项目（总监）负责人与投标登记时一致；</w:t>
            </w:r>
          </w:p>
        </w:tc>
      </w:tr>
      <w:tr w14:paraId="0253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27145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85F4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68A345">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投标报价</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287609">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符合第二章“投标人须知”第3.2款规定，对同一招标项目没有出现：两个或以上的投标报价且修正无依据；</w:t>
            </w:r>
          </w:p>
        </w:tc>
      </w:tr>
      <w:tr w14:paraId="6FB6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ADE5C7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EE6172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B6186E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投标内容</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75144B">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符合第二章“投标人须知”第1.3.1项规定，投标文件按规定的格式填写，内容齐全或关键字迹清晰、容易辩认。</w:t>
            </w:r>
          </w:p>
        </w:tc>
      </w:tr>
      <w:tr w14:paraId="4939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CD73C4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39E26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8A466DF">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监理服务期限</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4BC9D5">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符合第二章“投标人须知”第1.3.2项规定</w:t>
            </w:r>
          </w:p>
        </w:tc>
      </w:tr>
      <w:tr w14:paraId="29B3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57C07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72C3C3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420FDB3">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质量标准</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205E1A6">
            <w:pPr>
              <w:keepNext w:val="0"/>
              <w:keepLines w:val="0"/>
              <w:widowControl/>
              <w:suppressLineNumbers w:val="0"/>
              <w:spacing w:before="0" w:beforeAutospacing="1" w:after="0" w:afterAutospacing="1"/>
              <w:ind w:left="0" w:right="0"/>
              <w:jc w:val="left"/>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符合第二章“投标人须知”第1.3.3项规定</w:t>
            </w:r>
          </w:p>
        </w:tc>
      </w:tr>
      <w:tr w14:paraId="3E33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589C4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78E8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086CB7">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投标有效期</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16A3BC5">
            <w:pPr>
              <w:keepNext w:val="0"/>
              <w:keepLines w:val="0"/>
              <w:widowControl/>
              <w:suppressLineNumbers w:val="0"/>
              <w:spacing w:before="0" w:beforeAutospacing="1" w:after="0" w:afterAutospacing="1"/>
              <w:ind w:left="0" w:right="0"/>
              <w:jc w:val="both"/>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符合第二章“投标人须知”第3.3.1项规定</w:t>
            </w:r>
          </w:p>
        </w:tc>
      </w:tr>
      <w:tr w14:paraId="6451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4C70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7DD7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98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DDE3DAB">
            <w:pPr>
              <w:keepNext w:val="0"/>
              <w:keepLines w:val="0"/>
              <w:widowControl/>
              <w:suppressLineNumbers w:val="0"/>
              <w:spacing w:before="0" w:beforeAutospacing="1" w:after="0" w:afterAutospacing="1"/>
              <w:ind w:left="0" w:right="0"/>
              <w:jc w:val="center"/>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串通投标情形</w:t>
            </w:r>
          </w:p>
        </w:tc>
        <w:tc>
          <w:tcPr>
            <w:tcW w:w="542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D66AFA2">
            <w:pPr>
              <w:keepNext w:val="0"/>
              <w:keepLines w:val="0"/>
              <w:widowControl/>
              <w:suppressLineNumbers w:val="0"/>
              <w:spacing w:before="0" w:beforeAutospacing="1" w:after="0" w:afterAutospacing="1"/>
              <w:ind w:left="0" w:right="0"/>
              <w:jc w:val="both"/>
              <w:rPr>
                <w:rFonts w:hint="eastAsia" w:ascii="宋体" w:hAnsi="宋体" w:eastAsia="宋体" w:cs="楷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不存在串通投标情形（串通投标情形以《广东省实施&lt;中华人民共和国招标投标法&gt;</w:t>
            </w:r>
            <w:r>
              <w:rPr>
                <w:rFonts w:hint="eastAsia" w:ascii="宋体" w:hAnsi="宋体" w:cs="宋体"/>
                <w:color w:val="auto"/>
                <w:kern w:val="0"/>
                <w:sz w:val="21"/>
                <w:szCs w:val="21"/>
                <w:highlight w:val="none"/>
                <w:u w:val="single"/>
                <w:lang w:val="en-US" w:eastAsia="zh-CN" w:bidi="ar"/>
              </w:rPr>
              <w:t>办法</w:t>
            </w:r>
            <w:r>
              <w:rPr>
                <w:rFonts w:hint="eastAsia" w:ascii="宋体" w:hAnsi="宋体" w:eastAsia="宋体" w:cs="宋体"/>
                <w:color w:val="auto"/>
                <w:kern w:val="0"/>
                <w:sz w:val="21"/>
                <w:szCs w:val="21"/>
                <w:highlight w:val="none"/>
                <w:lang w:val="en-US" w:eastAsia="zh-CN" w:bidi="ar"/>
              </w:rPr>
              <w:t>》第十六条的规定为准）。</w:t>
            </w:r>
          </w:p>
        </w:tc>
      </w:tr>
      <w:tr w14:paraId="2999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E149A06">
            <w:pPr>
              <w:keepNext w:val="0"/>
              <w:keepLines w:val="0"/>
              <w:widowControl w:val="0"/>
              <w:suppressLineNumbers w:val="0"/>
              <w:spacing w:before="0" w:beforeAutospacing="0" w:after="0" w:afterAutospacing="0"/>
              <w:ind w:left="0" w:right="0"/>
              <w:jc w:val="center"/>
              <w:rPr>
                <w:rFonts w:hint="default"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8C5192">
            <w:pPr>
              <w:keepNext w:val="0"/>
              <w:keepLines w:val="0"/>
              <w:suppressLineNumbers w:val="0"/>
              <w:spacing w:before="0" w:beforeAutospacing="0" w:after="0" w:afterAutospacing="0" w:line="240" w:lineRule="auto"/>
              <w:ind w:left="0" w:right="0" w:firstLine="0" w:firstLineChars="0"/>
              <w:rPr>
                <w:rFonts w:hint="eastAsia" w:ascii="宋体" w:hAnsi="宋体" w:cs="宋体"/>
                <w:b w:val="0"/>
                <w:bCs/>
                <w:strike w:val="0"/>
                <w:color w:val="auto"/>
                <w:kern w:val="0"/>
                <w:szCs w:val="21"/>
                <w:highlight w:val="none"/>
                <w:lang w:bidi="ar"/>
              </w:rPr>
            </w:pPr>
            <w:r>
              <w:rPr>
                <w:rFonts w:hint="eastAsia" w:ascii="宋体" w:hAnsi="宋体" w:cs="宋体"/>
                <w:bCs/>
                <w:color w:val="auto"/>
                <w:kern w:val="0"/>
                <w:szCs w:val="21"/>
                <w:highlight w:val="none"/>
                <w:lang w:bidi="ar"/>
              </w:rPr>
              <w:t xml:space="preserve">3.4.1 </w:t>
            </w:r>
            <w:r>
              <w:rPr>
                <w:rFonts w:hint="eastAsia" w:ascii="宋体" w:hAnsi="宋体" w:cs="宋体"/>
                <w:bCs/>
                <w:color w:val="auto"/>
                <w:kern w:val="0"/>
                <w:szCs w:val="21"/>
                <w:highlight w:val="none"/>
                <w:u w:val="none"/>
                <w:lang w:bidi="ar"/>
              </w:rPr>
              <w:t>评标委员会按照招标文件规定完成初步评审（形式评审、资格评审、响应性评审），向招标人推荐合格的中标候选人，进入定标阶段【合格的中标候选人按其统一社会信用代码后4位（除校验码外）从大到小进行排位，不排序（如统一社会信用代码后4位出现字母情况的，字母以“0”进行代替大小排位；如出现后4位（除校验码外）大小一致的，则随机排位）】。合格的中标候选人少于3家的，应当重新招标。</w:t>
            </w:r>
          </w:p>
          <w:p w14:paraId="4C444346">
            <w:pPr>
              <w:keepNext w:val="0"/>
              <w:keepLines w:val="0"/>
              <w:widowControl/>
              <w:suppressLineNumbers w:val="0"/>
              <w:spacing w:before="0" w:beforeAutospacing="0" w:after="0" w:afterAutospacing="0"/>
              <w:ind w:left="0" w:right="0"/>
              <w:jc w:val="left"/>
              <w:rPr>
                <w:rFonts w:hint="default" w:ascii="宋体" w:hAnsi="宋体" w:eastAsia="宋体" w:cs="Times New Roman"/>
                <w:color w:val="auto"/>
                <w:kern w:val="2"/>
                <w:sz w:val="21"/>
                <w:szCs w:val="21"/>
                <w:highlight w:val="none"/>
              </w:rPr>
            </w:pPr>
            <w:r>
              <w:rPr>
                <w:rFonts w:hint="eastAsia" w:ascii="宋体" w:hAnsi="宋体" w:cs="宋体"/>
                <w:bCs/>
                <w:color w:val="auto"/>
                <w:kern w:val="0"/>
                <w:szCs w:val="21"/>
                <w:highlight w:val="none"/>
                <w:lang w:bidi="ar"/>
              </w:rPr>
              <w:t xml:space="preserve">3.4.2 </w:t>
            </w:r>
            <w:r>
              <w:rPr>
                <w:rFonts w:hint="eastAsia" w:ascii="宋体" w:hAnsi="宋体" w:cs="宋体"/>
                <w:bCs/>
                <w:color w:val="auto"/>
                <w:kern w:val="0"/>
                <w:szCs w:val="21"/>
                <w:highlight w:val="none"/>
                <w:u w:val="none"/>
                <w:lang w:bidi="ar"/>
              </w:rPr>
              <w:t>评标委员会完成评标后，应当向招标人提交书面评标报告和合格的中标候选人名单</w:t>
            </w:r>
            <w:r>
              <w:rPr>
                <w:rFonts w:hint="eastAsia" w:ascii="宋体" w:hAnsi="宋体" w:cs="宋体"/>
                <w:bCs/>
                <w:color w:val="auto"/>
                <w:kern w:val="0"/>
                <w:szCs w:val="21"/>
                <w:highlight w:val="none"/>
                <w:lang w:bidi="ar"/>
              </w:rPr>
              <w:t>。</w:t>
            </w:r>
          </w:p>
        </w:tc>
      </w:tr>
      <w:tr w14:paraId="1E90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1B64A508">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auto"/>
                <w:kern w:val="0"/>
                <w:sz w:val="21"/>
                <w:szCs w:val="21"/>
                <w:highlight w:val="none"/>
              </w:rPr>
            </w:pPr>
            <w:r>
              <w:rPr>
                <w:rFonts w:hint="default" w:ascii="Calibri" w:hAnsi="Calibri" w:eastAsia="宋体" w:cs="Calibri"/>
                <w:color w:val="auto"/>
                <w:kern w:val="2"/>
                <w:sz w:val="21"/>
                <w:szCs w:val="21"/>
                <w:highlight w:val="none"/>
                <w:lang w:val="en-US" w:eastAsia="zh-CN" w:bidi="ar"/>
              </w:rPr>
              <w:t>4</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253206D5">
            <w:pPr>
              <w:keepNext w:val="0"/>
              <w:keepLines w:val="0"/>
              <w:widowControl/>
              <w:suppressLineNumbers w:val="0"/>
              <w:spacing w:before="0" w:beforeAutospacing="0" w:after="0" w:afterAutospacing="0" w:line="400" w:lineRule="exact"/>
              <w:ind w:left="0" w:right="0"/>
              <w:jc w:val="center"/>
              <w:rPr>
                <w:rFonts w:hint="default" w:ascii="宋体" w:hAnsi="宋体" w:eastAsia="宋体" w:cs="楷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定标</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D6FE24">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1.定标委员会的组成</w:t>
            </w:r>
          </w:p>
          <w:p w14:paraId="173B8EE0">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（1）定标委员会</w:t>
            </w:r>
          </w:p>
          <w:p w14:paraId="601BD85E">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定标委员会由招标人依法组建。</w:t>
            </w:r>
          </w:p>
          <w:p w14:paraId="08FC32AC">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（2）定标会召开的时间地点：</w:t>
            </w:r>
          </w:p>
          <w:p w14:paraId="4C16EC77">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定标会召开时间在合格的中标候选人公示完成后</w:t>
            </w:r>
            <w:r>
              <w:rPr>
                <w:rFonts w:hint="eastAsia" w:ascii="宋体" w:hAnsi="宋体" w:eastAsia="宋体" w:cs="楷体"/>
                <w:b w:val="0"/>
                <w:bCs/>
                <w:color w:val="auto"/>
                <w:kern w:val="0"/>
                <w:sz w:val="21"/>
                <w:szCs w:val="21"/>
                <w:highlight w:val="none"/>
                <w:lang w:val="en-US" w:eastAsia="zh-CN" w:bidi="ar"/>
              </w:rPr>
              <w:t>10个工作日内在广州公共资源交易中心举行，定标会全程在广州公共资源交易中心见证人员见证下进行。</w:t>
            </w:r>
          </w:p>
          <w:p w14:paraId="507E939B">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2.定标原则</w:t>
            </w:r>
          </w:p>
          <w:p w14:paraId="7CDF6859">
            <w:pPr>
              <w:keepNext w:val="0"/>
              <w:keepLines w:val="0"/>
              <w:widowControl w:val="0"/>
              <w:suppressLineNumbers w:val="0"/>
              <w:spacing w:before="0" w:beforeAutospacing="0" w:after="0" w:afterAutospacing="0"/>
              <w:ind w:left="0" w:right="0" w:firstLine="0" w:firstLineChars="0"/>
              <w:jc w:val="both"/>
              <w:rPr>
                <w:rFonts w:hint="default" w:ascii="宋体" w:hAnsi="宋体" w:eastAsia="宋体" w:cs="楷体"/>
                <w:b/>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具体详见本章附表1。</w:t>
            </w:r>
          </w:p>
        </w:tc>
      </w:tr>
      <w:tr w14:paraId="1F94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14:paraId="77DD40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bidi="ar"/>
              </w:rPr>
              <w:t>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14:paraId="69AC0DA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bidi="ar"/>
              </w:rPr>
            </w:pPr>
            <w:r>
              <w:rPr>
                <w:rFonts w:hint="eastAsia" w:ascii="宋体" w:hAnsi="宋体" w:eastAsia="宋体" w:cs="宋体"/>
                <w:color w:val="auto"/>
                <w:kern w:val="2"/>
                <w:sz w:val="21"/>
                <w:szCs w:val="22"/>
                <w:highlight w:val="none"/>
                <w:lang w:val="en-US" w:eastAsia="zh-CN" w:bidi="ar"/>
              </w:rPr>
              <w:t>定标表格</w:t>
            </w:r>
          </w:p>
        </w:tc>
        <w:tc>
          <w:tcPr>
            <w:tcW w:w="7412"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3F7CFE0">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2"/>
                <w:highlight w:val="none"/>
                <w:lang w:bidi="ar"/>
              </w:rPr>
            </w:pPr>
            <w:r>
              <w:rPr>
                <w:rFonts w:hint="eastAsia" w:ascii="宋体" w:hAnsi="宋体" w:eastAsia="宋体" w:cs="宋体"/>
                <w:color w:val="auto"/>
                <w:kern w:val="2"/>
                <w:sz w:val="21"/>
                <w:szCs w:val="22"/>
                <w:highlight w:val="none"/>
                <w:lang w:val="en-US" w:eastAsia="zh-CN" w:bidi="ar"/>
              </w:rPr>
              <w:t>具体详见本章附表</w:t>
            </w:r>
            <w:r>
              <w:rPr>
                <w:rFonts w:hint="eastAsia" w:ascii="宋体" w:hAnsi="宋体" w:eastAsia="宋体" w:cs="宋体"/>
                <w:color w:val="auto"/>
                <w:kern w:val="2"/>
                <w:sz w:val="21"/>
                <w:szCs w:val="22"/>
                <w:highlight w:val="none"/>
                <w:lang w:eastAsia="zh-CN" w:bidi="ar"/>
              </w:rPr>
              <w:t>2、3</w:t>
            </w:r>
            <w:r>
              <w:rPr>
                <w:rFonts w:hint="eastAsia" w:ascii="宋体" w:hAnsi="宋体" w:eastAsia="宋体" w:cs="宋体"/>
                <w:color w:val="auto"/>
                <w:kern w:val="2"/>
                <w:sz w:val="21"/>
                <w:szCs w:val="22"/>
                <w:highlight w:val="none"/>
                <w:lang w:val="en-US" w:eastAsia="zh-CN" w:bidi="ar"/>
              </w:rPr>
              <w:t>。</w:t>
            </w:r>
          </w:p>
        </w:tc>
      </w:tr>
      <w:bookmarkEnd w:id="356"/>
      <w:bookmarkEnd w:id="357"/>
    </w:tbl>
    <w:p w14:paraId="5FAD9D79">
      <w:pPr>
        <w:pStyle w:val="10"/>
        <w:keepNext w:val="0"/>
        <w:keepLines w:val="0"/>
        <w:widowControl w:val="0"/>
        <w:suppressLineNumbers w:val="0"/>
        <w:spacing w:before="0" w:beforeAutospacing="0" w:after="0" w:afterAutospacing="0"/>
        <w:ind w:left="0" w:right="0"/>
        <w:jc w:val="both"/>
        <w:rPr>
          <w:rFonts w:hint="eastAsia" w:ascii="宋体" w:hAnsi="宋体"/>
          <w:b/>
          <w:color w:val="auto"/>
          <w:sz w:val="28"/>
          <w:szCs w:val="30"/>
          <w:highlight w:val="none"/>
        </w:rPr>
      </w:pPr>
    </w:p>
    <w:p w14:paraId="21D77B69">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018FF09A">
      <w:pPr>
        <w:pStyle w:val="10"/>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附表1：定标原则</w:t>
      </w:r>
    </w:p>
    <w:p w14:paraId="66F5D7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定标原则</w:t>
      </w:r>
    </w:p>
    <w:p w14:paraId="18CB9C5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1、本项目定标办法采用“记名投票+撰写评语”。定标委员会成员根据评标过程资料，对比合格的中标候选人的投标文件等情况，综合考虑各</w:t>
      </w:r>
      <w:r>
        <w:rPr>
          <w:rFonts w:hint="eastAsia" w:ascii="宋体" w:hAnsi="宋体" w:cs="宋体"/>
          <w:color w:val="auto"/>
          <w:kern w:val="0"/>
          <w:sz w:val="24"/>
          <w:szCs w:val="24"/>
          <w:highlight w:val="none"/>
          <w:shd w:val="clear" w:fill="FFFFFF"/>
          <w:lang w:val="en-US" w:eastAsia="zh-CN" w:bidi="ar"/>
        </w:rPr>
        <w:t>合格的</w:t>
      </w:r>
      <w:r>
        <w:rPr>
          <w:rFonts w:hint="eastAsia" w:ascii="宋体" w:hAnsi="宋体" w:eastAsia="宋体" w:cs="宋体"/>
          <w:color w:val="auto"/>
          <w:kern w:val="0"/>
          <w:sz w:val="24"/>
          <w:szCs w:val="24"/>
          <w:highlight w:val="none"/>
          <w:shd w:val="clear" w:fill="FFFFFF"/>
          <w:lang w:val="en-US" w:eastAsia="zh-CN" w:bidi="ar"/>
        </w:rPr>
        <w:t>中标候选人的情况，根据定标因素对各合格的中标候选人进行评审比较后，采用以差额选举逐轮淘汰投票计数法的“记名投票+撰写评语”方式确定中标人。</w:t>
      </w:r>
    </w:p>
    <w:p w14:paraId="5F9B32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2、定标细则</w:t>
      </w:r>
    </w:p>
    <w:p w14:paraId="659FF2B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（1）定标委员会阅读评标委员会提交的评标报告及清标工作小组出具的清标报告。</w:t>
      </w:r>
    </w:p>
    <w:p w14:paraId="7ABE3B0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（2）定标委员会根据定标因素对各合格的中标候选人进行综合评审。本项目按以下因素进行定标：</w:t>
      </w:r>
    </w:p>
    <w:tbl>
      <w:tblPr>
        <w:tblStyle w:val="12"/>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719"/>
        <w:gridCol w:w="6343"/>
      </w:tblGrid>
      <w:tr w14:paraId="0BA0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4197BF0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1719" w:type="dxa"/>
            <w:tcBorders>
              <w:top w:val="single" w:color="auto" w:sz="4" w:space="0"/>
              <w:left w:val="nil"/>
              <w:bottom w:val="single" w:color="auto" w:sz="4" w:space="0"/>
              <w:right w:val="single" w:color="auto" w:sz="4" w:space="0"/>
            </w:tcBorders>
            <w:shd w:val="clear" w:color="auto" w:fill="auto"/>
            <w:vAlign w:val="center"/>
          </w:tcPr>
          <w:p w14:paraId="5A86240A">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评审因素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75507C8D">
            <w:pPr>
              <w:keepNext w:val="0"/>
              <w:keepLines w:val="0"/>
              <w:widowControl w:val="0"/>
              <w:suppressLineNumbers w:val="0"/>
              <w:spacing w:before="0" w:beforeAutospacing="0" w:after="0" w:afterAutospacing="0" w:line="400" w:lineRule="exact"/>
              <w:ind w:left="0" w:right="0"/>
              <w:jc w:val="center"/>
              <w:rPr>
                <w:rFonts w:hint="default"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具体内容</w:t>
            </w:r>
          </w:p>
        </w:tc>
      </w:tr>
      <w:tr w14:paraId="0057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4F5AE7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719" w:type="dxa"/>
            <w:tcBorders>
              <w:top w:val="single" w:color="auto" w:sz="4" w:space="0"/>
              <w:left w:val="nil"/>
              <w:bottom w:val="single" w:color="auto" w:sz="4" w:space="0"/>
              <w:right w:val="single" w:color="auto" w:sz="4" w:space="0"/>
            </w:tcBorders>
            <w:shd w:val="clear" w:color="auto" w:fill="auto"/>
            <w:vAlign w:val="center"/>
          </w:tcPr>
          <w:p w14:paraId="0FA4C3AA">
            <w:pPr>
              <w:keepNext w:val="0"/>
              <w:keepLines w:val="0"/>
              <w:widowControl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u w:val="none"/>
                <w:lang w:val="en-US" w:eastAsia="zh-CN" w:bidi="ar"/>
              </w:rPr>
              <w:t>价格因素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5BDF524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pacing w:val="0"/>
                <w:kern w:val="0"/>
                <w:sz w:val="21"/>
                <w:szCs w:val="21"/>
                <w:highlight w:val="none"/>
                <w:shd w:val="clear" w:fill="FFFFFF"/>
              </w:rPr>
            </w:pPr>
            <w:r>
              <w:rPr>
                <w:rFonts w:hint="eastAsia" w:ascii="宋体" w:hAnsi="宋体" w:eastAsia="宋体" w:cs="宋体"/>
                <w:color w:val="auto"/>
                <w:spacing w:val="0"/>
                <w:kern w:val="0"/>
                <w:sz w:val="21"/>
                <w:szCs w:val="21"/>
                <w:highlight w:val="none"/>
                <w:shd w:val="clear" w:fill="FFFFFF"/>
                <w:lang w:val="en-US" w:eastAsia="zh-CN" w:bidi="ar"/>
              </w:rPr>
              <w:t>对评审合格的中标候选人投标报价进行分析，结合</w:t>
            </w:r>
            <w:r>
              <w:rPr>
                <w:rFonts w:hint="eastAsia" w:ascii="宋体" w:hAnsi="宋体" w:cs="宋体"/>
                <w:color w:val="auto"/>
                <w:spacing w:val="0"/>
                <w:kern w:val="0"/>
                <w:sz w:val="21"/>
                <w:szCs w:val="21"/>
                <w:highlight w:val="none"/>
                <w:shd w:val="clear" w:fill="FFFFFF"/>
                <w:lang w:val="en-US" w:eastAsia="zh-CN" w:bidi="ar"/>
              </w:rPr>
              <w:t>合格的</w:t>
            </w:r>
            <w:r>
              <w:rPr>
                <w:rFonts w:hint="eastAsia" w:ascii="宋体" w:hAnsi="宋体" w:eastAsia="宋体" w:cs="宋体"/>
                <w:color w:val="auto"/>
                <w:spacing w:val="0"/>
                <w:kern w:val="0"/>
                <w:sz w:val="21"/>
                <w:szCs w:val="21"/>
                <w:highlight w:val="none"/>
                <w:shd w:val="clear" w:fill="FFFFFF"/>
                <w:lang w:val="en-US" w:eastAsia="zh-CN" w:bidi="ar"/>
              </w:rPr>
              <w:t>中标候选人报价的合理性进行评审。</w:t>
            </w:r>
          </w:p>
          <w:p w14:paraId="72238061">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auto"/>
                <w:spacing w:val="0"/>
                <w:kern w:val="0"/>
                <w:sz w:val="21"/>
                <w:szCs w:val="21"/>
                <w:highlight w:val="none"/>
                <w:shd w:val="clear" w:fill="FFFFFF"/>
                <w:lang w:eastAsia="zh-CN" w:bidi="ar"/>
              </w:rPr>
            </w:pPr>
            <w:r>
              <w:rPr>
                <w:rFonts w:hint="default" w:ascii="宋体" w:hAnsi="宋体" w:cs="宋体"/>
                <w:color w:val="auto"/>
                <w:spacing w:val="0"/>
                <w:kern w:val="0"/>
                <w:sz w:val="21"/>
                <w:szCs w:val="21"/>
                <w:highlight w:val="none"/>
                <w:shd w:val="clear" w:fill="FFFFFF"/>
                <w:lang w:eastAsia="zh-CN" w:bidi="ar"/>
              </w:rPr>
              <w:t>【优】投入的人员团队水平、监理服务质量和技术支持程度与报价的匹配度高。</w:t>
            </w:r>
          </w:p>
          <w:p w14:paraId="08D05171">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auto"/>
                <w:spacing w:val="0"/>
                <w:kern w:val="0"/>
                <w:sz w:val="21"/>
                <w:szCs w:val="21"/>
                <w:highlight w:val="none"/>
                <w:shd w:val="clear" w:fill="FFFFFF"/>
                <w:lang w:eastAsia="zh-CN" w:bidi="ar"/>
              </w:rPr>
            </w:pPr>
            <w:r>
              <w:rPr>
                <w:rFonts w:hint="default" w:ascii="宋体" w:hAnsi="宋体" w:cs="宋体"/>
                <w:color w:val="auto"/>
                <w:spacing w:val="0"/>
                <w:kern w:val="0"/>
                <w:sz w:val="21"/>
                <w:szCs w:val="21"/>
                <w:highlight w:val="none"/>
                <w:shd w:val="clear" w:fill="FFFFFF"/>
                <w:lang w:eastAsia="zh-CN" w:bidi="ar"/>
              </w:rPr>
              <w:t>【中】投入的人员团队水平、监理服务质量和技术支持程度与报价的匹配度一般。</w:t>
            </w:r>
          </w:p>
          <w:p w14:paraId="51A017D6">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s="宋体"/>
                <w:color w:val="auto"/>
                <w:spacing w:val="0"/>
                <w:kern w:val="0"/>
                <w:sz w:val="21"/>
                <w:szCs w:val="21"/>
                <w:highlight w:val="none"/>
                <w:shd w:val="clear" w:fill="FFFFFF"/>
                <w:lang w:eastAsia="zh-CN" w:bidi="ar"/>
              </w:rPr>
            </w:pPr>
            <w:r>
              <w:rPr>
                <w:rFonts w:hint="default" w:ascii="宋体" w:hAnsi="宋体" w:cs="宋体"/>
                <w:color w:val="auto"/>
                <w:spacing w:val="0"/>
                <w:kern w:val="0"/>
                <w:sz w:val="21"/>
                <w:szCs w:val="21"/>
                <w:highlight w:val="none"/>
                <w:shd w:val="clear" w:fill="FFFFFF"/>
                <w:lang w:eastAsia="zh-CN" w:bidi="ar"/>
              </w:rPr>
              <w:t>【差】投入的人员团队水平、监理服务质量和技术支持程度与报价的匹配度较低。</w:t>
            </w:r>
          </w:p>
        </w:tc>
      </w:tr>
      <w:tr w14:paraId="7954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6B077A0">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eastAsia="zh-CN" w:bidi="ar"/>
              </w:rPr>
              <w:t>2</w:t>
            </w:r>
          </w:p>
        </w:tc>
        <w:tc>
          <w:tcPr>
            <w:tcW w:w="1719" w:type="dxa"/>
            <w:tcBorders>
              <w:top w:val="single" w:color="auto" w:sz="4" w:space="0"/>
              <w:left w:val="nil"/>
              <w:bottom w:val="single" w:color="auto" w:sz="4" w:space="0"/>
              <w:right w:val="single" w:color="auto" w:sz="4" w:space="0"/>
            </w:tcBorders>
            <w:shd w:val="clear" w:color="auto" w:fill="auto"/>
            <w:vAlign w:val="center"/>
          </w:tcPr>
          <w:p w14:paraId="4B2D79B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资信因素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4B4AE3A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对合格的中标候选人企业综合能力及信誉、业绩、获奖情况进行评审。</w:t>
            </w:r>
          </w:p>
          <w:p w14:paraId="7A29876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（1）管理认证情况</w:t>
            </w:r>
          </w:p>
          <w:p w14:paraId="550675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【优】同时具备有效期内的质量管理体系、环境管理体系、职业健康安全管理体系认证证书、信息安全管理体系认证、企业知识产权管理体系（知识产权合规管理体系）认证。</w:t>
            </w:r>
          </w:p>
          <w:p w14:paraId="5AC2592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【中】同时具备有效期内的质量管理体系、环境管理体系、职业健康安全管理体系认证证书、信息安全管理体系认证、企业知识产权管理体系（知识产权合规管理体系）认证其中3～4个。</w:t>
            </w:r>
          </w:p>
          <w:p w14:paraId="4AF47DA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【差】同时具备有效期内的质量管理体系、环境管理体系、职业健康安全管理体系认证证书、信息安全管理体系认证、企业知识产权管理体系（知识产权合规管理体系）认证其中0～2个</w:t>
            </w:r>
          </w:p>
          <w:p w14:paraId="14863E5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注：管理体系认证证书需提供证书清晰扫描件。</w:t>
            </w:r>
          </w:p>
          <w:p w14:paraId="53DDF41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（2）纳税情况</w:t>
            </w:r>
          </w:p>
          <w:p w14:paraId="165473D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【优】投标人连续5个年度或以上获得过“纳税信用A级纳税人”称号（须含2024评审年度）。</w:t>
            </w:r>
          </w:p>
          <w:p w14:paraId="5F8F3F9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【中】投标人连续1-4个年度获得过“纳税信用A级纳税人”称号（须含2024评审年度）。</w:t>
            </w:r>
          </w:p>
          <w:p w14:paraId="09147FE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【差】投标人没有获得过“纳税信用A级纳税人”称号的。</w:t>
            </w:r>
          </w:p>
          <w:p w14:paraId="56F45D9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注：投标人须提交纳税信用A级纳税人证书扫描件</w:t>
            </w:r>
            <w:r>
              <w:rPr>
                <w:rFonts w:hint="default" w:ascii="宋体" w:hAnsi="宋体" w:cs="宋体"/>
                <w:color w:val="auto"/>
                <w:kern w:val="2"/>
                <w:sz w:val="21"/>
                <w:szCs w:val="21"/>
                <w:highlight w:val="none"/>
                <w:lang w:eastAsia="zh-CN" w:bidi="ar"/>
              </w:rPr>
              <w:t>或</w:t>
            </w:r>
            <w:r>
              <w:rPr>
                <w:rFonts w:hint="eastAsia" w:ascii="宋体" w:hAnsi="宋体" w:eastAsia="宋体" w:cs="宋体"/>
                <w:color w:val="auto"/>
                <w:kern w:val="2"/>
                <w:sz w:val="21"/>
                <w:szCs w:val="21"/>
                <w:highlight w:val="none"/>
                <w:lang w:val="en-US" w:eastAsia="zh-CN" w:bidi="ar"/>
              </w:rPr>
              <w:t>省级或以上国家税务局官网（含在国家税务局官网单列的城市）纳税信用信息查询结果（查询结果只计算投标人自身，不计算投标人的分公司、子公司和分支机构）的网页截图。时间以证书</w:t>
            </w:r>
            <w:r>
              <w:rPr>
                <w:rFonts w:hint="default" w:ascii="宋体" w:hAnsi="宋体" w:cs="宋体"/>
                <w:color w:val="auto"/>
                <w:kern w:val="2"/>
                <w:sz w:val="21"/>
                <w:szCs w:val="21"/>
                <w:highlight w:val="none"/>
                <w:lang w:eastAsia="zh-CN" w:bidi="ar"/>
              </w:rPr>
              <w:t>或查询结果网页截图</w:t>
            </w:r>
            <w:r>
              <w:rPr>
                <w:rFonts w:hint="eastAsia" w:ascii="宋体" w:hAnsi="宋体" w:eastAsia="宋体" w:cs="宋体"/>
                <w:color w:val="auto"/>
                <w:kern w:val="2"/>
                <w:sz w:val="21"/>
                <w:szCs w:val="21"/>
                <w:highlight w:val="none"/>
                <w:lang w:val="en-US" w:eastAsia="zh-CN" w:bidi="ar"/>
              </w:rPr>
              <w:t>上注明的公示评价（评定）年度为准。</w:t>
            </w:r>
          </w:p>
          <w:p w14:paraId="765C0EF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（3）监理业绩情况</w:t>
            </w:r>
          </w:p>
          <w:p w14:paraId="56673D8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【优】自2022年1月1日至今完成过3个或以上质量合格的类似监理项目。</w:t>
            </w:r>
          </w:p>
          <w:p w14:paraId="33A2B01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【中】自2022年1月1日至今完成过1-2个质量合格的类似监理项目。</w:t>
            </w:r>
          </w:p>
          <w:p w14:paraId="1F2D4BF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【差】自2022年1月1日至今没有完成过质量合格的类似监理项目。</w:t>
            </w:r>
          </w:p>
          <w:p w14:paraId="379A7CF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注：类似监理项目是指中标金额大于或等于</w:t>
            </w:r>
            <w:r>
              <w:rPr>
                <w:rFonts w:hint="eastAsia" w:ascii="宋体" w:hAnsi="宋体" w:cs="宋体"/>
                <w:color w:val="auto"/>
                <w:kern w:val="2"/>
                <w:sz w:val="21"/>
                <w:szCs w:val="21"/>
                <w:highlight w:val="none"/>
                <w:lang w:val="en-US" w:eastAsia="zh-CN" w:bidi="ar"/>
              </w:rPr>
              <w:t>350</w:t>
            </w:r>
            <w:r>
              <w:rPr>
                <w:rFonts w:hint="eastAsia" w:ascii="宋体" w:hAnsi="宋体" w:eastAsia="宋体" w:cs="宋体"/>
                <w:color w:val="auto"/>
                <w:kern w:val="2"/>
                <w:sz w:val="21"/>
                <w:szCs w:val="21"/>
                <w:highlight w:val="none"/>
                <w:lang w:val="en-US" w:eastAsia="zh-CN" w:bidi="ar"/>
              </w:rPr>
              <w:t>万元的房屋建筑工程监理项目，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中标金额以中标通知书为准，中标通知书上没有金额或免招标的，以监理合同（不含补充合同）为准，以联合体形式完成的监理项目、全过程项目管理或全过程咨询（含监理）等未能体现监理金额的，需提供相关能符合上述业绩要求的证明材料。</w:t>
            </w:r>
          </w:p>
          <w:p w14:paraId="315E4E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（4）监理业绩获奖情况</w:t>
            </w:r>
          </w:p>
          <w:p w14:paraId="6001A0F6">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lang w:bidi="ar"/>
              </w:rPr>
            </w:pPr>
            <w:r>
              <w:rPr>
                <w:rFonts w:hint="eastAsia" w:ascii="宋体" w:hAnsi="宋体" w:eastAsia="宋体" w:cs="宋体"/>
                <w:color w:val="auto"/>
                <w:sz w:val="21"/>
                <w:szCs w:val="21"/>
                <w:highlight w:val="none"/>
                <w:lang w:bidi="ar"/>
              </w:rPr>
              <w:t>【优】自2022年1月1日至今监理的房屋建筑工程获得3个或以上市级(含副省级)或以上奖项。</w:t>
            </w:r>
          </w:p>
          <w:p w14:paraId="34E374D3">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lang w:bidi="ar"/>
              </w:rPr>
            </w:pPr>
            <w:r>
              <w:rPr>
                <w:rFonts w:hint="eastAsia" w:ascii="宋体" w:hAnsi="宋体" w:eastAsia="宋体" w:cs="宋体"/>
                <w:color w:val="auto"/>
                <w:sz w:val="21"/>
                <w:szCs w:val="21"/>
                <w:highlight w:val="none"/>
                <w:lang w:bidi="ar"/>
              </w:rPr>
              <w:t>【中】自2022年1月1日至今监理的房屋建筑工程获得1-2个市级(含副省级)或以上奖项。</w:t>
            </w:r>
          </w:p>
          <w:p w14:paraId="7C5801BF">
            <w:pPr>
              <w:keepNext w:val="0"/>
              <w:keepLines w:val="0"/>
              <w:suppressLineNumbers w:val="0"/>
              <w:spacing w:before="0" w:beforeAutospacing="0" w:after="0" w:afterAutospacing="0" w:line="400" w:lineRule="exact"/>
              <w:ind w:left="0" w:right="0"/>
              <w:rPr>
                <w:rFonts w:hint="eastAsia" w:ascii="宋体" w:hAnsi="宋体" w:cs="宋体"/>
                <w:color w:val="auto"/>
                <w:szCs w:val="21"/>
                <w:highlight w:val="none"/>
                <w:lang w:bidi="ar"/>
              </w:rPr>
            </w:pPr>
            <w:r>
              <w:rPr>
                <w:rFonts w:hint="eastAsia" w:ascii="宋体" w:hAnsi="宋体" w:eastAsia="宋体" w:cs="宋体"/>
                <w:color w:val="auto"/>
                <w:sz w:val="21"/>
                <w:szCs w:val="21"/>
                <w:highlight w:val="none"/>
                <w:lang w:bidi="ar"/>
              </w:rPr>
              <w:t>【差】自2022年1月1日至今监理的房屋建筑工程没有获得市级(含副省级)或以上奖项。</w:t>
            </w:r>
          </w:p>
          <w:p w14:paraId="48C4905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注：监理业绩获奖以获奖证书或获奖通报证明材料的清晰扫描件为准，需提供获奖证书扫描件或获奖通报证明材料的清晰扫描件，获奖时间以获奖证书或获奖通报发出日期为准；国家级奖项指的是中国建设工程鲁班奖、国家优质工程金质奖、国家优质工程奖、中国土木工程詹天佑奖，省或市级奖项包括：由省、市级建设行政主管部门或行业协会（行业协会须在民政部门备案）颁发的质量类工程奖项，同一工程获得多个奖项的，仅计算一次，不重复计算。</w:t>
            </w:r>
          </w:p>
        </w:tc>
      </w:tr>
      <w:tr w14:paraId="22CD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7C7A7CB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719" w:type="dxa"/>
            <w:tcBorders>
              <w:top w:val="single" w:color="auto" w:sz="4" w:space="0"/>
              <w:left w:val="nil"/>
              <w:bottom w:val="single" w:color="auto" w:sz="4" w:space="0"/>
              <w:right w:val="single" w:color="auto" w:sz="4" w:space="0"/>
            </w:tcBorders>
            <w:shd w:val="clear" w:color="auto" w:fill="auto"/>
            <w:vAlign w:val="center"/>
          </w:tcPr>
          <w:p w14:paraId="061791D3">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方案因素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7C8E175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对各阶段监理方案、对本项目重点及难点分析及解决措施等监理大纲内容的合理性、可行性进行评审。</w:t>
            </w:r>
          </w:p>
          <w:p w14:paraId="38DFDA6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（1）施工监理方案</w:t>
            </w:r>
          </w:p>
          <w:p w14:paraId="04CEC31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【优】监理工作目标明确，监理工作依据、制度、流程完善；监理工作内容及管理手段合理可行、措施具体、针对性强。</w:t>
            </w:r>
          </w:p>
          <w:p w14:paraId="3E11E87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【中】监理工作目标一般明确，监理工作依据、制度、流程一般完善；监理工作内容及管理手段一般合理可行、措施一般具体、针对性一般。</w:t>
            </w:r>
          </w:p>
          <w:p w14:paraId="7818FD7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【差】监理工作目标不明确，监理工作依据、制度、流程不完善；监理工作内容及管理手段不可行、措施不具体、缺乏针对性。</w:t>
            </w:r>
          </w:p>
          <w:p w14:paraId="3C6DDCB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（2）对本项目重点及难点分析及解决措施</w:t>
            </w:r>
            <w:r>
              <w:rPr>
                <w:rFonts w:hint="eastAsia" w:ascii="宋体" w:hAnsi="宋体" w:eastAsia="宋体" w:cs="宋体"/>
                <w:color w:val="auto"/>
                <w:kern w:val="2"/>
                <w:sz w:val="21"/>
                <w:szCs w:val="21"/>
                <w:highlight w:val="none"/>
                <w:lang w:eastAsia="zh-CN"/>
              </w:rPr>
              <w:t>（</w:t>
            </w:r>
            <w:r>
              <w:rPr>
                <w:rFonts w:hint="default" w:ascii="Calibri" w:hAnsi="Calibri" w:cs="Calibri"/>
                <w:color w:val="auto"/>
                <w:kern w:val="2"/>
                <w:sz w:val="21"/>
                <w:szCs w:val="21"/>
                <w:highlight w:val="none"/>
                <w:u w:val="none"/>
                <w:lang w:val="en-US" w:eastAsia="zh-CN"/>
              </w:rPr>
              <w:t>①在施工监理方案方面：考核监理工作目标是否明确，监理工作依据、制度、流程是否完善；监理工作内容及管理手段是否合理可行、措施具体、针对性是否符合</w:t>
            </w:r>
            <w:r>
              <w:rPr>
                <w:rFonts w:hint="eastAsia" w:ascii="宋体" w:hAnsi="宋体" w:cs="宋体"/>
                <w:color w:val="auto"/>
                <w:spacing w:val="0"/>
                <w:kern w:val="2"/>
                <w:sz w:val="21"/>
                <w:szCs w:val="21"/>
                <w:highlight w:val="none"/>
                <w:u w:val="none"/>
              </w:rPr>
              <w:t>。</w:t>
            </w:r>
            <w:r>
              <w:rPr>
                <w:rFonts w:hint="default" w:ascii="Calibri" w:hAnsi="Calibri" w:cs="Calibri"/>
                <w:color w:val="auto"/>
                <w:spacing w:val="0"/>
                <w:kern w:val="2"/>
                <w:sz w:val="21"/>
                <w:szCs w:val="21"/>
                <w:highlight w:val="none"/>
                <w:u w:val="none"/>
                <w:lang w:val="en-US" w:eastAsia="zh-CN"/>
              </w:rPr>
              <w:t>②在对本项目重点及难点分析及解决措施方面：由于本项目校方急于使用、压缩了工期，且项目处于校区内依山而建，紧靠学生在住的研究生宿舍一期，离华工大学城中心酒店也大约60米，对校内环境保护、避免干扰师生日常工作学习和生活，合理规划施工现场分区、施工期交通流线布置，合理安排施工工序和赶工措施等为本项目重点难点，考核投标人针对本项目建设特点进行监理的重点难点分析、提出相关解决技术措施方案、措施是否全面具体、针对性是否符合要求</w:t>
            </w:r>
            <w:r>
              <w:rPr>
                <w:rFonts w:hint="eastAsia" w:ascii="宋体" w:hAnsi="宋体" w:eastAsia="宋体" w:cs="宋体"/>
                <w:color w:val="auto"/>
                <w:kern w:val="2"/>
                <w:sz w:val="21"/>
                <w:szCs w:val="21"/>
                <w:highlight w:val="none"/>
                <w:u w:val="none"/>
                <w:lang w:val="en-US" w:eastAsia="zh-CN" w:bidi="ar"/>
              </w:rPr>
              <w:t>。</w:t>
            </w:r>
            <w:r>
              <w:rPr>
                <w:rFonts w:hint="eastAsia" w:ascii="宋体" w:hAnsi="宋体" w:eastAsia="宋体" w:cs="宋体"/>
                <w:color w:val="auto"/>
                <w:kern w:val="2"/>
                <w:sz w:val="21"/>
                <w:szCs w:val="21"/>
                <w:highlight w:val="none"/>
                <w:lang w:eastAsia="zh-CN"/>
              </w:rPr>
              <w:t>）</w:t>
            </w:r>
          </w:p>
          <w:p w14:paraId="0E31D5C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【优】针对本项目建设特点进行监理的重点难点分析、提出相关解决技术措施方案、措施全面具体、针对性强。</w:t>
            </w:r>
          </w:p>
          <w:p w14:paraId="1D5F2C7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【中】针对本项目建设特点进行监理的重点难点分析、提出相关解决技术措施方案、措施一般具体、针对性一般。</w:t>
            </w:r>
          </w:p>
          <w:p w14:paraId="330B125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【差】针对本项目建设特点进行监理的重点难点分析、提出相关解决技术措施方案、措施不具体、缺乏针对性。</w:t>
            </w:r>
          </w:p>
        </w:tc>
      </w:tr>
      <w:tr w14:paraId="271D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6A75154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719" w:type="dxa"/>
            <w:tcBorders>
              <w:top w:val="single" w:color="auto" w:sz="4" w:space="0"/>
              <w:left w:val="nil"/>
              <w:bottom w:val="single" w:color="auto" w:sz="4" w:space="0"/>
              <w:right w:val="single" w:color="auto" w:sz="4" w:space="0"/>
            </w:tcBorders>
            <w:shd w:val="clear" w:color="auto" w:fill="auto"/>
            <w:vAlign w:val="center"/>
          </w:tcPr>
          <w:p w14:paraId="3737D62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团队因素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75C6E077">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【优】拟投入监理机构人员配备合理，优于招标文件《监理机构人员配备要求表》基本要求</w:t>
            </w:r>
            <w:r>
              <w:rPr>
                <w:rFonts w:hint="default" w:ascii="宋体" w:hAnsi="宋体" w:cs="宋体"/>
                <w:color w:val="auto"/>
                <w:kern w:val="2"/>
                <w:sz w:val="21"/>
                <w:szCs w:val="21"/>
                <w:highlight w:val="none"/>
              </w:rPr>
              <w:t>、工程监理人员到位及任职承诺满足招标文件要求</w:t>
            </w:r>
            <w:r>
              <w:rPr>
                <w:rFonts w:hint="eastAsia" w:ascii="宋体" w:hAnsi="宋体" w:eastAsia="宋体" w:cs="宋体"/>
                <w:color w:val="auto"/>
                <w:kern w:val="2"/>
                <w:sz w:val="21"/>
                <w:szCs w:val="21"/>
                <w:highlight w:val="none"/>
              </w:rPr>
              <w:t>。</w:t>
            </w:r>
          </w:p>
          <w:p w14:paraId="028F4F76">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【中】拟投入监理机构人员配备较合理，满足招标文件《监理机构人员配备要求表》基本要求。</w:t>
            </w:r>
          </w:p>
          <w:p w14:paraId="46EC6DD1">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【差】拟投入监理机构人员配备不合理，不满足招标文件《监理机构人员配备要求表》基本要求。</w:t>
            </w:r>
          </w:p>
        </w:tc>
      </w:tr>
      <w:tr w14:paraId="569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DD94B01">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719" w:type="dxa"/>
            <w:tcBorders>
              <w:top w:val="single" w:color="auto" w:sz="4" w:space="0"/>
              <w:left w:val="nil"/>
              <w:bottom w:val="single" w:color="auto" w:sz="4" w:space="0"/>
              <w:right w:val="single" w:color="auto" w:sz="4" w:space="0"/>
            </w:tcBorders>
            <w:shd w:val="clear" w:color="auto" w:fill="auto"/>
            <w:vAlign w:val="center"/>
          </w:tcPr>
          <w:p w14:paraId="2AD57AF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答辩因素</w:t>
            </w:r>
          </w:p>
        </w:tc>
        <w:tc>
          <w:tcPr>
            <w:tcW w:w="6343" w:type="dxa"/>
            <w:tcBorders>
              <w:top w:val="single" w:color="auto" w:sz="4" w:space="0"/>
              <w:left w:val="nil"/>
              <w:bottom w:val="single" w:color="auto" w:sz="4" w:space="0"/>
              <w:right w:val="single" w:color="auto" w:sz="4" w:space="0"/>
            </w:tcBorders>
            <w:shd w:val="clear" w:color="auto" w:fill="auto"/>
            <w:vAlign w:val="center"/>
          </w:tcPr>
          <w:p w14:paraId="19CD98E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评审合格的中标候选人拟派项目团队成员的答辩情况。</w:t>
            </w:r>
          </w:p>
          <w:p w14:paraId="6AF4039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一、陈述：</w:t>
            </w:r>
          </w:p>
          <w:p w14:paraId="63221F5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答辩团队就监理大纲等内容从以下方面进行陈述：</w:t>
            </w:r>
          </w:p>
          <w:p w14:paraId="3606E3C7">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（1）介绍项目特点，</w:t>
            </w:r>
            <w:r>
              <w:rPr>
                <w:rFonts w:hint="default" w:ascii="宋体" w:hAnsi="宋体" w:cs="宋体"/>
                <w:color w:val="auto"/>
                <w:kern w:val="2"/>
                <w:sz w:val="21"/>
                <w:szCs w:val="21"/>
                <w:highlight w:val="none"/>
              </w:rPr>
              <w:t>监理工作重点、难点</w:t>
            </w:r>
            <w:r>
              <w:rPr>
                <w:rFonts w:hint="eastAsia" w:ascii="宋体" w:hAnsi="宋体" w:eastAsia="宋体" w:cs="宋体"/>
                <w:color w:val="auto"/>
                <w:kern w:val="2"/>
                <w:sz w:val="21"/>
                <w:szCs w:val="21"/>
                <w:highlight w:val="none"/>
                <w:lang w:eastAsia="zh-CN"/>
              </w:rPr>
              <w:t>（</w:t>
            </w:r>
            <w:r>
              <w:rPr>
                <w:rFonts w:hint="default" w:ascii="Calibri" w:hAnsi="Calibri" w:cs="Calibri"/>
                <w:color w:val="auto"/>
                <w:kern w:val="2"/>
                <w:sz w:val="21"/>
                <w:szCs w:val="21"/>
                <w:highlight w:val="none"/>
                <w:u w:val="none"/>
                <w:lang w:val="en-US" w:eastAsia="zh-CN"/>
              </w:rPr>
              <w:t>①在施工监理方案方面：考核监理工作目标是否明确，监理工作依据、制度、流程是否完善；监理工作内容及管理手段是否合理可行、措施具体、针对性是否符合</w:t>
            </w:r>
            <w:r>
              <w:rPr>
                <w:rFonts w:hint="eastAsia" w:ascii="宋体" w:hAnsi="宋体" w:cs="宋体"/>
                <w:color w:val="auto"/>
                <w:spacing w:val="0"/>
                <w:kern w:val="2"/>
                <w:sz w:val="21"/>
                <w:szCs w:val="21"/>
                <w:highlight w:val="none"/>
                <w:u w:val="none"/>
              </w:rPr>
              <w:t>。</w:t>
            </w:r>
            <w:r>
              <w:rPr>
                <w:rFonts w:hint="default" w:ascii="Calibri" w:hAnsi="Calibri" w:cs="Calibri"/>
                <w:color w:val="auto"/>
                <w:spacing w:val="0"/>
                <w:kern w:val="2"/>
                <w:sz w:val="21"/>
                <w:szCs w:val="21"/>
                <w:highlight w:val="none"/>
                <w:u w:val="none"/>
                <w:lang w:val="en-US" w:eastAsia="zh-CN"/>
              </w:rPr>
              <w:t>②在对本项目重点及难点分析及解决措施方面：由于本项目校方急于使用、压缩了工期，且项目处于校区内依山而建，紧靠学生在住的研究生宿舍一期，离华工大学城中心酒店也大约60米，对校内环境保护、避免干扰师生日常工作学习和生活，合理规划施工现场分区、施工期交通流线布置，合理安排施工工序和赶工措施等为本项目重点难点，考核投标人针对本项目建设特点进行监理的重点难点分析、提出相关解决技术措施方案、措施是否全面具体、针对性是否符合要求</w:t>
            </w:r>
            <w:r>
              <w:rPr>
                <w:rFonts w:hint="eastAsia" w:ascii="宋体" w:hAnsi="宋体" w:cs="宋体"/>
                <w:color w:val="auto"/>
                <w:spacing w:val="0"/>
                <w:kern w:val="2"/>
                <w:sz w:val="21"/>
                <w:szCs w:val="21"/>
                <w:highlight w:val="none"/>
                <w:u w:val="none"/>
              </w:rPr>
              <w:t>。</w:t>
            </w:r>
            <w:r>
              <w:rPr>
                <w:rFonts w:hint="eastAsia" w:ascii="宋体" w:hAnsi="宋体" w:eastAsia="宋体" w:cs="宋体"/>
                <w:color w:val="auto"/>
                <w:kern w:val="2"/>
                <w:sz w:val="21"/>
                <w:szCs w:val="21"/>
                <w:highlight w:val="none"/>
                <w:lang w:eastAsia="zh-CN"/>
              </w:rPr>
              <w:t>）</w:t>
            </w:r>
            <w:r>
              <w:rPr>
                <w:rFonts w:hint="default" w:ascii="宋体" w:hAnsi="宋体" w:cs="宋体"/>
                <w:color w:val="auto"/>
                <w:kern w:val="2"/>
                <w:sz w:val="21"/>
                <w:szCs w:val="21"/>
                <w:highlight w:val="none"/>
              </w:rPr>
              <w:t>；</w:t>
            </w:r>
          </w:p>
          <w:p w14:paraId="450485B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（2）各阶段工作监理人员投入情况；</w:t>
            </w:r>
          </w:p>
          <w:p w14:paraId="040FABB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（3）对本项目涉及的所有第三方检测（监测）的规划方案；</w:t>
            </w:r>
          </w:p>
          <w:p w14:paraId="613DB4A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（4）就如何组织、配合现场各施工、设计、检测以及其他单位提出监理工作要点；</w:t>
            </w:r>
          </w:p>
          <w:p w14:paraId="09D0505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（5）答辩人员认为有需要补充的内容。</w:t>
            </w:r>
          </w:p>
          <w:p w14:paraId="26A68E8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二、解答：</w:t>
            </w:r>
          </w:p>
          <w:p w14:paraId="0A65EE9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评委针对答辩团队陈述的内容及投标文件监理大纲提问，答辩人员针对所提问题进行解答。</w:t>
            </w:r>
          </w:p>
          <w:p w14:paraId="5DA3A23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【优】答辩团队熟悉项目情况，对所监理项目的重点、难点认识深刻，应对措施合理可行；人员投入计划对推进工程进度有保障；实施时间安排合理可行；回答评委提问思路清晰、内容准确。</w:t>
            </w:r>
          </w:p>
          <w:p w14:paraId="0C8E14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【中】答辩团队对项目情况基本了解，对所监理项目的重点、难点把握不够；人员投入计划对推进工程进度保障一般；实施时间安排合理性一般；回答评委提问不够清晰准确。</w:t>
            </w:r>
          </w:p>
          <w:p w14:paraId="4FF512E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【差】答辩团队对项目情况不了解，对所监理项目的重点、难点不清晰；没有人员投入计划或对推进工程进度保障差；实施时间安排严重不合理；回答评委提问答非所问的或未能按要求出席参加答辩的。</w:t>
            </w:r>
          </w:p>
        </w:tc>
      </w:tr>
    </w:tbl>
    <w:p w14:paraId="0B5D06B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（3）定标委员会根据定标因素对各合格的中标候选人进行评审比较后，采用以差额选举逐轮淘汰投票计数法的“记名投票+撰写评语”方式确定中标人。</w:t>
      </w:r>
    </w:p>
    <w:p w14:paraId="322B3EE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（4）定标委员会中的各成员应独立行使投票权。</w:t>
      </w:r>
    </w:p>
    <w:p w14:paraId="19C0924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（5）定标委员会根据投票情况确定中标人后，撰写、签署定标报告。定标报告由定标委员会全体成员签字，对定标结论持有异议的成员应以书面方式阐述其不同意见和理由。</w:t>
      </w:r>
    </w:p>
    <w:p w14:paraId="3E7EA10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（6）定标委员会向招标人提交书面定标报告后即解散，定标过程中使用的文件、表格以及其他资料不得私自带离。</w:t>
      </w:r>
    </w:p>
    <w:p w14:paraId="1CBA372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3、答辩要求：</w:t>
      </w:r>
    </w:p>
    <w:p w14:paraId="789F6F7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（1）答辩人员组成：由</w:t>
      </w:r>
      <w:r>
        <w:rPr>
          <w:rFonts w:hint="eastAsia" w:ascii="宋体" w:hAnsi="宋体" w:cs="宋体"/>
          <w:color w:val="auto"/>
          <w:kern w:val="0"/>
          <w:sz w:val="24"/>
          <w:szCs w:val="24"/>
          <w:highlight w:val="none"/>
          <w:shd w:val="clear" w:fill="FFFFFF"/>
          <w:lang w:val="en-US" w:eastAsia="zh-CN" w:bidi="ar"/>
        </w:rPr>
        <w:t>项目指挥长</w:t>
      </w:r>
      <w:r>
        <w:rPr>
          <w:rFonts w:hint="eastAsia" w:ascii="宋体" w:hAnsi="宋体" w:eastAsia="宋体" w:cs="宋体"/>
          <w:color w:val="auto"/>
          <w:kern w:val="0"/>
          <w:sz w:val="24"/>
          <w:szCs w:val="24"/>
          <w:highlight w:val="none"/>
          <w:shd w:val="clear" w:fill="FFFFFF"/>
          <w:lang w:val="en-US" w:eastAsia="zh-CN" w:bidi="ar"/>
        </w:rPr>
        <w:t>、总监理工程师、总监理工程师代表其中1人或2人组成</w:t>
      </w:r>
      <w:r>
        <w:rPr>
          <w:rFonts w:hint="default" w:ascii="宋体" w:hAnsi="宋体" w:cs="宋体"/>
          <w:color w:val="auto"/>
          <w:kern w:val="0"/>
          <w:sz w:val="24"/>
          <w:szCs w:val="24"/>
          <w:highlight w:val="none"/>
          <w:shd w:val="clear" w:fill="FFFFFF"/>
          <w:lang w:eastAsia="zh-CN" w:bidi="ar"/>
        </w:rPr>
        <w:t>（</w:t>
      </w:r>
      <w:r>
        <w:rPr>
          <w:rFonts w:hint="eastAsia" w:ascii="宋体" w:hAnsi="宋体" w:eastAsia="宋体" w:cs="宋体"/>
          <w:color w:val="auto"/>
          <w:kern w:val="0"/>
          <w:sz w:val="24"/>
          <w:szCs w:val="24"/>
          <w:highlight w:val="none"/>
          <w:shd w:val="clear" w:fill="FFFFFF"/>
          <w:lang w:val="en-US" w:eastAsia="zh-CN" w:bidi="ar"/>
        </w:rPr>
        <w:t>参与人员须是本单位的在职人员）；</w:t>
      </w:r>
    </w:p>
    <w:p w14:paraId="032F2FEF">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0"/>
          <w:sz w:val="24"/>
          <w:szCs w:val="24"/>
          <w:highlight w:val="none"/>
          <w:shd w:val="clear" w:fill="FFFFFF"/>
          <w:lang w:eastAsia="zh-CN" w:bidi="ar"/>
        </w:rPr>
      </w:pPr>
      <w:r>
        <w:rPr>
          <w:rFonts w:hint="eastAsia" w:ascii="宋体" w:hAnsi="宋体" w:eastAsia="宋体" w:cs="宋体"/>
          <w:color w:val="auto"/>
          <w:kern w:val="0"/>
          <w:sz w:val="24"/>
          <w:szCs w:val="24"/>
          <w:highlight w:val="none"/>
          <w:shd w:val="clear" w:fill="FFFFFF"/>
          <w:lang w:val="en-US" w:eastAsia="zh-CN" w:bidi="ar"/>
        </w:rPr>
        <w:t>（2）</w:t>
      </w:r>
      <w:r>
        <w:rPr>
          <w:rFonts w:hint="default" w:ascii="宋体" w:hAnsi="宋体" w:cs="宋体"/>
          <w:color w:val="auto"/>
          <w:kern w:val="0"/>
          <w:sz w:val="24"/>
          <w:szCs w:val="24"/>
          <w:highlight w:val="none"/>
          <w:shd w:val="clear" w:fill="FFFFFF"/>
          <w:lang w:eastAsia="zh-CN" w:bidi="ar"/>
        </w:rPr>
        <w:t>答辩顺序：开标结束后交易系统导出的开标记录表</w:t>
      </w:r>
      <w:r>
        <w:rPr>
          <w:rFonts w:hint="eastAsia" w:ascii="宋体" w:hAnsi="宋体" w:cs="宋体"/>
          <w:color w:val="auto"/>
          <w:kern w:val="0"/>
          <w:sz w:val="24"/>
          <w:szCs w:val="24"/>
          <w:highlight w:val="none"/>
          <w:shd w:val="clear" w:fill="FFFFFF"/>
          <w:lang w:eastAsia="zh-CN" w:bidi="ar"/>
        </w:rPr>
        <w:t>（</w:t>
      </w:r>
      <w:r>
        <w:rPr>
          <w:rFonts w:hint="eastAsia" w:ascii="宋体" w:hAnsi="宋体" w:cs="宋体"/>
          <w:color w:val="auto"/>
          <w:kern w:val="0"/>
          <w:sz w:val="24"/>
          <w:szCs w:val="24"/>
          <w:highlight w:val="none"/>
          <w:shd w:val="clear" w:fill="FFFFFF"/>
          <w:lang w:val="en-US" w:eastAsia="zh-CN" w:bidi="ar"/>
        </w:rPr>
        <w:t>PDF</w:t>
      </w:r>
      <w:r>
        <w:rPr>
          <w:rFonts w:hint="eastAsia" w:ascii="宋体" w:hAnsi="宋体" w:cs="宋体"/>
          <w:color w:val="auto"/>
          <w:kern w:val="0"/>
          <w:sz w:val="24"/>
          <w:szCs w:val="24"/>
          <w:highlight w:val="none"/>
          <w:shd w:val="clear" w:fill="FFFFFF"/>
          <w:lang w:eastAsia="zh-CN" w:bidi="ar"/>
        </w:rPr>
        <w:t>）</w:t>
      </w:r>
      <w:r>
        <w:rPr>
          <w:rFonts w:hint="default" w:ascii="宋体" w:hAnsi="宋体" w:cs="宋体"/>
          <w:color w:val="auto"/>
          <w:kern w:val="0"/>
          <w:sz w:val="24"/>
          <w:szCs w:val="24"/>
          <w:highlight w:val="none"/>
          <w:shd w:val="clear" w:fill="FFFFFF"/>
          <w:lang w:eastAsia="zh-CN" w:bidi="ar"/>
        </w:rPr>
        <w:t>上面的序号即为各合格的中标候选人的答辩顺序号，按答辩顺序号由小至大依次进行答辩。</w:t>
      </w:r>
    </w:p>
    <w:p w14:paraId="1CEAA4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default" w:ascii="宋体" w:hAnsi="宋体" w:cs="宋体"/>
          <w:color w:val="auto"/>
          <w:kern w:val="0"/>
          <w:sz w:val="24"/>
          <w:szCs w:val="24"/>
          <w:highlight w:val="none"/>
          <w:shd w:val="clear" w:fill="FFFFFF"/>
          <w:lang w:eastAsia="zh-CN" w:bidi="ar"/>
        </w:rPr>
        <w:t>（3）</w:t>
      </w:r>
      <w:r>
        <w:rPr>
          <w:rFonts w:hint="eastAsia" w:ascii="宋体" w:hAnsi="宋体" w:eastAsia="宋体" w:cs="宋体"/>
          <w:color w:val="auto"/>
          <w:kern w:val="0"/>
          <w:sz w:val="24"/>
          <w:szCs w:val="24"/>
          <w:highlight w:val="none"/>
          <w:shd w:val="clear" w:fill="FFFFFF"/>
          <w:lang w:val="en-US" w:eastAsia="zh-CN" w:bidi="ar"/>
        </w:rPr>
        <w:t>答辩人员的到场要求：合格的中标候选人在参加答辩时，应向招标人（招标代理）出示一份加盖公章的法定代表人证明书及授权委托书，并提供答辩人员2025年</w:t>
      </w:r>
      <w:r>
        <w:rPr>
          <w:rFonts w:hint="eastAsia" w:ascii="宋体" w:hAnsi="宋体" w:cs="宋体"/>
          <w:color w:val="auto"/>
          <w:kern w:val="0"/>
          <w:sz w:val="24"/>
          <w:szCs w:val="24"/>
          <w:highlight w:val="none"/>
          <w:shd w:val="clear" w:fill="FFFFFF"/>
          <w:lang w:val="en-US" w:eastAsia="zh-CN" w:bidi="ar"/>
        </w:rPr>
        <w:t>8</w:t>
      </w:r>
      <w:r>
        <w:rPr>
          <w:rFonts w:hint="eastAsia" w:ascii="宋体" w:hAnsi="宋体" w:eastAsia="宋体" w:cs="宋体"/>
          <w:color w:val="auto"/>
          <w:kern w:val="0"/>
          <w:sz w:val="24"/>
          <w:szCs w:val="24"/>
          <w:highlight w:val="none"/>
          <w:shd w:val="clear" w:fill="FFFFFF"/>
          <w:lang w:val="en-US" w:eastAsia="zh-CN" w:bidi="ar"/>
        </w:rPr>
        <w:t>月的社保证明资料复印件（加盖单位公章）。由参与答辩的人员出示身份证原件或身份证电子证书，核对确认身份后签到。未能出示前述证明文件的单位不予参加答辩环节；</w:t>
      </w:r>
    </w:p>
    <w:p w14:paraId="638D7ED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w:t>
      </w:r>
      <w:r>
        <w:rPr>
          <w:rFonts w:hint="default" w:ascii="宋体" w:hAnsi="宋体" w:cs="宋体"/>
          <w:color w:val="auto"/>
          <w:kern w:val="0"/>
          <w:sz w:val="24"/>
          <w:szCs w:val="24"/>
          <w:highlight w:val="none"/>
          <w:shd w:val="clear" w:fill="FFFFFF"/>
          <w:lang w:eastAsia="zh-CN" w:bidi="ar"/>
        </w:rPr>
        <w:t>4</w:t>
      </w:r>
      <w:r>
        <w:rPr>
          <w:rFonts w:hint="eastAsia" w:ascii="宋体" w:hAnsi="宋体" w:eastAsia="宋体" w:cs="宋体"/>
          <w:color w:val="auto"/>
          <w:kern w:val="0"/>
          <w:sz w:val="24"/>
          <w:szCs w:val="24"/>
          <w:highlight w:val="none"/>
          <w:shd w:val="clear" w:fill="FFFFFF"/>
          <w:lang w:val="en-US" w:eastAsia="zh-CN" w:bidi="ar"/>
        </w:rPr>
        <w:t>）答辩形式与要求：答辩人员先陈述，定标委员会针对答辩内容提问，由答辩人员进行解答；</w:t>
      </w:r>
    </w:p>
    <w:p w14:paraId="0315F60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w:t>
      </w:r>
      <w:r>
        <w:rPr>
          <w:rFonts w:hint="default" w:ascii="宋体" w:hAnsi="宋体" w:cs="宋体"/>
          <w:color w:val="auto"/>
          <w:kern w:val="0"/>
          <w:sz w:val="24"/>
          <w:szCs w:val="24"/>
          <w:highlight w:val="none"/>
          <w:shd w:val="clear" w:fill="FFFFFF"/>
          <w:lang w:eastAsia="zh-CN" w:bidi="ar"/>
        </w:rPr>
        <w:t>5</w:t>
      </w:r>
      <w:r>
        <w:rPr>
          <w:rFonts w:hint="eastAsia" w:ascii="宋体" w:hAnsi="宋体" w:eastAsia="宋体" w:cs="宋体"/>
          <w:color w:val="auto"/>
          <w:kern w:val="0"/>
          <w:sz w:val="24"/>
          <w:szCs w:val="24"/>
          <w:highlight w:val="none"/>
          <w:shd w:val="clear" w:fill="FFFFFF"/>
          <w:lang w:val="en-US" w:eastAsia="zh-CN" w:bidi="ar"/>
        </w:rPr>
        <w:t>）</w:t>
      </w:r>
      <w:r>
        <w:rPr>
          <w:rFonts w:hint="eastAsia" w:ascii="宋体" w:hAnsi="宋体" w:cs="宋体"/>
          <w:color w:val="auto"/>
          <w:kern w:val="0"/>
          <w:sz w:val="24"/>
          <w:szCs w:val="24"/>
          <w:highlight w:val="none"/>
          <w:shd w:val="clear" w:fill="FFFFFF"/>
          <w:lang w:val="en-US" w:eastAsia="zh-CN" w:bidi="ar"/>
        </w:rPr>
        <w:t>答辩</w:t>
      </w:r>
      <w:r>
        <w:rPr>
          <w:rFonts w:hint="eastAsia" w:ascii="宋体" w:hAnsi="宋体" w:eastAsia="宋体" w:cs="宋体"/>
          <w:color w:val="auto"/>
          <w:kern w:val="0"/>
          <w:sz w:val="24"/>
          <w:szCs w:val="24"/>
          <w:highlight w:val="none"/>
          <w:shd w:val="clear" w:fill="FFFFFF"/>
          <w:lang w:val="en-US" w:eastAsia="zh-CN" w:bidi="ar"/>
        </w:rPr>
        <w:t>时长：每家投标人答辩总时长控制在10分钟内，其中答辩团队的陈述时间不得多于6分钟。</w:t>
      </w:r>
    </w:p>
    <w:p w14:paraId="475084A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cs="宋体"/>
          <w:color w:val="auto"/>
          <w:kern w:val="0"/>
          <w:sz w:val="24"/>
          <w:szCs w:val="24"/>
          <w:highlight w:val="none"/>
          <w:shd w:val="clear" w:fill="FFFFFF"/>
          <w:lang w:val="en-US" w:eastAsia="zh-CN" w:bidi="ar"/>
        </w:rPr>
        <w:t>（</w:t>
      </w:r>
      <w:r>
        <w:rPr>
          <w:rFonts w:hint="default" w:ascii="宋体" w:hAnsi="宋体" w:cs="宋体"/>
          <w:color w:val="auto"/>
          <w:kern w:val="0"/>
          <w:sz w:val="24"/>
          <w:szCs w:val="24"/>
          <w:highlight w:val="none"/>
          <w:shd w:val="clear" w:fill="FFFFFF"/>
          <w:lang w:eastAsia="zh-CN" w:bidi="ar"/>
        </w:rPr>
        <w:t>6</w:t>
      </w:r>
      <w:r>
        <w:rPr>
          <w:rFonts w:hint="eastAsia" w:ascii="宋体" w:hAnsi="宋体" w:cs="宋体"/>
          <w:color w:val="auto"/>
          <w:kern w:val="0"/>
          <w:sz w:val="24"/>
          <w:szCs w:val="24"/>
          <w:highlight w:val="none"/>
          <w:shd w:val="clear" w:fill="FFFFFF"/>
          <w:lang w:val="en-US" w:eastAsia="zh-CN" w:bidi="ar"/>
        </w:rPr>
        <w:t>）本项目答辩时允许携带稿件和纸笔，但不得携带具有通讯、存储、编程、查询等功能的电子产品（包括但不限于电脑、手机、智能手表、智能手环、智能眼镜等），如发现携带上述电子产品的，答辩无效。</w:t>
      </w:r>
    </w:p>
    <w:p w14:paraId="6CECF3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4、（1）定标后出现中标人</w:t>
      </w:r>
      <w:r>
        <w:rPr>
          <w:rFonts w:hint="default" w:ascii="宋体" w:hAnsi="宋体" w:cs="宋体"/>
          <w:color w:val="auto"/>
          <w:kern w:val="0"/>
          <w:sz w:val="24"/>
          <w:szCs w:val="24"/>
          <w:highlight w:val="none"/>
          <w:shd w:val="clear" w:fill="FFFFFF"/>
          <w:lang w:eastAsia="zh-CN" w:bidi="ar"/>
        </w:rPr>
        <w:t>放弃中标、因不可抗力不能履行合同或</w:t>
      </w:r>
      <w:r>
        <w:rPr>
          <w:rFonts w:hint="eastAsia" w:ascii="宋体" w:hAnsi="宋体" w:eastAsia="宋体" w:cs="宋体"/>
          <w:color w:val="auto"/>
          <w:kern w:val="0"/>
          <w:sz w:val="24"/>
          <w:szCs w:val="24"/>
          <w:highlight w:val="none"/>
          <w:shd w:val="clear" w:fill="FFFFFF"/>
          <w:lang w:val="en-US" w:eastAsia="zh-CN" w:bidi="ar"/>
        </w:rPr>
        <w:t>不符合法定情形的，招标人可从其他合格的中标候选人中采用原定标办法，由原定标委员会</w:t>
      </w:r>
      <w:r>
        <w:rPr>
          <w:rFonts w:hint="default" w:ascii="宋体" w:hAnsi="宋体" w:cs="宋体"/>
          <w:color w:val="auto"/>
          <w:kern w:val="0"/>
          <w:sz w:val="24"/>
          <w:szCs w:val="24"/>
          <w:highlight w:val="none"/>
          <w:shd w:val="clear" w:fill="FFFFFF"/>
          <w:lang w:eastAsia="zh-CN" w:bidi="ar"/>
        </w:rPr>
        <w:t>重新</w:t>
      </w:r>
      <w:r>
        <w:rPr>
          <w:rFonts w:hint="eastAsia" w:ascii="宋体" w:hAnsi="宋体" w:eastAsia="宋体" w:cs="宋体"/>
          <w:color w:val="auto"/>
          <w:kern w:val="0"/>
          <w:sz w:val="24"/>
          <w:szCs w:val="24"/>
          <w:highlight w:val="none"/>
          <w:shd w:val="clear" w:fill="FFFFFF"/>
          <w:lang w:val="en-US" w:eastAsia="zh-CN" w:bidi="ar"/>
        </w:rPr>
        <w:t>确定中标人，也可以重新招标。</w:t>
      </w:r>
    </w:p>
    <w:p w14:paraId="3DBD36E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rPr>
      </w:pPr>
      <w:r>
        <w:rPr>
          <w:rFonts w:hint="eastAsia" w:ascii="宋体" w:hAnsi="宋体" w:eastAsia="宋体" w:cs="宋体"/>
          <w:color w:val="auto"/>
          <w:kern w:val="0"/>
          <w:sz w:val="24"/>
          <w:szCs w:val="24"/>
          <w:highlight w:val="none"/>
          <w:shd w:val="clear" w:fill="FFFFFF"/>
          <w:lang w:val="en-US" w:eastAsia="zh-CN" w:bidi="ar"/>
        </w:rPr>
        <w:t>（2）因质疑或投诉生效，需要重新评标或定标的，评标、定标信息（含业绩、奖项等）仍以投标截止时投标人的信息为准。因特殊原因需要延长投标有效期，投标人拒绝延长投标有效期的，仍参与评标、定标，但不被推荐为中标人。</w:t>
      </w:r>
    </w:p>
    <w:p w14:paraId="7A9E3D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FFFFFF"/>
          <w:lang w:val="en-US" w:eastAsia="zh-CN" w:bidi="ar"/>
        </w:rPr>
      </w:pPr>
      <w:r>
        <w:rPr>
          <w:rFonts w:hint="eastAsia" w:ascii="宋体" w:hAnsi="宋体" w:eastAsia="宋体" w:cs="宋体"/>
          <w:color w:val="auto"/>
          <w:kern w:val="0"/>
          <w:sz w:val="24"/>
          <w:szCs w:val="24"/>
          <w:highlight w:val="none"/>
          <w:shd w:val="clear" w:fill="FFFFFF"/>
          <w:lang w:val="en-US" w:eastAsia="zh-CN" w:bidi="ar"/>
        </w:rPr>
        <w:t>（3）投标人如在本项目中存在串通投标、弄虚作假、行贿情形且在评标过程中未被发现的，其投标不改变本项目评标结果。招标人按照《中华人民共和国招标投标法实施条例》第五十五条的规定确定中标人或重新招标。</w:t>
      </w:r>
    </w:p>
    <w:p w14:paraId="433ECBAE">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Times New Roman"/>
          <w:b/>
          <w:bCs w:val="0"/>
          <w:color w:val="auto"/>
          <w:kern w:val="2"/>
          <w:sz w:val="28"/>
          <w:szCs w:val="28"/>
          <w:highlight w:val="none"/>
        </w:rPr>
      </w:pPr>
      <w:r>
        <w:rPr>
          <w:rFonts w:hint="eastAsia" w:ascii="宋体" w:hAnsi="宋体" w:eastAsia="宋体" w:cs="Times New Roman"/>
          <w:b/>
          <w:bCs w:val="0"/>
          <w:color w:val="auto"/>
          <w:kern w:val="2"/>
          <w:sz w:val="28"/>
          <w:szCs w:val="28"/>
          <w:highlight w:val="none"/>
          <w:lang w:val="en-US" w:eastAsia="zh-CN" w:bidi="ar"/>
        </w:rPr>
        <w:br w:type="page"/>
      </w:r>
    </w:p>
    <w:p w14:paraId="25E14700">
      <w:pPr>
        <w:pStyle w:val="10"/>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附表</w:t>
      </w:r>
      <w:r>
        <w:rPr>
          <w:rFonts w:hint="default" w:ascii="宋体" w:hAnsi="宋体" w:eastAsia="宋体" w:cs="宋体"/>
          <w:b/>
          <w:bCs w:val="0"/>
          <w:color w:val="auto"/>
          <w:kern w:val="2"/>
          <w:sz w:val="28"/>
          <w:szCs w:val="28"/>
          <w:highlight w:val="none"/>
          <w:lang w:eastAsia="zh-CN" w:bidi="ar"/>
        </w:rPr>
        <w:t>2</w:t>
      </w:r>
      <w:r>
        <w:rPr>
          <w:rFonts w:hint="eastAsia" w:ascii="宋体" w:hAnsi="宋体" w:eastAsia="宋体" w:cs="宋体"/>
          <w:b/>
          <w:bCs w:val="0"/>
          <w:color w:val="auto"/>
          <w:kern w:val="2"/>
          <w:sz w:val="28"/>
          <w:szCs w:val="28"/>
          <w:highlight w:val="none"/>
          <w:lang w:val="en-US" w:eastAsia="zh-CN" w:bidi="ar"/>
        </w:rPr>
        <w:t>：定标评语</w:t>
      </w:r>
    </w:p>
    <w:p w14:paraId="3C832E6E">
      <w:pPr>
        <w:keepNext w:val="0"/>
        <w:keepLines w:val="0"/>
        <w:widowControl w:val="0"/>
        <w:suppressLineNumbers w:val="0"/>
        <w:spacing w:before="400" w:beforeAutospacing="0" w:after="0" w:afterAutospacing="0"/>
        <w:ind w:left="0" w:right="0"/>
        <w:jc w:val="center"/>
        <w:rPr>
          <w:rFonts w:hint="eastAsia" w:ascii="宋体" w:hAnsi="宋体" w:eastAsia="宋体" w:cs="Times New Roman"/>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定标评语</w:t>
      </w:r>
    </w:p>
    <w:p w14:paraId="6D8C139C">
      <w:pPr>
        <w:keepNext w:val="0"/>
        <w:keepLines w:val="0"/>
        <w:widowControl w:val="0"/>
        <w:suppressLineNumbers w:val="0"/>
        <w:spacing w:before="240" w:beforeAutospacing="0" w:after="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r>
        <w:rPr>
          <w:rFonts w:hint="eastAsia" w:ascii="宋体" w:hAnsi="宋体" w:eastAsia="宋体" w:cs="Times New Roman"/>
          <w:color w:val="auto"/>
          <w:kern w:val="2"/>
          <w:sz w:val="21"/>
          <w:szCs w:val="21"/>
          <w:highlight w:val="none"/>
          <w:u w:val="single"/>
          <w:lang w:val="en-US" w:eastAsia="zh-CN" w:bidi="ar"/>
        </w:rPr>
        <w:t xml:space="preserve">                             </w:t>
      </w:r>
    </w:p>
    <w:tbl>
      <w:tblPr>
        <w:tblStyle w:val="1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2"/>
        <w:gridCol w:w="2628"/>
        <w:gridCol w:w="1523"/>
        <w:gridCol w:w="3443"/>
      </w:tblGrid>
      <w:tr w14:paraId="737C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8"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DB37A60">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r>
              <w:rPr>
                <w:rFonts w:hint="eastAsia" w:ascii="宋体" w:hAnsi="宋体" w:cs="宋体"/>
                <w:color w:val="auto"/>
                <w:kern w:val="2"/>
                <w:sz w:val="21"/>
                <w:szCs w:val="21"/>
                <w:highlight w:val="none"/>
                <w:lang w:val="en-US" w:eastAsia="zh-CN" w:bidi="ar"/>
              </w:rPr>
              <w:t>统一</w:t>
            </w:r>
            <w:r>
              <w:rPr>
                <w:rFonts w:hint="eastAsia" w:ascii="宋体" w:hAnsi="宋体" w:eastAsia="宋体" w:cs="宋体"/>
                <w:color w:val="auto"/>
                <w:kern w:val="2"/>
                <w:sz w:val="21"/>
                <w:szCs w:val="21"/>
                <w:highlight w:val="none"/>
                <w:lang w:val="en-US" w:eastAsia="zh-CN" w:bidi="ar"/>
              </w:rPr>
              <w:t>社会信用代码后</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4 </w:t>
            </w:r>
          </w:p>
          <w:p w14:paraId="4BEFBDCD">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位（除校验码外）</w:t>
            </w:r>
          </w:p>
        </w:tc>
        <w:tc>
          <w:tcPr>
            <w:tcW w:w="2628" w:type="dxa"/>
            <w:tcBorders>
              <w:top w:val="single" w:color="auto" w:sz="4" w:space="0"/>
              <w:left w:val="nil"/>
              <w:bottom w:val="single" w:color="auto" w:sz="4" w:space="0"/>
              <w:right w:val="single" w:color="auto" w:sz="4" w:space="0"/>
            </w:tcBorders>
            <w:shd w:val="clear" w:color="auto" w:fill="auto"/>
            <w:vAlign w:val="center"/>
          </w:tcPr>
          <w:p w14:paraId="7D09D1F2">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合格中标候选人名称</w:t>
            </w:r>
          </w:p>
        </w:tc>
        <w:tc>
          <w:tcPr>
            <w:tcW w:w="4966" w:type="dxa"/>
            <w:gridSpan w:val="2"/>
            <w:tcBorders>
              <w:top w:val="single" w:color="auto" w:sz="4" w:space="0"/>
              <w:left w:val="nil"/>
              <w:bottom w:val="single" w:color="auto" w:sz="4" w:space="0"/>
              <w:right w:val="single" w:color="auto" w:sz="4" w:space="0"/>
            </w:tcBorders>
            <w:shd w:val="clear" w:color="auto" w:fill="auto"/>
            <w:vAlign w:val="center"/>
          </w:tcPr>
          <w:p w14:paraId="7B6821E5">
            <w:pPr>
              <w:keepNext w:val="0"/>
              <w:keepLines w:val="0"/>
              <w:widowControl w:val="0"/>
              <w:suppressLineNumbers w:val="0"/>
              <w:spacing w:before="0" w:beforeAutospacing="0" w:after="0" w:afterAutospacing="0"/>
              <w:ind w:left="0" w:right="0"/>
              <w:jc w:val="both"/>
              <w:rPr>
                <w:rFonts w:hint="default"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评语（针对价格因素、资信因素</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方案因素、团队因素、答辩因素撰写评语）</w:t>
            </w:r>
          </w:p>
        </w:tc>
      </w:tr>
      <w:tr w14:paraId="0940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14F890DE">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2628" w:type="dxa"/>
            <w:vMerge w:val="restart"/>
            <w:tcBorders>
              <w:top w:val="nil"/>
              <w:left w:val="nil"/>
              <w:bottom w:val="single" w:color="auto" w:sz="4" w:space="0"/>
              <w:right w:val="single" w:color="auto" w:sz="4" w:space="0"/>
            </w:tcBorders>
            <w:shd w:val="clear" w:color="auto" w:fill="auto"/>
            <w:vAlign w:val="center"/>
          </w:tcPr>
          <w:p w14:paraId="57913926">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937C43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1596E24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0B13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3" w:hRule="atLeast"/>
          <w:jc w:val="center"/>
        </w:trPr>
        <w:tc>
          <w:tcPr>
            <w:tcW w:w="1322" w:type="dxa"/>
            <w:vMerge w:val="continue"/>
            <w:tcBorders>
              <w:left w:val="single" w:color="auto" w:sz="4" w:space="0"/>
              <w:right w:val="single" w:color="auto" w:sz="4" w:space="0"/>
            </w:tcBorders>
            <w:shd w:val="clear" w:color="auto" w:fill="auto"/>
            <w:vAlign w:val="center"/>
          </w:tcPr>
          <w:p w14:paraId="57339FD0">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2628" w:type="dxa"/>
            <w:vMerge w:val="continue"/>
            <w:tcBorders>
              <w:left w:val="nil"/>
              <w:right w:val="single" w:color="auto" w:sz="4" w:space="0"/>
            </w:tcBorders>
            <w:shd w:val="clear" w:color="auto" w:fill="auto"/>
            <w:vAlign w:val="center"/>
          </w:tcPr>
          <w:p w14:paraId="5CCD2CF3">
            <w:pPr>
              <w:keepNext w:val="0"/>
              <w:keepLines w:val="0"/>
              <w:widowControl w:val="0"/>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0B60B223">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4E1A7ED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437A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1D71DED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3A1EEA1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743CBDE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1321BDB1">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6CF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18AACA2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6817279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111BF6E2">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7FBDF7CA">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72AB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5B5CAC0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4CF74C2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6975BB5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02E77AB1">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0B98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restart"/>
            <w:tcBorders>
              <w:top w:val="nil"/>
              <w:left w:val="single" w:color="auto" w:sz="4" w:space="0"/>
              <w:bottom w:val="single" w:color="auto" w:sz="4" w:space="0"/>
              <w:right w:val="single" w:color="auto" w:sz="4" w:space="0"/>
            </w:tcBorders>
            <w:shd w:val="clear" w:color="auto" w:fill="auto"/>
            <w:vAlign w:val="center"/>
          </w:tcPr>
          <w:p w14:paraId="058E4127">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2628" w:type="dxa"/>
            <w:vMerge w:val="restart"/>
            <w:tcBorders>
              <w:top w:val="nil"/>
              <w:left w:val="nil"/>
              <w:bottom w:val="single" w:color="auto" w:sz="4" w:space="0"/>
              <w:right w:val="single" w:color="auto" w:sz="4" w:space="0"/>
            </w:tcBorders>
            <w:shd w:val="clear" w:color="auto" w:fill="auto"/>
            <w:vAlign w:val="center"/>
          </w:tcPr>
          <w:p w14:paraId="242857B4">
            <w:pPr>
              <w:keepNext w:val="0"/>
              <w:keepLines w:val="0"/>
              <w:widowControl/>
              <w:suppressLineNumbers w:val="0"/>
              <w:spacing w:before="0" w:beforeAutospacing="0" w:after="0" w:afterAutospacing="0"/>
              <w:ind w:left="0" w:right="0"/>
              <w:jc w:val="left"/>
              <w:rPr>
                <w:rFonts w:hint="default" w:ascii="宋体" w:hAnsi="宋体" w:eastAsia="宋体" w:cs="Times New Roman"/>
                <w:color w:val="auto"/>
                <w:kern w:val="2"/>
                <w:sz w:val="21"/>
                <w:szCs w:val="21"/>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54C89208">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39657FF3">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4CC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vMerge w:val="continue"/>
            <w:tcBorders>
              <w:left w:val="single" w:color="auto" w:sz="4" w:space="0"/>
              <w:right w:val="single" w:color="auto" w:sz="4" w:space="0"/>
            </w:tcBorders>
            <w:shd w:val="clear" w:color="auto" w:fill="auto"/>
            <w:vAlign w:val="center"/>
          </w:tcPr>
          <w:p w14:paraId="0DEDB118">
            <w:pPr>
              <w:keepNext w:val="0"/>
              <w:keepLines w:val="0"/>
              <w:widowControl/>
              <w:suppressLineNumbers w:val="0"/>
              <w:spacing w:before="0" w:beforeAutospacing="0" w:after="0" w:afterAutospacing="0"/>
              <w:ind w:left="0" w:right="0"/>
              <w:jc w:val="center"/>
              <w:rPr>
                <w:rFonts w:hint="default" w:ascii="宋体" w:hAnsi="宋体" w:eastAsia="宋体" w:cs="Times New Roman"/>
                <w:color w:val="auto"/>
                <w:kern w:val="2"/>
                <w:sz w:val="21"/>
                <w:szCs w:val="21"/>
                <w:highlight w:val="none"/>
              </w:rPr>
            </w:pPr>
          </w:p>
        </w:tc>
        <w:tc>
          <w:tcPr>
            <w:tcW w:w="2628" w:type="dxa"/>
            <w:vMerge w:val="continue"/>
            <w:tcBorders>
              <w:left w:val="nil"/>
              <w:right w:val="single" w:color="auto" w:sz="4" w:space="0"/>
            </w:tcBorders>
            <w:shd w:val="clear" w:color="auto" w:fill="auto"/>
            <w:vAlign w:val="center"/>
          </w:tcPr>
          <w:p w14:paraId="0676D794">
            <w:pPr>
              <w:keepNext w:val="0"/>
              <w:keepLines w:val="0"/>
              <w:widowControl/>
              <w:suppressLineNumbers w:val="0"/>
              <w:spacing w:before="0" w:beforeAutospacing="0" w:after="0" w:afterAutospacing="0"/>
              <w:ind w:left="0" w:right="0"/>
              <w:jc w:val="left"/>
              <w:rPr>
                <w:rFonts w:hint="default" w:ascii="宋体" w:hAnsi="宋体" w:eastAsia="宋体" w:cs="Times New Roman"/>
                <w:color w:val="auto"/>
                <w:kern w:val="2"/>
                <w:sz w:val="21"/>
                <w:szCs w:val="21"/>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660BF555">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资信因素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291A7086">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4B06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0FE145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5081C56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4A6A5B57">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方案因素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644A82E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198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710FF8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7433465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2B5B7288">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团队因素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55857ED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2FD7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2" w:hRule="atLeast"/>
          <w:jc w:val="center"/>
        </w:trPr>
        <w:tc>
          <w:tcPr>
            <w:tcW w:w="1322" w:type="dxa"/>
            <w:vMerge w:val="continue"/>
            <w:tcBorders>
              <w:top w:val="nil"/>
              <w:left w:val="single" w:color="auto" w:sz="4" w:space="0"/>
              <w:bottom w:val="single" w:color="auto" w:sz="4" w:space="0"/>
              <w:right w:val="single" w:color="auto" w:sz="4" w:space="0"/>
            </w:tcBorders>
            <w:shd w:val="clear" w:color="auto" w:fill="auto"/>
            <w:vAlign w:val="center"/>
          </w:tcPr>
          <w:p w14:paraId="5CF395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628" w:type="dxa"/>
            <w:vMerge w:val="continue"/>
            <w:tcBorders>
              <w:top w:val="nil"/>
              <w:left w:val="nil"/>
              <w:bottom w:val="single" w:color="auto" w:sz="4" w:space="0"/>
              <w:right w:val="single" w:color="auto" w:sz="4" w:space="0"/>
            </w:tcBorders>
            <w:shd w:val="clear" w:color="auto" w:fill="auto"/>
            <w:vAlign w:val="center"/>
          </w:tcPr>
          <w:p w14:paraId="016C9C3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3A2844F9">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答辩因素</w:t>
            </w:r>
          </w:p>
        </w:tc>
        <w:tc>
          <w:tcPr>
            <w:tcW w:w="3443" w:type="dxa"/>
            <w:tcBorders>
              <w:top w:val="single" w:color="auto" w:sz="4" w:space="0"/>
              <w:left w:val="nil"/>
              <w:bottom w:val="single" w:color="auto" w:sz="4" w:space="0"/>
              <w:right w:val="single" w:color="auto" w:sz="4" w:space="0"/>
            </w:tcBorders>
            <w:shd w:val="clear" w:color="auto" w:fill="auto"/>
            <w:vAlign w:val="center"/>
          </w:tcPr>
          <w:p w14:paraId="3B508CEE">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54BA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72BA2CD">
            <w:pPr>
              <w:keepNext w:val="0"/>
              <w:keepLines w:val="0"/>
              <w:widowControl/>
              <w:suppressLineNumbers w:val="0"/>
              <w:spacing w:before="0" w:beforeAutospacing="0" w:after="0" w:afterAutospacing="0"/>
              <w:ind w:left="0" w:right="0"/>
              <w:jc w:val="left"/>
              <w:rPr>
                <w:rFonts w:hint="default"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2628" w:type="dxa"/>
            <w:tcBorders>
              <w:top w:val="single" w:color="auto" w:sz="4" w:space="0"/>
              <w:left w:val="nil"/>
              <w:bottom w:val="single" w:color="auto" w:sz="4" w:space="0"/>
              <w:right w:val="single" w:color="auto" w:sz="4" w:space="0"/>
            </w:tcBorders>
            <w:shd w:val="clear" w:color="auto" w:fill="auto"/>
            <w:vAlign w:val="center"/>
          </w:tcPr>
          <w:p w14:paraId="26801536">
            <w:pPr>
              <w:keepNext w:val="0"/>
              <w:keepLines w:val="0"/>
              <w:widowControl/>
              <w:suppressLineNumbers w:val="0"/>
              <w:spacing w:before="0" w:beforeAutospacing="0" w:after="0" w:afterAutospacing="0"/>
              <w:ind w:left="0" w:right="0"/>
              <w:jc w:val="left"/>
              <w:rPr>
                <w:rFonts w:hint="default" w:ascii="宋体" w:hAnsi="宋体" w:eastAsia="宋体" w:cs="Times New Roman"/>
                <w:color w:val="auto"/>
                <w:kern w:val="2"/>
                <w:sz w:val="21"/>
                <w:szCs w:val="21"/>
                <w:highlight w:val="none"/>
              </w:rPr>
            </w:pPr>
          </w:p>
        </w:tc>
        <w:tc>
          <w:tcPr>
            <w:tcW w:w="1523" w:type="dxa"/>
            <w:tcBorders>
              <w:top w:val="single" w:color="auto" w:sz="4" w:space="0"/>
              <w:left w:val="nil"/>
              <w:bottom w:val="single" w:color="auto" w:sz="4" w:space="0"/>
              <w:right w:val="single" w:color="auto" w:sz="4" w:space="0"/>
            </w:tcBorders>
            <w:shd w:val="clear" w:color="auto" w:fill="auto"/>
            <w:vAlign w:val="center"/>
          </w:tcPr>
          <w:p w14:paraId="6934DCB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3443" w:type="dxa"/>
            <w:tcBorders>
              <w:top w:val="single" w:color="auto" w:sz="4" w:space="0"/>
              <w:left w:val="nil"/>
              <w:bottom w:val="single" w:color="auto" w:sz="4" w:space="0"/>
              <w:right w:val="single" w:color="auto" w:sz="4" w:space="0"/>
            </w:tcBorders>
            <w:shd w:val="clear" w:color="auto" w:fill="auto"/>
            <w:vAlign w:val="center"/>
          </w:tcPr>
          <w:p w14:paraId="6ABC534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bl>
    <w:p w14:paraId="4142F82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14:paraId="4F895B9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p>
    <w:p w14:paraId="1E2CABAB">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签名：</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Times New Roman"/>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487678D">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bidi="ar"/>
        </w:rPr>
        <w:t xml:space="preserve"> </w:t>
      </w:r>
    </w:p>
    <w:p w14:paraId="17981699">
      <w:pPr>
        <w:keepNext w:val="0"/>
        <w:keepLines w:val="0"/>
        <w:widowControl/>
        <w:suppressLineNumbers w:val="0"/>
        <w:spacing w:before="0" w:beforeAutospacing="0" w:after="0" w:afterAutospacing="0"/>
        <w:ind w:left="0" w:right="0"/>
        <w:jc w:val="left"/>
        <w:rPr>
          <w:rFonts w:hint="eastAsia" w:ascii="宋体" w:hAnsi="宋体" w:eastAsia="宋体" w:cs="Times New Roman"/>
          <w:b/>
          <w:bCs w:val="0"/>
          <w:color w:val="auto"/>
          <w:kern w:val="0"/>
          <w:sz w:val="21"/>
          <w:szCs w:val="21"/>
          <w:highlight w:val="none"/>
          <w:shd w:val="clear" w:fill="FFFFFF"/>
        </w:rPr>
      </w:pPr>
      <w:r>
        <w:rPr>
          <w:rFonts w:hint="default" w:ascii="Calibri" w:hAnsi="Calibri" w:eastAsia="宋体" w:cs="Times New Roman"/>
          <w:b/>
          <w:bCs w:val="0"/>
          <w:color w:val="auto"/>
          <w:kern w:val="2"/>
          <w:sz w:val="21"/>
          <w:szCs w:val="21"/>
          <w:highlight w:val="none"/>
          <w:shd w:val="clear" w:fill="FFFFFF"/>
          <w:lang w:val="en-US" w:eastAsia="zh-CN" w:bidi="ar"/>
        </w:rPr>
        <w:br w:type="page"/>
      </w:r>
    </w:p>
    <w:p w14:paraId="5F2FCF88">
      <w:pPr>
        <w:pStyle w:val="10"/>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附表</w:t>
      </w:r>
      <w:r>
        <w:rPr>
          <w:rFonts w:hint="default" w:ascii="宋体" w:hAnsi="宋体" w:eastAsia="宋体" w:cs="宋体"/>
          <w:b/>
          <w:bCs w:val="0"/>
          <w:color w:val="auto"/>
          <w:kern w:val="2"/>
          <w:sz w:val="28"/>
          <w:szCs w:val="28"/>
          <w:highlight w:val="none"/>
          <w:lang w:eastAsia="zh-CN" w:bidi="ar"/>
        </w:rPr>
        <w:t>3</w:t>
      </w:r>
      <w:r>
        <w:rPr>
          <w:rFonts w:hint="eastAsia" w:ascii="宋体" w:hAnsi="宋体" w:eastAsia="宋体" w:cs="宋体"/>
          <w:b/>
          <w:bCs w:val="0"/>
          <w:color w:val="auto"/>
          <w:kern w:val="2"/>
          <w:sz w:val="28"/>
          <w:szCs w:val="28"/>
          <w:highlight w:val="none"/>
          <w:lang w:val="en-US" w:eastAsia="zh-CN" w:bidi="ar"/>
        </w:rPr>
        <w:t>：投票表格</w:t>
      </w:r>
    </w:p>
    <w:p w14:paraId="635E37E6">
      <w:pPr>
        <w:keepNext w:val="0"/>
        <w:keepLines w:val="0"/>
        <w:widowControl/>
        <w:suppressLineNumbers w:val="0"/>
        <w:snapToGrid w:val="0"/>
        <w:spacing w:before="0" w:beforeAutospacing="0" w:after="0" w:afterAutospacing="0" w:line="360" w:lineRule="auto"/>
        <w:ind w:left="0" w:right="0" w:firstLine="649" w:firstLineChars="202"/>
        <w:jc w:val="center"/>
        <w:rPr>
          <w:rFonts w:hint="eastAsia" w:ascii="宋体" w:hAnsi="宋体" w:eastAsia="宋体" w:cs="Times New Roman"/>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投票表格</w:t>
      </w:r>
    </w:p>
    <w:p w14:paraId="75DF7FE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w:t>
      </w:r>
      <w:r>
        <w:rPr>
          <w:rFonts w:hint="eastAsia" w:ascii="宋体" w:hAnsi="宋体" w:eastAsia="宋体" w:cs="Times New Roman"/>
          <w:color w:val="auto"/>
          <w:kern w:val="2"/>
          <w:sz w:val="24"/>
          <w:szCs w:val="24"/>
          <w:highlight w:val="none"/>
          <w:u w:val="single"/>
          <w:lang w:val="en-US" w:eastAsia="zh-CN" w:bidi="ar"/>
        </w:rPr>
        <w:t xml:space="preserve">                             </w:t>
      </w:r>
    </w:p>
    <w:tbl>
      <w:tblPr>
        <w:tblStyle w:val="12"/>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1893"/>
        <w:gridCol w:w="1893"/>
        <w:gridCol w:w="1893"/>
        <w:gridCol w:w="1893"/>
      </w:tblGrid>
      <w:tr w14:paraId="2E19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1FE53E07">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eastAsia" w:ascii="Calibri" w:hAnsi="Calibri" w:eastAsia="宋体" w:cs="Times New Roman"/>
                <w:color w:val="auto"/>
                <w:kern w:val="2"/>
                <w:sz w:val="21"/>
                <w:szCs w:val="21"/>
                <w:highlight w:val="none"/>
                <w:lang w:val="en-US" w:eastAsia="zh-CN" w:bidi="ar"/>
              </w:rPr>
              <w:t xml:space="preserve"> </w:t>
            </w:r>
            <w:r>
              <w:rPr>
                <w:rFonts w:hint="default" w:ascii="Calibri" w:hAnsi="Calibri" w:eastAsia="宋体" w:cs="Calibri"/>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轮</w:t>
            </w:r>
          </w:p>
        </w:tc>
        <w:tc>
          <w:tcPr>
            <w:tcW w:w="1893" w:type="dxa"/>
            <w:tcBorders>
              <w:top w:val="double" w:color="auto" w:sz="2" w:space="0"/>
              <w:left w:val="nil"/>
              <w:bottom w:val="double" w:color="auto" w:sz="2" w:space="0"/>
              <w:right w:val="single" w:color="auto" w:sz="4" w:space="0"/>
            </w:tcBorders>
            <w:shd w:val="clear" w:color="auto" w:fill="auto"/>
            <w:vAlign w:val="top"/>
          </w:tcPr>
          <w:p w14:paraId="24BF67C9">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6B9E76B5">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c>
          <w:tcPr>
            <w:tcW w:w="1893" w:type="dxa"/>
            <w:tcBorders>
              <w:top w:val="double" w:color="auto" w:sz="2" w:space="0"/>
              <w:left w:val="single" w:color="auto" w:sz="4" w:space="0"/>
              <w:bottom w:val="double" w:color="auto" w:sz="2" w:space="0"/>
              <w:right w:val="single" w:color="auto" w:sz="4" w:space="0"/>
            </w:tcBorders>
            <w:shd w:val="clear" w:color="auto" w:fill="auto"/>
            <w:vAlign w:val="top"/>
          </w:tcPr>
          <w:p w14:paraId="55530EFF">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c>
          <w:tcPr>
            <w:tcW w:w="1893" w:type="dxa"/>
            <w:tcBorders>
              <w:top w:val="double" w:color="auto" w:sz="2" w:space="0"/>
              <w:left w:val="single" w:color="auto" w:sz="4" w:space="0"/>
              <w:bottom w:val="double" w:color="auto" w:sz="2" w:space="0"/>
              <w:right w:val="double" w:color="auto" w:sz="2" w:space="0"/>
            </w:tcBorders>
            <w:shd w:val="clear" w:color="auto" w:fill="auto"/>
            <w:vAlign w:val="top"/>
          </w:tcPr>
          <w:p w14:paraId="5D6DD2EC">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6E2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1"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096A7875">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eastAsia" w:ascii="Calibri" w:hAnsi="Calibri" w:eastAsia="宋体" w:cs="Times New Roman"/>
                <w:color w:val="auto"/>
                <w:kern w:val="2"/>
                <w:sz w:val="21"/>
                <w:szCs w:val="21"/>
                <w:highlight w:val="none"/>
                <w:lang w:val="en-US" w:eastAsia="zh-CN" w:bidi="ar"/>
              </w:rPr>
              <w:t xml:space="preserve"> </w:t>
            </w:r>
            <w:r>
              <w:rPr>
                <w:rFonts w:hint="default" w:ascii="Calibri" w:hAnsi="Calibri" w:eastAsia="宋体" w:cs="Calibri"/>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轮</w:t>
            </w:r>
          </w:p>
        </w:tc>
        <w:tc>
          <w:tcPr>
            <w:tcW w:w="3786" w:type="dxa"/>
            <w:gridSpan w:val="2"/>
            <w:tcBorders>
              <w:top w:val="double" w:color="auto" w:sz="2" w:space="0"/>
              <w:left w:val="nil"/>
              <w:bottom w:val="double" w:color="auto" w:sz="2" w:space="0"/>
              <w:right w:val="single" w:color="auto" w:sz="4" w:space="0"/>
            </w:tcBorders>
            <w:shd w:val="clear" w:color="auto" w:fill="auto"/>
            <w:vAlign w:val="top"/>
          </w:tcPr>
          <w:p w14:paraId="0F767664">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c>
          <w:tcPr>
            <w:tcW w:w="3786" w:type="dxa"/>
            <w:gridSpan w:val="2"/>
            <w:tcBorders>
              <w:top w:val="double" w:color="auto" w:sz="2" w:space="0"/>
              <w:left w:val="single" w:color="auto" w:sz="4" w:space="0"/>
              <w:bottom w:val="double" w:color="auto" w:sz="2" w:space="0"/>
              <w:right w:val="double" w:color="auto" w:sz="2" w:space="0"/>
            </w:tcBorders>
            <w:shd w:val="clear" w:color="auto" w:fill="auto"/>
            <w:vAlign w:val="top"/>
          </w:tcPr>
          <w:p w14:paraId="7E8678BD">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r w14:paraId="1758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5" w:hRule="atLeast"/>
          <w:jc w:val="center"/>
        </w:trPr>
        <w:tc>
          <w:tcPr>
            <w:tcW w:w="1225" w:type="dxa"/>
            <w:tcBorders>
              <w:top w:val="double" w:color="auto" w:sz="2" w:space="0"/>
              <w:left w:val="double" w:color="auto" w:sz="2" w:space="0"/>
              <w:bottom w:val="double" w:color="auto" w:sz="2" w:space="0"/>
              <w:right w:val="single" w:color="auto" w:sz="4" w:space="0"/>
            </w:tcBorders>
            <w:shd w:val="clear" w:color="auto" w:fill="auto"/>
            <w:vAlign w:val="center"/>
          </w:tcPr>
          <w:p w14:paraId="2E8AC2C5">
            <w:pPr>
              <w:keepNext w:val="0"/>
              <w:keepLines w:val="0"/>
              <w:widowControl w:val="0"/>
              <w:suppressLineNumbers w:val="0"/>
              <w:spacing w:before="0" w:beforeAutospacing="0" w:after="0" w:afterAutospacing="0"/>
              <w:ind w:left="0" w:right="0"/>
              <w:jc w:val="center"/>
              <w:rPr>
                <w:rFonts w:hint="default" w:ascii="Calibri" w:hAnsi="Calibri"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w:t>
            </w:r>
            <w:r>
              <w:rPr>
                <w:rFonts w:hint="eastAsia" w:ascii="Calibri" w:hAnsi="Calibri" w:eastAsia="宋体" w:cs="Times New Roman"/>
                <w:color w:val="auto"/>
                <w:kern w:val="2"/>
                <w:sz w:val="21"/>
                <w:szCs w:val="21"/>
                <w:highlight w:val="none"/>
                <w:lang w:val="en-US" w:eastAsia="zh-CN" w:bidi="ar"/>
              </w:rPr>
              <w:t xml:space="preserve"> </w:t>
            </w:r>
            <w:r>
              <w:rPr>
                <w:rFonts w:hint="default" w:ascii="Calibri" w:hAnsi="Calibri" w:eastAsia="宋体" w:cs="Calibri"/>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轮</w:t>
            </w:r>
          </w:p>
        </w:tc>
        <w:tc>
          <w:tcPr>
            <w:tcW w:w="7572" w:type="dxa"/>
            <w:gridSpan w:val="4"/>
            <w:tcBorders>
              <w:top w:val="double" w:color="auto" w:sz="2" w:space="0"/>
              <w:left w:val="nil"/>
              <w:bottom w:val="double" w:color="auto" w:sz="2" w:space="0"/>
              <w:right w:val="double" w:color="auto" w:sz="2" w:space="0"/>
            </w:tcBorders>
            <w:shd w:val="clear" w:color="auto" w:fill="auto"/>
            <w:vAlign w:val="top"/>
          </w:tcPr>
          <w:p w14:paraId="002DF7A0">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auto"/>
                <w:kern w:val="2"/>
                <w:sz w:val="21"/>
                <w:szCs w:val="21"/>
                <w:highlight w:val="none"/>
              </w:rPr>
            </w:pPr>
          </w:p>
        </w:tc>
      </w:tr>
    </w:tbl>
    <w:p w14:paraId="5A54EC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正式投票规则：以上表格用于正式投票，从上到下每轮投票限使用一行空格，每个空格限填一个单位名称，同一行的空格内的单位名称不得重复。每轮投票允许选择的总数即下一轮候选总数，以得票多的投标单位当选为下一轮投票的候选投标单位。不能进入下一轮的投标单位，根据本轮得票数量确定名次。遇票数相等不能确定入选下一轮</w:t>
      </w:r>
      <w:r>
        <w:rPr>
          <w:rFonts w:hint="default" w:ascii="宋体" w:hAnsi="宋体" w:cs="宋体"/>
          <w:color w:val="auto"/>
          <w:kern w:val="2"/>
          <w:sz w:val="24"/>
          <w:szCs w:val="24"/>
          <w:highlight w:val="none"/>
          <w:lang w:eastAsia="zh-CN" w:bidi="ar"/>
        </w:rPr>
        <w:t>（或名次）</w:t>
      </w:r>
      <w:r>
        <w:rPr>
          <w:rFonts w:hint="eastAsia" w:ascii="宋体" w:hAnsi="宋体" w:eastAsia="宋体" w:cs="宋体"/>
          <w:color w:val="auto"/>
          <w:kern w:val="2"/>
          <w:sz w:val="24"/>
          <w:szCs w:val="24"/>
          <w:highlight w:val="none"/>
          <w:lang w:val="en-US" w:eastAsia="zh-CN" w:bidi="ar"/>
        </w:rPr>
        <w:t>的投标单位时，应进行附加投票，以确定名次。每轮正式投票允许选择投标单位总数如下：</w:t>
      </w:r>
    </w:p>
    <w:tbl>
      <w:tblPr>
        <w:tblStyle w:val="12"/>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8"/>
        <w:gridCol w:w="3060"/>
        <w:gridCol w:w="3060"/>
      </w:tblGrid>
      <w:tr w14:paraId="30A0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66A372B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p>
        </w:tc>
        <w:tc>
          <w:tcPr>
            <w:tcW w:w="612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168C04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每轮正式投票允许选择总数</w:t>
            </w:r>
          </w:p>
        </w:tc>
      </w:tr>
      <w:tr w14:paraId="4ED4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00EF4A6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73AC3BB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至4</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279987F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5名及以上</w:t>
            </w:r>
          </w:p>
        </w:tc>
      </w:tr>
      <w:tr w14:paraId="46E0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20BAAD1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w:t>
            </w:r>
            <w:r>
              <w:rPr>
                <w:rFonts w:hint="eastAsia" w:ascii="宋体" w:hAnsi="宋体" w:eastAsia="宋体" w:cs="Times New Roman"/>
                <w:color w:val="auto"/>
                <w:kern w:val="2"/>
                <w:sz w:val="24"/>
                <w:szCs w:val="24"/>
                <w:highlight w:val="none"/>
                <w:lang w:val="en-US" w:eastAsia="zh-CN" w:bidi="ar"/>
              </w:rPr>
              <w:t>1轮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635F345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77FC7B19">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r>
      <w:tr w14:paraId="2F0A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6FFEBBA8">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w:t>
            </w:r>
            <w:r>
              <w:rPr>
                <w:rFonts w:hint="eastAsia" w:ascii="宋体" w:hAnsi="宋体" w:eastAsia="宋体" w:cs="Times New Roman"/>
                <w:color w:val="auto"/>
                <w:kern w:val="2"/>
                <w:sz w:val="24"/>
                <w:szCs w:val="24"/>
                <w:highlight w:val="none"/>
                <w:lang w:val="en-US" w:eastAsia="zh-CN" w:bidi="ar"/>
              </w:rPr>
              <w:t>2轮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BBEF673">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1</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21A92D64">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w:t>
            </w:r>
          </w:p>
        </w:tc>
      </w:tr>
      <w:tr w14:paraId="1F31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top"/>
          </w:tcPr>
          <w:p w14:paraId="7B0CDBA7">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第</w:t>
            </w:r>
            <w:r>
              <w:rPr>
                <w:rFonts w:hint="eastAsia" w:ascii="宋体" w:hAnsi="宋体" w:eastAsia="宋体" w:cs="Times New Roman"/>
                <w:color w:val="auto"/>
                <w:kern w:val="2"/>
                <w:sz w:val="24"/>
                <w:szCs w:val="24"/>
                <w:highlight w:val="none"/>
                <w:lang w:val="en-US" w:eastAsia="zh-CN" w:bidi="ar"/>
              </w:rPr>
              <w:t>3轮</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2BC0575C">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shd w:val="clear" w:color="auto" w:fill="auto"/>
            <w:vAlign w:val="top"/>
          </w:tcPr>
          <w:p w14:paraId="0858CCC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1</w:t>
            </w:r>
          </w:p>
        </w:tc>
      </w:tr>
    </w:tbl>
    <w:p w14:paraId="00149003">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(1)投票结束后，点票人员对投票人数、票数和每票应选方案总数加以核对和统计，作废的选票不得统计，并向定标委员会报告。</w:t>
      </w:r>
    </w:p>
    <w:p w14:paraId="57568833">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(2)定标委员会成员应当独立投票，自投票开始至最终排名统计结果公布期间，任何人不得非法干预、影响投票过程，不得透露、协商、改变投票结果，不得使用通信联络工具。</w:t>
      </w:r>
    </w:p>
    <w:p w14:paraId="178799B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5C8CB49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2F1C27F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签名：</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DB2AEE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br w:type="page"/>
      </w:r>
    </w:p>
    <w:p w14:paraId="794EC62D">
      <w:pPr>
        <w:spacing w:line="240" w:lineRule="auto"/>
        <w:rPr>
          <w:rFonts w:ascii="宋体" w:hAnsi="宋体"/>
          <w:b/>
          <w:color w:val="auto"/>
          <w:sz w:val="28"/>
          <w:szCs w:val="30"/>
          <w:highlight w:val="none"/>
        </w:rPr>
      </w:pPr>
      <w:r>
        <w:rPr>
          <w:rFonts w:hint="eastAsia" w:ascii="宋体" w:hAnsi="宋体"/>
          <w:b/>
          <w:color w:val="auto"/>
          <w:sz w:val="28"/>
          <w:szCs w:val="30"/>
          <w:highlight w:val="none"/>
        </w:rPr>
        <w:t>（第三章正文详见《中华人民共和国标准监理招标文件》（2017版））</w:t>
      </w:r>
    </w:p>
    <w:p w14:paraId="4CC4EBB7">
      <w:pPr>
        <w:ind w:firstLine="420" w:firstLineChars="200"/>
        <w:rPr>
          <w:rFonts w:ascii="Times New Roman" w:hAnsi="Times New Roman"/>
          <w:color w:val="auto"/>
          <w:highlight w:val="none"/>
        </w:rPr>
      </w:pPr>
    </w:p>
    <w:p w14:paraId="7ECE45B7">
      <w:pPr>
        <w:spacing w:beforeLines="50" w:afterLines="50" w:line="360" w:lineRule="exact"/>
        <w:outlineLvl w:val="2"/>
        <w:rPr>
          <w:rFonts w:ascii="宋体" w:hAnsi="宋体"/>
          <w:b/>
          <w:color w:val="auto"/>
          <w:sz w:val="32"/>
          <w:highlight w:val="none"/>
        </w:rPr>
      </w:pPr>
      <w:bookmarkStart w:id="358" w:name="_Toc515205256"/>
      <w:bookmarkStart w:id="359" w:name="_Toc529196583"/>
      <w:r>
        <w:rPr>
          <w:rFonts w:hint="eastAsia" w:ascii="宋体" w:hAnsi="宋体"/>
          <w:b/>
          <w:color w:val="auto"/>
          <w:sz w:val="32"/>
          <w:highlight w:val="none"/>
        </w:rPr>
        <w:t>1. 评标方法</w:t>
      </w:r>
      <w:bookmarkEnd w:id="358"/>
      <w:bookmarkEnd w:id="359"/>
    </w:p>
    <w:p w14:paraId="4A25A024">
      <w:pPr>
        <w:spacing w:line="360" w:lineRule="exact"/>
        <w:ind w:firstLine="420" w:firstLineChars="200"/>
        <w:rPr>
          <w:rFonts w:hint="eastAsia"/>
          <w:strike/>
          <w:color w:val="auto"/>
          <w:highlight w:val="none"/>
        </w:rPr>
      </w:pPr>
      <w:r>
        <w:rPr>
          <w:rFonts w:hint="eastAsia" w:ascii="宋体" w:hAnsi="宋体" w:eastAsia="宋体" w:cs="宋体"/>
          <w:strike/>
          <w:color w:val="auto"/>
          <w:kern w:val="2"/>
          <w:sz w:val="21"/>
          <w:szCs w:val="21"/>
          <w:highlight w:val="none"/>
          <w:lang w:val="en-US" w:eastAsia="zh-CN"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07654D4C">
      <w:pPr>
        <w:ind w:firstLine="420" w:firstLineChars="200"/>
        <w:rPr>
          <w:rFonts w:ascii="Times New Roman" w:hAnsi="Times New Roman"/>
          <w:strike/>
          <w:color w:val="auto"/>
          <w:highlight w:val="none"/>
        </w:rPr>
      </w:pPr>
    </w:p>
    <w:p w14:paraId="7203E0FD">
      <w:pPr>
        <w:spacing w:beforeLines="50" w:line="360" w:lineRule="exact"/>
        <w:outlineLvl w:val="2"/>
        <w:rPr>
          <w:rFonts w:ascii="宋体" w:hAnsi="宋体"/>
          <w:b/>
          <w:color w:val="auto"/>
          <w:sz w:val="32"/>
          <w:highlight w:val="none"/>
        </w:rPr>
      </w:pPr>
      <w:bookmarkStart w:id="360" w:name="_Toc529196584"/>
      <w:bookmarkStart w:id="361" w:name="_Toc515205257"/>
      <w:r>
        <w:rPr>
          <w:rFonts w:hint="eastAsia" w:ascii="宋体" w:hAnsi="宋体"/>
          <w:b/>
          <w:color w:val="auto"/>
          <w:sz w:val="32"/>
          <w:highlight w:val="none"/>
        </w:rPr>
        <w:t>2. 评审标准</w:t>
      </w:r>
      <w:bookmarkEnd w:id="360"/>
      <w:bookmarkEnd w:id="361"/>
    </w:p>
    <w:p w14:paraId="4DD61D82">
      <w:pPr>
        <w:spacing w:before="1" w:beforeLines="100" w:after="1" w:afterLines="100" w:line="360" w:lineRule="exact"/>
        <w:rPr>
          <w:rFonts w:ascii="宋体" w:hAnsi="宋体"/>
          <w:b/>
          <w:color w:val="auto"/>
          <w:sz w:val="28"/>
          <w:highlight w:val="none"/>
        </w:rPr>
      </w:pPr>
      <w:bookmarkStart w:id="362" w:name="_Toc515205258"/>
      <w:bookmarkStart w:id="363" w:name="_Toc529196585"/>
      <w:r>
        <w:rPr>
          <w:rFonts w:hint="eastAsia" w:ascii="宋体" w:hAnsi="宋体"/>
          <w:b/>
          <w:color w:val="auto"/>
          <w:sz w:val="28"/>
          <w:highlight w:val="none"/>
        </w:rPr>
        <w:t>2.1 初步评审标准</w:t>
      </w:r>
      <w:bookmarkEnd w:id="362"/>
      <w:bookmarkEnd w:id="363"/>
    </w:p>
    <w:p w14:paraId="59EB30D0">
      <w:pPr>
        <w:spacing w:line="360" w:lineRule="exact"/>
        <w:ind w:firstLine="420" w:firstLineChars="200"/>
        <w:rPr>
          <w:rFonts w:ascii="宋体" w:hAnsi="宋体"/>
          <w:color w:val="auto"/>
          <w:highlight w:val="none"/>
        </w:rPr>
      </w:pPr>
      <w:r>
        <w:rPr>
          <w:rFonts w:hint="eastAsia" w:ascii="宋体" w:hAnsi="宋体"/>
          <w:color w:val="auto"/>
          <w:highlight w:val="none"/>
        </w:rPr>
        <w:t>2.1.1 形式评审标准：见评标办法前附表。</w:t>
      </w:r>
    </w:p>
    <w:p w14:paraId="1EA7D4DE">
      <w:pPr>
        <w:spacing w:line="360" w:lineRule="exact"/>
        <w:ind w:firstLine="420" w:firstLineChars="200"/>
        <w:rPr>
          <w:rFonts w:ascii="宋体" w:hAnsi="宋体"/>
          <w:color w:val="auto"/>
          <w:highlight w:val="none"/>
        </w:rPr>
      </w:pPr>
      <w:r>
        <w:rPr>
          <w:rFonts w:hint="eastAsia" w:ascii="宋体" w:hAnsi="宋体"/>
          <w:color w:val="auto"/>
          <w:highlight w:val="none"/>
        </w:rPr>
        <w:t>2.1.2 资格评审标准：见评标办法前附表。</w:t>
      </w:r>
    </w:p>
    <w:p w14:paraId="2478CF6D">
      <w:pPr>
        <w:spacing w:line="360" w:lineRule="exact"/>
        <w:ind w:firstLine="420" w:firstLineChars="200"/>
        <w:rPr>
          <w:rFonts w:ascii="宋体" w:hAnsi="宋体"/>
          <w:color w:val="auto"/>
          <w:highlight w:val="none"/>
        </w:rPr>
      </w:pPr>
      <w:r>
        <w:rPr>
          <w:rFonts w:hint="eastAsia" w:ascii="宋体" w:hAnsi="宋体"/>
          <w:color w:val="auto"/>
          <w:highlight w:val="none"/>
        </w:rPr>
        <w:t>2.1.3 响应性评审标准：见评标办法前附表。</w:t>
      </w:r>
    </w:p>
    <w:p w14:paraId="6A590EC4">
      <w:pPr>
        <w:spacing w:before="1" w:beforeLines="100" w:after="1" w:afterLines="100" w:line="360" w:lineRule="exact"/>
        <w:rPr>
          <w:rFonts w:ascii="宋体" w:hAnsi="宋体"/>
          <w:b/>
          <w:strike/>
          <w:color w:val="auto"/>
          <w:sz w:val="28"/>
          <w:highlight w:val="none"/>
        </w:rPr>
      </w:pPr>
      <w:bookmarkStart w:id="364" w:name="_Toc529196586"/>
      <w:bookmarkStart w:id="365" w:name="_Toc515205259"/>
      <w:r>
        <w:rPr>
          <w:rFonts w:hint="eastAsia" w:ascii="宋体" w:hAnsi="宋体"/>
          <w:b/>
          <w:strike/>
          <w:color w:val="auto"/>
          <w:sz w:val="28"/>
          <w:highlight w:val="none"/>
        </w:rPr>
        <w:t>2.2 分值构成与评分标准</w:t>
      </w:r>
      <w:bookmarkEnd w:id="364"/>
      <w:bookmarkEnd w:id="365"/>
    </w:p>
    <w:p w14:paraId="6E767066">
      <w:pPr>
        <w:spacing w:line="360" w:lineRule="exact"/>
        <w:ind w:firstLine="420" w:firstLineChars="200"/>
        <w:rPr>
          <w:rFonts w:ascii="宋体" w:hAnsi="宋体"/>
          <w:strike/>
          <w:color w:val="auto"/>
          <w:highlight w:val="none"/>
        </w:rPr>
      </w:pPr>
      <w:r>
        <w:rPr>
          <w:rFonts w:hint="eastAsia" w:ascii="宋体" w:hAnsi="宋体"/>
          <w:strike/>
          <w:color w:val="auto"/>
          <w:highlight w:val="none"/>
        </w:rPr>
        <w:t>2.2.1 分值构成：</w:t>
      </w:r>
    </w:p>
    <w:p w14:paraId="55CE3DF9">
      <w:pPr>
        <w:spacing w:line="360" w:lineRule="exact"/>
        <w:ind w:firstLine="420" w:firstLineChars="200"/>
        <w:rPr>
          <w:rFonts w:ascii="宋体" w:hAnsi="宋体"/>
          <w:strike/>
          <w:color w:val="auto"/>
          <w:highlight w:val="none"/>
        </w:rPr>
      </w:pPr>
      <w:r>
        <w:rPr>
          <w:rFonts w:hint="eastAsia" w:ascii="宋体" w:hAnsi="宋体"/>
          <w:strike/>
          <w:color w:val="auto"/>
          <w:highlight w:val="none"/>
        </w:rPr>
        <w:t>（1）资信业绩部分：见评标办法前附表；</w:t>
      </w:r>
    </w:p>
    <w:p w14:paraId="7DF1D2AF">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（2）监理大纲部分：见评标办法前附表；</w:t>
      </w:r>
    </w:p>
    <w:p w14:paraId="7DD841FC">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（3）投标报价：见评标办法前附表；</w:t>
      </w:r>
    </w:p>
    <w:p w14:paraId="78A5429F">
      <w:pPr>
        <w:spacing w:line="360" w:lineRule="exact"/>
        <w:ind w:firstLine="420" w:firstLineChars="200"/>
        <w:rPr>
          <w:rFonts w:ascii="宋体" w:hAnsi="宋体"/>
          <w:strike/>
          <w:color w:val="auto"/>
          <w:highlight w:val="none"/>
        </w:rPr>
      </w:pPr>
      <w:r>
        <w:rPr>
          <w:rFonts w:hint="eastAsia" w:ascii="宋体" w:hAnsi="宋体"/>
          <w:strike/>
          <w:color w:val="auto"/>
          <w:highlight w:val="none"/>
        </w:rPr>
        <w:t>（</w:t>
      </w:r>
      <w:r>
        <w:rPr>
          <w:rFonts w:hint="eastAsia" w:ascii="宋体" w:hAnsi="宋体"/>
          <w:strike/>
          <w:color w:val="auto"/>
          <w:highlight w:val="none"/>
          <w:lang w:val="en-US" w:eastAsia="zh-CN"/>
        </w:rPr>
        <w:t>4</w:t>
      </w:r>
      <w:r>
        <w:rPr>
          <w:rFonts w:hint="eastAsia" w:ascii="宋体" w:hAnsi="宋体"/>
          <w:strike/>
          <w:color w:val="auto"/>
          <w:highlight w:val="none"/>
        </w:rPr>
        <w:t>）其他评分因素：见评标办法前附表。</w:t>
      </w:r>
    </w:p>
    <w:p w14:paraId="6A61F73B">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2.2.2 评标基准价计算</w:t>
      </w:r>
    </w:p>
    <w:p w14:paraId="23619000">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评标基准价计算方法：见评标办法前附表。</w:t>
      </w:r>
    </w:p>
    <w:p w14:paraId="51D1C5A3">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2.2.3 投标报价的偏差率计算</w:t>
      </w:r>
    </w:p>
    <w:p w14:paraId="60232A5D">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投标报价的偏差率计算公式：见评标办法前附表。</w:t>
      </w:r>
    </w:p>
    <w:p w14:paraId="3C48656F">
      <w:pPr>
        <w:spacing w:line="360" w:lineRule="exact"/>
        <w:ind w:firstLine="420" w:firstLineChars="200"/>
        <w:rPr>
          <w:rFonts w:ascii="宋体" w:hAnsi="宋体"/>
          <w:strike/>
          <w:color w:val="auto"/>
          <w:highlight w:val="none"/>
        </w:rPr>
      </w:pPr>
      <w:r>
        <w:rPr>
          <w:rFonts w:hint="eastAsia" w:ascii="宋体" w:hAnsi="宋体"/>
          <w:strike/>
          <w:color w:val="auto"/>
          <w:highlight w:val="none"/>
        </w:rPr>
        <w:t>2.2.4 评分标准</w:t>
      </w:r>
    </w:p>
    <w:p w14:paraId="6E0FE5BC">
      <w:pPr>
        <w:spacing w:line="360" w:lineRule="exact"/>
        <w:ind w:firstLine="420" w:firstLineChars="200"/>
        <w:rPr>
          <w:rFonts w:ascii="宋体" w:hAnsi="宋体"/>
          <w:strike/>
          <w:color w:val="auto"/>
          <w:highlight w:val="none"/>
        </w:rPr>
      </w:pPr>
      <w:r>
        <w:rPr>
          <w:rFonts w:hint="eastAsia" w:ascii="宋体" w:hAnsi="宋体"/>
          <w:strike/>
          <w:color w:val="auto"/>
          <w:highlight w:val="none"/>
        </w:rPr>
        <w:t>（1）资信业绩评分标准：见评标办法前附表；</w:t>
      </w:r>
    </w:p>
    <w:p w14:paraId="4FF830F6">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（2）监理大纲评分标准：见评标办法前附表；</w:t>
      </w:r>
    </w:p>
    <w:p w14:paraId="459797BA">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（3）投标报价评分标准：见评标办法前附表；</w:t>
      </w:r>
    </w:p>
    <w:p w14:paraId="542EA7DA">
      <w:pPr>
        <w:spacing w:line="360" w:lineRule="exact"/>
        <w:ind w:firstLine="420" w:firstLineChars="200"/>
        <w:rPr>
          <w:rFonts w:ascii="宋体" w:hAnsi="宋体"/>
          <w:strike/>
          <w:color w:val="auto"/>
          <w:highlight w:val="none"/>
        </w:rPr>
      </w:pPr>
      <w:r>
        <w:rPr>
          <w:rFonts w:hint="eastAsia" w:ascii="宋体" w:hAnsi="宋体"/>
          <w:strike/>
          <w:color w:val="auto"/>
          <w:highlight w:val="none"/>
        </w:rPr>
        <w:t>（</w:t>
      </w:r>
      <w:r>
        <w:rPr>
          <w:rFonts w:hint="eastAsia" w:ascii="宋体" w:hAnsi="宋体"/>
          <w:strike/>
          <w:color w:val="auto"/>
          <w:highlight w:val="none"/>
          <w:lang w:val="en-US" w:eastAsia="zh-CN"/>
        </w:rPr>
        <w:t>4</w:t>
      </w:r>
      <w:r>
        <w:rPr>
          <w:rFonts w:hint="eastAsia" w:ascii="宋体" w:hAnsi="宋体"/>
          <w:strike/>
          <w:color w:val="auto"/>
          <w:highlight w:val="none"/>
        </w:rPr>
        <w:t>）其他因素评分标准：见评标办法前附表。</w:t>
      </w:r>
    </w:p>
    <w:p w14:paraId="2A124C3F">
      <w:pPr>
        <w:ind w:firstLine="420" w:firstLineChars="200"/>
        <w:rPr>
          <w:rFonts w:ascii="Times New Roman" w:hAnsi="Times New Roman"/>
          <w:color w:val="auto"/>
          <w:highlight w:val="none"/>
        </w:rPr>
      </w:pPr>
    </w:p>
    <w:p w14:paraId="1F859D07">
      <w:pPr>
        <w:spacing w:beforeLines="50" w:line="360" w:lineRule="exact"/>
        <w:outlineLvl w:val="2"/>
        <w:rPr>
          <w:rFonts w:ascii="宋体" w:hAnsi="宋体"/>
          <w:b/>
          <w:color w:val="auto"/>
          <w:sz w:val="32"/>
          <w:highlight w:val="none"/>
        </w:rPr>
      </w:pPr>
      <w:bookmarkStart w:id="366" w:name="_Toc529196587"/>
      <w:bookmarkStart w:id="367" w:name="_Toc515205260"/>
      <w:r>
        <w:rPr>
          <w:rFonts w:hint="eastAsia" w:ascii="宋体" w:hAnsi="宋体"/>
          <w:b/>
          <w:color w:val="auto"/>
          <w:sz w:val="32"/>
          <w:highlight w:val="none"/>
        </w:rPr>
        <w:t>3. 评标程序</w:t>
      </w:r>
      <w:bookmarkEnd w:id="366"/>
      <w:bookmarkEnd w:id="367"/>
    </w:p>
    <w:p w14:paraId="53C7A9E4">
      <w:pPr>
        <w:spacing w:before="1" w:beforeLines="100" w:after="1" w:afterLines="100" w:line="360" w:lineRule="exact"/>
        <w:rPr>
          <w:rFonts w:ascii="宋体" w:hAnsi="宋体"/>
          <w:b/>
          <w:color w:val="auto"/>
          <w:sz w:val="28"/>
          <w:highlight w:val="none"/>
        </w:rPr>
      </w:pPr>
      <w:bookmarkStart w:id="368" w:name="_Toc515205261"/>
      <w:bookmarkStart w:id="369" w:name="_Toc529196588"/>
      <w:r>
        <w:rPr>
          <w:rFonts w:hint="eastAsia" w:ascii="宋体" w:hAnsi="宋体"/>
          <w:b/>
          <w:color w:val="auto"/>
          <w:sz w:val="28"/>
          <w:highlight w:val="none"/>
        </w:rPr>
        <w:t>3.1 初步评审</w:t>
      </w:r>
      <w:bookmarkEnd w:id="368"/>
      <w:bookmarkEnd w:id="369"/>
    </w:p>
    <w:p w14:paraId="27BF3DA2">
      <w:pPr>
        <w:spacing w:line="360" w:lineRule="exact"/>
        <w:ind w:firstLine="420" w:firstLineChars="200"/>
        <w:rPr>
          <w:rFonts w:ascii="宋体" w:hAnsi="宋体"/>
          <w:color w:val="auto"/>
          <w:highlight w:val="none"/>
        </w:rPr>
      </w:pPr>
      <w:r>
        <w:rPr>
          <w:rFonts w:hint="eastAsia" w:ascii="宋体" w:hAnsi="宋体"/>
          <w:color w:val="auto"/>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EF8FE55">
      <w:pPr>
        <w:spacing w:line="360" w:lineRule="exact"/>
        <w:ind w:firstLine="420" w:firstLineChars="200"/>
        <w:rPr>
          <w:rFonts w:ascii="宋体" w:hAnsi="宋体"/>
          <w:color w:val="auto"/>
          <w:highlight w:val="none"/>
        </w:rPr>
      </w:pPr>
      <w:r>
        <w:rPr>
          <w:rFonts w:hint="eastAsia" w:ascii="宋体" w:hAnsi="宋体"/>
          <w:color w:val="auto"/>
          <w:highlight w:val="none"/>
        </w:rPr>
        <w:t>3.1.2 投标人有以下情形之一的，评标委员会应当否决其投标：</w:t>
      </w:r>
    </w:p>
    <w:p w14:paraId="7BFA2109">
      <w:pPr>
        <w:spacing w:line="360" w:lineRule="exact"/>
        <w:ind w:firstLine="420" w:firstLineChars="200"/>
        <w:rPr>
          <w:rFonts w:ascii="宋体" w:hAnsi="宋体"/>
          <w:color w:val="auto"/>
          <w:highlight w:val="none"/>
        </w:rPr>
      </w:pPr>
      <w:r>
        <w:rPr>
          <w:rFonts w:hint="eastAsia" w:ascii="宋体" w:hAnsi="宋体"/>
          <w:color w:val="auto"/>
          <w:highlight w:val="none"/>
        </w:rPr>
        <w:t>（1）投标文件没有对招标文件的实质性要求和条件作出响应，或者对招标文件的偏差超出招标文件规定的偏差范围或最高项数；</w:t>
      </w:r>
    </w:p>
    <w:p w14:paraId="59540E41">
      <w:pPr>
        <w:spacing w:line="360" w:lineRule="exact"/>
        <w:ind w:firstLine="420" w:firstLineChars="200"/>
        <w:rPr>
          <w:rFonts w:ascii="宋体" w:hAnsi="宋体"/>
          <w:color w:val="auto"/>
          <w:highlight w:val="none"/>
        </w:rPr>
      </w:pPr>
      <w:r>
        <w:rPr>
          <w:rFonts w:hint="eastAsia" w:ascii="宋体" w:hAnsi="宋体"/>
          <w:color w:val="auto"/>
          <w:highlight w:val="none"/>
        </w:rPr>
        <w:t>（2）有串通投标、弄虚作假、行贿等违法行为。</w:t>
      </w:r>
    </w:p>
    <w:p w14:paraId="162E8BA4">
      <w:pPr>
        <w:spacing w:line="360" w:lineRule="exact"/>
        <w:ind w:firstLine="420" w:firstLineChars="200"/>
        <w:rPr>
          <w:rFonts w:ascii="宋体" w:hAnsi="宋体"/>
          <w:color w:val="auto"/>
          <w:highlight w:val="none"/>
        </w:rPr>
      </w:pPr>
      <w:r>
        <w:rPr>
          <w:rFonts w:hint="eastAsia" w:ascii="宋体" w:hAnsi="宋体"/>
          <w:color w:val="auto"/>
          <w:highlight w:val="none"/>
        </w:rPr>
        <w:t>3.1.3 投标报价有算术错误及其他错误的，评标委员会按以下原则要求投标人对投标报价进</w:t>
      </w:r>
      <w:bookmarkStart w:id="370" w:name="_Toc300835013"/>
      <w:bookmarkStart w:id="371" w:name="_Toc384308277"/>
      <w:bookmarkStart w:id="372" w:name="_Toc352691538"/>
      <w:bookmarkStart w:id="373" w:name="_Toc144974570"/>
      <w:bookmarkStart w:id="374" w:name="_Toc247527628"/>
      <w:bookmarkStart w:id="375" w:name="_Toc152045603"/>
      <w:bookmarkStart w:id="376" w:name="_Toc2907"/>
      <w:bookmarkStart w:id="377" w:name="_Toc152042380"/>
      <w:bookmarkStart w:id="378" w:name="_Toc361508651"/>
      <w:bookmarkStart w:id="379" w:name="_Toc247514027"/>
      <w:bookmarkStart w:id="380" w:name="_Toc369531582"/>
      <w:r>
        <w:rPr>
          <w:rFonts w:hint="eastAsia" w:ascii="宋体" w:hAnsi="宋体"/>
          <w:color w:val="auto"/>
          <w:highlight w:val="none"/>
        </w:rPr>
        <w:t>行修正，并要求投标人书面澄清确认。</w:t>
      </w:r>
      <w:bookmarkEnd w:id="370"/>
      <w:bookmarkEnd w:id="371"/>
      <w:bookmarkEnd w:id="372"/>
      <w:bookmarkEnd w:id="373"/>
      <w:bookmarkEnd w:id="374"/>
      <w:bookmarkEnd w:id="375"/>
      <w:bookmarkEnd w:id="376"/>
      <w:bookmarkEnd w:id="377"/>
      <w:bookmarkEnd w:id="378"/>
      <w:bookmarkEnd w:id="379"/>
      <w:bookmarkEnd w:id="380"/>
      <w:r>
        <w:rPr>
          <w:rFonts w:hint="eastAsia" w:ascii="宋体" w:hAnsi="宋体"/>
          <w:color w:val="auto"/>
          <w:highlight w:val="none"/>
        </w:rPr>
        <w:t>投标人拒不澄清确认的，评标委员会应当否决其投标：</w:t>
      </w:r>
    </w:p>
    <w:p w14:paraId="660D23C1">
      <w:pPr>
        <w:spacing w:line="360" w:lineRule="exact"/>
        <w:ind w:firstLine="420" w:firstLineChars="200"/>
        <w:rPr>
          <w:rFonts w:ascii="宋体" w:hAnsi="宋体"/>
          <w:color w:val="auto"/>
          <w:highlight w:val="none"/>
        </w:rPr>
      </w:pPr>
      <w:r>
        <w:rPr>
          <w:rFonts w:hint="eastAsia" w:ascii="宋体" w:hAnsi="宋体"/>
          <w:color w:val="auto"/>
          <w:highlight w:val="none"/>
        </w:rPr>
        <w:t>（1）投标文件中的大写金额与小写金额不一致的，以大写金额为准；</w:t>
      </w:r>
    </w:p>
    <w:p w14:paraId="0E084F5C">
      <w:pPr>
        <w:spacing w:line="360" w:lineRule="exact"/>
        <w:ind w:firstLine="420" w:firstLineChars="200"/>
        <w:rPr>
          <w:rFonts w:ascii="宋体" w:hAnsi="宋体"/>
          <w:color w:val="auto"/>
          <w:highlight w:val="none"/>
        </w:rPr>
      </w:pPr>
      <w:r>
        <w:rPr>
          <w:rFonts w:hint="eastAsia" w:ascii="宋体" w:hAnsi="宋体"/>
          <w:color w:val="auto"/>
          <w:highlight w:val="none"/>
        </w:rPr>
        <w:t>（2）总价金额与单价金额不一致的，以单价金额为准，但单价金额小数点有明显错误的除外。</w:t>
      </w:r>
    </w:p>
    <w:p w14:paraId="65B12DB5">
      <w:pPr>
        <w:spacing w:beforeLines="70" w:afterLines="70" w:line="360" w:lineRule="exact"/>
        <w:rPr>
          <w:rFonts w:ascii="宋体" w:hAnsi="宋体"/>
          <w:b/>
          <w:strike/>
          <w:color w:val="auto"/>
          <w:sz w:val="28"/>
          <w:highlight w:val="none"/>
        </w:rPr>
      </w:pPr>
      <w:bookmarkStart w:id="381" w:name="_Toc529196589"/>
      <w:bookmarkStart w:id="382" w:name="_Toc515205262"/>
      <w:r>
        <w:rPr>
          <w:rFonts w:hint="eastAsia" w:ascii="宋体" w:hAnsi="宋体"/>
          <w:b/>
          <w:strike/>
          <w:color w:val="auto"/>
          <w:sz w:val="28"/>
          <w:highlight w:val="none"/>
        </w:rPr>
        <w:t>3.2 详细评审</w:t>
      </w:r>
      <w:bookmarkEnd w:id="381"/>
      <w:bookmarkEnd w:id="382"/>
    </w:p>
    <w:p w14:paraId="25D80827">
      <w:pPr>
        <w:spacing w:line="360" w:lineRule="exact"/>
        <w:ind w:firstLine="420" w:firstLineChars="200"/>
        <w:rPr>
          <w:rFonts w:ascii="宋体" w:hAnsi="宋体"/>
          <w:strike/>
          <w:color w:val="auto"/>
          <w:highlight w:val="none"/>
        </w:rPr>
      </w:pPr>
      <w:r>
        <w:rPr>
          <w:rFonts w:hint="eastAsia" w:ascii="宋体" w:hAnsi="宋体"/>
          <w:strike/>
          <w:color w:val="auto"/>
          <w:highlight w:val="none"/>
        </w:rPr>
        <w:t>3.2.1 评标委员会按本章第2.2款规定的量化因素和分值进行打分，并计算出综合评估得分。</w:t>
      </w:r>
    </w:p>
    <w:p w14:paraId="4DE415DB">
      <w:pPr>
        <w:spacing w:line="360" w:lineRule="exact"/>
        <w:ind w:firstLine="420" w:firstLineChars="200"/>
        <w:rPr>
          <w:rFonts w:ascii="宋体" w:hAnsi="宋体"/>
          <w:strike/>
          <w:color w:val="auto"/>
          <w:highlight w:val="none"/>
        </w:rPr>
      </w:pPr>
      <w:r>
        <w:rPr>
          <w:rFonts w:hint="eastAsia" w:ascii="宋体" w:hAnsi="宋体"/>
          <w:strike/>
          <w:color w:val="auto"/>
          <w:highlight w:val="none"/>
        </w:rPr>
        <w:t>（1）按本章第 2.2.4（1）目规定的评审因素和分值对资信业绩部分计算出得分 A；</w:t>
      </w:r>
    </w:p>
    <w:p w14:paraId="477B4334">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（2）按本章第 2.2.4（2）目规定的评审因素和分值对监理大纲部分计算出得分 B；</w:t>
      </w:r>
    </w:p>
    <w:p w14:paraId="6D2E0F54">
      <w:pPr>
        <w:spacing w:line="360" w:lineRule="exact"/>
        <w:ind w:firstLine="420" w:firstLineChars="200"/>
        <w:rPr>
          <w:rFonts w:ascii="宋体" w:hAnsi="宋体"/>
          <w:strike/>
          <w:dstrike w:val="0"/>
          <w:color w:val="auto"/>
          <w:highlight w:val="none"/>
        </w:rPr>
      </w:pPr>
      <w:r>
        <w:rPr>
          <w:rFonts w:hint="eastAsia" w:ascii="宋体" w:hAnsi="宋体"/>
          <w:strike/>
          <w:dstrike w:val="0"/>
          <w:color w:val="auto"/>
          <w:highlight w:val="none"/>
        </w:rPr>
        <w:t>（3）按本章第 2.2.4（3）目规定的评审因素和分值对投标报价计算出得分 C；</w:t>
      </w:r>
    </w:p>
    <w:p w14:paraId="70C21F55">
      <w:pPr>
        <w:spacing w:line="360" w:lineRule="exact"/>
        <w:ind w:firstLine="420" w:firstLineChars="200"/>
        <w:rPr>
          <w:rFonts w:ascii="宋体" w:hAnsi="宋体"/>
          <w:strike/>
          <w:color w:val="auto"/>
          <w:highlight w:val="none"/>
        </w:rPr>
      </w:pPr>
      <w:r>
        <w:rPr>
          <w:rFonts w:hint="eastAsia" w:ascii="宋体" w:hAnsi="宋体"/>
          <w:strike/>
          <w:color w:val="auto"/>
          <w:highlight w:val="none"/>
        </w:rPr>
        <w:t>（</w:t>
      </w:r>
      <w:r>
        <w:rPr>
          <w:rFonts w:hint="eastAsia" w:ascii="宋体" w:hAnsi="宋体"/>
          <w:strike/>
          <w:color w:val="auto"/>
          <w:highlight w:val="none"/>
          <w:lang w:val="en-US" w:eastAsia="zh-CN"/>
        </w:rPr>
        <w:t>4</w:t>
      </w:r>
      <w:r>
        <w:rPr>
          <w:rFonts w:hint="eastAsia" w:ascii="宋体" w:hAnsi="宋体"/>
          <w:strike/>
          <w:color w:val="auto"/>
          <w:highlight w:val="none"/>
        </w:rPr>
        <w:t>）按本章第 2.2.4（4）目规定的评审因素和分值对其他部分计算出得分 D。</w:t>
      </w:r>
    </w:p>
    <w:p w14:paraId="0812EF58">
      <w:pPr>
        <w:spacing w:line="360" w:lineRule="exact"/>
        <w:ind w:firstLine="420" w:firstLineChars="200"/>
        <w:rPr>
          <w:rFonts w:ascii="宋体" w:hAnsi="宋体"/>
          <w:strike/>
          <w:color w:val="auto"/>
          <w:highlight w:val="none"/>
        </w:rPr>
      </w:pPr>
      <w:r>
        <w:rPr>
          <w:rFonts w:hint="eastAsia" w:ascii="宋体" w:hAnsi="宋体"/>
          <w:strike/>
          <w:color w:val="auto"/>
          <w:highlight w:val="none"/>
        </w:rPr>
        <w:t>3.2.2 评分分值计算保留小数点后两位，小数点后第三位“四舍五入”。</w:t>
      </w:r>
    </w:p>
    <w:p w14:paraId="3ADC9037">
      <w:pPr>
        <w:spacing w:line="360" w:lineRule="exact"/>
        <w:ind w:firstLine="420" w:firstLineChars="200"/>
        <w:rPr>
          <w:rFonts w:ascii="宋体" w:hAnsi="宋体"/>
          <w:strike/>
          <w:color w:val="auto"/>
          <w:highlight w:val="none"/>
        </w:rPr>
      </w:pPr>
      <w:r>
        <w:rPr>
          <w:rFonts w:hint="eastAsia" w:ascii="宋体" w:hAnsi="宋体"/>
          <w:strike/>
          <w:color w:val="auto"/>
          <w:highlight w:val="none"/>
        </w:rPr>
        <w:t>3.2.3 投标人得分=A+</w:t>
      </w:r>
      <w:r>
        <w:rPr>
          <w:rFonts w:hint="eastAsia" w:ascii="宋体" w:hAnsi="宋体"/>
          <w:strike/>
          <w:dstrike w:val="0"/>
          <w:color w:val="auto"/>
          <w:highlight w:val="none"/>
        </w:rPr>
        <w:t>B+C+</w:t>
      </w:r>
      <w:r>
        <w:rPr>
          <w:rFonts w:hint="eastAsia" w:ascii="宋体" w:hAnsi="宋体"/>
          <w:strike/>
          <w:color w:val="auto"/>
          <w:highlight w:val="none"/>
        </w:rPr>
        <w:t>D</w:t>
      </w:r>
    </w:p>
    <w:p w14:paraId="33B15094">
      <w:pPr>
        <w:spacing w:line="360" w:lineRule="exact"/>
        <w:ind w:firstLine="420" w:firstLineChars="200"/>
        <w:rPr>
          <w:rFonts w:ascii="宋体" w:hAnsi="宋体"/>
          <w:strike/>
          <w:color w:val="auto"/>
          <w:highlight w:val="none"/>
        </w:rPr>
      </w:pPr>
      <w:r>
        <w:rPr>
          <w:rFonts w:hint="eastAsia" w:ascii="宋体" w:hAnsi="宋体"/>
          <w:strike/>
          <w:color w:val="auto"/>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1D7D1B2">
      <w:pPr>
        <w:spacing w:beforeLines="70" w:afterLines="70" w:line="360" w:lineRule="exact"/>
        <w:rPr>
          <w:rFonts w:ascii="宋体" w:hAnsi="宋体"/>
          <w:b/>
          <w:color w:val="auto"/>
          <w:sz w:val="28"/>
          <w:highlight w:val="none"/>
        </w:rPr>
      </w:pPr>
      <w:bookmarkStart w:id="383" w:name="_Toc515205263"/>
      <w:bookmarkStart w:id="384" w:name="_Toc529196590"/>
      <w:r>
        <w:rPr>
          <w:rFonts w:hint="eastAsia" w:ascii="宋体" w:hAnsi="宋体"/>
          <w:b/>
          <w:color w:val="auto"/>
          <w:sz w:val="28"/>
          <w:highlight w:val="none"/>
        </w:rPr>
        <w:t>3.3 投标文件的澄清</w:t>
      </w:r>
      <w:bookmarkEnd w:id="383"/>
      <w:bookmarkEnd w:id="384"/>
    </w:p>
    <w:p w14:paraId="25EC909A">
      <w:pPr>
        <w:spacing w:line="360" w:lineRule="exact"/>
        <w:ind w:firstLine="420" w:firstLineChars="200"/>
        <w:rPr>
          <w:rFonts w:ascii="宋体" w:hAnsi="宋体"/>
          <w:color w:val="auto"/>
          <w:highlight w:val="none"/>
        </w:rPr>
      </w:pPr>
      <w:r>
        <w:rPr>
          <w:rFonts w:hint="eastAsia" w:ascii="宋体" w:hAnsi="宋体"/>
          <w:color w:val="auto"/>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B3551D5">
      <w:pPr>
        <w:spacing w:line="360" w:lineRule="exact"/>
        <w:ind w:firstLine="420" w:firstLineChars="200"/>
        <w:rPr>
          <w:rFonts w:ascii="宋体" w:hAnsi="宋体"/>
          <w:color w:val="auto"/>
          <w:highlight w:val="none"/>
        </w:rPr>
      </w:pPr>
      <w:r>
        <w:rPr>
          <w:rFonts w:hint="eastAsia" w:ascii="宋体" w:hAnsi="宋体"/>
          <w:color w:val="auto"/>
          <w:highlight w:val="none"/>
        </w:rPr>
        <w:t>3.3.2 澄清、说明或补正不得超出投标文件的范围且不得改变投标文件的实质性内容，并构成投标文件的组成部分。</w:t>
      </w:r>
    </w:p>
    <w:p w14:paraId="3798934A">
      <w:pPr>
        <w:spacing w:line="360" w:lineRule="exact"/>
        <w:ind w:firstLine="420" w:firstLineChars="200"/>
        <w:rPr>
          <w:rFonts w:ascii="宋体" w:hAnsi="宋体"/>
          <w:color w:val="auto"/>
          <w:highlight w:val="none"/>
        </w:rPr>
      </w:pPr>
      <w:r>
        <w:rPr>
          <w:rFonts w:hint="eastAsia" w:ascii="宋体" w:hAnsi="宋体"/>
          <w:color w:val="auto"/>
          <w:highlight w:val="none"/>
        </w:rPr>
        <w:t>3.3.3 评标委员会对投标人提交的澄清、说明或补正有疑问的，可以要求投标人进一步澄清、说明或补正，直至满足评标委员会的要求。</w:t>
      </w:r>
    </w:p>
    <w:p w14:paraId="10EB43EE">
      <w:pPr>
        <w:spacing w:beforeLines="70" w:afterLines="70" w:line="360" w:lineRule="exact"/>
        <w:rPr>
          <w:rFonts w:ascii="宋体" w:hAnsi="宋体"/>
          <w:b/>
          <w:color w:val="auto"/>
          <w:sz w:val="28"/>
          <w:highlight w:val="none"/>
        </w:rPr>
      </w:pPr>
      <w:bookmarkStart w:id="385" w:name="_Toc515205264"/>
      <w:bookmarkStart w:id="386" w:name="_Toc529196591"/>
      <w:r>
        <w:rPr>
          <w:rFonts w:hint="eastAsia" w:ascii="宋体" w:hAnsi="宋体"/>
          <w:b/>
          <w:color w:val="auto"/>
          <w:sz w:val="28"/>
          <w:highlight w:val="none"/>
        </w:rPr>
        <w:t>3.4 评标结果</w:t>
      </w:r>
      <w:bookmarkEnd w:id="385"/>
      <w:bookmarkEnd w:id="386"/>
    </w:p>
    <w:p w14:paraId="09AA0333">
      <w:pPr>
        <w:keepNext w:val="0"/>
        <w:keepLines w:val="0"/>
        <w:widowControl w:val="0"/>
        <w:suppressLineNumbers w:val="0"/>
        <w:spacing w:before="0" w:beforeAutospacing="0" w:after="0" w:afterAutospacing="0" w:line="360" w:lineRule="exact"/>
        <w:ind w:left="0" w:right="0" w:firstLine="420" w:firstLineChars="200"/>
        <w:jc w:val="both"/>
        <w:rPr>
          <w:rFonts w:ascii="宋体" w:hAnsi="宋体"/>
          <w:b/>
          <w:strike/>
          <w:color w:val="auto"/>
          <w:highlight w:val="none"/>
        </w:rPr>
      </w:pPr>
      <w:r>
        <w:rPr>
          <w:rFonts w:hint="eastAsia" w:ascii="宋体" w:hAnsi="宋体"/>
          <w:strike/>
          <w:color w:val="auto"/>
          <w:highlight w:val="none"/>
        </w:rPr>
        <w:t xml:space="preserve">3.4.1 </w:t>
      </w:r>
      <w:r>
        <w:rPr>
          <w:rFonts w:hint="eastAsia" w:ascii="宋体" w:hAnsi="宋体" w:eastAsia="宋体" w:cs="宋体"/>
          <w:strike/>
          <w:color w:val="auto"/>
          <w:kern w:val="2"/>
          <w:sz w:val="21"/>
          <w:szCs w:val="21"/>
          <w:highlight w:val="none"/>
          <w:lang w:val="en-US" w:eastAsia="zh-CN" w:bidi="ar"/>
        </w:rPr>
        <w:t>除第二章“投标人须知”前附表授权直接确定中标人外，评标委员会按照得分由高到低的顺序推荐中标候选人，并标明排序。</w:t>
      </w:r>
    </w:p>
    <w:p w14:paraId="773A2E19">
      <w:pPr>
        <w:spacing w:line="360" w:lineRule="exact"/>
        <w:ind w:firstLine="482"/>
        <w:rPr>
          <w:rFonts w:ascii="宋体" w:hAnsi="宋体"/>
          <w:b/>
          <w:strike/>
          <w:color w:val="auto"/>
          <w:sz w:val="30"/>
          <w:szCs w:val="30"/>
          <w:highlight w:val="none"/>
        </w:rPr>
      </w:pPr>
      <w:r>
        <w:rPr>
          <w:rFonts w:hint="eastAsia" w:ascii="宋体" w:hAnsi="宋体"/>
          <w:strike/>
          <w:color w:val="auto"/>
          <w:highlight w:val="none"/>
        </w:rPr>
        <w:t>3.4.2 评标委员会完成评标后，应当向招标人提交书面评标报告和中标候选人名单。</w:t>
      </w:r>
    </w:p>
    <w:p w14:paraId="151E04AA">
      <w:pPr>
        <w:spacing w:beforeLines="-2147483648" w:afterLines="-2147483648" w:line="240" w:lineRule="auto"/>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br w:type="page"/>
      </w:r>
    </w:p>
    <w:p w14:paraId="7FE0E407">
      <w:pPr>
        <w:spacing w:before="340" w:after="330" w:line="240" w:lineRule="auto"/>
        <w:jc w:val="center"/>
        <w:outlineLvl w:val="0"/>
        <w:rPr>
          <w:rFonts w:ascii="宋体" w:hAnsi="宋体"/>
          <w:b/>
          <w:color w:val="auto"/>
          <w:kern w:val="44"/>
          <w:sz w:val="44"/>
          <w:szCs w:val="20"/>
          <w:highlight w:val="none"/>
        </w:rPr>
      </w:pPr>
      <w:bookmarkStart w:id="387" w:name="_Toc19499"/>
      <w:r>
        <w:rPr>
          <w:rFonts w:hint="eastAsia" w:ascii="宋体" w:hAnsi="宋体"/>
          <w:b/>
          <w:color w:val="auto"/>
          <w:kern w:val="44"/>
          <w:sz w:val="44"/>
          <w:szCs w:val="20"/>
          <w:highlight w:val="none"/>
        </w:rPr>
        <w:t>第四章 合同条款及格式</w:t>
      </w:r>
      <w:bookmarkEnd w:id="387"/>
    </w:p>
    <w:p w14:paraId="7035D9CE">
      <w:pPr>
        <w:jc w:val="center"/>
        <w:rPr>
          <w:b/>
          <w:color w:val="auto"/>
          <w:sz w:val="32"/>
          <w:highlight w:val="none"/>
        </w:rPr>
      </w:pPr>
      <w:r>
        <w:rPr>
          <w:rFonts w:hint="eastAsia"/>
          <w:b/>
          <w:color w:val="auto"/>
          <w:sz w:val="32"/>
          <w:highlight w:val="none"/>
        </w:rPr>
        <w:t>（另附）</w:t>
      </w:r>
    </w:p>
    <w:p w14:paraId="1C7E9D17">
      <w:pPr>
        <w:widowControl/>
        <w:jc w:val="left"/>
        <w:rPr>
          <w:color w:val="auto"/>
          <w:sz w:val="18"/>
          <w:highlight w:val="none"/>
        </w:rPr>
      </w:pPr>
    </w:p>
    <w:p w14:paraId="2DA20E99">
      <w:pPr>
        <w:widowControl/>
        <w:jc w:val="left"/>
        <w:rPr>
          <w:color w:val="auto"/>
          <w:sz w:val="18"/>
          <w:highlight w:val="none"/>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1" w:charSpace="0"/>
        </w:sectPr>
      </w:pPr>
    </w:p>
    <w:p w14:paraId="71BCACBE">
      <w:pPr>
        <w:jc w:val="center"/>
        <w:outlineLvl w:val="0"/>
        <w:rPr>
          <w:b/>
          <w:color w:val="auto"/>
          <w:sz w:val="44"/>
          <w:highlight w:val="none"/>
        </w:rPr>
      </w:pPr>
      <w:bookmarkStart w:id="388" w:name="_Toc18154"/>
      <w:bookmarkStart w:id="389" w:name="_Toc179632787"/>
      <w:bookmarkStart w:id="390" w:name="_Toc246996338"/>
      <w:bookmarkStart w:id="391" w:name="_Toc247085853"/>
      <w:bookmarkStart w:id="392" w:name="_Toc246997081"/>
      <w:bookmarkStart w:id="393" w:name="_Toc184635122"/>
      <w:bookmarkStart w:id="394" w:name="_Toc247514197"/>
      <w:bookmarkStart w:id="395" w:name="_Toc152042549"/>
      <w:bookmarkStart w:id="396" w:name="_Toc152045610"/>
      <w:bookmarkStart w:id="397" w:name="_Toc144974829"/>
      <w:bookmarkStart w:id="398" w:name="_Toc247527798"/>
      <w:bookmarkStart w:id="399" w:name="_Toc144974578"/>
      <w:bookmarkStart w:id="400" w:name="_Toc152042388"/>
      <w:bookmarkStart w:id="401" w:name="_Toc300835199"/>
      <w:r>
        <w:rPr>
          <w:rFonts w:hint="eastAsia"/>
          <w:b/>
          <w:color w:val="auto"/>
          <w:sz w:val="44"/>
          <w:highlight w:val="none"/>
        </w:rPr>
        <w:t>第二卷</w:t>
      </w:r>
      <w:bookmarkEnd w:id="388"/>
    </w:p>
    <w:p w14:paraId="6DD8E612">
      <w:pPr>
        <w:spacing w:line="360" w:lineRule="auto"/>
        <w:jc w:val="center"/>
        <w:outlineLvl w:val="0"/>
        <w:rPr>
          <w:rFonts w:ascii="宋体" w:hAnsi="宋体" w:eastAsia="黑体"/>
          <w:b/>
          <w:bCs/>
          <w:color w:val="auto"/>
          <w:kern w:val="0"/>
          <w:sz w:val="36"/>
          <w:szCs w:val="36"/>
          <w:highlight w:val="none"/>
        </w:rPr>
      </w:pPr>
      <w:bookmarkStart w:id="402" w:name="_Toc23927"/>
      <w:r>
        <w:rPr>
          <w:rFonts w:hint="eastAsia" w:ascii="宋体" w:hAnsi="宋体" w:eastAsia="黑体"/>
          <w:b/>
          <w:bCs/>
          <w:color w:val="auto"/>
          <w:kern w:val="0"/>
          <w:sz w:val="36"/>
          <w:szCs w:val="36"/>
          <w:highlight w:val="none"/>
        </w:rPr>
        <w:t>第五章 委托人要求</w:t>
      </w:r>
      <w:bookmarkEnd w:id="389"/>
      <w:bookmarkEnd w:id="390"/>
      <w:bookmarkEnd w:id="391"/>
      <w:bookmarkEnd w:id="392"/>
      <w:bookmarkEnd w:id="402"/>
      <w:bookmarkStart w:id="403" w:name="_Toc525827491"/>
      <w:bookmarkStart w:id="404" w:name="_Toc529196595"/>
      <w:bookmarkStart w:id="405" w:name="_Toc525828225"/>
      <w:bookmarkStart w:id="406" w:name="_Toc535938725"/>
      <w:bookmarkStart w:id="407" w:name="_Toc530470634"/>
      <w:bookmarkStart w:id="408" w:name="_Toc497745189"/>
      <w:bookmarkStart w:id="409" w:name="_Toc386995907"/>
    </w:p>
    <w:bookmarkEnd w:id="403"/>
    <w:bookmarkEnd w:id="404"/>
    <w:bookmarkEnd w:id="405"/>
    <w:bookmarkEnd w:id="406"/>
    <w:bookmarkEnd w:id="407"/>
    <w:bookmarkEnd w:id="408"/>
    <w:bookmarkEnd w:id="409"/>
    <w:p w14:paraId="56774199">
      <w:pPr>
        <w:pStyle w:val="19"/>
        <w:ind w:left="0" w:firstLine="482" w:firstLineChars="200"/>
        <w:jc w:val="both"/>
        <w:rPr>
          <w:color w:val="auto"/>
          <w:sz w:val="24"/>
          <w:szCs w:val="24"/>
          <w:highlight w:val="none"/>
        </w:rPr>
      </w:pPr>
      <w:bookmarkStart w:id="410" w:name="_Toc6575"/>
      <w:bookmarkEnd w:id="410"/>
      <w:bookmarkStart w:id="411" w:name="_Toc29812"/>
      <w:bookmarkEnd w:id="411"/>
      <w:bookmarkStart w:id="412" w:name="_Toc27333"/>
      <w:bookmarkStart w:id="413" w:name="_Toc176879984"/>
      <w:bookmarkStart w:id="414" w:name="_Toc1550"/>
      <w:bookmarkStart w:id="415" w:name="_Toc20384740"/>
      <w:r>
        <w:rPr>
          <w:color w:val="auto"/>
          <w:sz w:val="24"/>
          <w:szCs w:val="24"/>
          <w:highlight w:val="none"/>
        </w:rPr>
        <w:t>一、</w:t>
      </w:r>
      <w:r>
        <w:rPr>
          <w:rFonts w:hint="eastAsia"/>
          <w:color w:val="auto"/>
          <w:sz w:val="24"/>
          <w:szCs w:val="24"/>
          <w:highlight w:val="none"/>
        </w:rPr>
        <w:t>工程概况</w:t>
      </w:r>
    </w:p>
    <w:p w14:paraId="5BD0AD71">
      <w:pPr>
        <w:ind w:firstLine="480"/>
        <w:jc w:val="left"/>
        <w:rPr>
          <w:rFonts w:hint="eastAsia" w:ascii="宋体" w:hAnsi="宋体"/>
          <w:color w:val="auto"/>
          <w:sz w:val="24"/>
          <w:highlight w:val="none"/>
        </w:rPr>
      </w:pPr>
      <w:bookmarkStart w:id="416" w:name="_Toc20384741"/>
      <w:r>
        <w:rPr>
          <w:rFonts w:hint="eastAsia" w:ascii="宋体" w:hAnsi="宋体"/>
          <w:b/>
          <w:bCs/>
          <w:color w:val="auto"/>
          <w:sz w:val="24"/>
          <w:highlight w:val="none"/>
        </w:rPr>
        <w:t>1.招标项目名称</w:t>
      </w:r>
      <w:r>
        <w:rPr>
          <w:rFonts w:hint="eastAsia" w:ascii="宋体" w:hAnsi="宋体"/>
          <w:color w:val="auto"/>
          <w:sz w:val="24"/>
          <w:highlight w:val="none"/>
        </w:rPr>
        <w:t>：</w:t>
      </w:r>
    </w:p>
    <w:p w14:paraId="23EDB881">
      <w:pPr>
        <w:spacing w:line="379" w:lineRule="exact"/>
        <w:ind w:firstLine="480"/>
        <w:jc w:val="left"/>
        <w:rPr>
          <w:rFonts w:ascii="宋体" w:hAnsi="宋体"/>
          <w:color w:val="auto"/>
          <w:sz w:val="24"/>
          <w:highlight w:val="none"/>
        </w:rPr>
      </w:pPr>
      <w:bookmarkStart w:id="417" w:name="OLE_LINK3"/>
      <w:bookmarkStart w:id="418" w:name="OLE_LINK4"/>
      <w:r>
        <w:rPr>
          <w:rFonts w:hint="eastAsia" w:ascii="宋体" w:hAnsi="宋体"/>
          <w:color w:val="auto"/>
          <w:sz w:val="24"/>
          <w:highlight w:val="none"/>
        </w:rPr>
        <w:t>华南理工大学</w:t>
      </w:r>
      <w:bookmarkStart w:id="419" w:name="OLE_LINK5"/>
      <w:bookmarkStart w:id="420" w:name="OLE_LINK6"/>
      <w:r>
        <w:rPr>
          <w:rFonts w:hint="eastAsia" w:ascii="宋体" w:hAnsi="宋体"/>
          <w:color w:val="auto"/>
          <w:sz w:val="24"/>
          <w:highlight w:val="none"/>
        </w:rPr>
        <w:t>大学城校区</w:t>
      </w:r>
      <w:bookmarkEnd w:id="419"/>
      <w:bookmarkEnd w:id="420"/>
      <w:r>
        <w:rPr>
          <w:rFonts w:hint="eastAsia" w:ascii="宋体" w:hAnsi="宋体"/>
          <w:color w:val="auto"/>
          <w:sz w:val="24"/>
          <w:highlight w:val="none"/>
        </w:rPr>
        <w:t>研究生宿舍（二期）</w:t>
      </w:r>
      <w:bookmarkEnd w:id="417"/>
      <w:bookmarkEnd w:id="418"/>
      <w:r>
        <w:rPr>
          <w:rFonts w:hint="eastAsia" w:ascii="宋体" w:hAnsi="宋体"/>
          <w:color w:val="auto"/>
          <w:sz w:val="24"/>
          <w:highlight w:val="none"/>
        </w:rPr>
        <w:t>施工监理</w:t>
      </w:r>
    </w:p>
    <w:p w14:paraId="520ACEDF">
      <w:pPr>
        <w:widowControl/>
        <w:tabs>
          <w:tab w:val="left" w:pos="426"/>
        </w:tabs>
        <w:spacing w:line="379"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2.工程建设规模：</w:t>
      </w:r>
    </w:p>
    <w:p w14:paraId="7CD04E90">
      <w:pPr>
        <w:widowControl/>
        <w:tabs>
          <w:tab w:val="left" w:pos="426"/>
        </w:tabs>
        <w:spacing w:line="379" w:lineRule="exact"/>
        <w:ind w:firstLine="480" w:firstLineChars="200"/>
        <w:rPr>
          <w:rFonts w:hint="eastAsia" w:ascii="宋体" w:hAnsi="宋体"/>
          <w:color w:val="auto"/>
          <w:sz w:val="24"/>
          <w:highlight w:val="none"/>
        </w:rPr>
      </w:pPr>
      <w:r>
        <w:rPr>
          <w:rFonts w:hint="eastAsia" w:ascii="宋体" w:hAnsi="宋体"/>
          <w:color w:val="auto"/>
          <w:sz w:val="24"/>
          <w:highlight w:val="none"/>
        </w:rPr>
        <w:t>华南理工大学大学城校区研究生宿舍（二期）可行性研究用地面积为</w:t>
      </w:r>
      <w:bookmarkStart w:id="421" w:name="OLE_LINK16"/>
      <w:r>
        <w:rPr>
          <w:rFonts w:hint="eastAsia" w:ascii="宋体" w:hAnsi="宋体"/>
          <w:color w:val="auto"/>
          <w:sz w:val="24"/>
          <w:highlight w:val="none"/>
        </w:rPr>
        <w:t>45860.</w:t>
      </w:r>
      <w:bookmarkEnd w:id="421"/>
      <w:r>
        <w:rPr>
          <w:rFonts w:hint="eastAsia" w:ascii="宋体" w:hAnsi="宋体"/>
          <w:color w:val="auto"/>
          <w:sz w:val="24"/>
          <w:highlight w:val="none"/>
        </w:rPr>
        <w:t>0㎡，</w:t>
      </w:r>
      <w:bookmarkStart w:id="422" w:name="OLE_LINK12"/>
      <w:r>
        <w:rPr>
          <w:rFonts w:hint="eastAsia" w:ascii="宋体" w:hAnsi="宋体"/>
          <w:color w:val="auto"/>
          <w:sz w:val="24"/>
          <w:highlight w:val="none"/>
        </w:rPr>
        <w:t>拟建建筑面积为77690.0㎡，其中地上建筑面积为60190.0㎡，地下建筑面积为17500.0㎡。</w:t>
      </w:r>
      <w:bookmarkEnd w:id="422"/>
      <w:r>
        <w:rPr>
          <w:rFonts w:hint="eastAsia" w:ascii="宋体" w:hAnsi="宋体"/>
          <w:color w:val="auto"/>
          <w:sz w:val="24"/>
          <w:highlight w:val="none"/>
        </w:rPr>
        <w:t>建筑功能地上部分为学生宿舍及一站式学生社区服务中心，地下部分为设备用房及人防停车库。地上部分包括6栋15层宿舍楼和局部1层公共门厅及风雨连廊，共644间宿舍单元用房，共2324间宿舍；一站式学生社区服务中心位于宿舍楼首层。地下停车库1层，机动车停车位410个，非机动车停车位1806个。</w:t>
      </w:r>
    </w:p>
    <w:p w14:paraId="15EEC8CA">
      <w:pPr>
        <w:widowControl/>
        <w:tabs>
          <w:tab w:val="left" w:pos="426"/>
        </w:tabs>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3.工程建设地点：</w:t>
      </w:r>
      <w:r>
        <w:rPr>
          <w:rFonts w:hint="eastAsia" w:ascii="Times New Roman" w:hAnsi="Times New Roman"/>
          <w:color w:val="auto"/>
          <w:spacing w:val="4"/>
          <w:kern w:val="0"/>
          <w:sz w:val="24"/>
          <w:szCs w:val="24"/>
          <w:highlight w:val="none"/>
        </w:rPr>
        <w:t>华南理工大学</w:t>
      </w:r>
      <w:r>
        <w:rPr>
          <w:rFonts w:hint="eastAsia" w:ascii="宋体" w:hAnsi="宋体"/>
          <w:color w:val="auto"/>
          <w:sz w:val="24"/>
          <w:highlight w:val="none"/>
        </w:rPr>
        <w:t>大学城校区东北角，毗邻校区北门</w:t>
      </w:r>
    </w:p>
    <w:p w14:paraId="783B92F7">
      <w:pPr>
        <w:widowControl/>
        <w:tabs>
          <w:tab w:val="left" w:pos="426"/>
        </w:tabs>
        <w:spacing w:line="360" w:lineRule="auto"/>
        <w:ind w:firstLine="498" w:firstLineChars="200"/>
        <w:rPr>
          <w:rFonts w:hint="eastAsia"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4.工程投资：</w:t>
      </w:r>
    </w:p>
    <w:p w14:paraId="7D5C558C">
      <w:pPr>
        <w:widowControl/>
        <w:tabs>
          <w:tab w:val="left" w:pos="426"/>
        </w:tabs>
        <w:spacing w:line="360" w:lineRule="auto"/>
        <w:ind w:firstLine="496" w:firstLineChars="200"/>
        <w:rPr>
          <w:rFonts w:hint="eastAsia"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项目</w:t>
      </w:r>
      <w:r>
        <w:rPr>
          <w:rFonts w:hint="default" w:ascii="Times New Roman" w:hAnsi="Times New Roman"/>
          <w:color w:val="auto"/>
          <w:spacing w:val="4"/>
          <w:kern w:val="0"/>
          <w:sz w:val="24"/>
          <w:szCs w:val="24"/>
          <w:highlight w:val="none"/>
          <w:woUserID w:val="1"/>
        </w:rPr>
        <w:t>投资估算评审</w:t>
      </w:r>
      <w:r>
        <w:rPr>
          <w:rFonts w:hint="eastAsia" w:ascii="Times New Roman" w:hAnsi="Times New Roman"/>
          <w:color w:val="auto"/>
          <w:spacing w:val="4"/>
          <w:kern w:val="0"/>
          <w:sz w:val="24"/>
          <w:szCs w:val="24"/>
          <w:highlight w:val="none"/>
        </w:rPr>
        <w:t>总投资4</w:t>
      </w:r>
      <w:r>
        <w:rPr>
          <w:rFonts w:hint="default" w:ascii="Times New Roman" w:hAnsi="Times New Roman"/>
          <w:color w:val="auto"/>
          <w:spacing w:val="4"/>
          <w:kern w:val="0"/>
          <w:sz w:val="24"/>
          <w:szCs w:val="24"/>
          <w:highlight w:val="none"/>
          <w:woUserID w:val="1"/>
        </w:rPr>
        <w:t>4966</w:t>
      </w:r>
      <w:r>
        <w:rPr>
          <w:rFonts w:hint="eastAsia" w:ascii="Times New Roman" w:hAnsi="Times New Roman"/>
          <w:color w:val="auto"/>
          <w:spacing w:val="4"/>
          <w:kern w:val="0"/>
          <w:sz w:val="24"/>
          <w:szCs w:val="24"/>
          <w:highlight w:val="none"/>
        </w:rPr>
        <w:t>万元，其中：建安工程费3</w:t>
      </w:r>
      <w:r>
        <w:rPr>
          <w:rFonts w:hint="default" w:ascii="Times New Roman" w:hAnsi="Times New Roman"/>
          <w:color w:val="auto"/>
          <w:spacing w:val="4"/>
          <w:kern w:val="0"/>
          <w:sz w:val="24"/>
          <w:szCs w:val="24"/>
          <w:highlight w:val="none"/>
          <w:woUserID w:val="1"/>
        </w:rPr>
        <w:t>7687</w:t>
      </w:r>
      <w:r>
        <w:rPr>
          <w:rFonts w:hint="eastAsia" w:ascii="Times New Roman" w:hAnsi="Times New Roman"/>
          <w:color w:val="auto"/>
          <w:spacing w:val="4"/>
          <w:kern w:val="0"/>
          <w:sz w:val="24"/>
          <w:szCs w:val="24"/>
          <w:highlight w:val="none"/>
        </w:rPr>
        <w:t>万元；工程建设其他费用5</w:t>
      </w:r>
      <w:r>
        <w:rPr>
          <w:rFonts w:hint="default" w:ascii="Times New Roman" w:hAnsi="Times New Roman"/>
          <w:color w:val="auto"/>
          <w:spacing w:val="4"/>
          <w:kern w:val="0"/>
          <w:sz w:val="24"/>
          <w:szCs w:val="24"/>
          <w:highlight w:val="none"/>
          <w:woUserID w:val="1"/>
        </w:rPr>
        <w:t>139</w:t>
      </w:r>
      <w:r>
        <w:rPr>
          <w:rFonts w:hint="eastAsia" w:ascii="Times New Roman" w:hAnsi="Times New Roman"/>
          <w:color w:val="auto"/>
          <w:spacing w:val="4"/>
          <w:kern w:val="0"/>
          <w:sz w:val="24"/>
          <w:szCs w:val="24"/>
          <w:highlight w:val="none"/>
        </w:rPr>
        <w:t>万元；预备费2</w:t>
      </w:r>
      <w:r>
        <w:rPr>
          <w:rFonts w:hint="default" w:ascii="Times New Roman" w:hAnsi="Times New Roman"/>
          <w:color w:val="auto"/>
          <w:spacing w:val="4"/>
          <w:kern w:val="0"/>
          <w:sz w:val="24"/>
          <w:szCs w:val="24"/>
          <w:highlight w:val="none"/>
          <w:woUserID w:val="1"/>
        </w:rPr>
        <w:t>141</w:t>
      </w:r>
      <w:r>
        <w:rPr>
          <w:rFonts w:hint="eastAsia" w:ascii="Times New Roman" w:hAnsi="Times New Roman"/>
          <w:color w:val="auto"/>
          <w:spacing w:val="4"/>
          <w:kern w:val="0"/>
          <w:sz w:val="24"/>
          <w:szCs w:val="24"/>
          <w:highlight w:val="none"/>
        </w:rPr>
        <w:t>万元。</w:t>
      </w:r>
    </w:p>
    <w:p w14:paraId="1C057889">
      <w:pPr>
        <w:widowControl/>
        <w:tabs>
          <w:tab w:val="left" w:pos="426"/>
        </w:tabs>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5.监理范围及内容：</w:t>
      </w:r>
      <w:r>
        <w:rPr>
          <w:rFonts w:hint="eastAsia" w:ascii="宋体" w:hAnsi="宋体"/>
          <w:color w:val="auto"/>
          <w:sz w:val="24"/>
          <w:highlight w:val="none"/>
        </w:rPr>
        <w:t>项目监理工作为从施工准备阶段开始的全过程监理工作，按照监理合同、规范规则、及招标人要求组建由公司分管领导牵头的强有力监理团队，全面负责现场的“三控三管一协调”工作，其工作范围和工作要求如下：</w:t>
      </w:r>
    </w:p>
    <w:p w14:paraId="250771A1">
      <w:pPr>
        <w:tabs>
          <w:tab w:val="left" w:pos="426"/>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立项（含可研）范围内所有工程内容【含前期工程（如围蔽工程、临水工程、临电工程、场地平整等）及各专业工程】的施工监理：包括但不限于施工准备阶段、施工阶段、工程收尾阶段（包括但不限于竣工验收、整改、工程移交、工程结算等）及工程质量保修阶段的质量控制、职业健康安全及环境监督管理、投资控制、进度控制、合同管理、信息管理、组织协调、工程创优、设备监造（如有）以及协调建设单位和工程建设有关各方的工作关系等。此外，投标人还须按招标人的要求提前进场参与施工招标配合、开工前期的准备和筹划工作，编制项目第三方检（监）测规划方案及初步方案，协助招标人制定工程管理办法、各参建方职责及有关事务性工作等，具体以实际实施的监理范围为准。</w:t>
      </w:r>
    </w:p>
    <w:p w14:paraId="77292F23">
      <w:pPr>
        <w:tabs>
          <w:tab w:val="left" w:pos="426"/>
        </w:tabs>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前期阶段监理工作：负责协助配合建设方进行项目建设前期准备（包括施工前期临时准备工作）、勘察设计协调、协助前期报批报建手续办理、施工招标配合以及场地情况跟进、各类地下及毗邻区域内的地下管线资料及气象和水文观测资料跟进、相邻建筑物和构筑物（高压线等）有关资料跟进、地下工程有关资料跟进等。</w:t>
      </w:r>
    </w:p>
    <w:p w14:paraId="707460FF">
      <w:pPr>
        <w:pStyle w:val="19"/>
        <w:ind w:left="0" w:firstLine="482" w:firstLineChars="200"/>
        <w:jc w:val="both"/>
        <w:rPr>
          <w:color w:val="auto"/>
          <w:sz w:val="24"/>
          <w:szCs w:val="24"/>
          <w:highlight w:val="none"/>
        </w:rPr>
      </w:pPr>
      <w:bookmarkStart w:id="423" w:name="_Toc176879985"/>
      <w:bookmarkStart w:id="424" w:name="_Toc23048"/>
      <w:r>
        <w:rPr>
          <w:color w:val="auto"/>
          <w:sz w:val="24"/>
          <w:szCs w:val="24"/>
          <w:highlight w:val="none"/>
        </w:rPr>
        <w:t>二、</w:t>
      </w:r>
      <w:bookmarkEnd w:id="416"/>
      <w:r>
        <w:rPr>
          <w:color w:val="auto"/>
          <w:sz w:val="24"/>
          <w:szCs w:val="24"/>
          <w:highlight w:val="none"/>
        </w:rPr>
        <w:t>监理服务期</w:t>
      </w:r>
    </w:p>
    <w:p w14:paraId="626B30E9">
      <w:pPr>
        <w:tabs>
          <w:tab w:val="left" w:pos="426"/>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自监理人收到中标通知书或参加由委托人组织的第一次进场动员会之日起算，至本项目工程保修期结束且本合同工程结算金额经有权结算终审部门审定之日止。监理服务期包括项目的施工招标配合与施工准备阶段、施工阶段、工程收尾阶段（包括但不限于竣工验收、整改、工程移交、工程结算等）及工程质量保修期阶段，监理人须实行全过程监理服务。</w:t>
      </w:r>
    </w:p>
    <w:p w14:paraId="532A607D">
      <w:pPr>
        <w:pStyle w:val="19"/>
        <w:ind w:firstLine="361" w:firstLineChars="150"/>
        <w:jc w:val="both"/>
        <w:rPr>
          <w:rFonts w:hint="eastAsia"/>
          <w:color w:val="auto"/>
          <w:sz w:val="24"/>
          <w:szCs w:val="24"/>
          <w:highlight w:val="none"/>
        </w:rPr>
      </w:pPr>
      <w:r>
        <w:rPr>
          <w:rFonts w:hint="eastAsia"/>
          <w:color w:val="auto"/>
          <w:sz w:val="24"/>
          <w:szCs w:val="24"/>
          <w:highlight w:val="none"/>
          <w:lang w:eastAsia="zh-CN"/>
        </w:rPr>
        <w:t>三</w:t>
      </w:r>
      <w:r>
        <w:rPr>
          <w:rFonts w:hint="eastAsia"/>
          <w:color w:val="auto"/>
          <w:sz w:val="24"/>
          <w:szCs w:val="24"/>
          <w:highlight w:val="none"/>
        </w:rPr>
        <w:t>、项目管理重点、难点</w:t>
      </w:r>
    </w:p>
    <w:p w14:paraId="2B7E82ED">
      <w:pPr>
        <w:topLinePunct/>
        <w:adjustRightInd w:val="0"/>
        <w:snapToGrid w:val="0"/>
        <w:spacing w:line="372" w:lineRule="auto"/>
        <w:ind w:firstLine="482" w:firstLineChars="200"/>
        <w:rPr>
          <w:rFonts w:hint="eastAsia" w:ascii="宋体" w:hAnsi="宋体" w:cs="黑体"/>
          <w:b/>
          <w:color w:val="auto"/>
          <w:sz w:val="24"/>
          <w:highlight w:val="none"/>
          <w:lang w:bidi="ar"/>
        </w:rPr>
      </w:pPr>
      <w:r>
        <w:rPr>
          <w:rFonts w:hint="eastAsia" w:ascii="宋体" w:hAnsi="宋体" w:cs="黑体"/>
          <w:b/>
          <w:color w:val="auto"/>
          <w:sz w:val="24"/>
          <w:highlight w:val="none"/>
          <w:lang w:bidi="ar"/>
        </w:rPr>
        <w:t>（一）项目管理重点</w:t>
      </w:r>
    </w:p>
    <w:p w14:paraId="2C2396E9">
      <w:pPr>
        <w:topLinePunct/>
        <w:adjustRightInd w:val="0"/>
        <w:snapToGrid w:val="0"/>
        <w:spacing w:line="372" w:lineRule="auto"/>
        <w:ind w:firstLine="480" w:firstLineChars="200"/>
        <w:rPr>
          <w:rFonts w:hint="eastAsia" w:cs="宋体"/>
          <w:color w:val="auto"/>
          <w:sz w:val="24"/>
          <w:highlight w:val="none"/>
          <w:lang w:bidi="ar"/>
        </w:rPr>
      </w:pPr>
      <w:r>
        <w:rPr>
          <w:rFonts w:cs="宋体"/>
          <w:color w:val="auto"/>
          <w:sz w:val="24"/>
          <w:highlight w:val="none"/>
          <w:lang w:bidi="ar"/>
        </w:rPr>
        <w:t>1.</w:t>
      </w:r>
      <w:r>
        <w:rPr>
          <w:rFonts w:hint="eastAsia" w:cs="宋体"/>
          <w:color w:val="auto"/>
          <w:sz w:val="24"/>
          <w:highlight w:val="none"/>
          <w:lang w:bidi="ar"/>
        </w:rPr>
        <w:t>科学合理规划好总平面布置，本项目施工场地狭小，不利于搭设工人生活区和管理人员办公区，必须优化场地规划，做好校内活动区域隔离和减少对校区影响，利于土方外运及施工推进，是前期管理工作重点。</w:t>
      </w:r>
    </w:p>
    <w:p w14:paraId="0059F45C">
      <w:pPr>
        <w:topLinePunct/>
        <w:adjustRightInd w:val="0"/>
        <w:snapToGrid w:val="0"/>
        <w:spacing w:line="372" w:lineRule="auto"/>
        <w:ind w:firstLine="480" w:firstLineChars="200"/>
        <w:rPr>
          <w:rFonts w:cs="宋体"/>
          <w:color w:val="auto"/>
          <w:sz w:val="24"/>
          <w:highlight w:val="none"/>
          <w:lang w:bidi="ar"/>
        </w:rPr>
      </w:pPr>
      <w:r>
        <w:rPr>
          <w:rFonts w:hint="eastAsia" w:cs="宋体"/>
          <w:color w:val="auto"/>
          <w:sz w:val="24"/>
          <w:highlight w:val="none"/>
          <w:lang w:bidi="ar"/>
        </w:rPr>
        <w:t>2.本项目是学校建筑，关注度高，同时由于</w:t>
      </w:r>
      <w:r>
        <w:rPr>
          <w:rFonts w:hint="default" w:cs="宋体"/>
          <w:color w:val="auto"/>
          <w:sz w:val="24"/>
          <w:highlight w:val="none"/>
          <w:lang w:bidi="ar"/>
          <w:woUserID w:val="1"/>
        </w:rPr>
        <w:t>项目工期较紧张</w:t>
      </w:r>
      <w:r>
        <w:rPr>
          <w:rFonts w:hint="eastAsia" w:cs="宋体"/>
          <w:color w:val="auto"/>
          <w:sz w:val="24"/>
          <w:highlight w:val="none"/>
          <w:lang w:bidi="ar"/>
        </w:rPr>
        <w:t>，合理赶工并做好施工质量把控是项目管理重点。</w:t>
      </w:r>
    </w:p>
    <w:p w14:paraId="6AD313AF">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（1）地基基础及主体结构的施工质量是管理的重点。</w:t>
      </w:r>
    </w:p>
    <w:p w14:paraId="441968F8">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（2）装修（卫生间防水、外墙漆、各室内装修、机电管线）施工质量是管理的重点。</w:t>
      </w:r>
    </w:p>
    <w:p w14:paraId="0F85E0D3">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（3）材料品牌的选用和提前做好招采工作是管理的重点。</w:t>
      </w:r>
    </w:p>
    <w:p w14:paraId="3E7D876D">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（4）落实样板引路、看样定板工作是管理的重点。</w:t>
      </w:r>
    </w:p>
    <w:p w14:paraId="2F5BFBDD">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（5）</w:t>
      </w:r>
      <w:r>
        <w:rPr>
          <w:rFonts w:hint="eastAsia" w:cs="宋体"/>
          <w:color w:val="auto"/>
          <w:sz w:val="24"/>
          <w:highlight w:val="none"/>
          <w:lang w:bidi="ar"/>
          <w:woUserID w:val="1"/>
        </w:rPr>
        <w:t>由于</w:t>
      </w:r>
      <w:r>
        <w:rPr>
          <w:rFonts w:hint="default" w:cs="宋体"/>
          <w:color w:val="auto"/>
          <w:sz w:val="24"/>
          <w:highlight w:val="none"/>
          <w:lang w:bidi="ar"/>
          <w:woUserID w:val="1"/>
        </w:rPr>
        <w:t>项目工期较紧张</w:t>
      </w:r>
      <w:r>
        <w:rPr>
          <w:rFonts w:hint="eastAsia" w:cs="宋体"/>
          <w:color w:val="auto"/>
          <w:sz w:val="24"/>
          <w:highlight w:val="none"/>
          <w:lang w:bidi="ar"/>
        </w:rPr>
        <w:t>，而项目紧靠学生在住的研究生宿舍一期，离华工大学城中心酒店也大约60米，外墙表面设计为涂料，竣工交付前有多个月的雨季，合理安排施工工序和赶工措施是管理的重点。</w:t>
      </w:r>
    </w:p>
    <w:p w14:paraId="0B003256">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3.工况较复杂，危险源多，周边环境要求高，安全文明施工管控是项目管理重点</w:t>
      </w:r>
    </w:p>
    <w:p w14:paraId="56A22AC4">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（1）组织施工队伍有序施工，保持良好的施工作业环境，提高施工人员的整体形象，是管理的重点。</w:t>
      </w:r>
    </w:p>
    <w:p w14:paraId="11650ABF">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（2）本项目紧靠学生在住的研究生宿舍一期，离华工大学城中心酒店也大约60米，严格控制作业时间及控制施工噪音是重点。</w:t>
      </w:r>
    </w:p>
    <w:p w14:paraId="45FD3529">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（3）地质条件存在砂质粘土，泡水易软化，确保基坑止水效果及基坑内集水排水是重点。</w:t>
      </w:r>
    </w:p>
    <w:p w14:paraId="5F627244">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（4）项目作业面广且多，高处作业、吊装、动火作业等危大工程多，如何确保施工标准化、作业规范化，是施工管理的重点。</w:t>
      </w:r>
    </w:p>
    <w:p w14:paraId="41232F8C">
      <w:pPr>
        <w:topLinePunct/>
        <w:adjustRightInd w:val="0"/>
        <w:snapToGrid w:val="0"/>
        <w:spacing w:line="372" w:lineRule="auto"/>
        <w:ind w:firstLine="480" w:firstLineChars="200"/>
        <w:rPr>
          <w:rFonts w:hint="eastAsia" w:cs="宋体"/>
          <w:color w:val="auto"/>
          <w:sz w:val="24"/>
          <w:highlight w:val="none"/>
          <w:lang w:bidi="ar"/>
        </w:rPr>
      </w:pPr>
      <w:r>
        <w:rPr>
          <w:rFonts w:hint="eastAsia" w:cs="宋体"/>
          <w:color w:val="auto"/>
          <w:sz w:val="24"/>
          <w:highlight w:val="none"/>
          <w:lang w:bidi="ar"/>
        </w:rPr>
        <w:t>（5）确保对周边环境的保护，减少噪音、扬尘，是施工管理的重点。</w:t>
      </w:r>
    </w:p>
    <w:p w14:paraId="36384BFB">
      <w:pPr>
        <w:topLinePunct/>
        <w:adjustRightInd w:val="0"/>
        <w:snapToGrid w:val="0"/>
        <w:spacing w:line="372" w:lineRule="auto"/>
        <w:ind w:firstLine="480" w:firstLineChars="200"/>
        <w:rPr>
          <w:rFonts w:cs="宋体"/>
          <w:color w:val="auto"/>
          <w:sz w:val="24"/>
          <w:highlight w:val="none"/>
          <w:lang w:bidi="ar"/>
        </w:rPr>
      </w:pPr>
      <w:r>
        <w:rPr>
          <w:rFonts w:hint="eastAsia" w:cs="宋体"/>
          <w:color w:val="auto"/>
          <w:sz w:val="24"/>
          <w:highlight w:val="none"/>
          <w:lang w:bidi="ar"/>
        </w:rPr>
        <w:t>4.项目范围内树木迁移、大学城校区内土方外运量较大、校内施工等因素都会对工效及施工推进产生不利影响，如何高效协调各方资源，合理安排施工顺序，减少施工干扰，确保工程顺利进行，是项目管理重点。</w:t>
      </w:r>
    </w:p>
    <w:p w14:paraId="6C19D56B">
      <w:pPr>
        <w:tabs>
          <w:tab w:val="left" w:pos="900"/>
        </w:tabs>
        <w:adjustRightInd w:val="0"/>
        <w:snapToGrid w:val="0"/>
        <w:spacing w:line="372" w:lineRule="auto"/>
        <w:ind w:firstLine="480" w:firstLineChars="200"/>
        <w:rPr>
          <w:rFonts w:hint="eastAsia"/>
          <w:color w:val="auto"/>
          <w:sz w:val="24"/>
          <w:highlight w:val="none"/>
          <w:lang w:bidi="ar"/>
        </w:rPr>
      </w:pPr>
      <w:r>
        <w:rPr>
          <w:color w:val="auto"/>
          <w:sz w:val="24"/>
          <w:highlight w:val="none"/>
          <w:lang w:bidi="ar"/>
        </w:rPr>
        <w:t>5.</w:t>
      </w:r>
      <w:r>
        <w:rPr>
          <w:rFonts w:hint="eastAsia"/>
          <w:color w:val="auto"/>
          <w:sz w:val="24"/>
          <w:highlight w:val="none"/>
          <w:lang w:bidi="ar"/>
        </w:rPr>
        <w:t>项目前期设计阶段时间过短，图纸质量和概预算难免存在问题，技术管理和计量计价工作是重点。组织施工单位尽快熟悉图纸，尽早找出存在问题，组织图纸会审，督促设计单位完善设计变更手续也是技术管理重点；督促施工单位及时申报新增主材单价、新增综合单价、</w:t>
      </w:r>
      <w:r>
        <w:rPr>
          <w:rFonts w:hint="eastAsia" w:ascii="宋体" w:hAnsi="宋体" w:cs="宋体"/>
          <w:color w:val="auto"/>
          <w:sz w:val="24"/>
          <w:highlight w:val="none"/>
          <w:lang w:bidi="ar"/>
        </w:rPr>
        <w:t>合同变更费用</w:t>
      </w:r>
      <w:r>
        <w:rPr>
          <w:rFonts w:hint="eastAsia"/>
          <w:color w:val="auto"/>
          <w:sz w:val="24"/>
          <w:highlight w:val="none"/>
          <w:lang w:bidi="ar"/>
        </w:rPr>
        <w:t>、工程签证、分阶段竣工图、分阶段结算等计量计价工作是重点。</w:t>
      </w:r>
    </w:p>
    <w:p w14:paraId="0778A0CE">
      <w:pPr>
        <w:tabs>
          <w:tab w:val="left" w:pos="900"/>
        </w:tabs>
        <w:adjustRightInd w:val="0"/>
        <w:snapToGrid w:val="0"/>
        <w:spacing w:line="372" w:lineRule="auto"/>
        <w:ind w:firstLine="480" w:firstLineChars="200"/>
        <w:rPr>
          <w:rFonts w:hint="eastAsia" w:cs="宋体"/>
          <w:color w:val="auto"/>
          <w:sz w:val="24"/>
          <w:highlight w:val="none"/>
          <w:lang w:bidi="ar"/>
        </w:rPr>
      </w:pPr>
      <w:r>
        <w:rPr>
          <w:rFonts w:hint="eastAsia"/>
          <w:color w:val="auto"/>
          <w:sz w:val="24"/>
          <w:highlight w:val="none"/>
          <w:lang w:bidi="ar"/>
        </w:rPr>
        <w:t>6.对接协调工作也是管理重点：（1）各种报批报建手续的办理；（2）</w:t>
      </w:r>
      <w:r>
        <w:rPr>
          <w:rFonts w:hint="eastAsia" w:cs="宋体"/>
          <w:color w:val="auto"/>
          <w:sz w:val="24"/>
          <w:highlight w:val="none"/>
          <w:lang w:bidi="ar"/>
        </w:rPr>
        <w:t>各单位、各专业及工序接口管理及协调；（3）校方需求对接及落实，以及校方开办进场节点及协调；（4）周边环境的协调，</w:t>
      </w:r>
      <w:r>
        <w:rPr>
          <w:rFonts w:hint="eastAsia" w:ascii="宋体" w:hAnsi="宋体"/>
          <w:color w:val="auto"/>
          <w:sz w:val="24"/>
          <w:szCs w:val="24"/>
          <w:highlight w:val="none"/>
        </w:rPr>
        <w:t>控制好施工所带来的舆情，快速处理、控制好舆情投诉。</w:t>
      </w:r>
    </w:p>
    <w:p w14:paraId="1DA6553C">
      <w:pPr>
        <w:topLinePunct/>
        <w:adjustRightInd w:val="0"/>
        <w:snapToGrid w:val="0"/>
        <w:spacing w:line="372" w:lineRule="auto"/>
        <w:ind w:firstLine="482" w:firstLineChars="200"/>
        <w:rPr>
          <w:rFonts w:hint="eastAsia" w:ascii="宋体" w:hAnsi="宋体" w:cs="黑体"/>
          <w:b/>
          <w:color w:val="auto"/>
          <w:sz w:val="24"/>
          <w:highlight w:val="none"/>
          <w:lang w:bidi="ar"/>
        </w:rPr>
      </w:pPr>
      <w:r>
        <w:rPr>
          <w:rFonts w:hint="eastAsia" w:ascii="宋体" w:hAnsi="宋体" w:cs="黑体"/>
          <w:b/>
          <w:color w:val="auto"/>
          <w:sz w:val="24"/>
          <w:highlight w:val="none"/>
          <w:lang w:bidi="ar"/>
        </w:rPr>
        <w:t>（二）项目管理难点</w:t>
      </w:r>
    </w:p>
    <w:p w14:paraId="3FA17FB0">
      <w:pPr>
        <w:topLinePunct/>
        <w:adjustRightInd w:val="0"/>
        <w:snapToGrid w:val="0"/>
        <w:spacing w:line="372" w:lineRule="auto"/>
        <w:ind w:firstLine="480" w:firstLineChars="200"/>
        <w:rPr>
          <w:rFonts w:cs="宋体"/>
          <w:color w:val="auto"/>
          <w:sz w:val="24"/>
          <w:highlight w:val="none"/>
          <w:lang w:bidi="ar"/>
        </w:rPr>
      </w:pPr>
      <w:r>
        <w:rPr>
          <w:rFonts w:cs="宋体"/>
          <w:color w:val="auto"/>
          <w:sz w:val="24"/>
          <w:highlight w:val="none"/>
          <w:lang w:bidi="ar"/>
        </w:rPr>
        <w:t>1.</w:t>
      </w:r>
      <w:r>
        <w:rPr>
          <w:rFonts w:hint="eastAsia" w:cs="宋体"/>
          <w:color w:val="auto"/>
          <w:sz w:val="24"/>
          <w:highlight w:val="none"/>
          <w:lang w:bidi="ar"/>
        </w:rPr>
        <w:t>大体量土石方外外运的难点</w:t>
      </w:r>
    </w:p>
    <w:p w14:paraId="39FDEF8C">
      <w:pPr>
        <w:topLinePunct/>
        <w:adjustRightInd w:val="0"/>
        <w:snapToGrid w:val="0"/>
        <w:spacing w:line="372" w:lineRule="auto"/>
        <w:ind w:firstLine="480" w:firstLineChars="200"/>
        <w:rPr>
          <w:rFonts w:cs="宋体"/>
          <w:color w:val="auto"/>
          <w:sz w:val="24"/>
          <w:highlight w:val="none"/>
          <w:lang w:bidi="ar"/>
        </w:rPr>
      </w:pPr>
      <w:r>
        <w:rPr>
          <w:rFonts w:hint="eastAsia" w:cs="宋体"/>
          <w:color w:val="auto"/>
          <w:sz w:val="24"/>
          <w:highlight w:val="none"/>
          <w:lang w:bidi="ar"/>
        </w:rPr>
        <w:t>本项目位于大学城校区，深基坑大量土方外运工作是工程难点，须提前摸查土方收纳点，规划运输路径，及时办理好渣土运输许可证、夜间施工许可、建筑废弃物排放等行政审批手续。在实施方面，全面充分地掌握整个施工场地的地质面貌和场地条件，以及基坑支护的实际施工状况，编制基坑土石方工程专项施工方案，合理规划出土流线、各类机械投入数量、施工作业面，加强与城管、交管、环保等部门的沟通，提前做好报备计划，确保出土效率。严格做好土方施工及外运过程中的安全文明施工措施，做好施工公示及沟通，减少扰民及投诉</w:t>
      </w:r>
      <w:r>
        <w:rPr>
          <w:rFonts w:ascii="Times New Roman" w:hAnsi="Times New Roman"/>
          <w:color w:val="auto"/>
          <w:spacing w:val="4"/>
          <w:kern w:val="0"/>
          <w:sz w:val="24"/>
          <w:szCs w:val="24"/>
          <w:highlight w:val="none"/>
        </w:rPr>
        <w:t>。</w:t>
      </w:r>
    </w:p>
    <w:p w14:paraId="1BE4856B">
      <w:pPr>
        <w:widowControl/>
        <w:topLinePunct/>
        <w:adjustRightInd w:val="0"/>
        <w:snapToGrid w:val="0"/>
        <w:spacing w:line="372" w:lineRule="auto"/>
        <w:ind w:left="124" w:leftChars="59" w:firstLine="480" w:firstLineChars="200"/>
        <w:rPr>
          <w:rFonts w:hint="eastAsia" w:ascii="Times New Roman" w:hAnsi="Times New Roman"/>
          <w:color w:val="auto"/>
          <w:spacing w:val="4"/>
          <w:kern w:val="0"/>
          <w:sz w:val="24"/>
          <w:szCs w:val="24"/>
          <w:highlight w:val="none"/>
        </w:rPr>
      </w:pPr>
      <w:r>
        <w:rPr>
          <w:rFonts w:hint="eastAsia" w:cs="宋体"/>
          <w:color w:val="auto"/>
          <w:sz w:val="24"/>
          <w:highlight w:val="none"/>
          <w:lang w:bidi="ar"/>
        </w:rPr>
        <w:t>2.</w:t>
      </w:r>
      <w:r>
        <w:rPr>
          <w:rFonts w:hint="eastAsia" w:ascii="Times New Roman" w:hAnsi="Times New Roman"/>
          <w:color w:val="auto"/>
          <w:spacing w:val="4"/>
          <w:kern w:val="0"/>
          <w:sz w:val="24"/>
          <w:szCs w:val="24"/>
          <w:highlight w:val="none"/>
        </w:rPr>
        <w:t>多专业管理的难点</w:t>
      </w:r>
    </w:p>
    <w:p w14:paraId="4E83A35B">
      <w:pPr>
        <w:widowControl/>
        <w:topLinePunct/>
        <w:adjustRightInd w:val="0"/>
        <w:snapToGrid w:val="0"/>
        <w:spacing w:line="372" w:lineRule="auto"/>
        <w:ind w:left="124" w:leftChars="59"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（1）</w:t>
      </w:r>
      <w:r>
        <w:rPr>
          <w:rFonts w:hint="eastAsia" w:ascii="Times New Roman" w:hAnsi="Times New Roman"/>
          <w:color w:val="auto"/>
          <w:spacing w:val="4"/>
          <w:kern w:val="0"/>
          <w:sz w:val="24"/>
          <w:szCs w:val="24"/>
          <w:highlight w:val="none"/>
        </w:rPr>
        <w:t>本项目涵盖系统工程较多，多专业、多工种施工时均需相应作业面，交叉作业、立体作业情况多，易产生矛盾，给管理增加了难度，须确保各专业施工队伍合理配合，有条不紊开展施工。</w:t>
      </w:r>
    </w:p>
    <w:p w14:paraId="3EEA2172">
      <w:pPr>
        <w:widowControl/>
        <w:topLinePunct/>
        <w:adjustRightInd w:val="0"/>
        <w:snapToGrid w:val="0"/>
        <w:spacing w:line="372" w:lineRule="auto"/>
        <w:ind w:left="124" w:leftChars="59" w:firstLine="496" w:firstLineChars="200"/>
        <w:rPr>
          <w:rFonts w:hint="eastAsia"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（2）</w:t>
      </w:r>
      <w:r>
        <w:rPr>
          <w:rFonts w:hint="eastAsia" w:ascii="Times New Roman" w:hAnsi="Times New Roman"/>
          <w:color w:val="auto"/>
          <w:spacing w:val="4"/>
          <w:kern w:val="0"/>
          <w:sz w:val="24"/>
          <w:szCs w:val="24"/>
          <w:highlight w:val="none"/>
        </w:rPr>
        <w:t>本项目机电工程内容包括动力、照明、给排水、消防、暖通、智能化等相关配套设施，分部分项工程多。室内各种给排水管道、通风管道、电气管线、电缆桥架交叉布局涉及很多位置，势必发生标高、平面位置的冲突。因此，做好机电工程的管线综合是管理的难点。</w:t>
      </w:r>
      <w:r>
        <w:rPr>
          <w:rFonts w:hint="eastAsia" w:ascii="Times New Roman" w:hAnsi="Times New Roman"/>
          <w:color w:val="auto"/>
          <w:spacing w:val="4"/>
          <w:kern w:val="0"/>
          <w:sz w:val="24"/>
          <w:szCs w:val="24"/>
          <w:highlight w:val="none"/>
        </w:rPr>
        <w:br w:type="textWrapping"/>
      </w:r>
      <w:r>
        <w:rPr>
          <w:rFonts w:hint="eastAsia" w:ascii="Times New Roman" w:hAnsi="Times New Roman"/>
          <w:color w:val="auto"/>
          <w:spacing w:val="4"/>
          <w:kern w:val="0"/>
          <w:sz w:val="24"/>
          <w:szCs w:val="24"/>
          <w:highlight w:val="none"/>
        </w:rPr>
        <w:t xml:space="preserve">   3.</w:t>
      </w:r>
      <w:r>
        <w:rPr>
          <w:rFonts w:ascii="Times New Roman" w:hAnsi="Times New Roman"/>
          <w:color w:val="auto"/>
          <w:spacing w:val="4"/>
          <w:kern w:val="0"/>
          <w:sz w:val="24"/>
          <w:szCs w:val="24"/>
          <w:highlight w:val="none"/>
        </w:rPr>
        <w:t>项目地块内</w:t>
      </w:r>
      <w:r>
        <w:rPr>
          <w:rFonts w:hint="eastAsia" w:ascii="Times New Roman" w:hAnsi="Times New Roman"/>
          <w:color w:val="auto"/>
          <w:spacing w:val="4"/>
          <w:kern w:val="0"/>
          <w:sz w:val="24"/>
          <w:szCs w:val="24"/>
          <w:highlight w:val="none"/>
        </w:rPr>
        <w:t>原</w:t>
      </w:r>
      <w:r>
        <w:rPr>
          <w:rFonts w:ascii="Times New Roman" w:hAnsi="Times New Roman"/>
          <w:color w:val="auto"/>
          <w:spacing w:val="4"/>
          <w:kern w:val="0"/>
          <w:sz w:val="24"/>
          <w:szCs w:val="24"/>
          <w:highlight w:val="none"/>
        </w:rPr>
        <w:t>有树木</w:t>
      </w:r>
      <w:r>
        <w:rPr>
          <w:rFonts w:hint="eastAsia" w:ascii="Times New Roman" w:hAnsi="Times New Roman"/>
          <w:color w:val="auto"/>
          <w:spacing w:val="4"/>
          <w:kern w:val="0"/>
          <w:sz w:val="24"/>
          <w:szCs w:val="24"/>
          <w:highlight w:val="none"/>
        </w:rPr>
        <w:t>需要</w:t>
      </w:r>
      <w:r>
        <w:rPr>
          <w:rFonts w:ascii="Times New Roman" w:hAnsi="Times New Roman"/>
          <w:color w:val="auto"/>
          <w:spacing w:val="4"/>
          <w:kern w:val="0"/>
          <w:sz w:val="24"/>
          <w:szCs w:val="24"/>
          <w:highlight w:val="none"/>
        </w:rPr>
        <w:t>迁移。在建设过程中，必须综合考虑并确保其</w:t>
      </w:r>
      <w:r>
        <w:rPr>
          <w:rFonts w:hint="eastAsia" w:ascii="Times New Roman" w:hAnsi="Times New Roman"/>
          <w:color w:val="auto"/>
          <w:spacing w:val="4"/>
          <w:kern w:val="0"/>
          <w:sz w:val="24"/>
          <w:szCs w:val="24"/>
          <w:highlight w:val="none"/>
        </w:rPr>
        <w:t>迁移</w:t>
      </w:r>
      <w:r>
        <w:rPr>
          <w:rFonts w:ascii="Times New Roman" w:hAnsi="Times New Roman"/>
          <w:color w:val="auto"/>
          <w:spacing w:val="4"/>
          <w:kern w:val="0"/>
          <w:sz w:val="24"/>
          <w:szCs w:val="24"/>
          <w:highlight w:val="none"/>
        </w:rPr>
        <w:t>存活，因此需要制定专门的树木</w:t>
      </w:r>
      <w:r>
        <w:rPr>
          <w:rFonts w:hint="eastAsia" w:ascii="Times New Roman" w:hAnsi="Times New Roman"/>
          <w:color w:val="auto"/>
          <w:spacing w:val="4"/>
          <w:kern w:val="0"/>
          <w:sz w:val="24"/>
          <w:szCs w:val="24"/>
          <w:highlight w:val="none"/>
        </w:rPr>
        <w:t>迁移</w:t>
      </w:r>
      <w:r>
        <w:rPr>
          <w:rFonts w:ascii="Times New Roman" w:hAnsi="Times New Roman"/>
          <w:color w:val="auto"/>
          <w:spacing w:val="4"/>
          <w:kern w:val="0"/>
          <w:sz w:val="24"/>
          <w:szCs w:val="24"/>
          <w:highlight w:val="none"/>
        </w:rPr>
        <w:t>方案。</w:t>
      </w:r>
      <w:r>
        <w:rPr>
          <w:rFonts w:hint="eastAsia" w:ascii="Times New Roman" w:hAnsi="Times New Roman"/>
          <w:color w:val="auto"/>
          <w:spacing w:val="4"/>
          <w:kern w:val="0"/>
          <w:sz w:val="24"/>
          <w:szCs w:val="24"/>
          <w:highlight w:val="none"/>
        </w:rPr>
        <w:t>并</w:t>
      </w:r>
      <w:r>
        <w:rPr>
          <w:rFonts w:ascii="Times New Roman" w:hAnsi="Times New Roman"/>
          <w:color w:val="auto"/>
          <w:spacing w:val="4"/>
          <w:kern w:val="0"/>
          <w:sz w:val="24"/>
          <w:szCs w:val="24"/>
          <w:highlight w:val="none"/>
        </w:rPr>
        <w:t>确保</w:t>
      </w:r>
      <w:r>
        <w:rPr>
          <w:rFonts w:hint="eastAsia" w:ascii="Times New Roman" w:hAnsi="Times New Roman"/>
          <w:color w:val="auto"/>
          <w:spacing w:val="4"/>
          <w:kern w:val="0"/>
          <w:sz w:val="24"/>
          <w:szCs w:val="24"/>
          <w:highlight w:val="none"/>
        </w:rPr>
        <w:t>迁移树木进度</w:t>
      </w:r>
      <w:r>
        <w:rPr>
          <w:rFonts w:ascii="Times New Roman" w:hAnsi="Times New Roman"/>
          <w:color w:val="auto"/>
          <w:spacing w:val="4"/>
          <w:kern w:val="0"/>
          <w:sz w:val="24"/>
          <w:szCs w:val="24"/>
          <w:highlight w:val="none"/>
        </w:rPr>
        <w:t>不会影响</w:t>
      </w:r>
      <w:r>
        <w:rPr>
          <w:rFonts w:hint="eastAsia" w:ascii="Times New Roman" w:hAnsi="Times New Roman"/>
          <w:color w:val="auto"/>
          <w:spacing w:val="4"/>
          <w:kern w:val="0"/>
          <w:sz w:val="24"/>
          <w:szCs w:val="24"/>
          <w:highlight w:val="none"/>
        </w:rPr>
        <w:t>现场</w:t>
      </w:r>
      <w:r>
        <w:rPr>
          <w:rFonts w:ascii="Times New Roman" w:hAnsi="Times New Roman"/>
          <w:color w:val="auto"/>
          <w:spacing w:val="4"/>
          <w:kern w:val="0"/>
          <w:sz w:val="24"/>
          <w:szCs w:val="24"/>
          <w:highlight w:val="none"/>
        </w:rPr>
        <w:t>施工进度。监理人员必须密切</w:t>
      </w:r>
      <w:r>
        <w:rPr>
          <w:rFonts w:hint="eastAsia" w:ascii="Times New Roman" w:hAnsi="Times New Roman"/>
          <w:color w:val="auto"/>
          <w:spacing w:val="4"/>
          <w:kern w:val="0"/>
          <w:sz w:val="24"/>
          <w:szCs w:val="24"/>
          <w:highlight w:val="none"/>
        </w:rPr>
        <w:t>配合</w:t>
      </w:r>
      <w:r>
        <w:rPr>
          <w:rFonts w:ascii="Times New Roman" w:hAnsi="Times New Roman"/>
          <w:color w:val="auto"/>
          <w:spacing w:val="4"/>
          <w:kern w:val="0"/>
          <w:sz w:val="24"/>
          <w:szCs w:val="24"/>
          <w:highlight w:val="none"/>
        </w:rPr>
        <w:t>树木</w:t>
      </w:r>
      <w:r>
        <w:rPr>
          <w:rFonts w:hint="eastAsia" w:ascii="Times New Roman" w:hAnsi="Times New Roman"/>
          <w:color w:val="auto"/>
          <w:spacing w:val="4"/>
          <w:kern w:val="0"/>
          <w:sz w:val="24"/>
          <w:szCs w:val="24"/>
          <w:highlight w:val="none"/>
        </w:rPr>
        <w:t>迁移单位施工</w:t>
      </w:r>
      <w:r>
        <w:rPr>
          <w:rFonts w:ascii="Times New Roman" w:hAnsi="Times New Roman"/>
          <w:color w:val="auto"/>
          <w:spacing w:val="4"/>
          <w:kern w:val="0"/>
          <w:sz w:val="24"/>
          <w:szCs w:val="24"/>
          <w:highlight w:val="none"/>
        </w:rPr>
        <w:t>，</w:t>
      </w:r>
      <w:r>
        <w:rPr>
          <w:rFonts w:hint="eastAsia" w:ascii="Times New Roman" w:hAnsi="Times New Roman"/>
          <w:color w:val="auto"/>
          <w:spacing w:val="4"/>
          <w:kern w:val="0"/>
          <w:sz w:val="24"/>
          <w:szCs w:val="24"/>
          <w:highlight w:val="none"/>
        </w:rPr>
        <w:t>确保树木迁移</w:t>
      </w:r>
      <w:r>
        <w:rPr>
          <w:rFonts w:ascii="Times New Roman" w:hAnsi="Times New Roman"/>
          <w:color w:val="auto"/>
          <w:spacing w:val="4"/>
          <w:kern w:val="0"/>
          <w:sz w:val="24"/>
          <w:szCs w:val="24"/>
          <w:highlight w:val="none"/>
        </w:rPr>
        <w:t>顺利进行。</w:t>
      </w:r>
      <w:r>
        <w:rPr>
          <w:rFonts w:hint="eastAsia" w:ascii="Times New Roman" w:hAnsi="Times New Roman"/>
          <w:color w:val="auto"/>
          <w:spacing w:val="4"/>
          <w:kern w:val="0"/>
          <w:sz w:val="24"/>
          <w:szCs w:val="24"/>
          <w:highlight w:val="none"/>
        </w:rPr>
        <w:br w:type="textWrapping"/>
      </w:r>
      <w:r>
        <w:rPr>
          <w:rFonts w:hint="eastAsia" w:ascii="Times New Roman" w:hAnsi="Times New Roman"/>
          <w:color w:val="auto"/>
          <w:spacing w:val="4"/>
          <w:kern w:val="0"/>
          <w:sz w:val="24"/>
          <w:szCs w:val="24"/>
          <w:highlight w:val="none"/>
        </w:rPr>
        <w:t xml:space="preserve">    4.项目外立面有设计外墙漆，需严控施工质量及效果，外墙漆的施工对天气情况要求很高，必须等到抹灰基层干透才能刮腻子，两遍腻子干透打磨平整才能上底漆等，必须达到良好的视觉效果，而竣工交付前的几个是雨季，这是个难点。这要求在施工过程中，不仅要对材料质量进行严格把关，还需合理安排施工时间和工序，采取有效的施工保障措施，对施工工艺进行精细控制，确保每一道工序都符合设计要求，施工过程中还需特别注意对外墙漆表面的保护和修补，避免出现裂缝、色差等问题，同时严格落实样板引路工作。</w:t>
      </w:r>
    </w:p>
    <w:p w14:paraId="477EEE86">
      <w:pPr>
        <w:widowControl/>
        <w:topLinePunct/>
        <w:adjustRightInd w:val="0"/>
        <w:snapToGrid w:val="0"/>
        <w:spacing w:line="372" w:lineRule="auto"/>
        <w:ind w:left="124" w:leftChars="59" w:firstLine="496" w:firstLineChars="200"/>
        <w:rPr>
          <w:rFonts w:hint="eastAsia"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5.项目隔壁有华工研究生宿舍一期学生入住，为确保一期学生安心居住、学习和生活，施工过程需严格落实施工作业时间安排及尽量降低施工噪音要求。持续关注学生反应的情况，监理单位会同施工单位密切保持与学生的沟通协调，共同制定并确保施工方案的合理性和可操作性，以最大程度地减少对研究生宿舍学生的影响。</w:t>
      </w:r>
    </w:p>
    <w:p w14:paraId="77A525E3">
      <w:pPr>
        <w:widowControl/>
        <w:spacing w:line="360" w:lineRule="auto"/>
        <w:ind w:firstLine="496" w:firstLineChars="200"/>
        <w:outlineLvl w:val="1"/>
        <w:rPr>
          <w:rFonts w:hint="eastAsia" w:ascii="宋体" w:hAnsi="宋体"/>
          <w:color w:val="auto"/>
          <w:sz w:val="24"/>
          <w:szCs w:val="24"/>
          <w:highlight w:val="none"/>
        </w:rPr>
      </w:pPr>
      <w:r>
        <w:rPr>
          <w:rFonts w:hint="eastAsia" w:ascii="Times New Roman" w:hAnsi="Times New Roman"/>
          <w:color w:val="auto"/>
          <w:spacing w:val="4"/>
          <w:kern w:val="0"/>
          <w:sz w:val="24"/>
          <w:szCs w:val="24"/>
          <w:highlight w:val="none"/>
        </w:rPr>
        <w:t>6.本项目依山而建，在项目范围内，存在大量原有回填土方需要外运，有边坡支护工程施工，存在砂质粘土层，该土层遇水易软化。因此，基坑的止水和排水工作成为施工过程中的难点。必须深入研究勘察设计文件，编制专项施工方案及预案，严格把控基坑（边坡支护）排水沟及基坑集水排水的施工质量，确保项目有效排水，以防止基坑（边坡）塌陷等严重后果的发生，以及避免对学校的教学、工作、生活造成影响。</w:t>
      </w:r>
      <w:bookmarkEnd w:id="423"/>
      <w:bookmarkEnd w:id="424"/>
      <w:bookmarkStart w:id="425" w:name="_Toc15624"/>
      <w:bookmarkStart w:id="426" w:name="_Toc20384742"/>
    </w:p>
    <w:p w14:paraId="0FD5BBCD">
      <w:pPr>
        <w:pStyle w:val="19"/>
        <w:ind w:left="0" w:firstLine="482" w:firstLineChars="200"/>
        <w:jc w:val="both"/>
        <w:rPr>
          <w:color w:val="auto"/>
          <w:sz w:val="24"/>
          <w:szCs w:val="24"/>
          <w:highlight w:val="none"/>
        </w:rPr>
      </w:pPr>
      <w:bookmarkStart w:id="427" w:name="_Toc176879986"/>
      <w:bookmarkStart w:id="428" w:name="_Toc13928"/>
      <w:r>
        <w:rPr>
          <w:rFonts w:hint="eastAsia"/>
          <w:color w:val="auto"/>
          <w:sz w:val="24"/>
          <w:szCs w:val="24"/>
          <w:highlight w:val="none"/>
          <w:lang w:eastAsia="zh-CN"/>
        </w:rPr>
        <w:t>四</w:t>
      </w:r>
      <w:r>
        <w:rPr>
          <w:color w:val="auto"/>
          <w:sz w:val="24"/>
          <w:szCs w:val="24"/>
          <w:highlight w:val="none"/>
        </w:rPr>
        <w:t>、</w:t>
      </w:r>
      <w:bookmarkEnd w:id="425"/>
      <w:bookmarkEnd w:id="426"/>
      <w:r>
        <w:rPr>
          <w:color w:val="auto"/>
          <w:spacing w:val="-6"/>
          <w:sz w:val="24"/>
          <w:szCs w:val="24"/>
          <w:highlight w:val="none"/>
        </w:rPr>
        <w:t>质量目标、职业健康安全管理目标、环境管理目标、投资控制目标、进度目</w:t>
      </w:r>
      <w:r>
        <w:rPr>
          <w:rFonts w:hint="eastAsia"/>
          <w:color w:val="auto"/>
          <w:spacing w:val="-6"/>
          <w:sz w:val="24"/>
          <w:szCs w:val="24"/>
          <w:highlight w:val="none"/>
        </w:rPr>
        <w:t>标</w:t>
      </w:r>
      <w:bookmarkEnd w:id="427"/>
      <w:bookmarkEnd w:id="428"/>
    </w:p>
    <w:p w14:paraId="0AB6F56F">
      <w:pPr>
        <w:pStyle w:val="20"/>
        <w:adjustRightInd w:val="0"/>
        <w:snapToGrid w:val="0"/>
        <w:spacing w:line="360" w:lineRule="auto"/>
        <w:ind w:firstLine="48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1.质量目标：</w:t>
      </w:r>
      <w:r>
        <w:rPr>
          <w:rFonts w:hint="eastAsia" w:ascii="宋体" w:hAnsi="宋体" w:eastAsia="宋体" w:cs="Times New Roman"/>
          <w:color w:val="auto"/>
          <w:sz w:val="24"/>
          <w:szCs w:val="24"/>
          <w:highlight w:val="none"/>
          <w:u w:val="none"/>
        </w:rPr>
        <w:t>一次性通过竣工联合验收</w:t>
      </w:r>
      <w:r>
        <w:rPr>
          <w:rFonts w:hint="eastAsia" w:ascii="宋体" w:hAnsi="宋体" w:cs="Times New Roman"/>
          <w:color w:val="auto"/>
          <w:sz w:val="24"/>
          <w:szCs w:val="24"/>
          <w:highlight w:val="none"/>
        </w:rPr>
        <w:t>，且分部工程验收合格率100%，项目所涉及的政府专项验收全部通过，单位工程一次竣工验收合格。确保广州市建设工程优质奖。</w:t>
      </w:r>
    </w:p>
    <w:p w14:paraId="77447957">
      <w:pPr>
        <w:pStyle w:val="20"/>
        <w:adjustRightInd w:val="0"/>
        <w:snapToGrid w:val="0"/>
        <w:spacing w:line="360" w:lineRule="auto"/>
        <w:ind w:firstLine="480"/>
        <w:rPr>
          <w:rFonts w:hint="eastAsia" w:ascii="宋体" w:hAnsi="宋体" w:cs="Times New Roman"/>
          <w:color w:val="auto"/>
          <w:sz w:val="24"/>
          <w:szCs w:val="24"/>
          <w:highlight w:val="none"/>
          <w:lang w:bidi="ar"/>
        </w:rPr>
      </w:pPr>
      <w:r>
        <w:rPr>
          <w:rFonts w:hint="eastAsia" w:ascii="宋体" w:hAnsi="宋体" w:cs="Times New Roman"/>
          <w:color w:val="auto"/>
          <w:sz w:val="24"/>
          <w:szCs w:val="24"/>
          <w:highlight w:val="none"/>
          <w:lang w:bidi="ar"/>
        </w:rPr>
        <w:t>2.职业健康安全管理目标：事故隐患排查治理覆盖率100%，一般事故隐患整改率100%，重大事故隐患挂牌督办率100%、整改率100%；安全生产非法违法行为举报投诉查办率达到100%。杜绝发生一般事故等级及以上的伤亡事故且工伤责任事故死亡人数为零，确保广东省安全生产文明施工示范工地。</w:t>
      </w:r>
    </w:p>
    <w:p w14:paraId="3775F558">
      <w:pPr>
        <w:pStyle w:val="20"/>
        <w:adjustRightInd w:val="0"/>
        <w:snapToGrid w:val="0"/>
        <w:spacing w:line="360" w:lineRule="auto"/>
        <w:ind w:firstLine="48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3.</w:t>
      </w:r>
      <w:r>
        <w:rPr>
          <w:rFonts w:hint="eastAsia" w:ascii="宋体" w:hAnsi="宋体" w:cs="Times New Roman"/>
          <w:color w:val="auto"/>
          <w:sz w:val="24"/>
          <w:szCs w:val="24"/>
          <w:highlight w:val="none"/>
          <w:lang w:bidi="ar"/>
        </w:rPr>
        <w:t>环境管理目标：</w:t>
      </w:r>
      <w:r>
        <w:rPr>
          <w:rFonts w:hint="eastAsia" w:ascii="宋体" w:hAnsi="宋体" w:eastAsia="宋体" w:cs="宋体"/>
          <w:bCs/>
          <w:snapToGrid w:val="0"/>
          <w:color w:val="auto"/>
          <w:spacing w:val="4"/>
          <w:kern w:val="0"/>
          <w:sz w:val="24"/>
          <w:szCs w:val="24"/>
          <w:highlight w:val="none"/>
          <w:u w:val="none"/>
        </w:rPr>
        <w:t>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w:t>
      </w:r>
      <w:r>
        <w:rPr>
          <w:rFonts w:hint="eastAsia" w:ascii="宋体" w:hAnsi="宋体" w:eastAsia="宋体" w:cs="宋体"/>
          <w:bCs/>
          <w:snapToGrid w:val="0"/>
          <w:color w:val="auto"/>
          <w:spacing w:val="4"/>
          <w:kern w:val="0"/>
          <w:sz w:val="24"/>
          <w:szCs w:val="24"/>
          <w:highlight w:val="none"/>
          <w:u w:val="none"/>
          <w:lang w:val="en-US" w:eastAsia="zh-CN"/>
        </w:rPr>
        <w:t>《广州市住房和城乡建设局关于规范建筑施工立面外防护架标准的通知》、须满足《广州市住房和城乡建设局等8部门关于印发广州市建设工程扬尘防治“6个100%”管理标准图集（V2.0版）的通知》、</w:t>
      </w:r>
      <w:r>
        <w:rPr>
          <w:rFonts w:hint="eastAsia" w:ascii="宋体" w:hAnsi="宋体" w:eastAsia="宋体" w:cs="宋体"/>
          <w:bCs/>
          <w:snapToGrid w:val="0"/>
          <w:color w:val="auto"/>
          <w:spacing w:val="4"/>
          <w:kern w:val="0"/>
          <w:sz w:val="24"/>
          <w:szCs w:val="24"/>
          <w:highlight w:val="none"/>
          <w:u w:val="none"/>
        </w:rPr>
        <w:t>《广州市住房和城乡建设委员会关于印发建设工程扬尘防治“6个100%”管理标准细化措施的通知》（穗建质〔2018〕1394号）、广州市住房和城乡建设局关于印发广州市房屋建筑工程安全防护指导图集（防高坠篇）的通知、《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w:t>
      </w:r>
      <w:r>
        <w:rPr>
          <w:rFonts w:hint="eastAsia" w:ascii="宋体" w:hAnsi="宋体" w:cs="Times New Roman"/>
          <w:color w:val="auto"/>
          <w:sz w:val="24"/>
          <w:szCs w:val="24"/>
          <w:highlight w:val="none"/>
        </w:rPr>
        <w:t>。</w:t>
      </w:r>
    </w:p>
    <w:p w14:paraId="62D65D1D">
      <w:pPr>
        <w:pStyle w:val="20"/>
        <w:adjustRightInd w:val="0"/>
        <w:snapToGrid w:val="0"/>
        <w:spacing w:line="360" w:lineRule="auto"/>
        <w:ind w:firstLine="480"/>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4.投资控制目标：</w:t>
      </w:r>
      <w:r>
        <w:rPr>
          <w:rFonts w:hint="eastAsia" w:ascii="宋体" w:hAnsi="宋体" w:cs="Times New Roman"/>
          <w:color w:val="auto"/>
          <w:sz w:val="24"/>
          <w:szCs w:val="24"/>
          <w:highlight w:val="none"/>
          <w:lang w:bidi="ar"/>
        </w:rPr>
        <w:t>所监理项目的结算的建安工程费不超过本项目概算批复中对应的建安工程费</w:t>
      </w:r>
      <w:r>
        <w:rPr>
          <w:rFonts w:hint="eastAsia" w:ascii="宋体" w:hAnsi="宋体" w:cs="Times New Roman"/>
          <w:color w:val="auto"/>
          <w:sz w:val="24"/>
          <w:szCs w:val="24"/>
          <w:highlight w:val="none"/>
        </w:rPr>
        <w:t>。</w:t>
      </w:r>
    </w:p>
    <w:p w14:paraId="67353BA2">
      <w:pPr>
        <w:pStyle w:val="20"/>
        <w:adjustRightInd w:val="0"/>
        <w:snapToGrid w:val="0"/>
        <w:spacing w:line="360" w:lineRule="auto"/>
        <w:ind w:firstLine="480"/>
        <w:rPr>
          <w:rFonts w:hint="eastAsia" w:ascii="Times New Roman" w:hAnsi="Times New Roman" w:cs="Times New Roman"/>
          <w:color w:val="auto"/>
          <w:sz w:val="24"/>
          <w:szCs w:val="24"/>
          <w:highlight w:val="none"/>
          <w:lang w:bidi="ar"/>
        </w:rPr>
      </w:pPr>
      <w:r>
        <w:rPr>
          <w:rFonts w:hint="eastAsia" w:ascii="宋体" w:hAnsi="宋体" w:cs="Times New Roman"/>
          <w:color w:val="auto"/>
          <w:sz w:val="24"/>
          <w:szCs w:val="24"/>
          <w:highlight w:val="none"/>
        </w:rPr>
        <w:t>5.进度目标：</w:t>
      </w:r>
      <w:r>
        <w:rPr>
          <w:rFonts w:hint="eastAsia" w:ascii="Times New Roman" w:hAnsi="Times New Roman" w:cs="Times New Roman"/>
          <w:color w:val="auto"/>
          <w:sz w:val="24"/>
          <w:szCs w:val="24"/>
          <w:highlight w:val="none"/>
          <w:lang w:bidi="ar"/>
        </w:rPr>
        <w:t>严格落实一级总控计划，确保按时完工验收交付。</w:t>
      </w:r>
    </w:p>
    <w:p w14:paraId="72F2161C">
      <w:pPr>
        <w:pStyle w:val="19"/>
        <w:ind w:firstLine="361" w:firstLineChars="150"/>
        <w:jc w:val="both"/>
        <w:rPr>
          <w:rFonts w:hint="eastAsia"/>
          <w:color w:val="auto"/>
          <w:sz w:val="24"/>
          <w:szCs w:val="24"/>
          <w:highlight w:val="none"/>
        </w:rPr>
      </w:pPr>
      <w:bookmarkStart w:id="429" w:name="_Toc22401"/>
      <w:bookmarkStart w:id="430" w:name="_Toc176879988"/>
      <w:r>
        <w:rPr>
          <w:rFonts w:hint="eastAsia"/>
          <w:color w:val="auto"/>
          <w:sz w:val="24"/>
          <w:szCs w:val="24"/>
          <w:highlight w:val="none"/>
          <w:lang w:eastAsia="zh-CN"/>
        </w:rPr>
        <w:t>五</w:t>
      </w:r>
      <w:r>
        <w:rPr>
          <w:rFonts w:hint="eastAsia"/>
          <w:color w:val="auto"/>
          <w:sz w:val="24"/>
          <w:szCs w:val="24"/>
          <w:highlight w:val="none"/>
        </w:rPr>
        <w:t>、监理管理工作总体要求</w:t>
      </w:r>
      <w:bookmarkEnd w:id="429"/>
      <w:bookmarkEnd w:id="430"/>
    </w:p>
    <w:p w14:paraId="105626DD">
      <w:p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1.项目总监及相关监理人员优先配置有相关项目经验人员，针对项目特点充分做好监理规划及实施细则，过程中严格落实到位，确保项目顺利安全推进。</w:t>
      </w:r>
    </w:p>
    <w:p w14:paraId="78F03AE6">
      <w:pPr>
        <w:spacing w:line="360" w:lineRule="auto"/>
        <w:ind w:firstLine="480" w:firstLineChars="200"/>
        <w:rPr>
          <w:rFonts w:hint="eastAsia" w:ascii="宋体" w:hAnsi="宋体" w:cs="宋体"/>
          <w:color w:val="auto"/>
          <w:sz w:val="24"/>
          <w:highlight w:val="none"/>
          <w:lang w:bidi="ar"/>
        </w:rPr>
      </w:pPr>
      <w:bookmarkStart w:id="431" w:name="_Toc15598"/>
      <w:bookmarkEnd w:id="431"/>
      <w:bookmarkStart w:id="432" w:name="_Toc20384744"/>
      <w:bookmarkStart w:id="433" w:name="_Toc29101"/>
      <w:r>
        <w:rPr>
          <w:rFonts w:hint="eastAsia" w:ascii="宋体" w:hAnsi="宋体" w:cs="宋体"/>
          <w:color w:val="auto"/>
          <w:sz w:val="24"/>
          <w:highlight w:val="none"/>
          <w:lang w:bidi="ar"/>
        </w:rPr>
        <w:t>2.配合建设单位开展前期报批报建工作，为工程的顺利开工提供保障条件。</w:t>
      </w:r>
    </w:p>
    <w:p w14:paraId="66716C6B">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监理人应对本项目涉及的所有检测（监测）事项进行梳理、分类合并，并于委托人提供施工图纸后15天内编制本项目检测（监测）工作计划，并在相关具体检测（监测）实施30天前提交检测（监测）项目清单及费用估算的工作方案，报委托人审核。</w:t>
      </w:r>
      <w:bookmarkStart w:id="434" w:name="_Hlk178506177"/>
      <w:r>
        <w:rPr>
          <w:rFonts w:hint="eastAsia" w:ascii="宋体" w:hAnsi="宋体" w:cs="宋体"/>
          <w:color w:val="auto"/>
          <w:sz w:val="24"/>
          <w:highlight w:val="none"/>
          <w:lang w:bidi="ar"/>
        </w:rPr>
        <w:t>监理人应对编制质量负责，对于编制方案不合理、出现较大错漏导致不良影响或后果的，按合同约定予以严肃处理。</w:t>
      </w:r>
      <w:bookmarkEnd w:id="434"/>
    </w:p>
    <w:p w14:paraId="062908F2">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4.如在工程实施期间，因政策变化、计划调整或不可抗力等非招标人主观原因造成本合同工程停建的，则监理人必须接受终止服务并积极配合招标人作好善后工作，按已实际完成的施工监理服务内容和本合同的相关约定结清监理报酬，但监理人不得要求额外的费用及任何形式的补偿。</w:t>
      </w:r>
    </w:p>
    <w:p w14:paraId="1BFAB81C">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5.在工程实施期间，如因任何原因造成本合同工程中间停工而导致监理人必须二次或多次进出场，监理报酬总额将不会因此而有所调整，相关费用亦已经包含于监理酬金中。因工程中间停工而不退场的，监理人可与招标人协商减少停工期间驻场监理人员的数量，但本合同监理报酬总额不作调整。</w:t>
      </w:r>
    </w:p>
    <w:p w14:paraId="362E7F1B">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6.监理人须学习熟悉市重点项目管理中心各项工程管理制度，组织施工单位开展制度学习交底，定期评估强化施工单位熟悉掌握情况。根据中心管理办法要求，及时编制和更新项目设计变更、工程签证、合同变更费用、图纸会审等台账并定期报送中心备案。</w:t>
      </w:r>
    </w:p>
    <w:p w14:paraId="68E29221">
      <w:pPr>
        <w:spacing w:line="360" w:lineRule="auto"/>
        <w:ind w:firstLine="480" w:firstLineChars="200"/>
        <w:rPr>
          <w:rFonts w:hint="eastAsia"/>
          <w:color w:val="auto"/>
          <w:highlight w:val="none"/>
        </w:rPr>
      </w:pPr>
      <w:r>
        <w:rPr>
          <w:rFonts w:hint="eastAsia" w:ascii="宋体" w:hAnsi="宋体" w:cs="宋体"/>
          <w:color w:val="auto"/>
          <w:sz w:val="24"/>
          <w:highlight w:val="none"/>
          <w:lang w:bidi="ar"/>
        </w:rPr>
        <w:t>7.</w:t>
      </w:r>
      <w:bookmarkStart w:id="435" w:name="_Hlk178506152"/>
      <w:r>
        <w:rPr>
          <w:rFonts w:hint="eastAsia" w:ascii="宋体" w:hAnsi="宋体" w:cs="宋体"/>
          <w:color w:val="auto"/>
          <w:sz w:val="24"/>
          <w:highlight w:val="none"/>
          <w:lang w:bidi="ar"/>
        </w:rPr>
        <w:t>本项目需落实过程结算管理，监理人在项目实施过程中组织督促施工单位及时开展过程结算工作。</w:t>
      </w:r>
      <w:bookmarkEnd w:id="435"/>
    </w:p>
    <w:p w14:paraId="4E0D4247">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8.本项目将根据监理单位的服务质量情况，严格实行量化考核，结合考核结果，支付监理服务酬金。</w:t>
      </w:r>
    </w:p>
    <w:p w14:paraId="41D92EF5">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中标人应按照合同的约定完成合同监理服务的工作内容且相关的监理服务须达到令招标人满意的程度。中标人如未能按合同约定提交相关工作内容的工作成果，或提交的工作成果未能达到约定的支付审核标准，或招标人对监理工作情况的检查结果未能达到约定的令人满意的程度，均视作监理人对该承诺的违反，招标人将于合同酬金总额中扣减相关监理服务项目的酬金。监理人对于履行监理职责方面的违约责任根据合同专用条件的相关约定执行。</w:t>
      </w:r>
    </w:p>
    <w:p w14:paraId="43BB8B19">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9.监理临时设施场地的一切办公家具、办公用品、通讯设施由监理人自行配置，费用已包含在监理费报价总额内。驻场的监理人员日常生活和用餐应自行独立解决，严禁向施工单位搭食。</w:t>
      </w:r>
    </w:p>
    <w:p w14:paraId="7ADE5E05">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10.为了保证专业工程监理的服务水平和质量，监理单位应确保其现场监理人员满足招标人对于人员资历、专业、经验的相关要求，并确保其现场管理人员的稳定。如果监理单位投入的相关专业监理人员的服务水平和质量无法满足工程的实际需要，应根据招标人的指令立即更换。或监理机构的监理人员不到岗位，委托人有权另行聘请符合工作需要的监理人员；所聘请监理人员的工资已包括在本合同监理酬金内，此费用由监理人向所聘监理人员支付。必要时招标人有权从本合同监理酬金中直接支付。</w:t>
      </w:r>
    </w:p>
    <w:p w14:paraId="448E4189">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11.监理单位必须组织和监督施工单位贯彻落实《广州市住房和城乡建设委员会关于全市建设工地纳入视频监管的通知》（穗建质〔2017〕1166号）、《广州市住房和城乡建设委员会关于印发广州市建设工程视频监控工作要求及管理指引的通知》（穗建质〔2018〕2078号）文件的相关要求，对视频监控系统的反馈信息进行分析、上报、决策、实施，严格按照质量控制流程及相关规定对隐蔽工程、关键工序、重点部位进行质量监控。</w:t>
      </w:r>
    </w:p>
    <w:p w14:paraId="0141E03C">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12.监理人应确保监理纪录资料的真实性、及时性、有效性和完整性，严禁事后补资料的情况发生。</w:t>
      </w:r>
    </w:p>
    <w:p w14:paraId="66EFF2AF">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13.监理单位应负责对施工总平面的组织策划进行审核，在施工总平面经招标人审批同意后负责施工总平面的管理协调工作，包括场内排水组织、施工临设布置、场内外交通疏解、红线内临时施工道路等。</w:t>
      </w:r>
    </w:p>
    <w:p w14:paraId="189DDEEC">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14.监理人在监理期内承担协调供水、供电、通讯工程等各工种交叉施工的工作，相关费用包括在其投标总价内。</w:t>
      </w:r>
    </w:p>
    <w:p w14:paraId="702091FA">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15.监理单位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17F8853D">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（1）专业监理工程师应组织进行日常安全巡视检查，每天不少于1次； 总监理工程师（或总监代表）应对专业监理工程师巡视检查情况的真实性负责，并每周组织至少1次安全巡视检查。巡视检查范围为施工现场、生活区和项目部，包括各单位工程、宿舍、食堂等。</w:t>
      </w:r>
    </w:p>
    <w:p w14:paraId="779FE8DD">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（2）在危大工程实施期间，由专业监理工程师进行专项巡视检查，每天不少于1次；在超危大工程实施期间，由总监理工程师（或总监代表）组织专项巡视检查，每天不少于1次。</w:t>
      </w:r>
    </w:p>
    <w:p w14:paraId="06DAC634">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（3）总监理工程师应组织开展极端灾害天气、疫情防控、消防、节假日等专项安全巡视检查。</w:t>
      </w:r>
    </w:p>
    <w:p w14:paraId="390F29F7">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16.监理单位应严格审核施工单位的安全防护方案，并督促施工单位做好安全防护及成品保护工作。</w:t>
      </w:r>
    </w:p>
    <w:p w14:paraId="186E8E19">
      <w:pPr>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17.监理单位应积极确保安全生产、文明施工措施的具体内容和标准按相应管理要求贯彻落实到位，加大安全文明施工管理力度。实现本项目职业安全、健康与环境及文明施工的目标。</w:t>
      </w:r>
    </w:p>
    <w:p w14:paraId="2C910745">
      <w:pPr>
        <w:spacing w:line="360" w:lineRule="auto"/>
        <w:ind w:firstLine="482" w:firstLineChars="200"/>
        <w:rPr>
          <w:rFonts w:ascii="宋体" w:hAnsi="宋体" w:cs="宋体"/>
          <w:b/>
          <w:bCs/>
          <w:color w:val="auto"/>
          <w:sz w:val="24"/>
          <w:highlight w:val="none"/>
          <w:lang w:bidi="ar"/>
        </w:rPr>
      </w:pPr>
      <w:r>
        <w:rPr>
          <w:rFonts w:hint="eastAsia" w:ascii="宋体" w:hAnsi="宋体" w:cs="宋体"/>
          <w:b/>
          <w:bCs/>
          <w:color w:val="auto"/>
          <w:sz w:val="24"/>
          <w:highlight w:val="none"/>
          <w:lang w:bidi="ar"/>
        </w:rPr>
        <w:t>六、监理工作的其他要求</w:t>
      </w:r>
    </w:p>
    <w:p w14:paraId="0BCF669D">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1</w:t>
      </w:r>
      <w:r>
        <w:rPr>
          <w:rFonts w:hint="eastAsia" w:ascii="宋体" w:hAnsi="宋体" w:cs="宋体"/>
          <w:color w:val="auto"/>
          <w:sz w:val="24"/>
          <w:szCs w:val="24"/>
          <w:highlight w:val="none"/>
          <w:lang w:bidi="ar"/>
        </w:rPr>
        <w:t>、总进度计划经各方审批通过后，监理每天对进度执行情况进行检查，发现进度偏差及时进行纠偏。</w:t>
      </w:r>
    </w:p>
    <w:p w14:paraId="1BC48421">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2</w:t>
      </w:r>
      <w:r>
        <w:rPr>
          <w:rFonts w:hint="eastAsia" w:ascii="宋体" w:hAnsi="宋体" w:cs="宋体"/>
          <w:color w:val="auto"/>
          <w:sz w:val="24"/>
          <w:szCs w:val="24"/>
          <w:highlight w:val="none"/>
          <w:lang w:bidi="ar"/>
        </w:rPr>
        <w:t>、监理每天对施工单位的投入资源进行检查，包括人力、机械、材料及设备。</w:t>
      </w:r>
    </w:p>
    <w:p w14:paraId="75E65B30">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3</w:t>
      </w:r>
      <w:r>
        <w:rPr>
          <w:rFonts w:hint="eastAsia" w:ascii="宋体" w:hAnsi="宋体" w:cs="宋体"/>
          <w:color w:val="auto"/>
          <w:sz w:val="24"/>
          <w:szCs w:val="24"/>
          <w:highlight w:val="none"/>
          <w:lang w:bidi="ar"/>
        </w:rPr>
        <w:t>、要求施工单位上报材料、设备品牌定板计划，监理严格审核并监督执行。</w:t>
      </w:r>
    </w:p>
    <w:p w14:paraId="11C58C13">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4</w:t>
      </w:r>
      <w:r>
        <w:rPr>
          <w:rFonts w:hint="eastAsia" w:ascii="宋体" w:hAnsi="宋体" w:cs="宋体"/>
          <w:color w:val="auto"/>
          <w:sz w:val="24"/>
          <w:szCs w:val="24"/>
          <w:highlight w:val="none"/>
          <w:lang w:bidi="ar"/>
        </w:rPr>
        <w:t>、及时组织相关单位进行图纸会审，并提出监理审核意见。</w:t>
      </w:r>
    </w:p>
    <w:p w14:paraId="7AC21C56">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5</w:t>
      </w:r>
      <w:r>
        <w:rPr>
          <w:rFonts w:hint="eastAsia" w:ascii="宋体" w:hAnsi="宋体" w:cs="宋体"/>
          <w:color w:val="auto"/>
          <w:sz w:val="24"/>
          <w:szCs w:val="24"/>
          <w:highlight w:val="none"/>
          <w:lang w:bidi="ar"/>
        </w:rPr>
        <w:t>、审核总承包单位、专业分包单位的管理体系的建立，及主要管理人员到位情况。</w:t>
      </w:r>
    </w:p>
    <w:p w14:paraId="7E9E4A44">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6</w:t>
      </w:r>
      <w:r>
        <w:rPr>
          <w:rFonts w:hint="eastAsia" w:ascii="宋体" w:hAnsi="宋体" w:cs="宋体"/>
          <w:color w:val="auto"/>
          <w:sz w:val="24"/>
          <w:szCs w:val="24"/>
          <w:highlight w:val="none"/>
          <w:lang w:bidi="ar"/>
        </w:rPr>
        <w:t>、及时组织审核总承包单位上报的施工组织设计及专项施工方案。</w:t>
      </w:r>
    </w:p>
    <w:p w14:paraId="00C7BF55">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7</w:t>
      </w:r>
      <w:r>
        <w:rPr>
          <w:rFonts w:hint="eastAsia" w:ascii="宋体" w:hAnsi="宋体" w:cs="宋体"/>
          <w:color w:val="auto"/>
          <w:sz w:val="24"/>
          <w:szCs w:val="24"/>
          <w:highlight w:val="none"/>
          <w:lang w:bidi="ar"/>
        </w:rPr>
        <w:t>、及时组织编制监理规划及相关监理实施细则。</w:t>
      </w:r>
    </w:p>
    <w:p w14:paraId="3B472178">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8</w:t>
      </w:r>
      <w:r>
        <w:rPr>
          <w:rFonts w:hint="eastAsia" w:ascii="宋体" w:hAnsi="宋体" w:cs="宋体"/>
          <w:color w:val="auto"/>
          <w:sz w:val="24"/>
          <w:szCs w:val="24"/>
          <w:highlight w:val="none"/>
          <w:lang w:bidi="ar"/>
        </w:rPr>
        <w:t>、制定本项目的安全文明施工管理办法并监督实施。</w:t>
      </w:r>
    </w:p>
    <w:p w14:paraId="2F603096">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9</w:t>
      </w:r>
      <w:r>
        <w:rPr>
          <w:rFonts w:hint="eastAsia" w:ascii="宋体" w:hAnsi="宋体" w:cs="宋体"/>
          <w:color w:val="auto"/>
          <w:sz w:val="24"/>
          <w:szCs w:val="24"/>
          <w:highlight w:val="none"/>
          <w:lang w:bidi="ar"/>
        </w:rPr>
        <w:t>、及时组织各工作面移交，并形成书面移交资料。</w:t>
      </w:r>
    </w:p>
    <w:p w14:paraId="115E5275">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10</w:t>
      </w:r>
      <w:r>
        <w:rPr>
          <w:rFonts w:hint="eastAsia" w:ascii="宋体" w:hAnsi="宋体" w:cs="宋体"/>
          <w:color w:val="auto"/>
          <w:sz w:val="24"/>
          <w:szCs w:val="24"/>
          <w:highlight w:val="none"/>
          <w:lang w:bidi="ar"/>
        </w:rPr>
        <w:t>、根据相关合同，及时理清总承包单位与各专业分包单位的承包工作界面。</w:t>
      </w:r>
    </w:p>
    <w:p w14:paraId="6D7B61CD">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11</w:t>
      </w:r>
      <w:r>
        <w:rPr>
          <w:rFonts w:hint="eastAsia" w:ascii="宋体" w:hAnsi="宋体" w:cs="宋体"/>
          <w:color w:val="auto"/>
          <w:sz w:val="24"/>
          <w:szCs w:val="24"/>
          <w:highlight w:val="none"/>
          <w:lang w:bidi="ar"/>
        </w:rPr>
        <w:t>、及时审核施工单位上报的超过一定规模的危险性较大的分部分项工程施工方案，监督施工单位完成专家论证程序并参与专家论证。</w:t>
      </w:r>
    </w:p>
    <w:p w14:paraId="69AC5A2E">
      <w:pPr>
        <w:adjustRightInd w:val="0"/>
        <w:snapToGrid w:val="0"/>
        <w:spacing w:line="360" w:lineRule="auto"/>
        <w:ind w:firstLine="600" w:firstLineChars="250"/>
        <w:rPr>
          <w:color w:val="auto"/>
          <w:sz w:val="24"/>
          <w:szCs w:val="24"/>
          <w:highlight w:val="none"/>
        </w:rPr>
      </w:pPr>
      <w:r>
        <w:rPr>
          <w:rFonts w:cs="Calibri"/>
          <w:color w:val="auto"/>
          <w:sz w:val="24"/>
          <w:szCs w:val="24"/>
          <w:highlight w:val="none"/>
          <w:lang w:bidi="ar"/>
        </w:rPr>
        <w:t>12</w:t>
      </w:r>
      <w:r>
        <w:rPr>
          <w:rFonts w:hint="eastAsia" w:ascii="宋体" w:hAnsi="宋体" w:cs="宋体"/>
          <w:color w:val="auto"/>
          <w:sz w:val="24"/>
          <w:szCs w:val="24"/>
          <w:highlight w:val="none"/>
          <w:lang w:bidi="ar"/>
        </w:rPr>
        <w:t>、监理制定本项目重要设备及材料的监造工作计划并实施。</w:t>
      </w:r>
    </w:p>
    <w:p w14:paraId="035A91FB">
      <w:pPr>
        <w:adjustRightInd w:val="0"/>
        <w:snapToGrid w:val="0"/>
        <w:spacing w:line="360" w:lineRule="auto"/>
        <w:ind w:firstLine="600" w:firstLineChars="250"/>
        <w:rPr>
          <w:rFonts w:hint="eastAsia" w:ascii="宋体" w:hAnsi="宋体" w:cs="宋体"/>
          <w:color w:val="auto"/>
          <w:sz w:val="24"/>
          <w:highlight w:val="none"/>
          <w:lang w:bidi="ar"/>
        </w:rPr>
      </w:pPr>
      <w:r>
        <w:rPr>
          <w:rFonts w:cs="Calibri"/>
          <w:color w:val="auto"/>
          <w:sz w:val="24"/>
          <w:szCs w:val="24"/>
          <w:highlight w:val="none"/>
          <w:lang w:bidi="ar"/>
        </w:rPr>
        <w:t>13</w:t>
      </w:r>
      <w:r>
        <w:rPr>
          <w:rFonts w:hint="eastAsia" w:ascii="宋体" w:hAnsi="宋体" w:cs="宋体"/>
          <w:color w:val="auto"/>
          <w:sz w:val="24"/>
          <w:szCs w:val="24"/>
          <w:highlight w:val="none"/>
          <w:lang w:bidi="ar"/>
        </w:rPr>
        <w:t>、制定本项目验收移交工作计划，并组织实施。</w:t>
      </w:r>
    </w:p>
    <w:bookmarkEnd w:id="432"/>
    <w:bookmarkEnd w:id="433"/>
    <w:p w14:paraId="05457A9F">
      <w:pPr>
        <w:pStyle w:val="19"/>
        <w:ind w:firstLine="361" w:firstLineChars="150"/>
        <w:jc w:val="both"/>
        <w:rPr>
          <w:rFonts w:hint="eastAsia"/>
          <w:color w:val="auto"/>
          <w:sz w:val="24"/>
          <w:szCs w:val="24"/>
          <w:highlight w:val="none"/>
        </w:rPr>
      </w:pPr>
      <w:bookmarkStart w:id="436" w:name="_Toc176879987"/>
      <w:bookmarkStart w:id="437" w:name="_Toc15104"/>
      <w:bookmarkStart w:id="438" w:name="_Toc20384743"/>
      <w:bookmarkStart w:id="439" w:name="_Toc8226"/>
      <w:r>
        <w:rPr>
          <w:rFonts w:hint="eastAsia"/>
          <w:color w:val="auto"/>
          <w:sz w:val="24"/>
          <w:szCs w:val="24"/>
          <w:highlight w:val="none"/>
          <w:lang w:eastAsia="zh-CN"/>
        </w:rPr>
        <w:t>七</w:t>
      </w:r>
      <w:r>
        <w:rPr>
          <w:rFonts w:hint="eastAsia"/>
          <w:color w:val="auto"/>
          <w:sz w:val="24"/>
          <w:szCs w:val="24"/>
          <w:highlight w:val="none"/>
        </w:rPr>
        <w:t>、监理管理人员要求</w:t>
      </w:r>
      <w:bookmarkEnd w:id="436"/>
      <w:bookmarkEnd w:id="437"/>
    </w:p>
    <w:p w14:paraId="1D204544">
      <w:pPr>
        <w:pStyle w:val="3"/>
        <w:ind w:left="0" w:firstLine="482" w:firstLineChars="200"/>
        <w:jc w:val="left"/>
        <w:rPr>
          <w:rFonts w:hint="eastAsia"/>
          <w:color w:val="auto"/>
          <w:sz w:val="24"/>
          <w:szCs w:val="24"/>
          <w:highlight w:val="none"/>
        </w:rPr>
      </w:pPr>
      <w:r>
        <w:rPr>
          <w:rFonts w:hint="eastAsia" w:ascii="宋体" w:hAnsi="宋体" w:eastAsia="宋体" w:cs="宋体"/>
          <w:color w:val="auto"/>
          <w:sz w:val="24"/>
          <w:szCs w:val="24"/>
          <w:highlight w:val="none"/>
        </w:rPr>
        <w:t>（一）监理管理人员架构要求</w:t>
      </w:r>
    </w:p>
    <w:p w14:paraId="1865F28C">
      <w:pPr>
        <w:spacing w:line="336"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1.监理单位应在项目开工前按要求组建项目管理架构，并将项目管理架构正式发函报市重点项目管理中心。</w:t>
      </w:r>
    </w:p>
    <w:p w14:paraId="536492D5">
      <w:pPr>
        <w:spacing w:line="336"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项目管理架构组成人员应符合招投标文件、合同的要求，如因特殊情况部分投标人员不能到位应向市重点项目管理中心书面提出人员更换申请，得到批准并按合同要求办理相应变更手续后方可进行人员更换；人员的更换应在施工准备阶段完成，经备案后的项目管理架构人员不允许随便变更。本项目校方使用要求紧迫，工期短，6栋楼需同步施工，项目监理人员组织配备要求如下：</w:t>
      </w:r>
    </w:p>
    <w:p w14:paraId="55EBA190">
      <w:pPr>
        <w:spacing w:line="336" w:lineRule="auto"/>
        <w:ind w:firstLine="0" w:firstLineChars="0"/>
        <w:jc w:val="center"/>
        <w:rPr>
          <w:rFonts w:hint="eastAsia" w:ascii="宋体" w:hAnsi="宋体" w:eastAsia="宋体" w:cs="宋体"/>
          <w:color w:val="auto"/>
          <w:sz w:val="24"/>
          <w:highlight w:val="none"/>
          <w:lang w:val="en-US" w:eastAsia="zh-CN" w:bidi="ar"/>
        </w:rPr>
      </w:pPr>
      <w:r>
        <w:rPr>
          <w:rFonts w:hint="eastAsia" w:ascii="Times New Roman" w:hAnsi="Times New Roman" w:cs="宋体"/>
          <w:b/>
          <w:bCs/>
          <w:color w:val="auto"/>
          <w:sz w:val="24"/>
          <w:highlight w:val="none"/>
        </w:rPr>
        <w:t>项目监理人员组成配备要求</w:t>
      </w:r>
      <w:r>
        <w:rPr>
          <w:rFonts w:hint="eastAsia" w:ascii="Times New Roman" w:hAnsi="Times New Roman" w:cs="宋体"/>
          <w:b/>
          <w:bCs/>
          <w:color w:val="auto"/>
          <w:sz w:val="24"/>
          <w:highlight w:val="none"/>
          <w:lang w:val="en-US" w:eastAsia="zh-CN"/>
        </w:rPr>
        <w:t>表</w:t>
      </w:r>
    </w:p>
    <w:tbl>
      <w:tblPr>
        <w:tblStyle w:val="12"/>
        <w:tblW w:w="915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61"/>
        <w:gridCol w:w="65"/>
        <w:gridCol w:w="1026"/>
        <w:gridCol w:w="598"/>
        <w:gridCol w:w="5811"/>
      </w:tblGrid>
      <w:tr w14:paraId="0F4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trPr>
        <w:tc>
          <w:tcPr>
            <w:tcW w:w="693" w:type="dxa"/>
            <w:noWrap/>
            <w:vAlign w:val="center"/>
          </w:tcPr>
          <w:p w14:paraId="1609E5C9">
            <w:pPr>
              <w:pStyle w:val="21"/>
              <w:spacing w:line="240" w:lineRule="auto"/>
              <w:ind w:firstLine="0" w:firstLineChars="0"/>
              <w:jc w:val="center"/>
              <w:rPr>
                <w:b/>
                <w:bCs/>
                <w:color w:val="auto"/>
                <w:sz w:val="18"/>
                <w:szCs w:val="18"/>
                <w:highlight w:val="none"/>
              </w:rPr>
            </w:pPr>
            <w:r>
              <w:rPr>
                <w:rFonts w:hint="eastAsia"/>
                <w:b/>
                <w:bCs/>
                <w:color w:val="auto"/>
                <w:sz w:val="18"/>
                <w:szCs w:val="18"/>
                <w:highlight w:val="none"/>
              </w:rPr>
              <w:t>序号</w:t>
            </w:r>
          </w:p>
        </w:tc>
        <w:tc>
          <w:tcPr>
            <w:tcW w:w="2052" w:type="dxa"/>
            <w:gridSpan w:val="3"/>
            <w:noWrap/>
            <w:vAlign w:val="center"/>
          </w:tcPr>
          <w:p w14:paraId="0B0E259A">
            <w:pPr>
              <w:pStyle w:val="21"/>
              <w:spacing w:line="240" w:lineRule="auto"/>
              <w:ind w:firstLine="0" w:firstLineChars="0"/>
              <w:jc w:val="center"/>
              <w:rPr>
                <w:b/>
                <w:bCs/>
                <w:color w:val="auto"/>
                <w:sz w:val="18"/>
                <w:szCs w:val="18"/>
                <w:highlight w:val="none"/>
              </w:rPr>
            </w:pPr>
            <w:r>
              <w:rPr>
                <w:rFonts w:hint="eastAsia"/>
                <w:b/>
                <w:bCs/>
                <w:color w:val="auto"/>
                <w:sz w:val="18"/>
                <w:szCs w:val="18"/>
                <w:highlight w:val="none"/>
              </w:rPr>
              <w:t>专业类别</w:t>
            </w:r>
          </w:p>
        </w:tc>
        <w:tc>
          <w:tcPr>
            <w:tcW w:w="598" w:type="dxa"/>
            <w:noWrap/>
            <w:vAlign w:val="center"/>
          </w:tcPr>
          <w:p w14:paraId="4D1717A2">
            <w:pPr>
              <w:pStyle w:val="21"/>
              <w:spacing w:line="240" w:lineRule="auto"/>
              <w:ind w:firstLine="0" w:firstLineChars="0"/>
              <w:jc w:val="center"/>
              <w:rPr>
                <w:b/>
                <w:bCs/>
                <w:color w:val="auto"/>
                <w:sz w:val="18"/>
                <w:szCs w:val="18"/>
                <w:highlight w:val="none"/>
              </w:rPr>
            </w:pPr>
            <w:r>
              <w:rPr>
                <w:rFonts w:hint="eastAsia"/>
                <w:b/>
                <w:bCs/>
                <w:color w:val="auto"/>
                <w:sz w:val="18"/>
                <w:szCs w:val="18"/>
                <w:highlight w:val="none"/>
              </w:rPr>
              <w:t>数量</w:t>
            </w:r>
          </w:p>
        </w:tc>
        <w:tc>
          <w:tcPr>
            <w:tcW w:w="5811" w:type="dxa"/>
            <w:noWrap/>
            <w:vAlign w:val="center"/>
          </w:tcPr>
          <w:p w14:paraId="1BE6DA9D">
            <w:pPr>
              <w:pStyle w:val="21"/>
              <w:spacing w:line="240" w:lineRule="auto"/>
              <w:ind w:firstLine="0" w:firstLineChars="0"/>
              <w:jc w:val="center"/>
              <w:rPr>
                <w:b/>
                <w:bCs/>
                <w:color w:val="auto"/>
                <w:sz w:val="18"/>
                <w:szCs w:val="18"/>
                <w:highlight w:val="none"/>
              </w:rPr>
            </w:pPr>
            <w:r>
              <w:rPr>
                <w:rFonts w:hint="eastAsia"/>
                <w:b/>
                <w:bCs/>
                <w:color w:val="auto"/>
                <w:sz w:val="18"/>
                <w:szCs w:val="18"/>
                <w:highlight w:val="none"/>
              </w:rPr>
              <w:t>基本要求</w:t>
            </w:r>
          </w:p>
        </w:tc>
      </w:tr>
      <w:tr w14:paraId="0E8F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3" w:type="dxa"/>
            <w:noWrap/>
            <w:vAlign w:val="center"/>
          </w:tcPr>
          <w:p w14:paraId="5EFDD869">
            <w:pPr>
              <w:pStyle w:val="21"/>
              <w:spacing w:line="240" w:lineRule="auto"/>
              <w:ind w:firstLine="0" w:firstLineChars="0"/>
              <w:jc w:val="center"/>
              <w:rPr>
                <w:color w:val="auto"/>
                <w:sz w:val="18"/>
                <w:szCs w:val="18"/>
                <w:highlight w:val="none"/>
              </w:rPr>
            </w:pPr>
            <w:r>
              <w:rPr>
                <w:rFonts w:hint="eastAsia"/>
                <w:color w:val="auto"/>
                <w:sz w:val="18"/>
                <w:szCs w:val="18"/>
                <w:highlight w:val="none"/>
              </w:rPr>
              <w:t>一</w:t>
            </w:r>
          </w:p>
        </w:tc>
        <w:tc>
          <w:tcPr>
            <w:tcW w:w="2052" w:type="dxa"/>
            <w:gridSpan w:val="3"/>
            <w:noWrap/>
            <w:vAlign w:val="center"/>
          </w:tcPr>
          <w:p w14:paraId="0492C5FA">
            <w:pPr>
              <w:pStyle w:val="21"/>
              <w:spacing w:line="240" w:lineRule="auto"/>
              <w:ind w:firstLine="0" w:firstLineChars="0"/>
              <w:rPr>
                <w:color w:val="auto"/>
                <w:sz w:val="18"/>
                <w:szCs w:val="18"/>
                <w:highlight w:val="none"/>
                <w:lang w:eastAsia="zh-CN"/>
              </w:rPr>
            </w:pPr>
            <w:r>
              <w:rPr>
                <w:rFonts w:hint="eastAsia"/>
                <w:color w:val="auto"/>
                <w:sz w:val="18"/>
                <w:szCs w:val="18"/>
                <w:highlight w:val="none"/>
              </w:rPr>
              <w:t>项目</w:t>
            </w:r>
            <w:r>
              <w:rPr>
                <w:rFonts w:hint="eastAsia"/>
                <w:color w:val="auto"/>
                <w:sz w:val="18"/>
                <w:szCs w:val="18"/>
                <w:highlight w:val="none"/>
                <w:lang w:eastAsia="zh-CN"/>
              </w:rPr>
              <w:t>指挥长</w:t>
            </w:r>
          </w:p>
        </w:tc>
        <w:tc>
          <w:tcPr>
            <w:tcW w:w="598" w:type="dxa"/>
            <w:noWrap/>
            <w:vAlign w:val="center"/>
          </w:tcPr>
          <w:p w14:paraId="73DB3DD5">
            <w:pPr>
              <w:pStyle w:val="21"/>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5811" w:type="dxa"/>
            <w:noWrap/>
            <w:vAlign w:val="center"/>
          </w:tcPr>
          <w:p w14:paraId="08803693">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由投标人现任本公司副总经理</w:t>
            </w:r>
            <w:r>
              <w:rPr>
                <w:color w:val="auto"/>
                <w:sz w:val="18"/>
                <w:szCs w:val="18"/>
                <w:highlight w:val="none"/>
                <w:lang w:eastAsia="zh-CN"/>
              </w:rPr>
              <w:t>或</w:t>
            </w:r>
            <w:r>
              <w:rPr>
                <w:rFonts w:hint="eastAsia"/>
                <w:color w:val="auto"/>
                <w:sz w:val="18"/>
                <w:szCs w:val="18"/>
                <w:highlight w:val="none"/>
                <w:lang w:eastAsia="zh-CN"/>
              </w:rPr>
              <w:t>总工程师或以上行政职务，并已在本公司任该职满半年或以上的领导担任。</w:t>
            </w:r>
          </w:p>
        </w:tc>
      </w:tr>
      <w:tr w14:paraId="7373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93" w:type="dxa"/>
            <w:noWrap/>
            <w:vAlign w:val="center"/>
          </w:tcPr>
          <w:p w14:paraId="124C81D7">
            <w:pPr>
              <w:pStyle w:val="21"/>
              <w:spacing w:line="240" w:lineRule="auto"/>
              <w:ind w:firstLine="0" w:firstLineChars="0"/>
              <w:jc w:val="center"/>
              <w:rPr>
                <w:color w:val="auto"/>
                <w:sz w:val="18"/>
                <w:szCs w:val="18"/>
                <w:highlight w:val="none"/>
              </w:rPr>
            </w:pPr>
            <w:r>
              <w:rPr>
                <w:rFonts w:hint="eastAsia"/>
                <w:color w:val="auto"/>
                <w:sz w:val="18"/>
                <w:szCs w:val="18"/>
                <w:highlight w:val="none"/>
              </w:rPr>
              <w:t>二</w:t>
            </w:r>
          </w:p>
        </w:tc>
        <w:tc>
          <w:tcPr>
            <w:tcW w:w="2052" w:type="dxa"/>
            <w:gridSpan w:val="3"/>
            <w:noWrap/>
            <w:vAlign w:val="center"/>
          </w:tcPr>
          <w:p w14:paraId="732B54BD">
            <w:pPr>
              <w:pStyle w:val="21"/>
              <w:spacing w:line="240" w:lineRule="auto"/>
              <w:ind w:firstLine="0" w:firstLineChars="0"/>
              <w:rPr>
                <w:color w:val="auto"/>
                <w:sz w:val="18"/>
                <w:szCs w:val="18"/>
                <w:highlight w:val="none"/>
              </w:rPr>
            </w:pPr>
            <w:r>
              <w:rPr>
                <w:rFonts w:hint="eastAsia"/>
                <w:color w:val="auto"/>
                <w:sz w:val="18"/>
                <w:szCs w:val="18"/>
                <w:highlight w:val="none"/>
              </w:rPr>
              <w:t>总监、总监代表</w:t>
            </w:r>
          </w:p>
        </w:tc>
        <w:tc>
          <w:tcPr>
            <w:tcW w:w="598" w:type="dxa"/>
            <w:noWrap/>
            <w:vAlign w:val="center"/>
          </w:tcPr>
          <w:p w14:paraId="2DCC4A7A">
            <w:pPr>
              <w:pStyle w:val="21"/>
              <w:spacing w:line="240" w:lineRule="auto"/>
              <w:ind w:firstLine="0" w:firstLineChars="0"/>
              <w:jc w:val="center"/>
              <w:rPr>
                <w:color w:val="auto"/>
                <w:sz w:val="18"/>
                <w:szCs w:val="18"/>
                <w:highlight w:val="none"/>
              </w:rPr>
            </w:pPr>
          </w:p>
        </w:tc>
        <w:tc>
          <w:tcPr>
            <w:tcW w:w="5811" w:type="dxa"/>
            <w:noWrap/>
            <w:vAlign w:val="center"/>
          </w:tcPr>
          <w:p w14:paraId="1733C2EE">
            <w:pPr>
              <w:pStyle w:val="21"/>
              <w:spacing w:line="240" w:lineRule="auto"/>
              <w:ind w:firstLine="360"/>
              <w:rPr>
                <w:color w:val="auto"/>
                <w:sz w:val="18"/>
                <w:szCs w:val="18"/>
                <w:highlight w:val="none"/>
              </w:rPr>
            </w:pPr>
          </w:p>
        </w:tc>
      </w:tr>
      <w:tr w14:paraId="7C3B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3" w:type="dxa"/>
            <w:noWrap/>
            <w:vAlign w:val="center"/>
          </w:tcPr>
          <w:p w14:paraId="51E0D5A5">
            <w:pPr>
              <w:pStyle w:val="21"/>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2052" w:type="dxa"/>
            <w:gridSpan w:val="3"/>
            <w:noWrap/>
            <w:vAlign w:val="center"/>
          </w:tcPr>
          <w:p w14:paraId="2EF5C84E">
            <w:pPr>
              <w:pStyle w:val="21"/>
              <w:spacing w:line="240" w:lineRule="auto"/>
              <w:ind w:firstLine="0" w:firstLineChars="0"/>
              <w:rPr>
                <w:color w:val="auto"/>
                <w:sz w:val="18"/>
                <w:szCs w:val="18"/>
                <w:highlight w:val="none"/>
              </w:rPr>
            </w:pPr>
            <w:r>
              <w:rPr>
                <w:rFonts w:hint="eastAsia"/>
                <w:color w:val="auto"/>
                <w:sz w:val="18"/>
                <w:szCs w:val="18"/>
                <w:highlight w:val="none"/>
              </w:rPr>
              <w:t>总监理工程师</w:t>
            </w:r>
          </w:p>
        </w:tc>
        <w:tc>
          <w:tcPr>
            <w:tcW w:w="598" w:type="dxa"/>
            <w:noWrap/>
            <w:vAlign w:val="center"/>
          </w:tcPr>
          <w:p w14:paraId="24A7AEF7">
            <w:pPr>
              <w:pStyle w:val="21"/>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5811" w:type="dxa"/>
            <w:noWrap/>
            <w:vAlign w:val="center"/>
          </w:tcPr>
          <w:p w14:paraId="55703C9C">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与招标公告要求一致。</w:t>
            </w:r>
          </w:p>
        </w:tc>
      </w:tr>
      <w:tr w14:paraId="0CEB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93" w:type="dxa"/>
            <w:noWrap/>
            <w:vAlign w:val="center"/>
          </w:tcPr>
          <w:p w14:paraId="32D93418">
            <w:pPr>
              <w:pStyle w:val="21"/>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2052" w:type="dxa"/>
            <w:gridSpan w:val="3"/>
            <w:noWrap/>
            <w:vAlign w:val="center"/>
          </w:tcPr>
          <w:p w14:paraId="36B27724">
            <w:pPr>
              <w:pStyle w:val="21"/>
              <w:spacing w:line="240" w:lineRule="auto"/>
              <w:ind w:firstLine="0" w:firstLineChars="0"/>
              <w:rPr>
                <w:color w:val="auto"/>
                <w:sz w:val="18"/>
                <w:szCs w:val="18"/>
                <w:highlight w:val="none"/>
              </w:rPr>
            </w:pPr>
            <w:r>
              <w:rPr>
                <w:rFonts w:hint="eastAsia"/>
                <w:color w:val="auto"/>
                <w:sz w:val="18"/>
                <w:szCs w:val="18"/>
                <w:highlight w:val="none"/>
              </w:rPr>
              <w:t>总监理工程师代表</w:t>
            </w:r>
          </w:p>
        </w:tc>
        <w:tc>
          <w:tcPr>
            <w:tcW w:w="598" w:type="dxa"/>
            <w:noWrap/>
            <w:vAlign w:val="center"/>
          </w:tcPr>
          <w:p w14:paraId="1843B483">
            <w:pPr>
              <w:pStyle w:val="21"/>
              <w:spacing w:line="240" w:lineRule="auto"/>
              <w:ind w:firstLine="0" w:firstLineChars="0"/>
              <w:jc w:val="center"/>
              <w:rPr>
                <w:color w:val="auto"/>
                <w:sz w:val="18"/>
                <w:szCs w:val="18"/>
                <w:highlight w:val="none"/>
                <w:lang w:eastAsia="zh-CN"/>
              </w:rPr>
            </w:pPr>
            <w:r>
              <w:rPr>
                <w:rFonts w:hint="eastAsia"/>
                <w:color w:val="auto"/>
                <w:sz w:val="18"/>
                <w:szCs w:val="18"/>
                <w:highlight w:val="none"/>
                <w:lang w:eastAsia="zh-CN"/>
              </w:rPr>
              <w:t>1</w:t>
            </w:r>
          </w:p>
        </w:tc>
        <w:tc>
          <w:tcPr>
            <w:tcW w:w="5811" w:type="dxa"/>
            <w:noWrap/>
            <w:vAlign w:val="center"/>
          </w:tcPr>
          <w:p w14:paraId="3434DB65">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具有建设部2006年4月1日后颁发的中华人民共和国注册监理工程师注册执业证书，且其注册证书专业为房屋建筑工程，注册执业单位为本公司。</w:t>
            </w:r>
          </w:p>
        </w:tc>
      </w:tr>
      <w:tr w14:paraId="3C61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3" w:type="dxa"/>
            <w:noWrap/>
            <w:vAlign w:val="center"/>
          </w:tcPr>
          <w:p w14:paraId="3C68F49E">
            <w:pPr>
              <w:pStyle w:val="21"/>
              <w:spacing w:line="240" w:lineRule="auto"/>
              <w:ind w:firstLine="0" w:firstLineChars="0"/>
              <w:jc w:val="center"/>
              <w:rPr>
                <w:color w:val="auto"/>
                <w:sz w:val="18"/>
                <w:szCs w:val="18"/>
                <w:highlight w:val="none"/>
              </w:rPr>
            </w:pPr>
            <w:r>
              <w:rPr>
                <w:rFonts w:hint="eastAsia"/>
                <w:color w:val="auto"/>
                <w:sz w:val="18"/>
                <w:szCs w:val="18"/>
                <w:highlight w:val="none"/>
              </w:rPr>
              <w:t>三</w:t>
            </w:r>
          </w:p>
        </w:tc>
        <w:tc>
          <w:tcPr>
            <w:tcW w:w="2052" w:type="dxa"/>
            <w:gridSpan w:val="3"/>
            <w:noWrap/>
            <w:vAlign w:val="center"/>
          </w:tcPr>
          <w:p w14:paraId="160C1AD6">
            <w:pPr>
              <w:pStyle w:val="21"/>
              <w:spacing w:line="240" w:lineRule="auto"/>
              <w:ind w:firstLine="0" w:firstLineChars="0"/>
              <w:rPr>
                <w:color w:val="auto"/>
                <w:sz w:val="18"/>
                <w:szCs w:val="18"/>
                <w:highlight w:val="none"/>
              </w:rPr>
            </w:pPr>
            <w:r>
              <w:rPr>
                <w:rFonts w:hint="eastAsia"/>
                <w:color w:val="auto"/>
                <w:sz w:val="18"/>
                <w:szCs w:val="18"/>
                <w:highlight w:val="none"/>
              </w:rPr>
              <w:t>专业人员</w:t>
            </w:r>
          </w:p>
        </w:tc>
        <w:tc>
          <w:tcPr>
            <w:tcW w:w="598" w:type="dxa"/>
            <w:noWrap/>
            <w:vAlign w:val="center"/>
          </w:tcPr>
          <w:p w14:paraId="696BA245">
            <w:pPr>
              <w:pStyle w:val="21"/>
              <w:spacing w:line="240" w:lineRule="auto"/>
              <w:ind w:firstLine="0" w:firstLineChars="0"/>
              <w:jc w:val="center"/>
              <w:rPr>
                <w:color w:val="auto"/>
                <w:sz w:val="18"/>
                <w:szCs w:val="18"/>
                <w:highlight w:val="none"/>
              </w:rPr>
            </w:pPr>
          </w:p>
        </w:tc>
        <w:tc>
          <w:tcPr>
            <w:tcW w:w="5811" w:type="dxa"/>
            <w:noWrap/>
            <w:vAlign w:val="center"/>
          </w:tcPr>
          <w:p w14:paraId="7C5B174B">
            <w:pPr>
              <w:pStyle w:val="21"/>
              <w:spacing w:line="240" w:lineRule="auto"/>
              <w:ind w:firstLine="0" w:firstLineChars="0"/>
              <w:rPr>
                <w:rFonts w:hint="eastAsia"/>
                <w:color w:val="auto"/>
                <w:sz w:val="18"/>
                <w:szCs w:val="18"/>
                <w:highlight w:val="none"/>
                <w:lang w:eastAsia="zh-CN"/>
              </w:rPr>
            </w:pPr>
          </w:p>
        </w:tc>
      </w:tr>
      <w:tr w14:paraId="4F3C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dxa"/>
            <w:noWrap/>
            <w:vAlign w:val="center"/>
          </w:tcPr>
          <w:p w14:paraId="4C509CB1">
            <w:pPr>
              <w:pStyle w:val="21"/>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961" w:type="dxa"/>
            <w:noWrap/>
            <w:vAlign w:val="center"/>
          </w:tcPr>
          <w:p w14:paraId="4493E1E0">
            <w:pPr>
              <w:pStyle w:val="21"/>
              <w:spacing w:line="240" w:lineRule="auto"/>
              <w:ind w:firstLine="0" w:firstLineChars="0"/>
              <w:jc w:val="center"/>
              <w:rPr>
                <w:color w:val="auto"/>
                <w:sz w:val="18"/>
                <w:szCs w:val="18"/>
                <w:highlight w:val="none"/>
              </w:rPr>
            </w:pPr>
            <w:r>
              <w:rPr>
                <w:rFonts w:hint="eastAsia"/>
                <w:color w:val="auto"/>
                <w:sz w:val="18"/>
                <w:szCs w:val="18"/>
                <w:highlight w:val="none"/>
              </w:rPr>
              <w:t>土建施工管理组</w:t>
            </w:r>
          </w:p>
        </w:tc>
        <w:tc>
          <w:tcPr>
            <w:tcW w:w="1091" w:type="dxa"/>
            <w:gridSpan w:val="2"/>
            <w:noWrap/>
            <w:vAlign w:val="center"/>
          </w:tcPr>
          <w:p w14:paraId="60DDF223">
            <w:pPr>
              <w:pStyle w:val="21"/>
              <w:spacing w:line="240" w:lineRule="auto"/>
              <w:ind w:firstLine="0" w:firstLineChars="0"/>
              <w:jc w:val="center"/>
              <w:rPr>
                <w:color w:val="auto"/>
                <w:sz w:val="18"/>
                <w:szCs w:val="18"/>
                <w:highlight w:val="none"/>
              </w:rPr>
            </w:pPr>
            <w:r>
              <w:rPr>
                <w:rFonts w:hint="eastAsia"/>
                <w:color w:val="auto"/>
                <w:sz w:val="18"/>
                <w:szCs w:val="18"/>
                <w:highlight w:val="none"/>
              </w:rPr>
              <w:t>土建监理工程师</w:t>
            </w:r>
          </w:p>
        </w:tc>
        <w:tc>
          <w:tcPr>
            <w:tcW w:w="598" w:type="dxa"/>
            <w:noWrap/>
            <w:vAlign w:val="center"/>
          </w:tcPr>
          <w:p w14:paraId="47EB3DED">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2</w:t>
            </w:r>
          </w:p>
        </w:tc>
        <w:tc>
          <w:tcPr>
            <w:tcW w:w="5811" w:type="dxa"/>
            <w:noWrap/>
            <w:vAlign w:val="center"/>
          </w:tcPr>
          <w:p w14:paraId="7CCCEF50">
            <w:pPr>
              <w:pStyle w:val="21"/>
              <w:spacing w:line="240" w:lineRule="auto"/>
              <w:ind w:firstLine="0" w:firstLineChars="0"/>
              <w:rPr>
                <w:color w:val="auto"/>
                <w:sz w:val="18"/>
                <w:szCs w:val="18"/>
                <w:highlight w:val="none"/>
                <w:lang w:eastAsia="zh-CN"/>
              </w:rPr>
            </w:pPr>
            <w:r>
              <w:rPr>
                <w:color w:val="auto"/>
                <w:sz w:val="18"/>
                <w:szCs w:val="18"/>
                <w:highlight w:val="none"/>
                <w:lang w:eastAsia="zh-CN"/>
              </w:rPr>
              <w:t>所学专业或职称为</w:t>
            </w:r>
            <w:r>
              <w:rPr>
                <w:rFonts w:hint="eastAsia"/>
                <w:color w:val="auto"/>
                <w:sz w:val="18"/>
                <w:szCs w:val="18"/>
                <w:highlight w:val="none"/>
                <w:lang w:eastAsia="zh-CN"/>
              </w:rPr>
              <w:t>建筑工程（或相关）</w:t>
            </w:r>
            <w:r>
              <w:rPr>
                <w:color w:val="auto"/>
                <w:sz w:val="18"/>
                <w:szCs w:val="18"/>
                <w:highlight w:val="none"/>
                <w:lang w:eastAsia="zh-CN"/>
              </w:rPr>
              <w:t>专业；具备房屋建筑工程专业注册监理工程师资格或具有中级或以上技术职称</w:t>
            </w:r>
            <w:r>
              <w:rPr>
                <w:rFonts w:hint="eastAsia"/>
                <w:color w:val="auto"/>
                <w:sz w:val="18"/>
                <w:szCs w:val="18"/>
                <w:highlight w:val="none"/>
                <w:lang w:eastAsia="zh-CN"/>
              </w:rPr>
              <w:t>资格</w:t>
            </w:r>
            <w:r>
              <w:rPr>
                <w:color w:val="auto"/>
                <w:sz w:val="18"/>
                <w:szCs w:val="18"/>
                <w:highlight w:val="none"/>
                <w:lang w:eastAsia="zh-CN"/>
              </w:rPr>
              <w:t>。</w:t>
            </w:r>
          </w:p>
        </w:tc>
      </w:tr>
      <w:tr w14:paraId="6FE5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dxa"/>
            <w:noWrap/>
            <w:vAlign w:val="center"/>
          </w:tcPr>
          <w:p w14:paraId="580CC706">
            <w:pPr>
              <w:pStyle w:val="21"/>
              <w:spacing w:line="240" w:lineRule="auto"/>
              <w:ind w:firstLine="0" w:firstLineChars="0"/>
              <w:jc w:val="center"/>
              <w:rPr>
                <w:color w:val="auto"/>
                <w:sz w:val="18"/>
                <w:szCs w:val="18"/>
                <w:highlight w:val="none"/>
              </w:rPr>
            </w:pPr>
            <w:r>
              <w:rPr>
                <w:rFonts w:hint="eastAsia"/>
                <w:color w:val="auto"/>
                <w:sz w:val="18"/>
                <w:szCs w:val="18"/>
                <w:highlight w:val="none"/>
              </w:rPr>
              <w:t>2</w:t>
            </w:r>
          </w:p>
        </w:tc>
        <w:tc>
          <w:tcPr>
            <w:tcW w:w="961" w:type="dxa"/>
            <w:vMerge w:val="restart"/>
            <w:noWrap/>
            <w:vAlign w:val="center"/>
          </w:tcPr>
          <w:p w14:paraId="73049C84">
            <w:pPr>
              <w:pStyle w:val="21"/>
              <w:spacing w:line="240" w:lineRule="auto"/>
              <w:ind w:firstLine="0" w:firstLineChars="0"/>
              <w:jc w:val="center"/>
              <w:rPr>
                <w:color w:val="auto"/>
                <w:sz w:val="18"/>
                <w:szCs w:val="18"/>
                <w:highlight w:val="none"/>
                <w:lang w:eastAsia="zh-CN"/>
              </w:rPr>
            </w:pPr>
            <w:r>
              <w:rPr>
                <w:rFonts w:hint="eastAsia"/>
                <w:color w:val="auto"/>
                <w:sz w:val="18"/>
                <w:szCs w:val="18"/>
                <w:highlight w:val="none"/>
                <w:lang w:eastAsia="zh-CN"/>
              </w:rPr>
              <w:t>机电与市政园林施工管理组</w:t>
            </w:r>
          </w:p>
        </w:tc>
        <w:tc>
          <w:tcPr>
            <w:tcW w:w="1091" w:type="dxa"/>
            <w:gridSpan w:val="2"/>
            <w:noWrap/>
            <w:vAlign w:val="center"/>
          </w:tcPr>
          <w:p w14:paraId="26A8595B">
            <w:pPr>
              <w:pStyle w:val="21"/>
              <w:spacing w:line="240" w:lineRule="auto"/>
              <w:ind w:firstLine="0" w:firstLineChars="0"/>
              <w:jc w:val="center"/>
              <w:rPr>
                <w:color w:val="auto"/>
                <w:sz w:val="18"/>
                <w:szCs w:val="18"/>
                <w:highlight w:val="none"/>
              </w:rPr>
            </w:pPr>
            <w:r>
              <w:rPr>
                <w:rFonts w:hint="eastAsia"/>
                <w:color w:val="auto"/>
                <w:sz w:val="18"/>
                <w:szCs w:val="18"/>
                <w:highlight w:val="none"/>
              </w:rPr>
              <w:t>电气专业工程师</w:t>
            </w:r>
          </w:p>
        </w:tc>
        <w:tc>
          <w:tcPr>
            <w:tcW w:w="598" w:type="dxa"/>
            <w:noWrap/>
            <w:vAlign w:val="center"/>
          </w:tcPr>
          <w:p w14:paraId="396257FA">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val="en-US" w:eastAsia="zh-CN"/>
              </w:rPr>
              <w:t>2</w:t>
            </w:r>
          </w:p>
        </w:tc>
        <w:tc>
          <w:tcPr>
            <w:tcW w:w="5811" w:type="dxa"/>
            <w:noWrap/>
            <w:vAlign w:val="center"/>
          </w:tcPr>
          <w:p w14:paraId="1E1AA618">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所学专业或职称为电气工程（或相关）专业，具有中级或以上专业技术职称资格。</w:t>
            </w:r>
          </w:p>
        </w:tc>
      </w:tr>
      <w:tr w14:paraId="4F33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dxa"/>
            <w:noWrap/>
            <w:vAlign w:val="center"/>
          </w:tcPr>
          <w:p w14:paraId="6B0496E0">
            <w:pPr>
              <w:pStyle w:val="21"/>
              <w:spacing w:line="240" w:lineRule="auto"/>
              <w:ind w:firstLine="0" w:firstLineChars="0"/>
              <w:jc w:val="center"/>
              <w:rPr>
                <w:color w:val="auto"/>
                <w:sz w:val="18"/>
                <w:szCs w:val="18"/>
                <w:highlight w:val="none"/>
              </w:rPr>
            </w:pPr>
            <w:r>
              <w:rPr>
                <w:rFonts w:hint="eastAsia"/>
                <w:color w:val="auto"/>
                <w:sz w:val="18"/>
                <w:szCs w:val="18"/>
                <w:highlight w:val="none"/>
              </w:rPr>
              <w:t>3</w:t>
            </w:r>
          </w:p>
        </w:tc>
        <w:tc>
          <w:tcPr>
            <w:tcW w:w="961" w:type="dxa"/>
            <w:vMerge w:val="continue"/>
            <w:noWrap/>
            <w:vAlign w:val="center"/>
          </w:tcPr>
          <w:p w14:paraId="37A87A5F">
            <w:pPr>
              <w:pStyle w:val="21"/>
              <w:spacing w:line="240" w:lineRule="auto"/>
              <w:ind w:firstLine="0" w:firstLineChars="0"/>
              <w:rPr>
                <w:color w:val="auto"/>
                <w:sz w:val="18"/>
                <w:szCs w:val="18"/>
                <w:highlight w:val="none"/>
              </w:rPr>
            </w:pPr>
          </w:p>
        </w:tc>
        <w:tc>
          <w:tcPr>
            <w:tcW w:w="1091" w:type="dxa"/>
            <w:gridSpan w:val="2"/>
            <w:noWrap/>
            <w:vAlign w:val="center"/>
          </w:tcPr>
          <w:p w14:paraId="3F26EC3A">
            <w:pPr>
              <w:pStyle w:val="21"/>
              <w:spacing w:line="240" w:lineRule="auto"/>
              <w:ind w:firstLine="0" w:firstLineChars="0"/>
              <w:jc w:val="center"/>
              <w:rPr>
                <w:color w:val="auto"/>
                <w:sz w:val="18"/>
                <w:szCs w:val="18"/>
                <w:highlight w:val="none"/>
              </w:rPr>
            </w:pPr>
            <w:r>
              <w:rPr>
                <w:rFonts w:hint="eastAsia"/>
                <w:color w:val="auto"/>
                <w:sz w:val="18"/>
                <w:szCs w:val="18"/>
                <w:highlight w:val="none"/>
              </w:rPr>
              <w:t>水</w:t>
            </w:r>
            <w:r>
              <w:rPr>
                <w:rFonts w:hint="eastAsia"/>
                <w:color w:val="auto"/>
                <w:sz w:val="18"/>
                <w:szCs w:val="18"/>
                <w:highlight w:val="none"/>
                <w:lang w:eastAsia="zh-CN"/>
              </w:rPr>
              <w:t>暖</w:t>
            </w:r>
            <w:r>
              <w:rPr>
                <w:rFonts w:hint="eastAsia"/>
                <w:color w:val="auto"/>
                <w:sz w:val="18"/>
                <w:szCs w:val="18"/>
                <w:highlight w:val="none"/>
              </w:rPr>
              <w:t>专业工程师</w:t>
            </w:r>
          </w:p>
        </w:tc>
        <w:tc>
          <w:tcPr>
            <w:tcW w:w="598" w:type="dxa"/>
            <w:noWrap/>
            <w:vAlign w:val="center"/>
          </w:tcPr>
          <w:p w14:paraId="4DDA59BE">
            <w:pPr>
              <w:pStyle w:val="21"/>
              <w:spacing w:line="240" w:lineRule="auto"/>
              <w:ind w:firstLine="0" w:firstLineChars="0"/>
              <w:jc w:val="center"/>
              <w:rPr>
                <w:color w:val="auto"/>
                <w:sz w:val="18"/>
                <w:szCs w:val="18"/>
                <w:highlight w:val="none"/>
              </w:rPr>
            </w:pPr>
            <w:r>
              <w:rPr>
                <w:rFonts w:hint="eastAsia"/>
                <w:color w:val="auto"/>
                <w:sz w:val="18"/>
                <w:szCs w:val="18"/>
                <w:highlight w:val="none"/>
              </w:rPr>
              <w:t>1</w:t>
            </w:r>
          </w:p>
        </w:tc>
        <w:tc>
          <w:tcPr>
            <w:tcW w:w="5811" w:type="dxa"/>
            <w:noWrap/>
            <w:vAlign w:val="center"/>
          </w:tcPr>
          <w:p w14:paraId="33F748BF">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所学专业或职称为给排水</w:t>
            </w:r>
            <w:r>
              <w:rPr>
                <w:rFonts w:hint="eastAsia" w:ascii="Calibri" w:hAnsi="Calibri" w:eastAsia="宋体" w:cs="宋体"/>
                <w:color w:val="auto"/>
                <w:kern w:val="2"/>
                <w:sz w:val="18"/>
                <w:szCs w:val="18"/>
                <w:highlight w:val="none"/>
                <w:lang w:bidi="ar"/>
              </w:rPr>
              <w:t>（或相关）</w:t>
            </w:r>
            <w:r>
              <w:rPr>
                <w:rFonts w:hint="eastAsia"/>
                <w:color w:val="auto"/>
                <w:sz w:val="18"/>
                <w:szCs w:val="18"/>
                <w:highlight w:val="none"/>
                <w:lang w:eastAsia="zh-CN"/>
              </w:rPr>
              <w:t>或暖通（或相关）专业，</w:t>
            </w:r>
            <w:r>
              <w:rPr>
                <w:color w:val="auto"/>
                <w:sz w:val="18"/>
                <w:szCs w:val="18"/>
                <w:highlight w:val="none"/>
                <w:lang w:eastAsia="zh-CN"/>
              </w:rPr>
              <w:t>具</w:t>
            </w:r>
            <w:r>
              <w:rPr>
                <w:rFonts w:hint="eastAsia"/>
                <w:color w:val="auto"/>
                <w:sz w:val="18"/>
                <w:szCs w:val="18"/>
                <w:highlight w:val="none"/>
                <w:lang w:eastAsia="zh-CN"/>
              </w:rPr>
              <w:t>有中级或以上技术职称资格。</w:t>
            </w:r>
          </w:p>
        </w:tc>
      </w:tr>
      <w:tr w14:paraId="02D2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3" w:type="dxa"/>
            <w:noWrap/>
            <w:vAlign w:val="center"/>
          </w:tcPr>
          <w:p w14:paraId="5AA00779">
            <w:pPr>
              <w:pStyle w:val="21"/>
              <w:spacing w:line="240" w:lineRule="auto"/>
              <w:ind w:firstLine="0" w:firstLineChars="0"/>
              <w:jc w:val="center"/>
              <w:rPr>
                <w:color w:val="auto"/>
                <w:sz w:val="18"/>
                <w:szCs w:val="18"/>
                <w:highlight w:val="none"/>
                <w:lang w:eastAsia="zh-CN"/>
              </w:rPr>
            </w:pPr>
            <w:r>
              <w:rPr>
                <w:rFonts w:hint="eastAsia"/>
                <w:color w:val="auto"/>
                <w:sz w:val="18"/>
                <w:szCs w:val="18"/>
                <w:highlight w:val="none"/>
                <w:lang w:val="en-US" w:eastAsia="zh-CN"/>
              </w:rPr>
              <w:t>4</w:t>
            </w:r>
          </w:p>
        </w:tc>
        <w:tc>
          <w:tcPr>
            <w:tcW w:w="961" w:type="dxa"/>
            <w:vMerge w:val="continue"/>
            <w:noWrap/>
            <w:vAlign w:val="center"/>
          </w:tcPr>
          <w:p w14:paraId="391F2CE2">
            <w:pPr>
              <w:pStyle w:val="21"/>
              <w:spacing w:line="240" w:lineRule="auto"/>
              <w:ind w:firstLine="0" w:firstLineChars="0"/>
              <w:jc w:val="center"/>
              <w:rPr>
                <w:color w:val="auto"/>
                <w:sz w:val="18"/>
                <w:szCs w:val="18"/>
                <w:highlight w:val="none"/>
                <w:lang w:eastAsia="zh-CN"/>
              </w:rPr>
            </w:pPr>
          </w:p>
        </w:tc>
        <w:tc>
          <w:tcPr>
            <w:tcW w:w="1091" w:type="dxa"/>
            <w:gridSpan w:val="2"/>
            <w:noWrap/>
            <w:vAlign w:val="center"/>
          </w:tcPr>
          <w:p w14:paraId="0EFC8607">
            <w:pPr>
              <w:pStyle w:val="21"/>
              <w:spacing w:line="240" w:lineRule="auto"/>
              <w:ind w:firstLine="0" w:firstLineChars="0"/>
              <w:jc w:val="center"/>
              <w:rPr>
                <w:color w:val="auto"/>
                <w:sz w:val="18"/>
                <w:szCs w:val="18"/>
                <w:highlight w:val="none"/>
                <w:lang w:eastAsia="zh-CN"/>
              </w:rPr>
            </w:pPr>
            <w:r>
              <w:rPr>
                <w:rFonts w:hint="eastAsia"/>
                <w:color w:val="auto"/>
                <w:sz w:val="18"/>
                <w:szCs w:val="18"/>
                <w:highlight w:val="none"/>
                <w:lang w:eastAsia="zh-CN"/>
              </w:rPr>
              <w:t>市政园林</w:t>
            </w:r>
            <w:r>
              <w:rPr>
                <w:color w:val="auto"/>
                <w:sz w:val="18"/>
                <w:szCs w:val="18"/>
                <w:highlight w:val="none"/>
                <w:lang w:eastAsia="zh-CN"/>
              </w:rPr>
              <w:t>专业</w:t>
            </w:r>
            <w:r>
              <w:rPr>
                <w:rFonts w:hint="eastAsia"/>
                <w:color w:val="auto"/>
                <w:sz w:val="18"/>
                <w:szCs w:val="18"/>
                <w:highlight w:val="none"/>
                <w:lang w:eastAsia="zh-CN"/>
              </w:rPr>
              <w:t>工程师</w:t>
            </w:r>
          </w:p>
        </w:tc>
        <w:tc>
          <w:tcPr>
            <w:tcW w:w="598" w:type="dxa"/>
            <w:noWrap/>
            <w:vAlign w:val="center"/>
          </w:tcPr>
          <w:p w14:paraId="2C1298A2">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1</w:t>
            </w:r>
          </w:p>
        </w:tc>
        <w:tc>
          <w:tcPr>
            <w:tcW w:w="5811" w:type="dxa"/>
            <w:noWrap/>
            <w:vAlign w:val="center"/>
          </w:tcPr>
          <w:p w14:paraId="679B81B6">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所学专业或职称为</w:t>
            </w:r>
            <w:r>
              <w:rPr>
                <w:rFonts w:hint="eastAsia" w:ascii="Calibri" w:hAnsi="Calibri" w:eastAsia="宋体" w:cs="宋体"/>
                <w:color w:val="auto"/>
                <w:kern w:val="2"/>
                <w:sz w:val="18"/>
                <w:szCs w:val="18"/>
                <w:highlight w:val="none"/>
                <w:lang w:bidi="ar"/>
              </w:rPr>
              <w:t>市政公用（或相关）或建筑工程（或相关）</w:t>
            </w:r>
            <w:r>
              <w:rPr>
                <w:rFonts w:hint="eastAsia" w:ascii="Calibri" w:hAnsi="Calibri" w:cs="宋体"/>
                <w:color w:val="auto"/>
                <w:kern w:val="2"/>
                <w:sz w:val="18"/>
                <w:szCs w:val="18"/>
                <w:highlight w:val="none"/>
                <w:lang w:val="en-US" w:eastAsia="zh-CN" w:bidi="ar"/>
              </w:rPr>
              <w:t>或</w:t>
            </w:r>
            <w:r>
              <w:rPr>
                <w:rFonts w:hint="eastAsia" w:ascii="Calibri" w:hAnsi="Calibri" w:eastAsia="宋体" w:cs="宋体"/>
                <w:color w:val="auto"/>
                <w:kern w:val="2"/>
                <w:sz w:val="18"/>
                <w:szCs w:val="18"/>
                <w:highlight w:val="none"/>
                <w:lang w:bidi="ar"/>
              </w:rPr>
              <w:t>园林绿化（或相关）</w:t>
            </w:r>
            <w:r>
              <w:rPr>
                <w:rFonts w:hint="eastAsia"/>
                <w:color w:val="auto"/>
                <w:sz w:val="18"/>
                <w:szCs w:val="18"/>
                <w:highlight w:val="none"/>
                <w:lang w:eastAsia="zh-CN"/>
              </w:rPr>
              <w:t>专业，具有中级或以上技术职称资格。</w:t>
            </w:r>
          </w:p>
        </w:tc>
      </w:tr>
      <w:tr w14:paraId="209D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3" w:type="dxa"/>
            <w:noWrap/>
            <w:vAlign w:val="center"/>
          </w:tcPr>
          <w:p w14:paraId="6275986C">
            <w:pPr>
              <w:pStyle w:val="21"/>
              <w:spacing w:line="240" w:lineRule="auto"/>
              <w:ind w:firstLine="0" w:firstLineChars="0"/>
              <w:jc w:val="center"/>
              <w:rPr>
                <w:color w:val="auto"/>
                <w:sz w:val="18"/>
                <w:szCs w:val="18"/>
                <w:highlight w:val="none"/>
              </w:rPr>
            </w:pPr>
            <w:r>
              <w:rPr>
                <w:rFonts w:hint="eastAsia"/>
                <w:color w:val="auto"/>
                <w:sz w:val="18"/>
                <w:szCs w:val="18"/>
                <w:highlight w:val="none"/>
                <w:lang w:val="en-US" w:eastAsia="zh-CN"/>
              </w:rPr>
              <w:t>5</w:t>
            </w:r>
          </w:p>
        </w:tc>
        <w:tc>
          <w:tcPr>
            <w:tcW w:w="2052" w:type="dxa"/>
            <w:gridSpan w:val="3"/>
            <w:noWrap/>
            <w:vAlign w:val="center"/>
          </w:tcPr>
          <w:p w14:paraId="3232DF6E">
            <w:pPr>
              <w:pStyle w:val="21"/>
              <w:spacing w:line="240" w:lineRule="auto"/>
              <w:ind w:firstLine="0" w:firstLineChars="0"/>
              <w:rPr>
                <w:color w:val="auto"/>
                <w:sz w:val="18"/>
                <w:szCs w:val="18"/>
                <w:highlight w:val="none"/>
              </w:rPr>
            </w:pPr>
            <w:r>
              <w:rPr>
                <w:rFonts w:hint="eastAsia"/>
                <w:color w:val="auto"/>
                <w:sz w:val="18"/>
                <w:szCs w:val="18"/>
                <w:highlight w:val="none"/>
              </w:rPr>
              <w:t>安全工程师</w:t>
            </w:r>
          </w:p>
        </w:tc>
        <w:tc>
          <w:tcPr>
            <w:tcW w:w="598" w:type="dxa"/>
            <w:noWrap/>
            <w:vAlign w:val="center"/>
          </w:tcPr>
          <w:p w14:paraId="1AD48156">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1</w:t>
            </w:r>
          </w:p>
        </w:tc>
        <w:tc>
          <w:tcPr>
            <w:tcW w:w="5811" w:type="dxa"/>
            <w:noWrap/>
            <w:vAlign w:val="center"/>
          </w:tcPr>
          <w:p w14:paraId="445E975F">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具有安全培训证书或上岗证或注册安全工程师资格。</w:t>
            </w:r>
          </w:p>
        </w:tc>
      </w:tr>
      <w:tr w14:paraId="64AE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3" w:type="dxa"/>
            <w:noWrap/>
            <w:vAlign w:val="center"/>
          </w:tcPr>
          <w:p w14:paraId="6BE1410B">
            <w:pPr>
              <w:pStyle w:val="21"/>
              <w:spacing w:line="240" w:lineRule="auto"/>
              <w:ind w:firstLine="0" w:firstLineChars="0"/>
              <w:jc w:val="center"/>
              <w:rPr>
                <w:color w:val="auto"/>
                <w:sz w:val="18"/>
                <w:szCs w:val="18"/>
                <w:highlight w:val="none"/>
              </w:rPr>
            </w:pPr>
            <w:r>
              <w:rPr>
                <w:rFonts w:hint="eastAsia"/>
                <w:color w:val="auto"/>
                <w:sz w:val="18"/>
                <w:szCs w:val="18"/>
                <w:highlight w:val="none"/>
                <w:lang w:val="en-US" w:eastAsia="zh-CN"/>
              </w:rPr>
              <w:t>6</w:t>
            </w:r>
          </w:p>
        </w:tc>
        <w:tc>
          <w:tcPr>
            <w:tcW w:w="1026" w:type="dxa"/>
            <w:gridSpan w:val="2"/>
            <w:vMerge w:val="restart"/>
            <w:noWrap/>
            <w:vAlign w:val="center"/>
          </w:tcPr>
          <w:p w14:paraId="1F43B2DC">
            <w:pPr>
              <w:pStyle w:val="21"/>
              <w:spacing w:line="240" w:lineRule="auto"/>
              <w:ind w:firstLine="0" w:firstLineChars="0"/>
              <w:rPr>
                <w:color w:val="auto"/>
                <w:sz w:val="18"/>
                <w:szCs w:val="18"/>
                <w:highlight w:val="none"/>
              </w:rPr>
            </w:pPr>
            <w:r>
              <w:rPr>
                <w:rFonts w:hint="eastAsia"/>
                <w:bCs/>
                <w:color w:val="auto"/>
                <w:kern w:val="44"/>
                <w:sz w:val="18"/>
                <w:szCs w:val="18"/>
                <w:highlight w:val="none"/>
                <w:lang w:bidi="ar"/>
              </w:rPr>
              <w:t>合同造价管理组</w:t>
            </w:r>
          </w:p>
        </w:tc>
        <w:tc>
          <w:tcPr>
            <w:tcW w:w="1026" w:type="dxa"/>
            <w:noWrap w:val="0"/>
            <w:vAlign w:val="center"/>
          </w:tcPr>
          <w:p w14:paraId="7BA66B63">
            <w:pPr>
              <w:pStyle w:val="21"/>
              <w:spacing w:line="240" w:lineRule="auto"/>
              <w:ind w:firstLine="0" w:firstLineChars="0"/>
              <w:rPr>
                <w:color w:val="auto"/>
                <w:sz w:val="18"/>
                <w:szCs w:val="18"/>
                <w:highlight w:val="none"/>
              </w:rPr>
            </w:pPr>
            <w:r>
              <w:rPr>
                <w:rFonts w:hint="eastAsia"/>
                <w:color w:val="auto"/>
                <w:sz w:val="18"/>
                <w:szCs w:val="18"/>
                <w:highlight w:val="none"/>
              </w:rPr>
              <w:t>造价工程师</w:t>
            </w:r>
          </w:p>
        </w:tc>
        <w:tc>
          <w:tcPr>
            <w:tcW w:w="598" w:type="dxa"/>
            <w:noWrap/>
            <w:vAlign w:val="center"/>
          </w:tcPr>
          <w:p w14:paraId="73E3CDEC">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2</w:t>
            </w:r>
          </w:p>
        </w:tc>
        <w:tc>
          <w:tcPr>
            <w:tcW w:w="5811" w:type="dxa"/>
            <w:noWrap/>
            <w:vAlign w:val="center"/>
          </w:tcPr>
          <w:p w14:paraId="250C5F1A">
            <w:pPr>
              <w:pStyle w:val="21"/>
              <w:spacing w:line="240" w:lineRule="auto"/>
              <w:ind w:firstLine="0" w:firstLineChars="0"/>
              <w:rPr>
                <w:color w:val="auto"/>
                <w:sz w:val="18"/>
                <w:szCs w:val="18"/>
                <w:highlight w:val="none"/>
                <w:lang w:eastAsia="zh-CN"/>
              </w:rPr>
            </w:pPr>
            <w:bookmarkStart w:id="440" w:name="OLE_LINK7"/>
            <w:r>
              <w:rPr>
                <w:rFonts w:hint="eastAsia"/>
                <w:color w:val="auto"/>
                <w:sz w:val="18"/>
                <w:szCs w:val="18"/>
                <w:highlight w:val="none"/>
                <w:lang w:eastAsia="zh-CN"/>
              </w:rPr>
              <w:t>具有注册造价工程师资格</w:t>
            </w:r>
            <w:bookmarkEnd w:id="440"/>
            <w:r>
              <w:rPr>
                <w:rFonts w:hint="eastAsia"/>
                <w:color w:val="auto"/>
                <w:sz w:val="18"/>
                <w:szCs w:val="18"/>
                <w:highlight w:val="none"/>
                <w:lang w:val="en-US" w:eastAsia="zh-CN"/>
              </w:rPr>
              <w:t>或一级注册造价师资格</w:t>
            </w:r>
            <w:r>
              <w:rPr>
                <w:rFonts w:hint="eastAsia"/>
                <w:color w:val="auto"/>
                <w:sz w:val="18"/>
                <w:szCs w:val="18"/>
                <w:highlight w:val="none"/>
                <w:lang w:eastAsia="zh-CN"/>
              </w:rPr>
              <w:t>，土建</w:t>
            </w:r>
            <w:r>
              <w:rPr>
                <w:color w:val="auto"/>
                <w:sz w:val="18"/>
                <w:szCs w:val="18"/>
                <w:highlight w:val="none"/>
                <w:lang w:eastAsia="zh-CN"/>
              </w:rPr>
              <w:t>、</w:t>
            </w:r>
            <w:r>
              <w:rPr>
                <w:rFonts w:hint="eastAsia"/>
                <w:color w:val="auto"/>
                <w:sz w:val="18"/>
                <w:szCs w:val="18"/>
                <w:highlight w:val="none"/>
                <w:lang w:eastAsia="zh-CN"/>
              </w:rPr>
              <w:t>安装专业各1人。</w:t>
            </w:r>
          </w:p>
        </w:tc>
      </w:tr>
      <w:tr w14:paraId="046E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3" w:type="dxa"/>
            <w:noWrap/>
            <w:vAlign w:val="center"/>
          </w:tcPr>
          <w:p w14:paraId="25C91AEC">
            <w:pPr>
              <w:pStyle w:val="21"/>
              <w:spacing w:line="240" w:lineRule="auto"/>
              <w:ind w:firstLine="0" w:firstLineChars="0"/>
              <w:jc w:val="center"/>
              <w:rPr>
                <w:rFonts w:hint="eastAsia"/>
                <w:color w:val="auto"/>
                <w:sz w:val="18"/>
                <w:szCs w:val="18"/>
                <w:highlight w:val="none"/>
              </w:rPr>
            </w:pPr>
            <w:r>
              <w:rPr>
                <w:rFonts w:hint="eastAsia"/>
                <w:color w:val="auto"/>
                <w:sz w:val="18"/>
                <w:szCs w:val="18"/>
                <w:highlight w:val="none"/>
                <w:lang w:val="en-US" w:eastAsia="zh-CN"/>
              </w:rPr>
              <w:t>7</w:t>
            </w:r>
          </w:p>
        </w:tc>
        <w:tc>
          <w:tcPr>
            <w:tcW w:w="1026" w:type="dxa"/>
            <w:gridSpan w:val="2"/>
            <w:vMerge w:val="continue"/>
            <w:noWrap/>
            <w:vAlign w:val="center"/>
          </w:tcPr>
          <w:p w14:paraId="02161B53">
            <w:pPr>
              <w:pStyle w:val="21"/>
              <w:spacing w:line="240" w:lineRule="auto"/>
              <w:ind w:firstLine="0" w:firstLineChars="0"/>
              <w:rPr>
                <w:rFonts w:hint="eastAsia"/>
                <w:color w:val="auto"/>
                <w:sz w:val="18"/>
                <w:szCs w:val="18"/>
                <w:highlight w:val="none"/>
              </w:rPr>
            </w:pPr>
          </w:p>
        </w:tc>
        <w:tc>
          <w:tcPr>
            <w:tcW w:w="1026" w:type="dxa"/>
            <w:noWrap w:val="0"/>
            <w:vAlign w:val="center"/>
          </w:tcPr>
          <w:p w14:paraId="77C1DEBE">
            <w:pPr>
              <w:pStyle w:val="21"/>
              <w:spacing w:line="240" w:lineRule="auto"/>
              <w:ind w:firstLine="0" w:firstLineChars="0"/>
              <w:rPr>
                <w:rFonts w:hint="eastAsia"/>
                <w:color w:val="auto"/>
                <w:sz w:val="18"/>
                <w:szCs w:val="18"/>
                <w:highlight w:val="none"/>
              </w:rPr>
            </w:pPr>
            <w:r>
              <w:rPr>
                <w:rFonts w:hint="eastAsia"/>
                <w:color w:val="auto"/>
                <w:sz w:val="18"/>
                <w:szCs w:val="18"/>
                <w:highlight w:val="none"/>
                <w:lang w:eastAsia="zh-CN"/>
              </w:rPr>
              <w:t>驻场土建</w:t>
            </w:r>
            <w:r>
              <w:rPr>
                <w:rFonts w:hint="eastAsia"/>
                <w:color w:val="auto"/>
                <w:sz w:val="18"/>
                <w:szCs w:val="18"/>
                <w:highlight w:val="none"/>
              </w:rPr>
              <w:t>造价工程师</w:t>
            </w:r>
          </w:p>
        </w:tc>
        <w:tc>
          <w:tcPr>
            <w:tcW w:w="598" w:type="dxa"/>
            <w:noWrap/>
            <w:vAlign w:val="center"/>
          </w:tcPr>
          <w:p w14:paraId="4D393A32">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1</w:t>
            </w:r>
          </w:p>
        </w:tc>
        <w:tc>
          <w:tcPr>
            <w:tcW w:w="5811" w:type="dxa"/>
            <w:noWrap/>
            <w:vAlign w:val="center"/>
          </w:tcPr>
          <w:p w14:paraId="6DE70D3E">
            <w:pPr>
              <w:pStyle w:val="21"/>
              <w:spacing w:line="240" w:lineRule="auto"/>
              <w:ind w:firstLine="0" w:firstLineChars="0"/>
              <w:rPr>
                <w:rFonts w:hint="eastAsia"/>
                <w:color w:val="auto"/>
                <w:sz w:val="18"/>
                <w:szCs w:val="18"/>
                <w:highlight w:val="none"/>
                <w:lang w:eastAsia="zh-CN"/>
              </w:rPr>
            </w:pPr>
            <w:r>
              <w:rPr>
                <w:rFonts w:hint="eastAsia"/>
                <w:color w:val="auto"/>
                <w:sz w:val="18"/>
                <w:szCs w:val="18"/>
                <w:highlight w:val="none"/>
                <w:lang w:eastAsia="zh-CN"/>
              </w:rPr>
              <w:t>具有注册造价工程师资格</w:t>
            </w:r>
            <w:r>
              <w:rPr>
                <w:rFonts w:hint="eastAsia"/>
                <w:color w:val="auto"/>
                <w:sz w:val="18"/>
                <w:szCs w:val="18"/>
                <w:highlight w:val="none"/>
                <w:lang w:val="en-US" w:eastAsia="zh-CN"/>
              </w:rPr>
              <w:t>或一级注册造价师资格</w:t>
            </w:r>
            <w:r>
              <w:rPr>
                <w:rFonts w:hint="eastAsia"/>
                <w:color w:val="auto"/>
                <w:sz w:val="18"/>
                <w:szCs w:val="18"/>
                <w:highlight w:val="none"/>
                <w:lang w:eastAsia="zh-CN"/>
              </w:rPr>
              <w:t>或工程造价相关专业中级（或以上）技术职称。</w:t>
            </w:r>
          </w:p>
        </w:tc>
      </w:tr>
      <w:tr w14:paraId="6967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3" w:type="dxa"/>
            <w:noWrap/>
            <w:vAlign w:val="center"/>
          </w:tcPr>
          <w:p w14:paraId="52829627">
            <w:pPr>
              <w:pStyle w:val="21"/>
              <w:spacing w:line="240" w:lineRule="auto"/>
              <w:ind w:firstLine="0" w:firstLineChars="0"/>
              <w:jc w:val="center"/>
              <w:rPr>
                <w:color w:val="auto"/>
                <w:sz w:val="18"/>
                <w:szCs w:val="18"/>
                <w:highlight w:val="none"/>
              </w:rPr>
            </w:pPr>
            <w:r>
              <w:rPr>
                <w:rFonts w:hint="eastAsia"/>
                <w:color w:val="auto"/>
                <w:sz w:val="18"/>
                <w:szCs w:val="18"/>
                <w:highlight w:val="none"/>
                <w:lang w:val="en-US" w:eastAsia="zh-CN"/>
              </w:rPr>
              <w:t>8</w:t>
            </w:r>
          </w:p>
        </w:tc>
        <w:tc>
          <w:tcPr>
            <w:tcW w:w="2052" w:type="dxa"/>
            <w:gridSpan w:val="3"/>
            <w:noWrap/>
            <w:vAlign w:val="center"/>
          </w:tcPr>
          <w:p w14:paraId="524CE7AF">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图档资料管理员</w:t>
            </w:r>
          </w:p>
        </w:tc>
        <w:tc>
          <w:tcPr>
            <w:tcW w:w="598" w:type="dxa"/>
            <w:noWrap/>
            <w:vAlign w:val="center"/>
          </w:tcPr>
          <w:p w14:paraId="390C9CAB">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2</w:t>
            </w:r>
          </w:p>
        </w:tc>
        <w:tc>
          <w:tcPr>
            <w:tcW w:w="5811" w:type="dxa"/>
            <w:noWrap/>
            <w:vAlign w:val="center"/>
          </w:tcPr>
          <w:p w14:paraId="5377F2BF">
            <w:pPr>
              <w:pStyle w:val="21"/>
              <w:spacing w:line="240" w:lineRule="auto"/>
              <w:ind w:firstLine="0" w:firstLineChars="0"/>
              <w:rPr>
                <w:rFonts w:hint="eastAsia"/>
                <w:color w:val="auto"/>
                <w:sz w:val="18"/>
                <w:szCs w:val="18"/>
                <w:highlight w:val="none"/>
                <w:lang w:eastAsia="zh-CN"/>
              </w:rPr>
            </w:pPr>
            <w:r>
              <w:rPr>
                <w:rFonts w:hint="eastAsia"/>
                <w:color w:val="auto"/>
                <w:sz w:val="18"/>
                <w:szCs w:val="18"/>
                <w:highlight w:val="none"/>
                <w:lang w:eastAsia="zh-CN"/>
              </w:rPr>
              <w:t>所学专业为建筑工程（或相关专业），大专或以上学历。</w:t>
            </w:r>
          </w:p>
        </w:tc>
      </w:tr>
      <w:tr w14:paraId="3990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dxa"/>
            <w:noWrap/>
            <w:vAlign w:val="center"/>
          </w:tcPr>
          <w:p w14:paraId="040F998A">
            <w:pPr>
              <w:pStyle w:val="21"/>
              <w:spacing w:line="240" w:lineRule="auto"/>
              <w:ind w:firstLine="0" w:firstLineChars="0"/>
              <w:jc w:val="center"/>
              <w:rPr>
                <w:color w:val="auto"/>
                <w:sz w:val="18"/>
                <w:szCs w:val="18"/>
                <w:highlight w:val="none"/>
              </w:rPr>
            </w:pPr>
            <w:r>
              <w:rPr>
                <w:rFonts w:hint="eastAsia"/>
                <w:color w:val="auto"/>
                <w:sz w:val="18"/>
                <w:szCs w:val="18"/>
                <w:highlight w:val="none"/>
                <w:lang w:val="en-US" w:eastAsia="zh-CN"/>
              </w:rPr>
              <w:t>9</w:t>
            </w:r>
          </w:p>
        </w:tc>
        <w:tc>
          <w:tcPr>
            <w:tcW w:w="2052" w:type="dxa"/>
            <w:gridSpan w:val="3"/>
            <w:noWrap/>
            <w:vAlign w:val="center"/>
          </w:tcPr>
          <w:p w14:paraId="1DE78B52">
            <w:pPr>
              <w:pStyle w:val="21"/>
              <w:spacing w:line="240" w:lineRule="auto"/>
              <w:ind w:firstLine="0" w:firstLineChars="0"/>
              <w:rPr>
                <w:color w:val="auto"/>
                <w:sz w:val="18"/>
                <w:szCs w:val="18"/>
                <w:highlight w:val="none"/>
              </w:rPr>
            </w:pPr>
            <w:r>
              <w:rPr>
                <w:rFonts w:hint="eastAsia"/>
                <w:color w:val="auto"/>
                <w:sz w:val="18"/>
                <w:szCs w:val="18"/>
                <w:highlight w:val="none"/>
              </w:rPr>
              <w:t>监理员</w:t>
            </w:r>
          </w:p>
        </w:tc>
        <w:tc>
          <w:tcPr>
            <w:tcW w:w="598" w:type="dxa"/>
            <w:noWrap/>
            <w:vAlign w:val="center"/>
          </w:tcPr>
          <w:p w14:paraId="6721D81B">
            <w:pPr>
              <w:pStyle w:val="21"/>
              <w:spacing w:line="240" w:lineRule="auto"/>
              <w:ind w:firstLine="0" w:firstLineChars="0"/>
              <w:jc w:val="center"/>
              <w:rPr>
                <w:rFonts w:hint="eastAsia"/>
                <w:color w:val="auto"/>
                <w:sz w:val="18"/>
                <w:szCs w:val="18"/>
                <w:highlight w:val="none"/>
                <w:lang w:eastAsia="zh-CN"/>
              </w:rPr>
            </w:pPr>
            <w:r>
              <w:rPr>
                <w:rFonts w:hint="eastAsia"/>
                <w:color w:val="auto"/>
                <w:sz w:val="18"/>
                <w:szCs w:val="18"/>
                <w:highlight w:val="none"/>
                <w:lang w:eastAsia="zh-CN"/>
              </w:rPr>
              <w:t>5</w:t>
            </w:r>
          </w:p>
        </w:tc>
        <w:tc>
          <w:tcPr>
            <w:tcW w:w="5811" w:type="dxa"/>
            <w:noWrap/>
            <w:vAlign w:val="center"/>
          </w:tcPr>
          <w:p w14:paraId="1C5BA101">
            <w:pPr>
              <w:pStyle w:val="21"/>
              <w:spacing w:line="240" w:lineRule="auto"/>
              <w:ind w:firstLine="0" w:firstLineChars="0"/>
              <w:rPr>
                <w:color w:val="auto"/>
                <w:sz w:val="18"/>
                <w:szCs w:val="18"/>
                <w:highlight w:val="none"/>
                <w:lang w:eastAsia="zh-CN"/>
              </w:rPr>
            </w:pPr>
            <w:r>
              <w:rPr>
                <w:rFonts w:hint="eastAsia"/>
                <w:color w:val="auto"/>
                <w:sz w:val="18"/>
                <w:szCs w:val="18"/>
                <w:highlight w:val="none"/>
                <w:lang w:eastAsia="zh-CN"/>
              </w:rPr>
              <w:t>具有监理员（或以上）培训证或上岗证或注册证</w:t>
            </w:r>
          </w:p>
        </w:tc>
      </w:tr>
      <w:tr w14:paraId="20E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 w:type="dxa"/>
            <w:noWrap/>
            <w:vAlign w:val="center"/>
          </w:tcPr>
          <w:p w14:paraId="015FE95F">
            <w:pPr>
              <w:pStyle w:val="21"/>
              <w:spacing w:line="240" w:lineRule="auto"/>
              <w:ind w:firstLine="0" w:firstLineChars="0"/>
              <w:jc w:val="center"/>
              <w:rPr>
                <w:color w:val="auto"/>
                <w:sz w:val="18"/>
                <w:szCs w:val="18"/>
                <w:highlight w:val="none"/>
                <w:lang w:eastAsia="zh-CN"/>
              </w:rPr>
            </w:pPr>
          </w:p>
        </w:tc>
        <w:tc>
          <w:tcPr>
            <w:tcW w:w="2052" w:type="dxa"/>
            <w:gridSpan w:val="3"/>
            <w:noWrap/>
            <w:vAlign w:val="center"/>
          </w:tcPr>
          <w:p w14:paraId="61C86403">
            <w:pPr>
              <w:pStyle w:val="21"/>
              <w:spacing w:line="240" w:lineRule="auto"/>
              <w:ind w:firstLine="360"/>
              <w:rPr>
                <w:color w:val="auto"/>
                <w:sz w:val="18"/>
                <w:szCs w:val="18"/>
                <w:highlight w:val="none"/>
              </w:rPr>
            </w:pPr>
            <w:r>
              <w:rPr>
                <w:rFonts w:hint="eastAsia"/>
                <w:color w:val="auto"/>
                <w:sz w:val="18"/>
                <w:szCs w:val="18"/>
                <w:highlight w:val="none"/>
              </w:rPr>
              <w:t>合计</w:t>
            </w:r>
          </w:p>
        </w:tc>
        <w:tc>
          <w:tcPr>
            <w:tcW w:w="598" w:type="dxa"/>
            <w:noWrap/>
            <w:vAlign w:val="center"/>
          </w:tcPr>
          <w:p w14:paraId="566CB7F6">
            <w:pPr>
              <w:pStyle w:val="2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20</w:t>
            </w:r>
          </w:p>
        </w:tc>
        <w:tc>
          <w:tcPr>
            <w:tcW w:w="5811" w:type="dxa"/>
            <w:noWrap/>
            <w:vAlign w:val="center"/>
          </w:tcPr>
          <w:p w14:paraId="2398362E">
            <w:pPr>
              <w:pStyle w:val="21"/>
              <w:spacing w:line="240" w:lineRule="auto"/>
              <w:ind w:firstLine="0" w:firstLineChars="0"/>
              <w:rPr>
                <w:rFonts w:hint="eastAsia"/>
                <w:color w:val="auto"/>
                <w:sz w:val="18"/>
                <w:szCs w:val="18"/>
                <w:highlight w:val="none"/>
                <w:lang w:eastAsia="zh-CN"/>
              </w:rPr>
            </w:pPr>
          </w:p>
        </w:tc>
      </w:tr>
    </w:tbl>
    <w:p w14:paraId="1E90972E">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备注：①本表不作为</w:t>
      </w:r>
      <w:r>
        <w:rPr>
          <w:rFonts w:hint="eastAsia" w:ascii="宋体" w:hAnsi="宋体" w:eastAsia="宋体" w:cs="Times New Roman"/>
          <w:color w:val="auto"/>
          <w:sz w:val="24"/>
          <w:szCs w:val="24"/>
          <w:highlight w:val="none"/>
        </w:rPr>
        <w:t>形式评审、资格评审、响应性审查依据，只作为定标综合评审因素评审依据</w:t>
      </w:r>
      <w:r>
        <w:rPr>
          <w:rFonts w:hint="eastAsia" w:ascii="宋体" w:hAnsi="宋体"/>
          <w:color w:val="auto"/>
          <w:sz w:val="24"/>
          <w:szCs w:val="24"/>
          <w:highlight w:val="none"/>
        </w:rPr>
        <w:t>。</w:t>
      </w:r>
    </w:p>
    <w:p w14:paraId="0BD0F860">
      <w:pPr>
        <w:adjustRightInd w:val="0"/>
        <w:snapToGrid w:val="0"/>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②以上项目监理组成人员资历证明材料为满足基本要求的相关证明资料，应按《项目监理人员组成配备要求表》中基本要求相应提供相关毕业证扫描件、</w:t>
      </w:r>
      <w:r>
        <w:rPr>
          <w:rFonts w:ascii="宋体" w:hAnsi="宋体"/>
          <w:color w:val="auto"/>
          <w:sz w:val="24"/>
          <w:szCs w:val="24"/>
          <w:highlight w:val="none"/>
        </w:rPr>
        <w:t>本单位（不含投标人的子公司、独立法人的分公司或分支机构）</w:t>
      </w:r>
      <w:r>
        <w:rPr>
          <w:rFonts w:hint="eastAsia" w:ascii="宋体" w:hAnsi="宋体"/>
          <w:color w:val="auto"/>
          <w:sz w:val="24"/>
          <w:szCs w:val="24"/>
          <w:highlight w:val="none"/>
        </w:rPr>
        <w:t>社保证明资料（2025年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月）、简历表、职称证、注册证等相关证明资料，所学专业以其毕业证或注册监理工程师注册执业证书或职称证上所列的相关专业为准。</w:t>
      </w:r>
    </w:p>
    <w:p w14:paraId="4A1F691A">
      <w:pPr>
        <w:adjustRightInd w:val="0"/>
        <w:snapToGrid w:val="0"/>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③各岗位人员不得相互兼职</w:t>
      </w:r>
      <w:r>
        <w:rPr>
          <w:rFonts w:hint="eastAsia" w:ascii="宋体" w:hAnsi="宋体"/>
          <w:strike w:val="0"/>
          <w:color w:val="auto"/>
          <w:sz w:val="24"/>
          <w:szCs w:val="24"/>
          <w:highlight w:val="none"/>
        </w:rPr>
        <w:t>（造价工程师除外）</w:t>
      </w:r>
      <w:r>
        <w:rPr>
          <w:rFonts w:hint="eastAsia" w:ascii="宋体" w:hAnsi="宋体"/>
          <w:color w:val="auto"/>
          <w:sz w:val="24"/>
          <w:szCs w:val="24"/>
          <w:highlight w:val="none"/>
        </w:rPr>
        <w:t>。</w:t>
      </w:r>
    </w:p>
    <w:p w14:paraId="058B876A">
      <w:pPr>
        <w:adjustRightInd w:val="0"/>
        <w:snapToGrid w:val="0"/>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④投入项目的监理人员驻场要求：投标人拟投入本项目的监理人员需按第五章委托人要求及合同相关要求驻场办公。</w:t>
      </w:r>
    </w:p>
    <w:p w14:paraId="7A827F84">
      <w:pPr>
        <w:adjustRightInd w:val="0"/>
        <w:snapToGrid w:val="0"/>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⑤项目指挥长应按甲方要求参加相关会议，缺席按合同约定处理，同时项目指挥长每月应至少组织两次现场协调会，解决现场存在问题，并将相关会议成果向甲方报备。</w:t>
      </w:r>
    </w:p>
    <w:p w14:paraId="6AAF37A1">
      <w:pPr>
        <w:adjustRightInd w:val="0"/>
        <w:snapToGrid w:val="0"/>
        <w:spacing w:line="360" w:lineRule="auto"/>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⑥监理单位应分阶段向甲方申报组织架构及人员投入情况，经甲方审批同意后作为考勤依据。</w:t>
      </w:r>
    </w:p>
    <w:p w14:paraId="22369DA6">
      <w:pPr>
        <w:adjustRightInd w:val="0"/>
        <w:snapToGrid w:val="0"/>
        <w:spacing w:line="360" w:lineRule="auto"/>
        <w:ind w:firstLine="600" w:firstLineChars="250"/>
        <w:rPr>
          <w:rFonts w:hint="eastAsia" w:ascii="宋体" w:hAnsi="宋体" w:cs="宋体"/>
          <w:color w:val="auto"/>
          <w:sz w:val="24"/>
          <w:szCs w:val="24"/>
          <w:highlight w:val="none"/>
          <w:lang w:bidi="ar"/>
        </w:rPr>
      </w:pPr>
      <w:r>
        <w:rPr>
          <w:rFonts w:hint="eastAsia" w:ascii="宋体" w:hAnsi="宋体"/>
          <w:color w:val="auto"/>
          <w:sz w:val="24"/>
          <w:szCs w:val="24"/>
          <w:highlight w:val="none"/>
        </w:rPr>
        <w:t>⑦</w:t>
      </w:r>
      <w:r>
        <w:rPr>
          <w:rFonts w:hint="eastAsia" w:ascii="宋体" w:hAnsi="宋体" w:cs="宋体"/>
          <w:color w:val="auto"/>
          <w:sz w:val="24"/>
          <w:szCs w:val="24"/>
          <w:highlight w:val="none"/>
          <w:lang w:bidi="ar"/>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11423CE8">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监理单位应根据上述总的人员投入要求，结合项目进度，编制分阶段人员投入计划，包括但不限于施工招标阶段监理人员投入计划、施工准备期监理人员投入计划、既有建筑拆除及结构加固期监理人员投入计划、新建建筑主体结构施工阶段监理人员投入计划、机电弱电装修阶段监理人员投入计划、质量保修期监理人员投入计划等，并严格按照各阶段人员投入计划落实监理人员投入。</w:t>
      </w:r>
    </w:p>
    <w:p w14:paraId="212F1CDF">
      <w:pPr>
        <w:spacing w:line="360" w:lineRule="auto"/>
        <w:rPr>
          <w:rFonts w:hint="eastAsia" w:ascii="宋体" w:hAnsi="宋体"/>
          <w:b/>
          <w:bCs/>
          <w:color w:val="auto"/>
          <w:sz w:val="24"/>
          <w:highlight w:val="none"/>
        </w:rPr>
      </w:pPr>
      <w:r>
        <w:rPr>
          <w:rFonts w:hint="eastAsia" w:ascii="宋体" w:hAnsi="宋体"/>
          <w:b/>
          <w:bCs/>
          <w:color w:val="auto"/>
          <w:sz w:val="24"/>
          <w:highlight w:val="none"/>
        </w:rPr>
        <w:t>（二）监理人员至少按以下六阶段进行到岗设置</w:t>
      </w:r>
    </w:p>
    <w:tbl>
      <w:tblPr>
        <w:tblStyle w:val="12"/>
        <w:tblW w:w="8776" w:type="dxa"/>
        <w:tblInd w:w="0" w:type="dxa"/>
        <w:tblLayout w:type="fixed"/>
        <w:tblCellMar>
          <w:top w:w="0" w:type="dxa"/>
          <w:left w:w="108" w:type="dxa"/>
          <w:bottom w:w="0" w:type="dxa"/>
          <w:right w:w="108" w:type="dxa"/>
        </w:tblCellMar>
      </w:tblPr>
      <w:tblGrid>
        <w:gridCol w:w="1583"/>
        <w:gridCol w:w="515"/>
        <w:gridCol w:w="903"/>
        <w:gridCol w:w="900"/>
        <w:gridCol w:w="921"/>
        <w:gridCol w:w="900"/>
        <w:gridCol w:w="903"/>
        <w:gridCol w:w="900"/>
        <w:gridCol w:w="1251"/>
      </w:tblGrid>
      <w:tr w14:paraId="50A24353">
        <w:tblPrEx>
          <w:tblCellMar>
            <w:top w:w="0" w:type="dxa"/>
            <w:left w:w="108" w:type="dxa"/>
            <w:bottom w:w="0" w:type="dxa"/>
            <w:right w:w="108" w:type="dxa"/>
          </w:tblCellMar>
        </w:tblPrEx>
        <w:trPr>
          <w:trHeight w:val="1456"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399FE82">
            <w:pPr>
              <w:widowControl/>
              <w:jc w:val="center"/>
              <w:rPr>
                <w:rFonts w:hint="eastAsia" w:ascii="宋体" w:hAnsi="宋体" w:cs="宋体"/>
                <w:color w:val="auto"/>
                <w:sz w:val="15"/>
                <w:szCs w:val="15"/>
                <w:highlight w:val="none"/>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5EA0A3D">
            <w:pPr>
              <w:widowControl/>
              <w:jc w:val="center"/>
              <w:textAlignment w:val="center"/>
              <w:rPr>
                <w:rFonts w:hint="eastAsia"/>
                <w:color w:val="auto"/>
                <w:sz w:val="18"/>
                <w:szCs w:val="18"/>
                <w:highlight w:val="none"/>
              </w:rPr>
            </w:pPr>
            <w:r>
              <w:rPr>
                <w:rFonts w:hint="eastAsia"/>
                <w:color w:val="auto"/>
                <w:sz w:val="18"/>
                <w:szCs w:val="18"/>
                <w:highlight w:val="none"/>
              </w:rPr>
              <w:t>数量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6D3864A">
            <w:pPr>
              <w:widowControl/>
              <w:jc w:val="center"/>
              <w:textAlignment w:val="center"/>
              <w:rPr>
                <w:rFonts w:hint="eastAsia"/>
                <w:color w:val="auto"/>
                <w:sz w:val="18"/>
                <w:szCs w:val="18"/>
                <w:highlight w:val="none"/>
              </w:rPr>
            </w:pPr>
            <w:r>
              <w:rPr>
                <w:rFonts w:hint="eastAsia"/>
                <w:color w:val="auto"/>
                <w:sz w:val="18"/>
                <w:szCs w:val="18"/>
                <w:highlight w:val="none"/>
              </w:rPr>
              <w:t>施工准备阶段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CDCA38">
            <w:pPr>
              <w:widowControl/>
              <w:jc w:val="center"/>
              <w:textAlignment w:val="center"/>
              <w:rPr>
                <w:rFonts w:hint="eastAsia"/>
                <w:color w:val="auto"/>
                <w:sz w:val="18"/>
                <w:szCs w:val="18"/>
                <w:highlight w:val="none"/>
              </w:rPr>
            </w:pPr>
            <w:r>
              <w:rPr>
                <w:rFonts w:hint="eastAsia"/>
                <w:color w:val="auto"/>
                <w:sz w:val="18"/>
                <w:szCs w:val="18"/>
                <w:highlight w:val="none"/>
              </w:rPr>
              <w:t>±0.00以下</w:t>
            </w:r>
            <w:r>
              <w:rPr>
                <w:rFonts w:hint="eastAsia"/>
                <w:color w:val="auto"/>
                <w:sz w:val="18"/>
                <w:szCs w:val="18"/>
                <w:highlight w:val="none"/>
              </w:rPr>
              <w:br w:type="textWrapping"/>
            </w:r>
            <w:r>
              <w:rPr>
                <w:rFonts w:hint="eastAsia"/>
                <w:color w:val="auto"/>
                <w:sz w:val="18"/>
                <w:szCs w:val="18"/>
                <w:highlight w:val="none"/>
              </w:rPr>
              <w:t>阶段</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85B0A81">
            <w:pPr>
              <w:widowControl/>
              <w:jc w:val="center"/>
              <w:textAlignment w:val="top"/>
              <w:rPr>
                <w:rFonts w:hint="eastAsia"/>
                <w:color w:val="auto"/>
                <w:sz w:val="18"/>
                <w:szCs w:val="18"/>
                <w:highlight w:val="none"/>
              </w:rPr>
            </w:pPr>
            <w:r>
              <w:rPr>
                <w:rFonts w:hint="eastAsia"/>
                <w:color w:val="auto"/>
                <w:sz w:val="18"/>
                <w:szCs w:val="18"/>
                <w:highlight w:val="none"/>
              </w:rPr>
              <w:t>主体结构施</w:t>
            </w:r>
            <w:r>
              <w:rPr>
                <w:rFonts w:hint="eastAsia"/>
                <w:color w:val="auto"/>
                <w:sz w:val="18"/>
                <w:szCs w:val="18"/>
                <w:highlight w:val="none"/>
              </w:rPr>
              <w:br w:type="textWrapping"/>
            </w:r>
            <w:r>
              <w:rPr>
                <w:rFonts w:hint="eastAsia"/>
                <w:color w:val="auto"/>
                <w:sz w:val="18"/>
                <w:szCs w:val="18"/>
                <w:highlight w:val="none"/>
              </w:rPr>
              <w:t>工阶段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7917A9">
            <w:pPr>
              <w:widowControl/>
              <w:jc w:val="center"/>
              <w:textAlignment w:val="top"/>
              <w:rPr>
                <w:rFonts w:hint="eastAsia"/>
                <w:color w:val="auto"/>
                <w:sz w:val="18"/>
                <w:szCs w:val="18"/>
                <w:highlight w:val="none"/>
              </w:rPr>
            </w:pPr>
            <w:r>
              <w:rPr>
                <w:rFonts w:hint="eastAsia"/>
                <w:color w:val="auto"/>
                <w:sz w:val="18"/>
                <w:szCs w:val="18"/>
                <w:highlight w:val="none"/>
              </w:rPr>
              <w:t>机电安装和</w:t>
            </w:r>
            <w:r>
              <w:rPr>
                <w:rFonts w:hint="eastAsia"/>
                <w:color w:val="auto"/>
                <w:sz w:val="18"/>
                <w:szCs w:val="18"/>
                <w:highlight w:val="none"/>
              </w:rPr>
              <w:br w:type="textWrapping"/>
            </w:r>
            <w:r>
              <w:rPr>
                <w:rFonts w:hint="eastAsia"/>
                <w:color w:val="auto"/>
                <w:sz w:val="18"/>
                <w:szCs w:val="18"/>
                <w:highlight w:val="none"/>
              </w:rPr>
              <w:t>装修阶段</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FE811A3">
            <w:pPr>
              <w:widowControl/>
              <w:jc w:val="center"/>
              <w:textAlignment w:val="center"/>
              <w:rPr>
                <w:rFonts w:hint="eastAsia"/>
                <w:color w:val="auto"/>
                <w:sz w:val="18"/>
                <w:szCs w:val="18"/>
                <w:highlight w:val="none"/>
              </w:rPr>
            </w:pPr>
            <w:r>
              <w:rPr>
                <w:rFonts w:hint="eastAsia"/>
                <w:color w:val="auto"/>
                <w:sz w:val="18"/>
                <w:szCs w:val="18"/>
                <w:highlight w:val="none"/>
              </w:rPr>
              <w:t>工程收尾及</w:t>
            </w:r>
            <w:r>
              <w:rPr>
                <w:rFonts w:hint="eastAsia"/>
                <w:color w:val="auto"/>
                <w:sz w:val="18"/>
                <w:szCs w:val="18"/>
                <w:highlight w:val="none"/>
              </w:rPr>
              <w:br w:type="textWrapping"/>
            </w:r>
            <w:r>
              <w:rPr>
                <w:rFonts w:hint="eastAsia"/>
                <w:color w:val="auto"/>
                <w:sz w:val="18"/>
                <w:szCs w:val="18"/>
                <w:highlight w:val="none"/>
              </w:rPr>
              <w:t>验收阶段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FEA95F">
            <w:pPr>
              <w:widowControl/>
              <w:jc w:val="center"/>
              <w:textAlignment w:val="center"/>
              <w:rPr>
                <w:rFonts w:hint="eastAsia"/>
                <w:color w:val="auto"/>
                <w:sz w:val="18"/>
                <w:szCs w:val="18"/>
                <w:highlight w:val="none"/>
              </w:rPr>
            </w:pPr>
            <w:r>
              <w:rPr>
                <w:rFonts w:hint="eastAsia"/>
                <w:color w:val="auto"/>
                <w:sz w:val="18"/>
                <w:szCs w:val="18"/>
                <w:highlight w:val="none"/>
              </w:rPr>
              <w:t>维保及结算</w:t>
            </w:r>
            <w:r>
              <w:rPr>
                <w:rFonts w:hint="eastAsia"/>
                <w:color w:val="auto"/>
                <w:sz w:val="18"/>
                <w:szCs w:val="18"/>
                <w:highlight w:val="none"/>
              </w:rPr>
              <w:br w:type="textWrapping"/>
            </w:r>
            <w:r>
              <w:rPr>
                <w:rFonts w:hint="eastAsia"/>
                <w:color w:val="auto"/>
                <w:sz w:val="18"/>
                <w:szCs w:val="18"/>
                <w:highlight w:val="none"/>
              </w:rPr>
              <w:t>阶段</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401FF78">
            <w:pPr>
              <w:widowControl/>
              <w:jc w:val="center"/>
              <w:textAlignment w:val="center"/>
              <w:rPr>
                <w:rFonts w:hint="eastAsia"/>
                <w:color w:val="auto"/>
                <w:sz w:val="18"/>
                <w:szCs w:val="18"/>
                <w:highlight w:val="none"/>
              </w:rPr>
            </w:pPr>
            <w:r>
              <w:rPr>
                <w:rFonts w:hint="eastAsia"/>
                <w:color w:val="auto"/>
                <w:sz w:val="18"/>
                <w:szCs w:val="18"/>
                <w:highlight w:val="none"/>
              </w:rPr>
              <w:t>备注</w:t>
            </w:r>
          </w:p>
        </w:tc>
      </w:tr>
      <w:tr w14:paraId="3794305B">
        <w:tblPrEx>
          <w:tblCellMar>
            <w:top w:w="0" w:type="dxa"/>
            <w:left w:w="108" w:type="dxa"/>
            <w:bottom w:w="0" w:type="dxa"/>
            <w:right w:w="108" w:type="dxa"/>
          </w:tblCellMar>
        </w:tblPrEx>
        <w:trPr>
          <w:trHeight w:val="1096"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5490AE7">
            <w:pPr>
              <w:widowControl/>
              <w:jc w:val="center"/>
              <w:textAlignment w:val="center"/>
              <w:rPr>
                <w:rFonts w:hint="eastAsia"/>
                <w:color w:val="auto"/>
                <w:sz w:val="18"/>
                <w:szCs w:val="18"/>
                <w:highlight w:val="none"/>
              </w:rPr>
            </w:pPr>
            <w:r>
              <w:rPr>
                <w:rFonts w:hint="eastAsia"/>
                <w:color w:val="auto"/>
                <w:sz w:val="18"/>
                <w:szCs w:val="18"/>
                <w:highlight w:val="none"/>
              </w:rPr>
              <w:t>项目总协调人</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432DC1F4">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9C0D4E8">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D2DA53">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72EF62A">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E5C029">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084EA14">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C2509F">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5C50D38">
            <w:pPr>
              <w:widowControl/>
              <w:jc w:val="center"/>
              <w:textAlignment w:val="center"/>
              <w:rPr>
                <w:rFonts w:hint="eastAsia"/>
                <w:color w:val="auto"/>
                <w:sz w:val="18"/>
                <w:szCs w:val="18"/>
                <w:highlight w:val="none"/>
              </w:rPr>
            </w:pPr>
            <w:r>
              <w:rPr>
                <w:rFonts w:hint="eastAsia"/>
                <w:color w:val="auto"/>
                <w:sz w:val="18"/>
                <w:szCs w:val="18"/>
                <w:highlight w:val="none"/>
              </w:rPr>
              <w:t>甲方有驻场指令时驻现场</w:t>
            </w:r>
          </w:p>
        </w:tc>
      </w:tr>
      <w:tr w14:paraId="104B8068">
        <w:tblPrEx>
          <w:tblCellMar>
            <w:top w:w="0" w:type="dxa"/>
            <w:left w:w="108" w:type="dxa"/>
            <w:bottom w:w="0" w:type="dxa"/>
            <w:right w:w="108"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537676F">
            <w:pPr>
              <w:widowControl/>
              <w:jc w:val="center"/>
              <w:textAlignment w:val="center"/>
              <w:rPr>
                <w:rFonts w:hint="eastAsia"/>
                <w:color w:val="auto"/>
                <w:sz w:val="18"/>
                <w:szCs w:val="18"/>
                <w:highlight w:val="none"/>
              </w:rPr>
            </w:pPr>
            <w:r>
              <w:rPr>
                <w:rFonts w:hint="eastAsia"/>
                <w:color w:val="auto"/>
                <w:sz w:val="18"/>
                <w:szCs w:val="18"/>
                <w:highlight w:val="none"/>
              </w:rPr>
              <w:t>总监</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BA15F13">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C7C5E80">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AD2574">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D4CB3BE">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847477E">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715B686">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5626F7">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615DF19A">
            <w:pPr>
              <w:widowControl/>
              <w:jc w:val="center"/>
              <w:rPr>
                <w:rFonts w:hint="eastAsia"/>
                <w:color w:val="auto"/>
                <w:sz w:val="18"/>
                <w:szCs w:val="18"/>
                <w:highlight w:val="none"/>
              </w:rPr>
            </w:pPr>
          </w:p>
        </w:tc>
      </w:tr>
      <w:tr w14:paraId="26205524">
        <w:tblPrEx>
          <w:tblCellMar>
            <w:top w:w="0" w:type="dxa"/>
            <w:left w:w="108" w:type="dxa"/>
            <w:bottom w:w="0" w:type="dxa"/>
            <w:right w:w="108"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599C5DF">
            <w:pPr>
              <w:widowControl/>
              <w:jc w:val="center"/>
              <w:textAlignment w:val="center"/>
              <w:rPr>
                <w:rFonts w:hint="eastAsia"/>
                <w:color w:val="auto"/>
                <w:sz w:val="18"/>
                <w:szCs w:val="18"/>
                <w:highlight w:val="none"/>
              </w:rPr>
            </w:pPr>
            <w:r>
              <w:rPr>
                <w:rFonts w:hint="eastAsia"/>
                <w:color w:val="auto"/>
                <w:sz w:val="18"/>
                <w:szCs w:val="18"/>
                <w:highlight w:val="none"/>
              </w:rPr>
              <w:t>总监代表</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5A1C0981">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3F4ACA4">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C73A83F">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4D42D0D">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59F590">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8BD0130">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5591E5">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D2C92D3">
            <w:pPr>
              <w:widowControl/>
              <w:jc w:val="center"/>
              <w:rPr>
                <w:rFonts w:hint="eastAsia"/>
                <w:color w:val="auto"/>
                <w:sz w:val="18"/>
                <w:szCs w:val="18"/>
                <w:highlight w:val="none"/>
              </w:rPr>
            </w:pPr>
          </w:p>
        </w:tc>
      </w:tr>
      <w:tr w14:paraId="389C97C6">
        <w:tblPrEx>
          <w:tblCellMar>
            <w:top w:w="0" w:type="dxa"/>
            <w:left w:w="108" w:type="dxa"/>
            <w:bottom w:w="0" w:type="dxa"/>
            <w:right w:w="108"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5181145">
            <w:pPr>
              <w:widowControl/>
              <w:jc w:val="center"/>
              <w:textAlignment w:val="center"/>
              <w:rPr>
                <w:rFonts w:hint="eastAsia"/>
                <w:color w:val="auto"/>
                <w:sz w:val="18"/>
                <w:szCs w:val="18"/>
                <w:highlight w:val="none"/>
              </w:rPr>
            </w:pPr>
            <w:r>
              <w:rPr>
                <w:rFonts w:hint="eastAsia"/>
                <w:color w:val="auto"/>
                <w:sz w:val="18"/>
                <w:szCs w:val="18"/>
                <w:highlight w:val="none"/>
              </w:rPr>
              <w:t>土建监理工程师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3384A823">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1782294">
            <w:pPr>
              <w:widowControl/>
              <w:jc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4143B2">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9CF4D4D">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7DB704">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1A3E6980">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A88F9B">
            <w:pPr>
              <w:widowControl/>
              <w:jc w:val="center"/>
              <w:rPr>
                <w:rFonts w:hint="eastAsia"/>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4DD044A">
            <w:pPr>
              <w:widowControl/>
              <w:jc w:val="center"/>
              <w:rPr>
                <w:rFonts w:hint="eastAsia"/>
                <w:color w:val="auto"/>
                <w:sz w:val="18"/>
                <w:szCs w:val="18"/>
                <w:highlight w:val="none"/>
              </w:rPr>
            </w:pPr>
          </w:p>
        </w:tc>
      </w:tr>
      <w:tr w14:paraId="4801BA9F">
        <w:tblPrEx>
          <w:tblCellMar>
            <w:top w:w="0" w:type="dxa"/>
            <w:left w:w="108" w:type="dxa"/>
            <w:bottom w:w="0" w:type="dxa"/>
            <w:right w:w="108" w:type="dxa"/>
          </w:tblCellMar>
        </w:tblPrEx>
        <w:trPr>
          <w:trHeight w:val="410"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0A89043">
            <w:pPr>
              <w:widowControl/>
              <w:jc w:val="center"/>
              <w:textAlignment w:val="center"/>
              <w:rPr>
                <w:rFonts w:hint="eastAsia"/>
                <w:color w:val="auto"/>
                <w:sz w:val="18"/>
                <w:szCs w:val="18"/>
                <w:highlight w:val="none"/>
              </w:rPr>
            </w:pPr>
            <w:r>
              <w:rPr>
                <w:rFonts w:hint="eastAsia"/>
                <w:color w:val="auto"/>
                <w:sz w:val="18"/>
                <w:szCs w:val="18"/>
                <w:highlight w:val="none"/>
              </w:rPr>
              <w:t>机电专业工程师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7883BD75">
            <w:pPr>
              <w:widowControl/>
              <w:jc w:val="center"/>
              <w:textAlignment w:val="center"/>
              <w:rPr>
                <w:rFonts w:hint="eastAsia"/>
                <w:color w:val="auto"/>
                <w:sz w:val="18"/>
                <w:szCs w:val="18"/>
                <w:highlight w:val="none"/>
              </w:rPr>
            </w:pPr>
            <w:r>
              <w:rPr>
                <w:rFonts w:hint="eastAsia"/>
                <w:color w:val="auto"/>
                <w:sz w:val="18"/>
                <w:szCs w:val="18"/>
                <w:highlight w:val="none"/>
              </w:rPr>
              <w:t>3</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A037DDE">
            <w:pPr>
              <w:widowControl/>
              <w:jc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8F6AC5">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CB03C62">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9BFF00">
            <w:pPr>
              <w:widowControl/>
              <w:jc w:val="center"/>
              <w:textAlignment w:val="center"/>
              <w:rPr>
                <w:rFonts w:hint="eastAsia"/>
                <w:color w:val="auto"/>
                <w:sz w:val="18"/>
                <w:szCs w:val="18"/>
                <w:highlight w:val="none"/>
              </w:rPr>
            </w:pPr>
            <w:r>
              <w:rPr>
                <w:rFonts w:hint="eastAsia"/>
                <w:color w:val="auto"/>
                <w:sz w:val="18"/>
                <w:szCs w:val="18"/>
                <w:highlight w:val="none"/>
              </w:rPr>
              <w:t>3</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D05F5B4">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078FB0">
            <w:pPr>
              <w:widowControl/>
              <w:jc w:val="center"/>
              <w:rPr>
                <w:rFonts w:hint="eastAsia"/>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481B0CE">
            <w:pPr>
              <w:widowControl/>
              <w:jc w:val="center"/>
              <w:rPr>
                <w:rFonts w:hint="eastAsia"/>
                <w:color w:val="auto"/>
                <w:sz w:val="18"/>
                <w:szCs w:val="18"/>
                <w:highlight w:val="none"/>
              </w:rPr>
            </w:pPr>
          </w:p>
        </w:tc>
      </w:tr>
      <w:tr w14:paraId="268B6341">
        <w:tblPrEx>
          <w:tblCellMar>
            <w:top w:w="0" w:type="dxa"/>
            <w:left w:w="108" w:type="dxa"/>
            <w:bottom w:w="0" w:type="dxa"/>
            <w:right w:w="108" w:type="dxa"/>
          </w:tblCellMar>
        </w:tblPrEx>
        <w:trPr>
          <w:trHeight w:val="73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77FCABC">
            <w:pPr>
              <w:widowControl/>
              <w:jc w:val="center"/>
              <w:textAlignment w:val="center"/>
              <w:rPr>
                <w:rFonts w:hint="eastAsia"/>
                <w:color w:val="auto"/>
                <w:sz w:val="18"/>
                <w:szCs w:val="18"/>
                <w:highlight w:val="none"/>
              </w:rPr>
            </w:pPr>
            <w:r>
              <w:rPr>
                <w:rFonts w:hint="eastAsia"/>
                <w:color w:val="auto"/>
                <w:sz w:val="18"/>
                <w:szCs w:val="18"/>
                <w:highlight w:val="none"/>
              </w:rPr>
              <w:t>市政园林专业工程师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15D41149">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46965CB">
            <w:pPr>
              <w:widowControl/>
              <w:jc w:val="center"/>
              <w:rPr>
                <w:rFonts w:hint="eastAsia"/>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03D7C5">
            <w:pPr>
              <w:widowControl/>
              <w:jc w:val="center"/>
              <w:rPr>
                <w:rFonts w:hint="eastAsia"/>
                <w:color w:val="auto"/>
                <w:sz w:val="18"/>
                <w:szCs w:val="18"/>
                <w:highlight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ED1D1D2">
            <w:pPr>
              <w:widowControl/>
              <w:jc w:val="center"/>
              <w:rPr>
                <w:rFonts w:hint="eastAsia"/>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F307B9">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F738A1A">
            <w:pPr>
              <w:widowControl/>
              <w:jc w:val="center"/>
              <w:textAlignment w:val="center"/>
              <w:rPr>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2FDA92">
            <w:pPr>
              <w:widowControl/>
              <w:jc w:val="center"/>
              <w:rPr>
                <w:rFonts w:hint="eastAsia"/>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23B5A3AF">
            <w:pPr>
              <w:widowControl/>
              <w:jc w:val="center"/>
              <w:rPr>
                <w:rFonts w:hint="eastAsia"/>
                <w:color w:val="auto"/>
                <w:sz w:val="18"/>
                <w:szCs w:val="18"/>
                <w:highlight w:val="none"/>
              </w:rPr>
            </w:pPr>
          </w:p>
        </w:tc>
      </w:tr>
      <w:tr w14:paraId="1265B9F6">
        <w:tblPrEx>
          <w:tblCellMar>
            <w:top w:w="0" w:type="dxa"/>
            <w:left w:w="108" w:type="dxa"/>
            <w:bottom w:w="0" w:type="dxa"/>
            <w:right w:w="108" w:type="dxa"/>
          </w:tblCellMar>
        </w:tblPrEx>
        <w:trPr>
          <w:trHeight w:val="37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218CED7">
            <w:pPr>
              <w:widowControl/>
              <w:jc w:val="center"/>
              <w:textAlignment w:val="center"/>
              <w:rPr>
                <w:rFonts w:hint="eastAsia"/>
                <w:color w:val="auto"/>
                <w:sz w:val="18"/>
                <w:szCs w:val="18"/>
                <w:highlight w:val="none"/>
              </w:rPr>
            </w:pPr>
            <w:r>
              <w:rPr>
                <w:rFonts w:hint="eastAsia"/>
                <w:color w:val="auto"/>
                <w:sz w:val="18"/>
                <w:szCs w:val="18"/>
                <w:highlight w:val="none"/>
              </w:rPr>
              <w:t>安全工程师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57326DE3">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1B6DED9A">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EAD37C">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318FEA3D">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393EE0">
            <w:pPr>
              <w:widowControl/>
              <w:jc w:val="center"/>
              <w:textAlignment w:val="center"/>
              <w:rPr>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F7360B5">
            <w:pPr>
              <w:widowControl/>
              <w:jc w:val="center"/>
              <w:textAlignment w:val="center"/>
              <w:rPr>
                <w:rFonts w:hint="eastAsia"/>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AFD2FE">
            <w:pPr>
              <w:widowControl/>
              <w:jc w:val="center"/>
              <w:rPr>
                <w:rFonts w:hint="eastAsia"/>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CA72B55">
            <w:pPr>
              <w:widowControl/>
              <w:jc w:val="center"/>
              <w:rPr>
                <w:rFonts w:hint="eastAsia"/>
                <w:color w:val="auto"/>
                <w:sz w:val="18"/>
                <w:szCs w:val="18"/>
                <w:highlight w:val="none"/>
              </w:rPr>
            </w:pPr>
          </w:p>
        </w:tc>
      </w:tr>
      <w:tr w14:paraId="2C74C5D6">
        <w:tblPrEx>
          <w:tblCellMar>
            <w:top w:w="0" w:type="dxa"/>
            <w:left w:w="108" w:type="dxa"/>
            <w:bottom w:w="0" w:type="dxa"/>
            <w:right w:w="108" w:type="dxa"/>
          </w:tblCellMar>
        </w:tblPrEx>
        <w:trPr>
          <w:trHeight w:val="1096"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45DCDB6">
            <w:pPr>
              <w:widowControl/>
              <w:jc w:val="center"/>
              <w:textAlignment w:val="center"/>
              <w:rPr>
                <w:rFonts w:hint="eastAsia"/>
                <w:color w:val="auto"/>
                <w:sz w:val="18"/>
                <w:szCs w:val="18"/>
                <w:highlight w:val="none"/>
              </w:rPr>
            </w:pPr>
            <w:r>
              <w:rPr>
                <w:rFonts w:hint="eastAsia"/>
                <w:color w:val="auto"/>
                <w:sz w:val="18"/>
                <w:szCs w:val="18"/>
                <w:highlight w:val="none"/>
              </w:rPr>
              <w:t>造价工程师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3D5C189D">
            <w:pPr>
              <w:widowControl/>
              <w:jc w:val="center"/>
              <w:textAlignment w:val="center"/>
              <w:rPr>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BB6C84F">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1A48E3">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617C5DF2">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304A013">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427C4BB">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22DB63">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1383511">
            <w:pPr>
              <w:widowControl/>
              <w:jc w:val="center"/>
              <w:textAlignment w:val="center"/>
              <w:rPr>
                <w:rFonts w:hint="eastAsia"/>
                <w:color w:val="auto"/>
                <w:sz w:val="18"/>
                <w:szCs w:val="18"/>
                <w:highlight w:val="none"/>
              </w:rPr>
            </w:pPr>
            <w:r>
              <w:rPr>
                <w:rFonts w:hint="eastAsia"/>
                <w:color w:val="auto"/>
                <w:sz w:val="18"/>
                <w:szCs w:val="18"/>
                <w:highlight w:val="none"/>
              </w:rPr>
              <w:t>甲方有驻场指令时驻现场</w:t>
            </w:r>
          </w:p>
        </w:tc>
      </w:tr>
      <w:tr w14:paraId="338EBE87">
        <w:tblPrEx>
          <w:tblCellMar>
            <w:top w:w="0" w:type="dxa"/>
            <w:left w:w="108" w:type="dxa"/>
            <w:bottom w:w="0" w:type="dxa"/>
            <w:right w:w="108" w:type="dxa"/>
          </w:tblCellMar>
        </w:tblPrEx>
        <w:trPr>
          <w:trHeight w:val="1096"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A390C05">
            <w:pPr>
              <w:widowControl/>
              <w:jc w:val="center"/>
              <w:textAlignment w:val="center"/>
              <w:rPr>
                <w:rFonts w:hint="eastAsia"/>
                <w:color w:val="auto"/>
                <w:sz w:val="18"/>
                <w:szCs w:val="18"/>
                <w:highlight w:val="none"/>
              </w:rPr>
            </w:pPr>
            <w:r>
              <w:rPr>
                <w:rFonts w:hint="eastAsia"/>
                <w:color w:val="auto"/>
                <w:sz w:val="18"/>
                <w:szCs w:val="18"/>
                <w:highlight w:val="none"/>
              </w:rPr>
              <w:t>驻场土建造价工程师</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18D15F42">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98C6C93">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6745D0">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5191386">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3A9E93">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4C06F6F">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69D42DF">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0AFBFB28">
            <w:pPr>
              <w:widowControl/>
              <w:jc w:val="center"/>
              <w:textAlignment w:val="center"/>
              <w:rPr>
                <w:rFonts w:hint="eastAsia"/>
                <w:color w:val="auto"/>
                <w:sz w:val="18"/>
                <w:szCs w:val="18"/>
                <w:highlight w:val="none"/>
              </w:rPr>
            </w:pPr>
            <w:r>
              <w:rPr>
                <w:rFonts w:hint="eastAsia"/>
                <w:color w:val="auto"/>
                <w:sz w:val="18"/>
                <w:szCs w:val="18"/>
                <w:highlight w:val="none"/>
              </w:rPr>
              <w:t>在甲方指定地点办公，服从甲方安排和考勤</w:t>
            </w:r>
          </w:p>
        </w:tc>
      </w:tr>
      <w:tr w14:paraId="647FA22B">
        <w:tblPrEx>
          <w:tblCellMar>
            <w:top w:w="0" w:type="dxa"/>
            <w:left w:w="108" w:type="dxa"/>
            <w:bottom w:w="0" w:type="dxa"/>
            <w:right w:w="108" w:type="dxa"/>
          </w:tblCellMar>
        </w:tblPrEx>
        <w:trPr>
          <w:trHeight w:val="735"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F8B6779">
            <w:pPr>
              <w:widowControl/>
              <w:jc w:val="center"/>
              <w:textAlignment w:val="center"/>
              <w:rPr>
                <w:rFonts w:hint="eastAsia"/>
                <w:color w:val="auto"/>
                <w:sz w:val="18"/>
                <w:szCs w:val="18"/>
                <w:highlight w:val="none"/>
              </w:rPr>
            </w:pPr>
            <w:r>
              <w:rPr>
                <w:rFonts w:hint="eastAsia"/>
                <w:color w:val="auto"/>
                <w:sz w:val="18"/>
                <w:szCs w:val="18"/>
                <w:highlight w:val="none"/>
              </w:rPr>
              <w:t>智慧工地平台和图档资料管理员</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E4B7796">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38F39D66">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487A27">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3C3C560">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3BB9BF">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46D05C2">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7D7AAFB">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75EF5DED">
            <w:pPr>
              <w:widowControl/>
              <w:jc w:val="center"/>
              <w:rPr>
                <w:rFonts w:hint="eastAsia"/>
                <w:color w:val="auto"/>
                <w:sz w:val="18"/>
                <w:szCs w:val="18"/>
                <w:highlight w:val="none"/>
              </w:rPr>
            </w:pPr>
          </w:p>
        </w:tc>
      </w:tr>
      <w:tr w14:paraId="745339F2">
        <w:tblPrEx>
          <w:tblCellMar>
            <w:top w:w="0" w:type="dxa"/>
            <w:left w:w="108" w:type="dxa"/>
            <w:bottom w:w="0" w:type="dxa"/>
            <w:right w:w="108" w:type="dxa"/>
          </w:tblCellMar>
        </w:tblPrEx>
        <w:trPr>
          <w:trHeight w:val="464"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14F4C6B">
            <w:pPr>
              <w:widowControl/>
              <w:jc w:val="center"/>
              <w:textAlignment w:val="center"/>
              <w:rPr>
                <w:rFonts w:hint="eastAsia"/>
                <w:color w:val="auto"/>
                <w:sz w:val="18"/>
                <w:szCs w:val="18"/>
                <w:highlight w:val="none"/>
              </w:rPr>
            </w:pPr>
            <w:r>
              <w:rPr>
                <w:rFonts w:hint="eastAsia"/>
                <w:color w:val="auto"/>
                <w:sz w:val="18"/>
                <w:szCs w:val="18"/>
                <w:highlight w:val="none"/>
              </w:rPr>
              <w:t>监理员</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68C21907">
            <w:pPr>
              <w:widowControl/>
              <w:jc w:val="center"/>
              <w:textAlignment w:val="center"/>
              <w:rPr>
                <w:rFonts w:hint="eastAsia"/>
                <w:color w:val="auto"/>
                <w:sz w:val="18"/>
                <w:szCs w:val="18"/>
                <w:highlight w:val="none"/>
              </w:rPr>
            </w:pPr>
            <w:r>
              <w:rPr>
                <w:rFonts w:hint="eastAsia"/>
                <w:color w:val="auto"/>
                <w:sz w:val="18"/>
                <w:szCs w:val="18"/>
                <w:highlight w:val="none"/>
              </w:rPr>
              <w:t>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67FC5017">
            <w:pPr>
              <w:widowControl/>
              <w:jc w:val="center"/>
              <w:rPr>
                <w:rFonts w:hint="eastAsia"/>
                <w:color w:val="auto"/>
                <w:sz w:val="18"/>
                <w:szCs w:val="18"/>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26C9B12">
            <w:pPr>
              <w:widowControl/>
              <w:jc w:val="center"/>
              <w:textAlignment w:val="center"/>
              <w:rPr>
                <w:rFonts w:hint="eastAsia"/>
                <w:color w:val="auto"/>
                <w:sz w:val="18"/>
                <w:szCs w:val="18"/>
                <w:highlight w:val="none"/>
              </w:rPr>
            </w:pPr>
            <w:r>
              <w:rPr>
                <w:rFonts w:hint="eastAsia"/>
                <w:color w:val="auto"/>
                <w:sz w:val="18"/>
                <w:szCs w:val="18"/>
                <w:highlight w:val="none"/>
              </w:rPr>
              <w:t>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3C606155">
            <w:pPr>
              <w:widowControl/>
              <w:jc w:val="center"/>
              <w:textAlignment w:val="center"/>
              <w:rPr>
                <w:rFonts w:hint="eastAsia"/>
                <w:color w:val="auto"/>
                <w:sz w:val="18"/>
                <w:szCs w:val="18"/>
                <w:highlight w:val="none"/>
              </w:rPr>
            </w:pPr>
            <w:r>
              <w:rPr>
                <w:rFonts w:hint="eastAsia"/>
                <w:color w:val="auto"/>
                <w:sz w:val="18"/>
                <w:szCs w:val="18"/>
                <w:highlight w:val="none"/>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93A815">
            <w:pPr>
              <w:widowControl/>
              <w:jc w:val="center"/>
              <w:textAlignment w:val="center"/>
              <w:rPr>
                <w:rFonts w:hint="eastAsia"/>
                <w:color w:val="auto"/>
                <w:sz w:val="18"/>
                <w:szCs w:val="18"/>
                <w:highlight w:val="none"/>
              </w:rPr>
            </w:pPr>
            <w:r>
              <w:rPr>
                <w:rFonts w:hint="eastAsia"/>
                <w:color w:val="auto"/>
                <w:sz w:val="18"/>
                <w:szCs w:val="18"/>
                <w:highlight w:val="none"/>
              </w:rPr>
              <w:t>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7571EFB">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6162AA7">
            <w:pPr>
              <w:widowControl/>
              <w:jc w:val="center"/>
              <w:textAlignment w:val="center"/>
              <w:rPr>
                <w:rFonts w:hint="eastAsia"/>
                <w:color w:val="auto"/>
                <w:sz w:val="18"/>
                <w:szCs w:val="18"/>
                <w:highlight w:val="none"/>
              </w:rPr>
            </w:pPr>
            <w:r>
              <w:rPr>
                <w:rFonts w:hint="eastAsia"/>
                <w:color w:val="auto"/>
                <w:sz w:val="18"/>
                <w:szCs w:val="18"/>
                <w:highlight w:val="none"/>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470C134F">
            <w:pPr>
              <w:widowControl/>
              <w:jc w:val="center"/>
              <w:rPr>
                <w:rFonts w:hint="eastAsia"/>
                <w:color w:val="auto"/>
                <w:sz w:val="18"/>
                <w:szCs w:val="18"/>
                <w:highlight w:val="none"/>
              </w:rPr>
            </w:pPr>
          </w:p>
        </w:tc>
      </w:tr>
      <w:tr w14:paraId="2BA86C79">
        <w:tblPrEx>
          <w:tblCellMar>
            <w:top w:w="0" w:type="dxa"/>
            <w:left w:w="108" w:type="dxa"/>
            <w:bottom w:w="0" w:type="dxa"/>
            <w:right w:w="108" w:type="dxa"/>
          </w:tblCellMar>
        </w:tblPrEx>
        <w:trPr>
          <w:trHeight w:val="390" w:hRule="atLeast"/>
        </w:trPr>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9D38CEF">
            <w:pPr>
              <w:widowControl/>
              <w:jc w:val="center"/>
              <w:textAlignment w:val="center"/>
              <w:rPr>
                <w:rFonts w:hint="eastAsia"/>
                <w:color w:val="auto"/>
                <w:sz w:val="18"/>
                <w:szCs w:val="18"/>
                <w:highlight w:val="none"/>
              </w:rPr>
            </w:pPr>
            <w:r>
              <w:rPr>
                <w:rFonts w:hint="eastAsia"/>
                <w:color w:val="auto"/>
                <w:sz w:val="18"/>
                <w:szCs w:val="18"/>
                <w:highlight w:val="none"/>
              </w:rPr>
              <w:t>合计</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14:paraId="21AEC10D">
            <w:pPr>
              <w:widowControl/>
              <w:jc w:val="center"/>
              <w:textAlignment w:val="center"/>
              <w:rPr>
                <w:color w:val="auto"/>
                <w:sz w:val="18"/>
                <w:szCs w:val="18"/>
                <w:highlight w:val="none"/>
              </w:rPr>
            </w:pPr>
            <w:r>
              <w:rPr>
                <w:rFonts w:hint="eastAsia"/>
                <w:color w:val="auto"/>
                <w:sz w:val="18"/>
                <w:szCs w:val="18"/>
                <w:highlight w:val="none"/>
              </w:rPr>
              <w:t>20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0C3C6E8">
            <w:pPr>
              <w:widowControl/>
              <w:jc w:val="center"/>
              <w:textAlignment w:val="center"/>
              <w:rPr>
                <w:rFonts w:hint="eastAsia"/>
                <w:color w:val="auto"/>
                <w:sz w:val="18"/>
                <w:szCs w:val="18"/>
                <w:highlight w:val="none"/>
              </w:rPr>
            </w:pPr>
            <w:r>
              <w:rPr>
                <w:rFonts w:hint="eastAsia"/>
                <w:color w:val="auto"/>
                <w:sz w:val="18"/>
                <w:szCs w:val="18"/>
                <w:highlight w:val="none"/>
              </w:rPr>
              <w:t>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BF4FF1">
            <w:pPr>
              <w:widowControl/>
              <w:jc w:val="center"/>
              <w:textAlignment w:val="center"/>
              <w:rPr>
                <w:color w:val="auto"/>
                <w:sz w:val="18"/>
                <w:szCs w:val="18"/>
                <w:highlight w:val="none"/>
              </w:rPr>
            </w:pPr>
            <w:r>
              <w:rPr>
                <w:rFonts w:hint="eastAsia"/>
                <w:color w:val="auto"/>
                <w:sz w:val="18"/>
                <w:szCs w:val="18"/>
                <w:highlight w:val="none"/>
              </w:rPr>
              <w:t>12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0F890AE">
            <w:pPr>
              <w:widowControl/>
              <w:jc w:val="center"/>
              <w:textAlignment w:val="center"/>
              <w:rPr>
                <w:color w:val="auto"/>
                <w:sz w:val="18"/>
                <w:szCs w:val="18"/>
                <w:highlight w:val="none"/>
              </w:rPr>
            </w:pPr>
            <w:r>
              <w:rPr>
                <w:rFonts w:hint="eastAsia"/>
                <w:color w:val="auto"/>
                <w:sz w:val="18"/>
                <w:szCs w:val="18"/>
                <w:highlight w:val="none"/>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A891467">
            <w:pPr>
              <w:widowControl/>
              <w:jc w:val="center"/>
              <w:textAlignment w:val="center"/>
              <w:rPr>
                <w:color w:val="auto"/>
                <w:sz w:val="18"/>
                <w:szCs w:val="18"/>
                <w:highlight w:val="none"/>
              </w:rPr>
            </w:pPr>
            <w:r>
              <w:rPr>
                <w:rFonts w:hint="eastAsia"/>
                <w:color w:val="auto"/>
                <w:sz w:val="18"/>
                <w:szCs w:val="18"/>
                <w:highlight w:val="none"/>
              </w:rPr>
              <w:t>20</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75EB9231">
            <w:pPr>
              <w:widowControl/>
              <w:jc w:val="center"/>
              <w:textAlignment w:val="center"/>
              <w:rPr>
                <w:rFonts w:hint="eastAsia"/>
                <w:color w:val="auto"/>
                <w:sz w:val="18"/>
                <w:szCs w:val="18"/>
                <w:highlight w:val="none"/>
              </w:rPr>
            </w:pPr>
            <w:r>
              <w:rPr>
                <w:rFonts w:hint="eastAsia"/>
                <w:color w:val="auto"/>
                <w:sz w:val="18"/>
                <w:szCs w:val="18"/>
                <w:highlight w:val="none"/>
              </w:rPr>
              <w:t>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845DFD">
            <w:pPr>
              <w:widowControl/>
              <w:jc w:val="center"/>
              <w:textAlignment w:val="center"/>
              <w:rPr>
                <w:rFonts w:hint="eastAsia"/>
                <w:color w:val="auto"/>
                <w:sz w:val="18"/>
                <w:szCs w:val="18"/>
                <w:highlight w:val="none"/>
              </w:rPr>
            </w:pPr>
            <w:r>
              <w:rPr>
                <w:rFonts w:hint="eastAsia"/>
                <w:color w:val="auto"/>
                <w:sz w:val="18"/>
                <w:szCs w:val="18"/>
                <w:highlight w:val="none"/>
              </w:rPr>
              <w:t>8</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14:paraId="1838E5D0">
            <w:pPr>
              <w:widowControl/>
              <w:jc w:val="center"/>
              <w:rPr>
                <w:rFonts w:hint="eastAsia"/>
                <w:color w:val="auto"/>
                <w:sz w:val="18"/>
                <w:szCs w:val="18"/>
                <w:highlight w:val="none"/>
              </w:rPr>
            </w:pPr>
          </w:p>
        </w:tc>
      </w:tr>
    </w:tbl>
    <w:p w14:paraId="1C3CA5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（1）基础工程阶段:不少于12人。</w:t>
      </w:r>
    </w:p>
    <w:p w14:paraId="574803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snapToGrid w:val="0"/>
          <w:color w:val="auto"/>
          <w:spacing w:val="4"/>
          <w:kern w:val="0"/>
          <w:sz w:val="24"/>
          <w:highlight w:val="none"/>
        </w:rPr>
        <w:t>主体工程施工阶段（包括土建装饰、机电安装、室外等）</w:t>
      </w:r>
      <w:r>
        <w:rPr>
          <w:rFonts w:hint="eastAsia" w:ascii="宋体" w:hAnsi="宋体"/>
          <w:color w:val="auto"/>
          <w:sz w:val="24"/>
          <w:highlight w:val="none"/>
          <w:lang w:eastAsia="zh-CN"/>
        </w:rPr>
        <w:t>：</w:t>
      </w:r>
      <w:r>
        <w:rPr>
          <w:rFonts w:hint="eastAsia" w:ascii="宋体" w:hAnsi="宋体"/>
          <w:color w:val="auto"/>
          <w:sz w:val="24"/>
          <w:highlight w:val="none"/>
        </w:rPr>
        <w:t>不少于16人。</w:t>
      </w:r>
    </w:p>
    <w:p w14:paraId="2F6AAAF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（3）机电安装和装修阶段：不少于20人，详见《监理机构人员配备基本要求表》。</w:t>
      </w:r>
    </w:p>
    <w:p w14:paraId="525338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（4）工程收尾及验收阶段：按照现场工作需要应投入不少12人，且相关人员应与主体施工阶段的人员一致，以确保工作的延续性。</w:t>
      </w:r>
    </w:p>
    <w:p w14:paraId="721182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（5）维保及结算阶段：按照工作需要应投入不少8人，且相关人员应与主体施工阶段的人员一致，以确保工作的延续性。</w:t>
      </w:r>
    </w:p>
    <w:p w14:paraId="79CC882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bidi="ar"/>
        </w:rPr>
        <w:t>（三）投入项目的监理人员驻场及考勤要求</w:t>
      </w:r>
    </w:p>
    <w:p w14:paraId="46861A06">
      <w:pPr>
        <w:spacing w:line="360" w:lineRule="auto"/>
        <w:ind w:firstLine="570"/>
        <w:rPr>
          <w:rFonts w:hint="eastAsia" w:ascii="宋体" w:hAnsi="宋体" w:cs="宋体"/>
          <w:color w:val="auto"/>
          <w:sz w:val="24"/>
          <w:highlight w:val="none"/>
          <w:lang w:bidi="ar"/>
        </w:rPr>
      </w:pPr>
      <w:r>
        <w:rPr>
          <w:rFonts w:hint="eastAsia" w:ascii="宋体" w:hAnsi="宋体" w:cs="宋体"/>
          <w:color w:val="auto"/>
          <w:sz w:val="24"/>
          <w:highlight w:val="none"/>
          <w:lang w:bidi="ar"/>
        </w:rPr>
        <w:t>项目监理人员均需驻场办公。项目总监、总监代表、安全工程师、1名土建监理工程师、1名机电监理工程师、1名资料管理员等人员在工程建设期间要求全程驻场，其余监理人员在经甲方同意的前提下可根据工程进度情况分阶段驻场。</w:t>
      </w:r>
      <w:r>
        <w:rPr>
          <w:rFonts w:hint="eastAsia" w:ascii="宋体" w:hAnsi="宋体" w:cs="宋体"/>
          <w:color w:val="auto"/>
          <w:spacing w:val="4"/>
          <w:kern w:val="0"/>
          <w:sz w:val="24"/>
          <w:szCs w:val="24"/>
          <w:highlight w:val="none"/>
          <w:lang w:bidi="ar"/>
        </w:rPr>
        <w:t>考勤要求依据合同、招投标文件以及广州市重点公共建设项目管理中心制度规定为准。</w:t>
      </w:r>
    </w:p>
    <w:bookmarkEnd w:id="438"/>
    <w:bookmarkEnd w:id="439"/>
    <w:p w14:paraId="2E9320CB">
      <w:pPr>
        <w:widowControl/>
        <w:spacing w:line="360" w:lineRule="auto"/>
        <w:ind w:firstLine="482" w:firstLineChars="200"/>
        <w:outlineLvl w:val="1"/>
        <w:rPr>
          <w:rFonts w:ascii="Arial" w:hAnsi="Arial" w:eastAsia="黑体" w:cs="黑体"/>
          <w:b/>
          <w:bCs/>
          <w:color w:val="auto"/>
          <w:kern w:val="0"/>
          <w:sz w:val="30"/>
          <w:szCs w:val="30"/>
          <w:highlight w:val="none"/>
        </w:rPr>
      </w:pPr>
      <w:r>
        <w:rPr>
          <w:rFonts w:hint="eastAsia" w:ascii="Times New Roman" w:hAnsi="Times New Roman" w:eastAsia="黑体"/>
          <w:b/>
          <w:bCs/>
          <w:color w:val="auto"/>
          <w:kern w:val="0"/>
          <w:sz w:val="24"/>
          <w:szCs w:val="24"/>
          <w:highlight w:val="none"/>
        </w:rPr>
        <w:t>八</w:t>
      </w:r>
      <w:r>
        <w:rPr>
          <w:rFonts w:ascii="Times New Roman" w:hAnsi="Times New Roman" w:eastAsia="黑体"/>
          <w:b/>
          <w:bCs/>
          <w:color w:val="auto"/>
          <w:kern w:val="0"/>
          <w:sz w:val="24"/>
          <w:szCs w:val="24"/>
          <w:highlight w:val="none"/>
          <w:lang w:eastAsia="zh-Hans"/>
        </w:rPr>
        <w:t>、</w:t>
      </w:r>
      <w:r>
        <w:rPr>
          <w:rFonts w:hint="eastAsia" w:ascii="Times New Roman" w:hAnsi="Times New Roman" w:eastAsia="黑体"/>
          <w:b/>
          <w:bCs/>
          <w:color w:val="auto"/>
          <w:kern w:val="0"/>
          <w:sz w:val="24"/>
          <w:szCs w:val="24"/>
          <w:highlight w:val="none"/>
          <w:lang w:eastAsia="zh-Hans"/>
        </w:rPr>
        <w:t>其它</w:t>
      </w:r>
      <w:r>
        <w:rPr>
          <w:rFonts w:ascii="Times New Roman" w:hAnsi="Times New Roman" w:eastAsia="黑体"/>
          <w:b/>
          <w:bCs/>
          <w:color w:val="auto"/>
          <w:kern w:val="0"/>
          <w:sz w:val="24"/>
          <w:szCs w:val="24"/>
          <w:highlight w:val="none"/>
          <w:lang w:eastAsia="zh-Hans"/>
        </w:rPr>
        <w:t>管理要求</w:t>
      </w:r>
    </w:p>
    <w:p w14:paraId="04974781">
      <w:pPr>
        <w:widowControl/>
        <w:topLinePunct/>
        <w:adjustRightInd w:val="0"/>
        <w:snapToGrid w:val="0"/>
        <w:spacing w:line="360" w:lineRule="auto"/>
        <w:ind w:left="124" w:leftChars="59" w:firstLine="498" w:firstLineChars="200"/>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（一）工程实施总体要求</w:t>
      </w:r>
    </w:p>
    <w:p w14:paraId="5B3CF7E2">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本工程在实施过程中必须采取有效措施，制定切实可行监理大纲、监理实施细则，实现工程的进度、投资、质量、安全、环境管理目标。</w:t>
      </w:r>
    </w:p>
    <w:p w14:paraId="2B2F5A57">
      <w:pPr>
        <w:widowControl/>
        <w:topLinePunct/>
        <w:adjustRightInd w:val="0"/>
        <w:snapToGrid w:val="0"/>
        <w:spacing w:line="360" w:lineRule="auto"/>
        <w:ind w:left="124" w:leftChars="59" w:firstLine="498" w:firstLineChars="200"/>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（二）专业工程实施能力要求</w:t>
      </w:r>
    </w:p>
    <w:p w14:paraId="3E73378C">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本次招标建设内容专业性较强，中标人应具备完成本项目专业工程的监理能力。根据国家、住房和城乡建设部和省市相关规定并按照《广州市重点公共建设项目管理中心建设工程合同依法分包操作细则》要求，监理单位要严格监督施工单位不得分包主体、关键性的工作；对于非主体的工程、非关键性的工作，施工单位严格审核分包申请，并做好分包单位的监理管理。</w:t>
      </w:r>
    </w:p>
    <w:p w14:paraId="42605607">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s="宋体"/>
          <w:color w:val="auto"/>
          <w:spacing w:val="4"/>
          <w:kern w:val="0"/>
          <w:sz w:val="24"/>
          <w:szCs w:val="24"/>
          <w:highlight w:val="none"/>
        </w:rPr>
        <w:t>2、中标人应具备审核相应的专业工程深化设计能力，做好</w:t>
      </w:r>
      <w:r>
        <w:rPr>
          <w:rFonts w:hint="eastAsia" w:ascii="Times New Roman" w:hAnsi="Times New Roman"/>
          <w:color w:val="auto"/>
          <w:spacing w:val="4"/>
          <w:kern w:val="0"/>
          <w:sz w:val="24"/>
          <w:szCs w:val="24"/>
          <w:highlight w:val="none"/>
        </w:rPr>
        <w:t>发包人招标范围内必须进行深化设计的专业工程的审核，并提出合理化建议。</w:t>
      </w:r>
    </w:p>
    <w:p w14:paraId="6BDAE602">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3、按《建设项目创安全文明施工样板工地细则》的要求，在开工前督促施工单位制定《创优工地实施方案》，并报审。</w:t>
      </w:r>
    </w:p>
    <w:p w14:paraId="3C3BA2E1">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4、按要求督促施工单位编制并审核各项施工方案（包括：材料设备看样定板、样板引路、材料采购、加工制作、运输、存放、安装、检测、计划，确保工期目标实现等内容），并报审。</w:t>
      </w:r>
    </w:p>
    <w:p w14:paraId="7B6F3E28">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5、严格按图施工，承包人必须严格督促施工单位按审查批准的施工方案和设计图纸施工，不得擅自修改施工方案及设计图纸。</w:t>
      </w:r>
    </w:p>
    <w:p w14:paraId="466FD482">
      <w:pPr>
        <w:widowControl/>
        <w:topLinePunct/>
        <w:adjustRightInd w:val="0"/>
        <w:snapToGrid w:val="0"/>
        <w:spacing w:line="360" w:lineRule="auto"/>
        <w:ind w:left="124" w:leftChars="59"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6、为有效开展监理工作，监理单位必须在现场配备传真机、电脑等必要的办公设备，并配备自用的交通车辆，以保障及时有效的进行文件资料传递、开展会议等工作。</w:t>
      </w:r>
    </w:p>
    <w:p w14:paraId="4DED48DC">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、监理单位拟投入本项目的试验检测设备要求表</w:t>
      </w:r>
    </w:p>
    <w:p w14:paraId="495D345A">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监理单位拟投入本项目的试验检测设备要求表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52"/>
        <w:gridCol w:w="2869"/>
      </w:tblGrid>
      <w:tr w14:paraId="36F0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B21E30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81B341F">
            <w:pPr>
              <w:spacing w:line="360" w:lineRule="auto"/>
              <w:ind w:firstLine="424" w:firstLineChars="17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投入本项目的试验检测设备名称</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4CC7D4C3">
            <w:pPr>
              <w:spacing w:line="360" w:lineRule="auto"/>
              <w:ind w:firstLine="424" w:firstLineChars="176"/>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r>
      <w:tr w14:paraId="0541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30C7A985">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77C7BDA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水准仪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5C247A4B">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3580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215CAD26">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50AD84E">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经纬仪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F91235E">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549B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157EEBB7">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5170CBB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5米钢卷尺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1710BE1A">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3个</w:t>
            </w:r>
          </w:p>
        </w:tc>
      </w:tr>
      <w:tr w14:paraId="35E0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4FBF6550">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5E0C780F">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激光垂准仪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4496CD3D">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3DEC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8709FC0">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210111D">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混凝土回弹仪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63EE42C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14:paraId="1739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127CE26">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020DEA5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建筑工程检测尺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30DDC073">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143B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5AFE9958">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2FE74961">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焊接检测尺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190F64D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2FFC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7D51A337">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79E921DD">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读数显微镜</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20DAFA46">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1B4B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6482AFD">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75DBBE29">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涂层测厚仪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15E4A937">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2CDD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6F5B3A49">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335CE6D4">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游标卡尺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233DCEED">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6393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14:paraId="07085756">
            <w:pPr>
              <w:spacing w:line="360" w:lineRule="auto"/>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14:paraId="4A2B4860">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扭矩扳手</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14:paraId="27D4A3A5">
            <w:pPr>
              <w:spacing w:line="360" w:lineRule="auto"/>
              <w:ind w:firstLine="422" w:firstLineChars="17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bl>
    <w:p w14:paraId="10E3E0E0">
      <w:pPr>
        <w:widowControl/>
        <w:tabs>
          <w:tab w:val="left" w:pos="8310"/>
        </w:tabs>
        <w:spacing w:line="360" w:lineRule="auto"/>
        <w:ind w:firstLine="240" w:firstLineChars="100"/>
        <w:jc w:val="left"/>
        <w:outlineLvl w:val="2"/>
        <w:rPr>
          <w:rFonts w:hint="eastAsia" w:ascii="宋体" w:hAnsi="宋体" w:eastAsia="宋体" w:cs="宋体"/>
          <w:color w:val="auto"/>
          <w:spacing w:val="4"/>
          <w:kern w:val="0"/>
          <w:sz w:val="24"/>
          <w:szCs w:val="24"/>
          <w:highlight w:val="none"/>
        </w:rPr>
      </w:pPr>
      <w:r>
        <w:rPr>
          <w:rFonts w:hint="eastAsia" w:ascii="宋体" w:hAnsi="宋体" w:eastAsia="宋体" w:cs="宋体"/>
          <w:color w:val="auto"/>
          <w:sz w:val="24"/>
          <w:szCs w:val="24"/>
          <w:highlight w:val="none"/>
        </w:rPr>
        <w:t>注：上表中为投入本项目的试验检测设备的最低要求。</w:t>
      </w:r>
    </w:p>
    <w:p w14:paraId="1D04DDEE">
      <w:pPr>
        <w:ind w:firstLine="480" w:firstLineChars="200"/>
        <w:rPr>
          <w:rFonts w:hint="eastAsia" w:ascii="宋体" w:hAnsi="宋体" w:eastAsia="宋体" w:cs="宋体"/>
          <w:color w:val="auto"/>
          <w:sz w:val="24"/>
          <w:szCs w:val="24"/>
          <w:highlight w:val="none"/>
          <w:lang w:bidi="ar"/>
        </w:rPr>
      </w:pPr>
    </w:p>
    <w:p w14:paraId="38B0AF11">
      <w:pPr>
        <w:topLinePunct/>
        <w:adjustRightInd w:val="0"/>
        <w:snapToGrid w:val="0"/>
        <w:spacing w:line="360" w:lineRule="auto"/>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 </w:t>
      </w:r>
    </w:p>
    <w:bookmarkEnd w:id="412"/>
    <w:bookmarkEnd w:id="413"/>
    <w:bookmarkEnd w:id="414"/>
    <w:bookmarkEnd w:id="415"/>
    <w:p w14:paraId="40EAB27B">
      <w:pPr>
        <w:ind w:firstLine="420" w:firstLineChars="200"/>
        <w:rPr>
          <w:rFonts w:ascii="Times New Roman" w:hAnsi="Times New Roman"/>
          <w:color w:val="auto"/>
          <w:highlight w:val="none"/>
        </w:rPr>
      </w:pPr>
      <w:r>
        <w:rPr>
          <w:rFonts w:ascii="Times New Roman" w:hAnsi="Times New Roman"/>
          <w:color w:val="auto"/>
          <w:highlight w:val="none"/>
        </w:rPr>
        <w:br w:type="page"/>
      </w:r>
    </w:p>
    <w:p w14:paraId="34F1F27A">
      <w:pPr>
        <w:jc w:val="center"/>
        <w:outlineLvl w:val="0"/>
        <w:rPr>
          <w:b/>
          <w:color w:val="auto"/>
          <w:highlight w:val="none"/>
        </w:rPr>
      </w:pPr>
      <w:bookmarkStart w:id="441" w:name="_Toc23009"/>
      <w:r>
        <w:rPr>
          <w:rFonts w:hint="eastAsia"/>
          <w:b/>
          <w:color w:val="auto"/>
          <w:sz w:val="44"/>
          <w:highlight w:val="none"/>
        </w:rPr>
        <w:t>第三卷</w:t>
      </w:r>
      <w:bookmarkEnd w:id="441"/>
    </w:p>
    <w:p w14:paraId="3B1DEB51">
      <w:pPr>
        <w:spacing w:before="340" w:after="330"/>
        <w:jc w:val="center"/>
        <w:outlineLvl w:val="0"/>
        <w:rPr>
          <w:rFonts w:ascii="宋体" w:hAnsi="宋体"/>
          <w:b/>
          <w:color w:val="auto"/>
          <w:kern w:val="44"/>
          <w:sz w:val="44"/>
          <w:szCs w:val="20"/>
          <w:highlight w:val="none"/>
        </w:rPr>
      </w:pPr>
      <w:bookmarkStart w:id="442" w:name="_Toc26401"/>
      <w:r>
        <w:rPr>
          <w:rFonts w:hint="eastAsia" w:ascii="宋体" w:hAnsi="宋体"/>
          <w:b/>
          <w:color w:val="auto"/>
          <w:kern w:val="44"/>
          <w:sz w:val="44"/>
          <w:szCs w:val="20"/>
          <w:highlight w:val="none"/>
        </w:rPr>
        <w:t>第六章 投标文件格式</w:t>
      </w:r>
      <w:bookmarkEnd w:id="442"/>
    </w:p>
    <w:p w14:paraId="0ACB2C6C">
      <w:pPr>
        <w:spacing w:line="400" w:lineRule="exact"/>
        <w:rPr>
          <w:rFonts w:ascii="宋体" w:hAnsi="宋体"/>
          <w:color w:val="auto"/>
          <w:highlight w:val="none"/>
        </w:rPr>
      </w:pPr>
    </w:p>
    <w:p w14:paraId="01FCE2F1">
      <w:pPr>
        <w:spacing w:line="400" w:lineRule="exact"/>
        <w:rPr>
          <w:rFonts w:ascii="宋体" w:hAnsi="宋体"/>
          <w:color w:val="auto"/>
          <w:highlight w:val="none"/>
        </w:rPr>
      </w:pPr>
    </w:p>
    <w:p w14:paraId="3AB260EC">
      <w:pPr>
        <w:spacing w:line="400" w:lineRule="exact"/>
        <w:rPr>
          <w:rFonts w:ascii="宋体" w:hAnsi="宋体"/>
          <w:color w:val="auto"/>
          <w:highlight w:val="none"/>
        </w:rPr>
      </w:pPr>
    </w:p>
    <w:p w14:paraId="50855211">
      <w:pPr>
        <w:spacing w:line="400" w:lineRule="exact"/>
        <w:rPr>
          <w:rFonts w:ascii="宋体" w:hAnsi="宋体"/>
          <w:color w:val="auto"/>
          <w:highlight w:val="none"/>
        </w:rPr>
      </w:pPr>
    </w:p>
    <w:p w14:paraId="72F09683">
      <w:pPr>
        <w:spacing w:line="400" w:lineRule="exact"/>
        <w:rPr>
          <w:rFonts w:ascii="宋体" w:hAnsi="宋体"/>
          <w:color w:val="auto"/>
          <w:highlight w:val="none"/>
        </w:rPr>
      </w:pPr>
    </w:p>
    <w:p w14:paraId="5A89A98A">
      <w:pPr>
        <w:spacing w:line="400" w:lineRule="exact"/>
        <w:rPr>
          <w:rFonts w:ascii="宋体" w:hAnsi="宋体"/>
          <w:color w:val="auto"/>
          <w:highlight w:val="none"/>
        </w:rPr>
      </w:pPr>
    </w:p>
    <w:p w14:paraId="2F554FE1">
      <w:pPr>
        <w:spacing w:line="400" w:lineRule="exact"/>
        <w:rPr>
          <w:rFonts w:ascii="宋体" w:hAnsi="宋体"/>
          <w:color w:val="auto"/>
          <w:highlight w:val="none"/>
        </w:rPr>
      </w:pPr>
    </w:p>
    <w:p w14:paraId="0121CEFB">
      <w:pPr>
        <w:spacing w:line="400" w:lineRule="exact"/>
        <w:rPr>
          <w:rFonts w:ascii="宋体" w:hAnsi="宋体"/>
          <w:color w:val="auto"/>
          <w:highlight w:val="none"/>
        </w:rPr>
      </w:pPr>
    </w:p>
    <w:p w14:paraId="61FF0447">
      <w:pPr>
        <w:spacing w:line="400" w:lineRule="exact"/>
        <w:rPr>
          <w:rFonts w:ascii="宋体" w:hAnsi="宋体"/>
          <w:color w:val="auto"/>
          <w:highlight w:val="none"/>
        </w:rPr>
      </w:pPr>
    </w:p>
    <w:p w14:paraId="62BCF85D">
      <w:pPr>
        <w:spacing w:line="400" w:lineRule="exact"/>
        <w:rPr>
          <w:rFonts w:ascii="宋体" w:hAnsi="宋体"/>
          <w:color w:val="auto"/>
          <w:highlight w:val="none"/>
        </w:rPr>
      </w:pPr>
    </w:p>
    <w:p w14:paraId="0A70C73E">
      <w:pPr>
        <w:spacing w:line="400" w:lineRule="exact"/>
        <w:rPr>
          <w:rFonts w:ascii="宋体" w:hAnsi="宋体"/>
          <w:color w:val="auto"/>
          <w:highlight w:val="none"/>
        </w:rPr>
      </w:pPr>
    </w:p>
    <w:p w14:paraId="027457B6">
      <w:pPr>
        <w:spacing w:line="400" w:lineRule="exact"/>
        <w:rPr>
          <w:rFonts w:ascii="宋体" w:hAnsi="宋体"/>
          <w:color w:val="auto"/>
          <w:highlight w:val="none"/>
        </w:rPr>
      </w:pPr>
    </w:p>
    <w:p w14:paraId="48EFB305">
      <w:pPr>
        <w:spacing w:line="400" w:lineRule="exact"/>
        <w:rPr>
          <w:rFonts w:ascii="宋体" w:hAnsi="宋体"/>
          <w:color w:val="auto"/>
          <w:highlight w:val="none"/>
        </w:rPr>
      </w:pPr>
    </w:p>
    <w:p w14:paraId="262AA861">
      <w:pPr>
        <w:spacing w:line="400" w:lineRule="exact"/>
        <w:rPr>
          <w:rFonts w:ascii="宋体" w:hAnsi="宋体"/>
          <w:color w:val="auto"/>
          <w:highlight w:val="none"/>
        </w:rPr>
      </w:pPr>
    </w:p>
    <w:p w14:paraId="5FFD0BAA">
      <w:pPr>
        <w:spacing w:line="400" w:lineRule="exact"/>
        <w:rPr>
          <w:rFonts w:ascii="宋体" w:hAnsi="宋体"/>
          <w:color w:val="auto"/>
          <w:highlight w:val="none"/>
        </w:rPr>
      </w:pPr>
    </w:p>
    <w:p w14:paraId="32F6E5D6">
      <w:pPr>
        <w:spacing w:line="400" w:lineRule="exact"/>
        <w:rPr>
          <w:rFonts w:ascii="宋体" w:hAnsi="宋体"/>
          <w:color w:val="auto"/>
          <w:highlight w:val="none"/>
        </w:rPr>
      </w:pPr>
    </w:p>
    <w:p w14:paraId="48F70AF9">
      <w:pPr>
        <w:spacing w:line="400" w:lineRule="exact"/>
        <w:rPr>
          <w:rFonts w:ascii="宋体" w:hAnsi="宋体"/>
          <w:color w:val="auto"/>
          <w:highlight w:val="none"/>
        </w:rPr>
      </w:pPr>
    </w:p>
    <w:p w14:paraId="3F309BFF">
      <w:pPr>
        <w:jc w:val="center"/>
        <w:rPr>
          <w:rFonts w:ascii="宋体" w:hAnsi="宋体"/>
          <w:color w:val="auto"/>
          <w:sz w:val="28"/>
          <w:szCs w:val="28"/>
          <w:highlight w:val="none"/>
          <w:u w:val="single"/>
        </w:rPr>
      </w:pPr>
      <w:r>
        <w:rPr>
          <w:rFonts w:hint="eastAsia" w:ascii="宋体" w:hAnsi="宋体"/>
          <w:color w:val="auto"/>
          <w:sz w:val="28"/>
          <w:szCs w:val="28"/>
          <w:highlight w:val="none"/>
          <w:u w:val="single"/>
        </w:rPr>
        <w:br w:type="page"/>
      </w:r>
    </w:p>
    <w:p w14:paraId="64B5F0A4">
      <w:pPr>
        <w:jc w:val="center"/>
        <w:rPr>
          <w:rFonts w:hint="eastAsia" w:ascii="宋体" w:hAnsi="宋体"/>
          <w:b/>
          <w:color w:val="auto"/>
          <w:sz w:val="32"/>
          <w:szCs w:val="28"/>
          <w:highlight w:val="none"/>
          <w:u w:val="single"/>
        </w:rPr>
      </w:pPr>
    </w:p>
    <w:p w14:paraId="02A33488">
      <w:pPr>
        <w:jc w:val="center"/>
        <w:rPr>
          <w:rFonts w:hint="eastAsia" w:ascii="宋体" w:hAnsi="宋体"/>
          <w:b/>
          <w:color w:val="auto"/>
          <w:sz w:val="32"/>
          <w:szCs w:val="28"/>
          <w:highlight w:val="none"/>
          <w:u w:val="single"/>
        </w:rPr>
      </w:pPr>
    </w:p>
    <w:p w14:paraId="2F85657B">
      <w:pPr>
        <w:jc w:val="center"/>
        <w:rPr>
          <w:rFonts w:ascii="宋体" w:hAnsi="宋体"/>
          <w:b/>
          <w:color w:val="auto"/>
          <w:sz w:val="24"/>
          <w:szCs w:val="28"/>
          <w:highlight w:val="none"/>
          <w:u w:val="single"/>
        </w:rPr>
      </w:pPr>
      <w:r>
        <w:rPr>
          <w:rFonts w:hint="eastAsia" w:ascii="宋体" w:hAnsi="宋体"/>
          <w:b/>
          <w:color w:val="auto"/>
          <w:sz w:val="32"/>
          <w:szCs w:val="28"/>
          <w:highlight w:val="none"/>
          <w:u w:val="single"/>
          <w:lang w:eastAsia="zh-CN"/>
        </w:rPr>
        <w:t>华南理工大学大学城校区研究生宿舍（二期）施工监理</w:t>
      </w:r>
    </w:p>
    <w:p w14:paraId="56DCF48E">
      <w:pPr>
        <w:jc w:val="center"/>
        <w:rPr>
          <w:rFonts w:ascii="宋体" w:hAnsi="宋体"/>
          <w:color w:val="auto"/>
          <w:sz w:val="20"/>
          <w:highlight w:val="none"/>
        </w:rPr>
      </w:pPr>
    </w:p>
    <w:p w14:paraId="6A2D3781">
      <w:pPr>
        <w:ind w:firstLine="3220" w:firstLineChars="1150"/>
        <w:jc w:val="center"/>
        <w:rPr>
          <w:rFonts w:hint="eastAsia" w:ascii="宋体" w:hAnsi="宋体"/>
          <w:color w:val="auto"/>
          <w:sz w:val="28"/>
          <w:szCs w:val="28"/>
          <w:highlight w:val="none"/>
        </w:rPr>
      </w:pPr>
    </w:p>
    <w:p w14:paraId="6A7312BB">
      <w:pPr>
        <w:ind w:firstLine="0" w:firstLineChars="0"/>
        <w:jc w:val="center"/>
        <w:rPr>
          <w:rFonts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eastAsia="zh-CN"/>
        </w:rPr>
        <w:t>）</w:t>
      </w:r>
    </w:p>
    <w:p w14:paraId="595CEDD7">
      <w:pPr>
        <w:rPr>
          <w:rFonts w:ascii="宋体" w:hAnsi="宋体"/>
          <w:color w:val="auto"/>
          <w:sz w:val="20"/>
          <w:highlight w:val="none"/>
        </w:rPr>
      </w:pPr>
    </w:p>
    <w:p w14:paraId="40690ABB">
      <w:pPr>
        <w:rPr>
          <w:rFonts w:ascii="宋体" w:hAnsi="宋体"/>
          <w:color w:val="auto"/>
          <w:sz w:val="20"/>
          <w:highlight w:val="none"/>
        </w:rPr>
      </w:pPr>
    </w:p>
    <w:p w14:paraId="0BD6E967">
      <w:pPr>
        <w:rPr>
          <w:rFonts w:ascii="宋体" w:hAnsi="宋体"/>
          <w:color w:val="auto"/>
          <w:sz w:val="20"/>
          <w:highlight w:val="none"/>
        </w:rPr>
      </w:pPr>
    </w:p>
    <w:p w14:paraId="67E8CDEA">
      <w:pPr>
        <w:rPr>
          <w:rFonts w:ascii="宋体" w:hAnsi="宋体"/>
          <w:color w:val="auto"/>
          <w:sz w:val="20"/>
          <w:highlight w:val="none"/>
        </w:rPr>
      </w:pPr>
    </w:p>
    <w:p w14:paraId="1B2AF8D2">
      <w:pPr>
        <w:rPr>
          <w:rFonts w:ascii="宋体" w:hAnsi="宋体"/>
          <w:color w:val="auto"/>
          <w:sz w:val="20"/>
          <w:highlight w:val="none"/>
        </w:rPr>
      </w:pPr>
    </w:p>
    <w:p w14:paraId="2152F2E8">
      <w:pPr>
        <w:rPr>
          <w:rFonts w:ascii="宋体" w:hAnsi="宋体"/>
          <w:color w:val="auto"/>
          <w:sz w:val="20"/>
          <w:highlight w:val="none"/>
        </w:rPr>
      </w:pPr>
    </w:p>
    <w:p w14:paraId="604B0818">
      <w:pPr>
        <w:rPr>
          <w:rFonts w:ascii="宋体" w:hAnsi="宋体"/>
          <w:color w:val="auto"/>
          <w:sz w:val="20"/>
          <w:highlight w:val="none"/>
        </w:rPr>
      </w:pPr>
    </w:p>
    <w:p w14:paraId="0845978F">
      <w:pPr>
        <w:jc w:val="center"/>
        <w:rPr>
          <w:rFonts w:ascii="宋体" w:hAnsi="宋体"/>
          <w:b/>
          <w:color w:val="auto"/>
          <w:sz w:val="44"/>
          <w:highlight w:val="none"/>
        </w:rPr>
      </w:pPr>
      <w:r>
        <w:rPr>
          <w:rFonts w:hint="eastAsia" w:ascii="宋体" w:hAnsi="宋体"/>
          <w:b/>
          <w:color w:val="auto"/>
          <w:sz w:val="44"/>
          <w:highlight w:val="none"/>
        </w:rPr>
        <w:t>投标文件</w:t>
      </w:r>
    </w:p>
    <w:p w14:paraId="4442F1DB">
      <w:pPr>
        <w:jc w:val="center"/>
        <w:rPr>
          <w:rFonts w:ascii="宋体" w:hAnsi="宋体"/>
          <w:color w:val="auto"/>
          <w:sz w:val="44"/>
          <w:highlight w:val="none"/>
        </w:rPr>
      </w:pPr>
    </w:p>
    <w:p w14:paraId="5642C44B">
      <w:pPr>
        <w:rPr>
          <w:rFonts w:ascii="宋体" w:hAnsi="宋体"/>
          <w:color w:val="auto"/>
          <w:sz w:val="28"/>
          <w:highlight w:val="none"/>
        </w:rPr>
      </w:pPr>
    </w:p>
    <w:p w14:paraId="0E8C89D9">
      <w:pPr>
        <w:rPr>
          <w:rFonts w:ascii="宋体" w:hAnsi="宋体"/>
          <w:color w:val="auto"/>
          <w:sz w:val="28"/>
          <w:highlight w:val="none"/>
        </w:rPr>
      </w:pPr>
    </w:p>
    <w:p w14:paraId="558C9971">
      <w:pPr>
        <w:rPr>
          <w:rFonts w:ascii="宋体" w:hAnsi="宋体"/>
          <w:color w:val="auto"/>
          <w:sz w:val="28"/>
          <w:highlight w:val="none"/>
        </w:rPr>
      </w:pPr>
    </w:p>
    <w:p w14:paraId="1C549CBA">
      <w:pPr>
        <w:rPr>
          <w:rFonts w:ascii="宋体" w:hAnsi="宋体"/>
          <w:color w:val="auto"/>
          <w:sz w:val="28"/>
          <w:highlight w:val="none"/>
        </w:rPr>
      </w:pPr>
    </w:p>
    <w:p w14:paraId="058486D7">
      <w:pPr>
        <w:rPr>
          <w:rFonts w:ascii="宋体" w:hAnsi="宋体"/>
          <w:color w:val="auto"/>
          <w:sz w:val="28"/>
          <w:highlight w:val="none"/>
        </w:rPr>
      </w:pPr>
    </w:p>
    <w:p w14:paraId="309FBB59">
      <w:pPr>
        <w:spacing w:line="360" w:lineRule="auto"/>
        <w:rPr>
          <w:rFonts w:ascii="宋体" w:hAnsi="宋体"/>
          <w:color w:val="auto"/>
          <w:sz w:val="28"/>
          <w:highlight w:val="none"/>
        </w:rPr>
      </w:pPr>
    </w:p>
    <w:p w14:paraId="2370F3FB">
      <w:pPr>
        <w:spacing w:line="360" w:lineRule="auto"/>
        <w:ind w:firstLine="1120" w:firstLineChars="400"/>
        <w:rPr>
          <w:rFonts w:ascii="宋体" w:hAnsi="宋体"/>
          <w:color w:val="auto"/>
          <w:sz w:val="28"/>
          <w:highlight w:val="none"/>
          <w:u w:val="single"/>
        </w:rPr>
      </w:pPr>
      <w:r>
        <w:rPr>
          <w:rFonts w:hint="eastAsia" w:ascii="宋体" w:hAnsi="宋体"/>
          <w:color w:val="auto"/>
          <w:sz w:val="28"/>
          <w:highlight w:val="none"/>
        </w:rPr>
        <w:t>投标人：</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r>
        <w:rPr>
          <w:rFonts w:hint="eastAsia" w:ascii="宋体" w:hAnsi="宋体"/>
          <w:color w:val="auto"/>
          <w:sz w:val="28"/>
          <w:highlight w:val="none"/>
        </w:rPr>
        <w:t>（盖单位章）</w:t>
      </w:r>
    </w:p>
    <w:p w14:paraId="483C03A3">
      <w:pPr>
        <w:spacing w:line="360" w:lineRule="auto"/>
        <w:ind w:firstLine="1120" w:firstLineChars="400"/>
        <w:jc w:val="left"/>
        <w:rPr>
          <w:rFonts w:ascii="宋体" w:hAnsi="宋体"/>
          <w:color w:val="auto"/>
          <w:sz w:val="28"/>
          <w:highlight w:val="none"/>
        </w:rPr>
      </w:pPr>
      <w:r>
        <w:rPr>
          <w:rFonts w:hint="eastAsia" w:ascii="宋体" w:hAnsi="宋体"/>
          <w:color w:val="auto"/>
          <w:sz w:val="28"/>
          <w:highlight w:val="none"/>
        </w:rPr>
        <w:t>法定代表人或其委托代理人：</w:t>
      </w:r>
      <w:r>
        <w:rPr>
          <w:rFonts w:hint="eastAsia" w:ascii="宋体" w:hAnsi="宋体"/>
          <w:color w:val="auto"/>
          <w:sz w:val="28"/>
          <w:highlight w:val="none"/>
          <w:u w:val="single"/>
        </w:rPr>
        <w:t xml:space="preserve">       </w:t>
      </w:r>
      <w:r>
        <w:rPr>
          <w:rFonts w:hint="eastAsia" w:ascii="宋体" w:hAnsi="宋体"/>
          <w:color w:val="auto"/>
          <w:sz w:val="28"/>
          <w:highlight w:val="none"/>
        </w:rPr>
        <w:t>（签字或盖章）</w:t>
      </w:r>
    </w:p>
    <w:p w14:paraId="620B8F95">
      <w:pPr>
        <w:spacing w:line="400" w:lineRule="exact"/>
        <w:jc w:val="center"/>
        <w:rPr>
          <w:rFonts w:ascii="宋体" w:hAnsi="宋体"/>
          <w:color w:val="auto"/>
          <w:highlight w:val="none"/>
        </w:rPr>
      </w:pPr>
      <w:r>
        <w:rPr>
          <w:rFonts w:hint="eastAsia" w:ascii="宋体" w:hAnsi="宋体"/>
          <w:color w:val="auto"/>
          <w:sz w:val="28"/>
          <w:highlight w:val="none"/>
          <w:u w:val="single"/>
        </w:rPr>
        <w:t xml:space="preserve">     </w:t>
      </w:r>
      <w:r>
        <w:rPr>
          <w:rFonts w:hint="eastAsia" w:ascii="宋体" w:hAnsi="宋体"/>
          <w:color w:val="auto"/>
          <w:sz w:val="28"/>
          <w:highlight w:val="none"/>
        </w:rPr>
        <w:t>年</w:t>
      </w:r>
      <w:r>
        <w:rPr>
          <w:rFonts w:hint="eastAsia" w:ascii="宋体" w:hAnsi="宋体"/>
          <w:color w:val="auto"/>
          <w:sz w:val="28"/>
          <w:highlight w:val="none"/>
          <w:u w:val="single"/>
        </w:rPr>
        <w:t xml:space="preserve">     </w:t>
      </w:r>
      <w:r>
        <w:rPr>
          <w:rFonts w:hint="eastAsia" w:ascii="宋体" w:hAnsi="宋体"/>
          <w:color w:val="auto"/>
          <w:sz w:val="28"/>
          <w:highlight w:val="none"/>
        </w:rPr>
        <w:t>月</w:t>
      </w:r>
      <w:r>
        <w:rPr>
          <w:rFonts w:hint="eastAsia" w:ascii="宋体" w:hAnsi="宋体"/>
          <w:color w:val="auto"/>
          <w:sz w:val="28"/>
          <w:highlight w:val="none"/>
          <w:u w:val="single"/>
        </w:rPr>
        <w:t xml:space="preserve">     </w:t>
      </w:r>
      <w:r>
        <w:rPr>
          <w:rFonts w:hint="eastAsia" w:ascii="宋体" w:hAnsi="宋体"/>
          <w:color w:val="auto"/>
          <w:sz w:val="28"/>
          <w:highlight w:val="none"/>
        </w:rPr>
        <w:t>日</w:t>
      </w:r>
    </w:p>
    <w:p w14:paraId="330E2532">
      <w:pPr>
        <w:rPr>
          <w:rFonts w:ascii="宋体" w:hAnsi="宋体"/>
          <w:color w:val="auto"/>
          <w:highlight w:val="none"/>
        </w:rPr>
      </w:pPr>
    </w:p>
    <w:p w14:paraId="62C6F8A4">
      <w:pPr>
        <w:rPr>
          <w:rFonts w:ascii="宋体" w:hAnsi="宋体"/>
          <w:color w:val="auto"/>
          <w:highlight w:val="none"/>
        </w:rPr>
      </w:pPr>
    </w:p>
    <w:p w14:paraId="6B554969">
      <w:pPr>
        <w:rPr>
          <w:rFonts w:ascii="宋体" w:hAnsi="宋体"/>
          <w:color w:val="auto"/>
          <w:highlight w:val="none"/>
        </w:rPr>
      </w:pPr>
    </w:p>
    <w:p w14:paraId="419F3DC7">
      <w:pPr>
        <w:jc w:val="center"/>
        <w:outlineLvl w:val="1"/>
        <w:rPr>
          <w:rFonts w:ascii="宋体" w:hAnsi="宋体"/>
          <w:b/>
          <w:bCs/>
          <w:color w:val="auto"/>
          <w:kern w:val="0"/>
          <w:sz w:val="36"/>
          <w:szCs w:val="32"/>
          <w:highlight w:val="none"/>
        </w:rPr>
      </w:pPr>
      <w:r>
        <w:rPr>
          <w:rFonts w:hint="eastAsia" w:ascii="宋体" w:hAnsi="宋体" w:eastAsia="黑体"/>
          <w:color w:val="auto"/>
          <w:kern w:val="0"/>
          <w:sz w:val="36"/>
          <w:szCs w:val="32"/>
          <w:highlight w:val="none"/>
        </w:rPr>
        <w:br w:type="page"/>
      </w:r>
      <w:bookmarkStart w:id="443" w:name="_Toc535938750"/>
      <w:bookmarkStart w:id="444" w:name="_Toc529196598"/>
      <w:bookmarkStart w:id="445" w:name="_Toc530470640"/>
      <w:r>
        <w:rPr>
          <w:rFonts w:hint="eastAsia" w:ascii="宋体" w:hAnsi="宋体"/>
          <w:b/>
          <w:bCs/>
          <w:color w:val="auto"/>
          <w:kern w:val="0"/>
          <w:sz w:val="32"/>
          <w:szCs w:val="28"/>
          <w:highlight w:val="none"/>
        </w:rPr>
        <w:t>目   录</w:t>
      </w:r>
      <w:bookmarkEnd w:id="443"/>
      <w:bookmarkEnd w:id="444"/>
      <w:bookmarkEnd w:id="445"/>
    </w:p>
    <w:p w14:paraId="3600F8CF">
      <w:pPr>
        <w:spacing w:line="540" w:lineRule="exact"/>
        <w:rPr>
          <w:rFonts w:ascii="宋体" w:hAnsi="宋体"/>
          <w:color w:val="auto"/>
          <w:highlight w:val="none"/>
        </w:rPr>
      </w:pPr>
    </w:p>
    <w:p w14:paraId="57A5C949">
      <w:pPr>
        <w:spacing w:line="360" w:lineRule="auto"/>
        <w:rPr>
          <w:rFonts w:ascii="宋体" w:hAnsi="宋体"/>
          <w:color w:val="auto"/>
          <w:sz w:val="24"/>
          <w:szCs w:val="24"/>
          <w:highlight w:val="none"/>
        </w:rPr>
      </w:pPr>
      <w:bookmarkStart w:id="446" w:name="_Toc369531691"/>
      <w:bookmarkStart w:id="447" w:name="_Toc7039"/>
      <w:bookmarkStart w:id="448" w:name="_Toc352691655"/>
      <w:r>
        <w:rPr>
          <w:rFonts w:hint="eastAsia" w:ascii="宋体" w:hAnsi="宋体"/>
          <w:color w:val="auto"/>
          <w:sz w:val="24"/>
          <w:szCs w:val="24"/>
          <w:highlight w:val="none"/>
        </w:rPr>
        <w:t>一、投标函及投标函附录</w:t>
      </w:r>
    </w:p>
    <w:p w14:paraId="76400E82">
      <w:pPr>
        <w:spacing w:line="360" w:lineRule="auto"/>
        <w:rPr>
          <w:rFonts w:ascii="宋体" w:hAnsi="宋体"/>
          <w:color w:val="auto"/>
          <w:sz w:val="24"/>
          <w:szCs w:val="24"/>
          <w:highlight w:val="none"/>
        </w:rPr>
      </w:pPr>
      <w:r>
        <w:rPr>
          <w:rFonts w:hint="eastAsia" w:ascii="宋体" w:hAnsi="宋体"/>
          <w:color w:val="auto"/>
          <w:sz w:val="24"/>
          <w:szCs w:val="24"/>
          <w:highlight w:val="none"/>
        </w:rPr>
        <w:t>二、法定代表人身份证明（适用于无委托代理人的情况）</w:t>
      </w:r>
    </w:p>
    <w:p w14:paraId="330E0C88">
      <w:pPr>
        <w:spacing w:line="360" w:lineRule="auto"/>
        <w:rPr>
          <w:rFonts w:ascii="宋体" w:hAnsi="宋体"/>
          <w:color w:val="auto"/>
          <w:sz w:val="24"/>
          <w:szCs w:val="24"/>
          <w:highlight w:val="none"/>
        </w:rPr>
      </w:pPr>
      <w:r>
        <w:rPr>
          <w:rFonts w:hint="default" w:ascii="宋体" w:hAnsi="宋体"/>
          <w:color w:val="auto"/>
          <w:sz w:val="24"/>
          <w:szCs w:val="24"/>
          <w:highlight w:val="none"/>
          <w:lang w:val="en-US"/>
        </w:rPr>
        <w:t>二</w:t>
      </w:r>
      <w:r>
        <w:rPr>
          <w:rFonts w:hint="eastAsia" w:ascii="宋体" w:hAnsi="宋体"/>
          <w:color w:val="auto"/>
          <w:sz w:val="24"/>
          <w:szCs w:val="24"/>
          <w:highlight w:val="none"/>
        </w:rPr>
        <w:t>、授权委托书（适用于有委托代理人的情况）</w:t>
      </w:r>
    </w:p>
    <w:p w14:paraId="5D90241F">
      <w:pPr>
        <w:spacing w:line="360" w:lineRule="auto"/>
        <w:rPr>
          <w:rFonts w:ascii="宋体" w:hAnsi="宋体"/>
          <w:color w:val="auto"/>
          <w:sz w:val="24"/>
          <w:szCs w:val="24"/>
          <w:highlight w:val="none"/>
        </w:rPr>
      </w:pPr>
      <w:r>
        <w:rPr>
          <w:rFonts w:hint="default" w:ascii="宋体" w:hAnsi="宋体"/>
          <w:color w:val="auto"/>
          <w:sz w:val="24"/>
          <w:szCs w:val="24"/>
          <w:highlight w:val="none"/>
          <w:lang w:val="en-US"/>
        </w:rPr>
        <w:t>三</w:t>
      </w:r>
      <w:r>
        <w:rPr>
          <w:rFonts w:hint="eastAsia" w:ascii="宋体" w:hAnsi="宋体"/>
          <w:color w:val="auto"/>
          <w:sz w:val="24"/>
          <w:szCs w:val="24"/>
          <w:highlight w:val="none"/>
        </w:rPr>
        <w:t>、监理报酬清单</w:t>
      </w:r>
    </w:p>
    <w:p w14:paraId="4FDD27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监理费用成本明细</w:t>
      </w:r>
    </w:p>
    <w:p w14:paraId="4A29E291">
      <w:pPr>
        <w:spacing w:line="360" w:lineRule="auto"/>
        <w:rPr>
          <w:rFonts w:ascii="宋体" w:hAnsi="宋体"/>
          <w:color w:val="auto"/>
          <w:sz w:val="24"/>
          <w:szCs w:val="24"/>
          <w:highlight w:val="none"/>
        </w:rPr>
      </w:pPr>
      <w:r>
        <w:rPr>
          <w:rFonts w:hint="default" w:ascii="宋体" w:hAnsi="宋体"/>
          <w:color w:val="auto"/>
          <w:sz w:val="24"/>
          <w:szCs w:val="24"/>
          <w:highlight w:val="none"/>
          <w:lang w:val="en-US"/>
        </w:rPr>
        <w:t>四</w:t>
      </w:r>
      <w:r>
        <w:rPr>
          <w:rFonts w:hint="eastAsia" w:ascii="宋体" w:hAnsi="宋体"/>
          <w:color w:val="auto"/>
          <w:sz w:val="24"/>
          <w:szCs w:val="24"/>
          <w:highlight w:val="none"/>
        </w:rPr>
        <w:t>、资格审查资料</w:t>
      </w:r>
    </w:p>
    <w:p w14:paraId="6F4620E6">
      <w:pPr>
        <w:spacing w:line="360" w:lineRule="auto"/>
        <w:rPr>
          <w:rFonts w:hint="eastAsia" w:ascii="宋体" w:hAnsi="宋体"/>
          <w:color w:val="auto"/>
          <w:sz w:val="24"/>
          <w:szCs w:val="24"/>
          <w:highlight w:val="none"/>
        </w:rPr>
      </w:pPr>
      <w:r>
        <w:rPr>
          <w:rFonts w:hint="default" w:ascii="宋体" w:hAnsi="宋体"/>
          <w:color w:val="auto"/>
          <w:sz w:val="24"/>
          <w:szCs w:val="24"/>
          <w:highlight w:val="none"/>
          <w:lang w:val="en-US"/>
        </w:rPr>
        <w:t>五</w:t>
      </w:r>
      <w:r>
        <w:rPr>
          <w:rFonts w:hint="eastAsia" w:ascii="宋体" w:hAnsi="宋体"/>
          <w:color w:val="auto"/>
          <w:sz w:val="24"/>
          <w:szCs w:val="24"/>
          <w:highlight w:val="none"/>
        </w:rPr>
        <w:t>、监理大纲</w:t>
      </w:r>
    </w:p>
    <w:p w14:paraId="658FCF9F">
      <w:pPr>
        <w:spacing w:line="360" w:lineRule="auto"/>
        <w:rPr>
          <w:rFonts w:hint="default" w:ascii="宋体" w:hAnsi="宋体"/>
          <w:color w:val="auto"/>
          <w:sz w:val="24"/>
          <w:szCs w:val="24"/>
          <w:highlight w:val="none"/>
        </w:rPr>
      </w:pPr>
      <w:r>
        <w:rPr>
          <w:rFonts w:hint="default" w:ascii="宋体" w:hAnsi="宋体"/>
          <w:color w:val="auto"/>
          <w:sz w:val="24"/>
          <w:szCs w:val="24"/>
          <w:highlight w:val="none"/>
          <w:lang w:val="en-US"/>
        </w:rPr>
        <w:t>六</w:t>
      </w:r>
      <w:r>
        <w:rPr>
          <w:rFonts w:hint="default" w:ascii="宋体" w:hAnsi="宋体"/>
          <w:color w:val="auto"/>
          <w:sz w:val="24"/>
          <w:szCs w:val="24"/>
          <w:highlight w:val="none"/>
        </w:rPr>
        <w:t>、企业资信相关资料</w:t>
      </w:r>
    </w:p>
    <w:p w14:paraId="0FCFCA0A">
      <w:pPr>
        <w:spacing w:line="360" w:lineRule="auto"/>
        <w:rPr>
          <w:rFonts w:ascii="宋体" w:hAnsi="宋体"/>
          <w:color w:val="auto"/>
          <w:sz w:val="24"/>
          <w:szCs w:val="24"/>
          <w:highlight w:val="none"/>
        </w:rPr>
      </w:pPr>
      <w:r>
        <w:rPr>
          <w:rFonts w:hint="default" w:ascii="宋体" w:hAnsi="宋体"/>
          <w:color w:val="auto"/>
          <w:sz w:val="24"/>
          <w:szCs w:val="24"/>
          <w:highlight w:val="none"/>
          <w:lang w:val="en-US"/>
        </w:rPr>
        <w:t>七</w:t>
      </w:r>
      <w:r>
        <w:rPr>
          <w:rFonts w:hint="eastAsia" w:ascii="宋体" w:hAnsi="宋体"/>
          <w:color w:val="auto"/>
          <w:sz w:val="24"/>
          <w:szCs w:val="24"/>
          <w:highlight w:val="none"/>
        </w:rPr>
        <w:t>、其他资料（包括但不限制于以下内容）</w:t>
      </w:r>
    </w:p>
    <w:p w14:paraId="6B0425F0">
      <w:pPr>
        <w:spacing w:line="540" w:lineRule="exact"/>
        <w:rPr>
          <w:rFonts w:ascii="宋体" w:hAnsi="宋体"/>
          <w:color w:val="auto"/>
          <w:sz w:val="21"/>
          <w:szCs w:val="21"/>
          <w:highlight w:val="none"/>
        </w:rPr>
      </w:pPr>
      <w:r>
        <w:rPr>
          <w:rFonts w:hint="eastAsia" w:ascii="宋体" w:hAnsi="宋体"/>
          <w:color w:val="auto"/>
          <w:sz w:val="21"/>
          <w:szCs w:val="21"/>
          <w:highlight w:val="none"/>
        </w:rPr>
        <w:t>①工程监理服务承诺书；</w:t>
      </w:r>
    </w:p>
    <w:p w14:paraId="6341B2E9">
      <w:pPr>
        <w:spacing w:line="540" w:lineRule="exact"/>
        <w:rPr>
          <w:rFonts w:ascii="宋体" w:hAnsi="宋体"/>
          <w:color w:val="auto"/>
          <w:sz w:val="21"/>
          <w:szCs w:val="21"/>
          <w:highlight w:val="none"/>
        </w:rPr>
      </w:pPr>
      <w:r>
        <w:rPr>
          <w:rFonts w:hint="eastAsia" w:ascii="宋体" w:hAnsi="宋体"/>
          <w:color w:val="auto"/>
          <w:sz w:val="21"/>
          <w:szCs w:val="21"/>
          <w:highlight w:val="none"/>
        </w:rPr>
        <w:t>②工程监理合同响应承诺书；</w:t>
      </w:r>
    </w:p>
    <w:p w14:paraId="06E378E8">
      <w:pPr>
        <w:spacing w:line="540" w:lineRule="exact"/>
        <w:rPr>
          <w:rFonts w:ascii="宋体" w:hAnsi="宋体"/>
          <w:color w:val="auto"/>
          <w:sz w:val="21"/>
          <w:szCs w:val="21"/>
          <w:highlight w:val="none"/>
        </w:rPr>
      </w:pPr>
      <w:r>
        <w:rPr>
          <w:rFonts w:hint="eastAsia" w:ascii="宋体" w:hAnsi="宋体"/>
          <w:color w:val="auto"/>
          <w:sz w:val="21"/>
          <w:szCs w:val="21"/>
          <w:highlight w:val="none"/>
        </w:rPr>
        <w:t>③工程监理人员到位承诺书</w:t>
      </w:r>
    </w:p>
    <w:p w14:paraId="070034FB">
      <w:pPr>
        <w:spacing w:line="540" w:lineRule="exact"/>
        <w:rPr>
          <w:rFonts w:ascii="宋体" w:hAnsi="宋体"/>
          <w:color w:val="auto"/>
          <w:sz w:val="21"/>
          <w:szCs w:val="21"/>
          <w:highlight w:val="none"/>
        </w:rPr>
      </w:pPr>
      <w:r>
        <w:rPr>
          <w:rFonts w:hint="eastAsia" w:ascii="宋体" w:hAnsi="宋体"/>
          <w:color w:val="auto"/>
          <w:sz w:val="21"/>
          <w:szCs w:val="21"/>
          <w:highlight w:val="none"/>
        </w:rPr>
        <w:t>④工程监理人员任职承诺书；</w:t>
      </w:r>
    </w:p>
    <w:p w14:paraId="5B1E1916">
      <w:pPr>
        <w:spacing w:line="540" w:lineRule="exact"/>
        <w:rPr>
          <w:rFonts w:ascii="宋体" w:hAnsi="宋体"/>
          <w:color w:val="auto"/>
          <w:sz w:val="21"/>
          <w:szCs w:val="21"/>
          <w:highlight w:val="none"/>
        </w:rPr>
      </w:pPr>
      <w:r>
        <w:rPr>
          <w:rFonts w:hint="eastAsia" w:ascii="宋体" w:hAnsi="宋体"/>
          <w:color w:val="auto"/>
          <w:sz w:val="21"/>
          <w:szCs w:val="21"/>
          <w:highlight w:val="none"/>
        </w:rPr>
        <w:t>⑤拟投入的设备仪器到位承诺书；</w:t>
      </w:r>
    </w:p>
    <w:p w14:paraId="597C5C09">
      <w:pPr>
        <w:spacing w:line="540" w:lineRule="exact"/>
        <w:rPr>
          <w:rFonts w:ascii="宋体" w:hAnsi="宋体"/>
          <w:color w:val="auto"/>
          <w:sz w:val="21"/>
          <w:szCs w:val="21"/>
          <w:highlight w:val="none"/>
        </w:rPr>
      </w:pPr>
      <w:r>
        <w:rPr>
          <w:rFonts w:hint="eastAsia" w:ascii="宋体" w:hAnsi="宋体"/>
          <w:color w:val="auto"/>
          <w:sz w:val="21"/>
          <w:szCs w:val="21"/>
          <w:highlight w:val="none"/>
        </w:rPr>
        <w:t>⑥拟委派本项目驻场监理人员配备响应情况表；</w:t>
      </w:r>
    </w:p>
    <w:p w14:paraId="424353C2">
      <w:pPr>
        <w:spacing w:line="540" w:lineRule="exact"/>
        <w:rPr>
          <w:rFonts w:ascii="宋体" w:hAnsi="宋体"/>
          <w:color w:val="auto"/>
          <w:sz w:val="21"/>
          <w:szCs w:val="21"/>
          <w:highlight w:val="none"/>
        </w:rPr>
      </w:pPr>
      <w:r>
        <w:rPr>
          <w:rFonts w:hint="eastAsia" w:ascii="宋体" w:hAnsi="宋体"/>
          <w:color w:val="auto"/>
          <w:sz w:val="21"/>
          <w:szCs w:val="21"/>
          <w:highlight w:val="none"/>
        </w:rPr>
        <w:t>⑦投标人认为需要提供的资料（如有）。</w:t>
      </w:r>
    </w:p>
    <w:p w14:paraId="32BC10FA">
      <w:pPr>
        <w:spacing w:line="540" w:lineRule="exact"/>
        <w:rPr>
          <w:rFonts w:ascii="宋体" w:hAnsi="宋体"/>
          <w:color w:val="auto"/>
          <w:sz w:val="20"/>
          <w:highlight w:val="none"/>
        </w:rPr>
      </w:pPr>
    </w:p>
    <w:p w14:paraId="7C6F3A33">
      <w:pPr>
        <w:spacing w:line="540" w:lineRule="exact"/>
        <w:rPr>
          <w:rFonts w:ascii="宋体" w:hAnsi="宋体"/>
          <w:color w:val="auto"/>
          <w:sz w:val="20"/>
          <w:highlight w:val="none"/>
        </w:rPr>
      </w:pPr>
    </w:p>
    <w:bookmarkEnd w:id="446"/>
    <w:bookmarkEnd w:id="447"/>
    <w:bookmarkEnd w:id="448"/>
    <w:p w14:paraId="214BB95E">
      <w:pPr>
        <w:spacing w:after="240" w:line="360" w:lineRule="auto"/>
        <w:jc w:val="left"/>
        <w:outlineLvl w:val="1"/>
        <w:rPr>
          <w:rFonts w:ascii="宋体" w:hAnsi="宋体"/>
          <w:b/>
          <w:bCs/>
          <w:color w:val="auto"/>
          <w:kern w:val="0"/>
          <w:sz w:val="30"/>
          <w:szCs w:val="30"/>
          <w:highlight w:val="none"/>
        </w:rPr>
      </w:pPr>
      <w:bookmarkStart w:id="449" w:name="_Toc529196600"/>
      <w:bookmarkStart w:id="450" w:name="_Toc530470642"/>
      <w:bookmarkStart w:id="451" w:name="_Toc535938751"/>
      <w:r>
        <w:rPr>
          <w:rFonts w:ascii="宋体" w:hAnsi="宋体"/>
          <w:b/>
          <w:bCs/>
          <w:color w:val="auto"/>
          <w:kern w:val="0"/>
          <w:sz w:val="36"/>
          <w:szCs w:val="32"/>
          <w:highlight w:val="none"/>
        </w:rPr>
        <w:br w:type="page"/>
      </w:r>
      <w:r>
        <w:rPr>
          <w:rFonts w:hint="eastAsia" w:ascii="宋体" w:hAnsi="宋体"/>
          <w:b/>
          <w:bCs/>
          <w:color w:val="auto"/>
          <w:kern w:val="0"/>
          <w:sz w:val="30"/>
          <w:szCs w:val="30"/>
          <w:highlight w:val="none"/>
        </w:rPr>
        <w:t>一、投标</w:t>
      </w:r>
      <w:bookmarkStart w:id="452" w:name="_Toc352691656"/>
      <w:bookmarkStart w:id="453" w:name="_Toc369531692"/>
      <w:bookmarkStart w:id="454" w:name="_Toc6931"/>
      <w:r>
        <w:rPr>
          <w:rFonts w:hint="eastAsia" w:ascii="宋体" w:hAnsi="宋体"/>
          <w:b/>
          <w:bCs/>
          <w:color w:val="auto"/>
          <w:kern w:val="0"/>
          <w:sz w:val="30"/>
          <w:szCs w:val="30"/>
          <w:highlight w:val="none"/>
        </w:rPr>
        <w:t>函及投标函附录</w:t>
      </w:r>
      <w:bookmarkEnd w:id="449"/>
      <w:bookmarkEnd w:id="450"/>
      <w:bookmarkEnd w:id="451"/>
    </w:p>
    <w:bookmarkEnd w:id="452"/>
    <w:bookmarkEnd w:id="453"/>
    <w:bookmarkEnd w:id="454"/>
    <w:p w14:paraId="1DB1F5DA">
      <w:pPr>
        <w:spacing w:line="360" w:lineRule="auto"/>
        <w:ind w:left="118"/>
        <w:jc w:val="center"/>
        <w:outlineLvl w:val="2"/>
        <w:rPr>
          <w:rFonts w:ascii="宋体" w:hAnsi="宋体"/>
          <w:b/>
          <w:bCs/>
          <w:color w:val="auto"/>
          <w:kern w:val="0"/>
          <w:sz w:val="32"/>
          <w:szCs w:val="28"/>
          <w:highlight w:val="none"/>
        </w:rPr>
      </w:pPr>
      <w:bookmarkStart w:id="455" w:name="_Toc391394111"/>
      <w:bookmarkStart w:id="456" w:name="_Toc535938752"/>
      <w:bookmarkStart w:id="457" w:name="_Toc529196601"/>
      <w:bookmarkStart w:id="458" w:name="_Toc482188651"/>
      <w:bookmarkStart w:id="459" w:name="_Toc530470643"/>
      <w:bookmarkStart w:id="460" w:name="_Toc385943065"/>
      <w:bookmarkStart w:id="461" w:name="_Toc359594235"/>
      <w:bookmarkStart w:id="462" w:name="_Toc370676426"/>
      <w:r>
        <w:rPr>
          <w:rFonts w:hint="eastAsia" w:ascii="宋体" w:hAnsi="宋体"/>
          <w:b/>
          <w:bCs/>
          <w:color w:val="auto"/>
          <w:kern w:val="0"/>
          <w:sz w:val="32"/>
          <w:szCs w:val="28"/>
          <w:highlight w:val="none"/>
        </w:rPr>
        <w:t>（一）投标函</w:t>
      </w:r>
      <w:bookmarkEnd w:id="455"/>
      <w:bookmarkEnd w:id="456"/>
      <w:bookmarkEnd w:id="457"/>
      <w:bookmarkEnd w:id="458"/>
      <w:bookmarkEnd w:id="459"/>
      <w:bookmarkEnd w:id="460"/>
      <w:bookmarkEnd w:id="461"/>
      <w:bookmarkEnd w:id="462"/>
    </w:p>
    <w:p w14:paraId="7B667DA7">
      <w:pPr>
        <w:spacing w:line="36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广州市重点公共建设项目管理中心</w:t>
      </w:r>
      <w:r>
        <w:rPr>
          <w:rFonts w:hint="eastAsia" w:ascii="宋体" w:hAnsi="宋体" w:cs="宋体"/>
          <w:color w:val="auto"/>
          <w:sz w:val="24"/>
          <w:szCs w:val="24"/>
          <w:highlight w:val="none"/>
        </w:rPr>
        <w:t>（招标人名称）：</w:t>
      </w:r>
    </w:p>
    <w:p w14:paraId="103206C6">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lang w:eastAsia="zh-CN"/>
        </w:rPr>
        <w:t>华南理工大学大学城校区研究生宿舍（二期）施工监理</w:t>
      </w:r>
      <w:r>
        <w:rPr>
          <w:rFonts w:hint="eastAsia" w:ascii="宋体" w:hAnsi="宋体" w:cs="宋体"/>
          <w:color w:val="auto"/>
          <w:sz w:val="24"/>
          <w:szCs w:val="24"/>
          <w:highlight w:val="none"/>
        </w:rPr>
        <w:t>（项目名称）监理招标项目招标文件的全部内容，愿意以《投标函附录》中的投标报价和监理服务期限，按合同约定完成监理工作。</w:t>
      </w:r>
    </w:p>
    <w:p w14:paraId="306BB611">
      <w:pPr>
        <w:spacing w:line="360" w:lineRule="auto"/>
        <w:ind w:firstLine="480" w:firstLineChars="200"/>
        <w:rPr>
          <w:rFonts w:ascii="宋体" w:hAnsi="宋体"/>
          <w:color w:val="auto"/>
          <w:sz w:val="24"/>
          <w:szCs w:val="24"/>
          <w:highlight w:val="none"/>
        </w:rPr>
      </w:pPr>
      <w:bookmarkStart w:id="463" w:name="_Toc530470644"/>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olor w:val="auto"/>
          <w:sz w:val="24"/>
          <w:szCs w:val="24"/>
          <w:highlight w:val="none"/>
        </w:rPr>
        <w:t>我方的投标文件包括下列内容：</w:t>
      </w:r>
      <w:bookmarkEnd w:id="463"/>
    </w:p>
    <w:p w14:paraId="24DA5DD5">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（1）投标函及投标函附录；</w:t>
      </w:r>
    </w:p>
    <w:p w14:paraId="7DF0EAE3">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（2）法定代表人身份证明或授权委托书（如有）；</w:t>
      </w:r>
    </w:p>
    <w:p w14:paraId="1D5CD2E6">
      <w:pPr>
        <w:spacing w:line="360" w:lineRule="auto"/>
        <w:ind w:firstLine="405"/>
        <w:rPr>
          <w:rFonts w:ascii="宋体" w:hAnsi="宋体"/>
          <w:strike/>
          <w:color w:val="auto"/>
          <w:sz w:val="24"/>
          <w:szCs w:val="24"/>
          <w:highlight w:val="none"/>
        </w:rPr>
      </w:pPr>
      <w:r>
        <w:rPr>
          <w:rFonts w:hint="eastAsia" w:ascii="宋体" w:hAnsi="宋体"/>
          <w:color w:val="auto"/>
          <w:sz w:val="24"/>
          <w:szCs w:val="24"/>
          <w:highlight w:val="none"/>
        </w:rPr>
        <w:t>（</w:t>
      </w:r>
      <w:r>
        <w:rPr>
          <w:rFonts w:hint="default" w:ascii="宋体" w:hAnsi="宋体"/>
          <w:color w:val="auto"/>
          <w:sz w:val="24"/>
          <w:szCs w:val="24"/>
          <w:highlight w:val="none"/>
        </w:rPr>
        <w:t>3</w:t>
      </w:r>
      <w:r>
        <w:rPr>
          <w:rFonts w:hint="eastAsia" w:ascii="宋体" w:hAnsi="宋体"/>
          <w:color w:val="auto"/>
          <w:sz w:val="24"/>
          <w:szCs w:val="24"/>
          <w:highlight w:val="none"/>
        </w:rPr>
        <w:t>）监理报酬清单；</w:t>
      </w:r>
    </w:p>
    <w:p w14:paraId="350A17FD">
      <w:pPr>
        <w:spacing w:line="360" w:lineRule="auto"/>
        <w:ind w:firstLine="405"/>
        <w:rPr>
          <w:rFonts w:ascii="宋体" w:hAnsi="宋体"/>
          <w:color w:val="auto"/>
          <w:sz w:val="24"/>
          <w:szCs w:val="24"/>
          <w:highlight w:val="none"/>
        </w:rPr>
      </w:pPr>
      <w:r>
        <w:rPr>
          <w:rFonts w:hint="eastAsia" w:ascii="宋体" w:hAnsi="宋体"/>
          <w:color w:val="auto"/>
          <w:sz w:val="24"/>
          <w:szCs w:val="24"/>
          <w:highlight w:val="none"/>
        </w:rPr>
        <w:t>（</w:t>
      </w:r>
      <w:r>
        <w:rPr>
          <w:rFonts w:hint="default" w:ascii="宋体" w:hAnsi="宋体"/>
          <w:color w:val="auto"/>
          <w:sz w:val="24"/>
          <w:szCs w:val="24"/>
          <w:highlight w:val="none"/>
        </w:rPr>
        <w:t>4</w:t>
      </w:r>
      <w:r>
        <w:rPr>
          <w:rFonts w:hint="eastAsia" w:ascii="宋体" w:hAnsi="宋体"/>
          <w:color w:val="auto"/>
          <w:sz w:val="24"/>
          <w:szCs w:val="24"/>
          <w:highlight w:val="none"/>
        </w:rPr>
        <w:t>）资格审查资料</w:t>
      </w:r>
    </w:p>
    <w:p w14:paraId="63C668AD">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w:t>
      </w:r>
      <w:r>
        <w:rPr>
          <w:rFonts w:hint="default" w:ascii="宋体" w:hAnsi="宋体"/>
          <w:color w:val="auto"/>
          <w:sz w:val="24"/>
          <w:szCs w:val="24"/>
          <w:highlight w:val="none"/>
        </w:rPr>
        <w:t>5</w:t>
      </w:r>
      <w:r>
        <w:rPr>
          <w:rFonts w:hint="eastAsia" w:ascii="宋体" w:hAnsi="宋体"/>
          <w:color w:val="auto"/>
          <w:sz w:val="24"/>
          <w:szCs w:val="24"/>
          <w:highlight w:val="none"/>
        </w:rPr>
        <w:t>）监理大纲；</w:t>
      </w:r>
    </w:p>
    <w:p w14:paraId="7FCEFE50">
      <w:pPr>
        <w:spacing w:line="360" w:lineRule="auto"/>
        <w:ind w:firstLine="405"/>
        <w:rPr>
          <w:rFonts w:hint="default" w:ascii="宋体" w:hAnsi="宋体"/>
          <w:color w:val="auto"/>
          <w:sz w:val="24"/>
          <w:szCs w:val="24"/>
          <w:highlight w:val="none"/>
        </w:rPr>
      </w:pPr>
      <w:r>
        <w:rPr>
          <w:rFonts w:hint="default" w:ascii="宋体" w:hAnsi="宋体"/>
          <w:color w:val="auto"/>
          <w:sz w:val="24"/>
          <w:szCs w:val="24"/>
          <w:highlight w:val="none"/>
        </w:rPr>
        <w:t>（6）企业资信相关资料</w:t>
      </w:r>
    </w:p>
    <w:p w14:paraId="2BBDA9E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default" w:ascii="宋体" w:hAnsi="宋体"/>
          <w:color w:val="auto"/>
          <w:sz w:val="24"/>
          <w:szCs w:val="24"/>
          <w:highlight w:val="none"/>
        </w:rPr>
        <w:t>7</w:t>
      </w:r>
      <w:r>
        <w:rPr>
          <w:rFonts w:hint="eastAsia" w:ascii="宋体" w:hAnsi="宋体"/>
          <w:color w:val="auto"/>
          <w:sz w:val="24"/>
          <w:szCs w:val="24"/>
          <w:highlight w:val="none"/>
        </w:rPr>
        <w:t>）其他资料。</w:t>
      </w:r>
    </w:p>
    <w:p w14:paraId="36CC080A">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①</w:t>
      </w:r>
      <w:r>
        <w:rPr>
          <w:rFonts w:hint="eastAsia" w:ascii="宋体" w:hAnsi="宋体"/>
          <w:color w:val="auto"/>
          <w:sz w:val="24"/>
          <w:szCs w:val="24"/>
          <w:highlight w:val="none"/>
        </w:rPr>
        <w:t>工程监理服务承诺书；</w:t>
      </w:r>
    </w:p>
    <w:p w14:paraId="13C1E802">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②</w:t>
      </w:r>
      <w:r>
        <w:rPr>
          <w:rFonts w:hint="eastAsia" w:ascii="宋体" w:hAnsi="宋体"/>
          <w:color w:val="auto"/>
          <w:sz w:val="24"/>
          <w:szCs w:val="24"/>
          <w:highlight w:val="none"/>
        </w:rPr>
        <w:t>工程监理合同响应承诺书；</w:t>
      </w:r>
    </w:p>
    <w:p w14:paraId="4385F1BE">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③</w:t>
      </w:r>
      <w:r>
        <w:rPr>
          <w:rFonts w:hint="eastAsia" w:ascii="宋体" w:hAnsi="宋体"/>
          <w:color w:val="auto"/>
          <w:sz w:val="24"/>
          <w:szCs w:val="24"/>
          <w:highlight w:val="none"/>
        </w:rPr>
        <w:t>工程监理人员到位承诺书</w:t>
      </w:r>
    </w:p>
    <w:p w14:paraId="2D2BF0B8">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④</w:t>
      </w:r>
      <w:r>
        <w:rPr>
          <w:rFonts w:hint="eastAsia" w:ascii="宋体" w:hAnsi="宋体"/>
          <w:color w:val="auto"/>
          <w:sz w:val="24"/>
          <w:szCs w:val="24"/>
          <w:highlight w:val="none"/>
        </w:rPr>
        <w:t>工程监理人员任职承诺书；</w:t>
      </w:r>
    </w:p>
    <w:p w14:paraId="43FB460F">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⑤</w:t>
      </w:r>
      <w:r>
        <w:rPr>
          <w:rFonts w:hint="eastAsia" w:ascii="宋体" w:hAnsi="宋体"/>
          <w:color w:val="auto"/>
          <w:sz w:val="24"/>
          <w:szCs w:val="24"/>
          <w:highlight w:val="none"/>
        </w:rPr>
        <w:t>拟投入的设备仪器到位承诺书；</w:t>
      </w:r>
    </w:p>
    <w:p w14:paraId="043C0FFB">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⑥</w:t>
      </w:r>
      <w:r>
        <w:rPr>
          <w:rFonts w:hint="eastAsia" w:ascii="宋体" w:hAnsi="宋体"/>
          <w:color w:val="auto"/>
          <w:sz w:val="24"/>
          <w:szCs w:val="24"/>
          <w:highlight w:val="none"/>
        </w:rPr>
        <w:t>拟委派本项目驻场监理人员配备响应情况表；</w:t>
      </w:r>
    </w:p>
    <w:p w14:paraId="3B654BE1">
      <w:pPr>
        <w:spacing w:line="360" w:lineRule="auto"/>
        <w:ind w:left="848" w:leftChars="404" w:firstLine="1"/>
        <w:rPr>
          <w:rFonts w:ascii="宋体" w:hAnsi="宋体"/>
          <w:color w:val="auto"/>
          <w:sz w:val="24"/>
          <w:szCs w:val="24"/>
          <w:highlight w:val="none"/>
        </w:rPr>
      </w:pPr>
      <w:r>
        <w:rPr>
          <w:rFonts w:hint="eastAsia" w:ascii="宋体" w:hAnsi="宋体" w:cs="宋体"/>
          <w:color w:val="auto"/>
          <w:sz w:val="24"/>
          <w:szCs w:val="24"/>
          <w:highlight w:val="none"/>
        </w:rPr>
        <w:t>⑦</w:t>
      </w:r>
      <w:r>
        <w:rPr>
          <w:rFonts w:hint="eastAsia" w:ascii="宋体" w:hAnsi="宋体"/>
          <w:color w:val="auto"/>
          <w:sz w:val="24"/>
          <w:szCs w:val="24"/>
          <w:highlight w:val="none"/>
        </w:rPr>
        <w:t>投标人认为需要提供的资料（如有）。</w:t>
      </w:r>
    </w:p>
    <w:p w14:paraId="6BB94AC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投标文件的上述组成部分如存在内容不一致的，以投标函为准。</w:t>
      </w:r>
    </w:p>
    <w:p w14:paraId="3CFD471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3．我方承诺在招标文件规定的投标有效期</w:t>
      </w:r>
      <w:r>
        <w:rPr>
          <w:rFonts w:hint="eastAsia" w:ascii="宋体" w:hAnsi="宋体"/>
          <w:color w:val="auto"/>
          <w:sz w:val="24"/>
          <w:szCs w:val="24"/>
          <w:highlight w:val="none"/>
          <w:u w:val="single"/>
        </w:rPr>
        <w:t>120</w:t>
      </w:r>
      <w:r>
        <w:rPr>
          <w:rFonts w:hint="eastAsia" w:ascii="宋体" w:hAnsi="宋体"/>
          <w:color w:val="auto"/>
          <w:sz w:val="24"/>
          <w:szCs w:val="24"/>
          <w:highlight w:val="none"/>
        </w:rPr>
        <w:t>日历天内不撤销投标文件。</w:t>
      </w:r>
    </w:p>
    <w:p w14:paraId="0CCE4DC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4．如我方中标，我方承诺：</w:t>
      </w:r>
    </w:p>
    <w:p w14:paraId="2E2C4F30">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（1）在收到中标通知书后，在中标通知书规定的期限内与你方签订合同；</w:t>
      </w:r>
    </w:p>
    <w:p w14:paraId="5E8C7385">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（2）在签订合同时不向你方提出附加条件；</w:t>
      </w:r>
    </w:p>
    <w:p w14:paraId="17F985D9">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（3）按照招标文件要求提交履约保证金；</w:t>
      </w:r>
      <w:bookmarkStart w:id="464" w:name="_Toc352691658"/>
      <w:bookmarkStart w:id="465" w:name="_Toc369531694"/>
      <w:bookmarkStart w:id="466" w:name="_Toc1187"/>
    </w:p>
    <w:p w14:paraId="688FFB51">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（4）在合</w:t>
      </w:r>
      <w:bookmarkEnd w:id="464"/>
      <w:bookmarkEnd w:id="465"/>
      <w:bookmarkEnd w:id="466"/>
      <w:r>
        <w:rPr>
          <w:rFonts w:hint="eastAsia" w:ascii="宋体" w:hAnsi="宋体"/>
          <w:color w:val="auto"/>
          <w:sz w:val="24"/>
          <w:szCs w:val="24"/>
          <w:highlight w:val="none"/>
        </w:rPr>
        <w:t>同约定的期限内完成合同规定的全部义务。</w:t>
      </w:r>
    </w:p>
    <w:p w14:paraId="6140D5D3">
      <w:pPr>
        <w:spacing w:line="360" w:lineRule="auto"/>
        <w:ind w:firstLine="708" w:firstLineChars="295"/>
        <w:rPr>
          <w:rFonts w:ascii="宋体" w:hAnsi="宋体"/>
          <w:color w:val="auto"/>
          <w:sz w:val="24"/>
          <w:szCs w:val="24"/>
          <w:highlight w:val="none"/>
        </w:rPr>
      </w:pPr>
      <w:r>
        <w:rPr>
          <w:rFonts w:hint="eastAsia" w:ascii="宋体" w:hAnsi="宋体"/>
          <w:color w:val="auto"/>
          <w:sz w:val="24"/>
          <w:szCs w:val="24"/>
          <w:highlight w:val="none"/>
        </w:rPr>
        <w:t>（5）除伤亡、吊销监理工程师执业资格等合法原因不能再从事监理工作情形外，如我方更换项目总监、总监代表，接受贵</w:t>
      </w:r>
      <w:r>
        <w:rPr>
          <w:rFonts w:hint="eastAsia" w:ascii="宋体" w:hAnsi="宋体"/>
          <w:color w:val="auto"/>
          <w:spacing w:val="4"/>
          <w:sz w:val="24"/>
          <w:szCs w:val="24"/>
          <w:highlight w:val="none"/>
        </w:rPr>
        <w:t>中心</w:t>
      </w:r>
      <w:r>
        <w:rPr>
          <w:rFonts w:hint="eastAsia" w:ascii="宋体" w:hAnsi="宋体"/>
          <w:color w:val="auto"/>
          <w:sz w:val="24"/>
          <w:szCs w:val="24"/>
          <w:highlight w:val="none"/>
        </w:rPr>
        <w:t>1年内拒绝我方参与贵单位后续工程投标的处理。</w:t>
      </w:r>
    </w:p>
    <w:p w14:paraId="48E51B1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5．我方在此声明，</w:t>
      </w:r>
      <w:bookmarkStart w:id="467" w:name="_Hlk22686284"/>
      <w:r>
        <w:rPr>
          <w:rFonts w:hint="eastAsia" w:ascii="宋体" w:hAnsi="宋体"/>
          <w:color w:val="auto"/>
          <w:sz w:val="24"/>
          <w:szCs w:val="24"/>
          <w:highlight w:val="none"/>
        </w:rPr>
        <w:t>所递交的投标文件</w:t>
      </w:r>
      <w:bookmarkEnd w:id="467"/>
      <w:r>
        <w:rPr>
          <w:rFonts w:hint="eastAsia" w:ascii="宋体" w:hAnsi="宋体"/>
          <w:color w:val="auto"/>
          <w:sz w:val="24"/>
          <w:szCs w:val="24"/>
          <w:highlight w:val="none"/>
        </w:rPr>
        <w:t>及有关资料内容完整、真实和准确，且不存在第二章“投标人须知”第1.4.3项规定的任何一种情形。</w:t>
      </w:r>
    </w:p>
    <w:p w14:paraId="5F06C0D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．如我方中标，我方承诺，满足“委托人要求”中的所有内容。</w:t>
      </w:r>
    </w:p>
    <w:p w14:paraId="33BC7A7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w:t>
      </w:r>
    </w:p>
    <w:bookmarkEnd w:id="393"/>
    <w:bookmarkEnd w:id="394"/>
    <w:bookmarkEnd w:id="395"/>
    <w:bookmarkEnd w:id="396"/>
    <w:bookmarkEnd w:id="397"/>
    <w:bookmarkEnd w:id="398"/>
    <w:bookmarkEnd w:id="399"/>
    <w:bookmarkEnd w:id="400"/>
    <w:bookmarkEnd w:id="401"/>
    <w:p w14:paraId="1CC11041">
      <w:pPr>
        <w:spacing w:line="360" w:lineRule="auto"/>
        <w:ind w:firstLine="2880" w:firstLineChars="1200"/>
        <w:jc w:val="left"/>
        <w:rPr>
          <w:rFonts w:ascii="宋体" w:hAnsi="宋体"/>
          <w:color w:val="auto"/>
          <w:sz w:val="24"/>
          <w:szCs w:val="24"/>
          <w:highlight w:val="none"/>
        </w:rPr>
      </w:pPr>
    </w:p>
    <w:p w14:paraId="23CE0517">
      <w:pPr>
        <w:spacing w:line="360" w:lineRule="auto"/>
        <w:ind w:firstLine="2880" w:firstLineChars="1200"/>
        <w:jc w:val="left"/>
        <w:rPr>
          <w:rFonts w:ascii="宋体" w:hAnsi="宋体"/>
          <w:color w:val="auto"/>
          <w:sz w:val="24"/>
          <w:szCs w:val="24"/>
          <w:highlight w:val="none"/>
        </w:rPr>
      </w:pPr>
    </w:p>
    <w:p w14:paraId="471C5FC4">
      <w:pPr>
        <w:spacing w:line="360" w:lineRule="auto"/>
        <w:ind w:firstLine="2835" w:firstLineChars="1350"/>
        <w:rPr>
          <w:color w:val="auto"/>
          <w:szCs w:val="21"/>
          <w:highlight w:val="none"/>
        </w:rPr>
      </w:pPr>
      <w:bookmarkStart w:id="468" w:name="_Toc535938753"/>
      <w:bookmarkStart w:id="469" w:name="_Toc391394112"/>
      <w:bookmarkStart w:id="470" w:name="_Toc529196602"/>
      <w:bookmarkStart w:id="471" w:name="_Toc359594236"/>
      <w:bookmarkStart w:id="472" w:name="_Toc482188652"/>
      <w:bookmarkStart w:id="473" w:name="_Toc370676427"/>
      <w:bookmarkStart w:id="474" w:name="_Toc385943066"/>
      <w:bookmarkStart w:id="475" w:name="_Toc530470645"/>
      <w:bookmarkStart w:id="476" w:name="_Toc144974856"/>
      <w:bookmarkStart w:id="477" w:name="_Toc247527827"/>
      <w:bookmarkStart w:id="478" w:name="_Toc361508752"/>
      <w:bookmarkStart w:id="479" w:name="_Toc152045787"/>
      <w:bookmarkStart w:id="480" w:name="_Toc17960"/>
      <w:bookmarkStart w:id="481" w:name="_Toc352691661"/>
      <w:bookmarkStart w:id="482" w:name="_Toc152042576"/>
      <w:bookmarkStart w:id="483" w:name="_Toc300835209"/>
      <w:bookmarkStart w:id="484" w:name="_Toc247514246"/>
      <w:bookmarkStart w:id="485" w:name="_Toc384308375"/>
      <w:bookmarkStart w:id="486" w:name="_Toc369531697"/>
      <w:r>
        <w:rPr>
          <w:rFonts w:hint="eastAsia"/>
          <w:color w:val="auto"/>
          <w:szCs w:val="21"/>
          <w:highlight w:val="none"/>
        </w:rPr>
        <w:t>投标人：</w:t>
      </w:r>
      <w:r>
        <w:rPr>
          <w:rFonts w:hint="eastAsia"/>
          <w:color w:val="auto"/>
          <w:szCs w:val="21"/>
          <w:highlight w:val="none"/>
          <w:u w:val="single"/>
        </w:rPr>
        <w:t xml:space="preserve">                       </w:t>
      </w:r>
      <w:r>
        <w:rPr>
          <w:rFonts w:hint="default"/>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p>
    <w:p w14:paraId="3EC4B842">
      <w:pPr>
        <w:spacing w:line="360" w:lineRule="auto"/>
        <w:ind w:firstLine="2835" w:firstLineChars="1350"/>
        <w:rPr>
          <w:color w:val="auto"/>
          <w:szCs w:val="21"/>
          <w:highlight w:val="none"/>
        </w:rPr>
      </w:pPr>
      <w:r>
        <w:rPr>
          <w:rFonts w:hint="eastAsia"/>
          <w:color w:val="auto"/>
          <w:szCs w:val="21"/>
          <w:highlight w:val="none"/>
        </w:rPr>
        <w:t>地址：</w:t>
      </w:r>
      <w:r>
        <w:rPr>
          <w:rFonts w:hint="eastAsia"/>
          <w:color w:val="auto"/>
          <w:szCs w:val="21"/>
          <w:highlight w:val="none"/>
          <w:u w:val="single"/>
        </w:rPr>
        <w:t xml:space="preserve">                                       </w:t>
      </w:r>
    </w:p>
    <w:p w14:paraId="3A050566">
      <w:pPr>
        <w:spacing w:line="360" w:lineRule="auto"/>
        <w:ind w:firstLine="2835" w:firstLineChars="1350"/>
        <w:rPr>
          <w:color w:val="auto"/>
          <w:szCs w:val="21"/>
          <w:highlight w:val="none"/>
        </w:rPr>
      </w:pPr>
      <w:r>
        <w:rPr>
          <w:rFonts w:hint="eastAsia"/>
          <w:color w:val="auto"/>
          <w:szCs w:val="21"/>
          <w:highlight w:val="none"/>
        </w:rPr>
        <w:t>网址：</w:t>
      </w:r>
      <w:r>
        <w:rPr>
          <w:rFonts w:hint="eastAsia"/>
          <w:color w:val="auto"/>
          <w:szCs w:val="21"/>
          <w:highlight w:val="none"/>
          <w:u w:val="single"/>
        </w:rPr>
        <w:t xml:space="preserve">                                       </w:t>
      </w:r>
    </w:p>
    <w:p w14:paraId="77A407CE">
      <w:pPr>
        <w:spacing w:line="360" w:lineRule="auto"/>
        <w:ind w:right="85" w:firstLine="2835" w:firstLineChars="1350"/>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p>
    <w:p w14:paraId="244D0DFC">
      <w:pPr>
        <w:spacing w:line="360" w:lineRule="auto"/>
        <w:ind w:firstLine="2835" w:firstLineChars="1350"/>
        <w:rPr>
          <w:color w:val="auto"/>
          <w:szCs w:val="21"/>
          <w:highlight w:val="none"/>
        </w:rPr>
      </w:pPr>
      <w:r>
        <w:rPr>
          <w:rFonts w:hint="eastAsia"/>
          <w:color w:val="auto"/>
          <w:szCs w:val="21"/>
          <w:highlight w:val="none"/>
        </w:rPr>
        <w:t>传真：</w:t>
      </w:r>
      <w:r>
        <w:rPr>
          <w:rFonts w:hint="eastAsia"/>
          <w:color w:val="auto"/>
          <w:szCs w:val="21"/>
          <w:highlight w:val="none"/>
          <w:u w:val="single"/>
        </w:rPr>
        <w:t xml:space="preserve">                                       </w:t>
      </w:r>
    </w:p>
    <w:p w14:paraId="032A5DFD">
      <w:pPr>
        <w:spacing w:line="360" w:lineRule="auto"/>
        <w:ind w:firstLine="2835" w:firstLineChars="1350"/>
        <w:rPr>
          <w:color w:val="auto"/>
          <w:szCs w:val="21"/>
          <w:highlight w:val="none"/>
        </w:rPr>
      </w:pPr>
      <w:r>
        <w:rPr>
          <w:rFonts w:hint="eastAsia"/>
          <w:color w:val="auto"/>
          <w:szCs w:val="21"/>
          <w:highlight w:val="none"/>
        </w:rPr>
        <w:t>邮政编码：</w:t>
      </w:r>
      <w:r>
        <w:rPr>
          <w:rFonts w:hint="eastAsia"/>
          <w:color w:val="auto"/>
          <w:szCs w:val="21"/>
          <w:highlight w:val="none"/>
          <w:u w:val="single"/>
        </w:rPr>
        <w:t xml:space="preserve">                                   </w:t>
      </w:r>
    </w:p>
    <w:p w14:paraId="51238D5B">
      <w:pPr>
        <w:spacing w:line="360" w:lineRule="auto"/>
        <w:ind w:firstLine="5775" w:firstLineChars="2750"/>
        <w:rPr>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4D0BBF45">
      <w:pPr>
        <w:spacing w:line="480" w:lineRule="auto"/>
        <w:ind w:left="118"/>
        <w:jc w:val="center"/>
        <w:outlineLvl w:val="2"/>
        <w:rPr>
          <w:rFonts w:ascii="宋体" w:hAnsi="宋体"/>
          <w:b/>
          <w:bCs/>
          <w:color w:val="auto"/>
          <w:kern w:val="0"/>
          <w:sz w:val="32"/>
          <w:szCs w:val="32"/>
          <w:highlight w:val="none"/>
        </w:rPr>
      </w:pPr>
      <w:r>
        <w:rPr>
          <w:rFonts w:hint="eastAsia" w:ascii="宋体" w:hAnsi="宋体" w:eastAsia="黑体"/>
          <w:color w:val="auto"/>
          <w:kern w:val="0"/>
          <w:sz w:val="32"/>
          <w:szCs w:val="32"/>
          <w:highlight w:val="none"/>
        </w:rPr>
        <w:br w:type="page"/>
      </w:r>
      <w:r>
        <w:rPr>
          <w:rFonts w:hint="eastAsia" w:ascii="宋体" w:hAnsi="宋体"/>
          <w:b/>
          <w:bCs/>
          <w:color w:val="auto"/>
          <w:kern w:val="0"/>
          <w:sz w:val="32"/>
          <w:szCs w:val="32"/>
          <w:highlight w:val="none"/>
        </w:rPr>
        <w:t>（二）投标函附录</w:t>
      </w:r>
      <w:bookmarkEnd w:id="468"/>
      <w:bookmarkEnd w:id="469"/>
      <w:bookmarkEnd w:id="470"/>
      <w:bookmarkEnd w:id="471"/>
      <w:bookmarkEnd w:id="472"/>
      <w:bookmarkEnd w:id="473"/>
      <w:bookmarkEnd w:id="474"/>
      <w:bookmarkEnd w:id="475"/>
    </w:p>
    <w:tbl>
      <w:tblPr>
        <w:tblStyle w:val="1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268"/>
        <w:gridCol w:w="4604"/>
        <w:gridCol w:w="1559"/>
      </w:tblGrid>
      <w:tr w14:paraId="707C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A798A6E">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序号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2E31C314">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条款名称</w:t>
            </w:r>
          </w:p>
        </w:tc>
        <w:tc>
          <w:tcPr>
            <w:tcW w:w="4604" w:type="dxa"/>
            <w:tcBorders>
              <w:top w:val="single" w:color="auto" w:sz="4" w:space="0"/>
              <w:left w:val="single" w:color="auto" w:sz="4" w:space="0"/>
              <w:bottom w:val="single" w:color="auto" w:sz="4" w:space="0"/>
              <w:right w:val="single" w:color="auto" w:sz="4" w:space="0"/>
            </w:tcBorders>
            <w:noWrap/>
            <w:vAlign w:val="center"/>
          </w:tcPr>
          <w:p w14:paraId="24989D4D">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约定内容</w:t>
            </w:r>
          </w:p>
        </w:tc>
        <w:tc>
          <w:tcPr>
            <w:tcW w:w="1559" w:type="dxa"/>
            <w:tcBorders>
              <w:top w:val="single" w:color="auto" w:sz="4" w:space="0"/>
              <w:left w:val="single" w:color="auto" w:sz="4" w:space="0"/>
              <w:bottom w:val="single" w:color="auto" w:sz="4" w:space="0"/>
              <w:right w:val="single" w:color="auto" w:sz="4" w:space="0"/>
            </w:tcBorders>
            <w:noWrap/>
            <w:vAlign w:val="center"/>
          </w:tcPr>
          <w:p w14:paraId="68761BEA">
            <w:pPr>
              <w:keepNext w:val="0"/>
              <w:keepLines w:val="0"/>
              <w:suppressLineNumbers w:val="0"/>
              <w:spacing w:before="0" w:beforeAutospacing="0" w:after="0" w:afterAutospacing="0"/>
              <w:ind w:left="0" w:right="0"/>
              <w:jc w:val="center"/>
              <w:rPr>
                <w:rFonts w:hint="default" w:ascii="宋体" w:hAnsi="宋体"/>
                <w:b/>
                <w:color w:val="auto"/>
                <w:sz w:val="24"/>
                <w:szCs w:val="24"/>
                <w:highlight w:val="none"/>
              </w:rPr>
            </w:pPr>
            <w:r>
              <w:rPr>
                <w:rFonts w:hint="eastAsia" w:ascii="宋体" w:hAnsi="宋体"/>
                <w:b/>
                <w:color w:val="auto"/>
                <w:sz w:val="24"/>
                <w:szCs w:val="24"/>
                <w:highlight w:val="none"/>
              </w:rPr>
              <w:t>备注</w:t>
            </w:r>
          </w:p>
        </w:tc>
      </w:tr>
      <w:tr w14:paraId="0CF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120D0180">
            <w:pPr>
              <w:keepNext w:val="0"/>
              <w:keepLines w:val="0"/>
              <w:suppressLineNumbers w:val="0"/>
              <w:spacing w:before="100" w:beforeAutospacing="1" w:after="100" w:afterAutospacing="1"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1</w:t>
            </w:r>
          </w:p>
        </w:tc>
        <w:tc>
          <w:tcPr>
            <w:tcW w:w="2268" w:type="dxa"/>
            <w:tcBorders>
              <w:top w:val="single" w:color="auto" w:sz="4" w:space="0"/>
              <w:left w:val="single" w:color="auto" w:sz="4" w:space="0"/>
              <w:bottom w:val="single" w:color="auto" w:sz="4" w:space="0"/>
              <w:right w:val="single" w:color="auto" w:sz="4" w:space="0"/>
            </w:tcBorders>
            <w:noWrap/>
            <w:vAlign w:val="center"/>
          </w:tcPr>
          <w:p w14:paraId="6DEB5F94">
            <w:pPr>
              <w:keepNext w:val="0"/>
              <w:keepLines w:val="0"/>
              <w:suppressLineNumbers w:val="0"/>
              <w:spacing w:before="100" w:beforeAutospacing="1" w:after="100" w:afterAutospacing="1"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总监理工程师</w:t>
            </w:r>
          </w:p>
        </w:tc>
        <w:tc>
          <w:tcPr>
            <w:tcW w:w="4604" w:type="dxa"/>
            <w:tcBorders>
              <w:top w:val="single" w:color="auto" w:sz="4" w:space="0"/>
              <w:left w:val="single" w:color="auto" w:sz="4" w:space="0"/>
              <w:bottom w:val="single" w:color="auto" w:sz="4" w:space="0"/>
              <w:right w:val="single" w:color="auto" w:sz="4" w:space="0"/>
            </w:tcBorders>
            <w:noWrap/>
            <w:vAlign w:val="center"/>
          </w:tcPr>
          <w:p w14:paraId="47030895">
            <w:pPr>
              <w:keepNext w:val="0"/>
              <w:keepLines w:val="0"/>
              <w:suppressLineNumbers w:val="0"/>
              <w:spacing w:before="0" w:beforeAutospacing="0" w:after="0" w:afterAutospacing="0" w:line="400" w:lineRule="exact"/>
              <w:ind w:left="0" w:right="0"/>
              <w:contextualSpacing/>
              <w:rPr>
                <w:rFonts w:hint="default" w:ascii="宋体" w:hAnsi="宋体"/>
                <w:color w:val="auto"/>
                <w:sz w:val="24"/>
                <w:highlight w:val="none"/>
              </w:rPr>
            </w:pPr>
            <w:r>
              <w:rPr>
                <w:rFonts w:hint="eastAsia" w:ascii="宋体" w:hAnsi="宋体"/>
                <w:color w:val="auto"/>
                <w:sz w:val="24"/>
                <w:highlight w:val="none"/>
              </w:rPr>
              <w:t>姓名：</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p>
          <w:p w14:paraId="0142401B">
            <w:pPr>
              <w:keepNext w:val="0"/>
              <w:keepLines w:val="0"/>
              <w:suppressLineNumbers w:val="0"/>
              <w:spacing w:before="0" w:beforeAutospacing="0" w:after="0" w:afterAutospacing="0" w:line="400" w:lineRule="exact"/>
              <w:ind w:left="0" w:right="0"/>
              <w:contextualSpacing/>
              <w:rPr>
                <w:rFonts w:hint="default" w:ascii="宋体" w:hAnsi="宋体"/>
                <w:color w:val="auto"/>
                <w:sz w:val="24"/>
                <w:highlight w:val="none"/>
              </w:rPr>
            </w:pPr>
            <w:r>
              <w:rPr>
                <w:rFonts w:hint="eastAsia" w:ascii="宋体" w:hAnsi="宋体"/>
                <w:color w:val="auto"/>
                <w:sz w:val="24"/>
                <w:highlight w:val="none"/>
              </w:rPr>
              <w:t>技术职称：</w:t>
            </w:r>
            <w:r>
              <w:rPr>
                <w:rFonts w:hint="eastAsia"/>
                <w:color w:val="auto"/>
                <w:szCs w:val="21"/>
                <w:highlight w:val="none"/>
                <w:u w:val="single"/>
              </w:rPr>
              <w:t xml:space="preserve">              </w:t>
            </w:r>
          </w:p>
          <w:p w14:paraId="6C0CDB87">
            <w:pPr>
              <w:keepNext w:val="0"/>
              <w:keepLines w:val="0"/>
              <w:suppressLineNumbers w:val="0"/>
              <w:topLinePunct/>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kern w:val="0"/>
                <w:sz w:val="24"/>
                <w:szCs w:val="20"/>
                <w:highlight w:val="none"/>
              </w:rPr>
              <w:t>注册证号：</w:t>
            </w: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3534D9FA">
            <w:pPr>
              <w:keepNext w:val="0"/>
              <w:keepLines w:val="0"/>
              <w:suppressLineNumbers w:val="0"/>
              <w:spacing w:before="0" w:beforeAutospacing="0" w:after="0" w:afterAutospacing="0" w:line="400" w:lineRule="exact"/>
              <w:ind w:left="0" w:right="0" w:firstLine="0" w:firstLineChars="0"/>
              <w:contextualSpacing/>
              <w:jc w:val="center"/>
              <w:rPr>
                <w:rFonts w:hint="default" w:ascii="宋体" w:hAnsi="宋体"/>
                <w:color w:val="auto"/>
                <w:sz w:val="24"/>
                <w:szCs w:val="24"/>
                <w:highlight w:val="none"/>
              </w:rPr>
            </w:pPr>
          </w:p>
        </w:tc>
      </w:tr>
      <w:tr w14:paraId="73E5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5BD85E53">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2</w:t>
            </w:r>
          </w:p>
        </w:tc>
        <w:tc>
          <w:tcPr>
            <w:tcW w:w="2268" w:type="dxa"/>
            <w:tcBorders>
              <w:top w:val="single" w:color="auto" w:sz="4" w:space="0"/>
              <w:left w:val="single" w:color="auto" w:sz="4" w:space="0"/>
              <w:bottom w:val="single" w:color="auto" w:sz="4" w:space="0"/>
              <w:right w:val="single" w:color="auto" w:sz="4" w:space="0"/>
            </w:tcBorders>
            <w:noWrap/>
            <w:vAlign w:val="center"/>
          </w:tcPr>
          <w:p w14:paraId="4DC84005">
            <w:pPr>
              <w:keepNext w:val="0"/>
              <w:keepLines w:val="0"/>
              <w:suppressLineNumbers w:val="0"/>
              <w:spacing w:before="100" w:beforeAutospacing="1" w:after="100" w:afterAutospacing="1"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监理服务期限</w:t>
            </w:r>
          </w:p>
        </w:tc>
        <w:tc>
          <w:tcPr>
            <w:tcW w:w="4604" w:type="dxa"/>
            <w:tcBorders>
              <w:top w:val="single" w:color="auto" w:sz="4" w:space="0"/>
              <w:left w:val="single" w:color="auto" w:sz="4" w:space="0"/>
              <w:bottom w:val="single" w:color="auto" w:sz="4" w:space="0"/>
              <w:right w:val="single" w:color="auto" w:sz="4" w:space="0"/>
            </w:tcBorders>
            <w:noWrap/>
            <w:vAlign w:val="center"/>
          </w:tcPr>
          <w:p w14:paraId="03C3FC51">
            <w:pPr>
              <w:keepNext w:val="0"/>
              <w:keepLines w:val="0"/>
              <w:suppressLineNumbers w:val="0"/>
              <w:topLinePunct/>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3FEAAAA3">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2219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04398CD">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5BB79AA2">
            <w:pPr>
              <w:keepNext w:val="0"/>
              <w:keepLines w:val="0"/>
              <w:suppressLineNumbers w:val="0"/>
              <w:spacing w:before="100" w:beforeAutospacing="1" w:after="100" w:afterAutospacing="1"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合同价款确定方式</w:t>
            </w:r>
          </w:p>
        </w:tc>
        <w:tc>
          <w:tcPr>
            <w:tcW w:w="4604" w:type="dxa"/>
            <w:tcBorders>
              <w:top w:val="single" w:color="auto" w:sz="4" w:space="0"/>
              <w:left w:val="single" w:color="auto" w:sz="4" w:space="0"/>
              <w:bottom w:val="single" w:color="auto" w:sz="4" w:space="0"/>
              <w:right w:val="single" w:color="auto" w:sz="4" w:space="0"/>
            </w:tcBorders>
            <w:noWrap/>
            <w:vAlign w:val="center"/>
          </w:tcPr>
          <w:p w14:paraId="73CBB1C8">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highlight w:val="none"/>
                <w:u w:val="single"/>
              </w:rPr>
              <w:t>按合同约定</w:t>
            </w:r>
          </w:p>
        </w:tc>
        <w:tc>
          <w:tcPr>
            <w:tcW w:w="1559" w:type="dxa"/>
            <w:tcBorders>
              <w:top w:val="single" w:color="auto" w:sz="4" w:space="0"/>
              <w:left w:val="single" w:color="auto" w:sz="4" w:space="0"/>
              <w:bottom w:val="single" w:color="auto" w:sz="4" w:space="0"/>
              <w:right w:val="single" w:color="auto" w:sz="4" w:space="0"/>
            </w:tcBorders>
            <w:noWrap/>
            <w:vAlign w:val="center"/>
          </w:tcPr>
          <w:p w14:paraId="44304204">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45E5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5C66592">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4</w:t>
            </w:r>
          </w:p>
        </w:tc>
        <w:tc>
          <w:tcPr>
            <w:tcW w:w="2268" w:type="dxa"/>
            <w:tcBorders>
              <w:top w:val="single" w:color="auto" w:sz="4" w:space="0"/>
              <w:left w:val="single" w:color="auto" w:sz="4" w:space="0"/>
              <w:bottom w:val="single" w:color="auto" w:sz="4" w:space="0"/>
              <w:right w:val="single" w:color="auto" w:sz="4" w:space="0"/>
            </w:tcBorders>
            <w:noWrap/>
            <w:vAlign w:val="center"/>
          </w:tcPr>
          <w:p w14:paraId="5FBB258F">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质量标准</w:t>
            </w:r>
          </w:p>
        </w:tc>
        <w:tc>
          <w:tcPr>
            <w:tcW w:w="4604" w:type="dxa"/>
            <w:tcBorders>
              <w:top w:val="single" w:color="auto" w:sz="4" w:space="0"/>
              <w:left w:val="single" w:color="auto" w:sz="4" w:space="0"/>
              <w:bottom w:val="single" w:color="auto" w:sz="4" w:space="0"/>
              <w:right w:val="single" w:color="auto" w:sz="4" w:space="0"/>
            </w:tcBorders>
            <w:noWrap/>
            <w:vAlign w:val="center"/>
          </w:tcPr>
          <w:p w14:paraId="778E01A2">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u w:val="single"/>
              </w:rPr>
              <w:t>按招标文件要求</w:t>
            </w:r>
          </w:p>
        </w:tc>
        <w:tc>
          <w:tcPr>
            <w:tcW w:w="1559" w:type="dxa"/>
            <w:tcBorders>
              <w:top w:val="single" w:color="auto" w:sz="4" w:space="0"/>
              <w:left w:val="single" w:color="auto" w:sz="4" w:space="0"/>
              <w:bottom w:val="single" w:color="auto" w:sz="4" w:space="0"/>
              <w:right w:val="single" w:color="auto" w:sz="4" w:space="0"/>
            </w:tcBorders>
            <w:noWrap/>
            <w:vAlign w:val="center"/>
          </w:tcPr>
          <w:p w14:paraId="3584EBA5">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4423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0FC37891">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5</w:t>
            </w:r>
          </w:p>
        </w:tc>
        <w:tc>
          <w:tcPr>
            <w:tcW w:w="2268" w:type="dxa"/>
            <w:tcBorders>
              <w:top w:val="single" w:color="auto" w:sz="4" w:space="0"/>
              <w:left w:val="single" w:color="auto" w:sz="4" w:space="0"/>
              <w:bottom w:val="single" w:color="auto" w:sz="4" w:space="0"/>
              <w:right w:val="single" w:color="auto" w:sz="4" w:space="0"/>
            </w:tcBorders>
            <w:noWrap/>
            <w:vAlign w:val="center"/>
          </w:tcPr>
          <w:p w14:paraId="14C40124">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拟投入本项目监理机构人数</w:t>
            </w:r>
          </w:p>
        </w:tc>
        <w:tc>
          <w:tcPr>
            <w:tcW w:w="4604" w:type="dxa"/>
            <w:tcBorders>
              <w:top w:val="single" w:color="auto" w:sz="4" w:space="0"/>
              <w:left w:val="single" w:color="auto" w:sz="4" w:space="0"/>
              <w:bottom w:val="single" w:color="auto" w:sz="4" w:space="0"/>
              <w:right w:val="single" w:color="auto" w:sz="4" w:space="0"/>
            </w:tcBorders>
            <w:noWrap/>
            <w:vAlign w:val="center"/>
          </w:tcPr>
          <w:p w14:paraId="5231FCD4">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rPr>
              <w:t>人数：</w:t>
            </w: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4AA9C756">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3D1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4CADBA70">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6</w:t>
            </w:r>
          </w:p>
        </w:tc>
        <w:tc>
          <w:tcPr>
            <w:tcW w:w="2268" w:type="dxa"/>
            <w:tcBorders>
              <w:top w:val="single" w:color="auto" w:sz="4" w:space="0"/>
              <w:left w:val="single" w:color="auto" w:sz="4" w:space="0"/>
              <w:bottom w:val="single" w:color="auto" w:sz="4" w:space="0"/>
              <w:right w:val="single" w:color="auto" w:sz="4" w:space="0"/>
            </w:tcBorders>
            <w:noWrap/>
            <w:vAlign w:val="center"/>
          </w:tcPr>
          <w:p w14:paraId="48BECA8B">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投标总报价</w:t>
            </w:r>
          </w:p>
        </w:tc>
        <w:tc>
          <w:tcPr>
            <w:tcW w:w="4604" w:type="dxa"/>
            <w:tcBorders>
              <w:top w:val="single" w:color="auto" w:sz="4" w:space="0"/>
              <w:left w:val="single" w:color="auto" w:sz="4" w:space="0"/>
              <w:bottom w:val="single" w:color="auto" w:sz="4" w:space="0"/>
              <w:right w:val="single" w:color="auto" w:sz="4" w:space="0"/>
            </w:tcBorders>
            <w:noWrap/>
            <w:vAlign w:val="center"/>
          </w:tcPr>
          <w:p w14:paraId="7CE353DA">
            <w:pPr>
              <w:keepNext w:val="0"/>
              <w:keepLines w:val="0"/>
              <w:suppressLineNumbers w:val="0"/>
              <w:spacing w:before="120" w:beforeLines="50" w:beforeAutospacing="0" w:after="120" w:afterLines="50" w:afterAutospacing="0" w:line="400" w:lineRule="exact"/>
              <w:ind w:left="0" w:right="0"/>
              <w:contextualSpacing/>
              <w:rPr>
                <w:rFonts w:hint="default" w:hAnsi="宋体"/>
                <w:color w:val="auto"/>
                <w:highlight w:val="none"/>
                <w:u w:val="single"/>
              </w:rPr>
            </w:pPr>
            <w:r>
              <w:rPr>
                <w:rFonts w:hint="eastAsia" w:ascii="宋体" w:hAnsi="宋体"/>
                <w:color w:val="auto"/>
                <w:sz w:val="24"/>
                <w:szCs w:val="24"/>
                <w:highlight w:val="none"/>
              </w:rPr>
              <w:t>投标总报价（元）：</w:t>
            </w: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0D7904C5">
            <w:pPr>
              <w:keepNext w:val="0"/>
              <w:keepLines w:val="0"/>
              <w:suppressLineNumbers w:val="0"/>
              <w:tabs>
                <w:tab w:val="left" w:pos="360"/>
              </w:tabs>
              <w:spacing w:before="0" w:beforeAutospacing="0" w:after="0" w:afterAutospacing="0" w:line="400" w:lineRule="exact"/>
              <w:ind w:left="0" w:right="0"/>
              <w:contextualSpacing/>
              <w:jc w:val="center"/>
              <w:rPr>
                <w:rFonts w:hint="default" w:ascii="宋体" w:hAnsi="宋体"/>
                <w:b/>
                <w:color w:val="auto"/>
                <w:szCs w:val="21"/>
                <w:highlight w:val="none"/>
              </w:rPr>
            </w:pPr>
          </w:p>
        </w:tc>
      </w:tr>
      <w:tr w14:paraId="4C83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1D8C7C61">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7</w:t>
            </w:r>
          </w:p>
        </w:tc>
        <w:tc>
          <w:tcPr>
            <w:tcW w:w="2268" w:type="dxa"/>
            <w:tcBorders>
              <w:top w:val="single" w:color="auto" w:sz="4" w:space="0"/>
              <w:left w:val="single" w:color="auto" w:sz="4" w:space="0"/>
              <w:bottom w:val="single" w:color="auto" w:sz="4" w:space="0"/>
              <w:right w:val="single" w:color="auto" w:sz="4" w:space="0"/>
            </w:tcBorders>
            <w:noWrap/>
            <w:vAlign w:val="center"/>
          </w:tcPr>
          <w:p w14:paraId="0C9F1D6B">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法 人 营 业</w:t>
            </w:r>
          </w:p>
          <w:p w14:paraId="59C3D06B">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执 照 证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2D73F5AD">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rPr>
              <w:t>法 人 营 业</w:t>
            </w:r>
          </w:p>
          <w:p w14:paraId="3303FEDB">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rPr>
              <w:t>执 照 证 号：</w:t>
            </w: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456D2679">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3722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930877D">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8</w:t>
            </w:r>
          </w:p>
        </w:tc>
        <w:tc>
          <w:tcPr>
            <w:tcW w:w="2268" w:type="dxa"/>
            <w:tcBorders>
              <w:top w:val="single" w:color="auto" w:sz="4" w:space="0"/>
              <w:left w:val="single" w:color="auto" w:sz="4" w:space="0"/>
              <w:bottom w:val="single" w:color="auto" w:sz="4" w:space="0"/>
              <w:right w:val="single" w:color="auto" w:sz="4" w:space="0"/>
            </w:tcBorders>
            <w:noWrap/>
            <w:vAlign w:val="center"/>
          </w:tcPr>
          <w:p w14:paraId="33A047CE">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资 质 等 级</w:t>
            </w:r>
          </w:p>
          <w:p w14:paraId="5DA91D69">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及 证 书 号</w:t>
            </w:r>
          </w:p>
        </w:tc>
        <w:tc>
          <w:tcPr>
            <w:tcW w:w="4604" w:type="dxa"/>
            <w:tcBorders>
              <w:top w:val="single" w:color="auto" w:sz="4" w:space="0"/>
              <w:left w:val="single" w:color="auto" w:sz="4" w:space="0"/>
              <w:bottom w:val="single" w:color="auto" w:sz="4" w:space="0"/>
              <w:right w:val="single" w:color="auto" w:sz="4" w:space="0"/>
            </w:tcBorders>
            <w:noWrap/>
            <w:vAlign w:val="center"/>
          </w:tcPr>
          <w:p w14:paraId="636F3B68">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rPr>
              <w:t>资质等级：</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p>
          <w:p w14:paraId="061238E1">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ascii="宋体" w:hAnsi="宋体"/>
                <w:color w:val="auto"/>
                <w:sz w:val="24"/>
                <w:szCs w:val="24"/>
                <w:highlight w:val="none"/>
              </w:rPr>
              <w:t>资质证书号：</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31E44E26">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p>
        </w:tc>
      </w:tr>
      <w:tr w14:paraId="011A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5" w:type="dxa"/>
            <w:tcBorders>
              <w:top w:val="single" w:color="auto" w:sz="4" w:space="0"/>
              <w:left w:val="single" w:color="auto" w:sz="4" w:space="0"/>
              <w:bottom w:val="single" w:color="auto" w:sz="4" w:space="0"/>
              <w:right w:val="single" w:color="auto" w:sz="4" w:space="0"/>
            </w:tcBorders>
            <w:noWrap/>
            <w:vAlign w:val="center"/>
          </w:tcPr>
          <w:p w14:paraId="6658EFBB">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9</w:t>
            </w:r>
          </w:p>
        </w:tc>
        <w:tc>
          <w:tcPr>
            <w:tcW w:w="2268" w:type="dxa"/>
            <w:tcBorders>
              <w:top w:val="single" w:color="auto" w:sz="4" w:space="0"/>
              <w:left w:val="single" w:color="auto" w:sz="4" w:space="0"/>
              <w:bottom w:val="single" w:color="auto" w:sz="4" w:space="0"/>
              <w:right w:val="single" w:color="auto" w:sz="4" w:space="0"/>
            </w:tcBorders>
            <w:noWrap/>
            <w:vAlign w:val="center"/>
          </w:tcPr>
          <w:p w14:paraId="7CD81D77">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需要建设单位提</w:t>
            </w:r>
          </w:p>
          <w:p w14:paraId="757B5829">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r>
              <w:rPr>
                <w:rFonts w:hint="eastAsia" w:ascii="宋体" w:hAnsi="宋体"/>
                <w:color w:val="auto"/>
                <w:sz w:val="24"/>
                <w:szCs w:val="24"/>
                <w:highlight w:val="none"/>
              </w:rPr>
              <w:t>供的配合条件</w:t>
            </w:r>
          </w:p>
        </w:tc>
        <w:tc>
          <w:tcPr>
            <w:tcW w:w="4604" w:type="dxa"/>
            <w:tcBorders>
              <w:top w:val="single" w:color="auto" w:sz="4" w:space="0"/>
              <w:left w:val="single" w:color="auto" w:sz="4" w:space="0"/>
              <w:bottom w:val="single" w:color="auto" w:sz="4" w:space="0"/>
              <w:right w:val="single" w:color="auto" w:sz="4" w:space="0"/>
            </w:tcBorders>
            <w:noWrap/>
            <w:vAlign w:val="center"/>
          </w:tcPr>
          <w:p w14:paraId="4A90511D">
            <w:pPr>
              <w:keepNext w:val="0"/>
              <w:keepLines w:val="0"/>
              <w:suppressLineNumbers w:val="0"/>
              <w:spacing w:before="0" w:beforeAutospacing="0" w:after="0" w:afterAutospacing="0" w:line="400" w:lineRule="exact"/>
              <w:ind w:left="0" w:right="0"/>
              <w:contextualSpacing/>
              <w:rPr>
                <w:rFonts w:hint="default" w:ascii="宋体" w:hAnsi="宋体"/>
                <w:color w:val="auto"/>
                <w:sz w:val="24"/>
                <w:szCs w:val="24"/>
                <w:highlight w:val="none"/>
              </w:rPr>
            </w:pPr>
            <w:r>
              <w:rPr>
                <w:rFonts w:hint="eastAsia"/>
                <w:color w:val="auto"/>
                <w:szCs w:val="21"/>
                <w:highlight w:val="none"/>
                <w:u w:val="single"/>
              </w:rPr>
              <w:t xml:space="preserve">              </w:t>
            </w:r>
          </w:p>
        </w:tc>
        <w:tc>
          <w:tcPr>
            <w:tcW w:w="1559" w:type="dxa"/>
            <w:tcBorders>
              <w:top w:val="single" w:color="auto" w:sz="4" w:space="0"/>
              <w:left w:val="single" w:color="auto" w:sz="4" w:space="0"/>
              <w:bottom w:val="single" w:color="auto" w:sz="4" w:space="0"/>
              <w:right w:val="single" w:color="auto" w:sz="4" w:space="0"/>
            </w:tcBorders>
            <w:noWrap/>
            <w:vAlign w:val="center"/>
          </w:tcPr>
          <w:p w14:paraId="2E050C60">
            <w:pPr>
              <w:keepNext w:val="0"/>
              <w:keepLines w:val="0"/>
              <w:suppressLineNumbers w:val="0"/>
              <w:spacing w:before="0" w:beforeAutospacing="0" w:after="0" w:afterAutospacing="0" w:line="400" w:lineRule="exact"/>
              <w:ind w:left="0" w:right="0"/>
              <w:contextualSpacing/>
              <w:jc w:val="center"/>
              <w:rPr>
                <w:rFonts w:hint="default" w:ascii="宋体" w:hAnsi="宋体"/>
                <w:color w:val="auto"/>
                <w:sz w:val="24"/>
                <w:szCs w:val="24"/>
                <w:highlight w:val="none"/>
              </w:rPr>
            </w:pPr>
          </w:p>
        </w:tc>
      </w:tr>
    </w:tbl>
    <w:p w14:paraId="1A92E7C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14:paraId="602EDF51">
      <w:pPr>
        <w:spacing w:line="360" w:lineRule="auto"/>
        <w:ind w:firstLine="722" w:firstLineChars="344"/>
        <w:jc w:val="left"/>
        <w:rPr>
          <w:rFonts w:ascii="宋体" w:hAnsi="宋体"/>
          <w:color w:val="auto"/>
          <w:sz w:val="24"/>
          <w:szCs w:val="24"/>
          <w:highlight w:val="none"/>
        </w:rPr>
      </w:pPr>
      <w:r>
        <w:rPr>
          <w:rFonts w:hint="eastAsia" w:ascii="宋体" w:hAnsi="宋体"/>
          <w:color w:val="auto"/>
          <w:szCs w:val="21"/>
          <w:highlight w:val="none"/>
        </w:rPr>
        <w:t>1.</w:t>
      </w:r>
      <w:r>
        <w:rPr>
          <w:rFonts w:hint="eastAsia"/>
          <w:color w:val="auto"/>
          <w:highlight w:val="none"/>
        </w:rPr>
        <w:t>投标人根据企业自身情况进行报价，</w:t>
      </w:r>
      <w:r>
        <w:rPr>
          <w:rFonts w:hint="eastAsia"/>
          <w:bCs/>
          <w:color w:val="auto"/>
          <w:highlight w:val="none"/>
        </w:rPr>
        <w:t>投标报价不得超过最高投标限价。</w:t>
      </w:r>
      <w:r>
        <w:rPr>
          <w:rFonts w:hint="eastAsia" w:ascii="宋体" w:hAnsi="宋体"/>
          <w:color w:val="auto"/>
          <w:szCs w:val="21"/>
          <w:highlight w:val="none"/>
        </w:rPr>
        <w:t>小数点后保留两位小数，第三位小数四舍五入。</w:t>
      </w:r>
    </w:p>
    <w:p w14:paraId="462C975B">
      <w:pPr>
        <w:spacing w:line="360" w:lineRule="auto"/>
        <w:ind w:firstLine="3120" w:firstLineChars="1300"/>
        <w:jc w:val="left"/>
        <w:rPr>
          <w:rFonts w:ascii="宋体" w:hAnsi="宋体"/>
          <w:color w:val="auto"/>
          <w:sz w:val="24"/>
          <w:szCs w:val="24"/>
          <w:highlight w:val="none"/>
        </w:rPr>
      </w:pPr>
    </w:p>
    <w:p w14:paraId="646AA6D2">
      <w:pPr>
        <w:spacing w:line="360" w:lineRule="auto"/>
        <w:ind w:left="0" w:leftChars="0" w:firstLine="2520" w:firstLineChars="1050"/>
        <w:jc w:val="left"/>
        <w:rPr>
          <w:rFonts w:hint="eastAsia" w:ascii="宋体" w:hAnsi="宋体"/>
          <w:color w:val="auto"/>
          <w:sz w:val="24"/>
          <w:highlight w:val="none"/>
        </w:rPr>
      </w:pPr>
      <w:r>
        <w:rPr>
          <w:rFonts w:hint="default" w:ascii="宋体" w:hAnsi="宋体"/>
          <w:color w:val="auto"/>
          <w:sz w:val="24"/>
          <w:highlight w:val="none"/>
        </w:rPr>
        <w:t xml:space="preserve">                    </w:t>
      </w:r>
      <w:r>
        <w:rPr>
          <w:rFonts w:hint="eastAsia" w:ascii="宋体" w:hAnsi="宋体"/>
          <w:color w:val="auto"/>
          <w:sz w:val="24"/>
          <w:highlight w:val="none"/>
        </w:rPr>
        <w:t>投标人：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C2A5D81">
      <w:pPr>
        <w:spacing w:line="360" w:lineRule="auto"/>
        <w:ind w:left="0" w:leftChars="0" w:firstLine="2520" w:firstLineChars="105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83D395F">
      <w:pPr>
        <w:spacing w:line="600" w:lineRule="auto"/>
        <w:jc w:val="left"/>
        <w:outlineLvl w:val="1"/>
        <w:rPr>
          <w:rFonts w:ascii="宋体" w:hAnsi="宋体"/>
          <w:b/>
          <w:bCs/>
          <w:color w:val="auto"/>
          <w:kern w:val="0"/>
          <w:sz w:val="30"/>
          <w:szCs w:val="30"/>
          <w:highlight w:val="none"/>
        </w:rPr>
      </w:pPr>
      <w:r>
        <w:rPr>
          <w:rFonts w:hint="eastAsia" w:ascii="宋体" w:hAnsi="宋体" w:eastAsia="黑体"/>
          <w:color w:val="auto"/>
          <w:kern w:val="0"/>
          <w:sz w:val="36"/>
          <w:szCs w:val="32"/>
          <w:highlight w:val="none"/>
        </w:rPr>
        <w:br w:type="page"/>
      </w:r>
      <w:bookmarkStart w:id="487" w:name="_Toc529196603"/>
      <w:bookmarkStart w:id="488" w:name="_Toc530470646"/>
      <w:bookmarkStart w:id="489" w:name="_Toc535938754"/>
      <w:r>
        <w:rPr>
          <w:rFonts w:hint="eastAsia" w:ascii="宋体" w:hAnsi="宋体"/>
          <w:b/>
          <w:bCs/>
          <w:color w:val="auto"/>
          <w:kern w:val="0"/>
          <w:sz w:val="30"/>
          <w:szCs w:val="30"/>
          <w:highlight w:val="none"/>
        </w:rPr>
        <w:t>二</w:t>
      </w:r>
      <w:bookmarkEnd w:id="476"/>
      <w:bookmarkEnd w:id="477"/>
      <w:bookmarkEnd w:id="478"/>
      <w:bookmarkEnd w:id="479"/>
      <w:bookmarkEnd w:id="480"/>
      <w:bookmarkEnd w:id="481"/>
      <w:bookmarkEnd w:id="482"/>
      <w:bookmarkEnd w:id="483"/>
      <w:bookmarkEnd w:id="484"/>
      <w:bookmarkEnd w:id="485"/>
      <w:bookmarkEnd w:id="486"/>
      <w:r>
        <w:rPr>
          <w:rFonts w:hint="eastAsia" w:ascii="宋体" w:hAnsi="宋体"/>
          <w:b/>
          <w:bCs/>
          <w:color w:val="auto"/>
          <w:kern w:val="0"/>
          <w:sz w:val="30"/>
          <w:szCs w:val="30"/>
          <w:highlight w:val="none"/>
        </w:rPr>
        <w:t>、法定代表人身份证明或授权委托书（格式可自定）</w:t>
      </w:r>
      <w:bookmarkEnd w:id="487"/>
      <w:bookmarkEnd w:id="488"/>
      <w:bookmarkEnd w:id="489"/>
    </w:p>
    <w:p w14:paraId="419A806D">
      <w:pPr>
        <w:spacing w:line="360" w:lineRule="auto"/>
        <w:jc w:val="center"/>
        <w:rPr>
          <w:rFonts w:ascii="宋体" w:hAnsi="宋体"/>
          <w:b/>
          <w:color w:val="auto"/>
          <w:sz w:val="24"/>
          <w:szCs w:val="24"/>
          <w:highlight w:val="none"/>
        </w:rPr>
      </w:pPr>
      <w:r>
        <w:rPr>
          <w:rFonts w:hint="eastAsia" w:ascii="宋体" w:hAnsi="宋体"/>
          <w:b/>
          <w:color w:val="auto"/>
          <w:sz w:val="32"/>
          <w:szCs w:val="32"/>
          <w:highlight w:val="none"/>
        </w:rPr>
        <w:t>法定代表人身份证明</w:t>
      </w:r>
    </w:p>
    <w:p w14:paraId="06ACCD34">
      <w:pPr>
        <w:spacing w:line="440" w:lineRule="exact"/>
        <w:rPr>
          <w:rFonts w:ascii="宋体" w:hAnsi="宋体"/>
          <w:color w:val="auto"/>
          <w:sz w:val="24"/>
          <w:highlight w:val="none"/>
          <w:u w:val="singl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14:paraId="469B7B4F">
      <w:pPr>
        <w:spacing w:line="44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20E3E4E1">
      <w:pPr>
        <w:spacing w:line="44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345F857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14:paraId="78A7F357">
      <w:pPr>
        <w:spacing w:line="440" w:lineRule="exact"/>
        <w:rPr>
          <w:rFonts w:ascii="宋体" w:hAnsi="宋体"/>
          <w:color w:val="auto"/>
          <w:sz w:val="24"/>
          <w:szCs w:val="24"/>
          <w:highlight w:val="none"/>
        </w:rPr>
      </w:pPr>
    </w:p>
    <w:p w14:paraId="15A4639B">
      <w:pPr>
        <w:spacing w:line="440" w:lineRule="exact"/>
        <w:rPr>
          <w:rFonts w:ascii="宋体" w:hAnsi="宋体"/>
          <w:color w:val="auto"/>
          <w:sz w:val="24"/>
          <w:szCs w:val="24"/>
          <w:highlight w:val="none"/>
        </w:rPr>
      </w:pPr>
      <w:r>
        <w:rPr>
          <w:rFonts w:hint="eastAsia" w:ascii="宋体" w:hAnsi="宋体"/>
          <w:color w:val="auto"/>
          <w:sz w:val="24"/>
          <w:szCs w:val="24"/>
          <w:highlight w:val="none"/>
        </w:rPr>
        <w:t>附：法定代表人身份证扫描件。</w:t>
      </w:r>
    </w:p>
    <w:p w14:paraId="2380B500">
      <w:pPr>
        <w:spacing w:line="440" w:lineRule="exact"/>
        <w:ind w:firstLine="480" w:firstLineChars="200"/>
        <w:rPr>
          <w:rFonts w:ascii="宋体" w:hAnsi="宋体"/>
          <w:color w:val="auto"/>
          <w:sz w:val="24"/>
          <w:szCs w:val="24"/>
          <w:highlight w:val="none"/>
        </w:rPr>
      </w:pPr>
    </w:p>
    <w:p w14:paraId="42379E9B">
      <w:pPr>
        <w:spacing w:line="440" w:lineRule="exact"/>
        <w:rPr>
          <w:rFonts w:ascii="宋体" w:hAnsi="宋体"/>
          <w:color w:val="auto"/>
          <w:sz w:val="24"/>
          <w:szCs w:val="24"/>
          <w:highlight w:val="none"/>
        </w:rPr>
      </w:pPr>
      <w:r>
        <w:rPr>
          <w:rFonts w:hint="eastAsia" w:ascii="宋体" w:hAnsi="宋体"/>
          <w:color w:val="auto"/>
          <w:sz w:val="24"/>
          <w:szCs w:val="24"/>
          <w:highlight w:val="none"/>
        </w:rPr>
        <w:t>注：本身份证明需由投标人加盖单位公章。</w:t>
      </w:r>
    </w:p>
    <w:p w14:paraId="30BD622C">
      <w:pPr>
        <w:spacing w:line="440" w:lineRule="exact"/>
        <w:rPr>
          <w:rFonts w:ascii="宋体" w:hAnsi="宋体"/>
          <w:color w:val="auto"/>
          <w:sz w:val="24"/>
          <w:szCs w:val="24"/>
          <w:highlight w:val="none"/>
        </w:rPr>
      </w:pPr>
    </w:p>
    <w:p w14:paraId="4E3B02DE">
      <w:pPr>
        <w:spacing w:line="440" w:lineRule="exact"/>
        <w:rPr>
          <w:rFonts w:ascii="宋体" w:hAnsi="宋体"/>
          <w:color w:val="auto"/>
          <w:sz w:val="24"/>
          <w:szCs w:val="24"/>
          <w:highlight w:val="none"/>
        </w:rPr>
      </w:pPr>
    </w:p>
    <w:p w14:paraId="47298D6E">
      <w:pPr>
        <w:spacing w:line="440" w:lineRule="exact"/>
        <w:jc w:val="right"/>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CB18445">
      <w:pPr>
        <w:spacing w:line="440" w:lineRule="exact"/>
        <w:jc w:val="right"/>
        <w:rPr>
          <w:rFonts w:ascii="宋体" w:hAnsi="宋体"/>
          <w:color w:val="auto"/>
          <w:sz w:val="24"/>
          <w:highlight w:val="none"/>
        </w:rPr>
      </w:pPr>
    </w:p>
    <w:p w14:paraId="4FBF7F75">
      <w:pPr>
        <w:spacing w:line="440" w:lineRule="exact"/>
        <w:ind w:firstLine="5280" w:firstLineChars="220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B88A13D">
      <w:pPr>
        <w:spacing w:line="440" w:lineRule="exact"/>
        <w:jc w:val="center"/>
        <w:rPr>
          <w:rFonts w:ascii="宋体" w:hAnsi="宋体"/>
          <w:color w:val="auto"/>
          <w:sz w:val="24"/>
          <w:szCs w:val="24"/>
          <w:highlight w:val="none"/>
        </w:rPr>
      </w:pPr>
    </w:p>
    <w:p w14:paraId="008E8D53">
      <w:pPr>
        <w:spacing w:line="360" w:lineRule="auto"/>
        <w:jc w:val="center"/>
        <w:rPr>
          <w:rFonts w:ascii="宋体" w:hAnsi="宋体"/>
          <w:b/>
          <w:color w:val="auto"/>
          <w:sz w:val="32"/>
          <w:szCs w:val="32"/>
          <w:highlight w:val="none"/>
        </w:rPr>
      </w:pPr>
      <w:r>
        <w:rPr>
          <w:rFonts w:hint="eastAsia" w:ascii="宋体" w:hAnsi="宋体"/>
          <w:b/>
          <w:bCs/>
          <w:color w:val="auto"/>
          <w:sz w:val="20"/>
          <w:highlight w:val="none"/>
        </w:rPr>
        <w:br w:type="page"/>
      </w:r>
      <w:bookmarkStart w:id="490" w:name="_Toc529196604"/>
      <w:bookmarkEnd w:id="490"/>
      <w:bookmarkStart w:id="491" w:name="_Toc535938755"/>
      <w:bookmarkEnd w:id="491"/>
      <w:bookmarkStart w:id="492" w:name="_Toc530470647"/>
      <w:bookmarkEnd w:id="492"/>
      <w:r>
        <w:rPr>
          <w:rFonts w:hint="eastAsia" w:ascii="宋体" w:hAnsi="宋体"/>
          <w:b/>
          <w:color w:val="auto"/>
          <w:sz w:val="32"/>
          <w:szCs w:val="32"/>
          <w:highlight w:val="none"/>
        </w:rPr>
        <w:t>授权委托书</w:t>
      </w:r>
    </w:p>
    <w:p w14:paraId="40F06E71">
      <w:pPr>
        <w:topLinePunct/>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szCs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szCs w:val="24"/>
          <w:highlight w:val="none"/>
        </w:rPr>
        <w:t>（姓名）为我方代理人。代理人根据授权，以我方名义签署、澄清确认、递交、撤回、修改</w:t>
      </w:r>
      <w:r>
        <w:rPr>
          <w:rFonts w:hint="eastAsia" w:ascii="宋体" w:hAnsi="宋体" w:cs="宋体"/>
          <w:color w:val="auto"/>
          <w:sz w:val="24"/>
          <w:szCs w:val="24"/>
          <w:highlight w:val="none"/>
          <w:u w:val="single"/>
          <w:lang w:eastAsia="zh-CN"/>
        </w:rPr>
        <w:t>华南理工大学大学城校区研究生宿舍（二期）施工监理</w:t>
      </w:r>
      <w:r>
        <w:rPr>
          <w:rFonts w:hint="eastAsia" w:ascii="宋体" w:hAnsi="宋体"/>
          <w:color w:val="auto"/>
          <w:sz w:val="24"/>
          <w:szCs w:val="24"/>
          <w:highlight w:val="none"/>
        </w:rPr>
        <w:t>招标项目投标文件、签订合同和处理有关事宜，其法律后果由我方承担。</w:t>
      </w:r>
    </w:p>
    <w:p w14:paraId="6116DCBF">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szCs w:val="24"/>
          <w:highlight w:val="none"/>
        </w:rPr>
        <w:t>。</w:t>
      </w:r>
    </w:p>
    <w:p w14:paraId="69542E2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代理人无转委托权。</w:t>
      </w:r>
    </w:p>
    <w:p w14:paraId="535C6FBA">
      <w:pPr>
        <w:spacing w:line="440" w:lineRule="exact"/>
        <w:ind w:firstLine="480" w:firstLineChars="200"/>
        <w:rPr>
          <w:rFonts w:ascii="宋体" w:hAnsi="宋体"/>
          <w:color w:val="auto"/>
          <w:sz w:val="24"/>
          <w:szCs w:val="24"/>
          <w:highlight w:val="none"/>
        </w:rPr>
      </w:pPr>
    </w:p>
    <w:p w14:paraId="6D68EFC1">
      <w:pPr>
        <w:spacing w:line="440" w:lineRule="exact"/>
        <w:rPr>
          <w:rFonts w:ascii="宋体" w:hAnsi="宋体"/>
          <w:color w:val="auto"/>
          <w:sz w:val="24"/>
          <w:szCs w:val="24"/>
          <w:highlight w:val="none"/>
        </w:rPr>
      </w:pPr>
      <w:r>
        <w:rPr>
          <w:rFonts w:hint="eastAsia" w:ascii="宋体" w:hAnsi="宋体"/>
          <w:color w:val="auto"/>
          <w:sz w:val="24"/>
          <w:szCs w:val="24"/>
          <w:highlight w:val="none"/>
        </w:rPr>
        <w:t>附：法定代表人身份证扫描件及委托代理人身份证扫描件</w:t>
      </w:r>
    </w:p>
    <w:p w14:paraId="008323B9">
      <w:pPr>
        <w:spacing w:line="440" w:lineRule="exact"/>
        <w:rPr>
          <w:rFonts w:ascii="宋体" w:hAnsi="宋体"/>
          <w:color w:val="auto"/>
          <w:sz w:val="24"/>
          <w:szCs w:val="24"/>
          <w:highlight w:val="none"/>
        </w:rPr>
      </w:pPr>
    </w:p>
    <w:p w14:paraId="70443B81">
      <w:pPr>
        <w:spacing w:line="440" w:lineRule="exact"/>
        <w:rPr>
          <w:rFonts w:ascii="宋体" w:hAnsi="宋体"/>
          <w:color w:val="auto"/>
          <w:sz w:val="24"/>
          <w:szCs w:val="24"/>
          <w:highlight w:val="none"/>
        </w:rPr>
      </w:pPr>
      <w:r>
        <w:rPr>
          <w:rFonts w:hint="eastAsia" w:ascii="宋体" w:hAnsi="宋体"/>
          <w:color w:val="auto"/>
          <w:sz w:val="24"/>
          <w:szCs w:val="24"/>
          <w:highlight w:val="none"/>
        </w:rPr>
        <w:t>注：本授权委托书需由投标人加盖单位公章并由其法定代表人和委托代理人签字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2C1F3D78">
      <w:pPr>
        <w:spacing w:line="440" w:lineRule="exact"/>
        <w:rPr>
          <w:rFonts w:ascii="宋体" w:hAnsi="宋体"/>
          <w:color w:val="auto"/>
          <w:sz w:val="24"/>
          <w:szCs w:val="24"/>
          <w:highlight w:val="none"/>
        </w:rPr>
      </w:pPr>
    </w:p>
    <w:p w14:paraId="1C0268BD">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（盖单位章）</w:t>
      </w:r>
    </w:p>
    <w:p w14:paraId="79D78A6D">
      <w:pPr>
        <w:spacing w:line="440" w:lineRule="exact"/>
        <w:ind w:firstLine="3076" w:firstLineChars="1282"/>
        <w:rPr>
          <w:rFonts w:ascii="宋体" w:hAnsi="宋体"/>
          <w:color w:val="auto"/>
          <w:sz w:val="24"/>
          <w:szCs w:val="24"/>
          <w:highlight w:val="none"/>
        </w:rPr>
      </w:pPr>
    </w:p>
    <w:p w14:paraId="6C65E60E">
      <w:pPr>
        <w:spacing w:line="440" w:lineRule="exact"/>
        <w:ind w:firstLine="3074" w:firstLineChars="1281"/>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7664D9F4">
      <w:pPr>
        <w:spacing w:line="440" w:lineRule="exact"/>
        <w:ind w:firstLine="3076" w:firstLineChars="1282"/>
        <w:rPr>
          <w:rFonts w:ascii="宋体" w:hAnsi="宋体"/>
          <w:color w:val="auto"/>
          <w:sz w:val="24"/>
          <w:szCs w:val="24"/>
          <w:highlight w:val="none"/>
        </w:rPr>
      </w:pPr>
    </w:p>
    <w:p w14:paraId="0EB474F2">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14:paraId="19E25BA6">
      <w:pPr>
        <w:spacing w:line="440" w:lineRule="exact"/>
        <w:ind w:firstLine="3076" w:firstLineChars="1282"/>
        <w:rPr>
          <w:rFonts w:ascii="宋体" w:hAnsi="宋体"/>
          <w:color w:val="auto"/>
          <w:sz w:val="24"/>
          <w:szCs w:val="24"/>
          <w:highlight w:val="none"/>
        </w:rPr>
      </w:pPr>
    </w:p>
    <w:p w14:paraId="018723B5">
      <w:pPr>
        <w:spacing w:line="440" w:lineRule="exact"/>
        <w:ind w:firstLine="3076" w:firstLineChars="1282"/>
        <w:rPr>
          <w:rFonts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1F11101E">
      <w:pPr>
        <w:spacing w:line="440" w:lineRule="exact"/>
        <w:ind w:firstLine="3076" w:firstLineChars="1282"/>
        <w:rPr>
          <w:rFonts w:ascii="宋体" w:hAnsi="宋体"/>
          <w:color w:val="auto"/>
          <w:sz w:val="24"/>
          <w:szCs w:val="24"/>
          <w:highlight w:val="none"/>
        </w:rPr>
      </w:pPr>
    </w:p>
    <w:p w14:paraId="2DB42CD7">
      <w:pPr>
        <w:spacing w:line="440" w:lineRule="exact"/>
        <w:ind w:firstLine="3076" w:firstLineChars="1282"/>
        <w:rPr>
          <w:rFonts w:ascii="宋体" w:hAnsi="宋体"/>
          <w:color w:val="auto"/>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p>
    <w:p w14:paraId="1D74DE92">
      <w:pPr>
        <w:spacing w:line="440" w:lineRule="exact"/>
        <w:ind w:firstLine="2692" w:firstLineChars="1282"/>
        <w:rPr>
          <w:rFonts w:ascii="宋体" w:hAnsi="宋体"/>
          <w:color w:val="auto"/>
          <w:szCs w:val="24"/>
          <w:highlight w:val="none"/>
        </w:rPr>
      </w:pPr>
    </w:p>
    <w:p w14:paraId="3CEE5FA6">
      <w:pPr>
        <w:spacing w:line="440" w:lineRule="exact"/>
        <w:ind w:firstLine="4636" w:firstLineChars="1932"/>
        <w:jc w:val="right"/>
        <w:rPr>
          <w:rFonts w:ascii="宋体" w:hAnsi="宋体"/>
          <w:color w:val="auto"/>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highlight w:val="none"/>
        </w:rPr>
        <w:t>日</w:t>
      </w:r>
    </w:p>
    <w:p w14:paraId="6C07A890">
      <w:pPr>
        <w:rPr>
          <w:color w:val="auto"/>
          <w:highlight w:val="none"/>
        </w:rPr>
      </w:pPr>
    </w:p>
    <w:p w14:paraId="79319740">
      <w:pPr>
        <w:spacing w:line="600" w:lineRule="auto"/>
        <w:jc w:val="left"/>
        <w:outlineLvl w:val="1"/>
        <w:rPr>
          <w:rFonts w:ascii="宋体" w:hAnsi="宋体"/>
          <w:b/>
          <w:bCs/>
          <w:strike/>
          <w:color w:val="auto"/>
          <w:kern w:val="0"/>
          <w:sz w:val="30"/>
          <w:szCs w:val="30"/>
          <w:highlight w:val="none"/>
        </w:rPr>
      </w:pPr>
      <w:r>
        <w:rPr>
          <w:rFonts w:hint="eastAsia" w:ascii="宋体" w:hAnsi="宋体" w:eastAsia="黑体"/>
          <w:color w:val="auto"/>
          <w:kern w:val="0"/>
          <w:sz w:val="36"/>
          <w:szCs w:val="32"/>
          <w:highlight w:val="none"/>
        </w:rPr>
        <w:br w:type="page"/>
      </w:r>
    </w:p>
    <w:p w14:paraId="7E896BF7">
      <w:pPr>
        <w:spacing w:line="1" w:lineRule="exact"/>
        <w:rPr>
          <w:rFonts w:ascii="宋体" w:hAnsi="宋体"/>
          <w:strike/>
          <w:color w:val="auto"/>
          <w:highlight w:val="none"/>
        </w:rPr>
      </w:pPr>
    </w:p>
    <w:p w14:paraId="0D68FB37">
      <w:pPr>
        <w:tabs>
          <w:tab w:val="left" w:pos="720"/>
        </w:tabs>
        <w:spacing w:line="360" w:lineRule="auto"/>
        <w:outlineLvl w:val="1"/>
        <w:rPr>
          <w:rFonts w:ascii="宋体" w:hAnsi="宋体"/>
          <w:b/>
          <w:color w:val="auto"/>
          <w:highlight w:val="none"/>
        </w:rPr>
      </w:pPr>
      <w:bookmarkStart w:id="493" w:name="_Toc529196606"/>
      <w:bookmarkStart w:id="494" w:name="_Toc535938757"/>
      <w:bookmarkStart w:id="495" w:name="_Toc530470649"/>
      <w:r>
        <w:rPr>
          <w:rFonts w:hint="eastAsia" w:ascii="宋体" w:hAnsi="宋体"/>
          <w:b/>
          <w:color w:val="auto"/>
          <w:sz w:val="30"/>
          <w:szCs w:val="30"/>
          <w:highlight w:val="none"/>
          <w:lang w:eastAsia="zh-CN"/>
        </w:rPr>
        <w:t>三</w:t>
      </w:r>
      <w:r>
        <w:rPr>
          <w:rFonts w:hint="eastAsia" w:ascii="宋体" w:hAnsi="宋体"/>
          <w:b/>
          <w:color w:val="auto"/>
          <w:sz w:val="30"/>
          <w:szCs w:val="30"/>
          <w:highlight w:val="none"/>
        </w:rPr>
        <w:t>、监理报酬清单</w:t>
      </w:r>
      <w:bookmarkEnd w:id="493"/>
      <w:bookmarkEnd w:id="494"/>
      <w:bookmarkEnd w:id="495"/>
    </w:p>
    <w:p w14:paraId="242E50BF">
      <w:pPr>
        <w:spacing w:before="240" w:line="360" w:lineRule="auto"/>
        <w:jc w:val="center"/>
        <w:rPr>
          <w:rFonts w:ascii="宋体" w:hAnsi="宋体"/>
          <w:b/>
          <w:color w:val="auto"/>
          <w:sz w:val="28"/>
          <w:szCs w:val="28"/>
          <w:highlight w:val="none"/>
        </w:rPr>
      </w:pPr>
      <w:bookmarkStart w:id="496" w:name="_Toc525827486"/>
      <w:bookmarkStart w:id="497" w:name="_Toc530470650"/>
      <w:bookmarkStart w:id="498" w:name="_Toc525828220"/>
      <w:bookmarkStart w:id="499" w:name="_Toc529196608"/>
      <w:bookmarkStart w:id="500" w:name="_Toc361508760"/>
      <w:r>
        <w:rPr>
          <w:rFonts w:hint="eastAsia" w:ascii="宋体" w:hAnsi="宋体"/>
          <w:b/>
          <w:color w:val="auto"/>
          <w:sz w:val="28"/>
          <w:szCs w:val="28"/>
          <w:highlight w:val="none"/>
        </w:rPr>
        <w:t>监理费用成本明细（格式可自定）</w:t>
      </w:r>
    </w:p>
    <w:tbl>
      <w:tblPr>
        <w:tblStyle w:val="12"/>
        <w:tblW w:w="9231" w:type="dxa"/>
        <w:tblInd w:w="0" w:type="dxa"/>
        <w:tblLayout w:type="fixed"/>
        <w:tblCellMar>
          <w:top w:w="0" w:type="dxa"/>
          <w:left w:w="108" w:type="dxa"/>
          <w:bottom w:w="0" w:type="dxa"/>
          <w:right w:w="108" w:type="dxa"/>
        </w:tblCellMar>
      </w:tblPr>
      <w:tblGrid>
        <w:gridCol w:w="817"/>
        <w:gridCol w:w="2410"/>
        <w:gridCol w:w="3544"/>
        <w:gridCol w:w="1559"/>
        <w:gridCol w:w="901"/>
      </w:tblGrid>
      <w:tr w14:paraId="5B87BB54">
        <w:tblPrEx>
          <w:tblCellMar>
            <w:top w:w="0" w:type="dxa"/>
            <w:left w:w="108" w:type="dxa"/>
            <w:bottom w:w="0" w:type="dxa"/>
            <w:right w:w="108" w:type="dxa"/>
          </w:tblCellMar>
        </w:tblPrEx>
        <w:trPr>
          <w:trHeight w:val="114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4CD95B0">
            <w:pPr>
              <w:keepNext w:val="0"/>
              <w:keepLines w:val="0"/>
              <w:suppressLineNumbers w:val="0"/>
              <w:spacing w:before="0" w:beforeAutospacing="0" w:after="0" w:afterAutospacing="0"/>
              <w:ind w:left="0" w:right="0"/>
              <w:rPr>
                <w:rFonts w:hint="default" w:ascii="宋体" w:hAnsi="宋体"/>
                <w:b/>
                <w:bCs/>
                <w:color w:val="auto"/>
                <w:sz w:val="24"/>
                <w:szCs w:val="21"/>
                <w:highlight w:val="none"/>
              </w:rPr>
            </w:pPr>
            <w:r>
              <w:rPr>
                <w:rFonts w:hint="eastAsia" w:ascii="宋体" w:hAnsi="宋体"/>
                <w:b/>
                <w:bCs/>
                <w:color w:val="auto"/>
                <w:sz w:val="24"/>
                <w:szCs w:val="21"/>
                <w:highlight w:val="none"/>
              </w:rPr>
              <w:t>序号</w:t>
            </w:r>
          </w:p>
        </w:tc>
        <w:tc>
          <w:tcPr>
            <w:tcW w:w="2410" w:type="dxa"/>
            <w:tcBorders>
              <w:top w:val="single" w:color="auto" w:sz="4" w:space="0"/>
              <w:left w:val="nil"/>
              <w:bottom w:val="single" w:color="auto" w:sz="4" w:space="0"/>
              <w:right w:val="single" w:color="auto" w:sz="4" w:space="0"/>
            </w:tcBorders>
            <w:noWrap/>
            <w:vAlign w:val="center"/>
          </w:tcPr>
          <w:p w14:paraId="7F7A0E80">
            <w:pPr>
              <w:keepNext w:val="0"/>
              <w:keepLines w:val="0"/>
              <w:suppressLineNumbers w:val="0"/>
              <w:spacing w:before="0" w:beforeAutospacing="0" w:after="0" w:afterAutospacing="0"/>
              <w:ind w:left="0" w:right="0"/>
              <w:jc w:val="center"/>
              <w:rPr>
                <w:rFonts w:hint="default" w:ascii="宋体" w:hAnsi="宋体"/>
                <w:b/>
                <w:bCs/>
                <w:color w:val="auto"/>
                <w:sz w:val="24"/>
                <w:szCs w:val="21"/>
                <w:highlight w:val="none"/>
              </w:rPr>
            </w:pPr>
            <w:r>
              <w:rPr>
                <w:rFonts w:hint="eastAsia" w:ascii="宋体" w:hAnsi="宋体"/>
                <w:b/>
                <w:bCs/>
                <w:color w:val="auto"/>
                <w:sz w:val="24"/>
                <w:szCs w:val="21"/>
                <w:highlight w:val="none"/>
              </w:rPr>
              <w:t>监理报酬分项名称</w:t>
            </w:r>
          </w:p>
        </w:tc>
        <w:tc>
          <w:tcPr>
            <w:tcW w:w="3544" w:type="dxa"/>
            <w:tcBorders>
              <w:top w:val="single" w:color="auto" w:sz="4" w:space="0"/>
              <w:left w:val="nil"/>
              <w:bottom w:val="single" w:color="auto" w:sz="4" w:space="0"/>
              <w:right w:val="single" w:color="auto" w:sz="4" w:space="0"/>
            </w:tcBorders>
            <w:noWrap/>
            <w:vAlign w:val="center"/>
          </w:tcPr>
          <w:p w14:paraId="39FF034F">
            <w:pPr>
              <w:keepNext w:val="0"/>
              <w:keepLines w:val="0"/>
              <w:suppressLineNumbers w:val="0"/>
              <w:spacing w:before="0" w:beforeAutospacing="0" w:after="0" w:afterAutospacing="0"/>
              <w:ind w:left="0" w:right="0"/>
              <w:jc w:val="center"/>
              <w:rPr>
                <w:rFonts w:hint="default" w:ascii="宋体" w:hAnsi="宋体"/>
                <w:b/>
                <w:bCs/>
                <w:color w:val="auto"/>
                <w:sz w:val="24"/>
                <w:szCs w:val="21"/>
                <w:highlight w:val="none"/>
              </w:rPr>
            </w:pPr>
            <w:r>
              <w:rPr>
                <w:rFonts w:hint="eastAsia" w:ascii="宋体" w:hAnsi="宋体"/>
                <w:b/>
                <w:bCs/>
                <w:color w:val="auto"/>
                <w:sz w:val="24"/>
                <w:szCs w:val="21"/>
                <w:highlight w:val="none"/>
              </w:rPr>
              <w:t>计算依据、过程和公式</w:t>
            </w:r>
          </w:p>
        </w:tc>
        <w:tc>
          <w:tcPr>
            <w:tcW w:w="1559" w:type="dxa"/>
            <w:tcBorders>
              <w:top w:val="single" w:color="auto" w:sz="4" w:space="0"/>
              <w:left w:val="nil"/>
              <w:bottom w:val="single" w:color="auto" w:sz="4" w:space="0"/>
              <w:right w:val="single" w:color="auto" w:sz="4" w:space="0"/>
            </w:tcBorders>
            <w:noWrap/>
            <w:vAlign w:val="center"/>
          </w:tcPr>
          <w:p w14:paraId="6BB87C36">
            <w:pPr>
              <w:keepNext w:val="0"/>
              <w:keepLines w:val="0"/>
              <w:suppressLineNumbers w:val="0"/>
              <w:spacing w:before="0" w:beforeAutospacing="0" w:after="0" w:afterAutospacing="0"/>
              <w:ind w:left="0" w:right="0"/>
              <w:jc w:val="center"/>
              <w:rPr>
                <w:rFonts w:hint="default" w:ascii="宋体" w:hAnsi="宋体"/>
                <w:b/>
                <w:bCs/>
                <w:color w:val="auto"/>
                <w:sz w:val="24"/>
                <w:szCs w:val="21"/>
                <w:highlight w:val="none"/>
              </w:rPr>
            </w:pPr>
            <w:r>
              <w:rPr>
                <w:rFonts w:hint="eastAsia" w:ascii="宋体" w:hAnsi="宋体"/>
                <w:b/>
                <w:bCs/>
                <w:color w:val="auto"/>
                <w:sz w:val="24"/>
                <w:szCs w:val="21"/>
                <w:highlight w:val="none"/>
              </w:rPr>
              <w:t>金额（元）</w:t>
            </w:r>
          </w:p>
        </w:tc>
        <w:tc>
          <w:tcPr>
            <w:tcW w:w="901" w:type="dxa"/>
            <w:tcBorders>
              <w:top w:val="single" w:color="auto" w:sz="4" w:space="0"/>
              <w:left w:val="nil"/>
              <w:bottom w:val="single" w:color="auto" w:sz="4" w:space="0"/>
              <w:right w:val="single" w:color="auto" w:sz="4" w:space="0"/>
            </w:tcBorders>
            <w:noWrap/>
            <w:vAlign w:val="center"/>
          </w:tcPr>
          <w:p w14:paraId="5B22CAFA">
            <w:pPr>
              <w:keepNext w:val="0"/>
              <w:keepLines w:val="0"/>
              <w:suppressLineNumbers w:val="0"/>
              <w:spacing w:before="0" w:beforeAutospacing="0" w:after="0" w:afterAutospacing="0"/>
              <w:ind w:left="0" w:right="0"/>
              <w:jc w:val="center"/>
              <w:rPr>
                <w:rFonts w:hint="default" w:ascii="宋体" w:hAnsi="宋体"/>
                <w:b/>
                <w:bCs/>
                <w:color w:val="auto"/>
                <w:sz w:val="24"/>
                <w:szCs w:val="21"/>
                <w:highlight w:val="none"/>
              </w:rPr>
            </w:pPr>
            <w:r>
              <w:rPr>
                <w:rFonts w:hint="eastAsia" w:ascii="宋体" w:hAnsi="宋体"/>
                <w:b/>
                <w:bCs/>
                <w:color w:val="auto"/>
                <w:sz w:val="24"/>
                <w:szCs w:val="21"/>
                <w:highlight w:val="none"/>
              </w:rPr>
              <w:t>备注</w:t>
            </w:r>
          </w:p>
        </w:tc>
      </w:tr>
      <w:tr w14:paraId="4BC9CB28">
        <w:tblPrEx>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ED7EEA1">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1</w:t>
            </w:r>
          </w:p>
        </w:tc>
        <w:tc>
          <w:tcPr>
            <w:tcW w:w="2410" w:type="dxa"/>
            <w:tcBorders>
              <w:top w:val="single" w:color="auto" w:sz="4" w:space="0"/>
              <w:left w:val="nil"/>
              <w:bottom w:val="single" w:color="auto" w:sz="4" w:space="0"/>
              <w:right w:val="single" w:color="auto" w:sz="4" w:space="0"/>
            </w:tcBorders>
            <w:noWrap/>
            <w:vAlign w:val="center"/>
          </w:tcPr>
          <w:p w14:paraId="2753872E">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56451D2B">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1D35066F">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E395753">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4330520E">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C300B0F">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2</w:t>
            </w:r>
          </w:p>
        </w:tc>
        <w:tc>
          <w:tcPr>
            <w:tcW w:w="2410" w:type="dxa"/>
            <w:tcBorders>
              <w:top w:val="single" w:color="auto" w:sz="4" w:space="0"/>
              <w:left w:val="nil"/>
              <w:bottom w:val="single" w:color="auto" w:sz="4" w:space="0"/>
              <w:right w:val="single" w:color="auto" w:sz="4" w:space="0"/>
            </w:tcBorders>
            <w:noWrap/>
            <w:vAlign w:val="center"/>
          </w:tcPr>
          <w:p w14:paraId="0CF3C835">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1DACEEDB">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07B8EDED">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FDA353E">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730D14CD">
        <w:tblPrEx>
          <w:tblCellMar>
            <w:top w:w="0" w:type="dxa"/>
            <w:left w:w="108" w:type="dxa"/>
            <w:bottom w:w="0" w:type="dxa"/>
            <w:right w:w="108" w:type="dxa"/>
          </w:tblCellMar>
        </w:tblPrEx>
        <w:trPr>
          <w:trHeight w:val="56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3480083B">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3</w:t>
            </w:r>
          </w:p>
        </w:tc>
        <w:tc>
          <w:tcPr>
            <w:tcW w:w="2410" w:type="dxa"/>
            <w:tcBorders>
              <w:top w:val="single" w:color="auto" w:sz="4" w:space="0"/>
              <w:left w:val="nil"/>
              <w:bottom w:val="single" w:color="auto" w:sz="4" w:space="0"/>
              <w:right w:val="single" w:color="auto" w:sz="4" w:space="0"/>
            </w:tcBorders>
            <w:noWrap/>
            <w:vAlign w:val="center"/>
          </w:tcPr>
          <w:p w14:paraId="7E74C354">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3FD7B332">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31761808">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367C3E22">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1E567FF3">
        <w:tblPrEx>
          <w:tblCellMar>
            <w:top w:w="0" w:type="dxa"/>
            <w:left w:w="108" w:type="dxa"/>
            <w:bottom w:w="0" w:type="dxa"/>
            <w:right w:w="108" w:type="dxa"/>
          </w:tblCellMar>
        </w:tblPrEx>
        <w:trPr>
          <w:trHeight w:val="54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1020F55">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4</w:t>
            </w:r>
          </w:p>
        </w:tc>
        <w:tc>
          <w:tcPr>
            <w:tcW w:w="2410" w:type="dxa"/>
            <w:tcBorders>
              <w:top w:val="single" w:color="auto" w:sz="4" w:space="0"/>
              <w:left w:val="nil"/>
              <w:bottom w:val="single" w:color="auto" w:sz="4" w:space="0"/>
              <w:right w:val="single" w:color="auto" w:sz="4" w:space="0"/>
            </w:tcBorders>
            <w:noWrap/>
            <w:vAlign w:val="center"/>
          </w:tcPr>
          <w:p w14:paraId="604A5084">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6B988F17">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19CAACFB">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51F82055">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3766EAD1">
        <w:tblPrEx>
          <w:tblCellMar>
            <w:top w:w="0" w:type="dxa"/>
            <w:left w:w="108" w:type="dxa"/>
            <w:bottom w:w="0" w:type="dxa"/>
            <w:right w:w="108" w:type="dxa"/>
          </w:tblCellMar>
        </w:tblPrEx>
        <w:trPr>
          <w:trHeight w:val="70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9129928">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5</w:t>
            </w:r>
          </w:p>
        </w:tc>
        <w:tc>
          <w:tcPr>
            <w:tcW w:w="2410" w:type="dxa"/>
            <w:tcBorders>
              <w:top w:val="single" w:color="auto" w:sz="4" w:space="0"/>
              <w:left w:val="nil"/>
              <w:bottom w:val="single" w:color="auto" w:sz="4" w:space="0"/>
              <w:right w:val="single" w:color="auto" w:sz="4" w:space="0"/>
            </w:tcBorders>
            <w:noWrap/>
            <w:vAlign w:val="center"/>
          </w:tcPr>
          <w:p w14:paraId="5384A00A">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7F409688">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4F3E6184">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2CB957E">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00E962DE">
        <w:tblPrEx>
          <w:tblCellMar>
            <w:top w:w="0" w:type="dxa"/>
            <w:left w:w="108" w:type="dxa"/>
            <w:bottom w:w="0" w:type="dxa"/>
            <w:right w:w="108" w:type="dxa"/>
          </w:tblCellMar>
        </w:tblPrEx>
        <w:trPr>
          <w:trHeight w:val="704"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9A22332">
            <w:pPr>
              <w:keepNext w:val="0"/>
              <w:keepLines w:val="0"/>
              <w:suppressLineNumbers w:val="0"/>
              <w:spacing w:before="0" w:beforeAutospacing="0" w:after="0" w:afterAutospacing="0"/>
              <w:ind w:left="0" w:right="0"/>
              <w:jc w:val="center"/>
              <w:rPr>
                <w:rFonts w:hint="default" w:ascii="宋体" w:hAnsi="宋体"/>
                <w:b/>
                <w:bCs/>
                <w:color w:val="auto"/>
                <w:szCs w:val="21"/>
                <w:highlight w:val="none"/>
              </w:rPr>
            </w:pPr>
            <w:r>
              <w:rPr>
                <w:rFonts w:hint="eastAsia" w:ascii="宋体" w:hAnsi="宋体"/>
                <w:b/>
                <w:bCs/>
                <w:color w:val="auto"/>
                <w:szCs w:val="21"/>
                <w:highlight w:val="none"/>
              </w:rPr>
              <w:t>……</w:t>
            </w:r>
          </w:p>
        </w:tc>
        <w:tc>
          <w:tcPr>
            <w:tcW w:w="2410" w:type="dxa"/>
            <w:tcBorders>
              <w:top w:val="single" w:color="auto" w:sz="4" w:space="0"/>
              <w:left w:val="nil"/>
              <w:bottom w:val="single" w:color="auto" w:sz="4" w:space="0"/>
              <w:right w:val="single" w:color="auto" w:sz="4" w:space="0"/>
            </w:tcBorders>
            <w:noWrap/>
            <w:vAlign w:val="center"/>
          </w:tcPr>
          <w:p w14:paraId="12DC1418">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3544" w:type="dxa"/>
            <w:tcBorders>
              <w:top w:val="single" w:color="auto" w:sz="4" w:space="0"/>
              <w:left w:val="nil"/>
              <w:bottom w:val="single" w:color="auto" w:sz="4" w:space="0"/>
              <w:right w:val="single" w:color="auto" w:sz="4" w:space="0"/>
            </w:tcBorders>
            <w:noWrap/>
            <w:vAlign w:val="center"/>
          </w:tcPr>
          <w:p w14:paraId="1BA22CA4">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7E9ED9AF">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253E9558">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r w14:paraId="157A008E">
        <w:tblPrEx>
          <w:tblCellMar>
            <w:top w:w="0" w:type="dxa"/>
            <w:left w:w="108" w:type="dxa"/>
            <w:bottom w:w="0" w:type="dxa"/>
            <w:right w:w="108" w:type="dxa"/>
          </w:tblCellMar>
        </w:tblPrEx>
        <w:trPr>
          <w:trHeight w:val="686" w:hRule="atLeast"/>
        </w:trPr>
        <w:tc>
          <w:tcPr>
            <w:tcW w:w="3227" w:type="dxa"/>
            <w:gridSpan w:val="2"/>
            <w:tcBorders>
              <w:top w:val="single" w:color="auto" w:sz="4" w:space="0"/>
              <w:left w:val="single" w:color="auto" w:sz="4" w:space="0"/>
              <w:bottom w:val="single" w:color="auto" w:sz="4" w:space="0"/>
              <w:right w:val="single" w:color="auto" w:sz="4" w:space="0"/>
            </w:tcBorders>
            <w:noWrap/>
            <w:vAlign w:val="center"/>
          </w:tcPr>
          <w:p w14:paraId="0EF50B50">
            <w:pPr>
              <w:keepNext w:val="0"/>
              <w:keepLines w:val="0"/>
              <w:suppressLineNumbers w:val="0"/>
              <w:spacing w:before="0" w:beforeAutospacing="0" w:after="0" w:afterAutospacing="0"/>
              <w:ind w:left="0" w:right="0"/>
              <w:rPr>
                <w:rFonts w:hint="default" w:ascii="宋体" w:hAnsi="宋体"/>
                <w:b/>
                <w:bCs/>
                <w:color w:val="auto"/>
                <w:szCs w:val="21"/>
                <w:highlight w:val="none"/>
              </w:rPr>
            </w:pPr>
            <w:r>
              <w:rPr>
                <w:rFonts w:hint="eastAsia" w:ascii="宋体" w:hAnsi="宋体"/>
                <w:b/>
                <w:bCs/>
                <w:color w:val="auto"/>
                <w:szCs w:val="21"/>
                <w:highlight w:val="none"/>
              </w:rPr>
              <w:t>合计报价（元）</w:t>
            </w:r>
          </w:p>
        </w:tc>
        <w:tc>
          <w:tcPr>
            <w:tcW w:w="3544" w:type="dxa"/>
            <w:tcBorders>
              <w:top w:val="single" w:color="auto" w:sz="4" w:space="0"/>
              <w:left w:val="nil"/>
              <w:bottom w:val="single" w:color="auto" w:sz="4" w:space="0"/>
              <w:right w:val="single" w:color="auto" w:sz="4" w:space="0"/>
            </w:tcBorders>
            <w:noWrap/>
            <w:vAlign w:val="center"/>
          </w:tcPr>
          <w:p w14:paraId="7A0FECB1">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1559" w:type="dxa"/>
            <w:tcBorders>
              <w:top w:val="single" w:color="auto" w:sz="4" w:space="0"/>
              <w:left w:val="nil"/>
              <w:bottom w:val="single" w:color="auto" w:sz="4" w:space="0"/>
              <w:right w:val="single" w:color="auto" w:sz="4" w:space="0"/>
            </w:tcBorders>
            <w:noWrap/>
            <w:vAlign w:val="center"/>
          </w:tcPr>
          <w:p w14:paraId="17EBF08C">
            <w:pPr>
              <w:keepNext w:val="0"/>
              <w:keepLines w:val="0"/>
              <w:suppressLineNumbers w:val="0"/>
              <w:spacing w:before="0" w:beforeAutospacing="0" w:after="0" w:afterAutospacing="0"/>
              <w:ind w:left="0" w:right="0"/>
              <w:rPr>
                <w:rFonts w:hint="default" w:ascii="宋体" w:hAnsi="宋体"/>
                <w:b/>
                <w:bCs/>
                <w:color w:val="auto"/>
                <w:szCs w:val="21"/>
                <w:highlight w:val="none"/>
              </w:rPr>
            </w:pPr>
          </w:p>
        </w:tc>
        <w:tc>
          <w:tcPr>
            <w:tcW w:w="901" w:type="dxa"/>
            <w:tcBorders>
              <w:top w:val="single" w:color="auto" w:sz="4" w:space="0"/>
              <w:left w:val="nil"/>
              <w:bottom w:val="single" w:color="auto" w:sz="4" w:space="0"/>
              <w:right w:val="single" w:color="auto" w:sz="4" w:space="0"/>
            </w:tcBorders>
            <w:noWrap/>
            <w:vAlign w:val="center"/>
          </w:tcPr>
          <w:p w14:paraId="34CBC848">
            <w:pPr>
              <w:keepNext w:val="0"/>
              <w:keepLines w:val="0"/>
              <w:suppressLineNumbers w:val="0"/>
              <w:spacing w:before="0" w:beforeAutospacing="0" w:after="0" w:afterAutospacing="0"/>
              <w:ind w:left="0" w:right="0"/>
              <w:rPr>
                <w:rFonts w:hint="default" w:ascii="宋体" w:hAnsi="宋体"/>
                <w:b/>
                <w:bCs/>
                <w:color w:val="auto"/>
                <w:szCs w:val="21"/>
                <w:highlight w:val="none"/>
              </w:rPr>
            </w:pPr>
          </w:p>
        </w:tc>
      </w:tr>
    </w:tbl>
    <w:p w14:paraId="6229919E">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备注：合计费用应与投标函的监理费报价一致。</w:t>
      </w:r>
    </w:p>
    <w:p w14:paraId="3B9A787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51893B40">
      <w:pPr>
        <w:topLinePunct/>
        <w:adjustRightInd w:val="0"/>
        <w:snapToGrid w:val="0"/>
        <w:spacing w:line="360" w:lineRule="auto"/>
        <w:ind w:firstLine="496" w:firstLineChars="200"/>
        <w:rPr>
          <w:rFonts w:hint="eastAsia" w:ascii="宋体" w:hAnsi="宋体"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投</w:t>
      </w:r>
      <w:r>
        <w:rPr>
          <w:rFonts w:hint="eastAsia" w:ascii="宋体" w:hAnsi="宋体"/>
          <w:color w:val="auto"/>
          <w:spacing w:val="4"/>
          <w:kern w:val="0"/>
          <w:sz w:val="24"/>
          <w:szCs w:val="24"/>
          <w:highlight w:val="none"/>
        </w:rPr>
        <w:t xml:space="preserve"> 标 人：</w:t>
      </w:r>
      <w:r>
        <w:rPr>
          <w:rFonts w:hint="eastAsia" w:ascii="宋体" w:hAnsi="宋体"/>
          <w:color w:val="auto"/>
          <w:spacing w:val="4"/>
          <w:kern w:val="0"/>
          <w:sz w:val="24"/>
          <w:szCs w:val="24"/>
          <w:highlight w:val="none"/>
          <w:u w:val="single"/>
        </w:rPr>
        <w:t xml:space="preserve">            </w:t>
      </w:r>
      <w:r>
        <w:rPr>
          <w:rFonts w:hint="default"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u w:val="single"/>
        </w:rPr>
        <w:t xml:space="preserve">           </w:t>
      </w:r>
    </w:p>
    <w:p w14:paraId="0E7C59B4">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日    期：</w:t>
      </w:r>
      <w:r>
        <w:rPr>
          <w:rFonts w:hint="eastAsia"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rPr>
        <w:t xml:space="preserve">年 </w:t>
      </w:r>
      <w:r>
        <w:rPr>
          <w:rFonts w:hint="eastAsia"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rPr>
        <w:t>月</w:t>
      </w:r>
      <w:r>
        <w:rPr>
          <w:rFonts w:hint="eastAsia" w:ascii="宋体" w:hAnsi="宋体"/>
          <w:color w:val="auto"/>
          <w:spacing w:val="4"/>
          <w:kern w:val="0"/>
          <w:sz w:val="24"/>
          <w:szCs w:val="24"/>
          <w:highlight w:val="none"/>
          <w:u w:val="single"/>
        </w:rPr>
        <w:t xml:space="preserve">        </w:t>
      </w:r>
      <w:r>
        <w:rPr>
          <w:rFonts w:hint="eastAsia" w:ascii="宋体" w:hAnsi="宋体"/>
          <w:color w:val="auto"/>
          <w:spacing w:val="4"/>
          <w:kern w:val="0"/>
          <w:sz w:val="24"/>
          <w:szCs w:val="24"/>
          <w:highlight w:val="none"/>
        </w:rPr>
        <w:t>日</w:t>
      </w:r>
    </w:p>
    <w:p w14:paraId="5C8A66D8">
      <w:pPr>
        <w:topLinePunct/>
        <w:adjustRightInd w:val="0"/>
        <w:snapToGrid w:val="0"/>
        <w:spacing w:line="360" w:lineRule="auto"/>
        <w:ind w:firstLine="496" w:firstLineChars="200"/>
        <w:rPr>
          <w:rFonts w:ascii="Times New Roman" w:hAnsi="Times New Roman"/>
          <w:color w:val="auto"/>
          <w:spacing w:val="4"/>
          <w:kern w:val="0"/>
          <w:sz w:val="24"/>
          <w:szCs w:val="24"/>
          <w:highlight w:val="none"/>
          <w:u w:val="single"/>
        </w:rPr>
      </w:pPr>
      <w:r>
        <w:rPr>
          <w:rFonts w:hint="eastAsia" w:ascii="Times New Roman" w:hAnsi="Times New Roman"/>
          <w:color w:val="auto"/>
          <w:spacing w:val="4"/>
          <w:kern w:val="0"/>
          <w:sz w:val="24"/>
          <w:szCs w:val="24"/>
          <w:highlight w:val="none"/>
        </w:rPr>
        <w:t>电    话：</w:t>
      </w:r>
      <w:r>
        <w:rPr>
          <w:rFonts w:hint="eastAsia" w:ascii="宋体" w:hAnsi="宋体"/>
          <w:color w:val="auto"/>
          <w:spacing w:val="4"/>
          <w:kern w:val="0"/>
          <w:sz w:val="24"/>
          <w:szCs w:val="24"/>
          <w:highlight w:val="none"/>
          <w:u w:val="single"/>
        </w:rPr>
        <w:t xml:space="preserve">                             </w:t>
      </w:r>
    </w:p>
    <w:p w14:paraId="3A30FC6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传    真：</w:t>
      </w:r>
      <w:r>
        <w:rPr>
          <w:rFonts w:hint="eastAsia" w:ascii="宋体" w:hAnsi="宋体"/>
          <w:color w:val="auto"/>
          <w:spacing w:val="4"/>
          <w:kern w:val="0"/>
          <w:sz w:val="24"/>
          <w:szCs w:val="24"/>
          <w:highlight w:val="none"/>
          <w:u w:val="single"/>
        </w:rPr>
        <w:t xml:space="preserve">                             </w:t>
      </w:r>
    </w:p>
    <w:bookmarkEnd w:id="496"/>
    <w:bookmarkEnd w:id="497"/>
    <w:bookmarkEnd w:id="498"/>
    <w:bookmarkEnd w:id="499"/>
    <w:p w14:paraId="4B561B91">
      <w:pPr>
        <w:spacing w:line="360" w:lineRule="auto"/>
        <w:rPr>
          <w:rFonts w:ascii="宋体" w:hAnsi="宋体"/>
          <w:strike/>
          <w:color w:val="auto"/>
          <w:sz w:val="24"/>
          <w:szCs w:val="24"/>
          <w:highlight w:val="none"/>
        </w:rPr>
      </w:pPr>
    </w:p>
    <w:p w14:paraId="3F9362D8">
      <w:pPr>
        <w:ind w:right="105"/>
        <w:rPr>
          <w:rFonts w:ascii="宋体" w:hAnsi="宋体"/>
          <w:color w:val="auto"/>
          <w:szCs w:val="24"/>
          <w:highlight w:val="none"/>
        </w:rPr>
      </w:pPr>
    </w:p>
    <w:p w14:paraId="3B4C5835">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ascii="宋体" w:hAnsi="宋体"/>
          <w:b/>
          <w:bCs/>
          <w:color w:val="auto"/>
          <w:kern w:val="0"/>
          <w:sz w:val="30"/>
          <w:szCs w:val="30"/>
          <w:highlight w:val="none"/>
        </w:rPr>
      </w:pPr>
      <w:r>
        <w:rPr>
          <w:rFonts w:hint="eastAsia" w:ascii="宋体" w:hAnsi="宋体" w:eastAsia="黑体"/>
          <w:color w:val="auto"/>
          <w:kern w:val="0"/>
          <w:sz w:val="36"/>
          <w:szCs w:val="24"/>
          <w:highlight w:val="none"/>
        </w:rPr>
        <w:br w:type="page"/>
      </w:r>
      <w:r>
        <w:rPr>
          <w:rFonts w:hint="default" w:ascii="宋体" w:hAnsi="宋体"/>
          <w:b/>
          <w:color w:val="auto"/>
          <w:kern w:val="0"/>
          <w:sz w:val="30"/>
          <w:szCs w:val="30"/>
          <w:highlight w:val="none"/>
        </w:rPr>
        <w:t>四</w:t>
      </w:r>
      <w:r>
        <w:rPr>
          <w:rFonts w:hint="eastAsia" w:ascii="宋体" w:hAnsi="宋体"/>
          <w:b/>
          <w:bCs/>
          <w:color w:val="auto"/>
          <w:kern w:val="0"/>
          <w:sz w:val="30"/>
          <w:szCs w:val="30"/>
          <w:highlight w:val="none"/>
        </w:rPr>
        <w:t>、</w:t>
      </w:r>
      <w:bookmarkStart w:id="501" w:name="_Hlk22686998"/>
      <w:r>
        <w:rPr>
          <w:rFonts w:hint="eastAsia" w:ascii="宋体" w:hAnsi="宋体"/>
          <w:b/>
          <w:bCs/>
          <w:color w:val="auto"/>
          <w:kern w:val="0"/>
          <w:sz w:val="30"/>
          <w:szCs w:val="30"/>
          <w:highlight w:val="none"/>
        </w:rPr>
        <w:t>资格审查资料</w:t>
      </w:r>
      <w:bookmarkEnd w:id="501"/>
    </w:p>
    <w:p w14:paraId="2BBB41F9">
      <w:pPr>
        <w:spacing w:before="20" w:line="412" w:lineRule="auto"/>
        <w:ind w:firstLine="137"/>
        <w:jc w:val="center"/>
        <w:outlineLvl w:val="2"/>
        <w:rPr>
          <w:rFonts w:ascii="宋体" w:hAnsi="宋体"/>
          <w:b/>
          <w:bCs/>
          <w:color w:val="auto"/>
          <w:sz w:val="28"/>
          <w:szCs w:val="32"/>
          <w:highlight w:val="none"/>
        </w:rPr>
      </w:pPr>
      <w:r>
        <w:rPr>
          <w:rFonts w:hint="eastAsia" w:ascii="宋体" w:hAnsi="宋体"/>
          <w:b/>
          <w:bCs/>
          <w:color w:val="auto"/>
          <w:sz w:val="28"/>
          <w:szCs w:val="32"/>
          <w:highlight w:val="none"/>
        </w:rPr>
        <w:t>（一）基本情况表（格式可自定）</w:t>
      </w:r>
    </w:p>
    <w:tbl>
      <w:tblPr>
        <w:tblStyle w:val="12"/>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56F2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F6358F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投标人名称</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042C26E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56D8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2496536">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注册地址</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6F77D66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72EB66F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邮政编码</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1449F4E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19C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restart"/>
            <w:tcBorders>
              <w:top w:val="single" w:color="auto" w:sz="4" w:space="0"/>
              <w:left w:val="single" w:color="auto" w:sz="4" w:space="0"/>
              <w:bottom w:val="single" w:color="auto" w:sz="4" w:space="0"/>
              <w:right w:val="single" w:color="auto" w:sz="4" w:space="0"/>
            </w:tcBorders>
            <w:noWrap/>
            <w:vAlign w:val="center"/>
          </w:tcPr>
          <w:p w14:paraId="0A9429B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联系方式</w:t>
            </w:r>
          </w:p>
        </w:tc>
        <w:tc>
          <w:tcPr>
            <w:tcW w:w="991" w:type="dxa"/>
            <w:tcBorders>
              <w:top w:val="single" w:color="auto" w:sz="4" w:space="0"/>
              <w:left w:val="single" w:color="auto" w:sz="4" w:space="0"/>
              <w:bottom w:val="single" w:color="auto" w:sz="4" w:space="0"/>
              <w:right w:val="single" w:color="auto" w:sz="4" w:space="0"/>
            </w:tcBorders>
            <w:noWrap/>
            <w:vAlign w:val="center"/>
          </w:tcPr>
          <w:p w14:paraId="03451EB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联系人</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438F230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4C3F917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电 话</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1DA201D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64A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vMerge w:val="continue"/>
            <w:tcBorders>
              <w:top w:val="single" w:color="auto" w:sz="4" w:space="0"/>
              <w:left w:val="single" w:color="auto" w:sz="4" w:space="0"/>
              <w:bottom w:val="single" w:color="auto" w:sz="4" w:space="0"/>
              <w:right w:val="single" w:color="auto" w:sz="4" w:space="0"/>
            </w:tcBorders>
            <w:noWrap/>
            <w:vAlign w:val="center"/>
          </w:tcPr>
          <w:p w14:paraId="50C7FA05">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auto"/>
                <w:sz w:val="24"/>
                <w:szCs w:val="24"/>
                <w:highlight w:val="none"/>
              </w:rPr>
            </w:pPr>
          </w:p>
        </w:tc>
        <w:tc>
          <w:tcPr>
            <w:tcW w:w="991" w:type="dxa"/>
            <w:tcBorders>
              <w:top w:val="single" w:color="auto" w:sz="4" w:space="0"/>
              <w:left w:val="single" w:color="auto" w:sz="4" w:space="0"/>
              <w:bottom w:val="single" w:color="auto" w:sz="4" w:space="0"/>
              <w:right w:val="single" w:color="auto" w:sz="4" w:space="0"/>
            </w:tcBorders>
            <w:noWrap/>
            <w:vAlign w:val="center"/>
          </w:tcPr>
          <w:p w14:paraId="4F36AF4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传  真</w:t>
            </w:r>
          </w:p>
        </w:tc>
        <w:tc>
          <w:tcPr>
            <w:tcW w:w="2217" w:type="dxa"/>
            <w:gridSpan w:val="2"/>
            <w:tcBorders>
              <w:top w:val="single" w:color="auto" w:sz="4" w:space="0"/>
              <w:left w:val="single" w:color="auto" w:sz="4" w:space="0"/>
              <w:bottom w:val="single" w:color="auto" w:sz="4" w:space="0"/>
              <w:right w:val="single" w:color="auto" w:sz="4" w:space="0"/>
            </w:tcBorders>
            <w:noWrap/>
            <w:vAlign w:val="center"/>
          </w:tcPr>
          <w:p w14:paraId="27E0CCA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0E57325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网 址</w:t>
            </w:r>
          </w:p>
        </w:tc>
        <w:tc>
          <w:tcPr>
            <w:tcW w:w="2418" w:type="dxa"/>
            <w:gridSpan w:val="3"/>
            <w:tcBorders>
              <w:top w:val="single" w:color="auto" w:sz="4" w:space="0"/>
              <w:left w:val="single" w:color="auto" w:sz="4" w:space="0"/>
              <w:bottom w:val="single" w:color="auto" w:sz="4" w:space="0"/>
              <w:right w:val="single" w:color="auto" w:sz="4" w:space="0"/>
            </w:tcBorders>
            <w:noWrap/>
            <w:vAlign w:val="center"/>
          </w:tcPr>
          <w:p w14:paraId="68F6D29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6C71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89DE23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法定代表人</w:t>
            </w:r>
          </w:p>
        </w:tc>
        <w:tc>
          <w:tcPr>
            <w:tcW w:w="991" w:type="dxa"/>
            <w:tcBorders>
              <w:top w:val="single" w:color="auto" w:sz="4" w:space="0"/>
              <w:left w:val="single" w:color="auto" w:sz="4" w:space="0"/>
              <w:bottom w:val="single" w:color="auto" w:sz="4" w:space="0"/>
              <w:right w:val="single" w:color="auto" w:sz="4" w:space="0"/>
            </w:tcBorders>
            <w:noWrap/>
            <w:vAlign w:val="center"/>
          </w:tcPr>
          <w:p w14:paraId="063EE73C">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080D6D2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6976403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5455F42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038AFBB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3F435D8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6D3F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46D2B2C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技术负责人</w:t>
            </w:r>
          </w:p>
        </w:tc>
        <w:tc>
          <w:tcPr>
            <w:tcW w:w="991" w:type="dxa"/>
            <w:tcBorders>
              <w:top w:val="single" w:color="auto" w:sz="4" w:space="0"/>
              <w:left w:val="single" w:color="auto" w:sz="4" w:space="0"/>
              <w:bottom w:val="single" w:color="auto" w:sz="4" w:space="0"/>
              <w:right w:val="single" w:color="auto" w:sz="4" w:space="0"/>
            </w:tcBorders>
            <w:noWrap/>
            <w:vAlign w:val="center"/>
          </w:tcPr>
          <w:p w14:paraId="408CA50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姓名</w:t>
            </w:r>
          </w:p>
        </w:tc>
        <w:tc>
          <w:tcPr>
            <w:tcW w:w="991" w:type="dxa"/>
            <w:tcBorders>
              <w:top w:val="single" w:color="auto" w:sz="4" w:space="0"/>
              <w:left w:val="single" w:color="auto" w:sz="4" w:space="0"/>
              <w:bottom w:val="single" w:color="auto" w:sz="4" w:space="0"/>
              <w:right w:val="single" w:color="auto" w:sz="4" w:space="0"/>
            </w:tcBorders>
            <w:noWrap/>
            <w:vAlign w:val="center"/>
          </w:tcPr>
          <w:p w14:paraId="48B084B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noWrap/>
            <w:vAlign w:val="center"/>
          </w:tcPr>
          <w:p w14:paraId="2A3E23A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技术职称</w:t>
            </w:r>
          </w:p>
        </w:tc>
        <w:tc>
          <w:tcPr>
            <w:tcW w:w="1368" w:type="dxa"/>
            <w:gridSpan w:val="2"/>
            <w:tcBorders>
              <w:top w:val="single" w:color="auto" w:sz="4" w:space="0"/>
              <w:left w:val="single" w:color="auto" w:sz="4" w:space="0"/>
              <w:bottom w:val="single" w:color="auto" w:sz="4" w:space="0"/>
              <w:right w:val="single" w:color="auto" w:sz="4" w:space="0"/>
            </w:tcBorders>
            <w:noWrap/>
            <w:vAlign w:val="center"/>
          </w:tcPr>
          <w:p w14:paraId="2C1AE16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1148" w:type="dxa"/>
            <w:gridSpan w:val="2"/>
            <w:tcBorders>
              <w:top w:val="single" w:color="auto" w:sz="4" w:space="0"/>
              <w:left w:val="single" w:color="auto" w:sz="4" w:space="0"/>
              <w:bottom w:val="single" w:color="auto" w:sz="4" w:space="0"/>
              <w:right w:val="single" w:color="auto" w:sz="4" w:space="0"/>
            </w:tcBorders>
            <w:noWrap/>
            <w:vAlign w:val="center"/>
          </w:tcPr>
          <w:p w14:paraId="736F4C2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电话</w:t>
            </w:r>
          </w:p>
        </w:tc>
        <w:tc>
          <w:tcPr>
            <w:tcW w:w="1270" w:type="dxa"/>
            <w:tcBorders>
              <w:top w:val="single" w:color="auto" w:sz="4" w:space="0"/>
              <w:left w:val="single" w:color="auto" w:sz="4" w:space="0"/>
              <w:bottom w:val="single" w:color="auto" w:sz="4" w:space="0"/>
              <w:right w:val="single" w:color="auto" w:sz="4" w:space="0"/>
            </w:tcBorders>
            <w:noWrap/>
            <w:vAlign w:val="center"/>
          </w:tcPr>
          <w:p w14:paraId="624105F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0B1C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4CB8C1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企业监理资质证书</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555F69BD">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auto"/>
                <w:sz w:val="24"/>
                <w:szCs w:val="24"/>
                <w:highlight w:val="none"/>
              </w:rPr>
            </w:pPr>
            <w:r>
              <w:rPr>
                <w:rFonts w:hint="eastAsia" w:ascii="宋体" w:hAnsi="宋体"/>
                <w:color w:val="auto"/>
                <w:sz w:val="24"/>
                <w:szCs w:val="24"/>
                <w:highlight w:val="none"/>
              </w:rPr>
              <w:t>类型：                    等级：      证书号：</w:t>
            </w:r>
          </w:p>
        </w:tc>
      </w:tr>
      <w:tr w14:paraId="79EC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2955C9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质量管理体系证书（如有）</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11EFB434">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120" w:firstLineChars="50"/>
              <w:textAlignment w:val="auto"/>
              <w:rPr>
                <w:rFonts w:hint="default" w:ascii="宋体" w:hAnsi="宋体"/>
                <w:color w:val="auto"/>
                <w:sz w:val="24"/>
                <w:szCs w:val="24"/>
                <w:highlight w:val="none"/>
              </w:rPr>
            </w:pPr>
            <w:r>
              <w:rPr>
                <w:rFonts w:hint="eastAsia" w:ascii="宋体" w:hAnsi="宋体"/>
                <w:color w:val="auto"/>
                <w:sz w:val="24"/>
                <w:szCs w:val="24"/>
                <w:highlight w:val="none"/>
              </w:rPr>
              <w:t>类型：                    等级：      证书号：</w:t>
            </w:r>
          </w:p>
        </w:tc>
      </w:tr>
      <w:tr w14:paraId="398F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52AD88F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营业执照号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1C28DB0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3786" w:type="dxa"/>
            <w:gridSpan w:val="5"/>
            <w:tcBorders>
              <w:top w:val="single" w:color="auto" w:sz="4" w:space="0"/>
              <w:left w:val="single" w:color="auto" w:sz="4" w:space="0"/>
              <w:bottom w:val="single" w:color="auto" w:sz="4" w:space="0"/>
              <w:right w:val="single" w:color="auto" w:sz="4" w:space="0"/>
            </w:tcBorders>
            <w:noWrap/>
            <w:vAlign w:val="center"/>
          </w:tcPr>
          <w:p w14:paraId="2B466C5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员工总人数：</w:t>
            </w:r>
          </w:p>
        </w:tc>
      </w:tr>
      <w:tr w14:paraId="606E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CE37F5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注册资本</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70AC9FDA">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02871AD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其中</w:t>
            </w: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2476C7C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高级职称人员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FF60D9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439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DAC023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成立日期</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3E3A63B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DCE25C1">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5F4DBE8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中级职称人员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561CE6C3">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163D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1B032F75">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基本账户开户银行</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2FF783D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5FEC1BE">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5F9955BF">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技术人员数量</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6E9F8DE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693F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2F15C880">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基本账户银行账号</w:t>
            </w:r>
          </w:p>
        </w:tc>
        <w:tc>
          <w:tcPr>
            <w:tcW w:w="3208" w:type="dxa"/>
            <w:gridSpan w:val="3"/>
            <w:tcBorders>
              <w:top w:val="single" w:color="auto" w:sz="4" w:space="0"/>
              <w:left w:val="single" w:color="auto" w:sz="4" w:space="0"/>
              <w:bottom w:val="single" w:color="auto" w:sz="4" w:space="0"/>
              <w:right w:val="single" w:color="auto" w:sz="4" w:space="0"/>
            </w:tcBorders>
            <w:noWrap/>
            <w:vAlign w:val="center"/>
          </w:tcPr>
          <w:p w14:paraId="1BB07EE2">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423539E">
            <w:pPr>
              <w:keepNext w:val="0"/>
              <w:keepLines w:val="0"/>
              <w:pageBreakBefore w:val="0"/>
              <w:widowControl/>
              <w:suppressLineNumbers w:val="0"/>
              <w:kinsoku/>
              <w:wordWrap/>
              <w:overflowPunct/>
              <w:autoSpaceDE/>
              <w:autoSpaceDN/>
              <w:bidi w:val="0"/>
              <w:adjustRightInd/>
              <w:snapToGrid/>
              <w:spacing w:before="0" w:beforeAutospacing="0" w:after="0" w:afterAutospacing="0" w:line="288" w:lineRule="auto"/>
              <w:ind w:left="0" w:right="0"/>
              <w:jc w:val="left"/>
              <w:textAlignment w:val="auto"/>
              <w:rPr>
                <w:rFonts w:hint="default" w:ascii="宋体" w:hAnsi="宋体"/>
                <w:color w:val="auto"/>
                <w:sz w:val="24"/>
                <w:szCs w:val="24"/>
                <w:highlight w:val="none"/>
              </w:rPr>
            </w:pPr>
          </w:p>
        </w:tc>
        <w:tc>
          <w:tcPr>
            <w:tcW w:w="1759" w:type="dxa"/>
            <w:gridSpan w:val="2"/>
            <w:tcBorders>
              <w:top w:val="single" w:color="auto" w:sz="4" w:space="0"/>
              <w:left w:val="single" w:color="auto" w:sz="4" w:space="0"/>
              <w:bottom w:val="single" w:color="auto" w:sz="4" w:space="0"/>
              <w:right w:val="single" w:color="auto" w:sz="4" w:space="0"/>
            </w:tcBorders>
            <w:noWrap/>
            <w:vAlign w:val="center"/>
          </w:tcPr>
          <w:p w14:paraId="74797E1E">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各类注册人员</w:t>
            </w:r>
          </w:p>
        </w:tc>
        <w:tc>
          <w:tcPr>
            <w:tcW w:w="1571" w:type="dxa"/>
            <w:gridSpan w:val="2"/>
            <w:tcBorders>
              <w:top w:val="single" w:color="auto" w:sz="4" w:space="0"/>
              <w:left w:val="single" w:color="auto" w:sz="4" w:space="0"/>
              <w:bottom w:val="single" w:color="auto" w:sz="4" w:space="0"/>
              <w:right w:val="single" w:color="auto" w:sz="4" w:space="0"/>
            </w:tcBorders>
            <w:noWrap/>
            <w:vAlign w:val="center"/>
          </w:tcPr>
          <w:p w14:paraId="18F70E5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20F0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35697BB7">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firstLine="240" w:firstLineChars="10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经营范围</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252BEC38">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4A6D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7F43299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投标人关联企业情况（包括但不限于与投标人法定代表人为同一人或者存在控股、管理关系的不同单位）</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799A0FB">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r w14:paraId="168E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7" w:type="dxa"/>
            <w:tcBorders>
              <w:top w:val="single" w:color="auto" w:sz="4" w:space="0"/>
              <w:left w:val="single" w:color="auto" w:sz="4" w:space="0"/>
              <w:bottom w:val="single" w:color="auto" w:sz="4" w:space="0"/>
              <w:right w:val="single" w:color="auto" w:sz="4" w:space="0"/>
            </w:tcBorders>
            <w:noWrap/>
            <w:vAlign w:val="center"/>
          </w:tcPr>
          <w:p w14:paraId="0601F831">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r>
              <w:rPr>
                <w:rFonts w:hint="eastAsia" w:ascii="宋体" w:hAnsi="宋体"/>
                <w:color w:val="auto"/>
                <w:sz w:val="24"/>
                <w:szCs w:val="24"/>
                <w:highlight w:val="none"/>
              </w:rPr>
              <w:t>备注</w:t>
            </w:r>
          </w:p>
        </w:tc>
        <w:tc>
          <w:tcPr>
            <w:tcW w:w="6994" w:type="dxa"/>
            <w:gridSpan w:val="8"/>
            <w:tcBorders>
              <w:top w:val="single" w:color="auto" w:sz="4" w:space="0"/>
              <w:left w:val="single" w:color="auto" w:sz="4" w:space="0"/>
              <w:bottom w:val="single" w:color="auto" w:sz="4" w:space="0"/>
              <w:right w:val="single" w:color="auto" w:sz="4" w:space="0"/>
            </w:tcBorders>
            <w:noWrap/>
            <w:vAlign w:val="center"/>
          </w:tcPr>
          <w:p w14:paraId="69E258F9">
            <w:pPr>
              <w:keepNext w:val="0"/>
              <w:keepLines w:val="0"/>
              <w:pageBreakBefore w:val="0"/>
              <w:suppressLineNumbers w:val="0"/>
              <w:kinsoku/>
              <w:wordWrap/>
              <w:overflowPunct/>
              <w:topLinePunct/>
              <w:autoSpaceDE/>
              <w:autoSpaceDN/>
              <w:bidi w:val="0"/>
              <w:adjustRightInd/>
              <w:snapToGrid/>
              <w:spacing w:before="0" w:beforeAutospacing="0" w:after="0" w:afterAutospacing="0" w:line="288" w:lineRule="auto"/>
              <w:ind w:left="0" w:right="0"/>
              <w:jc w:val="center"/>
              <w:textAlignment w:val="auto"/>
              <w:rPr>
                <w:rFonts w:hint="default" w:ascii="宋体" w:hAnsi="宋体"/>
                <w:color w:val="auto"/>
                <w:sz w:val="24"/>
                <w:szCs w:val="24"/>
                <w:highlight w:val="none"/>
              </w:rPr>
            </w:pPr>
          </w:p>
        </w:tc>
      </w:tr>
    </w:tbl>
    <w:p w14:paraId="5CD71062">
      <w:pPr>
        <w:spacing w:line="400" w:lineRule="exact"/>
        <w:rPr>
          <w:rFonts w:ascii="宋体" w:hAnsi="宋体"/>
          <w:color w:val="auto"/>
          <w:sz w:val="24"/>
          <w:szCs w:val="24"/>
          <w:highlight w:val="none"/>
        </w:rPr>
      </w:pPr>
      <w:r>
        <w:rPr>
          <w:rFonts w:hint="eastAsia" w:ascii="宋体" w:hAnsi="宋体"/>
          <w:color w:val="auto"/>
          <w:sz w:val="24"/>
          <w:szCs w:val="24"/>
          <w:highlight w:val="none"/>
        </w:rPr>
        <w:t>注：投标人应</w:t>
      </w:r>
      <w:bookmarkStart w:id="502" w:name="_Toc520184751"/>
      <w:r>
        <w:rPr>
          <w:rFonts w:hint="eastAsia" w:ascii="宋体" w:hAnsi="宋体"/>
          <w:color w:val="auto"/>
          <w:sz w:val="24"/>
          <w:szCs w:val="24"/>
          <w:highlight w:val="none"/>
        </w:rPr>
        <w:t>根据投标人须知第3.5</w:t>
      </w:r>
      <w:bookmarkEnd w:id="502"/>
      <w:r>
        <w:rPr>
          <w:rFonts w:hint="eastAsia" w:ascii="宋体" w:hAnsi="宋体"/>
          <w:color w:val="auto"/>
          <w:sz w:val="24"/>
          <w:szCs w:val="24"/>
          <w:highlight w:val="none"/>
        </w:rPr>
        <w:t>.1项的要求在本表后附相关证</w:t>
      </w:r>
      <w:bookmarkStart w:id="503" w:name="_Toc520184752"/>
      <w:r>
        <w:rPr>
          <w:rFonts w:hint="eastAsia" w:ascii="宋体" w:hAnsi="宋体"/>
          <w:color w:val="auto"/>
          <w:sz w:val="24"/>
          <w:szCs w:val="24"/>
          <w:highlight w:val="none"/>
        </w:rPr>
        <w:t>明材料。</w:t>
      </w:r>
      <w:bookmarkEnd w:id="503"/>
    </w:p>
    <w:p w14:paraId="4A76C228">
      <w:pPr>
        <w:rPr>
          <w:rFonts w:ascii="宋体" w:hAnsi="宋体"/>
          <w:color w:val="auto"/>
          <w:highlight w:val="none"/>
        </w:rPr>
      </w:pPr>
    </w:p>
    <w:p w14:paraId="07737ECE">
      <w:pPr>
        <w:rPr>
          <w:rFonts w:ascii="宋体" w:hAnsi="宋体"/>
          <w:color w:val="auto"/>
          <w:highlight w:val="none"/>
        </w:rPr>
      </w:pPr>
    </w:p>
    <w:p w14:paraId="4F8D1C07">
      <w:pPr>
        <w:spacing w:before="20" w:line="412" w:lineRule="auto"/>
        <w:ind w:firstLine="137"/>
        <w:jc w:val="center"/>
        <w:outlineLvl w:val="2"/>
        <w:rPr>
          <w:rFonts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28"/>
          <w:szCs w:val="32"/>
          <w:highlight w:val="none"/>
        </w:rPr>
        <w:t>（二）近年完成的类似</w:t>
      </w:r>
      <w:r>
        <w:rPr>
          <w:rFonts w:hint="default" w:ascii="宋体" w:hAnsi="宋体"/>
          <w:b/>
          <w:bCs/>
          <w:color w:val="auto"/>
          <w:sz w:val="28"/>
          <w:szCs w:val="32"/>
          <w:highlight w:val="none"/>
        </w:rPr>
        <w:t>监理</w:t>
      </w:r>
      <w:r>
        <w:rPr>
          <w:rFonts w:hint="eastAsia" w:ascii="宋体" w:hAnsi="宋体"/>
          <w:b/>
          <w:bCs/>
          <w:color w:val="auto"/>
          <w:sz w:val="28"/>
          <w:szCs w:val="32"/>
          <w:highlight w:val="none"/>
        </w:rPr>
        <w:t>项目情况表</w:t>
      </w:r>
    </w:p>
    <w:tbl>
      <w:tblPr>
        <w:tblStyle w:val="12"/>
        <w:tblW w:w="8522" w:type="dxa"/>
        <w:jc w:val="center"/>
        <w:tblLayout w:type="fixed"/>
        <w:tblCellMar>
          <w:top w:w="0" w:type="dxa"/>
          <w:left w:w="108" w:type="dxa"/>
          <w:bottom w:w="0" w:type="dxa"/>
          <w:right w:w="108" w:type="dxa"/>
        </w:tblCellMar>
      </w:tblPr>
      <w:tblGrid>
        <w:gridCol w:w="2269"/>
        <w:gridCol w:w="6253"/>
      </w:tblGrid>
      <w:tr w14:paraId="2B3BE0C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F2D641F">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项目名称</w:t>
            </w:r>
          </w:p>
        </w:tc>
        <w:tc>
          <w:tcPr>
            <w:tcW w:w="6253" w:type="dxa"/>
            <w:tcBorders>
              <w:top w:val="single" w:color="auto" w:sz="4" w:space="0"/>
              <w:left w:val="nil"/>
              <w:bottom w:val="single" w:color="auto" w:sz="4" w:space="0"/>
              <w:right w:val="single" w:color="auto" w:sz="4" w:space="0"/>
            </w:tcBorders>
            <w:noWrap/>
            <w:vAlign w:val="top"/>
          </w:tcPr>
          <w:p w14:paraId="15EB4B19">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33C8759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50A38CE">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项目所在地</w:t>
            </w:r>
          </w:p>
        </w:tc>
        <w:tc>
          <w:tcPr>
            <w:tcW w:w="6253" w:type="dxa"/>
            <w:tcBorders>
              <w:top w:val="single" w:color="auto" w:sz="4" w:space="0"/>
              <w:left w:val="nil"/>
              <w:bottom w:val="single" w:color="auto" w:sz="4" w:space="0"/>
              <w:right w:val="single" w:color="auto" w:sz="4" w:space="0"/>
            </w:tcBorders>
            <w:noWrap/>
            <w:vAlign w:val="top"/>
          </w:tcPr>
          <w:p w14:paraId="12110719">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19BED8A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A5B879A">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委托人名称</w:t>
            </w:r>
          </w:p>
        </w:tc>
        <w:tc>
          <w:tcPr>
            <w:tcW w:w="6253" w:type="dxa"/>
            <w:tcBorders>
              <w:top w:val="single" w:color="auto" w:sz="4" w:space="0"/>
              <w:left w:val="nil"/>
              <w:bottom w:val="single" w:color="auto" w:sz="4" w:space="0"/>
              <w:right w:val="single" w:color="auto" w:sz="4" w:space="0"/>
            </w:tcBorders>
            <w:noWrap/>
            <w:vAlign w:val="top"/>
          </w:tcPr>
          <w:p w14:paraId="0559C92E">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5AC0D34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174322F">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委托人地址</w:t>
            </w:r>
          </w:p>
        </w:tc>
        <w:tc>
          <w:tcPr>
            <w:tcW w:w="6253" w:type="dxa"/>
            <w:tcBorders>
              <w:top w:val="single" w:color="auto" w:sz="4" w:space="0"/>
              <w:left w:val="nil"/>
              <w:bottom w:val="single" w:color="auto" w:sz="4" w:space="0"/>
              <w:right w:val="single" w:color="auto" w:sz="4" w:space="0"/>
            </w:tcBorders>
            <w:noWrap/>
            <w:vAlign w:val="top"/>
          </w:tcPr>
          <w:p w14:paraId="7AC91C7C">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AA7B6A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5B610ED">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委托人电话</w:t>
            </w:r>
          </w:p>
        </w:tc>
        <w:tc>
          <w:tcPr>
            <w:tcW w:w="6253" w:type="dxa"/>
            <w:tcBorders>
              <w:top w:val="single" w:color="auto" w:sz="4" w:space="0"/>
              <w:left w:val="nil"/>
              <w:bottom w:val="single" w:color="auto" w:sz="4" w:space="0"/>
              <w:right w:val="single" w:color="auto" w:sz="4" w:space="0"/>
            </w:tcBorders>
            <w:noWrap/>
            <w:vAlign w:val="top"/>
          </w:tcPr>
          <w:p w14:paraId="2CC4F783">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3FF2580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D4E3E9B">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合同价格</w:t>
            </w:r>
          </w:p>
        </w:tc>
        <w:tc>
          <w:tcPr>
            <w:tcW w:w="6253" w:type="dxa"/>
            <w:tcBorders>
              <w:top w:val="single" w:color="auto" w:sz="4" w:space="0"/>
              <w:left w:val="nil"/>
              <w:bottom w:val="single" w:color="auto" w:sz="4" w:space="0"/>
              <w:right w:val="single" w:color="auto" w:sz="4" w:space="0"/>
            </w:tcBorders>
            <w:noWrap/>
            <w:vAlign w:val="top"/>
          </w:tcPr>
          <w:p w14:paraId="0329DA4C">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00391A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5E2DFED">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监理服务期限</w:t>
            </w:r>
          </w:p>
        </w:tc>
        <w:tc>
          <w:tcPr>
            <w:tcW w:w="6253" w:type="dxa"/>
            <w:tcBorders>
              <w:top w:val="single" w:color="auto" w:sz="4" w:space="0"/>
              <w:left w:val="nil"/>
              <w:bottom w:val="single" w:color="auto" w:sz="4" w:space="0"/>
              <w:right w:val="single" w:color="auto" w:sz="4" w:space="0"/>
            </w:tcBorders>
            <w:noWrap/>
            <w:vAlign w:val="top"/>
          </w:tcPr>
          <w:p w14:paraId="6CAF211D">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42B549E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CF72F90">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监理内容</w:t>
            </w:r>
          </w:p>
        </w:tc>
        <w:tc>
          <w:tcPr>
            <w:tcW w:w="6253" w:type="dxa"/>
            <w:tcBorders>
              <w:top w:val="single" w:color="auto" w:sz="4" w:space="0"/>
              <w:left w:val="nil"/>
              <w:bottom w:val="single" w:color="auto" w:sz="4" w:space="0"/>
              <w:right w:val="single" w:color="auto" w:sz="4" w:space="0"/>
            </w:tcBorders>
            <w:noWrap/>
            <w:vAlign w:val="top"/>
          </w:tcPr>
          <w:p w14:paraId="45A7EB88">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7EB9624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28541CF">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总监理工程师</w:t>
            </w:r>
          </w:p>
        </w:tc>
        <w:tc>
          <w:tcPr>
            <w:tcW w:w="6253" w:type="dxa"/>
            <w:tcBorders>
              <w:top w:val="single" w:color="auto" w:sz="4" w:space="0"/>
              <w:left w:val="nil"/>
              <w:bottom w:val="single" w:color="auto" w:sz="4" w:space="0"/>
              <w:right w:val="single" w:color="auto" w:sz="4" w:space="0"/>
            </w:tcBorders>
            <w:noWrap/>
            <w:vAlign w:val="top"/>
          </w:tcPr>
          <w:p w14:paraId="27A70A53">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007A88C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5826E124">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项目描述</w:t>
            </w:r>
          </w:p>
        </w:tc>
        <w:tc>
          <w:tcPr>
            <w:tcW w:w="6253" w:type="dxa"/>
            <w:tcBorders>
              <w:top w:val="single" w:color="auto" w:sz="4" w:space="0"/>
              <w:left w:val="nil"/>
              <w:bottom w:val="single" w:color="auto" w:sz="4" w:space="0"/>
              <w:right w:val="single" w:color="auto" w:sz="4" w:space="0"/>
            </w:tcBorders>
            <w:noWrap/>
            <w:vAlign w:val="top"/>
          </w:tcPr>
          <w:p w14:paraId="33639AD3">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116B61F6">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53210E79">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3AA39988">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65E8461E">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5F9B4DF6">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5FEB3A59">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38596B6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DDD86CD">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备注</w:t>
            </w:r>
          </w:p>
        </w:tc>
        <w:tc>
          <w:tcPr>
            <w:tcW w:w="6253" w:type="dxa"/>
            <w:tcBorders>
              <w:top w:val="single" w:color="auto" w:sz="4" w:space="0"/>
              <w:left w:val="nil"/>
              <w:bottom w:val="single" w:color="auto" w:sz="4" w:space="0"/>
              <w:right w:val="single" w:color="auto" w:sz="4" w:space="0"/>
            </w:tcBorders>
            <w:noWrap/>
            <w:vAlign w:val="top"/>
          </w:tcPr>
          <w:p w14:paraId="05664A1A">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bl>
    <w:p w14:paraId="610CEB29">
      <w:pPr>
        <w:spacing w:line="440" w:lineRule="exact"/>
        <w:rPr>
          <w:rFonts w:ascii="宋体" w:hAnsi="宋体"/>
          <w:color w:val="auto"/>
          <w:sz w:val="24"/>
          <w:szCs w:val="24"/>
          <w:highlight w:val="none"/>
        </w:rPr>
      </w:pPr>
      <w:r>
        <w:rPr>
          <w:rFonts w:hint="eastAsia" w:ascii="宋体" w:hAnsi="宋体"/>
          <w:color w:val="auto"/>
          <w:sz w:val="24"/>
          <w:szCs w:val="24"/>
          <w:highlight w:val="none"/>
        </w:rPr>
        <w:t>注：投标人应根据投标人须知第3.5.3项的要求在本表后附相关证明材料。</w:t>
      </w:r>
    </w:p>
    <w:p w14:paraId="4E93CCF4">
      <w:pPr>
        <w:spacing w:line="440" w:lineRule="exact"/>
        <w:rPr>
          <w:rFonts w:ascii="宋体" w:hAnsi="宋体"/>
          <w:color w:val="auto"/>
          <w:szCs w:val="24"/>
          <w:highlight w:val="none"/>
        </w:rPr>
      </w:pPr>
    </w:p>
    <w:p w14:paraId="0DE11AA2">
      <w:pPr>
        <w:spacing w:line="440" w:lineRule="exact"/>
        <w:rPr>
          <w:rFonts w:ascii="宋体" w:hAnsi="宋体"/>
          <w:color w:val="auto"/>
          <w:szCs w:val="24"/>
          <w:highlight w:val="none"/>
        </w:rPr>
      </w:pPr>
    </w:p>
    <w:p w14:paraId="182301CF">
      <w:pPr>
        <w:spacing w:before="20" w:line="360" w:lineRule="auto"/>
        <w:ind w:firstLine="137"/>
        <w:jc w:val="center"/>
        <w:outlineLvl w:val="2"/>
        <w:rPr>
          <w:rFonts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28"/>
          <w:szCs w:val="32"/>
          <w:highlight w:val="none"/>
        </w:rPr>
        <w:t>（三）正在监理和新承接的项目情况表</w:t>
      </w:r>
    </w:p>
    <w:tbl>
      <w:tblPr>
        <w:tblStyle w:val="12"/>
        <w:tblW w:w="8522" w:type="dxa"/>
        <w:jc w:val="center"/>
        <w:tblLayout w:type="fixed"/>
        <w:tblCellMar>
          <w:top w:w="0" w:type="dxa"/>
          <w:left w:w="108" w:type="dxa"/>
          <w:bottom w:w="0" w:type="dxa"/>
          <w:right w:w="108" w:type="dxa"/>
        </w:tblCellMar>
      </w:tblPr>
      <w:tblGrid>
        <w:gridCol w:w="2269"/>
        <w:gridCol w:w="6253"/>
      </w:tblGrid>
      <w:tr w14:paraId="5A96C26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8D4C6E0">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项目名称</w:t>
            </w:r>
          </w:p>
        </w:tc>
        <w:tc>
          <w:tcPr>
            <w:tcW w:w="6253" w:type="dxa"/>
            <w:tcBorders>
              <w:top w:val="single" w:color="auto" w:sz="4" w:space="0"/>
              <w:left w:val="nil"/>
              <w:bottom w:val="single" w:color="auto" w:sz="4" w:space="0"/>
              <w:right w:val="single" w:color="auto" w:sz="4" w:space="0"/>
            </w:tcBorders>
            <w:noWrap/>
            <w:vAlign w:val="top"/>
          </w:tcPr>
          <w:p w14:paraId="7EDE0C11">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1A5BEE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9547D50">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项目所在地</w:t>
            </w:r>
          </w:p>
        </w:tc>
        <w:tc>
          <w:tcPr>
            <w:tcW w:w="6253" w:type="dxa"/>
            <w:tcBorders>
              <w:top w:val="single" w:color="auto" w:sz="4" w:space="0"/>
              <w:left w:val="nil"/>
              <w:bottom w:val="single" w:color="auto" w:sz="4" w:space="0"/>
              <w:right w:val="single" w:color="auto" w:sz="4" w:space="0"/>
            </w:tcBorders>
            <w:noWrap/>
            <w:vAlign w:val="top"/>
          </w:tcPr>
          <w:p w14:paraId="4D279D66">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0316F3B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5A16B66">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委托人名称</w:t>
            </w:r>
          </w:p>
        </w:tc>
        <w:tc>
          <w:tcPr>
            <w:tcW w:w="6253" w:type="dxa"/>
            <w:tcBorders>
              <w:top w:val="single" w:color="auto" w:sz="4" w:space="0"/>
              <w:left w:val="nil"/>
              <w:bottom w:val="single" w:color="auto" w:sz="4" w:space="0"/>
              <w:right w:val="single" w:color="auto" w:sz="4" w:space="0"/>
            </w:tcBorders>
            <w:noWrap/>
            <w:vAlign w:val="top"/>
          </w:tcPr>
          <w:p w14:paraId="1E6317AA">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4C9AD3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348AACD">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委托人地址</w:t>
            </w:r>
          </w:p>
        </w:tc>
        <w:tc>
          <w:tcPr>
            <w:tcW w:w="6253" w:type="dxa"/>
            <w:tcBorders>
              <w:top w:val="single" w:color="auto" w:sz="4" w:space="0"/>
              <w:left w:val="nil"/>
              <w:bottom w:val="single" w:color="auto" w:sz="4" w:space="0"/>
              <w:right w:val="single" w:color="auto" w:sz="4" w:space="0"/>
            </w:tcBorders>
            <w:noWrap/>
            <w:vAlign w:val="top"/>
          </w:tcPr>
          <w:p w14:paraId="07679BC0">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2F6A2E7">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05E3688">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委托人电话</w:t>
            </w:r>
          </w:p>
        </w:tc>
        <w:tc>
          <w:tcPr>
            <w:tcW w:w="6253" w:type="dxa"/>
            <w:tcBorders>
              <w:top w:val="single" w:color="auto" w:sz="4" w:space="0"/>
              <w:left w:val="nil"/>
              <w:bottom w:val="single" w:color="auto" w:sz="4" w:space="0"/>
              <w:right w:val="single" w:color="auto" w:sz="4" w:space="0"/>
            </w:tcBorders>
            <w:noWrap/>
            <w:vAlign w:val="top"/>
          </w:tcPr>
          <w:p w14:paraId="7599475F">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316B74A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F79F541">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签约合同价</w:t>
            </w:r>
          </w:p>
        </w:tc>
        <w:tc>
          <w:tcPr>
            <w:tcW w:w="6253" w:type="dxa"/>
            <w:tcBorders>
              <w:top w:val="single" w:color="auto" w:sz="4" w:space="0"/>
              <w:left w:val="nil"/>
              <w:bottom w:val="single" w:color="auto" w:sz="4" w:space="0"/>
              <w:right w:val="single" w:color="auto" w:sz="4" w:space="0"/>
            </w:tcBorders>
            <w:noWrap/>
            <w:vAlign w:val="top"/>
          </w:tcPr>
          <w:p w14:paraId="66BA17DA">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1F05E7B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2272A09">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监理服务期限</w:t>
            </w:r>
          </w:p>
        </w:tc>
        <w:tc>
          <w:tcPr>
            <w:tcW w:w="6253" w:type="dxa"/>
            <w:tcBorders>
              <w:top w:val="single" w:color="auto" w:sz="4" w:space="0"/>
              <w:left w:val="nil"/>
              <w:bottom w:val="single" w:color="auto" w:sz="4" w:space="0"/>
              <w:right w:val="single" w:color="auto" w:sz="4" w:space="0"/>
            </w:tcBorders>
            <w:noWrap/>
            <w:vAlign w:val="top"/>
          </w:tcPr>
          <w:p w14:paraId="5759F29B">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91EC29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539597A">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监理内容</w:t>
            </w:r>
          </w:p>
        </w:tc>
        <w:tc>
          <w:tcPr>
            <w:tcW w:w="6253" w:type="dxa"/>
            <w:tcBorders>
              <w:top w:val="single" w:color="auto" w:sz="4" w:space="0"/>
              <w:left w:val="nil"/>
              <w:bottom w:val="single" w:color="auto" w:sz="4" w:space="0"/>
              <w:right w:val="single" w:color="auto" w:sz="4" w:space="0"/>
            </w:tcBorders>
            <w:noWrap/>
            <w:vAlign w:val="top"/>
          </w:tcPr>
          <w:p w14:paraId="59E0AC1D">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3FDDD9B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A3E120A">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总监理工程师</w:t>
            </w:r>
          </w:p>
        </w:tc>
        <w:tc>
          <w:tcPr>
            <w:tcW w:w="6253" w:type="dxa"/>
            <w:tcBorders>
              <w:top w:val="single" w:color="auto" w:sz="4" w:space="0"/>
              <w:left w:val="nil"/>
              <w:bottom w:val="single" w:color="auto" w:sz="4" w:space="0"/>
              <w:right w:val="single" w:color="auto" w:sz="4" w:space="0"/>
            </w:tcBorders>
            <w:noWrap/>
            <w:vAlign w:val="top"/>
          </w:tcPr>
          <w:p w14:paraId="7DE84B0F">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20593CD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0A79A72">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项目描述</w:t>
            </w:r>
          </w:p>
        </w:tc>
        <w:tc>
          <w:tcPr>
            <w:tcW w:w="6253" w:type="dxa"/>
            <w:tcBorders>
              <w:top w:val="single" w:color="auto" w:sz="4" w:space="0"/>
              <w:left w:val="nil"/>
              <w:bottom w:val="single" w:color="auto" w:sz="4" w:space="0"/>
              <w:right w:val="single" w:color="auto" w:sz="4" w:space="0"/>
            </w:tcBorders>
            <w:noWrap/>
            <w:vAlign w:val="top"/>
          </w:tcPr>
          <w:p w14:paraId="4B831CA1">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229FED49">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126CF75C">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453CF582">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54950C8C">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57AB09CA">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p w14:paraId="7C6E77A1">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r w14:paraId="707D49E1">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3475844">
            <w:pPr>
              <w:keepNext w:val="0"/>
              <w:keepLines w:val="0"/>
              <w:suppressLineNumbers w:val="0"/>
              <w:topLinePunct/>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备注</w:t>
            </w:r>
          </w:p>
        </w:tc>
        <w:tc>
          <w:tcPr>
            <w:tcW w:w="6253" w:type="dxa"/>
            <w:tcBorders>
              <w:top w:val="single" w:color="auto" w:sz="4" w:space="0"/>
              <w:left w:val="nil"/>
              <w:bottom w:val="single" w:color="auto" w:sz="4" w:space="0"/>
              <w:right w:val="single" w:color="auto" w:sz="4" w:space="0"/>
            </w:tcBorders>
            <w:noWrap/>
            <w:vAlign w:val="top"/>
          </w:tcPr>
          <w:p w14:paraId="7622A835">
            <w:pPr>
              <w:keepNext w:val="0"/>
              <w:keepLines w:val="0"/>
              <w:suppressLineNumbers w:val="0"/>
              <w:topLinePunct/>
              <w:spacing w:before="0" w:beforeAutospacing="0" w:after="0" w:afterAutospacing="0" w:line="440" w:lineRule="exact"/>
              <w:ind w:left="0" w:right="0"/>
              <w:rPr>
                <w:rFonts w:hint="default" w:ascii="宋体" w:hAnsi="宋体"/>
                <w:color w:val="auto"/>
                <w:sz w:val="24"/>
                <w:szCs w:val="24"/>
                <w:highlight w:val="none"/>
              </w:rPr>
            </w:pPr>
          </w:p>
        </w:tc>
      </w:tr>
    </w:tbl>
    <w:p w14:paraId="1B6BD563">
      <w:pPr>
        <w:spacing w:line="440" w:lineRule="exact"/>
        <w:rPr>
          <w:rFonts w:ascii="宋体" w:hAnsi="宋体"/>
          <w:color w:val="auto"/>
          <w:sz w:val="24"/>
          <w:szCs w:val="24"/>
          <w:highlight w:val="none"/>
        </w:rPr>
      </w:pPr>
      <w:r>
        <w:rPr>
          <w:rFonts w:hint="eastAsia" w:ascii="宋体" w:hAnsi="宋体"/>
          <w:color w:val="auto"/>
          <w:sz w:val="24"/>
          <w:szCs w:val="24"/>
          <w:highlight w:val="none"/>
        </w:rPr>
        <w:t>注：投标人应根据投标人须知第3.5.4项的要求在本表后附相关证明材料。</w:t>
      </w:r>
    </w:p>
    <w:p w14:paraId="074666BC">
      <w:pPr>
        <w:spacing w:line="440" w:lineRule="exact"/>
        <w:rPr>
          <w:rFonts w:ascii="宋体" w:hAnsi="宋体"/>
          <w:b/>
          <w:bCs/>
          <w:strike/>
          <w:color w:val="auto"/>
          <w:sz w:val="32"/>
          <w:szCs w:val="32"/>
          <w:highlight w:val="none"/>
        </w:rPr>
      </w:pPr>
    </w:p>
    <w:p w14:paraId="5AD55DD2">
      <w:pPr>
        <w:spacing w:before="20" w:line="412" w:lineRule="auto"/>
        <w:ind w:firstLine="137"/>
        <w:jc w:val="center"/>
        <w:outlineLvl w:val="2"/>
        <w:rPr>
          <w:rFonts w:ascii="宋体" w:hAnsi="宋体"/>
          <w:b/>
          <w:bCs/>
          <w:color w:val="auto"/>
          <w:sz w:val="28"/>
          <w:szCs w:val="32"/>
          <w:highlight w:val="none"/>
        </w:rPr>
      </w:pPr>
      <w:r>
        <w:rPr>
          <w:rFonts w:ascii="宋体" w:hAnsi="宋体"/>
          <w:b/>
          <w:bCs/>
          <w:color w:val="auto"/>
          <w:sz w:val="32"/>
          <w:szCs w:val="32"/>
          <w:highlight w:val="none"/>
        </w:rPr>
        <w:br w:type="page"/>
      </w:r>
      <w:r>
        <w:rPr>
          <w:rFonts w:hint="eastAsia" w:ascii="宋体" w:hAnsi="宋体"/>
          <w:b/>
          <w:bCs/>
          <w:color w:val="auto"/>
          <w:sz w:val="28"/>
          <w:szCs w:val="32"/>
          <w:highlight w:val="none"/>
        </w:rPr>
        <w:t>（四）拟委任的主要人员汇总表（格式可自定）</w:t>
      </w:r>
    </w:p>
    <w:tbl>
      <w:tblPr>
        <w:tblStyle w:val="12"/>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38F270EA">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noWrap/>
            <w:vAlign w:val="center"/>
          </w:tcPr>
          <w:p w14:paraId="00EABE0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序号</w:t>
            </w:r>
          </w:p>
        </w:tc>
        <w:tc>
          <w:tcPr>
            <w:tcW w:w="1468" w:type="dxa"/>
            <w:vMerge w:val="restart"/>
            <w:tcBorders>
              <w:top w:val="single" w:color="auto" w:sz="4" w:space="0"/>
              <w:left w:val="nil"/>
              <w:bottom w:val="single" w:color="auto" w:sz="4" w:space="0"/>
              <w:right w:val="single" w:color="auto" w:sz="4" w:space="0"/>
            </w:tcBorders>
            <w:noWrap/>
            <w:vAlign w:val="center"/>
          </w:tcPr>
          <w:p w14:paraId="4DC08A5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本项目任职</w:t>
            </w:r>
          </w:p>
        </w:tc>
        <w:tc>
          <w:tcPr>
            <w:tcW w:w="818" w:type="dxa"/>
            <w:vMerge w:val="restart"/>
            <w:tcBorders>
              <w:top w:val="single" w:color="auto" w:sz="4" w:space="0"/>
              <w:left w:val="nil"/>
              <w:bottom w:val="single" w:color="auto" w:sz="4" w:space="0"/>
              <w:right w:val="single" w:color="auto" w:sz="4" w:space="0"/>
            </w:tcBorders>
            <w:noWrap/>
            <w:vAlign w:val="center"/>
          </w:tcPr>
          <w:p w14:paraId="2B05686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姓名</w:t>
            </w:r>
          </w:p>
        </w:tc>
        <w:tc>
          <w:tcPr>
            <w:tcW w:w="707" w:type="dxa"/>
            <w:vMerge w:val="restart"/>
            <w:tcBorders>
              <w:top w:val="single" w:color="auto" w:sz="4" w:space="0"/>
              <w:left w:val="nil"/>
              <w:bottom w:val="single" w:color="auto" w:sz="4" w:space="0"/>
              <w:right w:val="single" w:color="auto" w:sz="4" w:space="0"/>
            </w:tcBorders>
            <w:noWrap/>
            <w:vAlign w:val="center"/>
          </w:tcPr>
          <w:p w14:paraId="2A5E243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职称</w:t>
            </w:r>
          </w:p>
        </w:tc>
        <w:tc>
          <w:tcPr>
            <w:tcW w:w="870" w:type="dxa"/>
            <w:vMerge w:val="restart"/>
            <w:tcBorders>
              <w:top w:val="single" w:color="auto" w:sz="4" w:space="0"/>
              <w:left w:val="nil"/>
              <w:bottom w:val="single" w:color="auto" w:sz="4" w:space="0"/>
              <w:right w:val="single" w:color="auto" w:sz="4" w:space="0"/>
            </w:tcBorders>
            <w:noWrap/>
            <w:vAlign w:val="center"/>
          </w:tcPr>
          <w:p w14:paraId="2F70BC9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专业</w:t>
            </w:r>
          </w:p>
        </w:tc>
        <w:tc>
          <w:tcPr>
            <w:tcW w:w="3123" w:type="dxa"/>
            <w:gridSpan w:val="3"/>
            <w:tcBorders>
              <w:top w:val="single" w:color="auto" w:sz="4" w:space="0"/>
              <w:left w:val="nil"/>
              <w:bottom w:val="single" w:color="auto" w:sz="4" w:space="0"/>
              <w:right w:val="single" w:color="auto" w:sz="4" w:space="0"/>
            </w:tcBorders>
            <w:noWrap/>
            <w:vAlign w:val="center"/>
          </w:tcPr>
          <w:p w14:paraId="4D4C3E0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执业或职业资格证明</w:t>
            </w:r>
          </w:p>
        </w:tc>
        <w:tc>
          <w:tcPr>
            <w:tcW w:w="1302" w:type="dxa"/>
            <w:tcBorders>
              <w:top w:val="single" w:color="auto" w:sz="4" w:space="0"/>
              <w:left w:val="nil"/>
              <w:bottom w:val="single" w:color="auto" w:sz="4" w:space="0"/>
              <w:right w:val="single" w:color="auto" w:sz="4" w:space="0"/>
            </w:tcBorders>
            <w:noWrap/>
            <w:vAlign w:val="center"/>
          </w:tcPr>
          <w:p w14:paraId="39EEEE4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备注</w:t>
            </w:r>
          </w:p>
        </w:tc>
      </w:tr>
      <w:tr w14:paraId="3B75D8DC">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noWrap/>
            <w:vAlign w:val="center"/>
          </w:tcPr>
          <w:p w14:paraId="660C8F2B">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468" w:type="dxa"/>
            <w:vMerge w:val="continue"/>
            <w:tcBorders>
              <w:top w:val="single" w:color="auto" w:sz="4" w:space="0"/>
              <w:left w:val="nil"/>
              <w:bottom w:val="single" w:color="auto" w:sz="4" w:space="0"/>
              <w:right w:val="single" w:color="auto" w:sz="4" w:space="0"/>
            </w:tcBorders>
            <w:noWrap/>
            <w:vAlign w:val="center"/>
          </w:tcPr>
          <w:p w14:paraId="05D9CD72">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818" w:type="dxa"/>
            <w:vMerge w:val="continue"/>
            <w:tcBorders>
              <w:top w:val="single" w:color="auto" w:sz="4" w:space="0"/>
              <w:left w:val="nil"/>
              <w:bottom w:val="single" w:color="auto" w:sz="4" w:space="0"/>
              <w:right w:val="single" w:color="auto" w:sz="4" w:space="0"/>
            </w:tcBorders>
            <w:noWrap/>
            <w:vAlign w:val="center"/>
          </w:tcPr>
          <w:p w14:paraId="3CD1D7D1">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707" w:type="dxa"/>
            <w:vMerge w:val="continue"/>
            <w:tcBorders>
              <w:top w:val="single" w:color="auto" w:sz="4" w:space="0"/>
              <w:left w:val="nil"/>
              <w:bottom w:val="single" w:color="auto" w:sz="4" w:space="0"/>
              <w:right w:val="single" w:color="auto" w:sz="4" w:space="0"/>
            </w:tcBorders>
            <w:noWrap/>
            <w:vAlign w:val="center"/>
          </w:tcPr>
          <w:p w14:paraId="01D0B217">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870" w:type="dxa"/>
            <w:vMerge w:val="continue"/>
            <w:tcBorders>
              <w:top w:val="single" w:color="auto" w:sz="4" w:space="0"/>
              <w:left w:val="nil"/>
              <w:bottom w:val="single" w:color="auto" w:sz="4" w:space="0"/>
              <w:right w:val="single" w:color="auto" w:sz="4" w:space="0"/>
            </w:tcBorders>
            <w:noWrap/>
            <w:vAlign w:val="center"/>
          </w:tcPr>
          <w:p w14:paraId="18DCE0EF">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center"/>
          </w:tcPr>
          <w:p w14:paraId="7AC749E2">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证书名称</w:t>
            </w:r>
          </w:p>
        </w:tc>
        <w:tc>
          <w:tcPr>
            <w:tcW w:w="816" w:type="dxa"/>
            <w:tcBorders>
              <w:top w:val="single" w:color="auto" w:sz="4" w:space="0"/>
              <w:left w:val="nil"/>
              <w:bottom w:val="single" w:color="auto" w:sz="4" w:space="0"/>
              <w:right w:val="single" w:color="auto" w:sz="4" w:space="0"/>
            </w:tcBorders>
            <w:noWrap/>
            <w:vAlign w:val="center"/>
          </w:tcPr>
          <w:p w14:paraId="4DB38207">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级别</w:t>
            </w:r>
          </w:p>
        </w:tc>
        <w:tc>
          <w:tcPr>
            <w:tcW w:w="1002" w:type="dxa"/>
            <w:tcBorders>
              <w:top w:val="single" w:color="auto" w:sz="4" w:space="0"/>
              <w:left w:val="nil"/>
              <w:bottom w:val="single" w:color="auto" w:sz="4" w:space="0"/>
              <w:right w:val="single" w:color="auto" w:sz="4" w:space="0"/>
            </w:tcBorders>
            <w:noWrap/>
            <w:vAlign w:val="center"/>
          </w:tcPr>
          <w:p w14:paraId="6667D896">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证号</w:t>
            </w:r>
          </w:p>
        </w:tc>
        <w:tc>
          <w:tcPr>
            <w:tcW w:w="1302" w:type="dxa"/>
            <w:tcBorders>
              <w:top w:val="single" w:color="auto" w:sz="4" w:space="0"/>
              <w:left w:val="nil"/>
              <w:bottom w:val="single" w:color="auto" w:sz="4" w:space="0"/>
              <w:right w:val="single" w:color="auto" w:sz="4" w:space="0"/>
            </w:tcBorders>
            <w:noWrap/>
            <w:vAlign w:val="center"/>
          </w:tcPr>
          <w:p w14:paraId="6B1A151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600E98D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center"/>
          </w:tcPr>
          <w:p w14:paraId="639057B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6AC2106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center"/>
          </w:tcPr>
          <w:p w14:paraId="4092419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center"/>
          </w:tcPr>
          <w:p w14:paraId="60854D3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center"/>
          </w:tcPr>
          <w:p w14:paraId="23A220B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center"/>
          </w:tcPr>
          <w:p w14:paraId="7CF0CDD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center"/>
          </w:tcPr>
          <w:p w14:paraId="4F27029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center"/>
          </w:tcPr>
          <w:p w14:paraId="219F04F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center"/>
          </w:tcPr>
          <w:p w14:paraId="7AF0691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2033428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AAAED0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2632E23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4D13A6E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4876C23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52040DE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6E4E7DB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2A20F84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44E2728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7E5B2DB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14B6D77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56EC7D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5EF9359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0D61FDA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6C94D0D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3551071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FB0747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540D251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250C0FA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495FD53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57E22F5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1F84BA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5805992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1465C70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111C259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5537D19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AE4482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1670506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4E33B76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04227F6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3E4A7EF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6A4C30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5EC2667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351993B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40C1EC1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2A4B711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0C921BA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2C5D552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6A371E6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180D684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259C8A6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0F6C27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7FE1CD7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48421F8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734D157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190ED3D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634467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7984D13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40E47AA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667D8B6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1CE9408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4461A3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6C9BE34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46E91A6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4541290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1CBE265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51E25E9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315C19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037D418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62A320F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360CDA4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26F6AC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1D9E50B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2F7214F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5B1C858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57D6653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4767F18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12ECAE4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17379BD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411222E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48F804D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479A48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7080BCC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5D6F2EC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5D4CC2E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0BFC29F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464AB94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8BB2B7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63E5A0D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4FC63D5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2781AD6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5F7979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47E5F60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5F1C9BB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08FC2D7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5A637F3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03D2C52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5D0022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5CBCEBC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54F87D3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00129E5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61DEE4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540297F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2119AD5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7DE9015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64CA832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1775C5C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1F3081B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5BA05F4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2D2D1AE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1C824F2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732E4C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35519A3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334E7A8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7D69E6E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10C110D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D6BF9D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518EA25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2CF2356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3FAF34E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5D87F30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AC05B8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15DD710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535466F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538B6BC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69AF7F2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54750AD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1CE697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5A4E23A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70BF280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2036D22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708B361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36383F3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65BF613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3128BCE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1B70706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23442A6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67C7818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53CB2CE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49E2EFA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73119D8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F510FF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05A25C9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37BC552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1D64D77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26E1C00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2288A0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10EC3B3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115FA86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0E75DC3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49FA59B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39DB7F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7B31B75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1A040AB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3AAD648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62816AC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15DC8B7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842A47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7E0420A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3507D9A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7C47488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564F249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223B06A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14091F4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6BCBC04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2E7F18B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250DC3F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58C4B4C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70799A2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0F4AF18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7604476A">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3511BF5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5D08904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5E24225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06FBF43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198B581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081F167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69D03BE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394655B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2EF7BDA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3A566493">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4EA8D0F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24A2905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189F096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3AB556C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22BA4C3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3E0F450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7D6CFBD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07C3990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083E78B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7AC37838">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19D17A7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3FA0584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4035B60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3F38EB8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3BCB1E2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576955B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0B04C6C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505976A8">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64EA045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2D9C00E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noWrap/>
            <w:vAlign w:val="top"/>
          </w:tcPr>
          <w:p w14:paraId="6FD2C87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468" w:type="dxa"/>
            <w:tcBorders>
              <w:top w:val="single" w:color="auto" w:sz="4" w:space="0"/>
              <w:left w:val="nil"/>
              <w:bottom w:val="single" w:color="auto" w:sz="4" w:space="0"/>
              <w:right w:val="single" w:color="auto" w:sz="4" w:space="0"/>
            </w:tcBorders>
            <w:noWrap/>
            <w:vAlign w:val="top"/>
          </w:tcPr>
          <w:p w14:paraId="6C712B4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8" w:type="dxa"/>
            <w:tcBorders>
              <w:top w:val="single" w:color="auto" w:sz="4" w:space="0"/>
              <w:left w:val="nil"/>
              <w:bottom w:val="single" w:color="auto" w:sz="4" w:space="0"/>
              <w:right w:val="single" w:color="auto" w:sz="4" w:space="0"/>
            </w:tcBorders>
            <w:noWrap/>
            <w:vAlign w:val="top"/>
          </w:tcPr>
          <w:p w14:paraId="365F8B4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707" w:type="dxa"/>
            <w:tcBorders>
              <w:top w:val="single" w:color="auto" w:sz="4" w:space="0"/>
              <w:left w:val="nil"/>
              <w:bottom w:val="single" w:color="auto" w:sz="4" w:space="0"/>
              <w:right w:val="single" w:color="auto" w:sz="4" w:space="0"/>
            </w:tcBorders>
            <w:noWrap/>
            <w:vAlign w:val="top"/>
          </w:tcPr>
          <w:p w14:paraId="2B1D6D6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70" w:type="dxa"/>
            <w:tcBorders>
              <w:top w:val="single" w:color="auto" w:sz="4" w:space="0"/>
              <w:left w:val="nil"/>
              <w:bottom w:val="single" w:color="auto" w:sz="4" w:space="0"/>
              <w:right w:val="single" w:color="auto" w:sz="4" w:space="0"/>
            </w:tcBorders>
            <w:noWrap/>
            <w:vAlign w:val="top"/>
          </w:tcPr>
          <w:p w14:paraId="6AA4368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5" w:type="dxa"/>
            <w:tcBorders>
              <w:top w:val="single" w:color="auto" w:sz="4" w:space="0"/>
              <w:left w:val="nil"/>
              <w:bottom w:val="single" w:color="auto" w:sz="4" w:space="0"/>
              <w:right w:val="single" w:color="auto" w:sz="4" w:space="0"/>
            </w:tcBorders>
            <w:noWrap/>
            <w:vAlign w:val="top"/>
          </w:tcPr>
          <w:p w14:paraId="283FA9B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816" w:type="dxa"/>
            <w:tcBorders>
              <w:top w:val="single" w:color="auto" w:sz="4" w:space="0"/>
              <w:left w:val="nil"/>
              <w:bottom w:val="single" w:color="auto" w:sz="4" w:space="0"/>
              <w:right w:val="single" w:color="auto" w:sz="4" w:space="0"/>
            </w:tcBorders>
            <w:noWrap/>
            <w:vAlign w:val="top"/>
          </w:tcPr>
          <w:p w14:paraId="40ABCA2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002" w:type="dxa"/>
            <w:tcBorders>
              <w:top w:val="single" w:color="auto" w:sz="4" w:space="0"/>
              <w:left w:val="nil"/>
              <w:bottom w:val="single" w:color="auto" w:sz="4" w:space="0"/>
              <w:right w:val="single" w:color="auto" w:sz="4" w:space="0"/>
            </w:tcBorders>
            <w:noWrap/>
            <w:vAlign w:val="top"/>
          </w:tcPr>
          <w:p w14:paraId="736EFD0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302" w:type="dxa"/>
            <w:tcBorders>
              <w:top w:val="single" w:color="auto" w:sz="4" w:space="0"/>
              <w:left w:val="nil"/>
              <w:bottom w:val="single" w:color="auto" w:sz="4" w:space="0"/>
              <w:right w:val="single" w:color="auto" w:sz="4" w:space="0"/>
            </w:tcBorders>
            <w:noWrap/>
            <w:vAlign w:val="top"/>
          </w:tcPr>
          <w:p w14:paraId="3AB9DE9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bl>
    <w:p w14:paraId="6FB04542">
      <w:pPr>
        <w:spacing w:line="440" w:lineRule="exact"/>
        <w:rPr>
          <w:rFonts w:ascii="宋体" w:hAnsi="宋体"/>
          <w:color w:val="auto"/>
          <w:szCs w:val="24"/>
          <w:highlight w:val="none"/>
        </w:rPr>
      </w:pPr>
    </w:p>
    <w:p w14:paraId="095E3274">
      <w:pPr>
        <w:spacing w:line="440" w:lineRule="exact"/>
        <w:rPr>
          <w:rFonts w:ascii="宋体" w:hAnsi="宋体"/>
          <w:color w:val="auto"/>
          <w:szCs w:val="24"/>
          <w:highlight w:val="none"/>
        </w:rPr>
      </w:pPr>
    </w:p>
    <w:p w14:paraId="4908DAA3">
      <w:pPr>
        <w:spacing w:line="440" w:lineRule="exact"/>
        <w:rPr>
          <w:rFonts w:ascii="宋体" w:hAnsi="宋体"/>
          <w:color w:val="auto"/>
          <w:szCs w:val="24"/>
          <w:highlight w:val="none"/>
        </w:rPr>
      </w:pPr>
    </w:p>
    <w:p w14:paraId="3DAEBFB0">
      <w:pPr>
        <w:widowControl/>
        <w:jc w:val="left"/>
        <w:rPr>
          <w:rFonts w:ascii="宋体" w:hAnsi="宋体"/>
          <w:b/>
          <w:bCs/>
          <w:color w:val="auto"/>
          <w:sz w:val="28"/>
          <w:szCs w:val="32"/>
          <w:highlight w:val="none"/>
        </w:rPr>
      </w:pPr>
      <w:r>
        <w:rPr>
          <w:rFonts w:ascii="宋体" w:hAnsi="宋体"/>
          <w:b/>
          <w:bCs/>
          <w:color w:val="auto"/>
          <w:sz w:val="28"/>
          <w:szCs w:val="32"/>
          <w:highlight w:val="none"/>
        </w:rPr>
        <w:br w:type="page"/>
      </w:r>
    </w:p>
    <w:p w14:paraId="2D76CBE2">
      <w:pPr>
        <w:spacing w:before="20" w:line="412" w:lineRule="auto"/>
        <w:ind w:firstLine="137"/>
        <w:jc w:val="center"/>
        <w:outlineLvl w:val="2"/>
        <w:rPr>
          <w:rFonts w:ascii="宋体" w:hAnsi="宋体"/>
          <w:b/>
          <w:bCs/>
          <w:color w:val="auto"/>
          <w:sz w:val="28"/>
          <w:szCs w:val="32"/>
          <w:highlight w:val="none"/>
        </w:rPr>
      </w:pPr>
      <w:r>
        <w:rPr>
          <w:rFonts w:hint="eastAsia" w:ascii="宋体" w:hAnsi="宋体"/>
          <w:b/>
          <w:bCs/>
          <w:color w:val="auto"/>
          <w:sz w:val="28"/>
          <w:szCs w:val="32"/>
          <w:highlight w:val="none"/>
        </w:rPr>
        <w:t>（五）主要人员简历表（格式可自定）</w:t>
      </w:r>
    </w:p>
    <w:tbl>
      <w:tblPr>
        <w:tblStyle w:val="12"/>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5DA45533">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499EBDB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姓  名</w:t>
            </w:r>
          </w:p>
        </w:tc>
        <w:tc>
          <w:tcPr>
            <w:tcW w:w="1048" w:type="dxa"/>
            <w:gridSpan w:val="2"/>
            <w:tcBorders>
              <w:top w:val="single" w:color="auto" w:sz="4" w:space="0"/>
              <w:left w:val="nil"/>
              <w:bottom w:val="single" w:color="auto" w:sz="4" w:space="0"/>
              <w:right w:val="single" w:color="auto" w:sz="4" w:space="0"/>
            </w:tcBorders>
            <w:noWrap/>
            <w:vAlign w:val="center"/>
          </w:tcPr>
          <w:p w14:paraId="5B58C73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58" w:type="dxa"/>
            <w:tcBorders>
              <w:top w:val="single" w:color="auto" w:sz="4" w:space="0"/>
              <w:left w:val="nil"/>
              <w:bottom w:val="single" w:color="auto" w:sz="4" w:space="0"/>
              <w:right w:val="single" w:color="auto" w:sz="4" w:space="0"/>
            </w:tcBorders>
            <w:noWrap/>
            <w:vAlign w:val="center"/>
          </w:tcPr>
          <w:p w14:paraId="5F5DE7B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年龄</w:t>
            </w:r>
          </w:p>
        </w:tc>
        <w:tc>
          <w:tcPr>
            <w:tcW w:w="1065" w:type="dxa"/>
            <w:tcBorders>
              <w:top w:val="single" w:color="auto" w:sz="4" w:space="0"/>
              <w:left w:val="nil"/>
              <w:bottom w:val="single" w:color="auto" w:sz="4" w:space="0"/>
              <w:right w:val="single" w:color="auto" w:sz="4" w:space="0"/>
            </w:tcBorders>
            <w:noWrap/>
            <w:vAlign w:val="center"/>
          </w:tcPr>
          <w:p w14:paraId="2292906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28D89F4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执业资格证书（或上岗证书）名称</w:t>
            </w:r>
          </w:p>
        </w:tc>
        <w:tc>
          <w:tcPr>
            <w:tcW w:w="1896" w:type="dxa"/>
            <w:tcBorders>
              <w:top w:val="single" w:color="auto" w:sz="4" w:space="0"/>
              <w:left w:val="nil"/>
              <w:bottom w:val="single" w:color="auto" w:sz="4" w:space="0"/>
              <w:right w:val="single" w:color="auto" w:sz="4" w:space="0"/>
            </w:tcBorders>
            <w:noWrap/>
            <w:vAlign w:val="center"/>
          </w:tcPr>
          <w:p w14:paraId="61FBE57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6177C546">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733CFCE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职  称</w:t>
            </w:r>
          </w:p>
        </w:tc>
        <w:tc>
          <w:tcPr>
            <w:tcW w:w="1048" w:type="dxa"/>
            <w:gridSpan w:val="2"/>
            <w:tcBorders>
              <w:top w:val="single" w:color="auto" w:sz="4" w:space="0"/>
              <w:left w:val="nil"/>
              <w:bottom w:val="single" w:color="auto" w:sz="4" w:space="0"/>
              <w:right w:val="single" w:color="auto" w:sz="4" w:space="0"/>
            </w:tcBorders>
            <w:noWrap/>
            <w:vAlign w:val="center"/>
          </w:tcPr>
          <w:p w14:paraId="05DEC16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58" w:type="dxa"/>
            <w:tcBorders>
              <w:top w:val="single" w:color="auto" w:sz="4" w:space="0"/>
              <w:left w:val="nil"/>
              <w:bottom w:val="single" w:color="auto" w:sz="4" w:space="0"/>
              <w:right w:val="single" w:color="auto" w:sz="4" w:space="0"/>
            </w:tcBorders>
            <w:noWrap/>
            <w:vAlign w:val="center"/>
          </w:tcPr>
          <w:p w14:paraId="4E7A3224">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学历</w:t>
            </w:r>
          </w:p>
        </w:tc>
        <w:tc>
          <w:tcPr>
            <w:tcW w:w="1065" w:type="dxa"/>
            <w:tcBorders>
              <w:top w:val="single" w:color="auto" w:sz="4" w:space="0"/>
              <w:left w:val="nil"/>
              <w:bottom w:val="single" w:color="auto" w:sz="4" w:space="0"/>
              <w:right w:val="single" w:color="auto" w:sz="4" w:space="0"/>
            </w:tcBorders>
            <w:noWrap/>
            <w:vAlign w:val="center"/>
          </w:tcPr>
          <w:p w14:paraId="5A31622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4FD42582">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拟在本项目任职</w:t>
            </w:r>
          </w:p>
        </w:tc>
        <w:tc>
          <w:tcPr>
            <w:tcW w:w="1896" w:type="dxa"/>
            <w:tcBorders>
              <w:top w:val="single" w:color="auto" w:sz="4" w:space="0"/>
              <w:left w:val="nil"/>
              <w:bottom w:val="single" w:color="auto" w:sz="4" w:space="0"/>
              <w:right w:val="single" w:color="auto" w:sz="4" w:space="0"/>
            </w:tcBorders>
            <w:noWrap/>
            <w:vAlign w:val="center"/>
          </w:tcPr>
          <w:p w14:paraId="01C392C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4E5172DF">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6BDCF67F">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工作年限</w:t>
            </w:r>
          </w:p>
        </w:tc>
        <w:tc>
          <w:tcPr>
            <w:tcW w:w="3071" w:type="dxa"/>
            <w:gridSpan w:val="4"/>
            <w:tcBorders>
              <w:top w:val="single" w:color="auto" w:sz="4" w:space="0"/>
              <w:left w:val="nil"/>
              <w:bottom w:val="single" w:color="auto" w:sz="4" w:space="0"/>
              <w:right w:val="single" w:color="auto" w:sz="4" w:space="0"/>
            </w:tcBorders>
            <w:noWrap/>
            <w:vAlign w:val="center"/>
          </w:tcPr>
          <w:p w14:paraId="4A75542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368" w:type="dxa"/>
            <w:gridSpan w:val="3"/>
            <w:tcBorders>
              <w:top w:val="single" w:color="auto" w:sz="4" w:space="0"/>
              <w:left w:val="nil"/>
              <w:bottom w:val="single" w:color="auto" w:sz="4" w:space="0"/>
              <w:right w:val="single" w:color="auto" w:sz="4" w:space="0"/>
            </w:tcBorders>
            <w:noWrap/>
            <w:vAlign w:val="center"/>
          </w:tcPr>
          <w:p w14:paraId="7095C928">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从事相应工作年限</w:t>
            </w:r>
          </w:p>
        </w:tc>
        <w:tc>
          <w:tcPr>
            <w:tcW w:w="1896" w:type="dxa"/>
            <w:tcBorders>
              <w:top w:val="single" w:color="auto" w:sz="4" w:space="0"/>
              <w:left w:val="nil"/>
              <w:bottom w:val="single" w:color="auto" w:sz="4" w:space="0"/>
              <w:right w:val="single" w:color="auto" w:sz="4" w:space="0"/>
            </w:tcBorders>
            <w:noWrap/>
            <w:vAlign w:val="center"/>
          </w:tcPr>
          <w:p w14:paraId="6FB0586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r>
      <w:tr w14:paraId="6AB28EA5">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noWrap/>
            <w:vAlign w:val="center"/>
          </w:tcPr>
          <w:p w14:paraId="39A1A850">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毕业学校</w:t>
            </w:r>
          </w:p>
        </w:tc>
        <w:tc>
          <w:tcPr>
            <w:tcW w:w="7335" w:type="dxa"/>
            <w:gridSpan w:val="8"/>
            <w:tcBorders>
              <w:top w:val="single" w:color="auto" w:sz="4" w:space="0"/>
              <w:left w:val="nil"/>
              <w:bottom w:val="single" w:color="auto" w:sz="4" w:space="0"/>
              <w:right w:val="single" w:color="auto" w:sz="4" w:space="0"/>
            </w:tcBorders>
            <w:noWrap/>
            <w:vAlign w:val="center"/>
          </w:tcPr>
          <w:p w14:paraId="57AFDD69">
            <w:pPr>
              <w:keepNext w:val="0"/>
              <w:keepLines w:val="0"/>
              <w:suppressLineNumbers w:val="0"/>
              <w:spacing w:before="100" w:beforeAutospacing="1" w:after="100" w:afterAutospacing="1" w:line="440" w:lineRule="exact"/>
              <w:ind w:left="0" w:right="0" w:firstLine="960" w:firstLineChars="400"/>
              <w:rPr>
                <w:rFonts w:hint="default"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年毕业于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学校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专业</w:t>
            </w:r>
          </w:p>
        </w:tc>
      </w:tr>
      <w:tr w14:paraId="33E4B94A">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ign w:val="center"/>
          </w:tcPr>
          <w:p w14:paraId="5BF1FD38">
            <w:pPr>
              <w:keepNext w:val="0"/>
              <w:keepLines w:val="0"/>
              <w:suppressLineNumbers w:val="0"/>
              <w:spacing w:before="100" w:beforeAutospacing="1" w:after="100" w:afterAutospacing="1" w:line="440" w:lineRule="exact"/>
              <w:ind w:left="0" w:right="0"/>
              <w:rPr>
                <w:rFonts w:hint="default" w:ascii="宋体" w:hAnsi="宋体"/>
                <w:color w:val="auto"/>
                <w:sz w:val="24"/>
                <w:szCs w:val="24"/>
                <w:highlight w:val="none"/>
              </w:rPr>
            </w:pPr>
            <w:r>
              <w:rPr>
                <w:rFonts w:hint="eastAsia" w:ascii="宋体" w:hAnsi="宋体"/>
                <w:color w:val="auto"/>
                <w:sz w:val="24"/>
                <w:szCs w:val="24"/>
                <w:highlight w:val="none"/>
              </w:rPr>
              <w:t>主要工作经历</w:t>
            </w:r>
          </w:p>
        </w:tc>
      </w:tr>
      <w:tr w14:paraId="0AB66B85">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5CC69C2">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时  间</w:t>
            </w:r>
          </w:p>
        </w:tc>
        <w:tc>
          <w:tcPr>
            <w:tcW w:w="3420" w:type="dxa"/>
            <w:gridSpan w:val="4"/>
            <w:tcBorders>
              <w:top w:val="single" w:color="auto" w:sz="4" w:space="0"/>
              <w:left w:val="nil"/>
              <w:bottom w:val="single" w:color="auto" w:sz="4" w:space="0"/>
              <w:right w:val="single" w:color="auto" w:sz="4" w:space="0"/>
            </w:tcBorders>
            <w:noWrap/>
            <w:vAlign w:val="center"/>
          </w:tcPr>
          <w:p w14:paraId="3A5F7AA2">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参加过的类似项目</w:t>
            </w:r>
          </w:p>
        </w:tc>
        <w:tc>
          <w:tcPr>
            <w:tcW w:w="1261" w:type="dxa"/>
            <w:tcBorders>
              <w:top w:val="single" w:color="auto" w:sz="4" w:space="0"/>
              <w:left w:val="nil"/>
              <w:bottom w:val="single" w:color="auto" w:sz="4" w:space="0"/>
              <w:right w:val="single" w:color="auto" w:sz="4" w:space="0"/>
            </w:tcBorders>
            <w:noWrap/>
            <w:vAlign w:val="center"/>
          </w:tcPr>
          <w:p w14:paraId="741A02B3">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担任职务</w:t>
            </w:r>
          </w:p>
        </w:tc>
        <w:tc>
          <w:tcPr>
            <w:tcW w:w="2297" w:type="dxa"/>
            <w:gridSpan w:val="2"/>
            <w:tcBorders>
              <w:top w:val="single" w:color="auto" w:sz="4" w:space="0"/>
              <w:left w:val="nil"/>
              <w:bottom w:val="single" w:color="auto" w:sz="4" w:space="0"/>
              <w:right w:val="single" w:color="auto" w:sz="4" w:space="0"/>
            </w:tcBorders>
            <w:noWrap/>
            <w:vAlign w:val="center"/>
          </w:tcPr>
          <w:p w14:paraId="65B8EF14">
            <w:pPr>
              <w:keepNext w:val="0"/>
              <w:keepLines w:val="0"/>
              <w:suppressLineNumbers w:val="0"/>
              <w:spacing w:before="100" w:beforeAutospacing="1" w:after="100" w:afterAutospacing="1"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委托人及联系电话</w:t>
            </w:r>
          </w:p>
        </w:tc>
      </w:tr>
      <w:tr w14:paraId="325EB46A">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5C8B480D">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top"/>
          </w:tcPr>
          <w:p w14:paraId="491A037A">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top"/>
          </w:tcPr>
          <w:p w14:paraId="2AC6F2D8">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top"/>
          </w:tcPr>
          <w:p w14:paraId="7AF08550">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633D1ED8">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2BE08F9B">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top"/>
          </w:tcPr>
          <w:p w14:paraId="533CF71C">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top"/>
          </w:tcPr>
          <w:p w14:paraId="6BC45ADF">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top"/>
          </w:tcPr>
          <w:p w14:paraId="10392458">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437EAE1C">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top"/>
          </w:tcPr>
          <w:p w14:paraId="6196C40B">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top"/>
          </w:tcPr>
          <w:p w14:paraId="13FBE8FE">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top"/>
          </w:tcPr>
          <w:p w14:paraId="18891BFA">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top"/>
          </w:tcPr>
          <w:p w14:paraId="65C5DE38">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27F155CB">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692CD0CA">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40E24D1D">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06AD2099">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16988658">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63ACC9F8">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2A45A8D6">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35D7680C">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4B88087B">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7BA78C61">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0DBAB427">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1CE1070E">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34D1D312">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437B8C09">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4702631F">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4BE69056">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noWrap/>
            <w:vAlign w:val="center"/>
          </w:tcPr>
          <w:p w14:paraId="7C76748F">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3420" w:type="dxa"/>
            <w:gridSpan w:val="4"/>
            <w:tcBorders>
              <w:top w:val="single" w:color="auto" w:sz="4" w:space="0"/>
              <w:left w:val="nil"/>
              <w:bottom w:val="single" w:color="auto" w:sz="4" w:space="0"/>
              <w:right w:val="single" w:color="auto" w:sz="4" w:space="0"/>
            </w:tcBorders>
            <w:noWrap/>
            <w:vAlign w:val="center"/>
          </w:tcPr>
          <w:p w14:paraId="60323376">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1261" w:type="dxa"/>
            <w:tcBorders>
              <w:top w:val="single" w:color="auto" w:sz="4" w:space="0"/>
              <w:left w:val="nil"/>
              <w:bottom w:val="single" w:color="auto" w:sz="4" w:space="0"/>
              <w:right w:val="single" w:color="auto" w:sz="4" w:space="0"/>
            </w:tcBorders>
            <w:noWrap/>
            <w:vAlign w:val="center"/>
          </w:tcPr>
          <w:p w14:paraId="4034270B">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c>
          <w:tcPr>
            <w:tcW w:w="2297" w:type="dxa"/>
            <w:gridSpan w:val="2"/>
            <w:tcBorders>
              <w:top w:val="single" w:color="auto" w:sz="4" w:space="0"/>
              <w:left w:val="nil"/>
              <w:bottom w:val="single" w:color="auto" w:sz="4" w:space="0"/>
              <w:right w:val="single" w:color="auto" w:sz="4" w:space="0"/>
            </w:tcBorders>
            <w:noWrap/>
            <w:vAlign w:val="center"/>
          </w:tcPr>
          <w:p w14:paraId="05A482B0">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bl>
    <w:p w14:paraId="52ABEE9C">
      <w:pPr>
        <w:spacing w:line="440" w:lineRule="exact"/>
        <w:rPr>
          <w:rFonts w:ascii="宋体" w:hAnsi="宋体"/>
          <w:color w:val="auto"/>
          <w:sz w:val="24"/>
          <w:szCs w:val="24"/>
          <w:highlight w:val="none"/>
        </w:rPr>
      </w:pPr>
      <w:r>
        <w:rPr>
          <w:rFonts w:hint="eastAsia" w:ascii="宋体" w:hAnsi="宋体"/>
          <w:color w:val="auto"/>
          <w:sz w:val="24"/>
          <w:szCs w:val="24"/>
          <w:highlight w:val="none"/>
        </w:rPr>
        <w:t>注：投标人应根据投标人须知第3.5.6项的要求在本表后附相关证明材料。</w:t>
      </w:r>
    </w:p>
    <w:p w14:paraId="13F96406">
      <w:pPr>
        <w:spacing w:line="440" w:lineRule="exact"/>
        <w:rPr>
          <w:rFonts w:ascii="宋体" w:hAnsi="宋体"/>
          <w:color w:val="auto"/>
          <w:szCs w:val="24"/>
          <w:highlight w:val="none"/>
        </w:rPr>
      </w:pPr>
    </w:p>
    <w:p w14:paraId="19674924">
      <w:pPr>
        <w:spacing w:before="20" w:line="412" w:lineRule="auto"/>
        <w:jc w:val="center"/>
        <w:outlineLvl w:val="2"/>
        <w:rPr>
          <w:rFonts w:ascii="宋体" w:hAnsi="宋体"/>
          <w:b/>
          <w:bCs/>
          <w:color w:val="auto"/>
          <w:sz w:val="28"/>
          <w:szCs w:val="32"/>
          <w:highlight w:val="none"/>
        </w:rPr>
      </w:pPr>
      <w:r>
        <w:rPr>
          <w:rFonts w:hint="eastAsia" w:ascii="宋体" w:hAnsi="宋体"/>
          <w:b/>
          <w:bCs/>
          <w:color w:val="auto"/>
          <w:szCs w:val="24"/>
          <w:highlight w:val="none"/>
        </w:rPr>
        <w:br w:type="page"/>
      </w:r>
      <w:r>
        <w:rPr>
          <w:rFonts w:hint="eastAsia" w:ascii="宋体" w:hAnsi="宋体"/>
          <w:b/>
          <w:bCs/>
          <w:color w:val="auto"/>
          <w:sz w:val="28"/>
          <w:szCs w:val="32"/>
          <w:highlight w:val="none"/>
        </w:rPr>
        <w:t>（六）拟投入本项目的主要试验检测仪器设备表（格式可自定）</w:t>
      </w:r>
    </w:p>
    <w:p w14:paraId="60CF5554">
      <w:pPr>
        <w:spacing w:line="440" w:lineRule="exact"/>
        <w:jc w:val="center"/>
        <w:rPr>
          <w:rFonts w:ascii="宋体" w:hAnsi="宋体"/>
          <w:color w:val="auto"/>
          <w:sz w:val="32"/>
          <w:szCs w:val="32"/>
          <w:highlight w:val="none"/>
        </w:rPr>
      </w:pPr>
      <w:r>
        <w:rPr>
          <w:rFonts w:hint="eastAsia" w:ascii="宋体" w:hAnsi="宋体"/>
          <w:color w:val="auto"/>
          <w:position w:val="-1"/>
          <w:sz w:val="28"/>
          <w:szCs w:val="28"/>
          <w:highlight w:val="none"/>
        </w:rPr>
        <w:t>拟投入本项目的通讯、办公、检测设备清单</w:t>
      </w:r>
    </w:p>
    <w:tbl>
      <w:tblPr>
        <w:tblStyle w:val="12"/>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43"/>
        <w:gridCol w:w="1852"/>
        <w:gridCol w:w="1749"/>
        <w:gridCol w:w="1573"/>
        <w:gridCol w:w="1558"/>
      </w:tblGrid>
      <w:tr w14:paraId="4B28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9"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DBEE2D1">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名称及型号</w:t>
            </w:r>
          </w:p>
        </w:tc>
        <w:tc>
          <w:tcPr>
            <w:tcW w:w="6732" w:type="dxa"/>
            <w:gridSpan w:val="4"/>
            <w:tcBorders>
              <w:top w:val="single" w:color="auto" w:sz="4" w:space="0"/>
              <w:left w:val="single" w:color="auto" w:sz="4" w:space="0"/>
              <w:bottom w:val="single" w:color="auto" w:sz="4" w:space="0"/>
              <w:right w:val="single" w:color="auto" w:sz="4" w:space="0"/>
            </w:tcBorders>
            <w:noWrap/>
            <w:vAlign w:val="center"/>
          </w:tcPr>
          <w:p w14:paraId="1A3A567A">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申请单位能达到的程度简述（由申请单位填写）</w:t>
            </w:r>
          </w:p>
        </w:tc>
      </w:tr>
      <w:tr w14:paraId="5022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2EF0F9C">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852" w:type="dxa"/>
            <w:vMerge w:val="restart"/>
            <w:tcBorders>
              <w:top w:val="single" w:color="auto" w:sz="4" w:space="0"/>
              <w:left w:val="single" w:color="auto" w:sz="4" w:space="0"/>
              <w:bottom w:val="single" w:color="auto" w:sz="4" w:space="0"/>
              <w:right w:val="single" w:color="auto" w:sz="4" w:space="0"/>
            </w:tcBorders>
            <w:noWrap/>
            <w:vAlign w:val="center"/>
          </w:tcPr>
          <w:p w14:paraId="46894E80">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数量（台套）</w:t>
            </w:r>
          </w:p>
        </w:tc>
        <w:tc>
          <w:tcPr>
            <w:tcW w:w="4880" w:type="dxa"/>
            <w:gridSpan w:val="3"/>
            <w:tcBorders>
              <w:top w:val="single" w:color="auto" w:sz="4" w:space="0"/>
              <w:left w:val="single" w:color="auto" w:sz="4" w:space="0"/>
              <w:bottom w:val="single" w:color="auto" w:sz="4" w:space="0"/>
              <w:right w:val="single" w:color="auto" w:sz="4" w:space="0"/>
            </w:tcBorders>
            <w:noWrap/>
            <w:vAlign w:val="center"/>
          </w:tcPr>
          <w:p w14:paraId="357C579D">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拟投入本项目情况（台套）</w:t>
            </w:r>
          </w:p>
        </w:tc>
      </w:tr>
      <w:tr w14:paraId="1851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499"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D7F5F28">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852" w:type="dxa"/>
            <w:vMerge w:val="continue"/>
            <w:tcBorders>
              <w:top w:val="single" w:color="auto" w:sz="4" w:space="0"/>
              <w:left w:val="single" w:color="auto" w:sz="4" w:space="0"/>
              <w:bottom w:val="single" w:color="auto" w:sz="4" w:space="0"/>
              <w:right w:val="single" w:color="auto" w:sz="4" w:space="0"/>
            </w:tcBorders>
            <w:noWrap/>
            <w:vAlign w:val="center"/>
          </w:tcPr>
          <w:p w14:paraId="74A21230">
            <w:pPr>
              <w:keepNext w:val="0"/>
              <w:keepLines w:val="0"/>
              <w:widowControl/>
              <w:suppressLineNumbers w:val="0"/>
              <w:spacing w:before="0" w:beforeAutospacing="0" w:after="0" w:afterAutospacing="0"/>
              <w:ind w:left="0" w:right="0"/>
              <w:jc w:val="left"/>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587EFBD">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新购</w:t>
            </w:r>
          </w:p>
        </w:tc>
        <w:tc>
          <w:tcPr>
            <w:tcW w:w="1573" w:type="dxa"/>
            <w:tcBorders>
              <w:top w:val="single" w:color="auto" w:sz="4" w:space="0"/>
              <w:left w:val="single" w:color="auto" w:sz="4" w:space="0"/>
              <w:bottom w:val="single" w:color="auto" w:sz="4" w:space="0"/>
              <w:right w:val="single" w:color="auto" w:sz="4" w:space="0"/>
            </w:tcBorders>
            <w:noWrap/>
            <w:vAlign w:val="center"/>
          </w:tcPr>
          <w:p w14:paraId="0C2F6516">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自有</w:t>
            </w:r>
          </w:p>
        </w:tc>
        <w:tc>
          <w:tcPr>
            <w:tcW w:w="1558" w:type="dxa"/>
            <w:tcBorders>
              <w:top w:val="single" w:color="auto" w:sz="4" w:space="0"/>
              <w:left w:val="single" w:color="auto" w:sz="4" w:space="0"/>
              <w:bottom w:val="single" w:color="auto" w:sz="4" w:space="0"/>
              <w:right w:val="single" w:color="auto" w:sz="4" w:space="0"/>
            </w:tcBorders>
            <w:noWrap/>
            <w:vAlign w:val="center"/>
          </w:tcPr>
          <w:p w14:paraId="612E0B72">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租赁</w:t>
            </w:r>
          </w:p>
        </w:tc>
      </w:tr>
      <w:tr w14:paraId="0B84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5FF340CB">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strike w:val="0"/>
                <w:dstrike w:val="0"/>
                <w:color w:val="auto"/>
                <w:sz w:val="24"/>
                <w:szCs w:val="24"/>
                <w:highlight w:val="none"/>
              </w:rPr>
              <w:t>通讯设备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2E0D1C57">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有线电话</w:t>
            </w:r>
          </w:p>
        </w:tc>
        <w:tc>
          <w:tcPr>
            <w:tcW w:w="1852" w:type="dxa"/>
            <w:tcBorders>
              <w:top w:val="single" w:color="auto" w:sz="4" w:space="0"/>
              <w:left w:val="single" w:color="auto" w:sz="4" w:space="0"/>
              <w:bottom w:val="single" w:color="auto" w:sz="4" w:space="0"/>
              <w:right w:val="single" w:color="auto" w:sz="4" w:space="0"/>
            </w:tcBorders>
            <w:noWrap/>
            <w:vAlign w:val="center"/>
          </w:tcPr>
          <w:p w14:paraId="54EC046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88B2E04">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FA48B7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0FE5493">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2FC3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EFF4019">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B3E4732">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传真机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7185370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65A0311">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B972F5C">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2E0DCF4">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6C5C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ECB28AA">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DA2F8EC">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打印机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52D98FB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DA6D77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A26C658">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448578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5302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E4E6B1F">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A107F43">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2A146BA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C93D6D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71662EC">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9BCE74F">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6462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3725ADD7">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strike w:val="0"/>
                <w:dstrike w:val="0"/>
                <w:color w:val="auto"/>
                <w:sz w:val="24"/>
                <w:szCs w:val="24"/>
                <w:highlight w:val="none"/>
              </w:rPr>
              <w:t>办公设备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2627E2BC">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复印机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1CC1EC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31501A4">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799044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4DC9B41">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7F49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690E38B">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F442777">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数码相机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142DE4D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7E52D8C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EE4276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CAF6B5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5159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5EEBDA1">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0A3D8641">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摄像机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4A355B2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0224C8C">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962AD3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9F42C4E">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345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806FFD8">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D2D2483">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电</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脑</w:t>
            </w:r>
          </w:p>
        </w:tc>
        <w:tc>
          <w:tcPr>
            <w:tcW w:w="1852" w:type="dxa"/>
            <w:tcBorders>
              <w:top w:val="single" w:color="auto" w:sz="4" w:space="0"/>
              <w:left w:val="single" w:color="auto" w:sz="4" w:space="0"/>
              <w:bottom w:val="single" w:color="auto" w:sz="4" w:space="0"/>
              <w:right w:val="single" w:color="auto" w:sz="4" w:space="0"/>
            </w:tcBorders>
            <w:noWrap/>
            <w:vAlign w:val="center"/>
          </w:tcPr>
          <w:p w14:paraId="200A570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D866B1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156D69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89FEB79">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7A41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1056D8A">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1A2FDFE">
            <w:pPr>
              <w:keepNext w:val="0"/>
              <w:keepLines w:val="0"/>
              <w:widowControl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无人机</w:t>
            </w:r>
          </w:p>
        </w:tc>
        <w:tc>
          <w:tcPr>
            <w:tcW w:w="1852" w:type="dxa"/>
            <w:tcBorders>
              <w:top w:val="single" w:color="auto" w:sz="4" w:space="0"/>
              <w:left w:val="single" w:color="auto" w:sz="4" w:space="0"/>
              <w:bottom w:val="single" w:color="auto" w:sz="4" w:space="0"/>
              <w:right w:val="single" w:color="auto" w:sz="4" w:space="0"/>
            </w:tcBorders>
            <w:noWrap/>
            <w:vAlign w:val="center"/>
          </w:tcPr>
          <w:p w14:paraId="68B5FA43">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0CC257A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F34867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F63AE8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75F7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79E852B">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75B62B3">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7D74E0E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842445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D59AD1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4A26CD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267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14:paraId="3A3B0ACF">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strike w:val="0"/>
                <w:dstrike w:val="0"/>
                <w:color w:val="auto"/>
                <w:sz w:val="24"/>
                <w:szCs w:val="24"/>
                <w:highlight w:val="none"/>
              </w:rPr>
              <w:t>检测设备</w:t>
            </w:r>
          </w:p>
        </w:tc>
        <w:tc>
          <w:tcPr>
            <w:tcW w:w="2043" w:type="dxa"/>
            <w:tcBorders>
              <w:top w:val="single" w:color="auto" w:sz="4" w:space="0"/>
              <w:left w:val="single" w:color="auto" w:sz="4" w:space="0"/>
              <w:bottom w:val="single" w:color="auto" w:sz="4" w:space="0"/>
              <w:right w:val="single" w:color="auto" w:sz="4" w:space="0"/>
            </w:tcBorders>
            <w:noWrap/>
            <w:vAlign w:val="center"/>
          </w:tcPr>
          <w:p w14:paraId="62D4A500">
            <w:pPr>
              <w:keepNext w:val="0"/>
              <w:keepLines w:val="0"/>
              <w:suppressLineNumbers w:val="0"/>
              <w:spacing w:before="0" w:beforeAutospacing="0" w:after="0" w:afterAutospacing="0"/>
              <w:ind w:left="0" w:right="0"/>
              <w:jc w:val="center"/>
              <w:rPr>
                <w:rFonts w:hint="eastAsia" w:ascii="宋体" w:hAnsi="宋体" w:cs="宋体"/>
                <w:strike w:val="0"/>
                <w:dstrike w:val="0"/>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5米钢卷尺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16F76DCC">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bidi="ar"/>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30303E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bidi="ar"/>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E8D5DED">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bidi="ar"/>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C4408A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bidi="ar"/>
              </w:rPr>
            </w:pPr>
          </w:p>
        </w:tc>
      </w:tr>
      <w:tr w14:paraId="152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55291B8">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22AD333">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水准仪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19478D11">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A5CEF78">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77D717E">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47BD3C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6705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65E89F4">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DDB499D">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经纬仪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4BB43088">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7D9064F">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83A1B53">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625B3D9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7F83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C8CB17C">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3DEB12A3">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激光垂准仪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2F58367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E2F6951">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165567F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421BFE9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2FAB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7ED18860">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1E8A95DE">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混凝土回弹仪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03785ED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1562FAF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2DB954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2B63D68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410D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09EC18CD">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C1791BB">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建筑工程检测尺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17DF0BC3">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9BCB6DC">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263D57E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B4877E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47E5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46D54A25">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AE383BC">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焊接检测尺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73DECD0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2BF5FA10">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39F126BD">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2245FAF">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7954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3E24B655">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7E61EBC5">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读数显微镜</w:t>
            </w:r>
          </w:p>
        </w:tc>
        <w:tc>
          <w:tcPr>
            <w:tcW w:w="1852" w:type="dxa"/>
            <w:tcBorders>
              <w:top w:val="single" w:color="auto" w:sz="4" w:space="0"/>
              <w:left w:val="single" w:color="auto" w:sz="4" w:space="0"/>
              <w:bottom w:val="single" w:color="auto" w:sz="4" w:space="0"/>
              <w:right w:val="single" w:color="auto" w:sz="4" w:space="0"/>
            </w:tcBorders>
            <w:noWrap/>
            <w:vAlign w:val="center"/>
          </w:tcPr>
          <w:p w14:paraId="1965B647">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945304E">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08F9837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7EC5C44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4512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9922EC4">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2592EB1">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涂层测厚仪</w:t>
            </w:r>
          </w:p>
        </w:tc>
        <w:tc>
          <w:tcPr>
            <w:tcW w:w="1852" w:type="dxa"/>
            <w:tcBorders>
              <w:top w:val="single" w:color="auto" w:sz="4" w:space="0"/>
              <w:left w:val="single" w:color="auto" w:sz="4" w:space="0"/>
              <w:bottom w:val="single" w:color="auto" w:sz="4" w:space="0"/>
              <w:right w:val="single" w:color="auto" w:sz="4" w:space="0"/>
            </w:tcBorders>
            <w:noWrap/>
            <w:vAlign w:val="center"/>
          </w:tcPr>
          <w:p w14:paraId="52FC1E08">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FF25E81">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4623430F">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F2C50A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5E83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1678C7D1">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6CB929C9">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游标卡尺</w:t>
            </w:r>
          </w:p>
        </w:tc>
        <w:tc>
          <w:tcPr>
            <w:tcW w:w="1852" w:type="dxa"/>
            <w:tcBorders>
              <w:top w:val="single" w:color="auto" w:sz="4" w:space="0"/>
              <w:left w:val="single" w:color="auto" w:sz="4" w:space="0"/>
              <w:bottom w:val="single" w:color="auto" w:sz="4" w:space="0"/>
              <w:right w:val="single" w:color="auto" w:sz="4" w:space="0"/>
            </w:tcBorders>
            <w:noWrap/>
            <w:vAlign w:val="center"/>
          </w:tcPr>
          <w:p w14:paraId="6D0C098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7D37439">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C51E9EC">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19B25E1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5A64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5F82C2C6">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45D65DEC">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扭矩扳手</w:t>
            </w:r>
          </w:p>
        </w:tc>
        <w:tc>
          <w:tcPr>
            <w:tcW w:w="1852" w:type="dxa"/>
            <w:tcBorders>
              <w:top w:val="single" w:color="auto" w:sz="4" w:space="0"/>
              <w:left w:val="single" w:color="auto" w:sz="4" w:space="0"/>
              <w:bottom w:val="single" w:color="auto" w:sz="4" w:space="0"/>
              <w:right w:val="single" w:color="auto" w:sz="4" w:space="0"/>
            </w:tcBorders>
            <w:noWrap/>
            <w:vAlign w:val="center"/>
          </w:tcPr>
          <w:p w14:paraId="178D864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73764A8">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4F0460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3D4428C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02E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6" w:type="dxa"/>
            <w:vMerge w:val="continue"/>
            <w:tcBorders>
              <w:top w:val="single" w:color="auto" w:sz="4" w:space="0"/>
              <w:left w:val="single" w:color="auto" w:sz="4" w:space="0"/>
              <w:bottom w:val="single" w:color="auto" w:sz="4" w:space="0"/>
              <w:right w:val="single" w:color="auto" w:sz="4" w:space="0"/>
            </w:tcBorders>
            <w:noWrap/>
            <w:vAlign w:val="center"/>
          </w:tcPr>
          <w:p w14:paraId="22692E16">
            <w:pPr>
              <w:keepNext w:val="0"/>
              <w:keepLines w:val="0"/>
              <w:widowControl/>
              <w:suppressLineNumbers w:val="0"/>
              <w:spacing w:before="0" w:beforeAutospacing="0" w:after="0" w:afterAutospacing="0"/>
              <w:ind w:left="0" w:right="0"/>
              <w:jc w:val="left"/>
              <w:rPr>
                <w:rFonts w:hint="default" w:ascii="宋体" w:hAnsi="宋体"/>
                <w:strike w:val="0"/>
                <w:dstrike w:val="0"/>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ign w:val="center"/>
          </w:tcPr>
          <w:p w14:paraId="569814BD">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852" w:type="dxa"/>
            <w:tcBorders>
              <w:top w:val="single" w:color="auto" w:sz="4" w:space="0"/>
              <w:left w:val="single" w:color="auto" w:sz="4" w:space="0"/>
              <w:bottom w:val="single" w:color="auto" w:sz="4" w:space="0"/>
              <w:right w:val="single" w:color="auto" w:sz="4" w:space="0"/>
            </w:tcBorders>
            <w:noWrap/>
            <w:vAlign w:val="center"/>
          </w:tcPr>
          <w:p w14:paraId="22D9C00B">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4D0611EA">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64FEC8B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70B0A32">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18FF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020DBE05">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strike w:val="0"/>
                <w:dstrike w:val="0"/>
                <w:color w:val="auto"/>
                <w:sz w:val="24"/>
                <w:szCs w:val="24"/>
                <w:highlight w:val="none"/>
              </w:rPr>
              <w:t>交通工具</w:t>
            </w:r>
          </w:p>
        </w:tc>
        <w:tc>
          <w:tcPr>
            <w:tcW w:w="1852" w:type="dxa"/>
            <w:tcBorders>
              <w:top w:val="single" w:color="auto" w:sz="4" w:space="0"/>
              <w:left w:val="single" w:color="auto" w:sz="4" w:space="0"/>
              <w:bottom w:val="single" w:color="auto" w:sz="4" w:space="0"/>
              <w:right w:val="single" w:color="auto" w:sz="4" w:space="0"/>
            </w:tcBorders>
            <w:noWrap/>
            <w:vAlign w:val="center"/>
          </w:tcPr>
          <w:p w14:paraId="77A1B8E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5FBAF51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7EBFD579">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59E3A25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r w14:paraId="1BF6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99" w:type="dxa"/>
            <w:gridSpan w:val="2"/>
            <w:tcBorders>
              <w:top w:val="single" w:color="auto" w:sz="4" w:space="0"/>
              <w:left w:val="single" w:color="auto" w:sz="4" w:space="0"/>
              <w:bottom w:val="single" w:color="auto" w:sz="4" w:space="0"/>
              <w:right w:val="single" w:color="auto" w:sz="4" w:space="0"/>
            </w:tcBorders>
            <w:noWrap/>
            <w:vAlign w:val="center"/>
          </w:tcPr>
          <w:p w14:paraId="7D41D3DA">
            <w:pPr>
              <w:keepNext w:val="0"/>
              <w:keepLines w:val="0"/>
              <w:suppressLineNumbers w:val="0"/>
              <w:spacing w:before="0" w:beforeAutospacing="0" w:after="0" w:afterAutospacing="0"/>
              <w:ind w:left="0" w:right="0"/>
              <w:jc w:val="center"/>
              <w:rPr>
                <w:rFonts w:hint="default" w:ascii="宋体" w:hAnsi="宋体"/>
                <w:strike w:val="0"/>
                <w:dstrike w:val="0"/>
                <w:color w:val="auto"/>
                <w:sz w:val="24"/>
                <w:szCs w:val="24"/>
                <w:highlight w:val="none"/>
              </w:rPr>
            </w:pPr>
            <w:r>
              <w:rPr>
                <w:rFonts w:hint="eastAsia" w:ascii="宋体" w:hAnsi="宋体"/>
                <w:strike w:val="0"/>
                <w:dstrike w:val="0"/>
                <w:color w:val="auto"/>
                <w:sz w:val="24"/>
                <w:szCs w:val="24"/>
                <w:highlight w:val="none"/>
              </w:rPr>
              <w:t>其他</w:t>
            </w:r>
          </w:p>
        </w:tc>
        <w:tc>
          <w:tcPr>
            <w:tcW w:w="1852" w:type="dxa"/>
            <w:tcBorders>
              <w:top w:val="single" w:color="auto" w:sz="4" w:space="0"/>
              <w:left w:val="single" w:color="auto" w:sz="4" w:space="0"/>
              <w:bottom w:val="single" w:color="auto" w:sz="4" w:space="0"/>
              <w:right w:val="single" w:color="auto" w:sz="4" w:space="0"/>
            </w:tcBorders>
            <w:noWrap/>
            <w:vAlign w:val="top"/>
          </w:tcPr>
          <w:p w14:paraId="030A8396">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noWrap/>
            <w:vAlign w:val="center"/>
          </w:tcPr>
          <w:p w14:paraId="61F7853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73" w:type="dxa"/>
            <w:tcBorders>
              <w:top w:val="single" w:color="auto" w:sz="4" w:space="0"/>
              <w:left w:val="single" w:color="auto" w:sz="4" w:space="0"/>
              <w:bottom w:val="single" w:color="auto" w:sz="4" w:space="0"/>
              <w:right w:val="single" w:color="auto" w:sz="4" w:space="0"/>
            </w:tcBorders>
            <w:noWrap/>
            <w:vAlign w:val="center"/>
          </w:tcPr>
          <w:p w14:paraId="5820DDA3">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c>
          <w:tcPr>
            <w:tcW w:w="1558" w:type="dxa"/>
            <w:tcBorders>
              <w:top w:val="single" w:color="auto" w:sz="4" w:space="0"/>
              <w:left w:val="single" w:color="auto" w:sz="4" w:space="0"/>
              <w:bottom w:val="single" w:color="auto" w:sz="4" w:space="0"/>
              <w:right w:val="single" w:color="auto" w:sz="4" w:space="0"/>
            </w:tcBorders>
            <w:noWrap/>
            <w:vAlign w:val="center"/>
          </w:tcPr>
          <w:p w14:paraId="06515F15">
            <w:pPr>
              <w:keepNext w:val="0"/>
              <w:keepLines w:val="0"/>
              <w:suppressLineNumbers w:val="0"/>
              <w:spacing w:before="0" w:beforeAutospacing="0" w:after="0" w:afterAutospacing="0"/>
              <w:ind w:left="0" w:right="0"/>
              <w:rPr>
                <w:rFonts w:hint="default" w:ascii="宋体" w:hAnsi="宋体"/>
                <w:color w:val="auto"/>
                <w:sz w:val="24"/>
                <w:szCs w:val="24"/>
                <w:highlight w:val="none"/>
              </w:rPr>
            </w:pPr>
          </w:p>
        </w:tc>
      </w:tr>
    </w:tbl>
    <w:p w14:paraId="615C8799">
      <w:pPr>
        <w:topLinePunct/>
        <w:spacing w:line="271" w:lineRule="auto"/>
        <w:ind w:firstLine="496" w:firstLineChars="200"/>
        <w:rPr>
          <w:rFonts w:ascii="宋体" w:hAnsi="宋体"/>
          <w:color w:val="auto"/>
          <w:spacing w:val="4"/>
          <w:sz w:val="24"/>
          <w:szCs w:val="24"/>
          <w:highlight w:val="none"/>
        </w:rPr>
      </w:pPr>
      <w:r>
        <w:rPr>
          <w:rFonts w:hint="eastAsia" w:ascii="宋体" w:hAnsi="宋体"/>
          <w:color w:val="auto"/>
          <w:spacing w:val="4"/>
          <w:sz w:val="24"/>
          <w:szCs w:val="24"/>
          <w:highlight w:val="none"/>
        </w:rPr>
        <w:t>备注：1、如投标人中标，招标人将据此清单与中标的监理单位核查进场的监理设施。</w:t>
      </w:r>
    </w:p>
    <w:p w14:paraId="7BA8D7AB">
      <w:pPr>
        <w:topLinePunct/>
        <w:spacing w:line="271" w:lineRule="auto"/>
        <w:ind w:firstLine="620" w:firstLineChars="250"/>
        <w:rPr>
          <w:rFonts w:ascii="宋体" w:hAnsi="宋体"/>
          <w:color w:val="auto"/>
          <w:spacing w:val="4"/>
          <w:sz w:val="24"/>
          <w:szCs w:val="24"/>
          <w:highlight w:val="none"/>
        </w:rPr>
      </w:pPr>
      <w:r>
        <w:rPr>
          <w:rFonts w:hint="eastAsia" w:ascii="宋体" w:hAnsi="宋体"/>
          <w:color w:val="auto"/>
          <w:spacing w:val="4"/>
          <w:sz w:val="24"/>
          <w:szCs w:val="24"/>
          <w:highlight w:val="none"/>
        </w:rPr>
        <w:t>2、投标人</w:t>
      </w:r>
      <w:r>
        <w:rPr>
          <w:rFonts w:hint="eastAsia" w:ascii="宋体" w:hAnsi="宋体"/>
          <w:color w:val="auto"/>
          <w:spacing w:val="4"/>
          <w:sz w:val="24"/>
          <w:szCs w:val="24"/>
          <w:highlight w:val="none"/>
          <w:lang w:val="en-US" w:eastAsia="zh-CN"/>
        </w:rPr>
        <w:t>根据招标文件要求</w:t>
      </w:r>
      <w:r>
        <w:rPr>
          <w:rFonts w:hint="eastAsia" w:ascii="宋体" w:hAnsi="宋体"/>
          <w:color w:val="auto"/>
          <w:spacing w:val="4"/>
          <w:sz w:val="24"/>
          <w:szCs w:val="24"/>
          <w:highlight w:val="none"/>
        </w:rPr>
        <w:t>自行补充拟投入本项目的监理设施，以及委托有关单位进行检测的协议。</w:t>
      </w:r>
    </w:p>
    <w:p w14:paraId="0D9D029E">
      <w:pPr>
        <w:topLinePunct/>
        <w:spacing w:line="360" w:lineRule="auto"/>
        <w:ind w:firstLine="496" w:firstLineChars="200"/>
        <w:rPr>
          <w:rFonts w:ascii="宋体" w:hAnsi="宋体"/>
          <w:color w:val="auto"/>
          <w:spacing w:val="4"/>
          <w:sz w:val="24"/>
          <w:szCs w:val="24"/>
          <w:highlight w:val="none"/>
        </w:rPr>
      </w:pPr>
    </w:p>
    <w:p w14:paraId="7D006967">
      <w:pPr>
        <w:topLinePunct/>
        <w:spacing w:line="360" w:lineRule="auto"/>
        <w:rPr>
          <w:rFonts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784642A9">
      <w:pPr>
        <w:topLinePunct/>
        <w:spacing w:line="360" w:lineRule="auto"/>
        <w:rPr>
          <w:rFonts w:ascii="宋体" w:hAnsi="宋体"/>
          <w:color w:val="auto"/>
          <w:spacing w:val="18"/>
          <w:sz w:val="24"/>
          <w:szCs w:val="24"/>
          <w:highlight w:val="none"/>
        </w:rPr>
      </w:pPr>
      <w:r>
        <w:rPr>
          <w:rFonts w:hint="eastAsia" w:ascii="宋体" w:hAnsi="宋体"/>
          <w:color w:val="auto"/>
          <w:spacing w:val="18"/>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pacing w:val="18"/>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pacing w:val="18"/>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pacing w:val="18"/>
          <w:sz w:val="24"/>
          <w:szCs w:val="24"/>
          <w:highlight w:val="none"/>
        </w:rPr>
        <w:t>日</w:t>
      </w:r>
    </w:p>
    <w:p w14:paraId="555E184E">
      <w:pPr>
        <w:spacing w:before="20" w:line="412" w:lineRule="auto"/>
        <w:outlineLvl w:val="2"/>
        <w:rPr>
          <w:rFonts w:ascii="宋体" w:hAnsi="宋体"/>
          <w:b/>
          <w:bCs/>
          <w:color w:val="auto"/>
          <w:sz w:val="28"/>
          <w:szCs w:val="28"/>
          <w:highlight w:val="none"/>
        </w:rPr>
      </w:pPr>
      <w:r>
        <w:rPr>
          <w:rFonts w:hint="eastAsia" w:ascii="宋体" w:hAnsi="宋体"/>
          <w:color w:val="auto"/>
          <w:spacing w:val="18"/>
          <w:sz w:val="24"/>
          <w:szCs w:val="24"/>
          <w:highlight w:val="none"/>
        </w:rPr>
        <w:br w:type="page"/>
      </w:r>
      <w:r>
        <w:rPr>
          <w:rFonts w:hint="eastAsia" w:ascii="宋体" w:hAnsi="宋体"/>
          <w:b/>
          <w:bCs/>
          <w:color w:val="auto"/>
          <w:sz w:val="28"/>
          <w:szCs w:val="28"/>
          <w:highlight w:val="none"/>
        </w:rPr>
        <w:t>（七）投标人声明格式</w:t>
      </w:r>
    </w:p>
    <w:p w14:paraId="177CC78C">
      <w:pPr>
        <w:topLinePunct/>
        <w:spacing w:line="360" w:lineRule="auto"/>
        <w:jc w:val="center"/>
        <w:rPr>
          <w:rFonts w:ascii="宋体" w:hAnsi="宋体"/>
          <w:color w:val="auto"/>
          <w:spacing w:val="18"/>
          <w:sz w:val="24"/>
          <w:highlight w:val="none"/>
        </w:rPr>
      </w:pPr>
      <w:r>
        <w:rPr>
          <w:rFonts w:hint="eastAsia" w:ascii="宋体" w:hAnsi="宋体"/>
          <w:snapToGrid w:val="0"/>
          <w:color w:val="auto"/>
          <w:spacing w:val="4"/>
          <w:kern w:val="0"/>
          <w:sz w:val="24"/>
          <w:highlight w:val="none"/>
        </w:rPr>
        <w:t>（格式详见招标公告附件一）</w:t>
      </w:r>
    </w:p>
    <w:p w14:paraId="0D141C1E">
      <w:pPr>
        <w:spacing w:line="600" w:lineRule="auto"/>
        <w:jc w:val="left"/>
        <w:outlineLvl w:val="1"/>
        <w:rPr>
          <w:rFonts w:ascii="宋体" w:hAnsi="宋体"/>
          <w:b/>
          <w:bCs/>
          <w:color w:val="auto"/>
          <w:kern w:val="0"/>
          <w:sz w:val="30"/>
          <w:szCs w:val="30"/>
          <w:highlight w:val="none"/>
        </w:rPr>
      </w:pPr>
      <w:r>
        <w:rPr>
          <w:rFonts w:hint="eastAsia" w:ascii="宋体" w:hAnsi="宋体" w:eastAsia="黑体"/>
          <w:b/>
          <w:bCs/>
          <w:color w:val="auto"/>
          <w:kern w:val="0"/>
          <w:sz w:val="24"/>
          <w:szCs w:val="24"/>
          <w:highlight w:val="none"/>
        </w:rPr>
        <w:br w:type="page"/>
      </w:r>
      <w:bookmarkEnd w:id="500"/>
      <w:bookmarkStart w:id="504" w:name="_Toc530470651"/>
      <w:bookmarkStart w:id="505" w:name="_Toc529196610"/>
      <w:bookmarkStart w:id="506" w:name="_Toc535938758"/>
      <w:r>
        <w:rPr>
          <w:rFonts w:hint="default" w:ascii="宋体" w:hAnsi="宋体"/>
          <w:b/>
          <w:bCs/>
          <w:color w:val="auto"/>
          <w:kern w:val="0"/>
          <w:sz w:val="30"/>
          <w:szCs w:val="30"/>
          <w:highlight w:val="none"/>
        </w:rPr>
        <w:t>五</w:t>
      </w:r>
      <w:r>
        <w:rPr>
          <w:rFonts w:hint="eastAsia" w:ascii="宋体" w:hAnsi="宋体"/>
          <w:b/>
          <w:bCs/>
          <w:color w:val="auto"/>
          <w:kern w:val="0"/>
          <w:sz w:val="30"/>
          <w:szCs w:val="30"/>
          <w:highlight w:val="none"/>
        </w:rPr>
        <w:t>、监理大纲</w:t>
      </w:r>
      <w:bookmarkEnd w:id="504"/>
      <w:bookmarkEnd w:id="505"/>
      <w:bookmarkEnd w:id="506"/>
    </w:p>
    <w:p w14:paraId="17F2E393">
      <w:pPr>
        <w:spacing w:line="360" w:lineRule="auto"/>
        <w:jc w:val="center"/>
        <w:rPr>
          <w:rFonts w:ascii="宋体" w:hAnsi="宋体"/>
          <w:b/>
          <w:color w:val="auto"/>
          <w:sz w:val="28"/>
          <w:szCs w:val="32"/>
          <w:highlight w:val="none"/>
        </w:rPr>
      </w:pPr>
      <w:r>
        <w:rPr>
          <w:rFonts w:hint="eastAsia" w:ascii="宋体" w:hAnsi="宋体"/>
          <w:b/>
          <w:color w:val="auto"/>
          <w:sz w:val="28"/>
          <w:szCs w:val="32"/>
          <w:highlight w:val="none"/>
        </w:rPr>
        <w:t>监理大纲</w:t>
      </w:r>
    </w:p>
    <w:p w14:paraId="66E61A40">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监理大纲应包括（但不限于）下列内容：</w:t>
      </w:r>
    </w:p>
    <w:p w14:paraId="0E7E428A">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一、监理工程概况；</w:t>
      </w:r>
    </w:p>
    <w:p w14:paraId="502ED9B8">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二、监理范围、监理内容；</w:t>
      </w:r>
    </w:p>
    <w:p w14:paraId="299D50AB">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三、监理依据、监理工作目标；</w:t>
      </w:r>
    </w:p>
    <w:p w14:paraId="215D046C">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四、监理机构设置（监理组织架构框图）、岗位职责；</w:t>
      </w:r>
    </w:p>
    <w:p w14:paraId="01DB2447">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五、监理工作程序、方法和制度；</w:t>
      </w:r>
    </w:p>
    <w:p w14:paraId="3053E502">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六、拟投入的监理人员、试验检测仪器设备；</w:t>
      </w:r>
    </w:p>
    <w:p w14:paraId="41FA9BDC">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七、质量、进度、造价、安全、环保监理措施；</w:t>
      </w:r>
    </w:p>
    <w:p w14:paraId="22322196">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八、合同、信息管理方案；</w:t>
      </w:r>
    </w:p>
    <w:p w14:paraId="67CA9485">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九、组织协调内容及措施；</w:t>
      </w:r>
    </w:p>
    <w:p w14:paraId="6026BD73">
      <w:pPr>
        <w:spacing w:line="360" w:lineRule="auto"/>
        <w:ind w:firstLine="542" w:firstLineChars="226"/>
        <w:rPr>
          <w:rFonts w:ascii="宋体" w:hAnsi="宋体"/>
          <w:color w:val="auto"/>
          <w:sz w:val="24"/>
          <w:szCs w:val="24"/>
          <w:highlight w:val="none"/>
        </w:rPr>
      </w:pPr>
      <w:r>
        <w:rPr>
          <w:rFonts w:hint="eastAsia" w:ascii="宋体" w:hAnsi="宋体"/>
          <w:color w:val="auto"/>
          <w:sz w:val="24"/>
          <w:szCs w:val="24"/>
          <w:highlight w:val="none"/>
        </w:rPr>
        <w:t>十、监理工作重点、难点分析；</w:t>
      </w:r>
    </w:p>
    <w:p w14:paraId="6830A3F3">
      <w:pPr>
        <w:spacing w:line="360" w:lineRule="auto"/>
        <w:ind w:firstLine="542" w:firstLineChars="226"/>
        <w:rPr>
          <w:rFonts w:hint="default" w:ascii="宋体" w:hAnsi="宋体"/>
          <w:color w:val="auto"/>
          <w:sz w:val="24"/>
          <w:szCs w:val="24"/>
          <w:highlight w:val="none"/>
        </w:rPr>
      </w:pPr>
      <w:r>
        <w:rPr>
          <w:rFonts w:hint="eastAsia" w:ascii="宋体" w:hAnsi="宋体"/>
          <w:color w:val="auto"/>
          <w:sz w:val="24"/>
          <w:szCs w:val="24"/>
          <w:highlight w:val="none"/>
        </w:rPr>
        <w:t>十一、对本工程监理的合理化建议</w:t>
      </w:r>
      <w:r>
        <w:rPr>
          <w:rFonts w:hint="default" w:ascii="宋体" w:hAnsi="宋体"/>
          <w:color w:val="auto"/>
          <w:sz w:val="24"/>
          <w:szCs w:val="24"/>
          <w:highlight w:val="none"/>
        </w:rPr>
        <w:t>；</w:t>
      </w:r>
    </w:p>
    <w:p w14:paraId="7D6CD639">
      <w:pPr>
        <w:spacing w:line="360" w:lineRule="auto"/>
        <w:ind w:firstLine="542" w:firstLineChars="226"/>
        <w:rPr>
          <w:rFonts w:ascii="宋体" w:hAnsi="宋体"/>
          <w:color w:val="auto"/>
          <w:sz w:val="24"/>
          <w:szCs w:val="24"/>
          <w:highlight w:val="none"/>
        </w:rPr>
      </w:pPr>
      <w:r>
        <w:rPr>
          <w:rFonts w:hint="default" w:ascii="宋体" w:hAnsi="宋体"/>
          <w:color w:val="auto"/>
          <w:sz w:val="24"/>
          <w:szCs w:val="24"/>
          <w:highlight w:val="none"/>
        </w:rPr>
        <w:t>十二、本项目涉及的所有第三方检测（监测）的规划方案</w:t>
      </w:r>
      <w:r>
        <w:rPr>
          <w:rFonts w:hint="eastAsia" w:ascii="宋体" w:hAnsi="宋体"/>
          <w:color w:val="auto"/>
          <w:sz w:val="24"/>
          <w:szCs w:val="24"/>
          <w:highlight w:val="none"/>
        </w:rPr>
        <w:t>。</w:t>
      </w:r>
    </w:p>
    <w:p w14:paraId="4688DCC1">
      <w:pPr>
        <w:rPr>
          <w:rFonts w:ascii="宋体" w:hAnsi="宋体"/>
          <w:color w:val="auto"/>
          <w:sz w:val="24"/>
          <w:szCs w:val="24"/>
          <w:highlight w:val="none"/>
        </w:rPr>
      </w:pPr>
      <w:r>
        <w:rPr>
          <w:rFonts w:hint="eastAsia" w:ascii="宋体" w:hAnsi="宋体"/>
          <w:color w:val="auto"/>
          <w:sz w:val="24"/>
          <w:szCs w:val="24"/>
          <w:highlight w:val="none"/>
        </w:rPr>
        <w:br w:type="page"/>
      </w:r>
    </w:p>
    <w:p w14:paraId="5C8014BC">
      <w:pPr>
        <w:numPr>
          <w:ilvl w:val="-1"/>
          <w:numId w:val="0"/>
        </w:numPr>
        <w:spacing w:line="480" w:lineRule="auto"/>
        <w:jc w:val="left"/>
        <w:outlineLvl w:val="1"/>
        <w:rPr>
          <w:rFonts w:hint="default" w:ascii="宋体" w:hAnsi="宋体"/>
          <w:b/>
          <w:bCs/>
          <w:color w:val="auto"/>
          <w:kern w:val="0"/>
          <w:sz w:val="30"/>
          <w:szCs w:val="30"/>
          <w:highlight w:val="none"/>
        </w:rPr>
      </w:pPr>
      <w:bookmarkStart w:id="507" w:name="_Toc530470652"/>
      <w:bookmarkStart w:id="508" w:name="_Toc529196611"/>
      <w:bookmarkStart w:id="509" w:name="_Toc535938759"/>
      <w:r>
        <w:rPr>
          <w:rFonts w:hint="default" w:ascii="宋体" w:hAnsi="宋体"/>
          <w:b/>
          <w:bCs/>
          <w:color w:val="auto"/>
          <w:kern w:val="0"/>
          <w:sz w:val="30"/>
          <w:szCs w:val="30"/>
          <w:highlight w:val="none"/>
        </w:rPr>
        <w:t xml:space="preserve">六、企业资信相关资料  </w:t>
      </w:r>
    </w:p>
    <w:p w14:paraId="21B970E6">
      <w:pPr>
        <w:numPr>
          <w:ilvl w:val="-1"/>
          <w:numId w:val="0"/>
        </w:numPr>
        <w:spacing w:line="480" w:lineRule="auto"/>
        <w:jc w:val="left"/>
        <w:outlineLvl w:val="1"/>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t>（一）</w:t>
      </w:r>
      <w:r>
        <w:rPr>
          <w:rFonts w:hint="default" w:ascii="宋体" w:hAnsi="宋体"/>
          <w:b/>
          <w:bCs/>
          <w:color w:val="auto"/>
          <w:kern w:val="0"/>
          <w:sz w:val="30"/>
          <w:szCs w:val="30"/>
          <w:highlight w:val="none"/>
          <w:lang w:val="en-US" w:eastAsia="zh-CN"/>
        </w:rPr>
        <w:t>管理</w:t>
      </w:r>
      <w:r>
        <w:rPr>
          <w:rFonts w:hint="default" w:ascii="宋体" w:hAnsi="宋体"/>
          <w:b/>
          <w:bCs/>
          <w:color w:val="auto"/>
          <w:kern w:val="0"/>
          <w:sz w:val="30"/>
          <w:szCs w:val="30"/>
          <w:highlight w:val="none"/>
        </w:rPr>
        <w:t>认证情况</w:t>
      </w:r>
    </w:p>
    <w:p w14:paraId="785FC13A">
      <w:pPr>
        <w:numPr>
          <w:ilvl w:val="-1"/>
          <w:numId w:val="0"/>
        </w:numPr>
        <w:spacing w:line="480" w:lineRule="auto"/>
        <w:jc w:val="left"/>
        <w:outlineLvl w:val="9"/>
        <w:rPr>
          <w:rFonts w:hint="default" w:ascii="宋体" w:hAnsi="宋体"/>
          <w:color w:val="auto"/>
          <w:kern w:val="0"/>
          <w:highlight w:val="none"/>
        </w:rPr>
      </w:pPr>
      <w:r>
        <w:rPr>
          <w:rFonts w:hint="default" w:ascii="宋体" w:hAnsi="宋体" w:cs="宋体"/>
          <w:color w:val="auto"/>
          <w:kern w:val="2"/>
          <w:highlight w:val="none"/>
          <w:lang w:bidi="ar"/>
        </w:rPr>
        <w:t>注：</w:t>
      </w:r>
      <w:r>
        <w:rPr>
          <w:rFonts w:hint="default" w:ascii="宋体" w:hAnsi="宋体" w:eastAsia="宋体" w:cs="宋体"/>
          <w:color w:val="auto"/>
          <w:kern w:val="2"/>
          <w:highlight w:val="none"/>
          <w:lang w:val="en-US" w:eastAsia="zh-CN" w:bidi="ar"/>
        </w:rPr>
        <w:t>按</w:t>
      </w:r>
      <w:r>
        <w:rPr>
          <w:rFonts w:hint="default" w:ascii="宋体" w:hAnsi="宋体" w:eastAsia="宋体" w:cs="宋体"/>
          <w:color w:val="auto"/>
          <w:kern w:val="2"/>
          <w:highlight w:val="none"/>
          <w:lang w:eastAsia="zh-CN" w:bidi="ar"/>
        </w:rPr>
        <w:t>定标因素</w:t>
      </w:r>
      <w:r>
        <w:rPr>
          <w:rFonts w:hint="eastAsia" w:ascii="宋体" w:hAnsi="宋体" w:eastAsia="宋体" w:cs="宋体"/>
          <w:color w:val="auto"/>
          <w:kern w:val="2"/>
          <w:highlight w:val="none"/>
          <w:lang w:val="en-US" w:eastAsia="zh-CN" w:bidi="ar"/>
        </w:rPr>
        <w:t>“管理</w:t>
      </w:r>
      <w:r>
        <w:rPr>
          <w:rFonts w:hint="default" w:ascii="宋体" w:hAnsi="宋体" w:cs="宋体"/>
          <w:color w:val="auto"/>
          <w:kern w:val="2"/>
          <w:highlight w:val="none"/>
          <w:lang w:eastAsia="zh-CN" w:bidi="ar"/>
        </w:rPr>
        <w:t>认证情况</w:t>
      </w:r>
      <w:r>
        <w:rPr>
          <w:rFonts w:hint="eastAsia" w:ascii="宋体" w:hAnsi="宋体" w:eastAsia="宋体" w:cs="宋体"/>
          <w:color w:val="auto"/>
          <w:kern w:val="2"/>
          <w:highlight w:val="none"/>
          <w:lang w:val="en-US" w:eastAsia="zh-CN" w:bidi="ar"/>
        </w:rPr>
        <w:t>”中的要求，在本表后附</w:t>
      </w:r>
      <w:r>
        <w:rPr>
          <w:rFonts w:hint="default" w:ascii="宋体" w:hAnsi="宋体" w:cs="宋体"/>
          <w:color w:val="auto"/>
          <w:kern w:val="2"/>
          <w:highlight w:val="none"/>
          <w:lang w:eastAsia="zh-CN" w:bidi="ar"/>
        </w:rPr>
        <w:t>相关</w:t>
      </w:r>
      <w:r>
        <w:rPr>
          <w:rFonts w:hint="eastAsia" w:ascii="宋体" w:hAnsi="宋体" w:eastAsia="宋体" w:cs="宋体"/>
          <w:color w:val="auto"/>
          <w:kern w:val="2"/>
          <w:highlight w:val="none"/>
          <w:lang w:val="en-US" w:eastAsia="zh-CN" w:bidi="ar"/>
        </w:rPr>
        <w:t>证明资料</w:t>
      </w:r>
      <w:r>
        <w:rPr>
          <w:rFonts w:hint="default" w:ascii="宋体" w:hAnsi="宋体" w:cs="宋体"/>
          <w:color w:val="auto"/>
          <w:kern w:val="2"/>
          <w:highlight w:val="none"/>
          <w:lang w:eastAsia="zh-CN" w:bidi="ar"/>
        </w:rPr>
        <w:t>。</w:t>
      </w:r>
    </w:p>
    <w:p w14:paraId="5CD18E45">
      <w:pPr>
        <w:spacing w:line="240" w:lineRule="auto"/>
        <w:jc w:val="left"/>
        <w:outlineLvl w:val="9"/>
        <w:rPr>
          <w:rFonts w:hint="default" w:ascii="宋体" w:hAnsi="宋体"/>
          <w:color w:val="auto"/>
          <w:kern w:val="0"/>
          <w:highlight w:val="none"/>
        </w:rPr>
      </w:pPr>
      <w:r>
        <w:rPr>
          <w:rFonts w:hint="default" w:ascii="宋体" w:hAnsi="宋体"/>
          <w:color w:val="auto"/>
          <w:kern w:val="0"/>
          <w:highlight w:val="none"/>
        </w:rPr>
        <w:br w:type="page"/>
      </w:r>
    </w:p>
    <w:p w14:paraId="3BB689E1">
      <w:pPr>
        <w:numPr>
          <w:ilvl w:val="0"/>
          <w:numId w:val="1"/>
        </w:numPr>
        <w:spacing w:line="480" w:lineRule="auto"/>
        <w:jc w:val="left"/>
        <w:outlineLvl w:val="1"/>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t>纳税情况</w:t>
      </w:r>
    </w:p>
    <w:p w14:paraId="3A4E0AE5">
      <w:pPr>
        <w:numPr>
          <w:ilvl w:val="-1"/>
          <w:numId w:val="0"/>
        </w:numPr>
        <w:spacing w:line="480" w:lineRule="auto"/>
        <w:jc w:val="left"/>
        <w:outlineLvl w:val="9"/>
        <w:rPr>
          <w:rFonts w:hint="default" w:ascii="宋体" w:hAnsi="宋体"/>
          <w:color w:val="auto"/>
          <w:kern w:val="0"/>
          <w:highlight w:val="none"/>
        </w:rPr>
      </w:pPr>
      <w:r>
        <w:rPr>
          <w:rFonts w:hint="eastAsia" w:ascii="宋体" w:hAnsi="宋体" w:cs="宋体"/>
          <w:b w:val="0"/>
          <w:bCs w:val="0"/>
          <w:color w:val="auto"/>
          <w:kern w:val="2"/>
          <w:sz w:val="21"/>
          <w:szCs w:val="22"/>
          <w:highlight w:val="none"/>
          <w:lang w:bidi="ar"/>
        </w:rPr>
        <w:t>注：</w:t>
      </w:r>
      <w:r>
        <w:rPr>
          <w:rFonts w:hint="eastAsia" w:ascii="宋体" w:hAnsi="宋体" w:eastAsia="宋体" w:cs="宋体"/>
          <w:color w:val="auto"/>
          <w:kern w:val="2"/>
          <w:sz w:val="21"/>
          <w:szCs w:val="22"/>
          <w:highlight w:val="none"/>
          <w:lang w:val="en-US" w:eastAsia="zh-CN" w:bidi="ar"/>
        </w:rPr>
        <w:t>按</w:t>
      </w:r>
      <w:r>
        <w:rPr>
          <w:rFonts w:hint="eastAsia" w:ascii="宋体" w:hAnsi="宋体" w:eastAsia="宋体" w:cs="宋体"/>
          <w:color w:val="auto"/>
          <w:kern w:val="2"/>
          <w:sz w:val="21"/>
          <w:szCs w:val="22"/>
          <w:highlight w:val="none"/>
          <w:lang w:eastAsia="zh-CN" w:bidi="ar"/>
        </w:rPr>
        <w:t>定标因素</w:t>
      </w:r>
      <w:r>
        <w:rPr>
          <w:rFonts w:hint="default" w:ascii="宋体" w:hAnsi="宋体" w:eastAsia="宋体" w:cs="宋体"/>
          <w:color w:val="auto"/>
          <w:kern w:val="2"/>
          <w:sz w:val="21"/>
          <w:szCs w:val="22"/>
          <w:highlight w:val="none"/>
          <w:lang w:val="en-US" w:eastAsia="zh-CN" w:bidi="ar"/>
        </w:rPr>
        <w:t>“</w:t>
      </w:r>
      <w:r>
        <w:rPr>
          <w:rFonts w:hint="default" w:ascii="宋体" w:hAnsi="宋体" w:cs="宋体"/>
          <w:color w:val="auto"/>
          <w:kern w:val="2"/>
          <w:highlight w:val="none"/>
          <w:lang w:eastAsia="zh-CN" w:bidi="ar"/>
        </w:rPr>
        <w:t>纳税情况</w:t>
      </w:r>
      <w:r>
        <w:rPr>
          <w:rFonts w:hint="eastAsia" w:ascii="宋体" w:hAnsi="宋体" w:eastAsia="宋体" w:cs="宋体"/>
          <w:color w:val="auto"/>
          <w:kern w:val="2"/>
          <w:highlight w:val="none"/>
          <w:lang w:val="en-US" w:eastAsia="zh-CN" w:bidi="ar"/>
        </w:rPr>
        <w:t>”中的要求，在本表后附</w:t>
      </w:r>
      <w:r>
        <w:rPr>
          <w:rFonts w:hint="default" w:ascii="宋体" w:hAnsi="宋体" w:cs="宋体"/>
          <w:color w:val="auto"/>
          <w:kern w:val="2"/>
          <w:highlight w:val="none"/>
          <w:lang w:eastAsia="zh-CN" w:bidi="ar"/>
        </w:rPr>
        <w:t>相关</w:t>
      </w:r>
      <w:r>
        <w:rPr>
          <w:rFonts w:hint="eastAsia" w:ascii="宋体" w:hAnsi="宋体" w:eastAsia="宋体" w:cs="宋体"/>
          <w:color w:val="auto"/>
          <w:kern w:val="2"/>
          <w:highlight w:val="none"/>
          <w:lang w:val="en-US" w:eastAsia="zh-CN" w:bidi="ar"/>
        </w:rPr>
        <w:t>证明资料</w:t>
      </w:r>
      <w:r>
        <w:rPr>
          <w:rFonts w:hint="default" w:ascii="宋体" w:hAnsi="宋体" w:cs="宋体"/>
          <w:color w:val="auto"/>
          <w:kern w:val="2"/>
          <w:highlight w:val="none"/>
          <w:lang w:eastAsia="zh-CN" w:bidi="ar"/>
        </w:rPr>
        <w:t>。</w:t>
      </w:r>
    </w:p>
    <w:p w14:paraId="5D09A736">
      <w:pPr>
        <w:spacing w:line="240" w:lineRule="auto"/>
        <w:jc w:val="left"/>
        <w:outlineLvl w:val="9"/>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br w:type="page"/>
      </w:r>
    </w:p>
    <w:p w14:paraId="5CAF534B">
      <w:pPr>
        <w:numPr>
          <w:ilvl w:val="-1"/>
          <w:numId w:val="0"/>
        </w:numPr>
        <w:spacing w:line="480" w:lineRule="auto"/>
        <w:jc w:val="left"/>
        <w:outlineLvl w:val="1"/>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t>（三）监理业绩情况</w:t>
      </w:r>
    </w:p>
    <w:p w14:paraId="6AB7A3A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default" w:ascii="宋体" w:hAnsi="宋体" w:eastAsia="宋体" w:cs="宋体"/>
          <w:b/>
          <w:bCs w:val="0"/>
          <w:color w:val="auto"/>
          <w:kern w:val="2"/>
          <w:sz w:val="24"/>
          <w:szCs w:val="24"/>
          <w:highlight w:val="none"/>
          <w:lang w:eastAsia="zh-CN" w:bidi="ar"/>
        </w:rPr>
        <w:t>投标人自2022年1月1日至今完成的类似监理</w:t>
      </w:r>
      <w:r>
        <w:rPr>
          <w:rFonts w:hint="eastAsia" w:ascii="宋体" w:hAnsi="宋体" w:eastAsia="宋体" w:cs="宋体"/>
          <w:b/>
          <w:bCs w:val="0"/>
          <w:color w:val="auto"/>
          <w:kern w:val="2"/>
          <w:sz w:val="24"/>
          <w:szCs w:val="24"/>
          <w:highlight w:val="none"/>
          <w:lang w:val="en-US" w:eastAsia="zh-CN" w:bidi="ar"/>
        </w:rPr>
        <w:t>业绩</w:t>
      </w:r>
      <w:r>
        <w:rPr>
          <w:rFonts w:hint="default" w:ascii="宋体" w:hAnsi="宋体" w:eastAsia="宋体" w:cs="宋体"/>
          <w:b/>
          <w:bCs w:val="0"/>
          <w:color w:val="auto"/>
          <w:kern w:val="2"/>
          <w:sz w:val="24"/>
          <w:szCs w:val="24"/>
          <w:highlight w:val="none"/>
          <w:lang w:eastAsia="zh-CN" w:bidi="ar"/>
        </w:rPr>
        <w:t>情况汇总</w:t>
      </w:r>
      <w:r>
        <w:rPr>
          <w:rFonts w:hint="eastAsia" w:ascii="宋体" w:hAnsi="宋体" w:eastAsia="宋体" w:cs="宋体"/>
          <w:b/>
          <w:bCs w:val="0"/>
          <w:color w:val="auto"/>
          <w:kern w:val="2"/>
          <w:sz w:val="24"/>
          <w:szCs w:val="24"/>
          <w:highlight w:val="none"/>
          <w:lang w:val="en-US" w:eastAsia="zh-CN" w:bidi="ar"/>
        </w:rPr>
        <w:t>表</w:t>
      </w:r>
    </w:p>
    <w:p w14:paraId="55A89F8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tbl>
      <w:tblPr>
        <w:tblStyle w:val="12"/>
        <w:tblW w:w="7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5"/>
        <w:gridCol w:w="3766"/>
        <w:gridCol w:w="1242"/>
        <w:gridCol w:w="1242"/>
      </w:tblGrid>
      <w:tr w14:paraId="5F69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756EC7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766" w:type="dxa"/>
            <w:tcBorders>
              <w:top w:val="single" w:color="auto" w:sz="4" w:space="0"/>
              <w:left w:val="nil"/>
              <w:bottom w:val="single" w:color="auto" w:sz="4" w:space="0"/>
              <w:right w:val="single" w:color="auto" w:sz="4" w:space="0"/>
            </w:tcBorders>
            <w:shd w:val="clear" w:color="auto" w:fill="auto"/>
            <w:vAlign w:val="center"/>
          </w:tcPr>
          <w:p w14:paraId="42C13D3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w:t>
            </w:r>
          </w:p>
        </w:tc>
        <w:tc>
          <w:tcPr>
            <w:tcW w:w="1242" w:type="dxa"/>
            <w:tcBorders>
              <w:top w:val="single" w:color="auto" w:sz="4" w:space="0"/>
              <w:left w:val="nil"/>
              <w:bottom w:val="single" w:color="auto" w:sz="4" w:space="0"/>
              <w:right w:val="single" w:color="auto" w:sz="4" w:space="0"/>
            </w:tcBorders>
            <w:shd w:val="clear" w:color="auto" w:fill="auto"/>
            <w:vAlign w:val="center"/>
          </w:tcPr>
          <w:p w14:paraId="673B043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业绩金额</w:t>
            </w:r>
          </w:p>
        </w:tc>
        <w:tc>
          <w:tcPr>
            <w:tcW w:w="1242" w:type="dxa"/>
            <w:tcBorders>
              <w:top w:val="single" w:color="auto" w:sz="4" w:space="0"/>
              <w:left w:val="nil"/>
              <w:bottom w:val="single" w:color="auto" w:sz="4" w:space="0"/>
              <w:right w:val="single" w:color="auto" w:sz="4" w:space="0"/>
            </w:tcBorders>
            <w:shd w:val="clear" w:color="auto" w:fill="auto"/>
            <w:vAlign w:val="center"/>
          </w:tcPr>
          <w:p w14:paraId="3CDC3B8C">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rPr>
              <w:t>完成时间</w:t>
            </w:r>
          </w:p>
        </w:tc>
      </w:tr>
      <w:tr w14:paraId="6448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4441971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76A95B6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76540EB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31BCF9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6428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1B8F161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5CD267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43B704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8B908F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15DB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497FA1F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15974DA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6EF3118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1477FA5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1475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7056A69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6CC96D8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353BC07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08993B6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43AA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1122300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1326850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2B84377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173BAE3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3503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525" w:type="dxa"/>
            <w:tcBorders>
              <w:top w:val="single" w:color="auto" w:sz="4" w:space="0"/>
              <w:left w:val="single" w:color="auto" w:sz="4" w:space="0"/>
              <w:bottom w:val="single" w:color="auto" w:sz="4" w:space="0"/>
              <w:right w:val="single" w:color="auto" w:sz="4" w:space="0"/>
            </w:tcBorders>
            <w:shd w:val="clear" w:color="auto" w:fill="auto"/>
            <w:vAlign w:val="top"/>
          </w:tcPr>
          <w:p w14:paraId="68F0F3D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766" w:type="dxa"/>
            <w:tcBorders>
              <w:top w:val="single" w:color="auto" w:sz="4" w:space="0"/>
              <w:left w:val="nil"/>
              <w:bottom w:val="single" w:color="auto" w:sz="4" w:space="0"/>
              <w:right w:val="single" w:color="auto" w:sz="4" w:space="0"/>
            </w:tcBorders>
            <w:shd w:val="clear" w:color="auto" w:fill="auto"/>
            <w:vAlign w:val="top"/>
          </w:tcPr>
          <w:p w14:paraId="0FF921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6996965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242" w:type="dxa"/>
            <w:tcBorders>
              <w:top w:val="single" w:color="auto" w:sz="4" w:space="0"/>
              <w:left w:val="nil"/>
              <w:bottom w:val="single" w:color="auto" w:sz="4" w:space="0"/>
              <w:right w:val="single" w:color="auto" w:sz="4" w:space="0"/>
            </w:tcBorders>
            <w:shd w:val="clear" w:color="auto" w:fill="auto"/>
            <w:vAlign w:val="top"/>
          </w:tcPr>
          <w:p w14:paraId="4714A07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bl>
    <w:p w14:paraId="507C0335">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注：类似监理业绩</w:t>
      </w:r>
      <w:r>
        <w:rPr>
          <w:rFonts w:hint="default" w:ascii="宋体" w:hAnsi="宋体" w:eastAsia="宋体" w:cs="宋体"/>
          <w:color w:val="auto"/>
          <w:kern w:val="2"/>
          <w:sz w:val="21"/>
          <w:szCs w:val="21"/>
          <w:highlight w:val="none"/>
          <w:lang w:eastAsia="zh-CN" w:bidi="ar"/>
        </w:rPr>
        <w:t>由投标人择优提供，</w:t>
      </w:r>
      <w:r>
        <w:rPr>
          <w:rFonts w:hint="eastAsia" w:ascii="宋体" w:hAnsi="宋体" w:eastAsia="宋体" w:cs="宋体"/>
          <w:color w:val="auto"/>
          <w:kern w:val="2"/>
          <w:sz w:val="21"/>
          <w:szCs w:val="21"/>
          <w:highlight w:val="none"/>
          <w:lang w:val="en-US" w:eastAsia="zh-CN" w:bidi="ar"/>
        </w:rPr>
        <w:t>按</w:t>
      </w:r>
      <w:r>
        <w:rPr>
          <w:rFonts w:hint="default" w:ascii="宋体" w:hAnsi="宋体" w:eastAsia="宋体" w:cs="宋体"/>
          <w:color w:val="auto"/>
          <w:kern w:val="2"/>
          <w:sz w:val="21"/>
          <w:szCs w:val="21"/>
          <w:highlight w:val="none"/>
          <w:lang w:eastAsia="zh-CN" w:bidi="ar"/>
        </w:rPr>
        <w:t>定标因素</w:t>
      </w: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监理业绩情况</w:t>
      </w:r>
      <w:r>
        <w:rPr>
          <w:rFonts w:hint="eastAsia" w:ascii="宋体" w:hAnsi="宋体" w:eastAsia="宋体" w:cs="宋体"/>
          <w:color w:val="auto"/>
          <w:kern w:val="2"/>
          <w:sz w:val="21"/>
          <w:szCs w:val="21"/>
          <w:highlight w:val="none"/>
          <w:lang w:val="en-US" w:eastAsia="zh-CN" w:bidi="ar"/>
        </w:rPr>
        <w:t>”中的要求，在本表后附</w:t>
      </w:r>
      <w:r>
        <w:rPr>
          <w:rFonts w:hint="default" w:ascii="宋体" w:hAnsi="宋体" w:eastAsia="宋体" w:cs="宋体"/>
          <w:color w:val="auto"/>
          <w:kern w:val="2"/>
          <w:sz w:val="21"/>
          <w:szCs w:val="21"/>
          <w:highlight w:val="none"/>
          <w:lang w:eastAsia="zh-CN" w:bidi="ar"/>
        </w:rPr>
        <w:t>类似</w:t>
      </w:r>
      <w:r>
        <w:rPr>
          <w:rFonts w:hint="eastAsia" w:ascii="宋体" w:hAnsi="宋体" w:eastAsia="宋体" w:cs="宋体"/>
          <w:color w:val="auto"/>
          <w:kern w:val="2"/>
          <w:sz w:val="21"/>
          <w:szCs w:val="21"/>
          <w:highlight w:val="none"/>
          <w:lang w:val="en-US" w:eastAsia="zh-CN" w:bidi="ar"/>
        </w:rPr>
        <w:t>业绩证明资料。如</w:t>
      </w:r>
      <w:r>
        <w:rPr>
          <w:rFonts w:hint="default" w:ascii="宋体" w:hAnsi="宋体" w:eastAsia="宋体" w:cs="宋体"/>
          <w:color w:val="auto"/>
          <w:kern w:val="2"/>
          <w:sz w:val="21"/>
          <w:szCs w:val="21"/>
          <w:highlight w:val="none"/>
          <w:lang w:eastAsia="zh-CN" w:bidi="ar"/>
        </w:rPr>
        <w:t>在投标文件格式“四、资格审查资料”中的“（二）近年完成的类似监理项目情况表”已附相关类似</w:t>
      </w:r>
      <w:r>
        <w:rPr>
          <w:rFonts w:hint="eastAsia" w:ascii="宋体" w:hAnsi="宋体" w:eastAsia="宋体" w:cs="宋体"/>
          <w:color w:val="auto"/>
          <w:kern w:val="2"/>
          <w:sz w:val="21"/>
          <w:szCs w:val="21"/>
          <w:highlight w:val="none"/>
          <w:lang w:val="en-US" w:eastAsia="zh-CN" w:bidi="ar"/>
        </w:rPr>
        <w:t>业绩证明资料的，</w:t>
      </w:r>
      <w:r>
        <w:rPr>
          <w:rFonts w:hint="default" w:ascii="宋体" w:hAnsi="宋体" w:eastAsia="宋体" w:cs="宋体"/>
          <w:color w:val="auto"/>
          <w:kern w:val="2"/>
          <w:sz w:val="21"/>
          <w:szCs w:val="21"/>
          <w:highlight w:val="none"/>
          <w:lang w:eastAsia="zh-CN" w:bidi="ar"/>
        </w:rPr>
        <w:t>则无需在本表后重复附证明资料。</w:t>
      </w:r>
    </w:p>
    <w:p w14:paraId="05EB225F">
      <w:pPr>
        <w:numPr>
          <w:ilvl w:val="-1"/>
          <w:numId w:val="0"/>
        </w:numPr>
        <w:spacing w:line="480" w:lineRule="auto"/>
        <w:jc w:val="left"/>
        <w:outlineLvl w:val="9"/>
        <w:rPr>
          <w:rFonts w:hint="default" w:ascii="宋体" w:hAnsi="宋体"/>
          <w:color w:val="auto"/>
          <w:kern w:val="0"/>
          <w:highlight w:val="none"/>
        </w:rPr>
      </w:pPr>
    </w:p>
    <w:p w14:paraId="63699CED">
      <w:pPr>
        <w:spacing w:line="240" w:lineRule="auto"/>
        <w:jc w:val="left"/>
        <w:outlineLvl w:val="9"/>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br w:type="page"/>
      </w:r>
    </w:p>
    <w:p w14:paraId="204D6B4D">
      <w:pPr>
        <w:numPr>
          <w:ilvl w:val="-1"/>
          <w:numId w:val="0"/>
        </w:numPr>
        <w:spacing w:line="480" w:lineRule="auto"/>
        <w:jc w:val="left"/>
        <w:outlineLvl w:val="1"/>
        <w:rPr>
          <w:rFonts w:hint="default" w:ascii="宋体" w:hAnsi="宋体"/>
          <w:b/>
          <w:bCs/>
          <w:color w:val="auto"/>
          <w:kern w:val="0"/>
          <w:sz w:val="30"/>
          <w:szCs w:val="30"/>
          <w:highlight w:val="none"/>
        </w:rPr>
      </w:pPr>
      <w:r>
        <w:rPr>
          <w:rFonts w:hint="default" w:ascii="宋体" w:hAnsi="宋体"/>
          <w:b/>
          <w:bCs/>
          <w:color w:val="auto"/>
          <w:kern w:val="0"/>
          <w:sz w:val="30"/>
          <w:szCs w:val="30"/>
          <w:highlight w:val="none"/>
        </w:rPr>
        <w:t>（四）监理业绩获奖情况</w:t>
      </w:r>
    </w:p>
    <w:p w14:paraId="071410F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default" w:ascii="宋体" w:hAnsi="宋体" w:eastAsia="宋体" w:cs="宋体"/>
          <w:b/>
          <w:bCs w:val="0"/>
          <w:color w:val="auto"/>
          <w:kern w:val="2"/>
          <w:sz w:val="24"/>
          <w:szCs w:val="24"/>
          <w:highlight w:val="none"/>
          <w:lang w:eastAsia="zh-CN" w:bidi="ar"/>
        </w:rPr>
        <w:t>投标人自2022年1月1日至今监理的房屋建筑工程</w:t>
      </w:r>
      <w:r>
        <w:rPr>
          <w:rFonts w:hint="default" w:ascii="宋体" w:hAnsi="宋体" w:cs="宋体"/>
          <w:b/>
          <w:bCs w:val="0"/>
          <w:color w:val="auto"/>
          <w:kern w:val="2"/>
          <w:sz w:val="24"/>
          <w:szCs w:val="24"/>
          <w:highlight w:val="none"/>
          <w:lang w:eastAsia="zh-CN" w:bidi="ar"/>
        </w:rPr>
        <w:t>获奖</w:t>
      </w:r>
      <w:r>
        <w:rPr>
          <w:rFonts w:hint="default" w:ascii="宋体" w:hAnsi="宋体" w:eastAsia="宋体" w:cs="宋体"/>
          <w:b/>
          <w:bCs w:val="0"/>
          <w:color w:val="auto"/>
          <w:kern w:val="2"/>
          <w:sz w:val="24"/>
          <w:szCs w:val="24"/>
          <w:highlight w:val="none"/>
          <w:lang w:eastAsia="zh-CN" w:bidi="ar"/>
        </w:rPr>
        <w:t>情况汇总</w:t>
      </w:r>
      <w:r>
        <w:rPr>
          <w:rFonts w:hint="eastAsia" w:ascii="宋体" w:hAnsi="宋体" w:eastAsia="宋体" w:cs="宋体"/>
          <w:b/>
          <w:bCs w:val="0"/>
          <w:color w:val="auto"/>
          <w:kern w:val="2"/>
          <w:sz w:val="24"/>
          <w:szCs w:val="24"/>
          <w:highlight w:val="none"/>
          <w:lang w:val="en-US" w:eastAsia="zh-CN" w:bidi="ar"/>
        </w:rPr>
        <w:t>表</w:t>
      </w:r>
    </w:p>
    <w:p w14:paraId="54F1B73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tbl>
      <w:tblPr>
        <w:tblStyle w:val="12"/>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3991"/>
        <w:gridCol w:w="1542"/>
        <w:gridCol w:w="1647"/>
      </w:tblGrid>
      <w:tr w14:paraId="419A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3A3594D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991" w:type="dxa"/>
            <w:tcBorders>
              <w:top w:val="single" w:color="auto" w:sz="4" w:space="0"/>
              <w:left w:val="nil"/>
              <w:bottom w:val="single" w:color="auto" w:sz="4" w:space="0"/>
              <w:right w:val="single" w:color="auto" w:sz="4" w:space="0"/>
            </w:tcBorders>
            <w:shd w:val="clear" w:color="auto" w:fill="auto"/>
            <w:vAlign w:val="center"/>
          </w:tcPr>
          <w:p w14:paraId="51A023C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w:t>
            </w:r>
          </w:p>
        </w:tc>
        <w:tc>
          <w:tcPr>
            <w:tcW w:w="1542" w:type="dxa"/>
            <w:tcBorders>
              <w:top w:val="single" w:color="auto" w:sz="4" w:space="0"/>
              <w:left w:val="nil"/>
              <w:bottom w:val="single" w:color="auto" w:sz="4" w:space="0"/>
              <w:right w:val="single" w:color="auto" w:sz="4" w:space="0"/>
            </w:tcBorders>
            <w:shd w:val="clear" w:color="auto" w:fill="auto"/>
            <w:vAlign w:val="center"/>
          </w:tcPr>
          <w:p w14:paraId="6DCE17E9">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rPr>
              <w:t>所获奖项</w:t>
            </w:r>
          </w:p>
        </w:tc>
        <w:tc>
          <w:tcPr>
            <w:tcW w:w="1647" w:type="dxa"/>
            <w:tcBorders>
              <w:top w:val="single" w:color="auto" w:sz="4" w:space="0"/>
              <w:left w:val="nil"/>
              <w:bottom w:val="single" w:color="auto" w:sz="4" w:space="0"/>
              <w:right w:val="single" w:color="auto" w:sz="4" w:space="0"/>
            </w:tcBorders>
            <w:shd w:val="clear" w:color="auto" w:fill="auto"/>
            <w:vAlign w:val="center"/>
          </w:tcPr>
          <w:p w14:paraId="4D3B7EA2">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4"/>
                <w:szCs w:val="24"/>
                <w:highlight w:val="none"/>
              </w:rPr>
            </w:pPr>
            <w:r>
              <w:rPr>
                <w:rFonts w:hint="default" w:ascii="宋体" w:hAnsi="宋体" w:cs="宋体"/>
                <w:color w:val="auto"/>
                <w:kern w:val="2"/>
                <w:sz w:val="24"/>
                <w:szCs w:val="24"/>
                <w:highlight w:val="none"/>
              </w:rPr>
              <w:t>获奖</w:t>
            </w:r>
            <w:r>
              <w:rPr>
                <w:rFonts w:hint="default" w:ascii="宋体" w:hAnsi="宋体" w:eastAsia="宋体" w:cs="宋体"/>
                <w:color w:val="auto"/>
                <w:kern w:val="2"/>
                <w:sz w:val="24"/>
                <w:szCs w:val="24"/>
                <w:highlight w:val="none"/>
              </w:rPr>
              <w:t>时间</w:t>
            </w:r>
          </w:p>
        </w:tc>
      </w:tr>
      <w:tr w14:paraId="2BE1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3A8EE30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36367F0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19AEDD5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3884612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1EE1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F2E9DD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63D718A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551BB1D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3F48FB0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2183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E355A7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18A1CB1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6160075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2686149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2495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157F84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1DE370CA">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4C1B26A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61580BD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5A79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2F0FF0E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071C1EE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13D3A43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7EB09DA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r w14:paraId="4E8C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54E8DC3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3991" w:type="dxa"/>
            <w:tcBorders>
              <w:top w:val="single" w:color="auto" w:sz="4" w:space="0"/>
              <w:left w:val="nil"/>
              <w:bottom w:val="single" w:color="auto" w:sz="4" w:space="0"/>
              <w:right w:val="single" w:color="auto" w:sz="4" w:space="0"/>
            </w:tcBorders>
            <w:shd w:val="clear" w:color="auto" w:fill="auto"/>
            <w:vAlign w:val="top"/>
          </w:tcPr>
          <w:p w14:paraId="5FA85AD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542" w:type="dxa"/>
            <w:tcBorders>
              <w:top w:val="single" w:color="auto" w:sz="4" w:space="0"/>
              <w:left w:val="nil"/>
              <w:bottom w:val="single" w:color="auto" w:sz="4" w:space="0"/>
              <w:right w:val="single" w:color="auto" w:sz="4" w:space="0"/>
            </w:tcBorders>
            <w:shd w:val="clear" w:color="auto" w:fill="auto"/>
            <w:vAlign w:val="top"/>
          </w:tcPr>
          <w:p w14:paraId="6D336AC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c>
          <w:tcPr>
            <w:tcW w:w="1647" w:type="dxa"/>
            <w:tcBorders>
              <w:top w:val="single" w:color="auto" w:sz="4" w:space="0"/>
              <w:left w:val="nil"/>
              <w:bottom w:val="single" w:color="auto" w:sz="4" w:space="0"/>
              <w:right w:val="single" w:color="auto" w:sz="4" w:space="0"/>
            </w:tcBorders>
            <w:shd w:val="clear" w:color="auto" w:fill="auto"/>
            <w:vAlign w:val="top"/>
          </w:tcPr>
          <w:p w14:paraId="6EA3927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p>
        </w:tc>
      </w:tr>
    </w:tbl>
    <w:p w14:paraId="1C11B4F3">
      <w:pPr>
        <w:keepNext w:val="0"/>
        <w:keepLines w:val="0"/>
        <w:widowControl w:val="0"/>
        <w:suppressLineNumbers w:val="0"/>
        <w:spacing w:before="0" w:beforeAutospacing="0" w:after="0" w:afterAutospacing="0" w:line="271" w:lineRule="auto"/>
        <w:ind w:left="0" w:right="0" w:firstLine="424" w:firstLineChars="202"/>
        <w:jc w:val="left"/>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w:t>
      </w:r>
      <w:r>
        <w:rPr>
          <w:rFonts w:hint="default" w:ascii="宋体" w:hAnsi="宋体" w:cs="宋体"/>
          <w:color w:val="auto"/>
          <w:kern w:val="2"/>
          <w:sz w:val="21"/>
          <w:szCs w:val="21"/>
          <w:highlight w:val="none"/>
          <w:lang w:eastAsia="zh-CN" w:bidi="ar"/>
        </w:rPr>
        <w:t>监理业绩获奖</w:t>
      </w:r>
      <w:r>
        <w:rPr>
          <w:rFonts w:hint="default" w:ascii="宋体" w:hAnsi="宋体" w:eastAsia="宋体" w:cs="宋体"/>
          <w:color w:val="auto"/>
          <w:kern w:val="2"/>
          <w:sz w:val="21"/>
          <w:szCs w:val="21"/>
          <w:highlight w:val="none"/>
          <w:lang w:eastAsia="zh-CN" w:bidi="ar"/>
        </w:rPr>
        <w:t>由投标人择优提供，</w:t>
      </w:r>
      <w:r>
        <w:rPr>
          <w:rFonts w:hint="eastAsia" w:ascii="宋体" w:hAnsi="宋体" w:eastAsia="宋体" w:cs="宋体"/>
          <w:color w:val="auto"/>
          <w:kern w:val="2"/>
          <w:sz w:val="21"/>
          <w:szCs w:val="21"/>
          <w:highlight w:val="none"/>
          <w:lang w:val="en-US" w:eastAsia="zh-CN" w:bidi="ar"/>
        </w:rPr>
        <w:t>按</w:t>
      </w:r>
      <w:r>
        <w:rPr>
          <w:rFonts w:hint="default" w:ascii="宋体" w:hAnsi="宋体" w:eastAsia="宋体" w:cs="宋体"/>
          <w:color w:val="auto"/>
          <w:kern w:val="2"/>
          <w:sz w:val="21"/>
          <w:szCs w:val="21"/>
          <w:highlight w:val="none"/>
          <w:lang w:eastAsia="zh-CN" w:bidi="ar"/>
        </w:rPr>
        <w:t>定标因素</w:t>
      </w:r>
      <w:r>
        <w:rPr>
          <w:rFonts w:hint="eastAsia" w:ascii="宋体" w:hAnsi="宋体" w:eastAsia="宋体" w:cs="宋体"/>
          <w:color w:val="auto"/>
          <w:kern w:val="2"/>
          <w:sz w:val="21"/>
          <w:szCs w:val="21"/>
          <w:highlight w:val="none"/>
          <w:lang w:val="en-US" w:eastAsia="zh-CN" w:bidi="ar"/>
        </w:rPr>
        <w:t>“</w:t>
      </w:r>
      <w:r>
        <w:rPr>
          <w:rFonts w:hint="default" w:ascii="宋体" w:hAnsi="宋体" w:eastAsia="宋体" w:cs="宋体"/>
          <w:color w:val="auto"/>
          <w:kern w:val="2"/>
          <w:sz w:val="21"/>
          <w:szCs w:val="21"/>
          <w:highlight w:val="none"/>
          <w:lang w:eastAsia="zh-CN" w:bidi="ar"/>
        </w:rPr>
        <w:t>监理业绩</w:t>
      </w:r>
      <w:r>
        <w:rPr>
          <w:rFonts w:hint="default" w:ascii="宋体" w:hAnsi="宋体" w:cs="宋体"/>
          <w:color w:val="auto"/>
          <w:kern w:val="2"/>
          <w:sz w:val="21"/>
          <w:szCs w:val="21"/>
          <w:highlight w:val="none"/>
          <w:lang w:eastAsia="zh-CN" w:bidi="ar"/>
        </w:rPr>
        <w:t>获奖</w:t>
      </w:r>
      <w:r>
        <w:rPr>
          <w:rFonts w:hint="default" w:ascii="宋体" w:hAnsi="宋体" w:eastAsia="宋体" w:cs="宋体"/>
          <w:color w:val="auto"/>
          <w:kern w:val="2"/>
          <w:sz w:val="21"/>
          <w:szCs w:val="21"/>
          <w:highlight w:val="none"/>
          <w:lang w:eastAsia="zh-CN" w:bidi="ar"/>
        </w:rPr>
        <w:t>情况</w:t>
      </w:r>
      <w:r>
        <w:rPr>
          <w:rFonts w:hint="eastAsia" w:ascii="宋体" w:hAnsi="宋体" w:eastAsia="宋体" w:cs="宋体"/>
          <w:color w:val="auto"/>
          <w:kern w:val="2"/>
          <w:sz w:val="21"/>
          <w:szCs w:val="21"/>
          <w:highlight w:val="none"/>
          <w:lang w:val="en-US" w:eastAsia="zh-CN" w:bidi="ar"/>
        </w:rPr>
        <w:t>”中的要求，在本表后附</w:t>
      </w:r>
      <w:r>
        <w:rPr>
          <w:rFonts w:hint="default" w:ascii="宋体" w:hAnsi="宋体" w:cs="宋体"/>
          <w:color w:val="auto"/>
          <w:kern w:val="2"/>
          <w:sz w:val="21"/>
          <w:szCs w:val="21"/>
          <w:highlight w:val="none"/>
          <w:lang w:eastAsia="zh-CN" w:bidi="ar"/>
        </w:rPr>
        <w:t>相关奖项</w:t>
      </w:r>
      <w:r>
        <w:rPr>
          <w:rFonts w:hint="eastAsia" w:ascii="宋体" w:hAnsi="宋体" w:eastAsia="宋体" w:cs="宋体"/>
          <w:color w:val="auto"/>
          <w:kern w:val="2"/>
          <w:sz w:val="21"/>
          <w:szCs w:val="21"/>
          <w:highlight w:val="none"/>
          <w:lang w:val="en-US" w:eastAsia="zh-CN" w:bidi="ar"/>
        </w:rPr>
        <w:t>证明资料</w:t>
      </w:r>
      <w:r>
        <w:rPr>
          <w:rFonts w:hint="default" w:ascii="宋体" w:hAnsi="宋体" w:eastAsia="宋体" w:cs="宋体"/>
          <w:color w:val="auto"/>
          <w:kern w:val="2"/>
          <w:sz w:val="21"/>
          <w:szCs w:val="21"/>
          <w:highlight w:val="none"/>
          <w:lang w:eastAsia="zh-CN" w:bidi="ar"/>
        </w:rPr>
        <w:t>。</w:t>
      </w:r>
    </w:p>
    <w:p w14:paraId="14473D30">
      <w:pPr>
        <w:numPr>
          <w:ilvl w:val="-1"/>
          <w:numId w:val="0"/>
        </w:numPr>
        <w:spacing w:line="480" w:lineRule="auto"/>
        <w:jc w:val="left"/>
        <w:outlineLvl w:val="9"/>
        <w:rPr>
          <w:rFonts w:hint="default" w:ascii="宋体" w:hAnsi="宋体"/>
          <w:color w:val="auto"/>
          <w:kern w:val="0"/>
          <w:highlight w:val="none"/>
        </w:rPr>
      </w:pPr>
    </w:p>
    <w:p w14:paraId="34D0FB08">
      <w:pPr>
        <w:numPr>
          <w:ilvl w:val="0"/>
          <w:numId w:val="0"/>
        </w:numPr>
        <w:spacing w:line="480" w:lineRule="auto"/>
        <w:jc w:val="left"/>
        <w:outlineLvl w:val="9"/>
        <w:rPr>
          <w:rFonts w:hint="default" w:ascii="宋体" w:hAnsi="宋体"/>
          <w:color w:val="auto"/>
          <w:kern w:val="0"/>
          <w:highlight w:val="none"/>
        </w:rPr>
      </w:pPr>
      <w:r>
        <w:rPr>
          <w:rFonts w:hint="default" w:ascii="宋体" w:hAnsi="宋体"/>
          <w:color w:val="auto"/>
          <w:kern w:val="0"/>
          <w:highlight w:val="none"/>
        </w:rPr>
        <w:br w:type="page"/>
      </w:r>
    </w:p>
    <w:p w14:paraId="56C863A4">
      <w:pPr>
        <w:spacing w:line="480" w:lineRule="auto"/>
        <w:jc w:val="left"/>
        <w:outlineLvl w:val="1"/>
        <w:rPr>
          <w:rFonts w:ascii="宋体" w:hAnsi="宋体"/>
          <w:b/>
          <w:bCs/>
          <w:color w:val="auto"/>
          <w:kern w:val="0"/>
          <w:sz w:val="30"/>
          <w:szCs w:val="30"/>
          <w:highlight w:val="none"/>
        </w:rPr>
      </w:pPr>
      <w:r>
        <w:rPr>
          <w:rFonts w:hint="default" w:ascii="宋体" w:hAnsi="宋体"/>
          <w:b/>
          <w:bCs/>
          <w:color w:val="auto"/>
          <w:kern w:val="0"/>
          <w:sz w:val="30"/>
          <w:szCs w:val="30"/>
          <w:highlight w:val="none"/>
        </w:rPr>
        <w:t>七、</w:t>
      </w:r>
      <w:r>
        <w:rPr>
          <w:rFonts w:hint="eastAsia" w:ascii="宋体" w:hAnsi="宋体"/>
          <w:b/>
          <w:bCs/>
          <w:color w:val="auto"/>
          <w:kern w:val="0"/>
          <w:sz w:val="30"/>
          <w:szCs w:val="30"/>
          <w:highlight w:val="none"/>
        </w:rPr>
        <w:t>其他资料</w:t>
      </w:r>
      <w:bookmarkEnd w:id="507"/>
      <w:bookmarkEnd w:id="508"/>
      <w:bookmarkEnd w:id="509"/>
    </w:p>
    <w:p w14:paraId="1F0ADA80">
      <w:pPr>
        <w:topLinePunct/>
        <w:spacing w:line="360" w:lineRule="auto"/>
        <w:rPr>
          <w:rFonts w:ascii="宋体" w:hAnsi="宋体"/>
          <w:snapToGrid w:val="0"/>
          <w:color w:val="auto"/>
          <w:spacing w:val="18"/>
          <w:sz w:val="28"/>
          <w:szCs w:val="28"/>
          <w:highlight w:val="none"/>
        </w:rPr>
      </w:pPr>
      <w:r>
        <w:rPr>
          <w:rFonts w:hint="eastAsia" w:ascii="宋体" w:hAnsi="宋体"/>
          <w:b/>
          <w:bCs/>
          <w:color w:val="auto"/>
          <w:sz w:val="28"/>
          <w:szCs w:val="28"/>
          <w:highlight w:val="none"/>
        </w:rPr>
        <w:t>其他资料应包括（但不限制于）以下内容：</w:t>
      </w:r>
    </w:p>
    <w:p w14:paraId="4386F03A">
      <w:pPr>
        <w:spacing w:line="360" w:lineRule="auto"/>
        <w:outlineLvl w:val="2"/>
        <w:rPr>
          <w:rFonts w:ascii="宋体" w:hAnsi="宋体"/>
          <w:b/>
          <w:color w:val="auto"/>
          <w:sz w:val="28"/>
          <w:szCs w:val="28"/>
          <w:highlight w:val="none"/>
        </w:rPr>
      </w:pPr>
      <w:bookmarkStart w:id="510" w:name="_Toc530470653"/>
      <w:bookmarkStart w:id="511" w:name="_Toc535938760"/>
      <w:r>
        <w:rPr>
          <w:rFonts w:hint="eastAsia" w:ascii="宋体" w:hAnsi="宋体"/>
          <w:b/>
          <w:color w:val="auto"/>
          <w:sz w:val="28"/>
          <w:szCs w:val="28"/>
          <w:highlight w:val="none"/>
        </w:rPr>
        <w:t>①工程监理服务承诺书</w:t>
      </w:r>
      <w:bookmarkEnd w:id="510"/>
      <w:bookmarkEnd w:id="511"/>
    </w:p>
    <w:p w14:paraId="7A06EF87">
      <w:pPr>
        <w:spacing w:line="360" w:lineRule="auto"/>
        <w:jc w:val="center"/>
        <w:rPr>
          <w:rFonts w:ascii="宋体" w:hAnsi="宋体"/>
          <w:b/>
          <w:color w:val="auto"/>
          <w:sz w:val="32"/>
          <w:szCs w:val="30"/>
          <w:highlight w:val="none"/>
        </w:rPr>
      </w:pPr>
      <w:r>
        <w:rPr>
          <w:rFonts w:hint="eastAsia" w:ascii="宋体" w:hAnsi="宋体"/>
          <w:b/>
          <w:color w:val="auto"/>
          <w:sz w:val="32"/>
          <w:szCs w:val="30"/>
          <w:highlight w:val="none"/>
        </w:rPr>
        <w:t>工程监理服务承诺书</w:t>
      </w:r>
    </w:p>
    <w:p w14:paraId="72B299A3">
      <w:pPr>
        <w:topLinePunct/>
        <w:spacing w:line="336" w:lineRule="auto"/>
        <w:rPr>
          <w:rFonts w:ascii="宋体" w:hAnsi="宋体"/>
          <w:b/>
          <w:bCs/>
          <w:snapToGrid w:val="0"/>
          <w:color w:val="auto"/>
          <w:spacing w:val="4"/>
          <w:sz w:val="24"/>
          <w:szCs w:val="24"/>
          <w:highlight w:val="none"/>
        </w:rPr>
      </w:pPr>
      <w:r>
        <w:rPr>
          <w:rFonts w:hint="eastAsia" w:ascii="宋体" w:hAnsi="宋体"/>
          <w:b/>
          <w:bCs/>
          <w:snapToGrid w:val="0"/>
          <w:color w:val="auto"/>
          <w:spacing w:val="4"/>
          <w:sz w:val="24"/>
          <w:szCs w:val="24"/>
          <w:highlight w:val="none"/>
        </w:rPr>
        <w:t>致：</w:t>
      </w:r>
      <w:r>
        <w:rPr>
          <w:rFonts w:hint="eastAsia" w:ascii="宋体" w:hAnsi="宋体" w:cs="宋体"/>
          <w:b/>
          <w:bCs/>
          <w:snapToGrid w:val="0"/>
          <w:color w:val="auto"/>
          <w:spacing w:val="4"/>
          <w:sz w:val="24"/>
          <w:szCs w:val="24"/>
          <w:highlight w:val="none"/>
          <w:u w:val="single"/>
        </w:rPr>
        <w:t>广州市重点公共建设项目管理中心</w:t>
      </w:r>
    </w:p>
    <w:p w14:paraId="6C1F0B92">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一旦我方中标，我方愿意做出如下承诺：</w:t>
      </w:r>
    </w:p>
    <w:p w14:paraId="1FE7E473">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一、我方同意投标有效截止日期之日起的投标有效期内遵守本投标文件。在此期限届满之前，本投标文件将始终对我方有约束力，并可随时按此投标书接受中标。</w:t>
      </w:r>
    </w:p>
    <w:p w14:paraId="68E71AC5">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二、我方完全愿意接受本项目招标文件中的监理合同条款，如我方中标，我们将在招标人要求的时间内签订监理服务合同。</w:t>
      </w:r>
    </w:p>
    <w:p w14:paraId="2ACA3DA2">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三、如果我方中标，我方保证在签订合同后，在合同要求的期限内进驻现场开展工作，并在工程施工准备期、施工期和工程收尾期严格履行合同。</w:t>
      </w:r>
      <w:r>
        <w:rPr>
          <w:rFonts w:hint="eastAsia" w:ascii="宋体" w:hAnsi="宋体"/>
          <w:color w:val="auto"/>
          <w:spacing w:val="4"/>
          <w:sz w:val="24"/>
          <w:szCs w:val="24"/>
          <w:highlight w:val="none"/>
        </w:rPr>
        <w:t>如果我方中标，我方承诺严格按照合同和招投标文件规定履行义务，并同意贵中心将我方履行合同、招投标文件义务的履约情况和不诚信行为（包括但不限于由贵中心</w:t>
      </w:r>
      <w:r>
        <w:rPr>
          <w:rFonts w:hint="eastAsia" w:ascii="宋体" w:hAnsi="宋体"/>
          <w:color w:val="auto"/>
          <w:sz w:val="24"/>
          <w:highlight w:val="none"/>
        </w:rPr>
        <w:t>组织的考核、考评通报、作</w:t>
      </w:r>
      <w:r>
        <w:rPr>
          <w:rFonts w:hint="eastAsia" w:ascii="宋体" w:hAnsi="宋体"/>
          <w:color w:val="auto"/>
          <w:spacing w:val="4"/>
          <w:sz w:val="24"/>
          <w:szCs w:val="24"/>
          <w:highlight w:val="none"/>
        </w:rPr>
        <w:t>出的违约责任处理决定等）在贵中心网站和建设项目业主网站及其他媒体上公开披露，由此造成的一切损失和不利后果均由我方自行承担。</w:t>
      </w:r>
    </w:p>
    <w:p w14:paraId="4FE044A7">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四、我方承诺按照招标文件的规定对监理与相关服务费进行支付和结算。</w:t>
      </w:r>
    </w:p>
    <w:p w14:paraId="0ADD0AF1">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14:paraId="22B79F6C">
      <w:pPr>
        <w:topLinePunct/>
        <w:spacing w:line="336" w:lineRule="auto"/>
        <w:ind w:firstLine="496" w:firstLineChars="200"/>
        <w:rPr>
          <w:rFonts w:ascii="宋体" w:hAnsi="宋体"/>
          <w:bCs/>
          <w:snapToGrid w:val="0"/>
          <w:color w:val="auto"/>
          <w:spacing w:val="4"/>
          <w:sz w:val="24"/>
          <w:szCs w:val="24"/>
          <w:highlight w:val="none"/>
        </w:rPr>
      </w:pPr>
      <w:r>
        <w:rPr>
          <w:rFonts w:hint="eastAsia" w:ascii="宋体" w:hAnsi="宋体"/>
          <w:snapToGrid w:val="0"/>
          <w:color w:val="auto"/>
          <w:spacing w:val="4"/>
          <w:sz w:val="24"/>
          <w:szCs w:val="24"/>
          <w:highlight w:val="none"/>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14:paraId="728487E6">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3、如在工程实施期间，如因任何原因造成本合同工程中间停工而导致我方必须二次或多次进出场，监理报酬总额将不会因此而有所调整，相关费用亦已经包含于监理酬金中。</w:t>
      </w:r>
    </w:p>
    <w:p w14:paraId="760EDD78">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4、我方承诺，将按照招标文件和监理合同的约定，完成本项目监理服务的工作内容且相关的监理服务须达到令招标人满意的程度。如未能按合同附件－《</w:t>
      </w:r>
      <w:r>
        <w:rPr>
          <w:rFonts w:hint="eastAsia" w:ascii="宋体" w:hAnsi="宋体"/>
          <w:b/>
          <w:snapToGrid w:val="0"/>
          <w:color w:val="auto"/>
          <w:spacing w:val="4"/>
          <w:sz w:val="24"/>
          <w:szCs w:val="24"/>
          <w:highlight w:val="none"/>
        </w:rPr>
        <w:t>各阶段工作成果文件的要求</w:t>
      </w:r>
      <w:r>
        <w:rPr>
          <w:rFonts w:hint="eastAsia" w:ascii="宋体" w:hAnsi="宋体"/>
          <w:snapToGrid w:val="0"/>
          <w:color w:val="auto"/>
          <w:spacing w:val="4"/>
          <w:sz w:val="24"/>
          <w:szCs w:val="24"/>
          <w:highlight w:val="none"/>
        </w:rPr>
        <w:t>》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1ECC9CB8">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14:paraId="2B4756AC">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六、我方将严格按照监理人员执业守则，按照国家相关法规、规范及我方制定的监理大纲、实施细则进行监理，在保证质量、安全的前提下，确保工程按期交付。</w:t>
      </w:r>
    </w:p>
    <w:p w14:paraId="420CFBD9">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七、在未正式签订合同前，贵单位的招标文件、中标通知书和本投标文件将构成约束我们双方的法律文书。</w:t>
      </w:r>
    </w:p>
    <w:p w14:paraId="3AFAB6CF">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八、我方理解，贵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不一定接受最低标价的投标文件或可能接受任何的投标文件。同时也理解，不论结果如何，贵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不承担我方的任何投标费用。</w:t>
      </w:r>
    </w:p>
    <w:p w14:paraId="18BBB685">
      <w:pPr>
        <w:topLinePunct/>
        <w:spacing w:line="33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九、如果我方在投标有效期内撤回投标文件，或收到中标通知书后未能按招标文件规定的期限签署或拒绝签署合同，或未能或拒绝提交履约担保，贵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有权视为我方自动放弃中标资格</w:t>
      </w:r>
      <w:r>
        <w:rPr>
          <w:rFonts w:hint="eastAsia" w:ascii="宋体" w:hAnsi="宋体" w:cs="宋体"/>
          <w:color w:val="auto"/>
          <w:sz w:val="24"/>
          <w:szCs w:val="24"/>
          <w:highlight w:val="none"/>
          <w:lang w:bidi="ar"/>
        </w:rPr>
        <w:t>，且有权要求我方对由此造成的损失作出赔偿</w:t>
      </w:r>
      <w:r>
        <w:rPr>
          <w:rFonts w:hint="eastAsia" w:ascii="宋体" w:hAnsi="宋体"/>
          <w:snapToGrid w:val="0"/>
          <w:color w:val="auto"/>
          <w:spacing w:val="4"/>
          <w:sz w:val="24"/>
          <w:szCs w:val="24"/>
          <w:highlight w:val="none"/>
        </w:rPr>
        <w:t>。</w:t>
      </w:r>
    </w:p>
    <w:p w14:paraId="387A470E">
      <w:pPr>
        <w:topLinePunct/>
        <w:spacing w:line="336" w:lineRule="auto"/>
        <w:ind w:firstLine="496" w:firstLineChars="200"/>
        <w:rPr>
          <w:rFonts w:ascii="宋体" w:hAnsi="宋体"/>
          <w:snapToGrid w:val="0"/>
          <w:color w:val="auto"/>
          <w:spacing w:val="4"/>
          <w:sz w:val="24"/>
          <w:szCs w:val="24"/>
          <w:highlight w:val="none"/>
        </w:rPr>
      </w:pPr>
    </w:p>
    <w:p w14:paraId="20236D10">
      <w:pPr>
        <w:topLinePunct/>
        <w:spacing w:line="336" w:lineRule="auto"/>
        <w:ind w:firstLine="496" w:firstLineChars="200"/>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54778426">
      <w:pPr>
        <w:topLinePunct/>
        <w:spacing w:line="336" w:lineRule="auto"/>
        <w:ind w:firstLine="496" w:firstLineChars="2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455BF04A">
      <w:pPr>
        <w:spacing w:line="360" w:lineRule="auto"/>
        <w:rPr>
          <w:rFonts w:ascii="宋体" w:hAnsi="宋体"/>
          <w:snapToGrid w:val="0"/>
          <w:color w:val="auto"/>
          <w:spacing w:val="4"/>
          <w:sz w:val="24"/>
          <w:szCs w:val="24"/>
          <w:highlight w:val="none"/>
        </w:rPr>
      </w:pPr>
    </w:p>
    <w:p w14:paraId="2143E241">
      <w:pPr>
        <w:spacing w:line="360" w:lineRule="auto"/>
        <w:outlineLvl w:val="2"/>
        <w:rPr>
          <w:rFonts w:ascii="宋体" w:hAnsi="宋体"/>
          <w:b/>
          <w:color w:val="auto"/>
          <w:sz w:val="28"/>
          <w:szCs w:val="28"/>
          <w:highlight w:val="none"/>
        </w:rPr>
      </w:pPr>
      <w:r>
        <w:rPr>
          <w:rFonts w:hint="eastAsia" w:ascii="宋体" w:hAnsi="宋体"/>
          <w:b/>
          <w:color w:val="auto"/>
          <w:sz w:val="28"/>
          <w:szCs w:val="28"/>
          <w:highlight w:val="none"/>
        </w:rPr>
        <w:br w:type="page"/>
      </w:r>
      <w:bookmarkStart w:id="512" w:name="_Toc530470654"/>
      <w:bookmarkStart w:id="513" w:name="_Toc535938761"/>
      <w:r>
        <w:rPr>
          <w:rFonts w:hint="eastAsia" w:ascii="宋体" w:hAnsi="宋体"/>
          <w:b/>
          <w:color w:val="auto"/>
          <w:sz w:val="28"/>
          <w:szCs w:val="28"/>
          <w:highlight w:val="none"/>
        </w:rPr>
        <w:t>②工程监理合同响应承诺书</w:t>
      </w:r>
      <w:bookmarkEnd w:id="512"/>
      <w:bookmarkEnd w:id="513"/>
    </w:p>
    <w:p w14:paraId="7A6949FC">
      <w:pPr>
        <w:topLinePunct/>
        <w:spacing w:line="360" w:lineRule="auto"/>
        <w:jc w:val="center"/>
        <w:rPr>
          <w:rFonts w:ascii="宋体" w:hAnsi="宋体"/>
          <w:color w:val="auto"/>
          <w:sz w:val="32"/>
          <w:szCs w:val="20"/>
          <w:highlight w:val="none"/>
        </w:rPr>
      </w:pPr>
    </w:p>
    <w:p w14:paraId="3ADF8AA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工程监理合同响应承诺书</w:t>
      </w:r>
    </w:p>
    <w:p w14:paraId="50BF0F36">
      <w:pPr>
        <w:topLinePunct/>
        <w:spacing w:line="360" w:lineRule="auto"/>
        <w:ind w:firstLine="496" w:firstLineChars="200"/>
        <w:rPr>
          <w:rFonts w:ascii="宋体" w:hAnsi="宋体"/>
          <w:snapToGrid w:val="0"/>
          <w:color w:val="auto"/>
          <w:spacing w:val="4"/>
          <w:sz w:val="24"/>
          <w:szCs w:val="24"/>
          <w:highlight w:val="none"/>
        </w:rPr>
      </w:pPr>
    </w:p>
    <w:p w14:paraId="1FBE007C">
      <w:pPr>
        <w:topLinePunct/>
        <w:spacing w:line="360" w:lineRule="auto"/>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致：广州市重点公共建设项目管理中心</w:t>
      </w:r>
    </w:p>
    <w:p w14:paraId="6FEEB24A">
      <w:pPr>
        <w:topLinePunct/>
        <w:spacing w:line="360" w:lineRule="auto"/>
        <w:rPr>
          <w:rFonts w:ascii="宋体" w:hAnsi="宋体"/>
          <w:snapToGrid w:val="0"/>
          <w:color w:val="auto"/>
          <w:spacing w:val="4"/>
          <w:sz w:val="24"/>
          <w:szCs w:val="24"/>
          <w:highlight w:val="none"/>
        </w:rPr>
      </w:pPr>
    </w:p>
    <w:p w14:paraId="15050541">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我方完全愿意接受本项目招标文件所附合同条款，如我方中标，我们将在贵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要求的时间内签订监理服务合同。</w:t>
      </w:r>
    </w:p>
    <w:p w14:paraId="25A4FC03">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特此承诺。</w:t>
      </w:r>
    </w:p>
    <w:p w14:paraId="633DFFD7">
      <w:pPr>
        <w:topLinePunct/>
        <w:spacing w:line="360" w:lineRule="auto"/>
        <w:ind w:firstLine="496" w:firstLineChars="200"/>
        <w:rPr>
          <w:rFonts w:ascii="宋体" w:hAnsi="宋体"/>
          <w:snapToGrid w:val="0"/>
          <w:color w:val="auto"/>
          <w:spacing w:val="4"/>
          <w:sz w:val="24"/>
          <w:szCs w:val="24"/>
          <w:highlight w:val="none"/>
        </w:rPr>
      </w:pPr>
    </w:p>
    <w:p w14:paraId="72AB72EE">
      <w:pPr>
        <w:topLinePunct/>
        <w:spacing w:line="360" w:lineRule="auto"/>
        <w:ind w:firstLine="496" w:firstLineChars="200"/>
        <w:rPr>
          <w:rFonts w:ascii="宋体" w:hAnsi="宋体"/>
          <w:snapToGrid w:val="0"/>
          <w:color w:val="auto"/>
          <w:spacing w:val="4"/>
          <w:sz w:val="24"/>
          <w:szCs w:val="24"/>
          <w:highlight w:val="none"/>
        </w:rPr>
      </w:pPr>
    </w:p>
    <w:p w14:paraId="24AF8BC6">
      <w:pPr>
        <w:topLinePunct/>
        <w:spacing w:line="336" w:lineRule="auto"/>
        <w:ind w:firstLine="496" w:firstLineChars="200"/>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773FDD02">
      <w:pPr>
        <w:topLinePunct/>
        <w:spacing w:line="336" w:lineRule="auto"/>
        <w:ind w:firstLine="496" w:firstLineChars="2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017030F2">
      <w:pPr>
        <w:rPr>
          <w:rFonts w:ascii="宋体" w:hAnsi="宋体"/>
          <w:color w:val="auto"/>
          <w:sz w:val="28"/>
          <w:szCs w:val="28"/>
          <w:highlight w:val="none"/>
        </w:rPr>
      </w:pPr>
    </w:p>
    <w:p w14:paraId="59E6E85F">
      <w:pPr>
        <w:spacing w:line="360" w:lineRule="auto"/>
        <w:outlineLvl w:val="2"/>
        <w:rPr>
          <w:rFonts w:ascii="宋体" w:hAnsi="宋体"/>
          <w:color w:val="auto"/>
          <w:sz w:val="32"/>
          <w:szCs w:val="32"/>
          <w:highlight w:val="none"/>
        </w:rPr>
      </w:pPr>
      <w:r>
        <w:rPr>
          <w:rFonts w:hint="eastAsia" w:ascii="宋体" w:hAnsi="宋体"/>
          <w:color w:val="auto"/>
          <w:sz w:val="28"/>
          <w:szCs w:val="28"/>
          <w:highlight w:val="none"/>
        </w:rPr>
        <w:br w:type="page"/>
      </w:r>
      <w:bookmarkStart w:id="514" w:name="_Toc530470655"/>
      <w:bookmarkStart w:id="515" w:name="_Toc535938762"/>
      <w:r>
        <w:rPr>
          <w:rFonts w:hint="eastAsia" w:ascii="宋体" w:hAnsi="宋体"/>
          <w:b/>
          <w:color w:val="auto"/>
          <w:sz w:val="28"/>
          <w:szCs w:val="28"/>
          <w:highlight w:val="none"/>
        </w:rPr>
        <w:t>③工程监理人员到位承诺书</w:t>
      </w:r>
      <w:bookmarkEnd w:id="514"/>
      <w:bookmarkEnd w:id="515"/>
    </w:p>
    <w:p w14:paraId="741D6512">
      <w:pPr>
        <w:spacing w:line="300" w:lineRule="auto"/>
        <w:jc w:val="center"/>
        <w:rPr>
          <w:rFonts w:ascii="宋体" w:hAnsi="宋体"/>
          <w:b/>
          <w:color w:val="auto"/>
          <w:sz w:val="32"/>
          <w:szCs w:val="32"/>
          <w:highlight w:val="none"/>
        </w:rPr>
      </w:pPr>
      <w:r>
        <w:rPr>
          <w:rFonts w:hint="eastAsia" w:ascii="宋体" w:hAnsi="宋体"/>
          <w:b/>
          <w:color w:val="auto"/>
          <w:sz w:val="32"/>
          <w:szCs w:val="32"/>
          <w:highlight w:val="none"/>
        </w:rPr>
        <w:t>工程监理人员到位承诺书</w:t>
      </w:r>
    </w:p>
    <w:p w14:paraId="78B70F98">
      <w:pPr>
        <w:topLinePunct/>
        <w:spacing w:line="300" w:lineRule="auto"/>
        <w:rPr>
          <w:rFonts w:ascii="宋体" w:hAnsi="宋体"/>
          <w:b/>
          <w:snapToGrid w:val="0"/>
          <w:color w:val="auto"/>
          <w:spacing w:val="4"/>
          <w:sz w:val="24"/>
          <w:szCs w:val="24"/>
          <w:highlight w:val="none"/>
        </w:rPr>
      </w:pPr>
      <w:r>
        <w:rPr>
          <w:rFonts w:hint="eastAsia" w:ascii="宋体" w:hAnsi="宋体"/>
          <w:b/>
          <w:snapToGrid w:val="0"/>
          <w:color w:val="auto"/>
          <w:spacing w:val="4"/>
          <w:sz w:val="24"/>
          <w:szCs w:val="24"/>
          <w:highlight w:val="none"/>
        </w:rPr>
        <w:t>致：广州市重点公共建设项目管理中心</w:t>
      </w:r>
    </w:p>
    <w:p w14:paraId="57FBB0C1">
      <w:pPr>
        <w:topLinePunct/>
        <w:spacing w:line="30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一旦我方中标，我方愿意做出如下承诺：</w:t>
      </w:r>
    </w:p>
    <w:p w14:paraId="51768D31">
      <w:pPr>
        <w:topLinePunct/>
        <w:spacing w:line="30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承诺保证按本项目投标文件所报的监理组织架构框图和项目总监理工程师、总监理工程师代表及全部监理人员按要求时间到位开展工程监理工作；并承诺在监理工作实施过程中，如需更换监理人员，将按合同条款约定承担相应违约责任；如投标时人员组成不满足《</w:t>
      </w:r>
      <w:r>
        <w:rPr>
          <w:rFonts w:hint="default" w:ascii="宋体" w:hAnsi="宋体"/>
          <w:snapToGrid w:val="0"/>
          <w:color w:val="auto"/>
          <w:spacing w:val="4"/>
          <w:sz w:val="24"/>
          <w:szCs w:val="24"/>
          <w:highlight w:val="none"/>
        </w:rPr>
        <w:t>监理机构人员配备要求表</w:t>
      </w:r>
      <w:r>
        <w:rPr>
          <w:rFonts w:hint="eastAsia" w:ascii="宋体" w:hAnsi="宋体"/>
          <w:snapToGrid w:val="0"/>
          <w:color w:val="auto"/>
          <w:spacing w:val="4"/>
          <w:sz w:val="24"/>
          <w:szCs w:val="24"/>
          <w:highlight w:val="none"/>
        </w:rPr>
        <w:t>》</w:t>
      </w:r>
      <w:r>
        <w:rPr>
          <w:rFonts w:hint="default" w:ascii="宋体" w:hAnsi="宋体"/>
          <w:snapToGrid w:val="0"/>
          <w:color w:val="auto"/>
          <w:spacing w:val="4"/>
          <w:sz w:val="24"/>
          <w:szCs w:val="24"/>
          <w:highlight w:val="none"/>
        </w:rPr>
        <w:t>及招标文件</w:t>
      </w:r>
      <w:r>
        <w:rPr>
          <w:rFonts w:hint="eastAsia" w:ascii="宋体" w:hAnsi="宋体"/>
          <w:snapToGrid w:val="0"/>
          <w:color w:val="auto"/>
          <w:spacing w:val="4"/>
          <w:sz w:val="24"/>
          <w:szCs w:val="24"/>
          <w:highlight w:val="none"/>
        </w:rPr>
        <w:t>要求，中标后七个工作日内我方将提供满足或优于该表要求的经招标人批准的监理部组成人员。否则，贵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可以按我方未实质履行监理合同处理，全部没收我方的履约担保，并且可以单方面终止监理合同，我方将不提出任何异议。</w:t>
      </w:r>
    </w:p>
    <w:p w14:paraId="7638B5EC">
      <w:pPr>
        <w:topLinePunct/>
        <w:spacing w:line="30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二、鉴于本项目的重要性、专业性、工程的复杂性和工期的紧迫性，为确保按时、按质完成监理工作任务，在工程监理工作过程中，如贵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认为我方监理人员的数量、监理人员的业务水平、监理人员的专业配置等不能满足监理工作所需时，贵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有权聘请符合监理工作所需要的监理人员或单位，作为我方从事本监理工作的人员，所聘请监理人员或单位的费用已包括在本招标项目监理费总额内，由我方向所聘用人员或单位支付，必要时贵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有权从本招标项目监理酬金中直接支付。</w:t>
      </w:r>
    </w:p>
    <w:p w14:paraId="1B088300">
      <w:pPr>
        <w:topLinePunct/>
        <w:spacing w:line="30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三、为了加强贵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与我方的沟通与协调，我方同意贵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另行指定一名专业工程师（业主监理代表）常驻项目监理机构，监督并协助项目监理机构的工作。</w:t>
      </w:r>
    </w:p>
    <w:p w14:paraId="65FCA066">
      <w:pPr>
        <w:topLinePunct/>
        <w:spacing w:line="300" w:lineRule="auto"/>
        <w:ind w:firstLine="496" w:firstLineChars="200"/>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四、因监理人员不到位、监管措施不足、监督不力，导致施工单位未按照经审查合格的施工图纸施工，贵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可按照合同约定追究我方监理单位的责任，由此产生改造等相关费用，全部由我方承担。</w:t>
      </w:r>
    </w:p>
    <w:p w14:paraId="6452D90E">
      <w:pPr>
        <w:topLinePunct/>
        <w:spacing w:line="300" w:lineRule="auto"/>
        <w:ind w:firstLine="496" w:firstLineChars="200"/>
        <w:rPr>
          <w:rFonts w:hint="default"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五、若我方中标，我方承诺我方拟投入本项目各阶段的专业监理工程师和监理员在履行相应监理工作职责时将不再兼任贵中心或其他在建项目的监理工作，否则我方愿意无条件更换符合本项目监理工作所需的专业监理工程师且愿意按照监理合同中所应承担的违约责任接受贵中心的处罚。</w:t>
      </w:r>
    </w:p>
    <w:p w14:paraId="4C5193D6">
      <w:pPr>
        <w:topLinePunct/>
        <w:spacing w:line="30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特此承诺。</w:t>
      </w:r>
    </w:p>
    <w:p w14:paraId="6477BB8E">
      <w:pPr>
        <w:topLinePunct/>
        <w:spacing w:line="300" w:lineRule="auto"/>
        <w:ind w:firstLine="496" w:firstLineChars="200"/>
        <w:rPr>
          <w:rFonts w:ascii="宋体" w:hAnsi="宋体"/>
          <w:snapToGrid w:val="0"/>
          <w:color w:val="auto"/>
          <w:spacing w:val="4"/>
          <w:sz w:val="24"/>
          <w:szCs w:val="24"/>
          <w:highlight w:val="none"/>
        </w:rPr>
      </w:pPr>
    </w:p>
    <w:p w14:paraId="18BB3124">
      <w:pPr>
        <w:topLinePunct/>
        <w:spacing w:line="300" w:lineRule="auto"/>
        <w:ind w:firstLine="496" w:firstLineChars="200"/>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02F790D4">
      <w:pPr>
        <w:topLinePunct/>
        <w:spacing w:line="300" w:lineRule="auto"/>
        <w:ind w:firstLine="496" w:firstLineChars="2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46DE0387">
      <w:pPr>
        <w:spacing w:line="360" w:lineRule="auto"/>
        <w:outlineLvl w:val="2"/>
        <w:rPr>
          <w:rFonts w:ascii="宋体" w:hAnsi="宋体"/>
          <w:b/>
          <w:color w:val="auto"/>
          <w:sz w:val="28"/>
          <w:szCs w:val="28"/>
          <w:highlight w:val="none"/>
        </w:rPr>
      </w:pPr>
      <w:r>
        <w:rPr>
          <w:rFonts w:hint="eastAsia" w:ascii="宋体" w:hAnsi="宋体"/>
          <w:color w:val="auto"/>
          <w:sz w:val="28"/>
          <w:szCs w:val="28"/>
          <w:highlight w:val="none"/>
        </w:rPr>
        <w:br w:type="page"/>
      </w:r>
      <w:bookmarkStart w:id="516" w:name="_Toc530470656"/>
      <w:bookmarkStart w:id="517" w:name="_Toc535938763"/>
      <w:r>
        <w:rPr>
          <w:rFonts w:hint="eastAsia" w:ascii="宋体" w:hAnsi="宋体"/>
          <w:b/>
          <w:color w:val="auto"/>
          <w:sz w:val="28"/>
          <w:szCs w:val="28"/>
          <w:highlight w:val="none"/>
        </w:rPr>
        <w:t>④工程监理人员任职承诺书</w:t>
      </w:r>
      <w:bookmarkEnd w:id="516"/>
      <w:bookmarkEnd w:id="517"/>
    </w:p>
    <w:p w14:paraId="065E8DDE">
      <w:pPr>
        <w:rPr>
          <w:rFonts w:ascii="宋体" w:hAnsi="宋体"/>
          <w:color w:val="auto"/>
          <w:highlight w:val="none"/>
        </w:rPr>
      </w:pPr>
    </w:p>
    <w:p w14:paraId="3032EBD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工程监理人员任职承诺书</w:t>
      </w:r>
    </w:p>
    <w:p w14:paraId="630D1367">
      <w:pPr>
        <w:topLinePunct/>
        <w:rPr>
          <w:rFonts w:ascii="宋体" w:hAnsi="宋体"/>
          <w:b/>
          <w:snapToGrid w:val="0"/>
          <w:color w:val="auto"/>
          <w:spacing w:val="4"/>
          <w:sz w:val="24"/>
          <w:szCs w:val="24"/>
          <w:highlight w:val="none"/>
        </w:rPr>
      </w:pPr>
      <w:r>
        <w:rPr>
          <w:rFonts w:hint="eastAsia" w:ascii="宋体" w:hAnsi="宋体"/>
          <w:b/>
          <w:snapToGrid w:val="0"/>
          <w:color w:val="auto"/>
          <w:spacing w:val="4"/>
          <w:sz w:val="24"/>
          <w:szCs w:val="24"/>
          <w:highlight w:val="none"/>
        </w:rPr>
        <w:t>致：广州市重点公共建设项目管理中心</w:t>
      </w:r>
    </w:p>
    <w:p w14:paraId="68459D3A">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一旦我方中标，我方愿意对本项目拟投入的总监理工程师及总监理工程师代表做出如下的任职承诺：</w:t>
      </w:r>
    </w:p>
    <w:p w14:paraId="4FC6D9CA">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一、总监理工程师</w:t>
      </w:r>
    </w:p>
    <w:p w14:paraId="0A373429">
      <w:pPr>
        <w:topLinePunct/>
        <w:spacing w:line="276" w:lineRule="auto"/>
        <w:ind w:firstLine="496" w:firstLineChars="200"/>
        <w:rPr>
          <w:rFonts w:hint="eastAsia"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已在</w:t>
      </w:r>
      <w:r>
        <w:rPr>
          <w:rFonts w:hint="eastAsia" w:ascii="宋体" w:hAnsi="宋体"/>
          <w:snapToGrid w:val="0"/>
          <w:color w:val="auto"/>
          <w:spacing w:val="4"/>
          <w:sz w:val="24"/>
          <w:szCs w:val="24"/>
          <w:highlight w:val="none"/>
          <w:lang w:val="en-US" w:eastAsia="zh-CN"/>
        </w:rPr>
        <w:t>贵中心或</w:t>
      </w:r>
      <w:r>
        <w:rPr>
          <w:rFonts w:hint="eastAsia" w:ascii="宋体" w:hAnsi="宋体"/>
          <w:snapToGrid w:val="0"/>
          <w:color w:val="auto"/>
          <w:spacing w:val="4"/>
          <w:sz w:val="24"/>
          <w:szCs w:val="24"/>
          <w:highlight w:val="none"/>
        </w:rPr>
        <w:t>其他在建项目中任职的情况，我方将在本项目立项办理施工许可证或者开工报告前办理好变更手续。</w:t>
      </w:r>
    </w:p>
    <w:p w14:paraId="7CE65D49">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若我方中标，我方承诺，在本项目立项办理施工许可证或者开工报告前，</w:t>
      </w:r>
      <w:r>
        <w:rPr>
          <w:rFonts w:hint="eastAsia" w:ascii="宋体" w:hAnsi="宋体"/>
          <w:b/>
          <w:snapToGrid w:val="0"/>
          <w:color w:val="auto"/>
          <w:spacing w:val="4"/>
          <w:sz w:val="24"/>
          <w:szCs w:val="24"/>
          <w:highlight w:val="none"/>
        </w:rPr>
        <w:t>我单位投入本项目的总监理工程师资格条件符合相关政策规定</w:t>
      </w:r>
      <w:r>
        <w:rPr>
          <w:rFonts w:hint="eastAsia" w:ascii="宋体" w:hAnsi="宋体"/>
          <w:snapToGrid w:val="0"/>
          <w:color w:val="auto"/>
          <w:spacing w:val="4"/>
          <w:sz w:val="24"/>
          <w:szCs w:val="24"/>
          <w:highlight w:val="none"/>
        </w:rPr>
        <w:t>，以确保本项目顺利办理施工许可及工程质量监督手续，否则，贵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有权终止合同并没收履约担保，同时贵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有权将此作为不诚信履约行为上报建设行政主管部门并拒绝我方一年内参与贵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的投标。</w:t>
      </w:r>
    </w:p>
    <w:p w14:paraId="2A575E01">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二、总监理工程师代表</w:t>
      </w:r>
    </w:p>
    <w:p w14:paraId="23A97B67">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若我方中标，我方承诺拟投入本项目的总监理工程师代表在本项目实施期间不再担任</w:t>
      </w:r>
      <w:r>
        <w:rPr>
          <w:rFonts w:hint="eastAsia" w:ascii="宋体" w:hAnsi="宋体"/>
          <w:snapToGrid w:val="0"/>
          <w:color w:val="auto"/>
          <w:spacing w:val="4"/>
          <w:sz w:val="24"/>
          <w:szCs w:val="24"/>
          <w:highlight w:val="none"/>
          <w:lang w:val="en-US" w:eastAsia="zh-CN"/>
        </w:rPr>
        <w:t>贵中心或</w:t>
      </w:r>
      <w:r>
        <w:rPr>
          <w:rFonts w:hint="eastAsia" w:ascii="宋体" w:hAnsi="宋体"/>
          <w:snapToGrid w:val="0"/>
          <w:color w:val="auto"/>
          <w:spacing w:val="4"/>
          <w:sz w:val="24"/>
          <w:szCs w:val="24"/>
          <w:highlight w:val="none"/>
        </w:rPr>
        <w:t>其他</w:t>
      </w:r>
      <w:r>
        <w:rPr>
          <w:rFonts w:hint="eastAsia" w:ascii="宋体" w:hAnsi="宋体"/>
          <w:snapToGrid w:val="0"/>
          <w:color w:val="auto"/>
          <w:spacing w:val="4"/>
          <w:sz w:val="24"/>
          <w:szCs w:val="24"/>
          <w:highlight w:val="none"/>
          <w:lang w:val="en-US" w:eastAsia="zh-CN"/>
        </w:rPr>
        <w:t>在建</w:t>
      </w:r>
      <w:r>
        <w:rPr>
          <w:rFonts w:hint="eastAsia" w:ascii="宋体" w:hAnsi="宋体"/>
          <w:snapToGrid w:val="0"/>
          <w:color w:val="auto"/>
          <w:spacing w:val="4"/>
          <w:sz w:val="24"/>
          <w:szCs w:val="24"/>
          <w:highlight w:val="none"/>
        </w:rPr>
        <w:t>项目的监理工作。</w:t>
      </w:r>
    </w:p>
    <w:p w14:paraId="571889EC">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若我方拟投入的项目总监理工程师代表已在</w:t>
      </w:r>
      <w:r>
        <w:rPr>
          <w:rFonts w:hint="eastAsia" w:ascii="宋体" w:hAnsi="宋体"/>
          <w:snapToGrid w:val="0"/>
          <w:color w:val="auto"/>
          <w:spacing w:val="4"/>
          <w:sz w:val="24"/>
          <w:szCs w:val="24"/>
          <w:highlight w:val="none"/>
          <w:lang w:val="en-US" w:eastAsia="zh-CN"/>
        </w:rPr>
        <w:t>贵中心或</w:t>
      </w:r>
      <w:r>
        <w:rPr>
          <w:rFonts w:hint="eastAsia" w:ascii="宋体" w:hAnsi="宋体"/>
          <w:snapToGrid w:val="0"/>
          <w:color w:val="auto"/>
          <w:spacing w:val="4"/>
          <w:sz w:val="24"/>
          <w:szCs w:val="24"/>
          <w:highlight w:val="none"/>
        </w:rPr>
        <w:t>其他</w:t>
      </w:r>
      <w:r>
        <w:rPr>
          <w:rFonts w:hint="eastAsia" w:ascii="宋体" w:hAnsi="宋体"/>
          <w:snapToGrid w:val="0"/>
          <w:color w:val="auto"/>
          <w:spacing w:val="4"/>
          <w:sz w:val="24"/>
          <w:szCs w:val="24"/>
          <w:highlight w:val="none"/>
          <w:lang w:val="en-US" w:eastAsia="zh-CN"/>
        </w:rPr>
        <w:t>在建</w:t>
      </w:r>
      <w:r>
        <w:rPr>
          <w:rFonts w:hint="eastAsia" w:ascii="宋体" w:hAnsi="宋体"/>
          <w:snapToGrid w:val="0"/>
          <w:color w:val="auto"/>
          <w:spacing w:val="4"/>
          <w:sz w:val="24"/>
          <w:szCs w:val="24"/>
          <w:highlight w:val="none"/>
        </w:rPr>
        <w:t>项目中担任监理工作的，我方愿意无条件更换符合本项目监理工作所需的监理工程师代表，同时愿意按照监理合同中监理人自行调换总监理工程师代表所应承担的违约责任接受贵</w:t>
      </w:r>
      <w:r>
        <w:rPr>
          <w:rFonts w:hint="eastAsia" w:ascii="宋体" w:hAnsi="宋体"/>
          <w:color w:val="auto"/>
          <w:spacing w:val="4"/>
          <w:sz w:val="24"/>
          <w:szCs w:val="24"/>
          <w:highlight w:val="none"/>
        </w:rPr>
        <w:t>中心</w:t>
      </w:r>
      <w:r>
        <w:rPr>
          <w:rFonts w:hint="eastAsia" w:ascii="宋体" w:hAnsi="宋体"/>
          <w:snapToGrid w:val="0"/>
          <w:color w:val="auto"/>
          <w:spacing w:val="4"/>
          <w:sz w:val="24"/>
          <w:szCs w:val="24"/>
          <w:highlight w:val="none"/>
        </w:rPr>
        <w:t>的处罚。</w:t>
      </w:r>
    </w:p>
    <w:p w14:paraId="4EECC567">
      <w:pPr>
        <w:topLinePunct/>
        <w:spacing w:line="276"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特此承诺。</w:t>
      </w:r>
    </w:p>
    <w:p w14:paraId="3CF6368D">
      <w:pPr>
        <w:topLinePunct/>
        <w:spacing w:line="360" w:lineRule="auto"/>
        <w:rPr>
          <w:rFonts w:ascii="宋体" w:hAnsi="宋体"/>
          <w:snapToGrid w:val="0"/>
          <w:color w:val="auto"/>
          <w:spacing w:val="4"/>
          <w:sz w:val="24"/>
          <w:szCs w:val="24"/>
          <w:highlight w:val="none"/>
        </w:rPr>
      </w:pPr>
    </w:p>
    <w:p w14:paraId="41BD8E5F">
      <w:pPr>
        <w:topLinePunct/>
        <w:spacing w:line="336" w:lineRule="auto"/>
        <w:ind w:firstLine="496" w:firstLineChars="200"/>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4926856D">
      <w:pPr>
        <w:topLinePunct/>
        <w:spacing w:line="336" w:lineRule="auto"/>
        <w:ind w:firstLine="496" w:firstLineChars="2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41C9FA61">
      <w:pPr>
        <w:spacing w:line="360" w:lineRule="auto"/>
        <w:outlineLvl w:val="2"/>
        <w:rPr>
          <w:rFonts w:ascii="宋体" w:hAnsi="宋体"/>
          <w:color w:val="auto"/>
          <w:sz w:val="28"/>
          <w:szCs w:val="28"/>
          <w:highlight w:val="none"/>
        </w:rPr>
      </w:pPr>
      <w:r>
        <w:rPr>
          <w:rFonts w:hint="eastAsia" w:ascii="宋体" w:hAnsi="宋体"/>
          <w:color w:val="auto"/>
          <w:sz w:val="28"/>
          <w:szCs w:val="28"/>
          <w:highlight w:val="none"/>
        </w:rPr>
        <w:br w:type="page"/>
      </w:r>
      <w:bookmarkStart w:id="518" w:name="_Toc530470657"/>
      <w:bookmarkStart w:id="519" w:name="_Toc535938764"/>
      <w:r>
        <w:rPr>
          <w:rFonts w:hint="eastAsia" w:ascii="宋体" w:hAnsi="宋体"/>
          <w:b/>
          <w:color w:val="auto"/>
          <w:sz w:val="28"/>
          <w:szCs w:val="28"/>
          <w:highlight w:val="none"/>
        </w:rPr>
        <w:t>⑤拟投入的设备仪器到位承诺书</w:t>
      </w:r>
      <w:bookmarkEnd w:id="518"/>
      <w:bookmarkEnd w:id="519"/>
    </w:p>
    <w:p w14:paraId="745378CA">
      <w:pPr>
        <w:rPr>
          <w:rFonts w:ascii="宋体" w:hAnsi="宋体"/>
          <w:color w:val="auto"/>
          <w:highlight w:val="none"/>
        </w:rPr>
      </w:pPr>
    </w:p>
    <w:p w14:paraId="4F6CC98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拟投入的设备仪器到位承诺书</w:t>
      </w:r>
    </w:p>
    <w:p w14:paraId="101765C0">
      <w:pPr>
        <w:rPr>
          <w:rFonts w:ascii="宋体" w:hAnsi="宋体"/>
          <w:color w:val="auto"/>
          <w:highlight w:val="none"/>
        </w:rPr>
      </w:pPr>
    </w:p>
    <w:p w14:paraId="5F335B4D">
      <w:pPr>
        <w:topLinePunct/>
        <w:spacing w:line="360" w:lineRule="auto"/>
        <w:rPr>
          <w:rFonts w:ascii="宋体" w:hAnsi="宋体"/>
          <w:b/>
          <w:snapToGrid w:val="0"/>
          <w:color w:val="auto"/>
          <w:spacing w:val="4"/>
          <w:sz w:val="24"/>
          <w:szCs w:val="24"/>
          <w:highlight w:val="none"/>
        </w:rPr>
      </w:pPr>
      <w:r>
        <w:rPr>
          <w:rFonts w:hint="eastAsia" w:ascii="宋体" w:hAnsi="宋体"/>
          <w:b/>
          <w:snapToGrid w:val="0"/>
          <w:color w:val="auto"/>
          <w:spacing w:val="4"/>
          <w:sz w:val="24"/>
          <w:szCs w:val="24"/>
          <w:highlight w:val="none"/>
        </w:rPr>
        <w:t>致：广州市重点公共建设项目管理中心</w:t>
      </w:r>
    </w:p>
    <w:p w14:paraId="524E9763">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一旦我方中标，我方愿意做出如下承诺：</w:t>
      </w:r>
    </w:p>
    <w:p w14:paraId="6224CAA9">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一、我方承诺投入的设备仪器数量及类型按照投标文件所报的《拟投入本项目的通讯、办公、检测设备清单》投入。</w:t>
      </w:r>
    </w:p>
    <w:p w14:paraId="00077B07">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二、我方承诺中标后一个月内将本项目所需的监理设备仪器运送至现场，并设立专门存放地点，由专人管理。</w:t>
      </w:r>
    </w:p>
    <w:p w14:paraId="6D2ADD69">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三、若设备仪器未按我方承诺的时间内到位，我方愿意无条件按照合同约定的相关条款承担违约责任。</w:t>
      </w:r>
    </w:p>
    <w:p w14:paraId="345A9729">
      <w:pPr>
        <w:topLinePunct/>
        <w:spacing w:line="360" w:lineRule="auto"/>
        <w:ind w:firstLine="496" w:firstLineChars="200"/>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特此承诺。</w:t>
      </w:r>
    </w:p>
    <w:p w14:paraId="691222C0">
      <w:pPr>
        <w:topLinePunct/>
        <w:spacing w:line="360" w:lineRule="auto"/>
        <w:ind w:firstLine="496" w:firstLineChars="200"/>
        <w:rPr>
          <w:rFonts w:ascii="宋体" w:hAnsi="宋体"/>
          <w:snapToGrid w:val="0"/>
          <w:color w:val="auto"/>
          <w:spacing w:val="4"/>
          <w:sz w:val="24"/>
          <w:szCs w:val="24"/>
          <w:highlight w:val="none"/>
        </w:rPr>
      </w:pPr>
    </w:p>
    <w:p w14:paraId="02B84B04">
      <w:pPr>
        <w:topLinePunct/>
        <w:spacing w:line="360" w:lineRule="auto"/>
        <w:ind w:firstLine="496" w:firstLineChars="200"/>
        <w:rPr>
          <w:rFonts w:ascii="宋体" w:hAnsi="宋体"/>
          <w:snapToGrid w:val="0"/>
          <w:color w:val="auto"/>
          <w:spacing w:val="4"/>
          <w:sz w:val="24"/>
          <w:szCs w:val="24"/>
          <w:highlight w:val="none"/>
        </w:rPr>
      </w:pPr>
    </w:p>
    <w:p w14:paraId="7FABD356">
      <w:pPr>
        <w:topLinePunct/>
        <w:spacing w:line="360" w:lineRule="auto"/>
        <w:ind w:firstLine="496" w:firstLineChars="200"/>
        <w:rPr>
          <w:rFonts w:ascii="宋体" w:hAnsi="宋体"/>
          <w:snapToGrid w:val="0"/>
          <w:color w:val="auto"/>
          <w:spacing w:val="4"/>
          <w:sz w:val="24"/>
          <w:szCs w:val="24"/>
          <w:highlight w:val="none"/>
        </w:rPr>
      </w:pPr>
    </w:p>
    <w:p w14:paraId="522A9087">
      <w:pPr>
        <w:topLinePunct/>
        <w:spacing w:line="336" w:lineRule="auto"/>
        <w:ind w:firstLine="496" w:firstLineChars="200"/>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7B62F270">
      <w:pPr>
        <w:topLinePunct/>
        <w:spacing w:line="336" w:lineRule="auto"/>
        <w:ind w:firstLine="496" w:firstLineChars="2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1C511E22">
      <w:pPr>
        <w:rPr>
          <w:rFonts w:ascii="宋体" w:hAnsi="宋体"/>
          <w:color w:val="auto"/>
          <w:sz w:val="28"/>
          <w:szCs w:val="28"/>
          <w:highlight w:val="none"/>
        </w:rPr>
      </w:pPr>
    </w:p>
    <w:p w14:paraId="3EC89F25">
      <w:pPr>
        <w:rPr>
          <w:rFonts w:ascii="宋体" w:hAnsi="宋体"/>
          <w:color w:val="auto"/>
          <w:sz w:val="28"/>
          <w:szCs w:val="28"/>
          <w:highlight w:val="none"/>
        </w:rPr>
      </w:pPr>
    </w:p>
    <w:p w14:paraId="1877BC0B">
      <w:pPr>
        <w:rPr>
          <w:rFonts w:ascii="宋体" w:hAnsi="宋体"/>
          <w:color w:val="auto"/>
          <w:sz w:val="28"/>
          <w:szCs w:val="28"/>
          <w:highlight w:val="none"/>
        </w:rPr>
      </w:pPr>
    </w:p>
    <w:p w14:paraId="462EFAA2">
      <w:pPr>
        <w:widowControl/>
        <w:jc w:val="left"/>
        <w:rPr>
          <w:rFonts w:ascii="宋体" w:hAnsi="宋体"/>
          <w:color w:val="auto"/>
          <w:sz w:val="28"/>
          <w:szCs w:val="28"/>
          <w:highlight w:val="none"/>
        </w:rPr>
        <w:sectPr>
          <w:pgSz w:w="12240" w:h="15840"/>
          <w:pgMar w:top="1440" w:right="1803" w:bottom="1440" w:left="1803" w:header="720" w:footer="720" w:gutter="0"/>
          <w:pgBorders>
            <w:top w:val="none" w:sz="0" w:space="0"/>
            <w:left w:val="none" w:sz="0" w:space="0"/>
            <w:bottom w:val="none" w:sz="0" w:space="0"/>
            <w:right w:val="none" w:sz="0" w:space="0"/>
          </w:pgBorders>
          <w:pgNumType w:fmt="decimal"/>
          <w:cols w:space="0" w:num="1"/>
          <w:rtlGutter w:val="1"/>
          <w:docGrid w:linePitch="0" w:charSpace="0"/>
        </w:sectPr>
      </w:pPr>
    </w:p>
    <w:p w14:paraId="04094BA6">
      <w:pPr>
        <w:spacing w:line="360" w:lineRule="auto"/>
        <w:outlineLvl w:val="2"/>
        <w:rPr>
          <w:rFonts w:ascii="宋体" w:hAnsi="宋体"/>
          <w:b/>
          <w:strike w:val="0"/>
          <w:dstrike w:val="0"/>
          <w:color w:val="auto"/>
          <w:sz w:val="28"/>
          <w:szCs w:val="28"/>
          <w:highlight w:val="none"/>
        </w:rPr>
      </w:pPr>
      <w:bookmarkStart w:id="520" w:name="_Toc530470658"/>
      <w:bookmarkStart w:id="521" w:name="_Toc535938765"/>
      <w:r>
        <w:rPr>
          <w:rFonts w:hint="eastAsia" w:ascii="宋体" w:hAnsi="宋体"/>
          <w:b/>
          <w:color w:val="auto"/>
          <w:sz w:val="28"/>
          <w:szCs w:val="28"/>
          <w:highlight w:val="none"/>
        </w:rPr>
        <w:t>⑥</w:t>
      </w:r>
      <w:bookmarkStart w:id="522" w:name="_Hlk22687097"/>
      <w:r>
        <w:rPr>
          <w:rFonts w:hint="eastAsia" w:ascii="宋体" w:hAnsi="宋体"/>
          <w:b/>
          <w:color w:val="auto"/>
          <w:sz w:val="28"/>
          <w:szCs w:val="28"/>
          <w:highlight w:val="none"/>
        </w:rPr>
        <w:t>拟委</w:t>
      </w:r>
      <w:r>
        <w:rPr>
          <w:rFonts w:hint="eastAsia" w:ascii="宋体" w:hAnsi="宋体"/>
          <w:b/>
          <w:strike w:val="0"/>
          <w:dstrike w:val="0"/>
          <w:color w:val="auto"/>
          <w:sz w:val="28"/>
          <w:szCs w:val="28"/>
          <w:highlight w:val="none"/>
        </w:rPr>
        <w:t>派本项目驻场监理人员配备响应情况表</w:t>
      </w:r>
      <w:bookmarkEnd w:id="520"/>
      <w:bookmarkEnd w:id="521"/>
      <w:bookmarkEnd w:id="522"/>
    </w:p>
    <w:p w14:paraId="5B1B7F20">
      <w:pPr>
        <w:tabs>
          <w:tab w:val="left" w:pos="105"/>
        </w:tabs>
        <w:spacing w:line="360" w:lineRule="auto"/>
        <w:ind w:left="720"/>
        <w:jc w:val="center"/>
        <w:rPr>
          <w:rFonts w:hint="eastAsia" w:ascii="宋体" w:hAnsi="宋体"/>
          <w:b/>
          <w:strike w:val="0"/>
          <w:dstrike w:val="0"/>
          <w:color w:val="auto"/>
          <w:sz w:val="28"/>
          <w:szCs w:val="28"/>
          <w:highlight w:val="none"/>
        </w:rPr>
      </w:pPr>
      <w:r>
        <w:rPr>
          <w:rFonts w:hint="eastAsia" w:ascii="宋体" w:hAnsi="宋体"/>
          <w:b/>
          <w:strike w:val="0"/>
          <w:dstrike w:val="0"/>
          <w:color w:val="auto"/>
          <w:sz w:val="28"/>
          <w:szCs w:val="28"/>
          <w:highlight w:val="none"/>
        </w:rPr>
        <w:t>拟委派本项目驻场监理人员配备响应情况表</w:t>
      </w:r>
    </w:p>
    <w:tbl>
      <w:tblPr>
        <w:tblStyle w:val="12"/>
        <w:tblW w:w="13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2"/>
        <w:gridCol w:w="966"/>
        <w:gridCol w:w="966"/>
        <w:gridCol w:w="709"/>
        <w:gridCol w:w="4446"/>
        <w:gridCol w:w="799"/>
        <w:gridCol w:w="850"/>
        <w:gridCol w:w="1134"/>
        <w:gridCol w:w="709"/>
        <w:gridCol w:w="2126"/>
      </w:tblGrid>
      <w:tr w14:paraId="56BC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8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07451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招标人要求</w:t>
            </w:r>
          </w:p>
        </w:tc>
        <w:tc>
          <w:tcPr>
            <w:tcW w:w="2783" w:type="dxa"/>
            <w:gridSpan w:val="3"/>
            <w:tcBorders>
              <w:top w:val="single" w:color="auto" w:sz="4" w:space="0"/>
              <w:left w:val="nil"/>
              <w:bottom w:val="single" w:color="auto" w:sz="4" w:space="0"/>
              <w:right w:val="single" w:color="auto" w:sz="4" w:space="0"/>
            </w:tcBorders>
            <w:shd w:val="clear" w:color="auto" w:fill="auto"/>
            <w:vAlign w:val="center"/>
          </w:tcPr>
          <w:p w14:paraId="3CD258C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投标人拟投入人员配备情况</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14:paraId="0141F6B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差异说明</w:t>
            </w:r>
          </w:p>
        </w:tc>
        <w:tc>
          <w:tcPr>
            <w:tcW w:w="2126" w:type="dxa"/>
            <w:vMerge w:val="restart"/>
            <w:tcBorders>
              <w:top w:val="single" w:color="auto" w:sz="4" w:space="0"/>
              <w:left w:val="nil"/>
              <w:bottom w:val="single" w:color="auto" w:sz="4" w:space="0"/>
              <w:right w:val="single" w:color="auto" w:sz="4" w:space="0"/>
            </w:tcBorders>
            <w:shd w:val="clear" w:color="auto" w:fill="auto"/>
            <w:vAlign w:val="center"/>
          </w:tcPr>
          <w:p w14:paraId="58B09ACB">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备注</w:t>
            </w:r>
          </w:p>
          <w:p w14:paraId="6AA5E43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（应提供如下证明材料等）</w:t>
            </w:r>
          </w:p>
        </w:tc>
      </w:tr>
      <w:tr w14:paraId="5F31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105479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序号</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21B0E59B">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专业类别</w:t>
            </w:r>
          </w:p>
        </w:tc>
        <w:tc>
          <w:tcPr>
            <w:tcW w:w="709" w:type="dxa"/>
            <w:tcBorders>
              <w:top w:val="single" w:color="auto" w:sz="4" w:space="0"/>
              <w:left w:val="nil"/>
              <w:bottom w:val="single" w:color="auto" w:sz="4" w:space="0"/>
              <w:right w:val="single" w:color="auto" w:sz="4" w:space="0"/>
            </w:tcBorders>
            <w:shd w:val="clear" w:color="auto" w:fill="auto"/>
            <w:vAlign w:val="center"/>
          </w:tcPr>
          <w:p w14:paraId="5339D390">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数量</w:t>
            </w:r>
          </w:p>
        </w:tc>
        <w:tc>
          <w:tcPr>
            <w:tcW w:w="4446" w:type="dxa"/>
            <w:tcBorders>
              <w:top w:val="single" w:color="auto" w:sz="4" w:space="0"/>
              <w:left w:val="nil"/>
              <w:bottom w:val="single" w:color="auto" w:sz="4" w:space="0"/>
              <w:right w:val="single" w:color="auto" w:sz="4" w:space="0"/>
            </w:tcBorders>
            <w:shd w:val="clear" w:color="auto" w:fill="auto"/>
            <w:vAlign w:val="center"/>
          </w:tcPr>
          <w:p w14:paraId="04B68A56">
            <w:pPr>
              <w:keepNext w:val="0"/>
              <w:keepLines w:val="0"/>
              <w:widowControl w:val="0"/>
              <w:suppressLineNumbers w:val="0"/>
              <w:spacing w:before="0" w:beforeAutospacing="0" w:after="0" w:afterAutospacing="0"/>
              <w:ind w:left="0" w:right="0"/>
              <w:jc w:val="center"/>
              <w:rPr>
                <w:rFonts w:hint="default" w:ascii="宋体" w:hAnsi="宋体" w:eastAsia="宋体" w:cs="宋体"/>
                <w:bCs/>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基本要求</w:t>
            </w:r>
          </w:p>
        </w:tc>
        <w:tc>
          <w:tcPr>
            <w:tcW w:w="799" w:type="dxa"/>
            <w:tcBorders>
              <w:top w:val="single" w:color="auto" w:sz="4" w:space="0"/>
              <w:left w:val="nil"/>
              <w:bottom w:val="single" w:color="auto" w:sz="4" w:space="0"/>
              <w:right w:val="single" w:color="auto" w:sz="4" w:space="0"/>
            </w:tcBorders>
            <w:shd w:val="clear" w:color="auto" w:fill="auto"/>
            <w:vAlign w:val="center"/>
          </w:tcPr>
          <w:p w14:paraId="77BA3458">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专业</w:t>
            </w:r>
          </w:p>
          <w:p w14:paraId="6DC39BB7">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类别</w:t>
            </w:r>
          </w:p>
        </w:tc>
        <w:tc>
          <w:tcPr>
            <w:tcW w:w="850" w:type="dxa"/>
            <w:tcBorders>
              <w:top w:val="single" w:color="auto" w:sz="4" w:space="0"/>
              <w:left w:val="nil"/>
              <w:bottom w:val="single" w:color="auto" w:sz="4" w:space="0"/>
              <w:right w:val="single" w:color="auto" w:sz="4" w:space="0"/>
            </w:tcBorders>
            <w:shd w:val="clear" w:color="auto" w:fill="auto"/>
            <w:vAlign w:val="center"/>
          </w:tcPr>
          <w:p w14:paraId="5B28A6AD">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6EB3C9">
            <w:pPr>
              <w:keepNext w:val="0"/>
              <w:keepLines w:val="0"/>
              <w:widowControl w:val="0"/>
              <w:suppressLineNumbers w:val="0"/>
              <w:spacing w:before="0" w:beforeAutospacing="0" w:after="0" w:afterAutospacing="0"/>
              <w:ind w:left="0" w:right="0"/>
              <w:jc w:val="center"/>
              <w:rPr>
                <w:rFonts w:hint="default" w:ascii="宋体" w:hAnsi="宋体" w:eastAsia="宋体" w:cs="宋体"/>
                <w:b/>
                <w:bCs w:val="0"/>
                <w:strike w:val="0"/>
                <w:dstrike w:val="0"/>
                <w:color w:val="auto"/>
                <w:kern w:val="44"/>
                <w:sz w:val="21"/>
                <w:szCs w:val="21"/>
                <w:highlight w:val="none"/>
              </w:rPr>
            </w:pPr>
            <w:r>
              <w:rPr>
                <w:rFonts w:hint="eastAsia" w:ascii="宋体" w:hAnsi="宋体" w:eastAsia="宋体" w:cs="宋体"/>
                <w:b/>
                <w:bCs w:val="0"/>
                <w:strike w:val="0"/>
                <w:dstrike w:val="0"/>
                <w:color w:val="auto"/>
                <w:kern w:val="44"/>
                <w:sz w:val="21"/>
                <w:szCs w:val="21"/>
                <w:highlight w:val="none"/>
                <w:lang w:val="en-US" w:eastAsia="zh-CN" w:bidi="ar"/>
              </w:rPr>
              <w:t>基本要求满足情况</w:t>
            </w: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14:paraId="0CFBE1B2">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auto"/>
                <w:sz w:val="21"/>
                <w:szCs w:val="21"/>
                <w:highlight w:val="none"/>
              </w:rPr>
            </w:pPr>
          </w:p>
        </w:tc>
        <w:tc>
          <w:tcPr>
            <w:tcW w:w="2126" w:type="dxa"/>
            <w:vMerge w:val="continue"/>
            <w:tcBorders>
              <w:top w:val="single" w:color="auto" w:sz="4" w:space="0"/>
              <w:left w:val="nil"/>
              <w:bottom w:val="single" w:color="auto" w:sz="4" w:space="0"/>
              <w:right w:val="single" w:color="auto" w:sz="4" w:space="0"/>
            </w:tcBorders>
            <w:shd w:val="clear" w:color="auto" w:fill="auto"/>
            <w:vAlign w:val="center"/>
          </w:tcPr>
          <w:p w14:paraId="2311754D">
            <w:pPr>
              <w:keepNext w:val="0"/>
              <w:keepLines w:val="0"/>
              <w:suppressLineNumbers w:val="0"/>
              <w:spacing w:before="0" w:beforeAutospacing="0" w:after="0" w:afterAutospacing="0"/>
              <w:ind w:left="0" w:right="0"/>
              <w:rPr>
                <w:rFonts w:hint="default" w:ascii="Times New Roman" w:hAnsi="Times New Roman" w:cs="Times New Roman"/>
                <w:strike w:val="0"/>
                <w:dstrike w:val="0"/>
                <w:color w:val="auto"/>
                <w:sz w:val="21"/>
                <w:szCs w:val="21"/>
                <w:highlight w:val="none"/>
              </w:rPr>
            </w:pPr>
          </w:p>
        </w:tc>
      </w:tr>
      <w:tr w14:paraId="3DE1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22D29CAF">
            <w:pPr>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bCs/>
                <w:strike w:val="0"/>
                <w:dstrike w:val="0"/>
                <w:color w:val="auto"/>
                <w:spacing w:val="-10"/>
                <w:kern w:val="2"/>
                <w:sz w:val="21"/>
                <w:szCs w:val="21"/>
                <w:highlight w:val="none"/>
              </w:rPr>
            </w:pPr>
            <w:r>
              <w:rPr>
                <w:rFonts w:hint="eastAsia" w:ascii="宋体" w:hAnsi="宋体" w:eastAsia="宋体" w:cs="宋体"/>
                <w:bCs/>
                <w:strike w:val="0"/>
                <w:dstrike w:val="0"/>
                <w:color w:val="auto"/>
                <w:spacing w:val="-10"/>
                <w:kern w:val="2"/>
                <w:sz w:val="21"/>
                <w:szCs w:val="21"/>
                <w:highlight w:val="none"/>
                <w:lang w:val="en-US" w:eastAsia="zh-CN" w:bidi="ar"/>
              </w:rPr>
              <w:t>一</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79054D89">
            <w:pPr>
              <w:keepNext w:val="0"/>
              <w:keepLines w:val="0"/>
              <w:widowControl w:val="0"/>
              <w:suppressLineNumbers w:val="0"/>
              <w:spacing w:before="0" w:beforeAutospacing="0" w:after="0" w:afterAutospacing="0" w:line="240" w:lineRule="atLeast"/>
              <w:ind w:left="-361" w:leftChars="-172" w:right="0" w:firstLine="420" w:firstLineChars="200"/>
              <w:jc w:val="center"/>
              <w:rPr>
                <w:rFonts w:hint="default" w:ascii="宋体" w:hAnsi="宋体" w:eastAsia="宋体" w:cs="宋体"/>
                <w:strike w:val="0"/>
                <w:dstrike w:val="0"/>
                <w:color w:val="auto"/>
                <w:kern w:val="2"/>
                <w:sz w:val="21"/>
                <w:szCs w:val="21"/>
                <w:highlight w:val="none"/>
              </w:rPr>
            </w:pPr>
            <w:r>
              <w:rPr>
                <w:rFonts w:hint="eastAsia" w:ascii="宋体" w:hAnsi="宋体" w:cs="宋体"/>
                <w:color w:val="auto"/>
                <w:sz w:val="21"/>
                <w:szCs w:val="21"/>
                <w:highlight w:val="none"/>
              </w:rPr>
              <w:t>项目指挥长</w:t>
            </w:r>
          </w:p>
        </w:tc>
        <w:tc>
          <w:tcPr>
            <w:tcW w:w="709" w:type="dxa"/>
            <w:tcBorders>
              <w:top w:val="single" w:color="auto" w:sz="4" w:space="0"/>
              <w:left w:val="nil"/>
              <w:bottom w:val="single" w:color="auto" w:sz="4" w:space="0"/>
              <w:right w:val="single" w:color="auto" w:sz="4" w:space="0"/>
            </w:tcBorders>
            <w:shd w:val="clear" w:color="auto" w:fill="auto"/>
            <w:vAlign w:val="center"/>
          </w:tcPr>
          <w:p w14:paraId="16B6171D">
            <w:pPr>
              <w:keepNext w:val="0"/>
              <w:keepLines w:val="0"/>
              <w:widowControl w:val="0"/>
              <w:suppressLineNumbers w:val="0"/>
              <w:spacing w:before="0" w:beforeAutospacing="0" w:after="0" w:afterAutospacing="0" w:line="240" w:lineRule="atLeast"/>
              <w:ind w:left="-361" w:leftChars="-172" w:right="0" w:firstLine="420" w:firstLineChars="200"/>
              <w:jc w:val="center"/>
              <w:rPr>
                <w:rFonts w:hint="eastAsia" w:ascii="宋体" w:hAnsi="宋体" w:eastAsia="宋体" w:cs="宋体"/>
                <w:strike w:val="0"/>
                <w:dstrike w:val="0"/>
                <w:color w:val="auto"/>
                <w:kern w:val="2"/>
                <w:sz w:val="21"/>
                <w:szCs w:val="21"/>
                <w:highlight w:val="none"/>
                <w:lang w:val="en-US" w:eastAsia="zh-CN"/>
              </w:rPr>
            </w:pPr>
            <w:r>
              <w:rPr>
                <w:rFonts w:hint="eastAsia" w:ascii="宋体" w:hAnsi="宋体" w:cs="宋体"/>
                <w:strike w:val="0"/>
                <w:dstrike w:val="0"/>
                <w:color w:val="auto"/>
                <w:kern w:val="2"/>
                <w:sz w:val="21"/>
                <w:szCs w:val="21"/>
                <w:highlight w:val="none"/>
                <w:lang w:val="en-US" w:eastAsia="zh-CN"/>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7CC9385E">
            <w:pPr>
              <w:keepNext w:val="0"/>
              <w:keepLines w:val="0"/>
              <w:widowControl w:val="0"/>
              <w:suppressLineNumbers w:val="0"/>
              <w:adjustRightInd w:val="0"/>
              <w:spacing w:before="0" w:beforeAutospacing="0" w:after="0" w:afterAutospacing="0" w:line="240" w:lineRule="atLeast"/>
              <w:ind w:left="0" w:leftChars="0" w:right="0" w:rightChars="0"/>
              <w:jc w:val="both"/>
              <w:rPr>
                <w:rFonts w:hint="eastAsia" w:ascii="宋体" w:hAnsi="宋体" w:eastAsia="宋体" w:cs="宋体"/>
                <w:strike w:val="0"/>
                <w:dstrike w:val="0"/>
                <w:color w:val="auto"/>
                <w:kern w:val="0"/>
                <w:sz w:val="21"/>
                <w:szCs w:val="21"/>
                <w:highlight w:val="none"/>
                <w:lang w:val="en-US" w:eastAsia="zh-CN" w:bidi="ar-SA"/>
              </w:rPr>
            </w:pPr>
            <w:r>
              <w:rPr>
                <w:rFonts w:hint="eastAsia" w:ascii="宋体" w:hAnsi="宋体" w:cs="宋体"/>
                <w:color w:val="auto"/>
                <w:sz w:val="21"/>
                <w:szCs w:val="21"/>
                <w:highlight w:val="none"/>
              </w:rPr>
              <w:t>由投标人现任本公司副总经理、总工程师或以上行政职务</w:t>
            </w:r>
            <w:r>
              <w:rPr>
                <w:rFonts w:hint="default" w:ascii="宋体" w:hAnsi="宋体" w:cs="宋体"/>
                <w:color w:val="auto"/>
                <w:sz w:val="21"/>
                <w:szCs w:val="21"/>
                <w:highlight w:val="none"/>
              </w:rPr>
              <w:t>，并已在本公司任该职满半年或以上</w:t>
            </w:r>
            <w:r>
              <w:rPr>
                <w:rFonts w:hint="eastAsia" w:ascii="宋体" w:hAnsi="宋体" w:cs="宋体"/>
                <w:color w:val="auto"/>
                <w:sz w:val="21"/>
                <w:szCs w:val="21"/>
                <w:highlight w:val="none"/>
              </w:rPr>
              <w:t>的领导担任。</w:t>
            </w:r>
          </w:p>
        </w:tc>
        <w:tc>
          <w:tcPr>
            <w:tcW w:w="799" w:type="dxa"/>
            <w:tcBorders>
              <w:top w:val="single" w:color="auto" w:sz="4" w:space="0"/>
              <w:left w:val="nil"/>
              <w:bottom w:val="single" w:color="auto" w:sz="4" w:space="0"/>
              <w:right w:val="single" w:color="auto" w:sz="4" w:space="0"/>
            </w:tcBorders>
            <w:shd w:val="clear" w:color="auto" w:fill="auto"/>
            <w:vAlign w:val="center"/>
          </w:tcPr>
          <w:p w14:paraId="2FEE0E62">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589475E7">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8E9E321">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FA6A80A">
            <w:pPr>
              <w:keepNext w:val="0"/>
              <w:keepLines w:val="0"/>
              <w:widowControl w:val="0"/>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B5860EB">
            <w:pPr>
              <w:keepNext w:val="0"/>
              <w:keepLines w:val="0"/>
              <w:widowControl w:val="0"/>
              <w:suppressLineNumbers w:val="0"/>
              <w:spacing w:before="0" w:beforeAutospacing="0" w:after="0" w:afterAutospacing="0"/>
              <w:ind w:left="0" w:right="0"/>
              <w:jc w:val="left"/>
              <w:rPr>
                <w:rFonts w:hint="default" w:ascii="宋体" w:hAnsi="宋体" w:eastAsia="宋体" w:cs="宋体"/>
                <w:strike w:val="0"/>
                <w:dstrike w:val="0"/>
                <w:color w:val="auto"/>
                <w:kern w:val="2"/>
                <w:sz w:val="21"/>
                <w:szCs w:val="21"/>
                <w:highlight w:val="none"/>
                <w:lang w:val="en-US"/>
              </w:rPr>
            </w:pPr>
            <w:r>
              <w:rPr>
                <w:rFonts w:hint="eastAsia" w:ascii="宋体" w:hAnsi="宋体" w:cs="宋体"/>
                <w:color w:val="auto"/>
                <w:sz w:val="21"/>
                <w:szCs w:val="21"/>
                <w:highlight w:val="none"/>
                <w:lang w:val="en-US" w:eastAsia="zh-CN"/>
              </w:rPr>
              <w:t>需提供</w:t>
            </w:r>
            <w:r>
              <w:rPr>
                <w:rFonts w:hint="default" w:ascii="宋体" w:hAnsi="宋体" w:cs="宋体"/>
                <w:color w:val="auto"/>
                <w:sz w:val="21"/>
                <w:szCs w:val="21"/>
                <w:highlight w:val="none"/>
              </w:rPr>
              <w:t>公司任职证明</w:t>
            </w:r>
            <w:r>
              <w:rPr>
                <w:rFonts w:hint="eastAsia" w:ascii="宋体" w:hAnsi="宋体" w:cs="宋体"/>
                <w:color w:val="auto"/>
                <w:sz w:val="21"/>
                <w:szCs w:val="21"/>
                <w:highlight w:val="none"/>
                <w:lang w:val="en-US" w:eastAsia="zh-CN"/>
              </w:rPr>
              <w:t>扫描件。</w:t>
            </w:r>
          </w:p>
        </w:tc>
      </w:tr>
      <w:tr w14:paraId="77B8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1AADD1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二</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6122E452">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strike w:val="0"/>
                <w:dstrike w:val="0"/>
                <w:color w:val="auto"/>
                <w:kern w:val="2"/>
                <w:sz w:val="21"/>
                <w:szCs w:val="21"/>
                <w:highlight w:val="none"/>
              </w:rPr>
            </w:pPr>
            <w:r>
              <w:rPr>
                <w:rFonts w:hint="eastAsia" w:ascii="宋体" w:hAnsi="宋体"/>
                <w:bCs/>
                <w:color w:val="auto"/>
                <w:spacing w:val="-10"/>
                <w:sz w:val="21"/>
                <w:szCs w:val="21"/>
                <w:highlight w:val="none"/>
              </w:rPr>
              <w:t>总监、总监代表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23DE0447">
            <w:pPr>
              <w:keepNext w:val="0"/>
              <w:keepLines w:val="0"/>
              <w:widowControl w:val="0"/>
              <w:suppressLineNumbers w:val="0"/>
              <w:adjustRightInd w:val="0"/>
              <w:spacing w:before="0" w:beforeAutospacing="0" w:after="0" w:afterAutospacing="0" w:line="240" w:lineRule="atLeast"/>
              <w:ind w:left="0" w:right="0"/>
              <w:jc w:val="center"/>
              <w:rPr>
                <w:rFonts w:hint="default" w:ascii="宋体" w:hAnsi="宋体" w:eastAsia="宋体" w:cs="宋体"/>
                <w:strike w:val="0"/>
                <w:dstrike w:val="0"/>
                <w:color w:val="auto"/>
                <w:kern w:val="2"/>
                <w:sz w:val="21"/>
                <w:szCs w:val="21"/>
                <w:highlight w:val="none"/>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177D0653">
            <w:pPr>
              <w:keepNext w:val="0"/>
              <w:keepLines w:val="0"/>
              <w:widowControl w:val="0"/>
              <w:suppressLineNumbers w:val="0"/>
              <w:adjustRightInd w:val="0"/>
              <w:spacing w:before="0" w:beforeAutospacing="0" w:after="0" w:afterAutospacing="0" w:line="240" w:lineRule="atLeast"/>
              <w:ind w:left="0" w:right="0"/>
              <w:jc w:val="left"/>
              <w:rPr>
                <w:rFonts w:hint="eastAsia" w:ascii="宋体" w:hAnsi="宋体" w:eastAsia="宋体" w:cs="宋体"/>
                <w:strike w:val="0"/>
                <w:dstrike w:val="0"/>
                <w:color w:val="auto"/>
                <w:kern w:val="2"/>
                <w:sz w:val="21"/>
                <w:szCs w:val="21"/>
                <w:highlight w:val="none"/>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13E13ED4">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69B327AB">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C07982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52B7794D">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DE1C2C7">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4EAA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55A1B6F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2.1</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423C7954">
            <w:pPr>
              <w:rPr>
                <w:rFonts w:hint="default" w:ascii="宋体" w:hAnsi="宋体" w:eastAsia="宋体" w:cs="宋体"/>
                <w:strike w:val="0"/>
                <w:dstrike w:val="0"/>
                <w:color w:val="auto"/>
                <w:kern w:val="0"/>
                <w:sz w:val="21"/>
                <w:szCs w:val="21"/>
                <w:highlight w:val="none"/>
              </w:rPr>
            </w:pPr>
            <w:r>
              <w:rPr>
                <w:rFonts w:hint="eastAsia" w:ascii="宋体" w:hAnsi="宋体" w:cs="宋体"/>
                <w:color w:val="auto"/>
                <w:sz w:val="21"/>
                <w:szCs w:val="21"/>
                <w:highlight w:val="none"/>
              </w:rPr>
              <w:t>总监理工程师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1F4D80AF">
            <w:pPr>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color w:val="auto"/>
                <w:sz w:val="21"/>
                <w:szCs w:val="21"/>
                <w:highlight w:val="none"/>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31A6551B">
            <w:pPr>
              <w:rPr>
                <w:rFonts w:hint="eastAsia" w:ascii="宋体" w:hAnsi="宋体" w:eastAsia="宋体" w:cs="宋体"/>
                <w:strike w:val="0"/>
                <w:dstrike w:val="0"/>
                <w:color w:val="auto"/>
                <w:kern w:val="2"/>
                <w:sz w:val="21"/>
                <w:szCs w:val="21"/>
                <w:highlight w:val="none"/>
              </w:rPr>
            </w:pPr>
            <w:r>
              <w:rPr>
                <w:rFonts w:hint="eastAsia" w:ascii="宋体" w:hAnsi="宋体" w:cs="宋体"/>
                <w:color w:val="auto"/>
                <w:sz w:val="21"/>
                <w:szCs w:val="21"/>
                <w:highlight w:val="none"/>
              </w:rPr>
              <w:t>与招标公告要求一致。</w:t>
            </w:r>
          </w:p>
        </w:tc>
        <w:tc>
          <w:tcPr>
            <w:tcW w:w="799" w:type="dxa"/>
            <w:tcBorders>
              <w:top w:val="single" w:color="auto" w:sz="4" w:space="0"/>
              <w:left w:val="nil"/>
              <w:bottom w:val="single" w:color="auto" w:sz="4" w:space="0"/>
              <w:right w:val="single" w:color="auto" w:sz="4" w:space="0"/>
            </w:tcBorders>
            <w:shd w:val="clear" w:color="auto" w:fill="auto"/>
            <w:vAlign w:val="center"/>
          </w:tcPr>
          <w:p w14:paraId="6A3E505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293374D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E8716F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FFF1B2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05B9224">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auto"/>
                <w:kern w:val="2"/>
                <w:sz w:val="21"/>
                <w:szCs w:val="21"/>
                <w:highlight w:val="none"/>
              </w:rPr>
            </w:pPr>
            <w:r>
              <w:rPr>
                <w:rFonts w:hint="eastAsia" w:ascii="宋体" w:hAnsi="宋体" w:cs="宋体"/>
                <w:color w:val="auto"/>
                <w:kern w:val="0"/>
                <w:sz w:val="21"/>
                <w:szCs w:val="21"/>
                <w:highlight w:val="none"/>
                <w:lang w:val="en-US" w:eastAsia="zh-CN"/>
              </w:rPr>
              <w:t>按招标公告要求提供证明材料。</w:t>
            </w:r>
          </w:p>
        </w:tc>
      </w:tr>
      <w:tr w14:paraId="65F8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90DEE52">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2"/>
                <w:sz w:val="21"/>
                <w:szCs w:val="21"/>
                <w:highlight w:val="none"/>
                <w:lang w:val="en-US" w:eastAsia="zh-CN" w:bidi="ar"/>
              </w:rPr>
              <w:t>2.2</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48DC3E93">
            <w:pPr>
              <w:rPr>
                <w:rFonts w:hint="default" w:ascii="宋体" w:hAnsi="宋体" w:eastAsia="宋体" w:cs="宋体"/>
                <w:strike w:val="0"/>
                <w:dstrike w:val="0"/>
                <w:color w:val="auto"/>
                <w:kern w:val="0"/>
                <w:sz w:val="21"/>
                <w:szCs w:val="21"/>
                <w:highlight w:val="none"/>
              </w:rPr>
            </w:pPr>
            <w:r>
              <w:rPr>
                <w:rFonts w:hint="eastAsia" w:ascii="宋体" w:hAnsi="宋体"/>
                <w:color w:val="auto"/>
                <w:sz w:val="21"/>
                <w:szCs w:val="21"/>
                <w:highlight w:val="none"/>
              </w:rPr>
              <w:t>总监理工程师代表</w:t>
            </w:r>
          </w:p>
        </w:tc>
        <w:tc>
          <w:tcPr>
            <w:tcW w:w="709" w:type="dxa"/>
            <w:tcBorders>
              <w:top w:val="single" w:color="auto" w:sz="4" w:space="0"/>
              <w:left w:val="nil"/>
              <w:bottom w:val="single" w:color="auto" w:sz="4" w:space="0"/>
              <w:right w:val="single" w:color="auto" w:sz="4" w:space="0"/>
            </w:tcBorders>
            <w:shd w:val="clear" w:color="auto" w:fill="auto"/>
            <w:vAlign w:val="center"/>
          </w:tcPr>
          <w:p w14:paraId="312558DD">
            <w:pPr>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color w:val="auto"/>
                <w:sz w:val="21"/>
                <w:szCs w:val="21"/>
                <w:highlight w:val="none"/>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5FB2C6DD">
            <w:pPr>
              <w:rPr>
                <w:rFonts w:hint="eastAsia" w:ascii="宋体" w:hAnsi="宋体" w:eastAsia="宋体" w:cs="宋体"/>
                <w:strike w:val="0"/>
                <w:dstrike w:val="0"/>
                <w:color w:val="auto"/>
                <w:kern w:val="2"/>
                <w:sz w:val="21"/>
                <w:szCs w:val="21"/>
                <w:highlight w:val="none"/>
              </w:rPr>
            </w:pPr>
            <w:r>
              <w:rPr>
                <w:rFonts w:hint="eastAsia" w:ascii="宋体" w:hAnsi="宋体" w:cs="宋体"/>
                <w:color w:val="auto"/>
                <w:sz w:val="21"/>
                <w:szCs w:val="21"/>
                <w:highlight w:val="none"/>
              </w:rPr>
              <w:t>具有建设部2006年4月1日后颁发的中华人民共和国注册监理工程师注册执业证书，且其注册证书专业为房屋建筑工程，注册执业单位为本公司。</w:t>
            </w:r>
          </w:p>
        </w:tc>
        <w:tc>
          <w:tcPr>
            <w:tcW w:w="799" w:type="dxa"/>
            <w:tcBorders>
              <w:top w:val="single" w:color="auto" w:sz="4" w:space="0"/>
              <w:left w:val="nil"/>
              <w:bottom w:val="single" w:color="auto" w:sz="4" w:space="0"/>
              <w:right w:val="single" w:color="auto" w:sz="4" w:space="0"/>
            </w:tcBorders>
            <w:shd w:val="clear" w:color="auto" w:fill="auto"/>
            <w:vAlign w:val="center"/>
          </w:tcPr>
          <w:p w14:paraId="22092F1B">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1A6ED7D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531C896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02FFB9E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7B30B08A">
            <w:pPr>
              <w:keepNext w:val="0"/>
              <w:keepLines w:val="0"/>
              <w:widowControl/>
              <w:suppressLineNumbers w:val="0"/>
              <w:spacing w:before="0" w:beforeAutospacing="0" w:after="0" w:afterAutospacing="0"/>
              <w:ind w:left="0" w:right="0"/>
              <w:jc w:val="left"/>
              <w:rPr>
                <w:rFonts w:hint="default" w:ascii="宋体" w:hAnsi="宋体" w:eastAsia="宋体" w:cs="宋体"/>
                <w:strike w:val="0"/>
                <w:dstrike w:val="0"/>
                <w:color w:val="auto"/>
                <w:kern w:val="2"/>
                <w:sz w:val="21"/>
                <w:szCs w:val="21"/>
                <w:highlight w:val="none"/>
              </w:rPr>
            </w:pPr>
            <w:r>
              <w:rPr>
                <w:rFonts w:hint="default" w:ascii="宋体" w:hAnsi="宋体" w:eastAsia="宋体" w:cs="宋体"/>
                <w:strike w:val="0"/>
                <w:dstrike w:val="0"/>
                <w:color w:val="auto"/>
                <w:kern w:val="2"/>
                <w:sz w:val="21"/>
                <w:szCs w:val="21"/>
                <w:highlight w:val="none"/>
              </w:rPr>
              <w:t>需提供注册证扫描件。</w:t>
            </w:r>
          </w:p>
        </w:tc>
      </w:tr>
      <w:tr w14:paraId="164B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5F6C40C">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eastAsia="宋体" w:cs="宋体"/>
                <w:strike w:val="0"/>
                <w:dstrike w:val="0"/>
                <w:color w:val="auto"/>
                <w:kern w:val="0"/>
                <w:sz w:val="21"/>
                <w:szCs w:val="21"/>
                <w:highlight w:val="none"/>
                <w:lang w:val="en-US" w:eastAsia="zh-CN" w:bidi="ar"/>
              </w:rPr>
              <w:t>三</w:t>
            </w: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214F2237">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r>
              <w:rPr>
                <w:rFonts w:hint="eastAsia" w:ascii="宋体" w:hAnsi="宋体" w:cs="宋体"/>
                <w:bCs/>
                <w:color w:val="auto"/>
                <w:kern w:val="44"/>
                <w:sz w:val="21"/>
                <w:szCs w:val="21"/>
                <w:highlight w:val="none"/>
              </w:rPr>
              <w:t>专业人员</w:t>
            </w:r>
          </w:p>
        </w:tc>
        <w:tc>
          <w:tcPr>
            <w:tcW w:w="709" w:type="dxa"/>
            <w:tcBorders>
              <w:top w:val="single" w:color="auto" w:sz="4" w:space="0"/>
              <w:left w:val="nil"/>
              <w:bottom w:val="single" w:color="auto" w:sz="4" w:space="0"/>
              <w:right w:val="single" w:color="auto" w:sz="4" w:space="0"/>
            </w:tcBorders>
            <w:shd w:val="clear" w:color="auto" w:fill="auto"/>
            <w:vAlign w:val="center"/>
          </w:tcPr>
          <w:p w14:paraId="2D156103">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4446" w:type="dxa"/>
            <w:tcBorders>
              <w:top w:val="single" w:color="auto" w:sz="4" w:space="0"/>
              <w:left w:val="nil"/>
              <w:bottom w:val="single" w:color="auto" w:sz="4" w:space="0"/>
              <w:right w:val="single" w:color="auto" w:sz="4" w:space="0"/>
            </w:tcBorders>
            <w:shd w:val="clear" w:color="auto" w:fill="auto"/>
            <w:vAlign w:val="center"/>
          </w:tcPr>
          <w:p w14:paraId="4DFFEA02">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strike w:val="0"/>
                <w:dstrike w:val="0"/>
                <w:color w:val="auto"/>
                <w:kern w:val="2"/>
                <w:sz w:val="21"/>
                <w:szCs w:val="21"/>
                <w:highlight w:val="none"/>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5D9E77EF">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75FCE5C2">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F42E7C4">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17337DAE">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9AF2776">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r>
      <w:tr w14:paraId="41A9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2D8752A">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bidi="ar"/>
              </w:rPr>
              <w:t>3.1</w:t>
            </w:r>
          </w:p>
        </w:tc>
        <w:tc>
          <w:tcPr>
            <w:tcW w:w="966" w:type="dxa"/>
            <w:tcBorders>
              <w:top w:val="single" w:color="auto" w:sz="4" w:space="0"/>
              <w:left w:val="nil"/>
              <w:bottom w:val="single" w:color="auto" w:sz="4" w:space="0"/>
              <w:right w:val="single" w:color="auto" w:sz="4" w:space="0"/>
            </w:tcBorders>
            <w:shd w:val="clear" w:color="auto" w:fill="auto"/>
            <w:vAlign w:val="center"/>
          </w:tcPr>
          <w:p w14:paraId="7841BAC8">
            <w:pPr>
              <w:pStyle w:val="22"/>
              <w:keepNext w:val="0"/>
              <w:keepLines w:val="0"/>
              <w:suppressLineNumbers w:val="0"/>
              <w:spacing w:before="0" w:beforeAutospacing="0" w:after="0" w:afterAutospacing="0" w:line="240" w:lineRule="auto"/>
              <w:ind w:left="0" w:right="0"/>
              <w:jc w:val="both"/>
              <w:rPr>
                <w:rFonts w:hint="default" w:ascii="宋体" w:hAnsi="宋体" w:eastAsia="宋体" w:cs="宋体"/>
                <w:strike w:val="0"/>
                <w:dstrike w:val="0"/>
                <w:color w:val="auto"/>
                <w:kern w:val="0"/>
                <w:sz w:val="21"/>
                <w:szCs w:val="21"/>
                <w:highlight w:val="none"/>
              </w:rPr>
            </w:pPr>
            <w:r>
              <w:rPr>
                <w:rFonts w:hint="eastAsia" w:ascii="宋体" w:hAnsi="宋体" w:cs="宋体"/>
                <w:bCs/>
                <w:color w:val="auto"/>
                <w:kern w:val="44"/>
                <w:sz w:val="21"/>
                <w:szCs w:val="21"/>
                <w:highlight w:val="none"/>
              </w:rPr>
              <w:t>土建施工管理组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062ED2C7">
            <w:pPr>
              <w:rPr>
                <w:rFonts w:hint="default" w:ascii="宋体" w:hAnsi="宋体" w:eastAsia="宋体" w:cs="宋体"/>
                <w:strike w:val="0"/>
                <w:dstrike w:val="0"/>
                <w:color w:val="auto"/>
                <w:kern w:val="0"/>
                <w:sz w:val="21"/>
                <w:szCs w:val="21"/>
                <w:highlight w:val="none"/>
              </w:rPr>
            </w:pPr>
            <w:r>
              <w:rPr>
                <w:rFonts w:hint="eastAsia" w:ascii="宋体" w:hAnsi="宋体" w:cs="宋体"/>
                <w:color w:val="auto"/>
                <w:sz w:val="21"/>
                <w:szCs w:val="21"/>
                <w:highlight w:val="none"/>
              </w:rPr>
              <w:t>土建监理工程师（含装修）</w:t>
            </w:r>
          </w:p>
        </w:tc>
        <w:tc>
          <w:tcPr>
            <w:tcW w:w="709" w:type="dxa"/>
            <w:tcBorders>
              <w:top w:val="single" w:color="auto" w:sz="4" w:space="0"/>
              <w:left w:val="nil"/>
              <w:bottom w:val="single" w:color="auto" w:sz="4" w:space="0"/>
              <w:right w:val="single" w:color="auto" w:sz="4" w:space="0"/>
            </w:tcBorders>
            <w:shd w:val="clear" w:color="auto" w:fill="auto"/>
            <w:vAlign w:val="center"/>
          </w:tcPr>
          <w:p w14:paraId="66BCE0F1">
            <w:pPr>
              <w:jc w:val="center"/>
              <w:rPr>
                <w:rFonts w:hint="eastAsia" w:ascii="宋体" w:hAnsi="宋体" w:eastAsia="宋体" w:cs="宋体"/>
                <w:strike w:val="0"/>
                <w:dstrike w:val="0"/>
                <w:color w:val="auto"/>
                <w:kern w:val="0"/>
                <w:sz w:val="21"/>
                <w:szCs w:val="21"/>
                <w:highlight w:val="none"/>
                <w:lang w:val="en-US" w:eastAsia="zh-CN"/>
              </w:rPr>
            </w:pPr>
            <w:r>
              <w:rPr>
                <w:rFonts w:hint="eastAsia" w:ascii="宋体" w:hAnsi="宋体" w:cs="宋体"/>
                <w:color w:val="auto"/>
                <w:sz w:val="21"/>
                <w:szCs w:val="21"/>
                <w:highlight w:val="none"/>
                <w:lang w:val="en-US" w:eastAsia="zh-CN"/>
              </w:rPr>
              <w:t>2</w:t>
            </w:r>
          </w:p>
        </w:tc>
        <w:tc>
          <w:tcPr>
            <w:tcW w:w="4446" w:type="dxa"/>
            <w:tcBorders>
              <w:top w:val="single" w:color="auto" w:sz="4" w:space="0"/>
              <w:left w:val="nil"/>
              <w:bottom w:val="single" w:color="auto" w:sz="4" w:space="0"/>
              <w:right w:val="single" w:color="auto" w:sz="4" w:space="0"/>
            </w:tcBorders>
            <w:shd w:val="clear" w:color="auto" w:fill="auto"/>
            <w:vAlign w:val="center"/>
          </w:tcPr>
          <w:p w14:paraId="1C847FD8">
            <w:pPr>
              <w:rPr>
                <w:rFonts w:hint="eastAsia" w:asciiTheme="minorEastAsia" w:hAnsiTheme="minorEastAsia" w:eastAsiaTheme="minorEastAsia" w:cstheme="minorEastAsia"/>
                <w:strike w:val="0"/>
                <w:dstrike w:val="0"/>
                <w:color w:val="auto"/>
                <w:kern w:val="0"/>
                <w:sz w:val="21"/>
                <w:szCs w:val="21"/>
                <w:highlight w:val="none"/>
              </w:rPr>
            </w:pPr>
            <w:r>
              <w:rPr>
                <w:rFonts w:hint="eastAsia" w:ascii="宋体" w:hAnsi="宋体" w:eastAsia="宋体" w:cs="宋体"/>
                <w:strike w:val="0"/>
                <w:dstrike w:val="0"/>
                <w:color w:val="auto"/>
                <w:kern w:val="2"/>
                <w:sz w:val="21"/>
                <w:szCs w:val="21"/>
                <w:highlight w:val="none"/>
                <w:lang w:eastAsia="zh-CN"/>
              </w:rPr>
              <w:t>所学专业或职称为建筑工程（或相关）专业；具备房屋建筑工程专业注册监理工程师资格或具有中级或以上技术职称资格。</w:t>
            </w:r>
          </w:p>
        </w:tc>
        <w:tc>
          <w:tcPr>
            <w:tcW w:w="799" w:type="dxa"/>
            <w:tcBorders>
              <w:top w:val="single" w:color="auto" w:sz="4" w:space="0"/>
              <w:left w:val="nil"/>
              <w:bottom w:val="single" w:color="auto" w:sz="4" w:space="0"/>
              <w:right w:val="single" w:color="auto" w:sz="4" w:space="0"/>
            </w:tcBorders>
            <w:shd w:val="clear" w:color="auto" w:fill="auto"/>
            <w:vAlign w:val="top"/>
          </w:tcPr>
          <w:p w14:paraId="44D0270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top"/>
          </w:tcPr>
          <w:p w14:paraId="3926DF48">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7E2D615F">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0"/>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top"/>
          </w:tcPr>
          <w:p w14:paraId="0DD8FEE1">
            <w:pPr>
              <w:keepNext w:val="0"/>
              <w:keepLines w:val="0"/>
              <w:widowControl/>
              <w:suppressLineNumbers w:val="0"/>
              <w:spacing w:before="0" w:beforeAutospacing="0" w:after="0" w:afterAutospacing="0"/>
              <w:ind w:left="0" w:right="0"/>
              <w:jc w:val="center"/>
              <w:rPr>
                <w:rFonts w:hint="default" w:ascii="宋体" w:hAnsi="宋体" w:eastAsia="宋体" w:cs="宋体"/>
                <w:strike w:val="0"/>
                <w:dstrike w:val="0"/>
                <w:color w:val="auto"/>
                <w:kern w:val="0"/>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13F21571">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strike w:val="0"/>
                <w:dstrike w:val="0"/>
                <w:color w:val="auto"/>
                <w:kern w:val="2"/>
                <w:sz w:val="21"/>
                <w:szCs w:val="21"/>
                <w:highlight w:val="none"/>
              </w:rPr>
            </w:pPr>
            <w:r>
              <w:rPr>
                <w:rFonts w:hint="eastAsia" w:ascii="宋体" w:hAnsi="宋体" w:cs="宋体"/>
                <w:color w:val="auto"/>
                <w:sz w:val="21"/>
                <w:szCs w:val="21"/>
                <w:highlight w:val="none"/>
                <w:lang w:val="en-US" w:eastAsia="zh-CN"/>
              </w:rPr>
              <w:t>需提供</w:t>
            </w:r>
            <w:r>
              <w:rPr>
                <w:rFonts w:hint="eastAsia" w:ascii="宋体" w:hAnsi="宋体" w:cs="宋体"/>
                <w:color w:val="auto"/>
                <w:kern w:val="0"/>
                <w:sz w:val="21"/>
                <w:szCs w:val="21"/>
                <w:highlight w:val="none"/>
                <w:lang w:val="en-US" w:eastAsia="zh-CN"/>
              </w:rPr>
              <w:t>毕业证（或职称证或注册证）、注册证（或职称证）</w:t>
            </w:r>
            <w:r>
              <w:rPr>
                <w:rFonts w:hint="eastAsia" w:ascii="宋体" w:hAnsi="宋体" w:cs="宋体"/>
                <w:color w:val="auto"/>
                <w:sz w:val="21"/>
                <w:szCs w:val="21"/>
                <w:highlight w:val="none"/>
                <w:lang w:val="en-US" w:eastAsia="zh-CN"/>
              </w:rPr>
              <w:t>扫描件。</w:t>
            </w:r>
          </w:p>
        </w:tc>
      </w:tr>
      <w:tr w14:paraId="24CA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62" w:type="dxa"/>
            <w:vMerge w:val="restart"/>
            <w:tcBorders>
              <w:top w:val="single" w:color="auto" w:sz="4" w:space="0"/>
              <w:left w:val="single" w:color="auto" w:sz="4" w:space="0"/>
              <w:right w:val="single" w:color="auto" w:sz="4" w:space="0"/>
            </w:tcBorders>
            <w:shd w:val="clear" w:color="auto" w:fill="auto"/>
            <w:vAlign w:val="center"/>
          </w:tcPr>
          <w:p w14:paraId="7BA4BEC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w:t>
            </w:r>
          </w:p>
        </w:tc>
        <w:tc>
          <w:tcPr>
            <w:tcW w:w="966" w:type="dxa"/>
            <w:vMerge w:val="restart"/>
            <w:tcBorders>
              <w:top w:val="single" w:color="auto" w:sz="4" w:space="0"/>
              <w:left w:val="nil"/>
              <w:right w:val="single" w:color="auto" w:sz="4" w:space="0"/>
            </w:tcBorders>
            <w:shd w:val="clear" w:color="auto" w:fill="auto"/>
            <w:vAlign w:val="center"/>
          </w:tcPr>
          <w:p w14:paraId="6D3EBD30">
            <w:pPr>
              <w:keepNext w:val="0"/>
              <w:keepLines w:val="0"/>
              <w:suppressLineNumbers w:val="0"/>
              <w:adjustRightInd w:val="0"/>
              <w:snapToGrid w:val="0"/>
              <w:spacing w:before="0" w:beforeAutospacing="0" w:after="0" w:afterAutospacing="0"/>
              <w:ind w:left="0" w:leftChars="0" w:right="0" w:rightChars="0"/>
              <w:rPr>
                <w:rFonts w:hint="eastAsia" w:ascii="宋体" w:hAnsi="宋体"/>
                <w:bCs/>
                <w:color w:val="auto"/>
                <w:kern w:val="44"/>
                <w:sz w:val="21"/>
                <w:szCs w:val="21"/>
                <w:highlight w:val="none"/>
              </w:rPr>
            </w:pPr>
            <w:r>
              <w:rPr>
                <w:rFonts w:hint="eastAsia" w:ascii="宋体" w:hAnsi="宋体"/>
                <w:bCs/>
                <w:color w:val="auto"/>
                <w:kern w:val="44"/>
                <w:sz w:val="21"/>
                <w:szCs w:val="21"/>
                <w:highlight w:val="none"/>
              </w:rPr>
              <w:t>机电施工管理组</w:t>
            </w:r>
          </w:p>
        </w:tc>
        <w:tc>
          <w:tcPr>
            <w:tcW w:w="966" w:type="dxa"/>
            <w:tcBorders>
              <w:top w:val="single" w:color="auto" w:sz="4" w:space="0"/>
              <w:left w:val="nil"/>
              <w:right w:val="single" w:color="auto" w:sz="4" w:space="0"/>
            </w:tcBorders>
            <w:shd w:val="clear" w:color="auto" w:fill="auto"/>
            <w:vAlign w:val="center"/>
          </w:tcPr>
          <w:p w14:paraId="599BDF37">
            <w:pPr>
              <w:pStyle w:val="21"/>
              <w:spacing w:line="240" w:lineRule="auto"/>
              <w:ind w:firstLine="0" w:firstLineChars="0"/>
              <w:jc w:val="center"/>
              <w:rPr>
                <w:rFonts w:hint="default" w:ascii="宋体" w:hAnsi="宋体"/>
                <w:bCs/>
                <w:color w:val="auto"/>
                <w:kern w:val="44"/>
                <w:sz w:val="21"/>
                <w:szCs w:val="21"/>
                <w:highlight w:val="none"/>
              </w:rPr>
            </w:pPr>
            <w:r>
              <w:rPr>
                <w:rFonts w:hint="eastAsia"/>
                <w:color w:val="auto"/>
                <w:sz w:val="21"/>
                <w:szCs w:val="21"/>
                <w:highlight w:val="none"/>
              </w:rPr>
              <w:t>电气专业工程师</w:t>
            </w:r>
          </w:p>
        </w:tc>
        <w:tc>
          <w:tcPr>
            <w:tcW w:w="709" w:type="dxa"/>
            <w:tcBorders>
              <w:top w:val="single" w:color="auto" w:sz="4" w:space="0"/>
              <w:left w:val="nil"/>
              <w:right w:val="single" w:color="auto" w:sz="4" w:space="0"/>
            </w:tcBorders>
            <w:shd w:val="clear" w:color="auto" w:fill="auto"/>
            <w:vAlign w:val="center"/>
          </w:tcPr>
          <w:p w14:paraId="25181FD5">
            <w:pPr>
              <w:pStyle w:val="21"/>
              <w:spacing w:line="240" w:lineRule="auto"/>
              <w:ind w:firstLine="0" w:firstLineChars="0"/>
              <w:jc w:val="center"/>
              <w:rPr>
                <w:rFonts w:hint="eastAsia" w:ascii="宋体" w:hAnsi="宋体" w:cs="宋体"/>
                <w:color w:val="auto"/>
                <w:kern w:val="0"/>
                <w:sz w:val="21"/>
                <w:szCs w:val="21"/>
                <w:highlight w:val="none"/>
                <w:lang w:val="en-US" w:eastAsia="zh-CN"/>
              </w:rPr>
            </w:pPr>
            <w:r>
              <w:rPr>
                <w:rFonts w:hint="eastAsia"/>
                <w:color w:val="auto"/>
                <w:sz w:val="21"/>
                <w:szCs w:val="21"/>
                <w:highlight w:val="none"/>
                <w:lang w:val="en-US" w:eastAsia="zh-CN"/>
              </w:rPr>
              <w:t>2</w:t>
            </w:r>
          </w:p>
        </w:tc>
        <w:tc>
          <w:tcPr>
            <w:tcW w:w="4446" w:type="dxa"/>
            <w:tcBorders>
              <w:top w:val="single" w:color="auto" w:sz="4" w:space="0"/>
              <w:left w:val="nil"/>
              <w:right w:val="single" w:color="auto" w:sz="4" w:space="0"/>
            </w:tcBorders>
            <w:shd w:val="clear" w:color="auto" w:fill="auto"/>
            <w:vAlign w:val="center"/>
          </w:tcPr>
          <w:p w14:paraId="1EE97951">
            <w:pPr>
              <w:pStyle w:val="21"/>
              <w:spacing w:line="240" w:lineRule="auto"/>
              <w:ind w:firstLine="0" w:firstLineChars="0"/>
              <w:rPr>
                <w:rFonts w:hint="eastAsia" w:ascii="宋体" w:hAnsi="宋体" w:cs="宋体"/>
                <w:color w:val="auto"/>
                <w:kern w:val="0"/>
                <w:sz w:val="21"/>
                <w:szCs w:val="21"/>
                <w:highlight w:val="none"/>
              </w:rPr>
            </w:pPr>
            <w:r>
              <w:rPr>
                <w:rFonts w:hint="eastAsia"/>
                <w:color w:val="auto"/>
                <w:sz w:val="21"/>
                <w:szCs w:val="21"/>
                <w:highlight w:val="none"/>
                <w:lang w:eastAsia="zh-CN"/>
              </w:rPr>
              <w:t>所学专业或职称为电气工程（或相关）专业，具有中级或以上专业技术职称资格。</w:t>
            </w:r>
          </w:p>
        </w:tc>
        <w:tc>
          <w:tcPr>
            <w:tcW w:w="799" w:type="dxa"/>
            <w:tcBorders>
              <w:top w:val="single" w:color="auto" w:sz="4" w:space="0"/>
              <w:left w:val="nil"/>
              <w:right w:val="single" w:color="auto" w:sz="4" w:space="0"/>
            </w:tcBorders>
            <w:shd w:val="clear" w:color="auto" w:fill="auto"/>
            <w:vAlign w:val="top"/>
          </w:tcPr>
          <w:p w14:paraId="0183CDD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850" w:type="dxa"/>
            <w:tcBorders>
              <w:top w:val="single" w:color="auto" w:sz="4" w:space="0"/>
              <w:left w:val="nil"/>
              <w:right w:val="single" w:color="auto" w:sz="4" w:space="0"/>
            </w:tcBorders>
            <w:shd w:val="clear" w:color="auto" w:fill="auto"/>
            <w:vAlign w:val="top"/>
          </w:tcPr>
          <w:p w14:paraId="147B7E1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1134" w:type="dxa"/>
            <w:tcBorders>
              <w:top w:val="single" w:color="auto" w:sz="4" w:space="0"/>
              <w:left w:val="nil"/>
              <w:right w:val="single" w:color="auto" w:sz="4" w:space="0"/>
            </w:tcBorders>
            <w:shd w:val="clear" w:color="auto" w:fill="auto"/>
            <w:vAlign w:val="top"/>
          </w:tcPr>
          <w:p w14:paraId="3A54C7C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709" w:type="dxa"/>
            <w:tcBorders>
              <w:top w:val="single" w:color="auto" w:sz="4" w:space="0"/>
              <w:left w:val="nil"/>
              <w:right w:val="single" w:color="auto" w:sz="4" w:space="0"/>
            </w:tcBorders>
            <w:shd w:val="clear" w:color="auto" w:fill="auto"/>
            <w:vAlign w:val="top"/>
          </w:tcPr>
          <w:p w14:paraId="4500701D">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2126" w:type="dxa"/>
            <w:tcBorders>
              <w:top w:val="single" w:color="auto" w:sz="4" w:space="0"/>
              <w:left w:val="nil"/>
              <w:right w:val="single" w:color="auto" w:sz="4" w:space="0"/>
            </w:tcBorders>
            <w:shd w:val="clear" w:color="auto" w:fill="auto"/>
            <w:vAlign w:val="center"/>
          </w:tcPr>
          <w:p w14:paraId="7C4B52A4">
            <w:pPr>
              <w:keepNext w:val="0"/>
              <w:keepLines w:val="0"/>
              <w:suppressLineNumbers w:val="0"/>
              <w:adjustRightInd w:val="0"/>
              <w:snapToGrid w:val="0"/>
              <w:spacing w:before="0" w:beforeAutospacing="0" w:after="0" w:afterAutospacing="0"/>
              <w:ind w:left="0" w:leftChars="0" w:right="0" w:right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需提供</w:t>
            </w:r>
            <w:r>
              <w:rPr>
                <w:rFonts w:hint="eastAsia" w:ascii="宋体" w:hAnsi="宋体" w:cs="宋体"/>
                <w:color w:val="auto"/>
                <w:kern w:val="0"/>
                <w:sz w:val="21"/>
                <w:szCs w:val="21"/>
                <w:highlight w:val="none"/>
                <w:lang w:val="en-US" w:eastAsia="zh-CN"/>
              </w:rPr>
              <w:t>毕业证（或职称证或注册证）、职称证</w:t>
            </w:r>
            <w:r>
              <w:rPr>
                <w:rFonts w:hint="eastAsia" w:ascii="宋体" w:hAnsi="宋体" w:cs="宋体"/>
                <w:color w:val="auto"/>
                <w:sz w:val="21"/>
                <w:szCs w:val="21"/>
                <w:highlight w:val="none"/>
                <w:lang w:val="en-US" w:eastAsia="zh-CN"/>
              </w:rPr>
              <w:t>扫描件。</w:t>
            </w:r>
          </w:p>
        </w:tc>
      </w:tr>
      <w:tr w14:paraId="52AE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 w:hRule="atLeast"/>
          <w:jc w:val="center"/>
        </w:trPr>
        <w:tc>
          <w:tcPr>
            <w:tcW w:w="762" w:type="dxa"/>
            <w:vMerge w:val="continue"/>
            <w:tcBorders>
              <w:left w:val="single" w:color="auto" w:sz="4" w:space="0"/>
              <w:right w:val="single" w:color="auto" w:sz="4" w:space="0"/>
            </w:tcBorders>
            <w:shd w:val="clear" w:color="auto" w:fill="auto"/>
            <w:vAlign w:val="center"/>
          </w:tcPr>
          <w:p w14:paraId="65DC9C1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966" w:type="dxa"/>
            <w:vMerge w:val="continue"/>
            <w:tcBorders>
              <w:left w:val="nil"/>
              <w:right w:val="single" w:color="auto" w:sz="4" w:space="0"/>
            </w:tcBorders>
            <w:shd w:val="clear" w:color="auto" w:fill="auto"/>
            <w:vAlign w:val="center"/>
          </w:tcPr>
          <w:p w14:paraId="04BB34E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966" w:type="dxa"/>
            <w:tcBorders>
              <w:left w:val="nil"/>
              <w:right w:val="single" w:color="auto" w:sz="4" w:space="0"/>
            </w:tcBorders>
            <w:shd w:val="clear" w:color="auto" w:fill="auto"/>
            <w:vAlign w:val="center"/>
          </w:tcPr>
          <w:p w14:paraId="0BC29CA8">
            <w:pPr>
              <w:pStyle w:val="21"/>
              <w:spacing w:line="240" w:lineRule="auto"/>
              <w:ind w:firstLine="0" w:firstLineChars="0"/>
              <w:jc w:val="center"/>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rPr>
              <w:t>水</w:t>
            </w:r>
            <w:r>
              <w:rPr>
                <w:rFonts w:hint="eastAsia"/>
                <w:color w:val="auto"/>
                <w:sz w:val="21"/>
                <w:szCs w:val="21"/>
                <w:highlight w:val="none"/>
                <w:lang w:eastAsia="zh-CN"/>
              </w:rPr>
              <w:t>暖</w:t>
            </w:r>
            <w:r>
              <w:rPr>
                <w:rFonts w:hint="eastAsia"/>
                <w:color w:val="auto"/>
                <w:sz w:val="21"/>
                <w:szCs w:val="21"/>
                <w:highlight w:val="none"/>
              </w:rPr>
              <w:t>专业工程师</w:t>
            </w:r>
          </w:p>
        </w:tc>
        <w:tc>
          <w:tcPr>
            <w:tcW w:w="709" w:type="dxa"/>
            <w:tcBorders>
              <w:left w:val="nil"/>
              <w:right w:val="single" w:color="auto" w:sz="4" w:space="0"/>
            </w:tcBorders>
            <w:shd w:val="clear" w:color="auto" w:fill="auto"/>
            <w:vAlign w:val="center"/>
          </w:tcPr>
          <w:p w14:paraId="1B5FB4C6">
            <w:pPr>
              <w:pStyle w:val="21"/>
              <w:spacing w:line="240" w:lineRule="auto"/>
              <w:ind w:firstLine="0" w:firstLineChars="0"/>
              <w:jc w:val="center"/>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rPr>
              <w:t>1</w:t>
            </w:r>
          </w:p>
        </w:tc>
        <w:tc>
          <w:tcPr>
            <w:tcW w:w="4446" w:type="dxa"/>
            <w:tcBorders>
              <w:left w:val="nil"/>
              <w:right w:val="single" w:color="auto" w:sz="4" w:space="0"/>
            </w:tcBorders>
            <w:shd w:val="clear" w:color="auto" w:fill="auto"/>
            <w:vAlign w:val="center"/>
          </w:tcPr>
          <w:p w14:paraId="1D7A475B">
            <w:pPr>
              <w:pStyle w:val="21"/>
              <w:spacing w:line="240" w:lineRule="auto"/>
              <w:ind w:firstLine="0" w:firstLineChars="0"/>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eastAsia="zh-CN"/>
              </w:rPr>
              <w:t>所学专业或职称为给排水</w:t>
            </w:r>
            <w:r>
              <w:rPr>
                <w:rFonts w:hint="eastAsia" w:ascii="Calibri" w:hAnsi="Calibri" w:eastAsia="宋体" w:cs="宋体"/>
                <w:color w:val="auto"/>
                <w:kern w:val="2"/>
                <w:sz w:val="21"/>
                <w:szCs w:val="21"/>
                <w:highlight w:val="none"/>
                <w:lang w:bidi="ar"/>
              </w:rPr>
              <w:t>（或相关）</w:t>
            </w:r>
            <w:r>
              <w:rPr>
                <w:rFonts w:hint="eastAsia"/>
                <w:color w:val="auto"/>
                <w:sz w:val="21"/>
                <w:szCs w:val="21"/>
                <w:highlight w:val="none"/>
                <w:lang w:eastAsia="zh-CN"/>
              </w:rPr>
              <w:t>或暖通（或相关）专业，</w:t>
            </w:r>
            <w:r>
              <w:rPr>
                <w:color w:val="auto"/>
                <w:sz w:val="21"/>
                <w:szCs w:val="21"/>
                <w:highlight w:val="none"/>
                <w:lang w:eastAsia="zh-CN"/>
              </w:rPr>
              <w:t>具</w:t>
            </w:r>
            <w:r>
              <w:rPr>
                <w:rFonts w:hint="eastAsia"/>
                <w:color w:val="auto"/>
                <w:sz w:val="21"/>
                <w:szCs w:val="21"/>
                <w:highlight w:val="none"/>
                <w:lang w:eastAsia="zh-CN"/>
              </w:rPr>
              <w:t>有中级或以上技术职称资格。</w:t>
            </w:r>
          </w:p>
        </w:tc>
        <w:tc>
          <w:tcPr>
            <w:tcW w:w="799" w:type="dxa"/>
            <w:tcBorders>
              <w:left w:val="nil"/>
              <w:right w:val="single" w:color="auto" w:sz="4" w:space="0"/>
            </w:tcBorders>
            <w:shd w:val="clear" w:color="auto" w:fill="auto"/>
            <w:vAlign w:val="top"/>
          </w:tcPr>
          <w:p w14:paraId="4EE4D8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850" w:type="dxa"/>
            <w:tcBorders>
              <w:left w:val="nil"/>
              <w:right w:val="single" w:color="auto" w:sz="4" w:space="0"/>
            </w:tcBorders>
            <w:shd w:val="clear" w:color="auto" w:fill="auto"/>
            <w:vAlign w:val="top"/>
          </w:tcPr>
          <w:p w14:paraId="4D26D4A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1134" w:type="dxa"/>
            <w:tcBorders>
              <w:left w:val="nil"/>
              <w:right w:val="single" w:color="auto" w:sz="4" w:space="0"/>
            </w:tcBorders>
            <w:shd w:val="clear" w:color="auto" w:fill="auto"/>
            <w:vAlign w:val="top"/>
          </w:tcPr>
          <w:p w14:paraId="3A5292D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709" w:type="dxa"/>
            <w:tcBorders>
              <w:left w:val="nil"/>
              <w:right w:val="single" w:color="auto" w:sz="4" w:space="0"/>
            </w:tcBorders>
            <w:shd w:val="clear" w:color="auto" w:fill="auto"/>
            <w:vAlign w:val="top"/>
          </w:tcPr>
          <w:p w14:paraId="714183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2126" w:type="dxa"/>
            <w:tcBorders>
              <w:left w:val="nil"/>
              <w:right w:val="single" w:color="auto" w:sz="4" w:space="0"/>
            </w:tcBorders>
            <w:shd w:val="clear" w:color="auto" w:fill="auto"/>
            <w:vAlign w:val="center"/>
          </w:tcPr>
          <w:p w14:paraId="5A1704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需提供</w:t>
            </w:r>
            <w:r>
              <w:rPr>
                <w:rFonts w:hint="eastAsia" w:ascii="宋体" w:hAnsi="宋体" w:cs="宋体"/>
                <w:color w:val="auto"/>
                <w:kern w:val="0"/>
                <w:sz w:val="21"/>
                <w:szCs w:val="21"/>
                <w:highlight w:val="none"/>
                <w:lang w:val="en-US" w:eastAsia="zh-CN"/>
              </w:rPr>
              <w:t>毕业证（或职称证或注册证）、职称证</w:t>
            </w:r>
            <w:r>
              <w:rPr>
                <w:rFonts w:hint="eastAsia" w:ascii="宋体" w:hAnsi="宋体" w:cs="宋体"/>
                <w:color w:val="auto"/>
                <w:sz w:val="21"/>
                <w:szCs w:val="21"/>
                <w:highlight w:val="none"/>
                <w:lang w:val="en-US" w:eastAsia="zh-CN"/>
              </w:rPr>
              <w:t>扫描件。</w:t>
            </w:r>
          </w:p>
        </w:tc>
      </w:tr>
      <w:tr w14:paraId="64F4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62" w:type="dxa"/>
            <w:vMerge w:val="continue"/>
            <w:tcBorders>
              <w:left w:val="single" w:color="auto" w:sz="4" w:space="0"/>
              <w:right w:val="single" w:color="auto" w:sz="4" w:space="0"/>
            </w:tcBorders>
            <w:shd w:val="clear" w:color="auto" w:fill="auto"/>
            <w:vAlign w:val="center"/>
          </w:tcPr>
          <w:p w14:paraId="62D956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966" w:type="dxa"/>
            <w:vMerge w:val="continue"/>
            <w:tcBorders>
              <w:left w:val="nil"/>
              <w:right w:val="single" w:color="auto" w:sz="4" w:space="0"/>
            </w:tcBorders>
            <w:shd w:val="clear" w:color="auto" w:fill="auto"/>
            <w:vAlign w:val="center"/>
          </w:tcPr>
          <w:p w14:paraId="418C23B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966" w:type="dxa"/>
            <w:tcBorders>
              <w:left w:val="nil"/>
              <w:bottom w:val="single" w:color="auto" w:sz="4" w:space="0"/>
              <w:right w:val="single" w:color="auto" w:sz="4" w:space="0"/>
            </w:tcBorders>
            <w:shd w:val="clear" w:color="auto" w:fill="auto"/>
            <w:vAlign w:val="center"/>
          </w:tcPr>
          <w:p w14:paraId="2EFC8609">
            <w:pPr>
              <w:pStyle w:val="21"/>
              <w:spacing w:line="240" w:lineRule="auto"/>
              <w:ind w:firstLine="0" w:firstLineChars="0"/>
              <w:jc w:val="center"/>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eastAsia="zh-CN"/>
              </w:rPr>
              <w:t>市政园林</w:t>
            </w:r>
            <w:r>
              <w:rPr>
                <w:color w:val="auto"/>
                <w:sz w:val="21"/>
                <w:szCs w:val="21"/>
                <w:highlight w:val="none"/>
                <w:lang w:eastAsia="zh-CN"/>
              </w:rPr>
              <w:t>专业</w:t>
            </w:r>
            <w:r>
              <w:rPr>
                <w:rFonts w:hint="eastAsia"/>
                <w:color w:val="auto"/>
                <w:sz w:val="21"/>
                <w:szCs w:val="21"/>
                <w:highlight w:val="none"/>
                <w:lang w:eastAsia="zh-CN"/>
              </w:rPr>
              <w:t>工程师</w:t>
            </w:r>
          </w:p>
        </w:tc>
        <w:tc>
          <w:tcPr>
            <w:tcW w:w="709" w:type="dxa"/>
            <w:tcBorders>
              <w:left w:val="nil"/>
              <w:bottom w:val="single" w:color="auto" w:sz="4" w:space="0"/>
              <w:right w:val="single" w:color="auto" w:sz="4" w:space="0"/>
            </w:tcBorders>
            <w:shd w:val="clear" w:color="auto" w:fill="auto"/>
            <w:vAlign w:val="center"/>
          </w:tcPr>
          <w:p w14:paraId="1A4B9F50">
            <w:pPr>
              <w:pStyle w:val="21"/>
              <w:spacing w:line="240" w:lineRule="auto"/>
              <w:ind w:firstLine="0" w:firstLineChars="0"/>
              <w:jc w:val="center"/>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eastAsia="zh-CN"/>
              </w:rPr>
              <w:t>1</w:t>
            </w:r>
          </w:p>
        </w:tc>
        <w:tc>
          <w:tcPr>
            <w:tcW w:w="4446" w:type="dxa"/>
            <w:tcBorders>
              <w:left w:val="nil"/>
              <w:bottom w:val="single" w:color="auto" w:sz="4" w:space="0"/>
              <w:right w:val="single" w:color="auto" w:sz="4" w:space="0"/>
            </w:tcBorders>
            <w:shd w:val="clear" w:color="auto" w:fill="auto"/>
            <w:vAlign w:val="center"/>
          </w:tcPr>
          <w:p w14:paraId="4F8A63D7">
            <w:pPr>
              <w:pStyle w:val="21"/>
              <w:spacing w:line="240" w:lineRule="auto"/>
              <w:ind w:firstLine="0" w:firstLineChars="0"/>
              <w:rPr>
                <w:rFonts w:hint="eastAsia" w:ascii="宋体" w:hAnsi="宋体" w:eastAsia="宋体" w:cs="宋体"/>
                <w:color w:val="auto"/>
                <w:kern w:val="0"/>
                <w:sz w:val="21"/>
                <w:szCs w:val="21"/>
                <w:highlight w:val="none"/>
                <w:lang w:val="en-US" w:eastAsia="zh-CN" w:bidi="ar"/>
              </w:rPr>
            </w:pPr>
            <w:r>
              <w:rPr>
                <w:rFonts w:hint="eastAsia"/>
                <w:color w:val="auto"/>
                <w:sz w:val="21"/>
                <w:szCs w:val="21"/>
                <w:highlight w:val="none"/>
                <w:lang w:eastAsia="zh-CN"/>
              </w:rPr>
              <w:t>所学专业或职称为</w:t>
            </w:r>
            <w:r>
              <w:rPr>
                <w:rFonts w:hint="eastAsia" w:ascii="Calibri" w:hAnsi="Calibri" w:eastAsia="宋体" w:cs="宋体"/>
                <w:color w:val="auto"/>
                <w:kern w:val="2"/>
                <w:sz w:val="21"/>
                <w:szCs w:val="21"/>
                <w:highlight w:val="none"/>
                <w:lang w:bidi="ar"/>
              </w:rPr>
              <w:t>市政公用（或相关）或建筑工程（或相关）</w:t>
            </w:r>
            <w:r>
              <w:rPr>
                <w:rFonts w:hint="eastAsia" w:ascii="Calibri" w:hAnsi="Calibri" w:cs="宋体"/>
                <w:color w:val="auto"/>
                <w:kern w:val="2"/>
                <w:sz w:val="21"/>
                <w:szCs w:val="21"/>
                <w:highlight w:val="none"/>
                <w:lang w:val="en-US" w:eastAsia="zh-CN" w:bidi="ar"/>
              </w:rPr>
              <w:t>或</w:t>
            </w:r>
            <w:r>
              <w:rPr>
                <w:rFonts w:hint="eastAsia" w:ascii="Calibri" w:hAnsi="Calibri" w:eastAsia="宋体" w:cs="宋体"/>
                <w:color w:val="auto"/>
                <w:kern w:val="2"/>
                <w:sz w:val="21"/>
                <w:szCs w:val="21"/>
                <w:highlight w:val="none"/>
                <w:lang w:bidi="ar"/>
              </w:rPr>
              <w:t>园林绿化（或相关）</w:t>
            </w:r>
            <w:r>
              <w:rPr>
                <w:rFonts w:hint="eastAsia"/>
                <w:color w:val="auto"/>
                <w:sz w:val="21"/>
                <w:szCs w:val="21"/>
                <w:highlight w:val="none"/>
                <w:lang w:eastAsia="zh-CN"/>
              </w:rPr>
              <w:t>专业，具有中级或以上技术职称资格。</w:t>
            </w:r>
          </w:p>
        </w:tc>
        <w:tc>
          <w:tcPr>
            <w:tcW w:w="799" w:type="dxa"/>
            <w:tcBorders>
              <w:left w:val="nil"/>
              <w:bottom w:val="single" w:color="auto" w:sz="4" w:space="0"/>
              <w:right w:val="single" w:color="auto" w:sz="4" w:space="0"/>
            </w:tcBorders>
            <w:shd w:val="clear" w:color="auto" w:fill="auto"/>
            <w:vAlign w:val="top"/>
          </w:tcPr>
          <w:p w14:paraId="56EFD9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850" w:type="dxa"/>
            <w:tcBorders>
              <w:left w:val="nil"/>
              <w:bottom w:val="single" w:color="auto" w:sz="4" w:space="0"/>
              <w:right w:val="single" w:color="auto" w:sz="4" w:space="0"/>
            </w:tcBorders>
            <w:shd w:val="clear" w:color="auto" w:fill="auto"/>
            <w:vAlign w:val="top"/>
          </w:tcPr>
          <w:p w14:paraId="7A6C062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1134" w:type="dxa"/>
            <w:tcBorders>
              <w:left w:val="nil"/>
              <w:bottom w:val="single" w:color="auto" w:sz="4" w:space="0"/>
              <w:right w:val="single" w:color="auto" w:sz="4" w:space="0"/>
            </w:tcBorders>
            <w:shd w:val="clear" w:color="auto" w:fill="auto"/>
            <w:vAlign w:val="top"/>
          </w:tcPr>
          <w:p w14:paraId="3CCFE12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709" w:type="dxa"/>
            <w:tcBorders>
              <w:left w:val="nil"/>
              <w:bottom w:val="single" w:color="auto" w:sz="4" w:space="0"/>
              <w:right w:val="single" w:color="auto" w:sz="4" w:space="0"/>
            </w:tcBorders>
            <w:shd w:val="clear" w:color="auto" w:fill="auto"/>
            <w:vAlign w:val="top"/>
          </w:tcPr>
          <w:p w14:paraId="7EB674C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2126" w:type="dxa"/>
            <w:tcBorders>
              <w:left w:val="nil"/>
              <w:bottom w:val="single" w:color="auto" w:sz="4" w:space="0"/>
              <w:right w:val="single" w:color="auto" w:sz="4" w:space="0"/>
            </w:tcBorders>
            <w:shd w:val="clear" w:color="auto" w:fill="auto"/>
            <w:vAlign w:val="center"/>
          </w:tcPr>
          <w:p w14:paraId="2B03D4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需提供</w:t>
            </w:r>
            <w:r>
              <w:rPr>
                <w:rFonts w:hint="eastAsia" w:ascii="宋体" w:hAnsi="宋体" w:cs="宋体"/>
                <w:color w:val="auto"/>
                <w:kern w:val="0"/>
                <w:sz w:val="21"/>
                <w:szCs w:val="21"/>
                <w:highlight w:val="none"/>
                <w:lang w:val="en-US" w:eastAsia="zh-CN"/>
              </w:rPr>
              <w:t>毕业证（或职称证或注册证）、职称证</w:t>
            </w:r>
            <w:r>
              <w:rPr>
                <w:rFonts w:hint="eastAsia" w:ascii="宋体" w:hAnsi="宋体" w:cs="宋体"/>
                <w:color w:val="auto"/>
                <w:sz w:val="21"/>
                <w:szCs w:val="21"/>
                <w:highlight w:val="none"/>
                <w:lang w:val="en-US" w:eastAsia="zh-CN"/>
              </w:rPr>
              <w:t>扫描件。</w:t>
            </w:r>
          </w:p>
        </w:tc>
      </w:tr>
      <w:tr w14:paraId="2DE1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04286B22">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3</w:t>
            </w:r>
          </w:p>
        </w:tc>
        <w:tc>
          <w:tcPr>
            <w:tcW w:w="966" w:type="dxa"/>
            <w:tcBorders>
              <w:top w:val="single" w:color="auto" w:sz="4" w:space="0"/>
              <w:left w:val="nil"/>
              <w:bottom w:val="single" w:color="auto" w:sz="4" w:space="0"/>
              <w:right w:val="single" w:color="auto" w:sz="4" w:space="0"/>
            </w:tcBorders>
            <w:shd w:val="clear" w:color="auto" w:fill="auto"/>
            <w:vAlign w:val="center"/>
          </w:tcPr>
          <w:p w14:paraId="11CB30A0">
            <w:pPr>
              <w:pStyle w:val="22"/>
              <w:keepNext w:val="0"/>
              <w:keepLines w:val="0"/>
              <w:suppressLineNumbers w:val="0"/>
              <w:spacing w:before="0" w:beforeAutospacing="0" w:after="0" w:afterAutospacing="0" w:line="240" w:lineRule="auto"/>
              <w:ind w:left="0" w:leftChars="0" w:right="0" w:rightChars="0"/>
              <w:jc w:val="both"/>
              <w:rPr>
                <w:rFonts w:hint="default" w:ascii="宋体" w:hAnsi="宋体" w:eastAsia="宋体" w:cs="Calibri"/>
                <w:bCs/>
                <w:color w:val="auto"/>
                <w:kern w:val="44"/>
                <w:sz w:val="21"/>
                <w:szCs w:val="21"/>
                <w:highlight w:val="none"/>
                <w:lang w:val="en-US" w:eastAsia="zh-CN" w:bidi="ar-SA"/>
              </w:rPr>
            </w:pPr>
            <w:r>
              <w:rPr>
                <w:rFonts w:hint="eastAsia" w:ascii="宋体" w:hAnsi="宋体" w:cs="宋体"/>
                <w:bCs/>
                <w:color w:val="auto"/>
                <w:kern w:val="44"/>
                <w:sz w:val="21"/>
                <w:szCs w:val="21"/>
                <w:highlight w:val="none"/>
              </w:rPr>
              <w:t>安全与职业健康组</w:t>
            </w:r>
          </w:p>
        </w:tc>
        <w:tc>
          <w:tcPr>
            <w:tcW w:w="966" w:type="dxa"/>
            <w:tcBorders>
              <w:top w:val="single" w:color="auto" w:sz="4" w:space="0"/>
              <w:left w:val="nil"/>
              <w:bottom w:val="single" w:color="auto" w:sz="4" w:space="0"/>
              <w:right w:val="single" w:color="auto" w:sz="4" w:space="0"/>
            </w:tcBorders>
            <w:shd w:val="clear" w:color="auto" w:fill="auto"/>
            <w:vAlign w:val="center"/>
          </w:tcPr>
          <w:p w14:paraId="45E8976A">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auto"/>
                <w:kern w:val="44"/>
                <w:sz w:val="21"/>
                <w:szCs w:val="21"/>
                <w:highlight w:val="none"/>
                <w:lang w:val="en-US" w:eastAsia="zh-CN" w:bidi="ar-SA"/>
              </w:rPr>
            </w:pPr>
            <w:r>
              <w:rPr>
                <w:rFonts w:hint="eastAsia" w:ascii="宋体" w:hAnsi="宋体"/>
                <w:bCs/>
                <w:color w:val="auto"/>
                <w:kern w:val="44"/>
                <w:sz w:val="21"/>
                <w:szCs w:val="21"/>
                <w:highlight w:val="none"/>
              </w:rPr>
              <w:t>安全工程师</w:t>
            </w:r>
          </w:p>
        </w:tc>
        <w:tc>
          <w:tcPr>
            <w:tcW w:w="709" w:type="dxa"/>
            <w:tcBorders>
              <w:top w:val="single" w:color="auto" w:sz="4" w:space="0"/>
              <w:left w:val="nil"/>
              <w:bottom w:val="single" w:color="auto" w:sz="4" w:space="0"/>
              <w:right w:val="single" w:color="auto" w:sz="4" w:space="0"/>
            </w:tcBorders>
            <w:shd w:val="clear" w:color="auto" w:fill="auto"/>
            <w:vAlign w:val="center"/>
          </w:tcPr>
          <w:p w14:paraId="6EDECC08">
            <w:pPr>
              <w:keepNext w:val="0"/>
              <w:keepLines w:val="0"/>
              <w:widowControl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4446" w:type="dxa"/>
            <w:tcBorders>
              <w:top w:val="single" w:color="auto" w:sz="4" w:space="0"/>
              <w:left w:val="nil"/>
              <w:bottom w:val="single" w:color="auto" w:sz="4" w:space="0"/>
              <w:right w:val="single" w:color="auto" w:sz="4" w:space="0"/>
            </w:tcBorders>
            <w:shd w:val="clear" w:color="auto" w:fill="auto"/>
            <w:vAlign w:val="center"/>
          </w:tcPr>
          <w:p w14:paraId="271C3885">
            <w:pPr>
              <w:keepNext w:val="0"/>
              <w:keepLines w:val="0"/>
              <w:suppressLineNumbers w:val="0"/>
              <w:adjustRightInd w:val="0"/>
              <w:snapToGrid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具有安全培训证书或上岗证或注册安全工程师资格</w:t>
            </w:r>
            <w:r>
              <w:rPr>
                <w:rFonts w:hint="eastAsia" w:ascii="宋体" w:hAnsi="宋体" w:eastAsia="宋体" w:cs="宋体"/>
                <w:color w:val="auto"/>
                <w:kern w:val="0"/>
                <w:sz w:val="21"/>
                <w:szCs w:val="21"/>
                <w:highlight w:val="none"/>
              </w:rPr>
              <w:t>。</w:t>
            </w:r>
          </w:p>
        </w:tc>
        <w:tc>
          <w:tcPr>
            <w:tcW w:w="799" w:type="dxa"/>
            <w:tcBorders>
              <w:top w:val="single" w:color="auto" w:sz="4" w:space="0"/>
              <w:left w:val="nil"/>
              <w:bottom w:val="single" w:color="auto" w:sz="4" w:space="0"/>
              <w:right w:val="single" w:color="auto" w:sz="4" w:space="0"/>
            </w:tcBorders>
            <w:shd w:val="clear" w:color="auto" w:fill="auto"/>
            <w:vAlign w:val="top"/>
          </w:tcPr>
          <w:p w14:paraId="737E754F">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top"/>
          </w:tcPr>
          <w:p w14:paraId="6DA6E77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top"/>
          </w:tcPr>
          <w:p w14:paraId="13DD3A9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top"/>
          </w:tcPr>
          <w:p w14:paraId="5702048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4F2632A8">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需提供</w:t>
            </w:r>
            <w:r>
              <w:rPr>
                <w:rFonts w:hint="eastAsia" w:ascii="宋体" w:hAnsi="宋体" w:eastAsia="宋体" w:cs="宋体"/>
                <w:color w:val="auto"/>
                <w:kern w:val="0"/>
                <w:sz w:val="21"/>
                <w:szCs w:val="21"/>
                <w:highlight w:val="none"/>
                <w:lang w:val="en-US" w:eastAsia="zh-CN"/>
              </w:rPr>
              <w:t>上岗证（或培训证）</w:t>
            </w:r>
            <w:r>
              <w:rPr>
                <w:rFonts w:hint="default" w:ascii="宋体" w:hAnsi="宋体" w:cs="宋体"/>
                <w:color w:val="auto"/>
                <w:kern w:val="0"/>
                <w:sz w:val="21"/>
                <w:szCs w:val="21"/>
                <w:highlight w:val="none"/>
                <w:lang w:eastAsia="zh-CN"/>
              </w:rPr>
              <w:t>或注册安全工程师证书</w:t>
            </w:r>
            <w:r>
              <w:rPr>
                <w:rFonts w:hint="eastAsia" w:ascii="宋体" w:hAnsi="宋体" w:eastAsia="宋体" w:cs="宋体"/>
                <w:color w:val="auto"/>
                <w:sz w:val="21"/>
                <w:szCs w:val="21"/>
                <w:highlight w:val="none"/>
                <w:lang w:val="en-US" w:eastAsia="zh-CN"/>
              </w:rPr>
              <w:t>扫描件。</w:t>
            </w:r>
          </w:p>
        </w:tc>
      </w:tr>
      <w:tr w14:paraId="7AED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62" w:type="dxa"/>
            <w:vMerge w:val="restart"/>
            <w:tcBorders>
              <w:top w:val="single" w:color="auto" w:sz="4" w:space="0"/>
              <w:left w:val="single" w:color="auto" w:sz="4" w:space="0"/>
              <w:right w:val="single" w:color="auto" w:sz="4" w:space="0"/>
            </w:tcBorders>
            <w:shd w:val="clear" w:color="auto" w:fill="auto"/>
            <w:vAlign w:val="center"/>
          </w:tcPr>
          <w:p w14:paraId="3A682E6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val="en-US" w:eastAsia="zh-CN" w:bidi="ar"/>
              </w:rPr>
              <w:t>4</w:t>
            </w:r>
          </w:p>
        </w:tc>
        <w:tc>
          <w:tcPr>
            <w:tcW w:w="966" w:type="dxa"/>
            <w:vMerge w:val="restart"/>
            <w:tcBorders>
              <w:top w:val="single" w:color="auto" w:sz="4" w:space="0"/>
              <w:left w:val="nil"/>
              <w:right w:val="single" w:color="auto" w:sz="4" w:space="0"/>
            </w:tcBorders>
            <w:shd w:val="clear" w:color="auto" w:fill="auto"/>
            <w:vAlign w:val="center"/>
          </w:tcPr>
          <w:p w14:paraId="7D69B4EC">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auto"/>
                <w:kern w:val="44"/>
                <w:sz w:val="21"/>
                <w:szCs w:val="21"/>
                <w:highlight w:val="none"/>
                <w:lang w:val="en-US" w:eastAsia="zh-CN" w:bidi="ar-SA"/>
              </w:rPr>
            </w:pPr>
            <w:r>
              <w:rPr>
                <w:rFonts w:hint="eastAsia" w:ascii="宋体" w:hAnsi="宋体"/>
                <w:bCs/>
                <w:color w:val="auto"/>
                <w:kern w:val="44"/>
                <w:sz w:val="21"/>
                <w:szCs w:val="21"/>
                <w:highlight w:val="none"/>
              </w:rPr>
              <w:t>合同造价管理组</w:t>
            </w:r>
          </w:p>
        </w:tc>
        <w:tc>
          <w:tcPr>
            <w:tcW w:w="966" w:type="dxa"/>
            <w:tcBorders>
              <w:top w:val="single" w:color="auto" w:sz="4" w:space="0"/>
              <w:left w:val="nil"/>
              <w:right w:val="single" w:color="auto" w:sz="4" w:space="0"/>
            </w:tcBorders>
            <w:shd w:val="clear" w:color="auto" w:fill="auto"/>
            <w:vAlign w:val="center"/>
          </w:tcPr>
          <w:p w14:paraId="027C5777">
            <w:pPr>
              <w:rPr>
                <w:rFonts w:hint="default" w:ascii="宋体" w:hAnsi="宋体"/>
                <w:bCs/>
                <w:color w:val="auto"/>
                <w:kern w:val="44"/>
                <w:sz w:val="21"/>
                <w:szCs w:val="21"/>
                <w:highlight w:val="none"/>
              </w:rPr>
            </w:pPr>
            <w:r>
              <w:rPr>
                <w:rFonts w:hint="eastAsia" w:ascii="宋体" w:hAnsi="宋体" w:cs="宋体"/>
                <w:color w:val="auto"/>
                <w:sz w:val="21"/>
                <w:szCs w:val="21"/>
                <w:highlight w:val="none"/>
              </w:rPr>
              <w:t>造价</w:t>
            </w:r>
            <w:r>
              <w:rPr>
                <w:rFonts w:hint="eastAsia" w:ascii="宋体" w:hAnsi="宋体" w:cs="宋体"/>
                <w:b w:val="0"/>
                <w:bCs w:val="0"/>
                <w:color w:val="auto"/>
                <w:sz w:val="21"/>
                <w:szCs w:val="21"/>
                <w:highlight w:val="none"/>
                <w:woUserID w:val="1"/>
              </w:rPr>
              <w:t>工程师</w:t>
            </w:r>
          </w:p>
        </w:tc>
        <w:tc>
          <w:tcPr>
            <w:tcW w:w="709" w:type="dxa"/>
            <w:tcBorders>
              <w:top w:val="single" w:color="auto" w:sz="4" w:space="0"/>
              <w:left w:val="nil"/>
              <w:right w:val="single" w:color="auto" w:sz="4" w:space="0"/>
            </w:tcBorders>
            <w:shd w:val="clear" w:color="auto" w:fill="auto"/>
            <w:vAlign w:val="center"/>
          </w:tcPr>
          <w:p w14:paraId="053E3D51">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2</w:t>
            </w:r>
          </w:p>
        </w:tc>
        <w:tc>
          <w:tcPr>
            <w:tcW w:w="4446" w:type="dxa"/>
            <w:tcBorders>
              <w:top w:val="single" w:color="auto" w:sz="4" w:space="0"/>
              <w:left w:val="nil"/>
              <w:right w:val="single" w:color="auto" w:sz="4" w:space="0"/>
            </w:tcBorders>
            <w:shd w:val="clear" w:color="auto" w:fill="auto"/>
            <w:vAlign w:val="center"/>
          </w:tcPr>
          <w:p w14:paraId="0197530F">
            <w:pPr>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lang w:eastAsia="zh-CN"/>
              </w:rPr>
              <w:t>具有注册造价工程师资格</w:t>
            </w:r>
            <w:r>
              <w:rPr>
                <w:rFonts w:hint="default" w:ascii="宋体" w:hAnsi="宋体" w:cs="宋体"/>
                <w:color w:val="auto"/>
                <w:kern w:val="0"/>
                <w:sz w:val="21"/>
                <w:szCs w:val="21"/>
                <w:highlight w:val="none"/>
                <w:lang w:val="en-US" w:eastAsia="zh-CN"/>
              </w:rPr>
              <w:t>或一级注册造价师资格</w:t>
            </w:r>
            <w:r>
              <w:rPr>
                <w:rFonts w:hint="default" w:ascii="宋体" w:hAnsi="宋体" w:cs="宋体"/>
                <w:color w:val="auto"/>
                <w:kern w:val="0"/>
                <w:sz w:val="21"/>
                <w:szCs w:val="21"/>
                <w:highlight w:val="none"/>
                <w:lang w:eastAsia="zh-CN"/>
              </w:rPr>
              <w:t>，土建、安装专业各1人。</w:t>
            </w:r>
          </w:p>
        </w:tc>
        <w:tc>
          <w:tcPr>
            <w:tcW w:w="799" w:type="dxa"/>
            <w:tcBorders>
              <w:top w:val="single" w:color="auto" w:sz="4" w:space="0"/>
              <w:left w:val="nil"/>
              <w:right w:val="single" w:color="auto" w:sz="4" w:space="0"/>
            </w:tcBorders>
            <w:shd w:val="clear" w:color="auto" w:fill="auto"/>
            <w:vAlign w:val="top"/>
          </w:tcPr>
          <w:p w14:paraId="79767A2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850" w:type="dxa"/>
            <w:tcBorders>
              <w:top w:val="single" w:color="auto" w:sz="4" w:space="0"/>
              <w:left w:val="nil"/>
              <w:right w:val="single" w:color="auto" w:sz="4" w:space="0"/>
            </w:tcBorders>
            <w:shd w:val="clear" w:color="auto" w:fill="auto"/>
            <w:vAlign w:val="top"/>
          </w:tcPr>
          <w:p w14:paraId="0B3B0E9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1134" w:type="dxa"/>
            <w:tcBorders>
              <w:top w:val="single" w:color="auto" w:sz="4" w:space="0"/>
              <w:left w:val="nil"/>
              <w:right w:val="single" w:color="auto" w:sz="4" w:space="0"/>
            </w:tcBorders>
            <w:shd w:val="clear" w:color="auto" w:fill="auto"/>
            <w:vAlign w:val="top"/>
          </w:tcPr>
          <w:p w14:paraId="4A63230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709" w:type="dxa"/>
            <w:tcBorders>
              <w:top w:val="single" w:color="auto" w:sz="4" w:space="0"/>
              <w:left w:val="nil"/>
              <w:right w:val="single" w:color="auto" w:sz="4" w:space="0"/>
            </w:tcBorders>
            <w:shd w:val="clear" w:color="auto" w:fill="auto"/>
            <w:vAlign w:val="top"/>
          </w:tcPr>
          <w:p w14:paraId="73D5C227">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2126" w:type="dxa"/>
            <w:tcBorders>
              <w:top w:val="single" w:color="auto" w:sz="4" w:space="0"/>
              <w:left w:val="nil"/>
              <w:right w:val="single" w:color="auto" w:sz="4" w:space="0"/>
            </w:tcBorders>
            <w:shd w:val="clear" w:color="auto" w:fill="auto"/>
            <w:vAlign w:val="center"/>
          </w:tcPr>
          <w:p w14:paraId="0C0A067A">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需提供注册证扫描件。</w:t>
            </w:r>
          </w:p>
        </w:tc>
      </w:tr>
      <w:tr w14:paraId="698B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62" w:type="dxa"/>
            <w:vMerge w:val="continue"/>
            <w:tcBorders>
              <w:left w:val="single" w:color="auto" w:sz="4" w:space="0"/>
              <w:right w:val="single" w:color="auto" w:sz="4" w:space="0"/>
            </w:tcBorders>
            <w:shd w:val="clear" w:color="auto" w:fill="auto"/>
            <w:vAlign w:val="center"/>
          </w:tcPr>
          <w:p w14:paraId="31C7C77E">
            <w:pPr>
              <w:rPr>
                <w:color w:val="auto"/>
                <w:szCs w:val="21"/>
                <w:highlight w:val="none"/>
              </w:rPr>
            </w:pPr>
          </w:p>
        </w:tc>
        <w:tc>
          <w:tcPr>
            <w:tcW w:w="966" w:type="dxa"/>
            <w:vMerge w:val="continue"/>
            <w:tcBorders>
              <w:left w:val="nil"/>
              <w:right w:val="single" w:color="auto" w:sz="4" w:space="0"/>
            </w:tcBorders>
            <w:shd w:val="clear" w:color="auto" w:fill="auto"/>
            <w:vAlign w:val="center"/>
          </w:tcPr>
          <w:p w14:paraId="1919A18F">
            <w:pPr>
              <w:rPr>
                <w:color w:val="auto"/>
                <w:szCs w:val="21"/>
                <w:highlight w:val="none"/>
              </w:rPr>
            </w:pPr>
          </w:p>
        </w:tc>
        <w:tc>
          <w:tcPr>
            <w:tcW w:w="966" w:type="dxa"/>
            <w:tcBorders>
              <w:top w:val="single" w:color="auto" w:sz="4" w:space="0"/>
              <w:left w:val="nil"/>
              <w:right w:val="single" w:color="auto" w:sz="4" w:space="0"/>
            </w:tcBorders>
            <w:shd w:val="clear" w:color="auto" w:fill="auto"/>
            <w:vAlign w:val="center"/>
          </w:tcPr>
          <w:p w14:paraId="5142FE76">
            <w:pPr>
              <w:rPr>
                <w:rFonts w:hint="eastAsia" w:ascii="宋体" w:hAnsi="宋体" w:cs="宋体"/>
                <w:color w:val="auto"/>
                <w:sz w:val="21"/>
                <w:szCs w:val="21"/>
                <w:highlight w:val="none"/>
              </w:rPr>
            </w:pPr>
            <w:r>
              <w:rPr>
                <w:rFonts w:hint="eastAsia" w:ascii="宋体" w:hAnsi="宋体" w:cs="宋体"/>
                <w:b w:val="0"/>
                <w:bCs w:val="0"/>
                <w:color w:val="auto"/>
                <w:sz w:val="21"/>
                <w:szCs w:val="21"/>
                <w:highlight w:val="none"/>
                <w:lang w:eastAsia="zh-CN"/>
              </w:rPr>
              <w:t>驻场土建</w:t>
            </w:r>
            <w:r>
              <w:rPr>
                <w:rFonts w:hint="eastAsia" w:ascii="宋体" w:hAnsi="宋体" w:cs="宋体"/>
                <w:b w:val="0"/>
                <w:bCs w:val="0"/>
                <w:color w:val="auto"/>
                <w:sz w:val="21"/>
                <w:szCs w:val="21"/>
                <w:highlight w:val="none"/>
              </w:rPr>
              <w:t>造价工程师</w:t>
            </w:r>
          </w:p>
        </w:tc>
        <w:tc>
          <w:tcPr>
            <w:tcW w:w="709" w:type="dxa"/>
            <w:tcBorders>
              <w:left w:val="nil"/>
              <w:right w:val="single" w:color="auto" w:sz="4" w:space="0"/>
            </w:tcBorders>
            <w:shd w:val="clear" w:color="auto" w:fill="auto"/>
            <w:vAlign w:val="center"/>
          </w:tcPr>
          <w:p w14:paraId="39D3EC27">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446" w:type="dxa"/>
            <w:tcBorders>
              <w:left w:val="nil"/>
              <w:right w:val="single" w:color="auto" w:sz="4" w:space="0"/>
            </w:tcBorders>
            <w:shd w:val="clear" w:color="auto" w:fill="auto"/>
            <w:vAlign w:val="center"/>
          </w:tcPr>
          <w:p w14:paraId="7228ACD8">
            <w:pPr>
              <w:rPr>
                <w:rFonts w:hint="eastAsia" w:ascii="宋体" w:hAnsi="宋体" w:cs="宋体"/>
                <w:color w:val="auto"/>
                <w:sz w:val="21"/>
                <w:szCs w:val="21"/>
                <w:highlight w:val="none"/>
              </w:rPr>
            </w:pPr>
            <w:r>
              <w:rPr>
                <w:rFonts w:hint="eastAsia"/>
                <w:color w:val="auto"/>
                <w:sz w:val="21"/>
                <w:szCs w:val="21"/>
                <w:highlight w:val="none"/>
                <w:lang w:eastAsia="zh-CN"/>
              </w:rPr>
              <w:t>具有注册造价工程师资格</w:t>
            </w:r>
            <w:r>
              <w:rPr>
                <w:rFonts w:hint="eastAsia"/>
                <w:color w:val="auto"/>
                <w:sz w:val="21"/>
                <w:szCs w:val="21"/>
                <w:highlight w:val="none"/>
                <w:lang w:val="en-US" w:eastAsia="zh-CN"/>
              </w:rPr>
              <w:t>或一级注册造价师资格</w:t>
            </w:r>
            <w:r>
              <w:rPr>
                <w:rFonts w:hint="eastAsia"/>
                <w:color w:val="auto"/>
                <w:sz w:val="21"/>
                <w:szCs w:val="21"/>
                <w:highlight w:val="none"/>
                <w:lang w:eastAsia="zh-CN"/>
              </w:rPr>
              <w:t>或工程造价相关专业中级（或以上）技术职称。</w:t>
            </w:r>
          </w:p>
        </w:tc>
        <w:tc>
          <w:tcPr>
            <w:tcW w:w="799" w:type="dxa"/>
            <w:tcBorders>
              <w:left w:val="nil"/>
              <w:right w:val="single" w:color="auto" w:sz="4" w:space="0"/>
            </w:tcBorders>
            <w:shd w:val="clear" w:color="auto" w:fill="auto"/>
            <w:vAlign w:val="top"/>
          </w:tcPr>
          <w:p w14:paraId="6702770D">
            <w:pPr>
              <w:rPr>
                <w:rFonts w:hint="eastAsia" w:ascii="宋体" w:hAnsi="宋体" w:cs="宋体"/>
                <w:color w:val="auto"/>
                <w:sz w:val="21"/>
                <w:szCs w:val="21"/>
                <w:highlight w:val="none"/>
              </w:rPr>
            </w:pPr>
          </w:p>
        </w:tc>
        <w:tc>
          <w:tcPr>
            <w:tcW w:w="850" w:type="dxa"/>
            <w:tcBorders>
              <w:left w:val="nil"/>
              <w:right w:val="single" w:color="auto" w:sz="4" w:space="0"/>
            </w:tcBorders>
            <w:shd w:val="clear" w:color="auto" w:fill="auto"/>
            <w:vAlign w:val="top"/>
          </w:tcPr>
          <w:p w14:paraId="13552C8A">
            <w:pPr>
              <w:rPr>
                <w:rFonts w:hint="eastAsia" w:ascii="宋体" w:hAnsi="宋体" w:cs="宋体"/>
                <w:color w:val="auto"/>
                <w:sz w:val="21"/>
                <w:szCs w:val="21"/>
                <w:highlight w:val="none"/>
              </w:rPr>
            </w:pPr>
          </w:p>
        </w:tc>
        <w:tc>
          <w:tcPr>
            <w:tcW w:w="1134" w:type="dxa"/>
            <w:tcBorders>
              <w:left w:val="nil"/>
              <w:right w:val="single" w:color="auto" w:sz="4" w:space="0"/>
            </w:tcBorders>
            <w:shd w:val="clear" w:color="auto" w:fill="auto"/>
            <w:vAlign w:val="top"/>
          </w:tcPr>
          <w:p w14:paraId="1B400238">
            <w:pPr>
              <w:rPr>
                <w:rFonts w:hint="eastAsia" w:ascii="宋体" w:hAnsi="宋体" w:cs="宋体"/>
                <w:color w:val="auto"/>
                <w:sz w:val="21"/>
                <w:szCs w:val="21"/>
                <w:highlight w:val="none"/>
              </w:rPr>
            </w:pPr>
          </w:p>
        </w:tc>
        <w:tc>
          <w:tcPr>
            <w:tcW w:w="709" w:type="dxa"/>
            <w:tcBorders>
              <w:left w:val="nil"/>
              <w:bottom w:val="single" w:color="auto" w:sz="4" w:space="0"/>
              <w:right w:val="single" w:color="auto" w:sz="4" w:space="0"/>
            </w:tcBorders>
            <w:shd w:val="clear" w:color="auto" w:fill="auto"/>
            <w:vAlign w:val="top"/>
          </w:tcPr>
          <w:p w14:paraId="2C2B2336">
            <w:pPr>
              <w:rPr>
                <w:rFonts w:hint="eastAsia" w:ascii="宋体" w:hAnsi="宋体" w:cs="宋体"/>
                <w:color w:val="auto"/>
                <w:sz w:val="21"/>
                <w:szCs w:val="21"/>
                <w:highlight w:val="none"/>
              </w:rPr>
            </w:pPr>
          </w:p>
        </w:tc>
        <w:tc>
          <w:tcPr>
            <w:tcW w:w="2126" w:type="dxa"/>
            <w:tcBorders>
              <w:left w:val="nil"/>
              <w:right w:val="single" w:color="auto" w:sz="4" w:space="0"/>
            </w:tcBorders>
            <w:shd w:val="clear" w:color="auto" w:fill="auto"/>
            <w:vAlign w:val="center"/>
          </w:tcPr>
          <w:p w14:paraId="5F91B528">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需提供注册证</w:t>
            </w:r>
            <w:r>
              <w:rPr>
                <w:rFonts w:hint="eastAsia" w:ascii="宋体" w:hAnsi="宋体" w:cs="宋体"/>
                <w:color w:val="auto"/>
                <w:kern w:val="0"/>
                <w:sz w:val="21"/>
                <w:szCs w:val="21"/>
                <w:highlight w:val="none"/>
                <w:lang w:val="en-US" w:eastAsia="zh-CN"/>
              </w:rPr>
              <w:t>或职称证</w:t>
            </w:r>
            <w:r>
              <w:rPr>
                <w:rFonts w:hint="eastAsia" w:ascii="宋体" w:hAnsi="宋体" w:cs="宋体"/>
                <w:color w:val="auto"/>
                <w:sz w:val="21"/>
                <w:szCs w:val="21"/>
                <w:highlight w:val="none"/>
                <w:lang w:val="en-US" w:eastAsia="zh-CN"/>
              </w:rPr>
              <w:t>扫描件。</w:t>
            </w:r>
          </w:p>
        </w:tc>
      </w:tr>
      <w:tr w14:paraId="1503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762" w:type="dxa"/>
            <w:tcBorders>
              <w:top w:val="single" w:color="auto" w:sz="4" w:space="0"/>
              <w:left w:val="single" w:color="auto" w:sz="4" w:space="0"/>
              <w:right w:val="single" w:color="auto" w:sz="4" w:space="0"/>
            </w:tcBorders>
            <w:shd w:val="clear" w:color="auto" w:fill="auto"/>
            <w:vAlign w:val="center"/>
          </w:tcPr>
          <w:p w14:paraId="36F24653">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3.5</w:t>
            </w:r>
          </w:p>
        </w:tc>
        <w:tc>
          <w:tcPr>
            <w:tcW w:w="966" w:type="dxa"/>
            <w:tcBorders>
              <w:top w:val="single" w:color="auto" w:sz="4" w:space="0"/>
              <w:left w:val="nil"/>
              <w:right w:val="single" w:color="auto" w:sz="4" w:space="0"/>
            </w:tcBorders>
            <w:shd w:val="clear" w:color="auto" w:fill="auto"/>
            <w:vAlign w:val="center"/>
          </w:tcPr>
          <w:p w14:paraId="3C29C1A8">
            <w:pPr>
              <w:keepNext w:val="0"/>
              <w:keepLines w:val="0"/>
              <w:widowControl/>
              <w:suppressLineNumbers w:val="0"/>
              <w:adjustRightInd w:val="0"/>
              <w:snapToGrid w:val="0"/>
              <w:spacing w:before="0" w:beforeAutospacing="0" w:after="0" w:afterAutospacing="0"/>
              <w:ind w:left="0" w:leftChars="0" w:right="0" w:rightChars="0"/>
              <w:jc w:val="left"/>
              <w:rPr>
                <w:rFonts w:hint="default" w:ascii="宋体" w:hAnsi="宋体" w:eastAsia="宋体" w:cs="宋体"/>
                <w:strike w:val="0"/>
                <w:dstrike w:val="0"/>
                <w:color w:val="auto"/>
                <w:kern w:val="0"/>
                <w:sz w:val="21"/>
                <w:szCs w:val="21"/>
                <w:highlight w:val="none"/>
                <w:lang w:val="en-US" w:eastAsia="zh-CN"/>
              </w:rPr>
            </w:pPr>
            <w:r>
              <w:rPr>
                <w:rFonts w:hint="eastAsia" w:ascii="宋体" w:hAnsi="宋体"/>
                <w:bCs/>
                <w:color w:val="auto"/>
                <w:kern w:val="44"/>
                <w:sz w:val="21"/>
                <w:szCs w:val="21"/>
                <w:highlight w:val="none"/>
              </w:rPr>
              <w:t>资料管理组</w:t>
            </w:r>
          </w:p>
        </w:tc>
        <w:tc>
          <w:tcPr>
            <w:tcW w:w="966" w:type="dxa"/>
            <w:tcBorders>
              <w:top w:val="single" w:color="auto" w:sz="4" w:space="0"/>
              <w:left w:val="nil"/>
              <w:right w:val="single" w:color="auto" w:sz="4" w:space="0"/>
            </w:tcBorders>
            <w:shd w:val="clear" w:color="auto" w:fill="auto"/>
            <w:vAlign w:val="center"/>
          </w:tcPr>
          <w:p w14:paraId="7C8CAD15">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Times New Roman"/>
                <w:bCs/>
                <w:color w:val="auto"/>
                <w:kern w:val="44"/>
                <w:sz w:val="21"/>
                <w:szCs w:val="21"/>
                <w:highlight w:val="none"/>
                <w:lang w:val="en-US" w:eastAsia="zh-CN" w:bidi="ar-SA"/>
              </w:rPr>
            </w:pPr>
            <w:r>
              <w:rPr>
                <w:rFonts w:hint="eastAsia" w:ascii="宋体" w:hAnsi="宋体"/>
                <w:bCs/>
                <w:color w:val="auto"/>
                <w:kern w:val="44"/>
                <w:sz w:val="21"/>
                <w:szCs w:val="21"/>
                <w:highlight w:val="none"/>
              </w:rPr>
              <w:t>图档资料管理员</w:t>
            </w:r>
          </w:p>
        </w:tc>
        <w:tc>
          <w:tcPr>
            <w:tcW w:w="709" w:type="dxa"/>
            <w:tcBorders>
              <w:top w:val="single" w:color="auto" w:sz="4" w:space="0"/>
              <w:left w:val="nil"/>
              <w:right w:val="single" w:color="auto" w:sz="4" w:space="0"/>
            </w:tcBorders>
            <w:shd w:val="clear" w:color="auto" w:fill="auto"/>
            <w:vAlign w:val="center"/>
          </w:tcPr>
          <w:p w14:paraId="478593E7">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bCs/>
                <w:color w:val="auto"/>
                <w:kern w:val="44"/>
                <w:sz w:val="21"/>
                <w:szCs w:val="21"/>
                <w:highlight w:val="none"/>
                <w:lang w:val="en-US" w:eastAsia="zh-CN" w:bidi="ar"/>
              </w:rPr>
            </w:pPr>
            <w:r>
              <w:rPr>
                <w:rFonts w:hint="eastAsia" w:ascii="宋体" w:hAnsi="宋体" w:cs="宋体"/>
                <w:bCs/>
                <w:color w:val="auto"/>
                <w:kern w:val="44"/>
                <w:sz w:val="21"/>
                <w:szCs w:val="21"/>
                <w:highlight w:val="none"/>
                <w:lang w:val="en-US" w:eastAsia="zh-CN" w:bidi="ar"/>
              </w:rPr>
              <w:t>2</w:t>
            </w:r>
          </w:p>
        </w:tc>
        <w:tc>
          <w:tcPr>
            <w:tcW w:w="4446" w:type="dxa"/>
            <w:tcBorders>
              <w:top w:val="single" w:color="auto" w:sz="4" w:space="0"/>
              <w:left w:val="nil"/>
              <w:right w:val="single" w:color="auto" w:sz="4" w:space="0"/>
            </w:tcBorders>
            <w:shd w:val="clear" w:color="auto" w:fill="auto"/>
            <w:vAlign w:val="center"/>
          </w:tcPr>
          <w:p w14:paraId="7AF1EB8A">
            <w:pPr>
              <w:keepNext w:val="0"/>
              <w:keepLines w:val="0"/>
              <w:widowControl w:val="0"/>
              <w:suppressLineNumbers w:val="0"/>
              <w:adjustRightInd w:val="0"/>
              <w:snapToGrid w:val="0"/>
              <w:spacing w:before="0" w:beforeAutospacing="0" w:after="0" w:afterAutospacing="0"/>
              <w:ind w:left="0" w:leftChars="0" w:right="0" w:rightChars="0"/>
              <w:jc w:val="both"/>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所学专业为建筑工程（或相关专业），大专或以上学历。</w:t>
            </w:r>
          </w:p>
        </w:tc>
        <w:tc>
          <w:tcPr>
            <w:tcW w:w="799" w:type="dxa"/>
            <w:tcBorders>
              <w:top w:val="single" w:color="auto" w:sz="4" w:space="0"/>
              <w:left w:val="nil"/>
              <w:right w:val="single" w:color="auto" w:sz="4" w:space="0"/>
            </w:tcBorders>
            <w:shd w:val="clear" w:color="auto" w:fill="auto"/>
            <w:vAlign w:val="top"/>
          </w:tcPr>
          <w:p w14:paraId="67D2E40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850" w:type="dxa"/>
            <w:tcBorders>
              <w:top w:val="single" w:color="auto" w:sz="4" w:space="0"/>
              <w:left w:val="nil"/>
              <w:right w:val="single" w:color="auto" w:sz="4" w:space="0"/>
            </w:tcBorders>
            <w:shd w:val="clear" w:color="auto" w:fill="auto"/>
            <w:vAlign w:val="top"/>
          </w:tcPr>
          <w:p w14:paraId="78A7A23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1134" w:type="dxa"/>
            <w:tcBorders>
              <w:top w:val="single" w:color="auto" w:sz="4" w:space="0"/>
              <w:left w:val="nil"/>
              <w:right w:val="single" w:color="auto" w:sz="4" w:space="0"/>
            </w:tcBorders>
            <w:shd w:val="clear" w:color="auto" w:fill="auto"/>
            <w:vAlign w:val="top"/>
          </w:tcPr>
          <w:p w14:paraId="7E884E9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709" w:type="dxa"/>
            <w:tcBorders>
              <w:top w:val="single" w:color="auto" w:sz="4" w:space="0"/>
              <w:left w:val="nil"/>
              <w:right w:val="single" w:color="auto" w:sz="4" w:space="0"/>
            </w:tcBorders>
            <w:shd w:val="clear" w:color="auto" w:fill="auto"/>
            <w:vAlign w:val="top"/>
          </w:tcPr>
          <w:p w14:paraId="5BAC622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616C454">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rPr>
              <w:t>毕业证</w:t>
            </w:r>
            <w:r>
              <w:rPr>
                <w:rFonts w:hint="eastAsia" w:ascii="宋体" w:hAnsi="宋体" w:eastAsia="宋体" w:cs="宋体"/>
                <w:strike w:val="0"/>
                <w:dstrike w:val="0"/>
                <w:color w:val="auto"/>
                <w:kern w:val="0"/>
                <w:sz w:val="21"/>
                <w:szCs w:val="21"/>
                <w:highlight w:val="none"/>
                <w:lang w:val="en-US" w:eastAsia="zh-CN"/>
              </w:rPr>
              <w:t>。</w:t>
            </w:r>
          </w:p>
        </w:tc>
      </w:tr>
      <w:tr w14:paraId="7B50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8" w:hRule="atLeast"/>
          <w:jc w:val="center"/>
        </w:trPr>
        <w:tc>
          <w:tcPr>
            <w:tcW w:w="762" w:type="dxa"/>
            <w:tcBorders>
              <w:top w:val="single" w:color="auto" w:sz="4" w:space="0"/>
              <w:left w:val="single" w:color="auto" w:sz="4" w:space="0"/>
              <w:right w:val="single" w:color="auto" w:sz="4" w:space="0"/>
            </w:tcBorders>
            <w:shd w:val="clear" w:color="auto" w:fill="auto"/>
            <w:vAlign w:val="center"/>
          </w:tcPr>
          <w:p w14:paraId="2B5F1D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3.6</w:t>
            </w:r>
          </w:p>
        </w:tc>
        <w:tc>
          <w:tcPr>
            <w:tcW w:w="966" w:type="dxa"/>
            <w:tcBorders>
              <w:top w:val="single" w:color="auto" w:sz="4" w:space="0"/>
              <w:left w:val="nil"/>
              <w:right w:val="single" w:color="auto" w:sz="4" w:space="0"/>
            </w:tcBorders>
            <w:shd w:val="clear" w:color="auto" w:fill="auto"/>
            <w:vAlign w:val="center"/>
          </w:tcPr>
          <w:p w14:paraId="356F4AE9">
            <w:pPr>
              <w:keepNext w:val="0"/>
              <w:keepLines w:val="0"/>
              <w:widowControl/>
              <w:suppressLineNumbers w:val="0"/>
              <w:adjustRightInd w:val="0"/>
              <w:snapToGrid w:val="0"/>
              <w:spacing w:before="0" w:beforeAutospacing="0" w:after="0" w:afterAutospacing="0"/>
              <w:ind w:left="0" w:leftChars="0" w:right="0" w:rightChars="0"/>
              <w:jc w:val="left"/>
              <w:rPr>
                <w:rFonts w:hint="eastAsia" w:ascii="宋体" w:hAnsi="宋体" w:eastAsia="宋体"/>
                <w:bCs/>
                <w:color w:val="auto"/>
                <w:kern w:val="44"/>
                <w:sz w:val="21"/>
                <w:szCs w:val="21"/>
                <w:highlight w:val="none"/>
                <w:lang w:eastAsia="zh-CN"/>
              </w:rPr>
            </w:pPr>
            <w:r>
              <w:rPr>
                <w:rFonts w:hint="eastAsia"/>
                <w:color w:val="auto"/>
                <w:sz w:val="21"/>
                <w:szCs w:val="21"/>
                <w:highlight w:val="none"/>
                <w:lang w:val="en-US" w:eastAsia="zh-CN"/>
              </w:rPr>
              <w:t>/</w:t>
            </w:r>
          </w:p>
        </w:tc>
        <w:tc>
          <w:tcPr>
            <w:tcW w:w="966" w:type="dxa"/>
            <w:tcBorders>
              <w:top w:val="single" w:color="auto" w:sz="4" w:space="0"/>
              <w:left w:val="nil"/>
              <w:right w:val="single" w:color="auto" w:sz="4" w:space="0"/>
            </w:tcBorders>
            <w:shd w:val="clear" w:color="auto" w:fill="auto"/>
            <w:vAlign w:val="center"/>
          </w:tcPr>
          <w:p w14:paraId="5824AD88">
            <w:pPr>
              <w:keepNext w:val="0"/>
              <w:keepLines w:val="0"/>
              <w:suppressLineNumbers w:val="0"/>
              <w:adjustRightInd w:val="0"/>
              <w:snapToGrid w:val="0"/>
              <w:spacing w:before="0" w:beforeAutospacing="0" w:after="0" w:afterAutospacing="0"/>
              <w:ind w:left="0" w:leftChars="0" w:right="0" w:rightChars="0"/>
              <w:rPr>
                <w:rFonts w:hint="eastAsia" w:ascii="宋体" w:hAnsi="宋体"/>
                <w:bCs/>
                <w:color w:val="auto"/>
                <w:kern w:val="44"/>
                <w:sz w:val="21"/>
                <w:szCs w:val="21"/>
                <w:highlight w:val="none"/>
              </w:rPr>
            </w:pPr>
            <w:r>
              <w:rPr>
                <w:rFonts w:hint="eastAsia" w:ascii="宋体" w:hAnsi="宋体"/>
                <w:bCs/>
                <w:color w:val="auto"/>
                <w:kern w:val="44"/>
                <w:sz w:val="21"/>
                <w:szCs w:val="21"/>
                <w:highlight w:val="none"/>
              </w:rPr>
              <w:t>监理员</w:t>
            </w:r>
          </w:p>
        </w:tc>
        <w:tc>
          <w:tcPr>
            <w:tcW w:w="709" w:type="dxa"/>
            <w:tcBorders>
              <w:top w:val="single" w:color="auto" w:sz="4" w:space="0"/>
              <w:left w:val="nil"/>
              <w:right w:val="single" w:color="auto" w:sz="4" w:space="0"/>
            </w:tcBorders>
            <w:shd w:val="clear" w:color="auto" w:fill="auto"/>
            <w:vAlign w:val="center"/>
          </w:tcPr>
          <w:p w14:paraId="2C0F18DE">
            <w:pPr>
              <w:keepNext w:val="0"/>
              <w:keepLines w:val="0"/>
              <w:widowControl w:val="0"/>
              <w:suppressLineNumbers w:val="0"/>
              <w:adjustRightInd w:val="0"/>
              <w:snapToGrid w:val="0"/>
              <w:spacing w:before="0" w:beforeAutospacing="0" w:after="0" w:afterAutospacing="0"/>
              <w:ind w:left="0" w:leftChars="0" w:right="0" w:rightChars="0"/>
              <w:jc w:val="center"/>
              <w:rPr>
                <w:rFonts w:hint="default" w:ascii="宋体" w:hAnsi="宋体" w:cs="宋体"/>
                <w:bCs/>
                <w:color w:val="auto"/>
                <w:kern w:val="44"/>
                <w:sz w:val="21"/>
                <w:szCs w:val="21"/>
                <w:highlight w:val="none"/>
                <w:lang w:val="en-US" w:eastAsia="zh-CN" w:bidi="ar"/>
              </w:rPr>
            </w:pPr>
            <w:r>
              <w:rPr>
                <w:rFonts w:hint="eastAsia" w:ascii="宋体" w:hAnsi="宋体" w:cs="宋体"/>
                <w:bCs/>
                <w:color w:val="auto"/>
                <w:kern w:val="44"/>
                <w:sz w:val="21"/>
                <w:szCs w:val="21"/>
                <w:highlight w:val="none"/>
                <w:lang w:val="en-US" w:eastAsia="zh-CN" w:bidi="ar"/>
              </w:rPr>
              <w:t>5</w:t>
            </w:r>
          </w:p>
        </w:tc>
        <w:tc>
          <w:tcPr>
            <w:tcW w:w="4446" w:type="dxa"/>
            <w:tcBorders>
              <w:top w:val="single" w:color="auto" w:sz="4" w:space="0"/>
              <w:left w:val="nil"/>
              <w:right w:val="single" w:color="auto" w:sz="4" w:space="0"/>
            </w:tcBorders>
            <w:shd w:val="clear" w:color="auto" w:fill="auto"/>
            <w:vAlign w:val="center"/>
          </w:tcPr>
          <w:p w14:paraId="6D892396">
            <w:pPr>
              <w:keepNext w:val="0"/>
              <w:keepLines w:val="0"/>
              <w:widowControl w:val="0"/>
              <w:suppressLineNumbers w:val="0"/>
              <w:adjustRightInd w:val="0"/>
              <w:snapToGrid w:val="0"/>
              <w:spacing w:before="0" w:beforeAutospacing="0" w:after="0" w:afterAutospacing="0"/>
              <w:ind w:left="0" w:leftChars="0" w:right="0" w:rightChars="0"/>
              <w:jc w:val="both"/>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eastAsia="zh-CN"/>
              </w:rPr>
              <w:t>具有监理员（或以上）培训证或上岗证或注册证</w:t>
            </w:r>
          </w:p>
        </w:tc>
        <w:tc>
          <w:tcPr>
            <w:tcW w:w="799" w:type="dxa"/>
            <w:tcBorders>
              <w:top w:val="single" w:color="auto" w:sz="4" w:space="0"/>
              <w:left w:val="nil"/>
              <w:right w:val="single" w:color="auto" w:sz="4" w:space="0"/>
            </w:tcBorders>
            <w:shd w:val="clear" w:color="auto" w:fill="auto"/>
            <w:vAlign w:val="top"/>
          </w:tcPr>
          <w:p w14:paraId="54D130F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850" w:type="dxa"/>
            <w:tcBorders>
              <w:top w:val="single" w:color="auto" w:sz="4" w:space="0"/>
              <w:left w:val="nil"/>
              <w:right w:val="single" w:color="auto" w:sz="4" w:space="0"/>
            </w:tcBorders>
            <w:shd w:val="clear" w:color="auto" w:fill="auto"/>
            <w:vAlign w:val="top"/>
          </w:tcPr>
          <w:p w14:paraId="65AE0D7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1134" w:type="dxa"/>
            <w:tcBorders>
              <w:top w:val="single" w:color="auto" w:sz="4" w:space="0"/>
              <w:left w:val="nil"/>
              <w:right w:val="single" w:color="auto" w:sz="4" w:space="0"/>
            </w:tcBorders>
            <w:shd w:val="clear" w:color="auto" w:fill="auto"/>
            <w:vAlign w:val="top"/>
          </w:tcPr>
          <w:p w14:paraId="4943BED9">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709" w:type="dxa"/>
            <w:tcBorders>
              <w:top w:val="single" w:color="auto" w:sz="4" w:space="0"/>
              <w:left w:val="nil"/>
              <w:right w:val="single" w:color="auto" w:sz="4" w:space="0"/>
            </w:tcBorders>
            <w:shd w:val="clear" w:color="auto" w:fill="auto"/>
            <w:vAlign w:val="top"/>
          </w:tcPr>
          <w:p w14:paraId="6FB4933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99157E8">
            <w:pPr>
              <w:keepNext w:val="0"/>
              <w:keepLines w:val="0"/>
              <w:suppressLineNumbers w:val="0"/>
              <w:adjustRightInd w:val="0"/>
              <w:snapToGrid w:val="0"/>
              <w:spacing w:before="0" w:beforeAutospacing="0" w:after="0" w:afterAutospacing="0"/>
              <w:ind w:left="0" w:leftChars="0" w:right="0" w:rightChars="0"/>
              <w:rPr>
                <w:rFonts w:hint="default" w:ascii="宋体" w:hAnsi="宋体" w:eastAsia="宋体" w:cs="宋体"/>
                <w:color w:val="auto"/>
                <w:kern w:val="2"/>
                <w:sz w:val="21"/>
                <w:szCs w:val="21"/>
                <w:highlight w:val="none"/>
              </w:rPr>
            </w:pPr>
            <w:r>
              <w:rPr>
                <w:rFonts w:hint="default" w:ascii="宋体" w:hAnsi="宋体" w:eastAsia="宋体" w:cs="宋体"/>
                <w:color w:val="auto"/>
                <w:kern w:val="2"/>
                <w:sz w:val="21"/>
                <w:szCs w:val="21"/>
                <w:highlight w:val="none"/>
                <w:lang w:eastAsia="zh-CN"/>
              </w:rPr>
              <w:t>监理员（或以上）培训证或上岗证或注册证</w:t>
            </w:r>
            <w:r>
              <w:rPr>
                <w:rFonts w:hint="eastAsia" w:ascii="宋体" w:hAnsi="宋体" w:cs="宋体"/>
                <w:color w:val="auto"/>
                <w:sz w:val="21"/>
                <w:szCs w:val="21"/>
                <w:highlight w:val="none"/>
                <w:lang w:val="en-US" w:eastAsia="zh-CN"/>
              </w:rPr>
              <w:t>扫描件。</w:t>
            </w:r>
          </w:p>
        </w:tc>
      </w:tr>
      <w:tr w14:paraId="2C31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32CB696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44"/>
                <w:sz w:val="21"/>
                <w:szCs w:val="21"/>
                <w:highlight w:val="none"/>
              </w:rPr>
            </w:pPr>
          </w:p>
        </w:tc>
        <w:tc>
          <w:tcPr>
            <w:tcW w:w="1932" w:type="dxa"/>
            <w:gridSpan w:val="2"/>
            <w:tcBorders>
              <w:top w:val="single" w:color="auto" w:sz="4" w:space="0"/>
              <w:left w:val="nil"/>
              <w:bottom w:val="single" w:color="auto" w:sz="4" w:space="0"/>
              <w:right w:val="single" w:color="auto" w:sz="4" w:space="0"/>
            </w:tcBorders>
            <w:shd w:val="clear" w:color="auto" w:fill="auto"/>
            <w:vAlign w:val="center"/>
          </w:tcPr>
          <w:p w14:paraId="28625C0E">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kern w:val="44"/>
                <w:sz w:val="21"/>
                <w:szCs w:val="21"/>
                <w:highlight w:val="none"/>
              </w:rPr>
            </w:pPr>
            <w:r>
              <w:rPr>
                <w:rFonts w:hint="eastAsia" w:ascii="宋体" w:hAnsi="宋体" w:eastAsia="宋体" w:cs="宋体"/>
                <w:bCs/>
                <w:color w:val="auto"/>
                <w:kern w:val="44"/>
                <w:sz w:val="21"/>
                <w:szCs w:val="21"/>
                <w:highlight w:val="none"/>
                <w:lang w:val="en-US" w:eastAsia="zh-CN" w:bidi="ar"/>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1BBE45B3">
            <w:pPr>
              <w:keepNext w:val="0"/>
              <w:keepLines w:val="0"/>
              <w:widowControl/>
              <w:suppressLineNumbers w:val="0"/>
              <w:adjustRightInd/>
              <w:snapToGrid/>
              <w:spacing w:before="0" w:beforeAutospacing="0" w:after="0" w:afterAutospacing="0" w:line="240" w:lineRule="auto"/>
              <w:ind w:left="0" w:right="0"/>
              <w:jc w:val="center"/>
              <w:rPr>
                <w:rFonts w:hint="default" w:ascii="宋体" w:hAnsi="宋体" w:eastAsia="宋体" w:cs="宋体"/>
                <w:bCs w:val="0"/>
                <w:color w:val="auto"/>
                <w:kern w:val="2"/>
                <w:sz w:val="21"/>
                <w:szCs w:val="21"/>
                <w:highlight w:val="none"/>
                <w:lang w:val="en-US" w:eastAsia="zh-CN"/>
              </w:rPr>
            </w:pPr>
            <w:r>
              <w:rPr>
                <w:rFonts w:hint="eastAsia" w:ascii="宋体" w:hAnsi="宋体" w:cs="宋体"/>
                <w:bCs w:val="0"/>
                <w:color w:val="auto"/>
                <w:kern w:val="2"/>
                <w:sz w:val="21"/>
                <w:szCs w:val="21"/>
                <w:highlight w:val="none"/>
                <w:lang w:val="en-US" w:eastAsia="zh-CN"/>
              </w:rPr>
              <w:t>20</w:t>
            </w:r>
          </w:p>
        </w:tc>
        <w:tc>
          <w:tcPr>
            <w:tcW w:w="4446" w:type="dxa"/>
            <w:tcBorders>
              <w:top w:val="single" w:color="auto" w:sz="4" w:space="0"/>
              <w:left w:val="nil"/>
              <w:bottom w:val="single" w:color="auto" w:sz="4" w:space="0"/>
              <w:right w:val="single" w:color="auto" w:sz="4" w:space="0"/>
            </w:tcBorders>
            <w:shd w:val="clear" w:color="auto" w:fill="auto"/>
            <w:vAlign w:val="center"/>
          </w:tcPr>
          <w:p w14:paraId="3CBF9B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47C4C7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4B4B918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142396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shd w:val="clear" w:color="auto" w:fill="auto"/>
            <w:vAlign w:val="center"/>
          </w:tcPr>
          <w:p w14:paraId="26D201C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39101EF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bl>
    <w:p w14:paraId="6B9A917B">
      <w:pPr>
        <w:spacing w:line="360" w:lineRule="auto"/>
        <w:jc w:val="center"/>
        <w:rPr>
          <w:color w:val="auto"/>
          <w:szCs w:val="21"/>
          <w:highlight w:val="none"/>
        </w:rPr>
      </w:pPr>
    </w:p>
    <w:p w14:paraId="4B46B163">
      <w:pPr>
        <w:spacing w:line="360" w:lineRule="auto"/>
        <w:ind w:firstLine="438" w:firstLineChars="200"/>
        <w:rPr>
          <w:rFonts w:ascii="宋体" w:hAnsi="宋体" w:cs="宋体"/>
          <w:color w:val="auto"/>
          <w:szCs w:val="21"/>
          <w:highlight w:val="none"/>
        </w:rPr>
      </w:pPr>
      <w:r>
        <w:rPr>
          <w:rFonts w:hint="eastAsia" w:ascii="宋体" w:hAnsi="宋体" w:cs="宋体"/>
          <w:b/>
          <w:color w:val="auto"/>
          <w:spacing w:val="4"/>
          <w:szCs w:val="21"/>
          <w:highlight w:val="none"/>
          <w:lang w:bidi="ar"/>
        </w:rPr>
        <w:t>注：</w:t>
      </w:r>
      <w:r>
        <w:rPr>
          <w:rFonts w:hint="eastAsia" w:ascii="宋体" w:hAnsi="宋体" w:cs="宋体"/>
          <w:color w:val="auto"/>
          <w:szCs w:val="21"/>
          <w:highlight w:val="none"/>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3B8CA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②本表不作为形式评审、资格评审、响应性评审的审查依据，只作为</w:t>
      </w:r>
      <w:r>
        <w:rPr>
          <w:rFonts w:hint="eastAsia" w:ascii="宋体" w:hAnsi="宋体" w:cs="宋体"/>
          <w:color w:val="auto"/>
          <w:kern w:val="2"/>
          <w:sz w:val="21"/>
          <w:szCs w:val="21"/>
          <w:highlight w:val="none"/>
          <w:lang w:val="en-US" w:eastAsia="zh-CN" w:bidi="ar"/>
        </w:rPr>
        <w:t>定标综合评审</w:t>
      </w:r>
      <w:r>
        <w:rPr>
          <w:rFonts w:hint="eastAsia" w:ascii="宋体" w:hAnsi="宋体" w:eastAsia="宋体" w:cs="宋体"/>
          <w:color w:val="auto"/>
          <w:kern w:val="2"/>
          <w:sz w:val="21"/>
          <w:szCs w:val="21"/>
          <w:highlight w:val="none"/>
          <w:lang w:val="en-US" w:eastAsia="zh-CN" w:bidi="ar"/>
        </w:rPr>
        <w:t>因素</w:t>
      </w:r>
      <w:r>
        <w:rPr>
          <w:rFonts w:hint="eastAsia" w:ascii="宋体" w:hAnsi="宋体" w:cs="宋体"/>
          <w:color w:val="auto"/>
          <w:szCs w:val="21"/>
          <w:highlight w:val="none"/>
        </w:rPr>
        <w:t>评审依据。</w:t>
      </w:r>
    </w:p>
    <w:p w14:paraId="7BC104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所学专业以其毕业证或注册监理工程师注册执业证书或职称证上所列的相关专业为准。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月）在本投标单位购买社保缴纳证明材料。各岗位人员不得相互兼职。</w:t>
      </w:r>
    </w:p>
    <w:p w14:paraId="5502B6D3">
      <w:pPr>
        <w:spacing w:line="360" w:lineRule="auto"/>
        <w:ind w:firstLine="420" w:firstLineChars="200"/>
        <w:rPr>
          <w:rFonts w:hint="eastAsia" w:ascii="宋体" w:hAnsi="宋体" w:cs="宋体"/>
          <w:color w:val="auto"/>
          <w:szCs w:val="21"/>
          <w:highlight w:val="none"/>
        </w:rPr>
      </w:pPr>
      <w:r>
        <w:rPr>
          <w:rFonts w:hint="eastAsia" w:ascii="宋体" w:hAnsi="宋体" w:cs="宋体"/>
          <w:strike w:val="0"/>
          <w:color w:val="auto"/>
          <w:szCs w:val="21"/>
          <w:highlight w:val="none"/>
        </w:rPr>
        <w:t>④</w:t>
      </w:r>
      <w:r>
        <w:rPr>
          <w:rFonts w:hint="eastAsia" w:ascii="宋体" w:hAnsi="宋体" w:cs="宋体"/>
          <w:color w:val="auto"/>
          <w:spacing w:val="0"/>
          <w:kern w:val="2"/>
          <w:sz w:val="21"/>
          <w:szCs w:val="21"/>
          <w:highlight w:val="none"/>
        </w:rPr>
        <w:t>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r>
        <w:rPr>
          <w:rFonts w:hint="eastAsia" w:ascii="宋体" w:hAnsi="宋体" w:cs="宋体"/>
          <w:bCs w:val="0"/>
          <w:color w:val="auto"/>
          <w:kern w:val="2"/>
          <w:sz w:val="21"/>
          <w:szCs w:val="21"/>
          <w:highlight w:val="none"/>
          <w:lang w:bidi="ar-SA"/>
        </w:rPr>
        <w:t>。</w:t>
      </w:r>
    </w:p>
    <w:p w14:paraId="177654D5">
      <w:pPr>
        <w:topLinePunct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⑤</w:t>
      </w:r>
      <w:r>
        <w:rPr>
          <w:rFonts w:hint="eastAsia" w:ascii="宋体" w:hAnsi="宋体" w:cs="宋体"/>
          <w:color w:val="auto"/>
          <w:sz w:val="21"/>
          <w:szCs w:val="21"/>
          <w:highlight w:val="none"/>
        </w:rPr>
        <w:t>投标人自行填写拟委派本项目驻场的监理人员，若需增加配备监理人员的，可按照原格式进行扩展。</w:t>
      </w:r>
    </w:p>
    <w:p w14:paraId="4CED186D">
      <w:pPr>
        <w:topLinePunct/>
        <w:spacing w:line="360" w:lineRule="auto"/>
        <w:ind w:firstLine="0" w:firstLineChars="0"/>
        <w:rPr>
          <w:rFonts w:hint="eastAsia" w:ascii="宋体" w:hAnsi="宋体"/>
          <w:snapToGrid w:val="0"/>
          <w:color w:val="auto"/>
          <w:spacing w:val="4"/>
          <w:sz w:val="24"/>
          <w:highlight w:val="none"/>
        </w:rPr>
      </w:pPr>
    </w:p>
    <w:p w14:paraId="1DD05E50">
      <w:pPr>
        <w:topLinePunct/>
        <w:spacing w:line="336" w:lineRule="auto"/>
        <w:ind w:firstLine="6448" w:firstLineChars="2600"/>
        <w:rPr>
          <w:rFonts w:hint="eastAsia" w:ascii="宋体" w:hAnsi="宋体"/>
          <w:color w:val="auto"/>
          <w:sz w:val="24"/>
          <w:szCs w:val="24"/>
          <w:highlight w:val="none"/>
          <w:u w:val="single"/>
        </w:rPr>
      </w:pPr>
      <w:r>
        <w:rPr>
          <w:rFonts w:hint="eastAsia" w:ascii="宋体" w:hAnsi="宋体"/>
          <w:color w:val="auto"/>
          <w:spacing w:val="4"/>
          <w:sz w:val="24"/>
          <w:szCs w:val="24"/>
          <w:highlight w:val="none"/>
        </w:rPr>
        <w:t>投标单位：</w:t>
      </w:r>
      <w:r>
        <w:rPr>
          <w:rFonts w:hint="eastAsia" w:ascii="宋体" w:hAnsi="宋体"/>
          <w:color w:val="auto"/>
          <w:sz w:val="24"/>
          <w:szCs w:val="24"/>
          <w:highlight w:val="none"/>
          <w:u w:val="single"/>
        </w:rPr>
        <w:t xml:space="preserve">              </w:t>
      </w:r>
    </w:p>
    <w:p w14:paraId="6B0988F4">
      <w:pPr>
        <w:topLinePunct/>
        <w:spacing w:line="336" w:lineRule="auto"/>
        <w:ind w:firstLine="6448" w:firstLineChars="2600"/>
        <w:rPr>
          <w:rFonts w:ascii="宋体" w:hAnsi="宋体"/>
          <w:snapToGrid w:val="0"/>
          <w:color w:val="auto"/>
          <w:spacing w:val="4"/>
          <w:sz w:val="24"/>
          <w:szCs w:val="24"/>
          <w:highlight w:val="none"/>
        </w:rPr>
      </w:pPr>
      <w:r>
        <w:rPr>
          <w:rFonts w:hint="default" w:ascii="宋体" w:hAnsi="宋体"/>
          <w:snapToGrid w:val="0"/>
          <w:color w:val="auto"/>
          <w:spacing w:val="4"/>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default" w:ascii="宋体" w:hAnsi="宋体"/>
          <w:snapToGrid w:val="0"/>
          <w:color w:val="auto"/>
          <w:spacing w:val="4"/>
          <w:sz w:val="24"/>
          <w:szCs w:val="24"/>
          <w:highlight w:val="none"/>
        </w:rPr>
        <w:t>年</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月</w:t>
      </w:r>
      <w:r>
        <w:rPr>
          <w:rFonts w:hint="eastAsia" w:ascii="宋体" w:hAnsi="宋体"/>
          <w:color w:val="auto"/>
          <w:sz w:val="24"/>
          <w:szCs w:val="24"/>
          <w:highlight w:val="none"/>
          <w:u w:val="single"/>
        </w:rPr>
        <w:t xml:space="preserve">   </w:t>
      </w:r>
      <w:r>
        <w:rPr>
          <w:rFonts w:hint="default" w:ascii="宋体" w:hAnsi="宋体"/>
          <w:snapToGrid w:val="0"/>
          <w:color w:val="auto"/>
          <w:spacing w:val="4"/>
          <w:sz w:val="24"/>
          <w:szCs w:val="24"/>
          <w:highlight w:val="none"/>
        </w:rPr>
        <w:t>日</w:t>
      </w:r>
    </w:p>
    <w:p w14:paraId="06BFD685">
      <w:pPr>
        <w:jc w:val="center"/>
        <w:rPr>
          <w:rFonts w:hint="eastAsia" w:ascii="宋体" w:hAnsi="宋体"/>
          <w:snapToGrid w:val="0"/>
          <w:color w:val="auto"/>
          <w:spacing w:val="4"/>
          <w:szCs w:val="21"/>
          <w:highlight w:val="none"/>
        </w:rPr>
        <w:sectPr>
          <w:headerReference r:id="rId9" w:type="first"/>
          <w:footerReference r:id="rId12" w:type="first"/>
          <w:headerReference r:id="rId8" w:type="default"/>
          <w:footerReference r:id="rId10" w:type="default"/>
          <w:footerReference r:id="rId11" w:type="even"/>
          <w:pgSz w:w="15840" w:h="12240" w:orient="landscape"/>
          <w:pgMar w:top="1803" w:right="1440" w:bottom="1803" w:left="1440" w:header="720" w:footer="720" w:gutter="0"/>
          <w:pgBorders>
            <w:top w:val="none" w:sz="0" w:space="0"/>
            <w:left w:val="none" w:sz="0" w:space="0"/>
            <w:bottom w:val="none" w:sz="0" w:space="0"/>
            <w:right w:val="none" w:sz="0" w:space="0"/>
          </w:pgBorders>
          <w:pgNumType w:fmt="decimal"/>
          <w:cols w:space="0" w:num="1"/>
          <w:rtlGutter w:val="1"/>
          <w:docGrid w:linePitch="312" w:charSpace="0"/>
        </w:sectPr>
      </w:pPr>
    </w:p>
    <w:p w14:paraId="4F306341">
      <w:pPr>
        <w:spacing w:line="360" w:lineRule="auto"/>
        <w:outlineLvl w:val="2"/>
        <w:rPr>
          <w:color w:val="auto"/>
          <w:highlight w:val="none"/>
        </w:rPr>
      </w:pPr>
      <w:r>
        <w:rPr>
          <w:rFonts w:hint="eastAsia" w:ascii="宋体" w:hAnsi="宋体"/>
          <w:b/>
          <w:color w:val="auto"/>
          <w:sz w:val="28"/>
          <w:szCs w:val="28"/>
          <w:highlight w:val="none"/>
        </w:rPr>
        <w:t>⑦投标人认为需要提供的资料（如有）</w:t>
      </w:r>
    </w:p>
    <w:p w14:paraId="3F8D31AE">
      <w:pPr>
        <w:rPr>
          <w:rFonts w:hint="eastAsia"/>
          <w:b/>
          <w:color w:val="auto"/>
          <w:sz w:val="52"/>
          <w:szCs w:val="52"/>
          <w:highlight w:val="none"/>
          <w:lang w:eastAsia="zh-CN"/>
        </w:rPr>
      </w:pPr>
      <w:r>
        <w:rPr>
          <w:rFonts w:hint="eastAsia"/>
          <w:b/>
          <w:color w:val="auto"/>
          <w:sz w:val="52"/>
          <w:szCs w:val="52"/>
          <w:highlight w:val="none"/>
          <w:lang w:eastAsia="zh-CN"/>
        </w:rPr>
        <w:br w:type="page"/>
      </w:r>
    </w:p>
    <w:p w14:paraId="2DCA512D">
      <w:pPr>
        <w:spacing w:before="249" w:beforeLines="80" w:line="360" w:lineRule="auto"/>
        <w:jc w:val="center"/>
        <w:rPr>
          <w:rFonts w:hint="eastAsia"/>
          <w:b/>
          <w:color w:val="auto"/>
          <w:sz w:val="52"/>
          <w:szCs w:val="52"/>
          <w:highlight w:val="none"/>
          <w:lang w:eastAsia="zh-CN"/>
        </w:rPr>
      </w:pPr>
      <w:r>
        <w:rPr>
          <w:rFonts w:hint="eastAsia"/>
          <w:b/>
          <w:color w:val="auto"/>
          <w:sz w:val="52"/>
          <w:szCs w:val="52"/>
          <w:highlight w:val="none"/>
          <w:lang w:eastAsia="zh-CN"/>
        </w:rPr>
        <w:t>华南理工大学大学城校区研究生</w:t>
      </w:r>
    </w:p>
    <w:p w14:paraId="42ADB263">
      <w:pPr>
        <w:spacing w:before="249" w:beforeLines="80" w:line="360" w:lineRule="auto"/>
        <w:jc w:val="center"/>
        <w:rPr>
          <w:rFonts w:hint="eastAsia" w:ascii="宋体" w:hAnsi="宋体" w:eastAsia="宋体"/>
          <w:b/>
          <w:color w:val="auto"/>
          <w:sz w:val="51"/>
          <w:szCs w:val="51"/>
          <w:highlight w:val="none"/>
          <w:lang w:eastAsia="zh-CN"/>
        </w:rPr>
      </w:pPr>
      <w:r>
        <w:rPr>
          <w:rFonts w:hint="eastAsia"/>
          <w:b/>
          <w:color w:val="auto"/>
          <w:sz w:val="52"/>
          <w:szCs w:val="52"/>
          <w:highlight w:val="none"/>
          <w:lang w:eastAsia="zh-CN"/>
        </w:rPr>
        <w:t>宿舍（二期）</w:t>
      </w:r>
    </w:p>
    <w:p w14:paraId="567BE597">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outlineLvl w:val="9"/>
        <w:rPr>
          <w:rFonts w:ascii="华文中宋" w:hAnsi="华文中宋" w:eastAsia="华文中宋" w:cs="宋体"/>
          <w:color w:val="auto"/>
          <w:spacing w:val="4"/>
          <w:kern w:val="0"/>
          <w:sz w:val="84"/>
          <w:szCs w:val="84"/>
          <w:highlight w:val="none"/>
        </w:rPr>
      </w:pPr>
    </w:p>
    <w:p w14:paraId="33E3DF2A">
      <w:pPr>
        <w:topLinePunct/>
        <w:adjustRightInd w:val="0"/>
        <w:snapToGrid w:val="0"/>
        <w:spacing w:line="360" w:lineRule="auto"/>
        <w:jc w:val="center"/>
        <w:outlineLvl w:val="0"/>
        <w:rPr>
          <w:rFonts w:ascii="华文中宋" w:hAnsi="华文中宋" w:eastAsia="华文中宋" w:cs="宋体"/>
          <w:color w:val="auto"/>
          <w:spacing w:val="-14"/>
          <w:kern w:val="0"/>
          <w:sz w:val="84"/>
          <w:szCs w:val="84"/>
          <w:highlight w:val="none"/>
        </w:rPr>
      </w:pPr>
      <w:r>
        <w:rPr>
          <w:rFonts w:ascii="华文中宋" w:hAnsi="华文中宋" w:eastAsia="华文中宋" w:cs="宋体"/>
          <w:color w:val="auto"/>
          <w:spacing w:val="4"/>
          <w:kern w:val="0"/>
          <w:sz w:val="84"/>
          <w:szCs w:val="84"/>
          <w:highlight w:val="none"/>
        </w:rPr>
        <w:t>施工</w:t>
      </w:r>
      <w:r>
        <w:rPr>
          <w:rFonts w:hint="eastAsia" w:ascii="华文中宋" w:hAnsi="华文中宋" w:eastAsia="华文中宋" w:cs="宋体"/>
          <w:color w:val="auto"/>
          <w:spacing w:val="4"/>
          <w:kern w:val="0"/>
          <w:sz w:val="84"/>
          <w:szCs w:val="84"/>
          <w:highlight w:val="none"/>
        </w:rPr>
        <w:t>监理合同</w:t>
      </w:r>
    </w:p>
    <w:p w14:paraId="540A8DA6">
      <w:pPr>
        <w:topLinePunct/>
        <w:adjustRightInd w:val="0"/>
        <w:snapToGrid w:val="0"/>
        <w:spacing w:line="360" w:lineRule="auto"/>
        <w:jc w:val="center"/>
        <w:outlineLvl w:val="0"/>
        <w:rPr>
          <w:rFonts w:ascii="Times New Roman" w:hAnsi="Times New Roman"/>
          <w:b/>
          <w:color w:val="auto"/>
          <w:spacing w:val="4"/>
          <w:kern w:val="0"/>
          <w:sz w:val="32"/>
          <w:szCs w:val="32"/>
          <w:highlight w:val="none"/>
          <w:u w:val="single"/>
        </w:rPr>
      </w:pPr>
      <w:r>
        <w:rPr>
          <w:rFonts w:hint="eastAsia" w:ascii="Times New Roman" w:hAnsi="Times New Roman"/>
          <w:b/>
          <w:bCs/>
          <w:color w:val="auto"/>
          <w:spacing w:val="4"/>
          <w:kern w:val="0"/>
          <w:sz w:val="32"/>
          <w:szCs w:val="32"/>
          <w:highlight w:val="none"/>
        </w:rPr>
        <w:t>合同编号：</w:t>
      </w:r>
    </w:p>
    <w:p w14:paraId="7A5F25FF">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69FF6FBD">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4B4141CF">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725970CE">
      <w:pPr>
        <w:topLinePunct/>
        <w:adjustRightInd w:val="0"/>
        <w:snapToGrid w:val="0"/>
        <w:spacing w:line="360" w:lineRule="auto"/>
        <w:ind w:firstLine="0" w:firstLineChars="0"/>
        <w:jc w:val="center"/>
        <w:rPr>
          <w:rFonts w:ascii="Times New Roman" w:hAnsi="Times New Roman"/>
          <w:color w:val="auto"/>
          <w:spacing w:val="4"/>
          <w:kern w:val="0"/>
          <w:sz w:val="24"/>
          <w:szCs w:val="24"/>
          <w:highlight w:val="none"/>
        </w:rPr>
      </w:pPr>
    </w:p>
    <w:p w14:paraId="47856AC9">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05C1C60D">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7DE9885A">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1ECF973F">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5088F8B2">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0B552AC3">
      <w:pPr>
        <w:topLinePunct/>
        <w:adjustRightInd w:val="0"/>
        <w:snapToGrid w:val="0"/>
        <w:spacing w:line="360" w:lineRule="auto"/>
        <w:ind w:firstLine="496" w:firstLineChars="200"/>
        <w:jc w:val="center"/>
        <w:rPr>
          <w:rFonts w:ascii="Times New Roman" w:hAnsi="Times New Roman"/>
          <w:color w:val="auto"/>
          <w:spacing w:val="4"/>
          <w:kern w:val="0"/>
          <w:sz w:val="24"/>
          <w:szCs w:val="24"/>
          <w:highlight w:val="none"/>
        </w:rPr>
      </w:pPr>
    </w:p>
    <w:p w14:paraId="24C85E22">
      <w:pPr>
        <w:topLinePunct/>
        <w:adjustRightInd w:val="0"/>
        <w:snapToGrid w:val="0"/>
        <w:spacing w:line="900" w:lineRule="exact"/>
        <w:ind w:firstLine="1108" w:firstLineChars="345"/>
        <w:rPr>
          <w:rFonts w:ascii="Times New Roman" w:hAnsi="Times New Roman"/>
          <w:b/>
          <w:snapToGrid w:val="0"/>
          <w:color w:val="auto"/>
          <w:spacing w:val="-12"/>
          <w:kern w:val="0"/>
          <w:sz w:val="32"/>
          <w:szCs w:val="32"/>
          <w:highlight w:val="none"/>
        </w:rPr>
      </w:pPr>
      <w:r>
        <w:rPr>
          <w:rFonts w:hint="eastAsia" w:ascii="Times New Roman" w:hAnsi="Times New Roman"/>
          <w:b/>
          <w:snapToGrid w:val="0"/>
          <w:color w:val="auto"/>
          <w:kern w:val="0"/>
          <w:sz w:val="32"/>
          <w:szCs w:val="32"/>
          <w:highlight w:val="none"/>
        </w:rPr>
        <w:t>委托人：</w:t>
      </w:r>
      <w:r>
        <w:rPr>
          <w:rFonts w:hint="eastAsia" w:ascii="Times New Roman" w:hAnsi="Times New Roman"/>
          <w:b/>
          <w:snapToGrid w:val="0"/>
          <w:color w:val="auto"/>
          <w:spacing w:val="-12"/>
          <w:kern w:val="0"/>
          <w:sz w:val="32"/>
          <w:szCs w:val="32"/>
          <w:highlight w:val="none"/>
        </w:rPr>
        <w:t>广州市重点公共建设项目管理中心</w:t>
      </w:r>
    </w:p>
    <w:p w14:paraId="5D36027C">
      <w:pPr>
        <w:topLinePunct/>
        <w:adjustRightInd w:val="0"/>
        <w:snapToGrid w:val="0"/>
        <w:spacing w:line="900" w:lineRule="exact"/>
        <w:ind w:firstLine="1108" w:firstLineChars="345"/>
        <w:rPr>
          <w:rFonts w:ascii="Times New Roman" w:hAnsi="Times New Roman"/>
          <w:b/>
          <w:snapToGrid w:val="0"/>
          <w:color w:val="auto"/>
          <w:spacing w:val="-12"/>
          <w:kern w:val="0"/>
          <w:sz w:val="32"/>
          <w:szCs w:val="32"/>
          <w:highlight w:val="none"/>
        </w:rPr>
      </w:pPr>
      <w:r>
        <w:rPr>
          <w:rFonts w:hint="eastAsia" w:ascii="Times New Roman" w:hAnsi="Times New Roman"/>
          <w:b/>
          <w:snapToGrid w:val="0"/>
          <w:color w:val="auto"/>
          <w:kern w:val="0"/>
          <w:sz w:val="32"/>
          <w:szCs w:val="32"/>
          <w:highlight w:val="none"/>
        </w:rPr>
        <w:t>监理人：</w:t>
      </w:r>
    </w:p>
    <w:p w14:paraId="7F8CDF9D">
      <w:pPr>
        <w:topLinePunct/>
        <w:adjustRightInd w:val="0"/>
        <w:snapToGrid w:val="0"/>
        <w:spacing w:line="900" w:lineRule="exact"/>
        <w:ind w:firstLine="472" w:firstLineChars="147"/>
        <w:rPr>
          <w:rFonts w:ascii="Times New Roman" w:hAnsi="Times New Roman"/>
          <w:b/>
          <w:color w:val="auto"/>
          <w:kern w:val="0"/>
          <w:sz w:val="32"/>
          <w:szCs w:val="32"/>
          <w:highlight w:val="none"/>
        </w:rPr>
      </w:pPr>
      <w:r>
        <w:rPr>
          <w:rFonts w:hint="eastAsia" w:ascii="Times New Roman" w:hAnsi="Times New Roman"/>
          <w:b/>
          <w:snapToGrid w:val="0"/>
          <w:color w:val="auto"/>
          <w:kern w:val="0"/>
          <w:sz w:val="32"/>
          <w:szCs w:val="32"/>
          <w:highlight w:val="none"/>
        </w:rPr>
        <w:t xml:space="preserve"> </w:t>
      </w:r>
      <w:r>
        <w:rPr>
          <w:rFonts w:hint="eastAsia" w:ascii="Times New Roman" w:hAnsi="Times New Roman"/>
          <w:color w:val="auto"/>
          <w:spacing w:val="4"/>
          <w:kern w:val="0"/>
          <w:sz w:val="24"/>
          <w:szCs w:val="24"/>
          <w:highlight w:val="none"/>
        </w:rPr>
        <w:t xml:space="preserve">     </w:t>
      </w:r>
    </w:p>
    <w:p w14:paraId="4033274F">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3C6304DD">
      <w:pPr>
        <w:pStyle w:val="15"/>
        <w:spacing w:beforeLines="0" w:afterLines="0"/>
        <w:outlineLvl w:val="9"/>
        <w:rPr>
          <w:rFonts w:hint="eastAsia" w:eastAsia="宋体"/>
          <w:color w:val="auto"/>
          <w:highlight w:val="none"/>
        </w:rPr>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F82151">
      <w:pPr>
        <w:pStyle w:val="15"/>
        <w:spacing w:beforeLines="0" w:afterLines="0"/>
        <w:outlineLvl w:val="9"/>
        <w:rPr>
          <w:rFonts w:eastAsia="宋体"/>
          <w:color w:val="auto"/>
          <w:highlight w:val="none"/>
        </w:rPr>
      </w:pPr>
      <w:r>
        <w:rPr>
          <w:rFonts w:hint="eastAsia" w:eastAsia="宋体"/>
          <w:color w:val="auto"/>
          <w:highlight w:val="none"/>
        </w:rPr>
        <w:t>重要提示</w:t>
      </w:r>
    </w:p>
    <w:p w14:paraId="269BAABC">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6A342C66">
      <w:pPr>
        <w:topLinePunct/>
        <w:adjustRightInd w:val="0"/>
        <w:snapToGrid w:val="0"/>
        <w:spacing w:line="360" w:lineRule="auto"/>
        <w:ind w:firstLine="567" w:firstLineChars="196"/>
        <w:rPr>
          <w:rFonts w:ascii="Times New Roman" w:hAnsi="Times New Roman"/>
          <w:color w:val="auto"/>
          <w:spacing w:val="4"/>
          <w:kern w:val="0"/>
          <w:sz w:val="44"/>
          <w:szCs w:val="44"/>
          <w:highlight w:val="none"/>
        </w:rPr>
      </w:pPr>
      <w:r>
        <w:rPr>
          <w:rFonts w:hint="eastAsia" w:ascii="Times New Roman" w:hAnsi="Times New Roman"/>
          <w:b/>
          <w:color w:val="auto"/>
          <w:spacing w:val="4"/>
          <w:kern w:val="0"/>
          <w:sz w:val="28"/>
          <w:szCs w:val="28"/>
          <w:highlight w:val="none"/>
        </w:rPr>
        <w:t>本合同由“协议书”、“专用条件”、“标准条件”和“合同附件”四大部分组成。对“协议书”、“专用条件”和“合同附件”中的部分内容设选项按标准化模式设置，采用“</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”或“</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”予以选择。对于合同中的此部分内容，标注“</w:t>
      </w:r>
      <w:r>
        <w:rPr>
          <w:rFonts w:hint="eastAsia" w:ascii="Times New Roman" w:hAnsi="Times New Roman"/>
          <w:b/>
          <w:bCs/>
          <w:color w:val="auto"/>
          <w:spacing w:val="4"/>
          <w:kern w:val="0"/>
          <w:sz w:val="28"/>
          <w:szCs w:val="28"/>
          <w:highlight w:val="none"/>
          <w:bdr w:val="single" w:color="auto" w:sz="4" w:space="0"/>
        </w:rPr>
        <w:t>√</w:t>
      </w:r>
      <w:r>
        <w:rPr>
          <w:rFonts w:hint="eastAsia" w:ascii="Times New Roman" w:hAnsi="Times New Roman"/>
          <w:b/>
          <w:color w:val="auto"/>
          <w:spacing w:val="4"/>
          <w:kern w:val="0"/>
          <w:sz w:val="28"/>
          <w:szCs w:val="28"/>
          <w:highlight w:val="none"/>
        </w:rPr>
        <w:t>”的选项即为本合同所采用，标注“</w:t>
      </w:r>
      <w:r>
        <w:rPr>
          <w:rFonts w:hint="eastAsia" w:ascii="Times New Roman" w:hAnsi="Times New Roman"/>
          <w:b/>
          <w:color w:val="auto"/>
          <w:spacing w:val="4"/>
          <w:kern w:val="0"/>
          <w:sz w:val="28"/>
          <w:szCs w:val="28"/>
          <w:highlight w:val="none"/>
          <w:bdr w:val="single" w:color="auto" w:sz="4" w:space="0"/>
        </w:rPr>
        <w:t>×</w:t>
      </w:r>
      <w:r>
        <w:rPr>
          <w:rFonts w:hint="eastAsia" w:ascii="Times New Roman" w:hAnsi="Times New Roman"/>
          <w:b/>
          <w:bCs/>
          <w:color w:val="auto"/>
          <w:spacing w:val="4"/>
          <w:kern w:val="0"/>
          <w:sz w:val="28"/>
          <w:szCs w:val="28"/>
          <w:highlight w:val="none"/>
        </w:rPr>
        <w:t>”</w:t>
      </w:r>
      <w:r>
        <w:rPr>
          <w:rFonts w:hint="eastAsia" w:ascii="Times New Roman" w:hAnsi="Times New Roman"/>
          <w:b/>
          <w:color w:val="auto"/>
          <w:spacing w:val="4"/>
          <w:kern w:val="0"/>
          <w:sz w:val="28"/>
          <w:szCs w:val="28"/>
          <w:highlight w:val="none"/>
        </w:rPr>
        <w:t>的选项则不为本合同采用。</w:t>
      </w:r>
    </w:p>
    <w:p w14:paraId="42E668E5">
      <w:pPr>
        <w:pStyle w:val="16"/>
        <w:outlineLvl w:val="0"/>
        <w:rPr>
          <w:rFonts w:ascii="Times New Roman" w:hAnsi="Times New Roman" w:eastAsia="宋体"/>
          <w:color w:val="auto"/>
          <w:highlight w:val="none"/>
        </w:rPr>
      </w:pPr>
      <w:r>
        <w:rPr>
          <w:rFonts w:ascii="Times New Roman" w:hAnsi="Times New Roman" w:eastAsia="宋体"/>
          <w:color w:val="auto"/>
          <w:highlight w:val="none"/>
        </w:rPr>
        <w:br w:type="page"/>
      </w:r>
      <w:r>
        <w:rPr>
          <w:rFonts w:hint="eastAsia" w:ascii="Times New Roman" w:hAnsi="Times New Roman" w:eastAsia="宋体"/>
          <w:color w:val="auto"/>
          <w:highlight w:val="none"/>
        </w:rPr>
        <w:t>目  录</w:t>
      </w:r>
    </w:p>
    <w:p w14:paraId="7990E8C2">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p>
    <w:p w14:paraId="3629BB83">
      <w:pPr>
        <w:tabs>
          <w:tab w:val="left" w:pos="900"/>
          <w:tab w:val="left" w:pos="1501"/>
        </w:tabs>
        <w:topLinePunct/>
        <w:adjustRightInd w:val="0"/>
        <w:snapToGrid w:val="0"/>
        <w:spacing w:line="360" w:lineRule="auto"/>
        <w:ind w:firstLine="200"/>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第一篇  协议书  ………………………………………………………………</w:t>
      </w:r>
    </w:p>
    <w:p w14:paraId="4B7331BE">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第一条 监理工程概况</w:t>
      </w:r>
    </w:p>
    <w:p w14:paraId="4D2847A2">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第二条 监理服务范围</w:t>
      </w:r>
    </w:p>
    <w:p w14:paraId="5257C691">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第三条 监理酬金及其支付方式</w:t>
      </w:r>
    </w:p>
    <w:p w14:paraId="2D8EBB15">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第四条 协议书中的词语定义</w:t>
      </w:r>
    </w:p>
    <w:p w14:paraId="3DF7A74F">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第五条 合同文件的解释顺序</w:t>
      </w:r>
    </w:p>
    <w:p w14:paraId="280ABBE7">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第六条 主要人员信息提供</w:t>
      </w:r>
    </w:p>
    <w:p w14:paraId="4AD2CAC0">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第七条 监理人资料变更</w:t>
      </w:r>
    </w:p>
    <w:p w14:paraId="62FA0F86">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第八条 人员变更通知</w:t>
      </w:r>
    </w:p>
    <w:p w14:paraId="1A68E293">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第九条 信息管理要求</w:t>
      </w:r>
    </w:p>
    <w:p w14:paraId="0FC678AE">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第十条 综合考评要求</w:t>
      </w:r>
    </w:p>
    <w:p w14:paraId="7BAB3B87">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第十一条 合同的生效与终止</w:t>
      </w:r>
    </w:p>
    <w:p w14:paraId="548559BC">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第十二条 合同文本的份数</w:t>
      </w:r>
    </w:p>
    <w:p w14:paraId="13F2CDD0">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第十三条 其它约定事项</w:t>
      </w:r>
    </w:p>
    <w:p w14:paraId="464CB3D9">
      <w:pPr>
        <w:adjustRightInd w:val="0"/>
        <w:snapToGrid w:val="0"/>
        <w:spacing w:line="360" w:lineRule="auto"/>
        <w:ind w:firstLine="720" w:firstLineChars="300"/>
        <w:rPr>
          <w:rFonts w:ascii="宋体" w:hAnsi="宋体"/>
          <w:color w:val="auto"/>
          <w:kern w:val="0"/>
          <w:sz w:val="24"/>
          <w:highlight w:val="none"/>
        </w:rPr>
      </w:pPr>
      <w:r>
        <w:rPr>
          <w:rFonts w:hint="eastAsia" w:ascii="宋体" w:hAnsi="宋体"/>
          <w:color w:val="auto"/>
          <w:kern w:val="0"/>
          <w:sz w:val="24"/>
          <w:highlight w:val="none"/>
        </w:rPr>
        <w:t>协议书附1：中标通知书</w:t>
      </w:r>
    </w:p>
    <w:p w14:paraId="1CB4F87F">
      <w:pPr>
        <w:adjustRightInd w:val="0"/>
        <w:snapToGrid w:val="0"/>
        <w:spacing w:line="360" w:lineRule="auto"/>
        <w:ind w:firstLine="720" w:firstLineChars="300"/>
        <w:rPr>
          <w:rFonts w:ascii="宋体" w:hAnsi="宋体"/>
          <w:color w:val="auto"/>
          <w:kern w:val="0"/>
          <w:sz w:val="24"/>
          <w:highlight w:val="none"/>
        </w:rPr>
      </w:pPr>
      <w:r>
        <w:rPr>
          <w:rFonts w:hint="eastAsia" w:ascii="宋体" w:hAnsi="宋体"/>
          <w:color w:val="auto"/>
          <w:kern w:val="0"/>
          <w:sz w:val="24"/>
          <w:highlight w:val="none"/>
        </w:rPr>
        <w:t>协议书附2：招标澄清、答疑文件</w:t>
      </w:r>
    </w:p>
    <w:p w14:paraId="79EB7783">
      <w:pPr>
        <w:tabs>
          <w:tab w:val="left" w:pos="1080"/>
          <w:tab w:val="left" w:pos="1501"/>
        </w:tabs>
        <w:topLinePunct/>
        <w:adjustRightInd w:val="0"/>
        <w:snapToGrid w:val="0"/>
        <w:spacing w:line="360" w:lineRule="auto"/>
        <w:ind w:firstLine="200"/>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第二篇  专用条件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2FCED1A7">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总则</w:t>
      </w:r>
    </w:p>
    <w:p w14:paraId="05D27A69">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第一条 词语定义</w:t>
      </w:r>
    </w:p>
    <w:p w14:paraId="5297DA53">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第二条 本合同适用的法律法规及监理依据</w:t>
      </w:r>
    </w:p>
    <w:p w14:paraId="393D54C0">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第四条 监理工作内容、项目监理机构及监理人员</w:t>
      </w:r>
    </w:p>
    <w:p w14:paraId="1818964C">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第五条 监理人义务</w:t>
      </w:r>
    </w:p>
    <w:p w14:paraId="52280FE1">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第九条 外部关系的协调</w:t>
      </w:r>
    </w:p>
    <w:p w14:paraId="083A23ED">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第十条 委托人向监理人提供的文件、资料</w:t>
      </w:r>
    </w:p>
    <w:p w14:paraId="5E73722D">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第十一条 委托人书面答复的时间</w:t>
      </w:r>
    </w:p>
    <w:p w14:paraId="2F9838CE">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第十二条 委托人代表及委托人监理代表</w:t>
      </w:r>
    </w:p>
    <w:p w14:paraId="2EEFF5DE">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第十五条 委托人提供的设备设施</w:t>
      </w:r>
    </w:p>
    <w:p w14:paraId="2C990E29">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第十六条 监理人的服务、工作人员</w:t>
      </w:r>
    </w:p>
    <w:p w14:paraId="4F13A5B6">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第十七条 监理人的权利</w:t>
      </w:r>
    </w:p>
    <w:p w14:paraId="4824436D">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第二十五条 监理服务的期限</w:t>
      </w:r>
    </w:p>
    <w:p w14:paraId="3DBF57E6">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第二十六条 监理人的违约责任（一）</w:t>
      </w:r>
    </w:p>
    <w:p w14:paraId="16A62718">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第二十七条 监理人的违约责任（二）</w:t>
      </w:r>
    </w:p>
    <w:p w14:paraId="527C5495">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第二十九条 委托人的违约责任</w:t>
      </w:r>
    </w:p>
    <w:p w14:paraId="2B29A7F0">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第三十一条 监理工作时间的延长</w:t>
      </w:r>
    </w:p>
    <w:p w14:paraId="31E216E2">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第三十二条 监理人无法履约或部分履约</w:t>
      </w:r>
    </w:p>
    <w:p w14:paraId="7F061CBA">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第三十三条 工程保修期间的监理责任</w:t>
      </w:r>
    </w:p>
    <w:p w14:paraId="1C3DDFBC">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第三十四条 合同的解除及合同的修改</w:t>
      </w:r>
    </w:p>
    <w:p w14:paraId="597FF29A">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第三十五条 标准条件第三十五条不适用</w:t>
      </w:r>
    </w:p>
    <w:p w14:paraId="4EE9569B">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第三十六条 标准条件第三十六条不适用</w:t>
      </w:r>
    </w:p>
    <w:p w14:paraId="0B3220FC">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第三十七条 监理人未履行监理义务的约定</w:t>
      </w:r>
    </w:p>
    <w:p w14:paraId="35C61D11">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第三十九条 监理酬金的计算方法、支付时间与金额的约定</w:t>
      </w:r>
    </w:p>
    <w:p w14:paraId="2EFC51CD">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第四十条 滞纳金的约定</w:t>
      </w:r>
    </w:p>
    <w:p w14:paraId="5BD91F12">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第四十一条 合同款项支付的币种</w:t>
      </w:r>
    </w:p>
    <w:p w14:paraId="7A1A629A">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第四十二条 付款相关票据</w:t>
      </w:r>
    </w:p>
    <w:p w14:paraId="60FBF8C9">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第四十三条 监理人员外出考察、监造等的费用</w:t>
      </w:r>
    </w:p>
    <w:p w14:paraId="352FB369">
      <w:pPr>
        <w:topLinePunct/>
        <w:adjustRightInd w:val="0"/>
        <w:snapToGrid w:val="0"/>
        <w:spacing w:line="360" w:lineRule="auto"/>
        <w:ind w:left="496" w:leftChars="236" w:firstLine="280" w:firstLineChars="117"/>
        <w:rPr>
          <w:rFonts w:ascii="Times New Roman" w:hAnsi="Times New Roman"/>
          <w:bCs/>
          <w:color w:val="auto"/>
          <w:kern w:val="0"/>
          <w:sz w:val="24"/>
          <w:szCs w:val="20"/>
          <w:highlight w:val="none"/>
        </w:rPr>
      </w:pPr>
      <w:r>
        <w:rPr>
          <w:rFonts w:hint="eastAsia" w:ascii="Times New Roman" w:hAnsi="Times New Roman"/>
          <w:bCs/>
          <w:color w:val="auto"/>
          <w:kern w:val="0"/>
          <w:sz w:val="24"/>
          <w:szCs w:val="20"/>
          <w:highlight w:val="none"/>
        </w:rPr>
        <w:t>第四十四条 监理范围、监理内容调整的约定</w:t>
      </w:r>
    </w:p>
    <w:p w14:paraId="7ECFCFF3">
      <w:pPr>
        <w:topLinePunct/>
        <w:adjustRightInd w:val="0"/>
        <w:snapToGrid w:val="0"/>
        <w:spacing w:line="360" w:lineRule="auto"/>
        <w:ind w:left="496" w:leftChars="236" w:firstLine="280" w:firstLineChars="117"/>
        <w:rPr>
          <w:rFonts w:ascii="Times New Roman" w:hAnsi="Times New Roman"/>
          <w:b/>
          <w:bCs/>
          <w:color w:val="auto"/>
          <w:kern w:val="0"/>
          <w:sz w:val="24"/>
          <w:szCs w:val="20"/>
          <w:highlight w:val="none"/>
        </w:rPr>
      </w:pPr>
      <w:r>
        <w:rPr>
          <w:rFonts w:hint="eastAsia" w:ascii="Times New Roman" w:hAnsi="Times New Roman"/>
          <w:bCs/>
          <w:color w:val="auto"/>
          <w:kern w:val="0"/>
          <w:sz w:val="24"/>
          <w:szCs w:val="20"/>
          <w:highlight w:val="none"/>
        </w:rPr>
        <w:t>第四十九条 争议的解决方式</w:t>
      </w:r>
    </w:p>
    <w:p w14:paraId="588D8C3B">
      <w:pPr>
        <w:topLinePunct/>
        <w:adjustRightInd w:val="0"/>
        <w:snapToGrid w:val="0"/>
        <w:spacing w:line="360" w:lineRule="auto"/>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第三篇  标准条件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0317F4EC">
      <w:pPr>
        <w:topLinePunct/>
        <w:adjustRightInd w:val="0"/>
        <w:snapToGrid w:val="0"/>
        <w:spacing w:line="360" w:lineRule="auto"/>
        <w:jc w:val="left"/>
        <w:rPr>
          <w:rFonts w:ascii="Times New Roman" w:hAnsi="Times New Roman"/>
          <w:b/>
          <w:bCs/>
          <w:color w:val="auto"/>
          <w:spacing w:val="4"/>
          <w:kern w:val="0"/>
          <w:sz w:val="24"/>
          <w:szCs w:val="24"/>
          <w:highlight w:val="none"/>
        </w:rPr>
      </w:pPr>
      <w:r>
        <w:rPr>
          <w:rFonts w:hint="eastAsia" w:ascii="Times New Roman" w:hAnsi="Times New Roman"/>
          <w:b/>
          <w:bCs/>
          <w:color w:val="auto"/>
          <w:spacing w:val="4"/>
          <w:kern w:val="0"/>
          <w:sz w:val="24"/>
          <w:szCs w:val="24"/>
          <w:highlight w:val="none"/>
        </w:rPr>
        <w:t>第四篇  合同附件</w:t>
      </w:r>
      <w:r>
        <w:rPr>
          <w:rFonts w:hint="eastAsia" w:ascii="Times New Roman" w:hAnsi="Times New Roman"/>
          <w:b/>
          <w:bCs/>
          <w:color w:val="auto"/>
          <w:spacing w:val="4"/>
          <w:w w:val="90"/>
          <w:kern w:val="0"/>
          <w:sz w:val="24"/>
          <w:szCs w:val="24"/>
          <w:highlight w:val="none"/>
        </w:rPr>
        <w:t>……………………………</w:t>
      </w:r>
      <w:r>
        <w:rPr>
          <w:rFonts w:hint="eastAsia" w:ascii="Times New Roman" w:hAnsi="Times New Roman"/>
          <w:b/>
          <w:bCs/>
          <w:color w:val="auto"/>
          <w:spacing w:val="4"/>
          <w:kern w:val="0"/>
          <w:sz w:val="24"/>
          <w:szCs w:val="24"/>
          <w:highlight w:val="none"/>
        </w:rPr>
        <w:t>………………………………………</w:t>
      </w:r>
    </w:p>
    <w:p w14:paraId="2FD7CD58">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：工程建设廉洁协议书</w:t>
      </w:r>
    </w:p>
    <w:p w14:paraId="3F1CE44D">
      <w:pPr>
        <w:pStyle w:val="17"/>
        <w:ind w:firstLine="720" w:firstLineChars="300"/>
        <w:rPr>
          <w:bCs/>
          <w:color w:val="auto"/>
          <w:spacing w:val="0"/>
          <w:highlight w:val="none"/>
        </w:rPr>
      </w:pPr>
      <w:r>
        <w:rPr>
          <w:rFonts w:hint="eastAsia"/>
          <w:bCs/>
          <w:strike/>
          <w:color w:val="auto"/>
          <w:spacing w:val="0"/>
          <w:highlight w:val="none"/>
        </w:rPr>
        <w:t>附件</w:t>
      </w:r>
      <w:r>
        <w:rPr>
          <w:bCs/>
          <w:strike/>
          <w:color w:val="auto"/>
          <w:spacing w:val="0"/>
          <w:highlight w:val="none"/>
        </w:rPr>
        <w:t>2</w:t>
      </w:r>
      <w:r>
        <w:rPr>
          <w:rFonts w:hint="eastAsia"/>
          <w:bCs/>
          <w:strike/>
          <w:color w:val="auto"/>
          <w:spacing w:val="0"/>
          <w:highlight w:val="none"/>
        </w:rPr>
        <w:t>：本项目《建设资金支付协议》</w:t>
      </w:r>
    </w:p>
    <w:p w14:paraId="0FFBDCAB">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附件3：各阶段工作成果文件的要求</w:t>
      </w:r>
    </w:p>
    <w:p w14:paraId="76F98471">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附件3</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：每期驻场监理人员出勤情况表</w:t>
      </w:r>
    </w:p>
    <w:p w14:paraId="32AAE4DA">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附件3</w:t>
      </w: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：每期监理设备投入情况表</w:t>
      </w:r>
    </w:p>
    <w:p w14:paraId="53C9C50A">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附件4：项目监理机构及监理人员</w:t>
      </w:r>
    </w:p>
    <w:p w14:paraId="3AED9F38">
      <w:pPr>
        <w:topLinePunct/>
        <w:adjustRightInd w:val="0"/>
        <w:snapToGrid w:val="0"/>
        <w:spacing w:line="360" w:lineRule="auto"/>
        <w:ind w:firstLine="1560" w:firstLineChars="65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1</w:t>
      </w:r>
      <w:r>
        <w:rPr>
          <w:rFonts w:hint="eastAsia" w:ascii="Times New Roman" w:hAnsi="Times New Roman"/>
          <w:bCs/>
          <w:color w:val="auto"/>
          <w:kern w:val="0"/>
          <w:sz w:val="24"/>
          <w:szCs w:val="24"/>
          <w:highlight w:val="none"/>
        </w:rPr>
        <w:t>）项目监理机构图</w:t>
      </w:r>
    </w:p>
    <w:p w14:paraId="7A135A72">
      <w:pPr>
        <w:topLinePunct/>
        <w:adjustRightInd w:val="0"/>
        <w:snapToGrid w:val="0"/>
        <w:spacing w:line="360" w:lineRule="auto"/>
        <w:ind w:firstLine="1560" w:firstLineChars="650"/>
        <w:rPr>
          <w:rFonts w:ascii="Times New Roman" w:hAnsi="Times New Roman"/>
          <w:color w:val="auto"/>
          <w:kern w:val="0"/>
          <w:sz w:val="24"/>
          <w:szCs w:val="24"/>
          <w:highlight w:val="none"/>
        </w:rPr>
      </w:pPr>
      <w:r>
        <w:rPr>
          <w:rFonts w:hint="eastAsia" w:ascii="Times New Roman" w:hAnsi="Times New Roman"/>
          <w:bCs/>
          <w:color w:val="auto"/>
          <w:kern w:val="0"/>
          <w:sz w:val="24"/>
          <w:szCs w:val="24"/>
          <w:highlight w:val="none"/>
        </w:rPr>
        <w:t>（</w:t>
      </w:r>
      <w:r>
        <w:rPr>
          <w:rFonts w:ascii="Times New Roman" w:hAnsi="Times New Roman"/>
          <w:bCs/>
          <w:color w:val="auto"/>
          <w:kern w:val="0"/>
          <w:sz w:val="24"/>
          <w:szCs w:val="24"/>
          <w:highlight w:val="none"/>
        </w:rPr>
        <w:t>2</w:t>
      </w:r>
      <w:r>
        <w:rPr>
          <w:rFonts w:hint="eastAsia" w:ascii="Times New Roman" w:hAnsi="Times New Roman"/>
          <w:bCs/>
          <w:color w:val="auto"/>
          <w:kern w:val="0"/>
          <w:sz w:val="24"/>
          <w:szCs w:val="24"/>
          <w:highlight w:val="none"/>
        </w:rPr>
        <w:t>）</w:t>
      </w:r>
      <w:r>
        <w:rPr>
          <w:rFonts w:hint="eastAsia" w:ascii="Times New Roman" w:hAnsi="Times New Roman"/>
          <w:color w:val="auto"/>
          <w:sz w:val="24"/>
          <w:szCs w:val="24"/>
          <w:highlight w:val="none"/>
        </w:rPr>
        <w:t>监理人员投入一览表</w:t>
      </w:r>
    </w:p>
    <w:p w14:paraId="6BF2C5EA">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附件5：（监理人）</w:t>
      </w:r>
      <w:r>
        <w:rPr>
          <w:rFonts w:hint="eastAsia" w:ascii="Times New Roman" w:hAnsi="Times New Roman"/>
          <w:color w:val="auto"/>
          <w:kern w:val="0"/>
          <w:sz w:val="24"/>
          <w:szCs w:val="24"/>
          <w:highlight w:val="none"/>
        </w:rPr>
        <w:t>拟投入本项目的通讯、办公、检测设备清单</w:t>
      </w:r>
    </w:p>
    <w:p w14:paraId="0892B708">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附件6：监理服务承诺书</w:t>
      </w:r>
    </w:p>
    <w:p w14:paraId="6921F32B">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附件7：监理人履约</w:t>
      </w:r>
      <w:r>
        <w:rPr>
          <w:rFonts w:ascii="Times New Roman" w:hAnsi="Times New Roman"/>
          <w:bCs/>
          <w:color w:val="auto"/>
          <w:kern w:val="0"/>
          <w:sz w:val="24"/>
          <w:szCs w:val="24"/>
          <w:highlight w:val="none"/>
        </w:rPr>
        <w:t>担保</w:t>
      </w:r>
      <w:r>
        <w:rPr>
          <w:rFonts w:hint="eastAsia" w:ascii="Times New Roman" w:hAnsi="Times New Roman"/>
          <w:bCs/>
          <w:color w:val="auto"/>
          <w:kern w:val="0"/>
          <w:sz w:val="24"/>
          <w:szCs w:val="24"/>
          <w:highlight w:val="none"/>
        </w:rPr>
        <w:t>（格式）及其承诺书</w:t>
      </w:r>
    </w:p>
    <w:p w14:paraId="78B2165E">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附件8：广州市重点公共建设项目管理办公室工程建设类制度汇编（另册）</w:t>
      </w:r>
    </w:p>
    <w:p w14:paraId="6B8D6C3B">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附件9：监理单位安全生产管理目标责任书</w:t>
      </w:r>
    </w:p>
    <w:p w14:paraId="748280D8">
      <w:pPr>
        <w:topLinePunct/>
        <w:adjustRightInd w:val="0"/>
        <w:snapToGrid w:val="0"/>
        <w:spacing w:line="360" w:lineRule="auto"/>
        <w:ind w:left="1698" w:leftChars="353" w:hanging="957" w:hangingChars="399"/>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附件10：</w:t>
      </w:r>
      <w:r>
        <w:rPr>
          <w:rFonts w:hint="eastAsia" w:ascii="Times New Roman" w:hAnsi="Times New Roman"/>
          <w:bCs/>
          <w:color w:val="auto"/>
          <w:kern w:val="0"/>
          <w:sz w:val="24"/>
          <w:szCs w:val="24"/>
          <w:highlight w:val="none"/>
          <w:lang w:eastAsia="zh-CN"/>
        </w:rPr>
        <w:t>华南理工大学大学城校区研究生宿舍（二期）施工监理</w:t>
      </w:r>
      <w:r>
        <w:rPr>
          <w:rFonts w:hint="eastAsia" w:ascii="Times New Roman" w:hAnsi="Times New Roman"/>
          <w:bCs/>
          <w:color w:val="auto"/>
          <w:kern w:val="0"/>
          <w:sz w:val="24"/>
          <w:szCs w:val="24"/>
          <w:highlight w:val="none"/>
        </w:rPr>
        <w:t>使用维护管理责任主体转移三方协议（格式）</w:t>
      </w:r>
    </w:p>
    <w:p w14:paraId="6A3E9BD1">
      <w:pPr>
        <w:topLinePunct/>
        <w:adjustRightInd w:val="0"/>
        <w:snapToGrid w:val="0"/>
        <w:spacing w:line="360" w:lineRule="auto"/>
        <w:ind w:left="1698" w:leftChars="353" w:hanging="957" w:hangingChars="399"/>
        <w:rPr>
          <w:rFonts w:ascii="Times New Roman" w:hAnsi="Times New Roman"/>
          <w:color w:val="auto"/>
          <w:kern w:val="0"/>
          <w:sz w:val="24"/>
          <w:szCs w:val="24"/>
          <w:highlight w:val="none"/>
        </w:rPr>
      </w:pPr>
      <w:r>
        <w:rPr>
          <w:rFonts w:hint="eastAsia" w:ascii="Times New Roman" w:hAnsi="Times New Roman" w:cs="Arial"/>
          <w:bCs/>
          <w:color w:val="auto"/>
          <w:kern w:val="0"/>
          <w:sz w:val="24"/>
          <w:szCs w:val="24"/>
          <w:highlight w:val="none"/>
        </w:rPr>
        <w:t>附件</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1：监理人营业执照及其法定代表人、项目总监理工程师、项目总监理工程师代表的姓名、身份证复印件、职务、职称、联系方式</w:t>
      </w:r>
    </w:p>
    <w:p w14:paraId="38BA891F">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附件12：工程质量终身责任承诺书</w:t>
      </w:r>
    </w:p>
    <w:p w14:paraId="057F41D1">
      <w:pPr>
        <w:topLinePunct/>
        <w:adjustRightInd w:val="0"/>
        <w:snapToGrid w:val="0"/>
        <w:spacing w:line="360" w:lineRule="auto"/>
        <w:ind w:firstLine="720" w:firstLineChars="300"/>
        <w:rPr>
          <w:rFonts w:ascii="Times New Roman" w:hAnsi="Times New Roman"/>
          <w:bCs/>
          <w:color w:val="auto"/>
          <w:kern w:val="0"/>
          <w:sz w:val="24"/>
          <w:szCs w:val="24"/>
          <w:highlight w:val="none"/>
        </w:rPr>
      </w:pPr>
      <w:r>
        <w:rPr>
          <w:rFonts w:hint="eastAsia" w:ascii="Times New Roman" w:hAnsi="Times New Roman"/>
          <w:bCs/>
          <w:color w:val="auto"/>
          <w:kern w:val="0"/>
          <w:sz w:val="24"/>
          <w:szCs w:val="24"/>
          <w:highlight w:val="none"/>
        </w:rPr>
        <w:t>附件13：结算审核工作质量情况考评细则</w:t>
      </w:r>
    </w:p>
    <w:p w14:paraId="41E59B71">
      <w:pPr>
        <w:rPr>
          <w:rFonts w:ascii="Times New Roman" w:hAnsi="Times New Roman"/>
          <w:b/>
          <w:snapToGrid w:val="0"/>
          <w:color w:val="auto"/>
          <w:spacing w:val="4"/>
          <w:sz w:val="30"/>
          <w:szCs w:val="30"/>
          <w:highlight w:val="none"/>
        </w:rPr>
      </w:pPr>
      <w:r>
        <w:rPr>
          <w:rFonts w:ascii="Times New Roman" w:hAnsi="Times New Roman"/>
          <w:color w:val="auto"/>
          <w:highlight w:val="none"/>
        </w:rPr>
        <w:br w:type="page"/>
      </w:r>
    </w:p>
    <w:p w14:paraId="707D8AA3">
      <w:pPr>
        <w:pStyle w:val="15"/>
        <w:spacing w:beforeLines="0" w:afterLines="0"/>
        <w:outlineLvl w:val="0"/>
        <w:rPr>
          <w:rFonts w:eastAsia="宋体"/>
          <w:color w:val="auto"/>
          <w:highlight w:val="none"/>
        </w:rPr>
      </w:pPr>
      <w:r>
        <w:rPr>
          <w:rFonts w:hint="eastAsia" w:eastAsia="宋体"/>
          <w:color w:val="auto"/>
          <w:highlight w:val="none"/>
        </w:rPr>
        <w:t>第一篇  协议书</w:t>
      </w:r>
    </w:p>
    <w:p w14:paraId="4A4B0E92">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2370CCCE">
      <w:pPr>
        <w:topLinePunct/>
        <w:adjustRightInd w:val="0"/>
        <w:snapToGrid w:val="0"/>
        <w:spacing w:line="360" w:lineRule="auto"/>
        <w:ind w:firstLine="482" w:firstLineChars="200"/>
        <w:rPr>
          <w:rFonts w:ascii="Times New Roman" w:hAnsi="Times New Roman"/>
          <w:b/>
          <w:color w:val="auto"/>
          <w:spacing w:val="4"/>
          <w:kern w:val="0"/>
          <w:sz w:val="24"/>
          <w:szCs w:val="24"/>
          <w:highlight w:val="none"/>
          <w:u w:val="single"/>
        </w:rPr>
      </w:pPr>
      <w:r>
        <w:rPr>
          <w:rFonts w:hint="eastAsia" w:ascii="Times New Roman" w:hAnsi="Times New Roman" w:cs="Arial"/>
          <w:b/>
          <w:color w:val="auto"/>
          <w:kern w:val="0"/>
          <w:sz w:val="24"/>
          <w:szCs w:val="24"/>
          <w:highlight w:val="none"/>
        </w:rPr>
        <w:t>广州市重点公共建设项目管理中心</w:t>
      </w:r>
      <w:r>
        <w:rPr>
          <w:rFonts w:hint="eastAsia" w:ascii="Times New Roman" w:hAnsi="Times New Roman" w:cs="Arial"/>
          <w:color w:val="auto"/>
          <w:kern w:val="0"/>
          <w:sz w:val="24"/>
          <w:szCs w:val="24"/>
          <w:highlight w:val="none"/>
        </w:rPr>
        <w:t>（以下称委托人）与</w:t>
      </w:r>
      <w:r>
        <w:rPr>
          <w:rFonts w:hint="eastAsia" w:ascii="Times New Roman" w:hAnsi="Times New Roman" w:cs="Arial"/>
          <w:color w:val="auto"/>
          <w:kern w:val="0"/>
          <w:sz w:val="24"/>
          <w:szCs w:val="24"/>
          <w:highlight w:val="none"/>
          <w:u w:val="single"/>
        </w:rPr>
        <w:t xml:space="preserve">             </w:t>
      </w:r>
      <w:r>
        <w:rPr>
          <w:rFonts w:hint="eastAsia" w:ascii="Times New Roman" w:hAnsi="Times New Roman" w:cs="Arial"/>
          <w:color w:val="auto"/>
          <w:kern w:val="0"/>
          <w:sz w:val="24"/>
          <w:szCs w:val="24"/>
          <w:highlight w:val="none"/>
        </w:rPr>
        <w:t>（以下称监理人）依照《中华人民共和国民法典》、《中华人民共和国建筑法》及其他有关法律、行政法规、部门规章、地方性法规和规章，以及政府关于</w:t>
      </w:r>
      <w:r>
        <w:rPr>
          <w:rFonts w:hint="eastAsia" w:ascii="Times New Roman" w:hAnsi="Times New Roman" w:cs="Arial"/>
          <w:color w:val="auto"/>
          <w:kern w:val="0"/>
          <w:sz w:val="24"/>
          <w:szCs w:val="24"/>
          <w:highlight w:val="none"/>
          <w:u w:val="single"/>
          <w:lang w:eastAsia="zh-CN"/>
        </w:rPr>
        <w:t>华南理工大学大学城校区研究生宿舍（二期）</w:t>
      </w:r>
      <w:r>
        <w:rPr>
          <w:rFonts w:hint="eastAsia" w:ascii="Times New Roman" w:hAnsi="Times New Roman" w:cs="Arial"/>
          <w:color w:val="auto"/>
          <w:kern w:val="0"/>
          <w:sz w:val="24"/>
          <w:szCs w:val="24"/>
          <w:highlight w:val="none"/>
        </w:rPr>
        <w:t>（以下称本项目）的有关文件，遵循平等、自愿、公平和诚实信用的原则，双方就本项目监理事宜协商一致，订立本合同。</w:t>
      </w:r>
    </w:p>
    <w:p w14:paraId="5CAFC10D">
      <w:pPr>
        <w:tabs>
          <w:tab w:val="center" w:pos="4666"/>
        </w:tabs>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第一条 监理工程概况</w:t>
      </w:r>
    </w:p>
    <w:p w14:paraId="5C56799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（1）</w:t>
      </w:r>
      <w:r>
        <w:rPr>
          <w:rFonts w:hint="eastAsia" w:ascii="Times New Roman" w:hAnsi="Times New Roman"/>
          <w:color w:val="auto"/>
          <w:spacing w:val="4"/>
          <w:kern w:val="0"/>
          <w:sz w:val="24"/>
          <w:szCs w:val="24"/>
          <w:highlight w:val="none"/>
        </w:rPr>
        <w:t>工程名称：</w:t>
      </w:r>
      <w:r>
        <w:rPr>
          <w:rFonts w:hint="eastAsia" w:ascii="Times New Roman" w:hAnsi="Times New Roman" w:cs="Arial"/>
          <w:color w:val="auto"/>
          <w:kern w:val="0"/>
          <w:sz w:val="24"/>
          <w:szCs w:val="24"/>
          <w:highlight w:val="none"/>
          <w:u w:val="single"/>
          <w:lang w:eastAsia="zh-CN"/>
        </w:rPr>
        <w:t>华南理工大学大学城校区研究生宿舍（二期）</w:t>
      </w:r>
      <w:r>
        <w:rPr>
          <w:rFonts w:hint="eastAsia" w:ascii="Times New Roman" w:hAnsi="Times New Roman"/>
          <w:color w:val="auto"/>
          <w:spacing w:val="4"/>
          <w:kern w:val="0"/>
          <w:sz w:val="24"/>
          <w:szCs w:val="24"/>
          <w:highlight w:val="none"/>
        </w:rPr>
        <w:t>。</w:t>
      </w:r>
    </w:p>
    <w:p w14:paraId="6D8B16CA">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2</w:t>
      </w:r>
      <w:r>
        <w:rPr>
          <w:rFonts w:hint="eastAsia" w:ascii="Times New Roman" w:hAnsi="Times New Roman"/>
          <w:color w:val="auto"/>
          <w:spacing w:val="4"/>
          <w:kern w:val="0"/>
          <w:sz w:val="24"/>
          <w:szCs w:val="24"/>
          <w:highlight w:val="none"/>
        </w:rPr>
        <w:t>）工程地点：</w:t>
      </w:r>
      <w:r>
        <w:rPr>
          <w:rFonts w:hint="eastAsia" w:ascii="Times New Roman" w:hAnsi="Times New Roman"/>
          <w:color w:val="auto"/>
          <w:spacing w:val="4"/>
          <w:kern w:val="0"/>
          <w:sz w:val="24"/>
          <w:szCs w:val="24"/>
          <w:highlight w:val="none"/>
          <w:u w:val="single"/>
          <w:lang w:val="en-US" w:eastAsia="zh-CN"/>
        </w:rPr>
        <w:t>项目</w:t>
      </w:r>
      <w:r>
        <w:rPr>
          <w:rFonts w:hint="eastAsia" w:ascii="宋体" w:hAnsi="宋体" w:cs="宋体"/>
          <w:b w:val="0"/>
          <w:bCs/>
          <w:color w:val="auto"/>
          <w:sz w:val="24"/>
          <w:szCs w:val="24"/>
          <w:highlight w:val="none"/>
          <w:u w:val="single"/>
          <w:lang w:eastAsia="zh-CN"/>
        </w:rPr>
        <w:t>位于华南理工大学大学</w:t>
      </w:r>
      <w:r>
        <w:rPr>
          <w:rFonts w:hint="eastAsia" w:ascii="宋体" w:hAnsi="宋体" w:cs="宋体"/>
          <w:b w:val="0"/>
          <w:bCs/>
          <w:color w:val="auto"/>
          <w:sz w:val="24"/>
          <w:szCs w:val="24"/>
          <w:highlight w:val="none"/>
          <w:u w:val="single"/>
          <w:lang w:val="en-US" w:eastAsia="zh-CN"/>
        </w:rPr>
        <w:t>城校区</w:t>
      </w:r>
      <w:r>
        <w:rPr>
          <w:rFonts w:hint="eastAsia" w:ascii="Times New Roman" w:hAnsi="Times New Roman" w:cs="Arial"/>
          <w:color w:val="auto"/>
          <w:kern w:val="0"/>
          <w:sz w:val="24"/>
          <w:szCs w:val="24"/>
          <w:highlight w:val="none"/>
          <w:u w:val="single"/>
          <w:lang w:eastAsia="zh-CN"/>
        </w:rPr>
        <w:t>。</w:t>
      </w:r>
    </w:p>
    <w:p w14:paraId="4210C62E">
      <w:pPr>
        <w:topLinePunct/>
        <w:adjustRightInd w:val="0"/>
        <w:snapToGrid w:val="0"/>
        <w:spacing w:line="360" w:lineRule="auto"/>
        <w:ind w:firstLine="496" w:firstLineChars="200"/>
        <w:jc w:val="left"/>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3</w:t>
      </w:r>
      <w:r>
        <w:rPr>
          <w:rFonts w:hint="eastAsia" w:ascii="Times New Roman" w:hAnsi="Times New Roman"/>
          <w:color w:val="auto"/>
          <w:spacing w:val="4"/>
          <w:kern w:val="0"/>
          <w:sz w:val="24"/>
          <w:szCs w:val="24"/>
          <w:highlight w:val="none"/>
        </w:rPr>
        <w:t>）工程规模：</w:t>
      </w:r>
      <w:r>
        <w:rPr>
          <w:rFonts w:hint="eastAsia" w:ascii="宋体" w:hAnsi="宋体" w:cs="宋体"/>
          <w:b w:val="0"/>
          <w:bCs/>
          <w:color w:val="auto"/>
          <w:sz w:val="24"/>
          <w:szCs w:val="24"/>
          <w:highlight w:val="none"/>
          <w:u w:val="single"/>
          <w:lang w:val="en-US" w:eastAsia="zh-CN"/>
        </w:rPr>
        <w:t>本</w:t>
      </w:r>
      <w:r>
        <w:rPr>
          <w:rFonts w:hint="eastAsia" w:ascii="宋体" w:hAnsi="宋体" w:cs="宋体"/>
          <w:b w:val="0"/>
          <w:bCs/>
          <w:color w:val="auto"/>
          <w:sz w:val="24"/>
          <w:szCs w:val="24"/>
          <w:highlight w:val="none"/>
          <w:u w:val="single"/>
          <w:lang w:eastAsia="zh-CN"/>
        </w:rPr>
        <w:t>项目拟建建筑面积为77690.0平方米，其中地上建筑面积为60190.0平方米，地下建筑面积为17500.0平方米。主要建设内容为学生宿舍、一站式学生社区服务中心、设备用房及人防地下车库。地上部分包括6栋15层的宿舍楼和局部1层公共门厅及风雨连廊，共有644间宿舍单元用房，共2324间宿舍；一站式学生社区服务中心位于宿舍楼首层。地下停车库1层，机动车停车位410个，非机动车停车位1806个。最大建筑高度约48米，最高层数15层</w:t>
      </w:r>
      <w:r>
        <w:rPr>
          <w:rFonts w:hint="eastAsia" w:ascii="宋体" w:hAnsi="宋体" w:cs="宋体"/>
          <w:b w:val="0"/>
          <w:bCs/>
          <w:color w:val="auto"/>
          <w:sz w:val="24"/>
          <w:szCs w:val="24"/>
          <w:highlight w:val="none"/>
          <w:u w:val="single"/>
          <w:lang w:val="en-US" w:eastAsia="zh-CN"/>
        </w:rPr>
        <w:t>。</w:t>
      </w:r>
    </w:p>
    <w:p w14:paraId="1906FCD4">
      <w:pPr>
        <w:tabs>
          <w:tab w:val="left" w:pos="7513"/>
        </w:tabs>
        <w:topLinePunct/>
        <w:adjustRightInd w:val="0"/>
        <w:snapToGrid w:val="0"/>
        <w:spacing w:line="360" w:lineRule="auto"/>
        <w:ind w:firstLine="496" w:firstLineChars="200"/>
        <w:rPr>
          <w:rFonts w:hint="eastAsia" w:ascii="Times New Roman" w:hAnsi="Times New Roman" w:eastAsia="宋体"/>
          <w:color w:val="auto"/>
          <w:spacing w:val="4"/>
          <w:kern w:val="0"/>
          <w:sz w:val="24"/>
          <w:szCs w:val="24"/>
          <w:highlight w:val="none"/>
          <w:lang w:eastAsia="zh-CN"/>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4</w:t>
      </w:r>
      <w:r>
        <w:rPr>
          <w:rFonts w:hint="eastAsia" w:ascii="Times New Roman" w:hAnsi="Times New Roman"/>
          <w:color w:val="auto"/>
          <w:spacing w:val="4"/>
          <w:kern w:val="0"/>
          <w:sz w:val="24"/>
          <w:szCs w:val="24"/>
          <w:highlight w:val="none"/>
        </w:rPr>
        <w:t>）工程总投资：</w:t>
      </w:r>
      <w:r>
        <w:rPr>
          <w:rFonts w:hint="eastAsia" w:ascii="宋体" w:hAnsi="宋体" w:cs="宋体"/>
          <w:color w:val="auto"/>
          <w:sz w:val="24"/>
          <w:szCs w:val="24"/>
          <w:highlight w:val="none"/>
          <w:u w:val="single"/>
          <w:lang w:val="en-US" w:eastAsia="zh-CN"/>
        </w:rPr>
        <w:t>项目</w:t>
      </w:r>
      <w:r>
        <w:rPr>
          <w:rFonts w:hint="default" w:ascii="宋体" w:hAnsi="宋体" w:cs="宋体"/>
          <w:color w:val="auto"/>
          <w:sz w:val="24"/>
          <w:szCs w:val="24"/>
          <w:highlight w:val="none"/>
          <w:u w:val="single"/>
          <w:lang w:eastAsia="zh-CN"/>
          <w:woUserID w:val="1"/>
        </w:rPr>
        <w:t>投资估算评审</w:t>
      </w:r>
      <w:r>
        <w:rPr>
          <w:rFonts w:hint="eastAsia" w:ascii="宋体" w:hAnsi="宋体" w:cs="宋体"/>
          <w:color w:val="auto"/>
          <w:sz w:val="24"/>
          <w:szCs w:val="24"/>
          <w:highlight w:val="none"/>
          <w:u w:val="single"/>
          <w:lang w:val="en-US" w:eastAsia="zh-CN"/>
        </w:rPr>
        <w:t>总投资</w:t>
      </w:r>
      <w:r>
        <w:rPr>
          <w:rFonts w:hint="default" w:ascii="宋体" w:hAnsi="宋体" w:cs="宋体"/>
          <w:color w:val="auto"/>
          <w:sz w:val="24"/>
          <w:szCs w:val="24"/>
          <w:highlight w:val="none"/>
          <w:u w:val="single"/>
          <w:lang w:eastAsia="zh-CN"/>
          <w:woUserID w:val="1"/>
        </w:rPr>
        <w:t>：</w:t>
      </w:r>
      <w:r>
        <w:rPr>
          <w:rFonts w:hint="eastAsia" w:ascii="宋体" w:hAnsi="宋体" w:cs="宋体"/>
          <w:color w:val="auto"/>
          <w:sz w:val="24"/>
          <w:szCs w:val="24"/>
          <w:highlight w:val="none"/>
          <w:u w:val="single"/>
          <w:lang w:val="en-US" w:eastAsia="zh-CN"/>
        </w:rPr>
        <w:t>4</w:t>
      </w:r>
      <w:r>
        <w:rPr>
          <w:rFonts w:hint="default" w:ascii="宋体" w:hAnsi="宋体" w:cs="宋体"/>
          <w:color w:val="auto"/>
          <w:sz w:val="24"/>
          <w:szCs w:val="24"/>
          <w:highlight w:val="none"/>
          <w:u w:val="single"/>
          <w:lang w:eastAsia="zh-CN"/>
          <w:woUserID w:val="1"/>
        </w:rPr>
        <w:t>4966</w:t>
      </w:r>
      <w:r>
        <w:rPr>
          <w:rFonts w:hint="eastAsia" w:ascii="宋体" w:hAnsi="宋体" w:cs="宋体"/>
          <w:color w:val="auto"/>
          <w:sz w:val="24"/>
          <w:szCs w:val="24"/>
          <w:highlight w:val="none"/>
          <w:u w:val="single"/>
          <w:lang w:val="en-US" w:eastAsia="zh-CN"/>
        </w:rPr>
        <w:t>万元，其中：建安工程费3</w:t>
      </w:r>
      <w:r>
        <w:rPr>
          <w:rFonts w:hint="default" w:ascii="宋体" w:hAnsi="宋体" w:cs="宋体"/>
          <w:color w:val="auto"/>
          <w:sz w:val="24"/>
          <w:szCs w:val="24"/>
          <w:highlight w:val="none"/>
          <w:u w:val="single"/>
          <w:lang w:eastAsia="zh-CN"/>
          <w:woUserID w:val="1"/>
        </w:rPr>
        <w:t>7687</w:t>
      </w:r>
      <w:r>
        <w:rPr>
          <w:rFonts w:hint="eastAsia" w:ascii="宋体" w:hAnsi="宋体" w:cs="宋体"/>
          <w:color w:val="auto"/>
          <w:sz w:val="24"/>
          <w:szCs w:val="24"/>
          <w:highlight w:val="none"/>
          <w:u w:val="single"/>
          <w:lang w:val="en-US" w:eastAsia="zh-CN"/>
        </w:rPr>
        <w:t>万元。</w:t>
      </w:r>
    </w:p>
    <w:p w14:paraId="77A8BE5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5</w:t>
      </w:r>
      <w:r>
        <w:rPr>
          <w:rFonts w:hint="eastAsia" w:ascii="Times New Roman" w:hAnsi="Times New Roman"/>
          <w:color w:val="auto"/>
          <w:spacing w:val="4"/>
          <w:kern w:val="0"/>
          <w:sz w:val="24"/>
          <w:szCs w:val="24"/>
          <w:highlight w:val="none"/>
        </w:rPr>
        <w:t>）质量目标：一次性通过竣工</w:t>
      </w:r>
      <w:r>
        <w:rPr>
          <w:rFonts w:hint="default" w:ascii="Times New Roman" w:hAnsi="Times New Roman"/>
          <w:color w:val="auto"/>
          <w:spacing w:val="4"/>
          <w:kern w:val="0"/>
          <w:sz w:val="24"/>
          <w:szCs w:val="24"/>
          <w:highlight w:val="none"/>
        </w:rPr>
        <w:t>联合</w:t>
      </w:r>
      <w:r>
        <w:rPr>
          <w:rFonts w:hint="eastAsia" w:ascii="Times New Roman" w:hAnsi="Times New Roman"/>
          <w:color w:val="auto"/>
          <w:spacing w:val="4"/>
          <w:kern w:val="0"/>
          <w:sz w:val="24"/>
          <w:szCs w:val="24"/>
          <w:highlight w:val="none"/>
        </w:rPr>
        <w:t>验收，且</w:t>
      </w:r>
    </w:p>
    <w:p w14:paraId="227FC319">
      <w:pPr>
        <w:adjustRightInd w:val="0"/>
        <w:snapToGrid w:val="0"/>
        <w:spacing w:line="360" w:lineRule="auto"/>
        <w:ind w:right="11" w:firstLine="496" w:firstLineChars="200"/>
        <w:rPr>
          <w:rFonts w:hint="eastAsia" w:ascii="宋体" w:hAnsi="宋体"/>
          <w:color w:val="auto"/>
          <w:sz w:val="24"/>
          <w:szCs w:val="24"/>
          <w:highlight w:val="none"/>
        </w:rPr>
      </w:pPr>
      <w:r>
        <w:rPr>
          <w:rFonts w:hint="eastAsia" w:ascii="宋体" w:hAnsi="宋体" w:cs="宋体"/>
          <w:color w:val="auto"/>
          <w:spacing w:val="4"/>
          <w:kern w:val="2"/>
          <w:sz w:val="24"/>
          <w:szCs w:val="24"/>
          <w:highlight w:val="none"/>
          <w:lang w:val="en-US" w:eastAsia="zh-CN" w:bidi="ar"/>
        </w:rPr>
        <w:t>☑</w:t>
      </w:r>
      <w:r>
        <w:rPr>
          <w:rFonts w:hint="eastAsia" w:ascii="宋体" w:hAnsi="宋体"/>
          <w:b/>
          <w:bCs/>
          <w:snapToGrid w:val="0"/>
          <w:color w:val="auto"/>
          <w:kern w:val="0"/>
          <w:sz w:val="24"/>
          <w:szCs w:val="24"/>
          <w:highlight w:val="none"/>
          <w:lang w:val="en-US" w:eastAsia="zh-CN"/>
        </w:rPr>
        <w:t xml:space="preserve"> </w:t>
      </w:r>
      <w:r>
        <w:rPr>
          <w:rFonts w:hint="eastAsia" w:ascii="宋体" w:hAnsi="宋体"/>
          <w:color w:val="auto"/>
          <w:sz w:val="24"/>
          <w:szCs w:val="24"/>
          <w:highlight w:val="none"/>
        </w:rPr>
        <w:t>必须取得广州市建设工程优质奖。</w:t>
      </w:r>
    </w:p>
    <w:p w14:paraId="4407D0ED">
      <w:pPr>
        <w:adjustRightInd w:val="0"/>
        <w:snapToGrid w:val="0"/>
        <w:spacing w:line="360" w:lineRule="auto"/>
        <w:ind w:right="11" w:firstLine="482" w:firstLineChars="200"/>
        <w:rPr>
          <w:rFonts w:hint="eastAsia" w:ascii="宋体" w:hAnsi="宋体"/>
          <w:color w:val="auto"/>
          <w:sz w:val="24"/>
          <w:szCs w:val="24"/>
          <w:highlight w:val="none"/>
        </w:rPr>
      </w:pPr>
      <w:r>
        <w:rPr>
          <w:rFonts w:hint="eastAsia" w:ascii="宋体" w:hAnsi="宋体"/>
          <w:b/>
          <w:bCs/>
          <w:snapToGrid w:val="0"/>
          <w:color w:val="auto"/>
          <w:kern w:val="0"/>
          <w:sz w:val="24"/>
          <w:szCs w:val="24"/>
          <w:highlight w:val="none"/>
          <w:lang w:val="en-US" w:eastAsia="zh-CN"/>
        </w:rPr>
        <w:t xml:space="preserve">☒ </w:t>
      </w:r>
      <w:r>
        <w:rPr>
          <w:rFonts w:hint="eastAsia" w:ascii="宋体" w:hAnsi="宋体"/>
          <w:color w:val="auto"/>
          <w:sz w:val="24"/>
          <w:szCs w:val="24"/>
          <w:highlight w:val="none"/>
        </w:rPr>
        <w:t>必须</w:t>
      </w:r>
      <w:r>
        <w:rPr>
          <w:rFonts w:hint="default" w:ascii="宋体" w:hAnsi="宋体"/>
          <w:color w:val="auto"/>
          <w:sz w:val="24"/>
          <w:szCs w:val="24"/>
          <w:highlight w:val="none"/>
        </w:rPr>
        <w:t>取得</w:t>
      </w:r>
      <w:r>
        <w:rPr>
          <w:rFonts w:hint="eastAsia" w:ascii="宋体" w:hAnsi="宋体"/>
          <w:color w:val="auto"/>
          <w:sz w:val="24"/>
          <w:szCs w:val="24"/>
          <w:highlight w:val="none"/>
        </w:rPr>
        <w:t>广东省建设工程优质奖。</w:t>
      </w:r>
    </w:p>
    <w:p w14:paraId="025B8DF2">
      <w:pPr>
        <w:adjustRightInd w:val="0"/>
        <w:snapToGrid w:val="0"/>
        <w:spacing w:line="360" w:lineRule="auto"/>
        <w:ind w:right="11" w:firstLine="482" w:firstLineChars="200"/>
        <w:rPr>
          <w:rFonts w:hint="eastAsia" w:ascii="宋体" w:hAnsi="宋体"/>
          <w:b w:val="0"/>
          <w:bCs w:val="0"/>
          <w:color w:val="auto"/>
          <w:spacing w:val="0"/>
          <w:sz w:val="24"/>
          <w:szCs w:val="24"/>
          <w:highlight w:val="none"/>
          <w:lang w:val="en-US" w:eastAsia="zh-CN"/>
        </w:rPr>
      </w:pPr>
      <w:r>
        <w:rPr>
          <w:rFonts w:hint="eastAsia" w:ascii="宋体" w:hAnsi="宋体"/>
          <w:b/>
          <w:bCs/>
          <w:snapToGrid w:val="0"/>
          <w:color w:val="auto"/>
          <w:kern w:val="0"/>
          <w:sz w:val="24"/>
          <w:szCs w:val="24"/>
          <w:highlight w:val="none"/>
          <w:lang w:val="en-US" w:eastAsia="zh-CN"/>
        </w:rPr>
        <w:t>☒</w:t>
      </w:r>
      <w:r>
        <w:rPr>
          <w:rFonts w:hint="eastAsia" w:ascii="宋体" w:hAnsi="宋体"/>
          <w:b/>
          <w:bCs/>
          <w:snapToGrid/>
          <w:color w:val="auto"/>
          <w:kern w:val="2"/>
          <w:sz w:val="24"/>
          <w:szCs w:val="24"/>
          <w:highlight w:val="none"/>
          <w:lang w:val="en-US" w:eastAsia="zh-CN"/>
        </w:rPr>
        <w:t xml:space="preserve"> </w:t>
      </w:r>
      <w:r>
        <w:rPr>
          <w:rFonts w:hint="eastAsia" w:ascii="宋体" w:hAnsi="宋体"/>
          <w:color w:val="auto"/>
          <w:sz w:val="24"/>
          <w:szCs w:val="24"/>
          <w:highlight w:val="none"/>
        </w:rPr>
        <w:t>必须国家优质工程奖。</w:t>
      </w:r>
    </w:p>
    <w:p w14:paraId="7499D424">
      <w:pPr>
        <w:adjustRightInd w:val="0"/>
        <w:snapToGrid w:val="0"/>
        <w:spacing w:line="360" w:lineRule="auto"/>
        <w:ind w:right="11" w:firstLine="496" w:firstLineChars="200"/>
        <w:rPr>
          <w:rFonts w:hint="eastAsia" w:ascii="宋体" w:hAnsi="宋体"/>
          <w:color w:val="auto"/>
          <w:spacing w:val="0"/>
          <w:kern w:val="2"/>
          <w:sz w:val="24"/>
          <w:szCs w:val="24"/>
          <w:highlight w:val="none"/>
        </w:rPr>
      </w:pPr>
      <w:r>
        <w:rPr>
          <w:rFonts w:hint="eastAsia" w:ascii="宋体" w:hAnsi="宋体" w:cs="宋体"/>
          <w:color w:val="auto"/>
          <w:spacing w:val="4"/>
          <w:kern w:val="2"/>
          <w:sz w:val="24"/>
          <w:szCs w:val="24"/>
          <w:highlight w:val="none"/>
          <w:lang w:val="en-US" w:eastAsia="zh-CN" w:bidi="ar"/>
        </w:rPr>
        <w:t>☑</w:t>
      </w:r>
      <w:r>
        <w:rPr>
          <w:rFonts w:hint="eastAsia" w:ascii="宋体" w:hAnsi="宋体"/>
          <w:b/>
          <w:bCs/>
          <w:snapToGrid w:val="0"/>
          <w:color w:val="auto"/>
          <w:kern w:val="0"/>
          <w:sz w:val="24"/>
          <w:szCs w:val="24"/>
          <w:highlight w:val="none"/>
          <w:lang w:val="en-US" w:eastAsia="zh-CN"/>
        </w:rPr>
        <w:t xml:space="preserve"> </w:t>
      </w:r>
      <w:r>
        <w:rPr>
          <w:rFonts w:hint="eastAsia" w:ascii="宋体" w:hAnsi="宋体"/>
          <w:b w:val="0"/>
          <w:bCs w:val="0"/>
          <w:color w:val="auto"/>
          <w:spacing w:val="0"/>
          <w:kern w:val="2"/>
          <w:sz w:val="24"/>
          <w:szCs w:val="24"/>
          <w:highlight w:val="none"/>
          <w:u w:val="none"/>
        </w:rPr>
        <w:t>其他：</w:t>
      </w:r>
      <w:r>
        <w:rPr>
          <w:rFonts w:hint="eastAsia" w:ascii="宋体" w:hAnsi="宋体" w:cs="宋体"/>
          <w:color w:val="auto"/>
          <w:sz w:val="24"/>
          <w:szCs w:val="24"/>
          <w:highlight w:val="none"/>
          <w:u w:val="single"/>
        </w:rPr>
        <w:t>分部工程验收合格率100%，项目所涉及的政府专项验收全部通过，单位工程一次竣工验收合格</w:t>
      </w:r>
      <w:r>
        <w:rPr>
          <w:rFonts w:hint="eastAsia" w:ascii="宋体" w:hAnsi="宋体"/>
          <w:b w:val="0"/>
          <w:bCs w:val="0"/>
          <w:color w:val="auto"/>
          <w:spacing w:val="0"/>
          <w:kern w:val="2"/>
          <w:sz w:val="24"/>
          <w:szCs w:val="24"/>
          <w:highlight w:val="none"/>
          <w:u w:val="single"/>
        </w:rPr>
        <w:t>。</w:t>
      </w:r>
    </w:p>
    <w:p w14:paraId="5023BE4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4"/>
          <w:szCs w:val="24"/>
          <w:highlight w:val="none"/>
        </w:rPr>
        <w:t>6</w:t>
      </w:r>
      <w:r>
        <w:rPr>
          <w:rFonts w:hint="eastAsia" w:ascii="Times New Roman" w:hAnsi="Times New Roman"/>
          <w:color w:val="auto"/>
          <w:spacing w:val="4"/>
          <w:kern w:val="0"/>
          <w:sz w:val="24"/>
          <w:szCs w:val="24"/>
          <w:highlight w:val="none"/>
        </w:rPr>
        <w:t>）职业健康安全管理目标：</w:t>
      </w:r>
    </w:p>
    <w:p w14:paraId="16CBA0E4">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1）事故隐患排查治理覆盖率100%，一般事故隐患整改率100%，重大事故隐患挂牌督办率100%</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kern w:val="0"/>
          <w:sz w:val="24"/>
          <w:szCs w:val="24"/>
          <w:highlight w:val="none"/>
        </w:rPr>
        <w:t>整改率100%；安全生产非法违法行为举报投诉查办率达到100%。杜绝发生一般事故等级</w:t>
      </w:r>
      <w:r>
        <w:rPr>
          <w:rFonts w:hint="eastAsia" w:ascii="宋体" w:hAnsi="宋体" w:cs="Times New Roman"/>
          <w:color w:val="auto"/>
          <w:sz w:val="24"/>
          <w:szCs w:val="24"/>
          <w:highlight w:val="none"/>
          <w:lang w:bidi="ar"/>
        </w:rPr>
        <w:t>及</w:t>
      </w:r>
      <w:r>
        <w:rPr>
          <w:rFonts w:hint="eastAsia" w:ascii="Times New Roman" w:hAnsi="Times New Roman"/>
          <w:color w:val="auto"/>
          <w:spacing w:val="4"/>
          <w:kern w:val="0"/>
          <w:sz w:val="24"/>
          <w:szCs w:val="24"/>
          <w:highlight w:val="none"/>
        </w:rPr>
        <w:t>以上的伤亡事故且工伤责任事故死亡人数为零。</w:t>
      </w:r>
    </w:p>
    <w:p w14:paraId="43197DEC">
      <w:pPr>
        <w:pStyle w:val="17"/>
        <w:ind w:firstLine="496"/>
        <w:rPr>
          <w:color w:val="auto"/>
          <w:highlight w:val="none"/>
        </w:rPr>
      </w:pPr>
      <w:r>
        <w:rPr>
          <w:rFonts w:hint="eastAsia"/>
          <w:color w:val="auto"/>
          <w:highlight w:val="none"/>
        </w:rPr>
        <w:t>2）确保</w:t>
      </w:r>
    </w:p>
    <w:p w14:paraId="1E51D80E">
      <w:pPr>
        <w:pStyle w:val="17"/>
        <w:ind w:firstLine="498"/>
        <w:rPr>
          <w:rFonts w:hint="eastAsia"/>
          <w:strike w:val="0"/>
          <w:color w:val="auto"/>
          <w:spacing w:val="0"/>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
          <w:bCs/>
          <w:strike w:val="0"/>
          <w:color w:val="auto"/>
          <w:highlight w:val="none"/>
        </w:rPr>
        <w:t xml:space="preserve"> </w:t>
      </w:r>
      <w:r>
        <w:rPr>
          <w:rFonts w:hint="eastAsia" w:ascii="宋体" w:hAnsi="宋体"/>
          <w:bCs/>
          <w:strike w:val="0"/>
          <w:color w:val="auto"/>
          <w:spacing w:val="0"/>
          <w:highlight w:val="none"/>
        </w:rPr>
        <w:t>达到广州市安全文明样板工地标准。</w:t>
      </w:r>
    </w:p>
    <w:p w14:paraId="3F4E93F2">
      <w:pPr>
        <w:adjustRightInd w:val="0"/>
        <w:snapToGrid w:val="0"/>
        <w:spacing w:line="360" w:lineRule="auto"/>
        <w:ind w:right="11" w:firstLine="482" w:firstLineChars="200"/>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
          <w:bCs/>
          <w:strike w:val="0"/>
          <w:snapToGrid w:val="0"/>
          <w:color w:val="auto"/>
          <w:kern w:val="0"/>
          <w:sz w:val="24"/>
          <w:highlight w:val="none"/>
        </w:rPr>
        <w:t xml:space="preserve"> </w:t>
      </w:r>
      <w:r>
        <w:rPr>
          <w:rFonts w:hint="eastAsia" w:ascii="宋体" w:hAnsi="宋体"/>
          <w:bCs/>
          <w:strike w:val="0"/>
          <w:snapToGrid w:val="0"/>
          <w:color w:val="auto"/>
          <w:kern w:val="0"/>
          <w:sz w:val="24"/>
          <w:highlight w:val="none"/>
        </w:rPr>
        <w:t>广州市安全文明样板工地。</w:t>
      </w:r>
    </w:p>
    <w:p w14:paraId="112023CD">
      <w:pPr>
        <w:adjustRightInd w:val="0"/>
        <w:snapToGrid w:val="0"/>
        <w:spacing w:line="360" w:lineRule="auto"/>
        <w:ind w:right="11" w:firstLine="482" w:firstLineChars="200"/>
        <w:rPr>
          <w:rFonts w:hint="eastAsia" w:ascii="宋体" w:hAnsi="宋体"/>
          <w:bCs/>
          <w:strike w:val="0"/>
          <w:snapToGrid w:val="0"/>
          <w:color w:val="auto"/>
          <w:kern w:val="0"/>
          <w:sz w:val="24"/>
          <w:highlight w:val="none"/>
        </w:rPr>
      </w:pPr>
      <w:r>
        <w:rPr>
          <w:rFonts w:hint="eastAsia" w:ascii="宋体" w:hAnsi="宋体"/>
          <w:b/>
          <w:bCs/>
          <w:snapToGrid w:val="0"/>
          <w:color w:val="auto"/>
          <w:kern w:val="0"/>
          <w:sz w:val="24"/>
          <w:szCs w:val="24"/>
          <w:highlight w:val="none"/>
          <w:lang w:val="en-US" w:eastAsia="zh-CN"/>
        </w:rPr>
        <w:t>☒</w:t>
      </w:r>
      <w:r>
        <w:rPr>
          <w:rFonts w:hint="eastAsia" w:ascii="宋体" w:hAnsi="宋体"/>
          <w:b/>
          <w:bCs/>
          <w:strike w:val="0"/>
          <w:snapToGrid w:val="0"/>
          <w:color w:val="auto"/>
          <w:kern w:val="0"/>
          <w:sz w:val="24"/>
          <w:szCs w:val="24"/>
          <w:highlight w:val="none"/>
        </w:rPr>
        <w:t xml:space="preserve"> </w:t>
      </w:r>
      <w:r>
        <w:rPr>
          <w:rFonts w:hint="eastAsia" w:ascii="宋体" w:hAnsi="宋体"/>
          <w:bCs/>
          <w:strike w:val="0"/>
          <w:snapToGrid w:val="0"/>
          <w:color w:val="auto"/>
          <w:kern w:val="0"/>
          <w:sz w:val="24"/>
          <w:highlight w:val="none"/>
        </w:rPr>
        <w:t>广东省安全文明样板工地。</w:t>
      </w:r>
    </w:p>
    <w:p w14:paraId="27989E93">
      <w:pPr>
        <w:pStyle w:val="10"/>
        <w:ind w:firstLine="496" w:firstLineChars="200"/>
        <w:rPr>
          <w:color w:val="auto"/>
          <w:highlight w:val="none"/>
        </w:rPr>
      </w:pPr>
      <w:r>
        <w:rPr>
          <w:rFonts w:hint="eastAsia" w:ascii="宋体" w:hAnsi="宋体" w:eastAsia="宋体" w:cs="宋体"/>
          <w:color w:val="auto"/>
          <w:spacing w:val="4"/>
          <w:kern w:val="2"/>
          <w:sz w:val="24"/>
          <w:szCs w:val="24"/>
          <w:highlight w:val="none"/>
          <w:lang w:val="en-US" w:eastAsia="zh-CN" w:bidi="ar"/>
          <w:woUserID w:val="1"/>
        </w:rPr>
        <w:t>☑</w:t>
      </w:r>
      <w:r>
        <w:rPr>
          <w:rFonts w:hint="eastAsia" w:ascii="宋体" w:hAnsi="宋体" w:eastAsia="宋体" w:cs="Times New Roman"/>
          <w:bCs/>
          <w:color w:val="auto"/>
          <w:spacing w:val="4"/>
          <w:kern w:val="0"/>
          <w:sz w:val="24"/>
          <w:szCs w:val="24"/>
          <w:highlight w:val="none"/>
          <w:lang w:val="en-US" w:eastAsia="zh-CN" w:bidi="ar"/>
          <w:woUserID w:val="1"/>
        </w:rPr>
        <w:t xml:space="preserve"> </w:t>
      </w:r>
      <w:r>
        <w:rPr>
          <w:rFonts w:hint="eastAsia" w:ascii="宋体" w:hAnsi="宋体" w:eastAsia="宋体" w:cs="宋体"/>
          <w:bCs/>
          <w:color w:val="auto"/>
          <w:spacing w:val="4"/>
          <w:kern w:val="0"/>
          <w:sz w:val="24"/>
          <w:szCs w:val="24"/>
          <w:highlight w:val="none"/>
          <w:lang w:val="en-US" w:eastAsia="zh-CN" w:bidi="ar"/>
          <w:woUserID w:val="1"/>
        </w:rPr>
        <w:t>其他</w:t>
      </w:r>
      <w:r>
        <w:rPr>
          <w:rFonts w:hint="eastAsia" w:ascii="宋体" w:hAnsi="宋体" w:eastAsia="宋体" w:cs="宋体"/>
          <w:color w:val="auto"/>
          <w:spacing w:val="4"/>
          <w:kern w:val="0"/>
          <w:sz w:val="24"/>
          <w:szCs w:val="24"/>
          <w:highlight w:val="none"/>
          <w:lang w:val="en-US" w:eastAsia="zh-CN" w:bidi="ar"/>
          <w:woUserID w:val="1"/>
        </w:rPr>
        <w:t>：</w:t>
      </w:r>
      <w:r>
        <w:rPr>
          <w:rFonts w:hint="eastAsia" w:ascii="宋体" w:hAnsi="宋体" w:eastAsia="宋体" w:cs="宋体"/>
          <w:color w:val="auto"/>
          <w:spacing w:val="4"/>
          <w:kern w:val="0"/>
          <w:sz w:val="24"/>
          <w:szCs w:val="24"/>
          <w:highlight w:val="none"/>
          <w:u w:val="single"/>
          <w:lang w:val="en-US" w:eastAsia="zh-CN" w:bidi="ar"/>
          <w:woUserID w:val="1"/>
        </w:rPr>
        <w:t>确保广东省安全生产文明施工示范工地</w:t>
      </w:r>
      <w:r>
        <w:rPr>
          <w:rFonts w:hint="eastAsia" w:ascii="宋体" w:hAnsi="宋体" w:eastAsia="宋体" w:cs="宋体"/>
          <w:color w:val="auto"/>
          <w:spacing w:val="4"/>
          <w:kern w:val="0"/>
          <w:sz w:val="24"/>
          <w:szCs w:val="24"/>
          <w:highlight w:val="none"/>
          <w:lang w:val="en-US" w:eastAsia="zh-CN" w:bidi="ar"/>
          <w:woUserID w:val="1"/>
        </w:rPr>
        <w:t>。</w:t>
      </w:r>
    </w:p>
    <w:p w14:paraId="23813CD6">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环境管理目标：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 316号）、《危险性较大的分部分项工程安全管理规定》(中华人民共和国住房和城乡建设部令第37号)、《关于加强建设工程安全生产管理 落实建设各方主体责任的暂行规定》（穗建规字〔2020〕34号）、</w:t>
      </w:r>
      <w:r>
        <w:rPr>
          <w:rFonts w:hint="eastAsia" w:ascii="宋体" w:hAnsi="宋体" w:eastAsia="宋体" w:cs="宋体"/>
          <w:color w:val="auto"/>
          <w:spacing w:val="4"/>
          <w:kern w:val="2"/>
          <w:sz w:val="24"/>
          <w:szCs w:val="24"/>
          <w:highlight w:val="none"/>
          <w:lang w:val="en-US" w:eastAsia="zh-CN" w:bidi="ar"/>
        </w:rPr>
        <w:t>《广州市住房和城乡建设局关于规范建筑施工立面外防护架标准的通知》、须满足《广州市住房和城乡建设局等</w:t>
      </w:r>
      <w:r>
        <w:rPr>
          <w:rFonts w:hint="default" w:ascii="Times New Roman" w:hAnsi="Times New Roman" w:eastAsia="宋体" w:cs="Times New Roman"/>
          <w:color w:val="auto"/>
          <w:spacing w:val="4"/>
          <w:kern w:val="2"/>
          <w:sz w:val="24"/>
          <w:szCs w:val="24"/>
          <w:highlight w:val="none"/>
          <w:lang w:val="en-US" w:eastAsia="zh-CN" w:bidi="ar"/>
        </w:rPr>
        <w:t>8</w:t>
      </w:r>
      <w:r>
        <w:rPr>
          <w:rFonts w:hint="eastAsia" w:ascii="宋体" w:hAnsi="宋体" w:eastAsia="宋体" w:cs="宋体"/>
          <w:color w:val="auto"/>
          <w:spacing w:val="4"/>
          <w:kern w:val="2"/>
          <w:sz w:val="24"/>
          <w:szCs w:val="24"/>
          <w:highlight w:val="none"/>
          <w:lang w:val="en-US" w:eastAsia="zh-CN" w:bidi="ar"/>
        </w:rPr>
        <w:t>部门关于印发广州市建设工程扬尘防治“</w:t>
      </w:r>
      <w:r>
        <w:rPr>
          <w:rFonts w:hint="default" w:ascii="Times New Roman" w:hAnsi="Times New Roman" w:eastAsia="宋体" w:cs="Times New Roman"/>
          <w:color w:val="auto"/>
          <w:spacing w:val="4"/>
          <w:kern w:val="2"/>
          <w:sz w:val="24"/>
          <w:szCs w:val="24"/>
          <w:highlight w:val="none"/>
          <w:lang w:val="en-US" w:eastAsia="zh-CN" w:bidi="ar"/>
        </w:rPr>
        <w:t>6</w:t>
      </w:r>
      <w:r>
        <w:rPr>
          <w:rFonts w:hint="eastAsia" w:ascii="宋体" w:hAnsi="宋体" w:eastAsia="宋体" w:cs="宋体"/>
          <w:color w:val="auto"/>
          <w:spacing w:val="4"/>
          <w:kern w:val="2"/>
          <w:sz w:val="24"/>
          <w:szCs w:val="24"/>
          <w:highlight w:val="none"/>
          <w:lang w:val="en-US" w:eastAsia="zh-CN" w:bidi="ar"/>
        </w:rPr>
        <w:t>个</w:t>
      </w:r>
      <w:r>
        <w:rPr>
          <w:rFonts w:hint="default" w:ascii="Times New Roman" w:hAnsi="Times New Roman" w:eastAsia="宋体" w:cs="Times New Roman"/>
          <w:color w:val="auto"/>
          <w:spacing w:val="4"/>
          <w:kern w:val="2"/>
          <w:sz w:val="24"/>
          <w:szCs w:val="24"/>
          <w:highlight w:val="none"/>
          <w:lang w:val="en-US" w:eastAsia="zh-CN" w:bidi="ar"/>
        </w:rPr>
        <w:t>100%</w:t>
      </w:r>
      <w:r>
        <w:rPr>
          <w:rFonts w:hint="eastAsia" w:ascii="宋体" w:hAnsi="宋体" w:eastAsia="宋体" w:cs="宋体"/>
          <w:color w:val="auto"/>
          <w:spacing w:val="4"/>
          <w:kern w:val="2"/>
          <w:sz w:val="24"/>
          <w:szCs w:val="24"/>
          <w:highlight w:val="none"/>
          <w:lang w:val="en-US" w:eastAsia="zh-CN" w:bidi="ar"/>
        </w:rPr>
        <w:t>”管理标准图集（</w:t>
      </w:r>
      <w:r>
        <w:rPr>
          <w:rFonts w:hint="default" w:ascii="Times New Roman" w:hAnsi="Times New Roman" w:eastAsia="宋体" w:cs="Times New Roman"/>
          <w:color w:val="auto"/>
          <w:spacing w:val="4"/>
          <w:kern w:val="2"/>
          <w:sz w:val="24"/>
          <w:szCs w:val="24"/>
          <w:highlight w:val="none"/>
          <w:lang w:val="en-US" w:eastAsia="zh-CN" w:bidi="ar"/>
        </w:rPr>
        <w:t>V2.0</w:t>
      </w:r>
      <w:r>
        <w:rPr>
          <w:rFonts w:hint="eastAsia" w:ascii="宋体" w:hAnsi="宋体" w:eastAsia="宋体" w:cs="宋体"/>
          <w:color w:val="auto"/>
          <w:spacing w:val="4"/>
          <w:kern w:val="2"/>
          <w:sz w:val="24"/>
          <w:szCs w:val="24"/>
          <w:highlight w:val="none"/>
          <w:lang w:val="en-US" w:eastAsia="zh-CN" w:bidi="ar"/>
        </w:rPr>
        <w:t>版）的通知》、</w:t>
      </w:r>
      <w:r>
        <w:rPr>
          <w:rFonts w:hint="eastAsia" w:ascii="Times New Roman" w:hAnsi="Times New Roman"/>
          <w:color w:val="auto"/>
          <w:spacing w:val="4"/>
          <w:sz w:val="24"/>
          <w:szCs w:val="24"/>
          <w:highlight w:val="none"/>
        </w:rPr>
        <w:t>《广州市住房和城乡建设委员会关于印发建设工程扬尘防治“6个100%”管理标准细化措施的通知》（穗建质〔2018〕1394号）、广州市住房和城乡建设局关于印发广州市房屋建筑工程安全防护指导图集（防高坠篇）的通知、《广州市建设工程绿色施工围蔽指导图集（V2.0版）》（穗建质〔2020〕1号）和《广东省建筑垃圾管理条例》（广东省第十三届人民代表大会常务委员会公告第126号）等国家、省、市现行标准、规定和文件要求,加强建筑工地文明施工管理，控制施工扬尘，推进生态文明建设；确保噪声污染、扬尘污染等环境污染问题零投诉。</w:t>
      </w:r>
    </w:p>
    <w:p w14:paraId="1B05FC19">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）投资控制目标：</w:t>
      </w:r>
      <w:r>
        <w:rPr>
          <w:rFonts w:hint="eastAsia" w:ascii="宋体" w:hAnsi="宋体" w:cs="Times New Roman"/>
          <w:color w:val="auto"/>
          <w:sz w:val="24"/>
          <w:szCs w:val="24"/>
          <w:highlight w:val="none"/>
          <w:lang w:bidi="ar"/>
        </w:rPr>
        <w:t>所监理项目的结算的建安工程费不超过本项目概算批复中对应的建安工程费</w:t>
      </w:r>
      <w:r>
        <w:rPr>
          <w:rFonts w:hint="eastAsia" w:ascii="宋体" w:hAnsi="宋体" w:cs="Times New Roman"/>
          <w:color w:val="auto"/>
          <w:sz w:val="24"/>
          <w:szCs w:val="24"/>
          <w:highlight w:val="none"/>
        </w:rPr>
        <w:t>。</w:t>
      </w:r>
    </w:p>
    <w:p w14:paraId="5BC65E62">
      <w:pPr>
        <w:keepNext w:val="0"/>
        <w:keepLines w:val="0"/>
        <w:widowControl w:val="0"/>
        <w:suppressLineNumbers w:val="0"/>
        <w:topLinePunct/>
        <w:adjustRightInd w:val="0"/>
        <w:snapToGrid w:val="0"/>
        <w:spacing w:before="0" w:beforeAutospacing="0" w:after="0" w:afterAutospacing="0" w:line="360" w:lineRule="auto"/>
        <w:ind w:left="0" w:right="0"/>
        <w:jc w:val="both"/>
        <w:rPr>
          <w:rFonts w:hint="eastAsia" w:ascii="Times New Roman" w:hAnsi="Times New Roman" w:eastAsia="宋体" w:cs="Times New Roman"/>
          <w:color w:val="auto"/>
          <w:spacing w:val="4"/>
          <w:kern w:val="2"/>
          <w:sz w:val="24"/>
          <w:szCs w:val="24"/>
          <w:highlight w:val="none"/>
        </w:rPr>
      </w:pPr>
      <w:r>
        <w:rPr>
          <w:rFonts w:hint="default" w:ascii="宋体" w:hAnsi="宋体" w:eastAsia="宋体" w:cs="宋体"/>
          <w:color w:val="auto"/>
          <w:spacing w:val="4"/>
          <w:kern w:val="2"/>
          <w:sz w:val="24"/>
          <w:szCs w:val="24"/>
          <w:highlight w:val="none"/>
          <w:lang w:eastAsia="zh-CN" w:bidi="ar"/>
        </w:rPr>
        <w:t xml:space="preserve">  </w:t>
      </w:r>
      <w:r>
        <w:rPr>
          <w:rFonts w:hint="eastAsia" w:ascii="宋体" w:hAnsi="宋体" w:cs="宋体"/>
          <w:color w:val="auto"/>
          <w:spacing w:val="4"/>
          <w:kern w:val="2"/>
          <w:sz w:val="24"/>
          <w:szCs w:val="24"/>
          <w:highlight w:val="none"/>
          <w:lang w:val="en-US" w:eastAsia="zh-CN" w:bidi="ar"/>
        </w:rPr>
        <w:t>☑</w:t>
      </w:r>
      <w:r>
        <w:rPr>
          <w:rFonts w:hint="eastAsia" w:ascii="宋体" w:hAnsi="宋体" w:eastAsia="宋体" w:cs="宋体"/>
          <w:color w:val="auto"/>
          <w:spacing w:val="4"/>
          <w:kern w:val="2"/>
          <w:sz w:val="24"/>
          <w:szCs w:val="24"/>
          <w:highlight w:val="none"/>
          <w:lang w:val="en-US" w:eastAsia="zh-CN" w:bidi="ar"/>
        </w:rPr>
        <w:t>（</w:t>
      </w:r>
      <w:r>
        <w:rPr>
          <w:rFonts w:hint="default" w:ascii="Times New Roman" w:hAnsi="Times New Roman" w:eastAsia="宋体" w:cs="Times New Roman"/>
          <w:color w:val="auto"/>
          <w:spacing w:val="4"/>
          <w:kern w:val="2"/>
          <w:sz w:val="24"/>
          <w:szCs w:val="24"/>
          <w:highlight w:val="none"/>
          <w:lang w:val="en-US" w:eastAsia="zh-CN" w:bidi="ar"/>
        </w:rPr>
        <w:t>9</w:t>
      </w:r>
      <w:r>
        <w:rPr>
          <w:rFonts w:hint="eastAsia" w:ascii="宋体" w:hAnsi="宋体" w:eastAsia="宋体" w:cs="宋体"/>
          <w:color w:val="auto"/>
          <w:spacing w:val="4"/>
          <w:kern w:val="2"/>
          <w:sz w:val="24"/>
          <w:szCs w:val="24"/>
          <w:highlight w:val="none"/>
          <w:lang w:val="en-US" w:eastAsia="zh-CN" w:bidi="ar"/>
        </w:rPr>
        <w:t>）智慧工地建设目标：参照严格执行《广州市住房和城乡建设局文件会关于进一步推进全市房屋建筑工地智慧工地建设的通知》（穗建质〔</w:t>
      </w:r>
      <w:r>
        <w:rPr>
          <w:rFonts w:hint="default" w:ascii="Times New Roman" w:hAnsi="Times New Roman" w:eastAsia="宋体" w:cs="Times New Roman"/>
          <w:color w:val="auto"/>
          <w:spacing w:val="4"/>
          <w:kern w:val="2"/>
          <w:sz w:val="24"/>
          <w:szCs w:val="24"/>
          <w:highlight w:val="none"/>
          <w:lang w:val="en-US" w:eastAsia="zh-CN" w:bidi="ar"/>
        </w:rPr>
        <w:t>2023</w:t>
      </w:r>
      <w:r>
        <w:rPr>
          <w:rFonts w:hint="eastAsia" w:ascii="宋体" w:hAnsi="宋体" w:eastAsia="宋体" w:cs="宋体"/>
          <w:color w:val="auto"/>
          <w:spacing w:val="4"/>
          <w:kern w:val="2"/>
          <w:sz w:val="24"/>
          <w:szCs w:val="24"/>
          <w:highlight w:val="none"/>
          <w:lang w:val="en-US" w:eastAsia="zh-CN" w:bidi="ar"/>
        </w:rPr>
        <w:t>〕</w:t>
      </w:r>
      <w:r>
        <w:rPr>
          <w:rFonts w:hint="default" w:ascii="Times New Roman" w:hAnsi="Times New Roman" w:eastAsia="宋体" w:cs="Times New Roman"/>
          <w:color w:val="auto"/>
          <w:spacing w:val="4"/>
          <w:kern w:val="2"/>
          <w:sz w:val="24"/>
          <w:szCs w:val="24"/>
          <w:highlight w:val="none"/>
          <w:lang w:val="en-US" w:eastAsia="zh-CN" w:bidi="ar"/>
        </w:rPr>
        <w:t>683</w:t>
      </w:r>
      <w:r>
        <w:rPr>
          <w:rFonts w:hint="eastAsia" w:ascii="宋体" w:hAnsi="宋体" w:eastAsia="宋体" w:cs="宋体"/>
          <w:color w:val="auto"/>
          <w:spacing w:val="4"/>
          <w:kern w:val="2"/>
          <w:sz w:val="24"/>
          <w:szCs w:val="24"/>
          <w:highlight w:val="none"/>
          <w:lang w:val="en-US" w:eastAsia="zh-CN" w:bidi="ar"/>
        </w:rPr>
        <w:t>号），实现在建项目集成管理、实时协同等功能，并通过政企互联信息交换方式与智慧工地监管平台进行有效对接。</w:t>
      </w:r>
    </w:p>
    <w:p w14:paraId="68D527FC">
      <w:pPr>
        <w:pStyle w:val="11"/>
        <w:ind w:firstLine="210"/>
        <w:rPr>
          <w:color w:val="auto"/>
          <w:highlight w:val="none"/>
        </w:rPr>
      </w:pPr>
    </w:p>
    <w:p w14:paraId="7ABE07F4">
      <w:pPr>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第二条 监理服务范围</w:t>
      </w:r>
    </w:p>
    <w:p w14:paraId="5CA8D6AF">
      <w:pPr>
        <w:topLinePunct/>
        <w:adjustRightInd w:val="0"/>
        <w:snapToGrid w:val="0"/>
        <w:spacing w:line="360" w:lineRule="auto"/>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 xml:space="preserve">2.1  </w:t>
      </w:r>
      <w:r>
        <w:rPr>
          <w:rFonts w:hint="eastAsia" w:ascii="Times New Roman" w:hAnsi="Times New Roman"/>
          <w:b/>
          <w:color w:val="auto"/>
          <w:spacing w:val="4"/>
          <w:sz w:val="24"/>
          <w:szCs w:val="24"/>
          <w:highlight w:val="none"/>
        </w:rPr>
        <w:t>监理范围</w:t>
      </w:r>
    </w:p>
    <w:p w14:paraId="41861CF7">
      <w:pPr>
        <w:keepNext w:val="0"/>
        <w:keepLines w:val="0"/>
        <w:widowControl w:val="0"/>
        <w:suppressLineNumbers w:val="0"/>
        <w:tabs>
          <w:tab w:val="left" w:pos="7513"/>
        </w:tabs>
        <w:adjustRightInd w:val="0"/>
        <w:snapToGrid w:val="0"/>
        <w:spacing w:before="0" w:beforeAutospacing="0" w:after="0" w:afterAutospacing="0" w:line="360" w:lineRule="auto"/>
        <w:ind w:left="0" w:right="0" w:firstLine="480" w:firstLineChars="200"/>
        <w:jc w:val="both"/>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（1）</w:t>
      </w:r>
      <w:r>
        <w:rPr>
          <w:rFonts w:hint="eastAsia" w:ascii="Times New Roman" w:hAnsi="Times New Roman" w:cs="宋体"/>
          <w:color w:val="auto"/>
          <w:sz w:val="24"/>
          <w:szCs w:val="24"/>
          <w:highlight w:val="none"/>
          <w:lang w:val="en-US" w:eastAsia="zh-CN"/>
        </w:rPr>
        <w:t>本项目立项（含可研）范围内所有工程内容【含前期工程（如</w:t>
      </w:r>
      <w:r>
        <w:rPr>
          <w:rFonts w:hint="eastAsia" w:ascii="宋体" w:hAnsi="宋体" w:eastAsia="宋体" w:cs="宋体"/>
          <w:color w:val="auto"/>
          <w:kern w:val="2"/>
          <w:sz w:val="24"/>
          <w:szCs w:val="24"/>
          <w:highlight w:val="none"/>
          <w:lang w:val="en-US" w:eastAsia="zh-CN" w:bidi="ar"/>
          <w:woUserID w:val="1"/>
        </w:rPr>
        <w:t>前期建（构）筑物拆除、绿化及管线设施迁移、超前钻（如有）工程旁站监理、</w:t>
      </w:r>
      <w:r>
        <w:rPr>
          <w:rFonts w:hint="eastAsia" w:ascii="Times New Roman" w:hAnsi="Times New Roman" w:cs="宋体"/>
          <w:color w:val="auto"/>
          <w:sz w:val="24"/>
          <w:szCs w:val="24"/>
          <w:highlight w:val="none"/>
          <w:lang w:val="en-US" w:eastAsia="zh-CN"/>
        </w:rPr>
        <w:t>围蔽工程、临水工程、临电工程、场地平整等）及各专业工程】的施工监理：包括但不限于施工准备阶段、施工阶段、工程收尾阶段（包括但不限于竣工验收、整改、工程移交、工程结算等）及工程质量保修阶段的质量控制、职业健康安全及环境监督管理、投资控制、进度控制、合同管理、信息管理、组织协调、工程创优、设备监造（如有）以及协调建设单位和工程建设有关各方的工作关系等。此外，投标人还须按招标人的要求提前进场参与施工招标配合、开工前期的准备和筹划工作，编制项目第三方检（监）测规划方案及初步方案，协助招标人制定工程管理办法、各参建方职责及有关事务性工作等，具体以实际实施的监理范围为准。</w:t>
      </w:r>
    </w:p>
    <w:p w14:paraId="5E098642">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（2）监理人应负责本项目工程竣工结算审核工作，收集和整理工程结算资料，并在收到承包人报送的结算文件后30日内向委托人出具结算审核报告，配合有权审核部门开展结算定审工作。</w:t>
      </w:r>
    </w:p>
    <w:p w14:paraId="40521B61">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委托人将保留监理酬金总额10%的支配权，由委托人视监理人结算审核工作质量情况在竣工结算阶段予以支付（委托人将对监理人结算审核工作进行考核，具体详见附件13《结算审核工作质量情况考评细则》）。监理人应确保本项目工程竣工结算审核工作质量，如监理人不具备结算审核能力，委托人有权要求监理人另行委托</w:t>
      </w:r>
      <w:r>
        <w:rPr>
          <w:rFonts w:hint="default" w:ascii="Times New Roman" w:hAnsi="Times New Roman" w:cs="宋体"/>
          <w:color w:val="auto"/>
          <w:spacing w:val="4"/>
          <w:kern w:val="0"/>
          <w:sz w:val="24"/>
          <w:szCs w:val="24"/>
          <w:highlight w:val="none"/>
        </w:rPr>
        <w:t>其认可的</w:t>
      </w:r>
      <w:r>
        <w:rPr>
          <w:rFonts w:hint="eastAsia" w:ascii="Times New Roman" w:hAnsi="Times New Roman" w:cs="宋体"/>
          <w:color w:val="auto"/>
          <w:spacing w:val="4"/>
          <w:kern w:val="0"/>
          <w:sz w:val="24"/>
          <w:szCs w:val="24"/>
          <w:highlight w:val="none"/>
        </w:rPr>
        <w:t>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5%的，监理人还应按本合同专用条款第</w:t>
      </w:r>
      <w:r>
        <w:rPr>
          <w:rFonts w:ascii="Times New Roman" w:hAnsi="Times New Roman"/>
          <w:color w:val="auto"/>
          <w:spacing w:val="4"/>
          <w:kern w:val="0"/>
          <w:sz w:val="24"/>
          <w:szCs w:val="24"/>
          <w:highlight w:val="none"/>
        </w:rPr>
        <w:t>26.4.2</w:t>
      </w:r>
      <w:r>
        <w:rPr>
          <w:rFonts w:hint="eastAsia" w:ascii="Times New Roman" w:hAnsi="Times New Roman" w:cs="宋体"/>
          <w:color w:val="auto"/>
          <w:spacing w:val="4"/>
          <w:kern w:val="0"/>
          <w:sz w:val="24"/>
          <w:szCs w:val="24"/>
          <w:highlight w:val="none"/>
        </w:rPr>
        <w:t>款的约定承担违约责任。</w:t>
      </w:r>
    </w:p>
    <w:p w14:paraId="27C8B1D8">
      <w:pPr>
        <w:keepNext w:val="0"/>
        <w:keepLines w:val="0"/>
        <w:widowControl w:val="0"/>
        <w:numPr>
          <w:ilvl w:val="255"/>
          <w:numId w:val="0"/>
        </w:numPr>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（3）</w:t>
      </w:r>
      <w:r>
        <w:rPr>
          <w:rFonts w:hint="eastAsia" w:ascii="宋体" w:hAnsi="宋体" w:eastAsia="宋体" w:cs="宋体"/>
          <w:color w:val="auto"/>
          <w:spacing w:val="4"/>
          <w:kern w:val="0"/>
          <w:sz w:val="24"/>
          <w:szCs w:val="24"/>
          <w:highlight w:val="none"/>
          <w:lang w:val="en-US" w:eastAsia="zh-CN" w:bidi="ar"/>
        </w:rPr>
        <w:t>监理人应对本项目涉及的所有检测（监测）事项进行梳理、分类合并，并于委托人下发施工图纸后15天内编制本项目检测（监测）工作计划，并在相关具体检测（监测）实施前30天提交检测（监测）项目清单及费用估算的工作方案，报委托人审核。</w:t>
      </w:r>
    </w:p>
    <w:p w14:paraId="65644B24">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ascii="Times New Roman" w:hAnsi="Times New Roman" w:cs="宋体"/>
          <w:color w:val="auto"/>
          <w:spacing w:val="4"/>
          <w:kern w:val="0"/>
          <w:sz w:val="24"/>
          <w:szCs w:val="24"/>
          <w:highlight w:val="none"/>
        </w:rPr>
        <w:t>委托人将在第</w:t>
      </w:r>
      <w:r>
        <w:rPr>
          <w:rFonts w:hint="eastAsia" w:ascii="Times New Roman" w:hAnsi="Times New Roman" w:cs="宋体"/>
          <w:color w:val="auto"/>
          <w:spacing w:val="4"/>
          <w:kern w:val="0"/>
          <w:sz w:val="24"/>
          <w:szCs w:val="24"/>
          <w:highlight w:val="none"/>
        </w:rPr>
        <w:t>五</w:t>
      </w:r>
      <w:r>
        <w:rPr>
          <w:rFonts w:ascii="Times New Roman" w:hAnsi="Times New Roman" w:cs="宋体"/>
          <w:color w:val="auto"/>
          <w:spacing w:val="4"/>
          <w:kern w:val="0"/>
          <w:sz w:val="24"/>
          <w:szCs w:val="24"/>
          <w:highlight w:val="none"/>
        </w:rPr>
        <w:t>期支付节点保留监理酬金总额2%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p>
    <w:p w14:paraId="039B2B40">
      <w:pPr>
        <w:topLinePunct/>
        <w:adjustRightInd w:val="0"/>
        <w:snapToGrid w:val="0"/>
        <w:spacing w:line="360" w:lineRule="auto"/>
        <w:ind w:firstLine="498" w:firstLineChars="200"/>
        <w:outlineLvl w:val="0"/>
        <w:rPr>
          <w:rFonts w:ascii="Times New Roman" w:hAnsi="Times New Roman"/>
          <w:b/>
          <w:color w:val="auto"/>
          <w:spacing w:val="4"/>
          <w:kern w:val="0"/>
          <w:sz w:val="24"/>
          <w:szCs w:val="24"/>
          <w:highlight w:val="none"/>
        </w:rPr>
      </w:pPr>
      <w:r>
        <w:rPr>
          <w:rFonts w:ascii="Times New Roman" w:hAnsi="Times New Roman"/>
          <w:b/>
          <w:color w:val="auto"/>
          <w:spacing w:val="4"/>
          <w:sz w:val="24"/>
          <w:szCs w:val="24"/>
          <w:highlight w:val="none"/>
        </w:rPr>
        <w:t xml:space="preserve">2.2  </w:t>
      </w:r>
      <w:r>
        <w:rPr>
          <w:rFonts w:hint="eastAsia" w:ascii="Times New Roman" w:hAnsi="Times New Roman"/>
          <w:b/>
          <w:color w:val="auto"/>
          <w:spacing w:val="4"/>
          <w:sz w:val="24"/>
          <w:szCs w:val="24"/>
          <w:highlight w:val="none"/>
        </w:rPr>
        <w:t>工程内容</w:t>
      </w:r>
    </w:p>
    <w:p w14:paraId="2AD6A6B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ascii="Times New Roman" w:hAnsi="Times New Roman"/>
          <w:color w:val="auto"/>
          <w:spacing w:val="4"/>
          <w:sz w:val="24"/>
          <w:highlight w:val="none"/>
        </w:rPr>
      </w:pPr>
      <w:r>
        <w:rPr>
          <w:rFonts w:hint="eastAsia" w:ascii="Times New Roman" w:hAnsi="Times New Roman"/>
          <w:color w:val="auto"/>
          <w:sz w:val="24"/>
          <w:szCs w:val="24"/>
          <w:highlight w:val="none"/>
        </w:rPr>
        <w:t>本项目立项（含可研）范围所有工程内容</w:t>
      </w:r>
      <w:r>
        <w:rPr>
          <w:rFonts w:hint="eastAsia" w:ascii="Times New Roman" w:hAnsi="Times New Roman" w:cs="宋体"/>
          <w:color w:val="auto"/>
          <w:spacing w:val="4"/>
          <w:kern w:val="0"/>
          <w:sz w:val="24"/>
          <w:szCs w:val="24"/>
          <w:highlight w:val="none"/>
          <w:lang w:bidi="ar"/>
        </w:rPr>
        <w:t>【</w:t>
      </w:r>
      <w:r>
        <w:rPr>
          <w:rFonts w:hint="eastAsia" w:ascii="Times New Roman" w:hAnsi="Times New Roman" w:cs="宋体"/>
          <w:color w:val="auto"/>
          <w:spacing w:val="4"/>
          <w:kern w:val="0"/>
          <w:sz w:val="24"/>
          <w:szCs w:val="24"/>
          <w:highlight w:val="none"/>
          <w:u w:val="single"/>
          <w:lang w:bidi="ar"/>
        </w:rPr>
        <w:t>含前期工程、通信设施专项、信息化专项工程（如有）</w:t>
      </w:r>
      <w:r>
        <w:rPr>
          <w:rFonts w:hint="eastAsia" w:ascii="Times New Roman" w:hAnsi="Times New Roman" w:cs="宋体"/>
          <w:color w:val="auto"/>
          <w:spacing w:val="4"/>
          <w:kern w:val="0"/>
          <w:sz w:val="24"/>
          <w:szCs w:val="24"/>
          <w:highlight w:val="none"/>
          <w:lang w:bidi="ar"/>
        </w:rPr>
        <w:t>】及各专业工程</w:t>
      </w:r>
      <w:r>
        <w:rPr>
          <w:rFonts w:hint="eastAsia" w:ascii="Times New Roman" w:hAnsi="Times New Roman"/>
          <w:color w:val="auto"/>
          <w:sz w:val="24"/>
          <w:szCs w:val="24"/>
          <w:highlight w:val="none"/>
        </w:rPr>
        <w:t>的施工监理。</w:t>
      </w:r>
      <w:r>
        <w:rPr>
          <w:rFonts w:hint="eastAsia" w:ascii="Times New Roman" w:hAnsi="Times New Roman"/>
          <w:color w:val="auto"/>
          <w:spacing w:val="4"/>
          <w:sz w:val="24"/>
          <w:highlight w:val="none"/>
        </w:rPr>
        <w:t>包括但不限于</w:t>
      </w:r>
      <w:r>
        <w:rPr>
          <w:rFonts w:ascii="Segoe UI Symbol" w:hAnsi="Segoe UI Symbol" w:cs="Segoe UI Symbol"/>
          <w:b/>
          <w:bCs/>
          <w:strike w:val="0"/>
          <w:snapToGrid w:val="0"/>
          <w:color w:val="auto"/>
          <w:highlight w:val="none"/>
        </w:rPr>
        <w:t>☒</w:t>
      </w:r>
      <w:r>
        <w:rPr>
          <w:rFonts w:hint="eastAsia" w:ascii="Times New Roman" w:hAnsi="Times New Roman"/>
          <w:strike w:val="0"/>
          <w:color w:val="auto"/>
          <w:spacing w:val="4"/>
          <w:sz w:val="24"/>
          <w:highlight w:val="none"/>
        </w:rPr>
        <w:t>勘察阶段（如有）、</w:t>
      </w:r>
      <w:r>
        <w:rPr>
          <w:rFonts w:ascii="Segoe UI Symbol" w:hAnsi="Segoe UI Symbol" w:cs="Segoe UI Symbol"/>
          <w:b/>
          <w:bCs/>
          <w:strike w:val="0"/>
          <w:snapToGrid w:val="0"/>
          <w:color w:val="auto"/>
          <w:highlight w:val="none"/>
        </w:rPr>
        <w:t>☒</w:t>
      </w:r>
      <w:r>
        <w:rPr>
          <w:rFonts w:hint="eastAsia" w:ascii="Times New Roman" w:hAnsi="Times New Roman"/>
          <w:strike w:val="0"/>
          <w:color w:val="auto"/>
          <w:spacing w:val="4"/>
          <w:sz w:val="24"/>
          <w:highlight w:val="none"/>
        </w:rPr>
        <w:t>设计阶段（如有）、</w:t>
      </w:r>
      <w:r>
        <w:rPr>
          <w:rFonts w:hint="eastAsia" w:ascii="Times New Roman" w:hAnsi="Times New Roman"/>
          <w:color w:val="auto"/>
          <w:spacing w:val="4"/>
          <w:sz w:val="24"/>
          <w:highlight w:val="none"/>
        </w:rPr>
        <w:t>施工准备阶段、施工阶段、工程收尾阶段（包括但不限于竣工验收、整改、工程移交、工程结算等）及工程质量保修期阶段的质量控制、</w:t>
      </w:r>
      <w:r>
        <w:rPr>
          <w:rFonts w:hint="eastAsia" w:ascii="宋体" w:hAnsi="宋体" w:eastAsia="宋体" w:cs="宋体"/>
          <w:color w:val="auto"/>
          <w:spacing w:val="4"/>
          <w:kern w:val="2"/>
          <w:sz w:val="24"/>
          <w:szCs w:val="24"/>
          <w:highlight w:val="none"/>
          <w:lang w:val="en-US" w:eastAsia="zh-CN" w:bidi="ar"/>
        </w:rPr>
        <w:t>安全生产监督管理、</w:t>
      </w:r>
      <w:r>
        <w:rPr>
          <w:rFonts w:hint="eastAsia" w:ascii="Times New Roman" w:hAnsi="Times New Roman"/>
          <w:color w:val="auto"/>
          <w:spacing w:val="4"/>
          <w:sz w:val="24"/>
          <w:highlight w:val="none"/>
        </w:rPr>
        <w:t>职业健康安全及环境监督管理、投资控制、进度控制、合同管理、信息管理、组织协调、工程创优（如有）、</w:t>
      </w:r>
      <w:r>
        <w:rPr>
          <w:rFonts w:hint="default" w:ascii="Times New Roman" w:hAnsi="Times New Roman"/>
          <w:color w:val="auto"/>
          <w:spacing w:val="4"/>
          <w:sz w:val="24"/>
          <w:highlight w:val="none"/>
        </w:rPr>
        <w:t>项目资金监管、</w:t>
      </w:r>
      <w:r>
        <w:rPr>
          <w:rFonts w:hint="eastAsia" w:ascii="Times New Roman" w:hAnsi="Times New Roman"/>
          <w:color w:val="auto"/>
          <w:spacing w:val="4"/>
          <w:sz w:val="24"/>
          <w:highlight w:val="none"/>
        </w:rPr>
        <w:t>设备监造以及协调</w:t>
      </w:r>
      <w:r>
        <w:rPr>
          <w:rFonts w:hint="eastAsia" w:ascii="宋体" w:hAnsi="宋体" w:eastAsia="宋体" w:cs="宋体"/>
          <w:color w:val="auto"/>
          <w:spacing w:val="4"/>
          <w:kern w:val="2"/>
          <w:sz w:val="24"/>
          <w:szCs w:val="24"/>
          <w:highlight w:val="none"/>
          <w:lang w:val="en-US" w:eastAsia="zh-CN" w:bidi="ar"/>
        </w:rPr>
        <w:t>委托人</w:t>
      </w:r>
      <w:r>
        <w:rPr>
          <w:rFonts w:hint="eastAsia" w:ascii="Times New Roman" w:hAnsi="Times New Roman"/>
          <w:color w:val="auto"/>
          <w:spacing w:val="4"/>
          <w:sz w:val="24"/>
          <w:highlight w:val="none"/>
        </w:rPr>
        <w:t>和工程建设有关各方的工作关系等。此外，监理人还须按委托人的要求提前进场参与开工前期的准备和筹划工作，编制项目第三方检（监）测规划方案，协助委托人制定工程管理办法、各参建方职责及有关事务性工作等。</w:t>
      </w:r>
      <w:r>
        <w:rPr>
          <w:rFonts w:hint="eastAsia" w:ascii="Times New Roman" w:hAnsi="宋体"/>
          <w:color w:val="auto"/>
          <w:spacing w:val="4"/>
          <w:kern w:val="0"/>
          <w:sz w:val="24"/>
          <w:szCs w:val="24"/>
          <w:highlight w:val="none"/>
        </w:rPr>
        <w:t>包括但不限于：</w:t>
      </w:r>
    </w:p>
    <w:p w14:paraId="4A3B7E28">
      <w:pPr>
        <w:topLinePunct/>
        <w:adjustRightInd w:val="0"/>
        <w:snapToGrid w:val="0"/>
        <w:spacing w:line="360" w:lineRule="auto"/>
        <w:ind w:firstLine="422" w:firstLineChars="200"/>
        <w:rPr>
          <w:rFonts w:ascii="Times New Roman" w:hAnsi="Times New Roman" w:cs="宋体"/>
          <w:strike w:val="0"/>
          <w:color w:val="auto"/>
          <w:spacing w:val="4"/>
          <w:kern w:val="0"/>
          <w:sz w:val="24"/>
          <w:szCs w:val="24"/>
          <w:highlight w:val="none"/>
        </w:rPr>
      </w:pPr>
      <w:r>
        <w:rPr>
          <w:rFonts w:ascii="Segoe UI Symbol" w:hAnsi="Segoe UI Symbol" w:cs="Segoe UI Symbol"/>
          <w:b/>
          <w:bCs/>
          <w:strike w:val="0"/>
          <w:snapToGrid w:val="0"/>
          <w:color w:val="auto"/>
          <w:highlight w:val="none"/>
        </w:rPr>
        <w:t>☒</w:t>
      </w:r>
      <w:r>
        <w:rPr>
          <w:rFonts w:hint="eastAsia" w:ascii="Times New Roman" w:hAnsi="Times New Roman" w:cs="宋体"/>
          <w:strike w:val="0"/>
          <w:color w:val="auto"/>
          <w:spacing w:val="4"/>
          <w:kern w:val="0"/>
          <w:sz w:val="24"/>
          <w:szCs w:val="24"/>
          <w:highlight w:val="none"/>
        </w:rPr>
        <w:t>（1）勘察监理</w:t>
      </w:r>
      <w:r>
        <w:rPr>
          <w:rFonts w:hint="default" w:ascii="Times New Roman" w:hAnsi="Times New Roman"/>
          <w:strike w:val="0"/>
          <w:color w:val="auto"/>
          <w:spacing w:val="4"/>
          <w:sz w:val="24"/>
          <w:highlight w:val="none"/>
        </w:rPr>
        <w:t>（如有）</w:t>
      </w:r>
      <w:r>
        <w:rPr>
          <w:rFonts w:hint="eastAsia" w:ascii="Times New Roman" w:hAnsi="Times New Roman" w:cs="宋体"/>
          <w:strike w:val="0"/>
          <w:color w:val="auto"/>
          <w:spacing w:val="4"/>
          <w:kern w:val="0"/>
          <w:sz w:val="24"/>
          <w:szCs w:val="24"/>
          <w:highlight w:val="none"/>
        </w:rPr>
        <w:t>：勘察阶段提供旁站监理服务。</w:t>
      </w:r>
    </w:p>
    <w:p w14:paraId="2A6ED952">
      <w:pPr>
        <w:topLinePunct/>
        <w:adjustRightInd w:val="0"/>
        <w:snapToGrid w:val="0"/>
        <w:spacing w:line="360" w:lineRule="auto"/>
        <w:ind w:firstLine="422" w:firstLineChars="200"/>
        <w:rPr>
          <w:rFonts w:ascii="Times New Roman" w:hAnsi="Times New Roman" w:cs="宋体"/>
          <w:strike w:val="0"/>
          <w:color w:val="auto"/>
          <w:spacing w:val="4"/>
          <w:kern w:val="0"/>
          <w:sz w:val="24"/>
          <w:szCs w:val="24"/>
          <w:highlight w:val="none"/>
        </w:rPr>
      </w:pPr>
      <w:r>
        <w:rPr>
          <w:rFonts w:ascii="Segoe UI Symbol" w:hAnsi="Segoe UI Symbol" w:cs="Segoe UI Symbol"/>
          <w:b/>
          <w:bCs/>
          <w:strike w:val="0"/>
          <w:snapToGrid w:val="0"/>
          <w:color w:val="auto"/>
          <w:highlight w:val="none"/>
        </w:rPr>
        <w:t>☒</w:t>
      </w:r>
      <w:r>
        <w:rPr>
          <w:rFonts w:hint="eastAsia" w:ascii="Times New Roman" w:hAnsi="Times New Roman" w:cs="宋体"/>
          <w:strike w:val="0"/>
          <w:color w:val="auto"/>
          <w:spacing w:val="4"/>
          <w:kern w:val="0"/>
          <w:sz w:val="24"/>
          <w:szCs w:val="24"/>
          <w:highlight w:val="none"/>
        </w:rPr>
        <w:t>（2）设计管理（如有）：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14:paraId="03C671B7">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3）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1013BFFE">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4）需求管理：对项目建设功能、规模、标准进行充分研究，实施过程中与委托人、业主单位沟通协调，将业主的功能需求落实到设计文件、造价文件中。对项目的建设条件进行分析，了解场地周边情况如交通、临时设施、施工条件，向承包人作好交底工作，会同承包人共同研究施工组织方案的可行性。</w:t>
      </w:r>
    </w:p>
    <w:p w14:paraId="3247140D">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（5）报批报建管理：组织承包人完成工程开工及验收所需的各项报监、报建、报验手续，做好报批报建管理工作。</w:t>
      </w:r>
    </w:p>
    <w:p w14:paraId="7621230A">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（6）</w:t>
      </w:r>
      <w:r>
        <w:rPr>
          <w:rFonts w:hint="eastAsia" w:ascii="宋体" w:hAnsi="宋体" w:eastAsia="宋体" w:cs="宋体"/>
          <w:color w:val="auto"/>
          <w:sz w:val="24"/>
          <w:highlight w:val="none"/>
        </w:rPr>
        <w:t>施工监理：对工程建设各项内容提供监理服务，包括但不限于以下内容：</w:t>
      </w:r>
      <w:r>
        <w:rPr>
          <w:rFonts w:hint="eastAsia" w:ascii="宋体" w:hAnsi="宋体" w:eastAsia="宋体" w:cs="宋体"/>
          <w:strike w:val="0"/>
          <w:dstrike w:val="0"/>
          <w:color w:val="auto"/>
          <w:sz w:val="24"/>
          <w:highlight w:val="none"/>
        </w:rPr>
        <w:t>前期工程</w:t>
      </w:r>
      <w:r>
        <w:rPr>
          <w:rFonts w:hint="default" w:ascii="宋体" w:hAnsi="宋体" w:cs="宋体"/>
          <w:strike w:val="0"/>
          <w:dstrike w:val="0"/>
          <w:color w:val="auto"/>
          <w:sz w:val="24"/>
          <w:highlight w:val="none"/>
        </w:rPr>
        <w:t>【</w:t>
      </w:r>
      <w:r>
        <w:rPr>
          <w:rFonts w:hint="eastAsia" w:ascii="宋体" w:hAnsi="宋体" w:eastAsia="宋体" w:cs="宋体"/>
          <w:strike w:val="0"/>
          <w:dstrike w:val="0"/>
          <w:color w:val="auto"/>
          <w:sz w:val="24"/>
          <w:highlight w:val="none"/>
        </w:rPr>
        <w:t>如前期建（构）筑物拆除、绿化及管线设施迁移、临时用水、临时用电、超前钻（如有）工程旁站监理等）</w:t>
      </w:r>
      <w:r>
        <w:rPr>
          <w:rFonts w:hint="eastAsia" w:ascii="宋体" w:hAnsi="宋体" w:cs="宋体"/>
          <w:strike w:val="0"/>
          <w:dstrike w:val="0"/>
          <w:color w:val="auto"/>
          <w:sz w:val="24"/>
          <w:highlight w:val="none"/>
          <w:lang w:eastAsia="zh-CN"/>
        </w:rPr>
        <w:t>、专项信息化工程（如有）</w:t>
      </w:r>
      <w:r>
        <w:rPr>
          <w:rFonts w:hint="default" w:ascii="宋体" w:hAnsi="宋体" w:cs="宋体"/>
          <w:strike w:val="0"/>
          <w:dstrike w:val="0"/>
          <w:color w:val="auto"/>
          <w:sz w:val="24"/>
          <w:highlight w:val="none"/>
          <w:lang w:eastAsia="zh-CN"/>
        </w:rPr>
        <w:t>】</w:t>
      </w:r>
      <w:r>
        <w:rPr>
          <w:rFonts w:hint="eastAsia" w:ascii="宋体" w:hAnsi="宋体" w:eastAsia="宋体" w:cs="宋体"/>
          <w:strike w:val="0"/>
          <w:dstrike w:val="0"/>
          <w:color w:val="auto"/>
          <w:sz w:val="24"/>
          <w:highlight w:val="none"/>
        </w:rPr>
        <w:t>及</w:t>
      </w:r>
      <w:r>
        <w:rPr>
          <w:rFonts w:hint="eastAsia" w:ascii="宋体" w:hAnsi="宋体" w:eastAsia="宋体" w:cs="宋体"/>
          <w:color w:val="auto"/>
          <w:sz w:val="24"/>
          <w:highlight w:val="none"/>
        </w:rPr>
        <w:t>各专业工程的施工准备阶段、施工阶段、工程收尾阶段（包括但不限于竣工验收、整改、工程移交、工程结算等）、工程质量保修阶段的质量控制、</w:t>
      </w:r>
      <w:r>
        <w:rPr>
          <w:rFonts w:hint="eastAsia" w:ascii="Times New Roman" w:hAnsi="Times New Roman" w:cs="宋体"/>
          <w:color w:val="auto"/>
          <w:spacing w:val="4"/>
          <w:kern w:val="0"/>
          <w:sz w:val="24"/>
          <w:szCs w:val="24"/>
          <w:highlight w:val="none"/>
          <w:lang w:bidi="ar"/>
        </w:rPr>
        <w:t>职业健康安全及环境监督管理</w:t>
      </w:r>
      <w:r>
        <w:rPr>
          <w:rFonts w:hint="eastAsia" w:ascii="宋体" w:hAnsi="宋体" w:eastAsia="宋体" w:cs="宋体"/>
          <w:color w:val="auto"/>
          <w:sz w:val="24"/>
          <w:highlight w:val="none"/>
        </w:rPr>
        <w:t>、投资控制、进度控制、合同管理、信息管理、组织协调、</w:t>
      </w:r>
      <w:r>
        <w:rPr>
          <w:rFonts w:hint="eastAsia" w:ascii="Times New Roman" w:hAnsi="Times New Roman" w:cs="宋体"/>
          <w:color w:val="auto"/>
          <w:spacing w:val="4"/>
          <w:kern w:val="0"/>
          <w:sz w:val="24"/>
          <w:szCs w:val="24"/>
          <w:highlight w:val="none"/>
          <w:lang w:bidi="ar"/>
        </w:rPr>
        <w:t>工程创优（如有）、</w:t>
      </w:r>
      <w:r>
        <w:rPr>
          <w:rFonts w:hint="default" w:ascii="Times New Roman" w:hAnsi="Times New Roman" w:cs="宋体"/>
          <w:color w:val="auto"/>
          <w:spacing w:val="4"/>
          <w:kern w:val="0"/>
          <w:sz w:val="24"/>
          <w:szCs w:val="24"/>
          <w:highlight w:val="none"/>
          <w:lang w:bidi="ar"/>
        </w:rPr>
        <w:t>项目资金监管、</w:t>
      </w:r>
      <w:r>
        <w:rPr>
          <w:rFonts w:hint="eastAsia" w:ascii="宋体" w:hAnsi="宋体" w:eastAsia="宋体" w:cs="宋体"/>
          <w:color w:val="auto"/>
          <w:sz w:val="24"/>
          <w:highlight w:val="none"/>
        </w:rPr>
        <w:t>设备监造以及协调</w:t>
      </w:r>
      <w:r>
        <w:rPr>
          <w:rFonts w:hint="eastAsia" w:ascii="宋体" w:hAnsi="宋体" w:eastAsia="宋体" w:cs="宋体"/>
          <w:color w:val="auto"/>
          <w:kern w:val="2"/>
          <w:sz w:val="24"/>
          <w:szCs w:val="24"/>
          <w:highlight w:val="none"/>
          <w:lang w:val="en-US" w:eastAsia="zh-CN" w:bidi="ar"/>
        </w:rPr>
        <w:t>委托人</w:t>
      </w:r>
      <w:r>
        <w:rPr>
          <w:rFonts w:hint="eastAsia" w:ascii="宋体" w:hAnsi="宋体" w:eastAsia="宋体" w:cs="宋体"/>
          <w:color w:val="auto"/>
          <w:sz w:val="24"/>
          <w:highlight w:val="none"/>
        </w:rPr>
        <w:t>和工程建设有关各方的工作关系等。此外，监理人还须按委托人的要求提前进场参与开工前期的准备和筹划工作，编制项目第三方检（监）测规划方案，协助委托人制定工程管理办法、各参建方职责及有关事务性工作等。</w:t>
      </w:r>
      <w:r>
        <w:rPr>
          <w:rFonts w:hint="eastAsia" w:ascii="宋体" w:hAnsi="宋体" w:eastAsia="宋体" w:cs="宋体"/>
          <w:strike/>
          <w:color w:val="auto"/>
          <w:sz w:val="24"/>
          <w:highlight w:val="none"/>
        </w:rPr>
        <w:t>，</w:t>
      </w:r>
      <w:r>
        <w:rPr>
          <w:rFonts w:hint="eastAsia" w:ascii="宋体" w:hAnsi="宋体" w:eastAsia="宋体" w:cs="宋体"/>
          <w:color w:val="auto"/>
          <w:sz w:val="24"/>
          <w:highlight w:val="none"/>
        </w:rPr>
        <w:t>监理内容还涉及以下：</w:t>
      </w:r>
    </w:p>
    <w:p w14:paraId="5467710B">
      <w:pPr>
        <w:topLinePunct/>
        <w:adjustRightInd w:val="0"/>
        <w:snapToGrid w:val="0"/>
        <w:spacing w:line="360" w:lineRule="auto"/>
        <w:ind w:firstLine="496" w:firstLineChars="200"/>
        <w:rPr>
          <w:rFonts w:hint="eastAsia" w:ascii="Times New Roman" w:hAnsi="Times New Roman" w:eastAsia="宋体" w:cs="宋体"/>
          <w:color w:val="auto"/>
          <w:spacing w:val="4"/>
          <w:kern w:val="0"/>
          <w:sz w:val="24"/>
          <w:szCs w:val="24"/>
          <w:highlight w:val="none"/>
          <w:lang w:val="en-US" w:eastAsia="zh-CN"/>
        </w:rPr>
      </w:pPr>
      <w:r>
        <w:rPr>
          <w:rFonts w:hint="eastAsia" w:ascii="Times New Roman" w:hAnsi="Times New Roman" w:cs="宋体"/>
          <w:color w:val="auto"/>
          <w:spacing w:val="4"/>
          <w:kern w:val="0"/>
          <w:sz w:val="24"/>
          <w:szCs w:val="24"/>
          <w:highlight w:val="none"/>
          <w:lang w:eastAsia="zh-CN"/>
        </w:rPr>
        <w:t>☑</w:t>
      </w:r>
      <w:r>
        <w:rPr>
          <w:rFonts w:hint="eastAsia" w:ascii="Times New Roman" w:hAnsi="Times New Roman" w:cs="宋体"/>
          <w:color w:val="auto"/>
          <w:spacing w:val="4"/>
          <w:kern w:val="0"/>
          <w:sz w:val="24"/>
          <w:szCs w:val="24"/>
          <w:highlight w:val="none"/>
        </w:rPr>
        <w:t>①信息化管理（如有）：督促承包人运用信息化手段（智慧管理平台、BIM技术应用、虚拟现实、3D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w:t>
      </w:r>
    </w:p>
    <w:p w14:paraId="35F8E996">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lang w:eastAsia="zh-CN"/>
        </w:rPr>
        <w:t>☑</w:t>
      </w:r>
      <w:r>
        <w:rPr>
          <w:rFonts w:hint="eastAsia" w:ascii="Times New Roman" w:hAnsi="Times New Roman" w:cs="宋体"/>
          <w:color w:val="auto"/>
          <w:spacing w:val="4"/>
          <w:kern w:val="0"/>
          <w:sz w:val="24"/>
          <w:szCs w:val="24"/>
          <w:highlight w:val="none"/>
        </w:rPr>
        <w:t>②BIM技术管理：督促并检查承包人运用BIM技术完成相关工作并收集相关应用成果；督促承包人在项目不同阶段基于各BIM模型进行可视化交底、施工；监督承包人对BIM模型进行实时更新与维护；根据项目实际进度等情况，制定BIM实施计划并实时调整。监督承包人在安全文明施工和智慧工地充分应用BIM技术。</w:t>
      </w:r>
    </w:p>
    <w:p w14:paraId="7366ECF9">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③建筑施工管理：督促并检查承包人在建筑施工关键环节的施工方案，确保各个构件连接节点的施工质量，确保结构安全。</w:t>
      </w:r>
    </w:p>
    <w:p w14:paraId="3E21B9B7">
      <w:pPr>
        <w:topLinePunct/>
        <w:adjustRightInd w:val="0"/>
        <w:snapToGrid w:val="0"/>
        <w:spacing w:line="360" w:lineRule="auto"/>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④计算机信息管理：督促承包人采用计算机信息管理，与委托人的工程管理系统接口一致，建立相应的信息交换网络，以便委托人及各有关单位与其进行数据交换，提高工作效率。</w:t>
      </w:r>
    </w:p>
    <w:p w14:paraId="529002A5">
      <w:pPr>
        <w:topLinePunct/>
        <w:adjustRightInd w:val="0"/>
        <w:snapToGrid w:val="0"/>
        <w:spacing w:line="360" w:lineRule="auto"/>
        <w:ind w:firstLine="496" w:firstLineChars="200"/>
        <w:rPr>
          <w:color w:val="auto"/>
          <w:spacing w:val="4"/>
          <w:kern w:val="0"/>
          <w:sz w:val="24"/>
          <w:szCs w:val="24"/>
          <w:highlight w:val="none"/>
        </w:rPr>
      </w:pPr>
      <w:r>
        <w:rPr>
          <w:rFonts w:hint="eastAsia" w:ascii="Times New Roman" w:hAnsi="Times New Roman" w:cs="宋体"/>
          <w:color w:val="auto"/>
          <w:spacing w:val="4"/>
          <w:kern w:val="0"/>
          <w:sz w:val="24"/>
          <w:szCs w:val="24"/>
          <w:highlight w:val="none"/>
        </w:rPr>
        <w:t>⑤卫生防疫管理：</w:t>
      </w:r>
      <w:r>
        <w:rPr>
          <w:color w:val="auto"/>
          <w:spacing w:val="4"/>
          <w:kern w:val="0"/>
          <w:sz w:val="24"/>
          <w:szCs w:val="24"/>
          <w:highlight w:val="none"/>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405471BE">
      <w:pPr>
        <w:keepNext w:val="0"/>
        <w:keepLines w:val="0"/>
        <w:widowControl/>
        <w:suppressLineNumbers w:val="0"/>
        <w:topLinePunct/>
        <w:adjustRightInd w:val="0"/>
        <w:snapToGrid w:val="0"/>
        <w:spacing w:before="0" w:beforeAutospacing="0" w:after="0" w:afterAutospacing="0" w:line="360" w:lineRule="auto"/>
        <w:ind w:left="0" w:right="0" w:firstLine="496" w:firstLineChars="200"/>
        <w:jc w:val="left"/>
        <w:rPr>
          <w:rFonts w:hint="default" w:ascii="Calibri" w:hAnsi="Calibri" w:eastAsia="宋体" w:cs="Times New Roman"/>
          <w:color w:val="auto"/>
          <w:spacing w:val="4"/>
          <w:kern w:val="0"/>
          <w:sz w:val="24"/>
          <w:szCs w:val="24"/>
          <w:highlight w:val="none"/>
        </w:rPr>
      </w:pPr>
      <w:r>
        <w:rPr>
          <w:rFonts w:hint="default" w:ascii="Calibri" w:hAnsi="Calibri" w:eastAsia="宋体" w:cs="Times New Roman"/>
          <w:color w:val="auto"/>
          <w:spacing w:val="4"/>
          <w:kern w:val="0"/>
          <w:sz w:val="24"/>
          <w:szCs w:val="24"/>
          <w:highlight w:val="none"/>
          <w:lang w:val="en-US" w:eastAsia="zh-CN" w:bidi="ar"/>
        </w:rPr>
        <w:t>☑⑥参照广州市住建局《关于进一步推进全市房屋建筑工程智慧工地建设的通知（试行）》的要求，开展监理工作。</w:t>
      </w:r>
    </w:p>
    <w:p w14:paraId="510DCFA4">
      <w:pPr>
        <w:adjustRightInd w:val="0"/>
        <w:snapToGrid w:val="0"/>
        <w:spacing w:line="360" w:lineRule="auto"/>
        <w:ind w:firstLine="482" w:firstLineChars="200"/>
        <w:outlineLvl w:val="2"/>
        <w:rPr>
          <w:rFonts w:ascii="Times New Roman" w:hAnsi="Times New Roman"/>
          <w:bCs/>
          <w:snapToGrid w:val="0"/>
          <w:color w:val="auto"/>
          <w:sz w:val="24"/>
          <w:szCs w:val="24"/>
          <w:highlight w:val="none"/>
        </w:rPr>
      </w:pPr>
      <w:r>
        <w:rPr>
          <w:rFonts w:ascii="Times New Roman" w:hAnsi="Times New Roman"/>
          <w:b/>
          <w:bCs/>
          <w:snapToGrid w:val="0"/>
          <w:color w:val="auto"/>
          <w:sz w:val="24"/>
          <w:szCs w:val="24"/>
          <w:highlight w:val="none"/>
        </w:rPr>
        <w:t>2.3</w:t>
      </w:r>
      <w:r>
        <w:rPr>
          <w:rFonts w:hint="eastAsia" w:ascii="Times New Roman" w:hAnsi="Times New Roman"/>
          <w:b/>
          <w:bCs/>
          <w:snapToGrid w:val="0"/>
          <w:color w:val="auto"/>
          <w:sz w:val="24"/>
          <w:szCs w:val="24"/>
          <w:highlight w:val="none"/>
        </w:rPr>
        <w:t>监理服务期</w:t>
      </w:r>
    </w:p>
    <w:p w14:paraId="095D42CC">
      <w:pPr>
        <w:adjustRightInd w:val="0"/>
        <w:snapToGrid w:val="0"/>
        <w:spacing w:line="360" w:lineRule="auto"/>
        <w:ind w:firstLine="496" w:firstLineChars="200"/>
        <w:outlineLvl w:val="2"/>
        <w:rPr>
          <w:rFonts w:ascii="Times New Roman" w:hAnsi="Times New Roman"/>
          <w:color w:val="auto"/>
          <w:spacing w:val="4"/>
          <w:sz w:val="24"/>
          <w:highlight w:val="none"/>
        </w:rPr>
      </w:pPr>
      <w:r>
        <w:rPr>
          <w:rFonts w:hint="eastAsia" w:ascii="Times New Roman" w:hAnsi="Times New Roman"/>
          <w:color w:val="auto"/>
          <w:spacing w:val="4"/>
          <w:sz w:val="24"/>
          <w:highlight w:val="none"/>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ascii="Segoe UI Symbol" w:hAnsi="Segoe UI Symbol" w:cs="Segoe UI Symbol"/>
          <w:b/>
          <w:bCs/>
          <w:strike w:val="0"/>
          <w:snapToGrid w:val="0"/>
          <w:color w:val="auto"/>
          <w:highlight w:val="none"/>
        </w:rPr>
        <w:t>☒</w:t>
      </w:r>
      <w:r>
        <w:rPr>
          <w:rFonts w:hint="eastAsia" w:ascii="Times New Roman" w:hAnsi="Times New Roman"/>
          <w:strike w:val="0"/>
          <w:color w:val="auto"/>
          <w:spacing w:val="4"/>
          <w:sz w:val="24"/>
          <w:highlight w:val="none"/>
        </w:rPr>
        <w:t>勘察阶段</w:t>
      </w:r>
      <w:r>
        <w:rPr>
          <w:rFonts w:hint="default" w:ascii="Times New Roman" w:hAnsi="Times New Roman"/>
          <w:strike w:val="0"/>
          <w:color w:val="auto"/>
          <w:spacing w:val="4"/>
          <w:sz w:val="24"/>
          <w:highlight w:val="none"/>
        </w:rPr>
        <w:t>（如有）</w:t>
      </w:r>
      <w:r>
        <w:rPr>
          <w:rFonts w:hint="eastAsia" w:ascii="Times New Roman" w:hAnsi="Times New Roman"/>
          <w:strike w:val="0"/>
          <w:color w:val="auto"/>
          <w:spacing w:val="4"/>
          <w:sz w:val="24"/>
          <w:highlight w:val="none"/>
        </w:rPr>
        <w:t>、</w:t>
      </w:r>
      <w:r>
        <w:rPr>
          <w:rFonts w:ascii="Segoe UI Symbol" w:hAnsi="Segoe UI Symbol" w:cs="Segoe UI Symbol"/>
          <w:b/>
          <w:bCs/>
          <w:strike w:val="0"/>
          <w:snapToGrid w:val="0"/>
          <w:color w:val="auto"/>
          <w:highlight w:val="none"/>
        </w:rPr>
        <w:t>☒</w:t>
      </w:r>
      <w:r>
        <w:rPr>
          <w:rFonts w:hint="eastAsia" w:ascii="Times New Roman" w:hAnsi="Times New Roman"/>
          <w:strike w:val="0"/>
          <w:color w:val="auto"/>
          <w:spacing w:val="4"/>
          <w:sz w:val="24"/>
          <w:highlight w:val="none"/>
        </w:rPr>
        <w:t>设计阶段</w:t>
      </w:r>
      <w:r>
        <w:rPr>
          <w:rFonts w:hint="default" w:ascii="Times New Roman" w:hAnsi="Times New Roman"/>
          <w:strike w:val="0"/>
          <w:color w:val="auto"/>
          <w:spacing w:val="4"/>
          <w:sz w:val="24"/>
          <w:highlight w:val="none"/>
        </w:rPr>
        <w:t>（如有）</w:t>
      </w:r>
      <w:r>
        <w:rPr>
          <w:rFonts w:hint="eastAsia" w:ascii="Times New Roman" w:hAnsi="Times New Roman"/>
          <w:color w:val="auto"/>
          <w:spacing w:val="4"/>
          <w:sz w:val="24"/>
          <w:highlight w:val="none"/>
        </w:rPr>
        <w:t>、施工准备阶段、施工阶段、工程收尾阶段（包括但不限于竣工验收、整改、工程移交、工程结算等）及工程质量保修阶段，监理人须实行全过程监理服务。</w:t>
      </w:r>
    </w:p>
    <w:p w14:paraId="3626FFE7">
      <w:pPr>
        <w:adjustRightInd w:val="0"/>
        <w:snapToGrid w:val="0"/>
        <w:spacing w:line="360" w:lineRule="auto"/>
        <w:ind w:firstLine="496" w:firstLineChars="200"/>
        <w:outlineLvl w:val="2"/>
        <w:rPr>
          <w:rFonts w:ascii="Times New Roman" w:hAnsi="Times New Roman"/>
          <w:color w:val="auto"/>
          <w:spacing w:val="4"/>
          <w:sz w:val="24"/>
          <w:highlight w:val="none"/>
        </w:rPr>
      </w:pPr>
      <w:r>
        <w:rPr>
          <w:rFonts w:hint="eastAsia" w:ascii="Times New Roman" w:hAnsi="Times New Roman"/>
          <w:color w:val="auto"/>
          <w:spacing w:val="4"/>
          <w:kern w:val="0"/>
          <w:sz w:val="24"/>
          <w:szCs w:val="24"/>
          <w:highlight w:val="none"/>
        </w:rPr>
        <w:t>监理服务期内，项目管理组人员应在委托人指定的场所开展驻场服务工作，并按</w:t>
      </w:r>
      <w:r>
        <w:rPr>
          <w:rFonts w:hint="eastAsia" w:ascii="Times New Roman" w:hAnsi="Times New Roman"/>
          <w:bCs/>
          <w:snapToGrid w:val="0"/>
          <w:color w:val="auto"/>
          <w:spacing w:val="4"/>
          <w:kern w:val="0"/>
          <w:sz w:val="24"/>
          <w:szCs w:val="20"/>
          <w:highlight w:val="none"/>
        </w:rPr>
        <w:t>委托人的要求纳入出勤考核管理，施工期阶段监理人的工程监理组人员须在工程现场开展监理服务工作，监理人根据项目进度情况，每月20日前以书面形式向委托人申报下月驻场人员的数量、名单（格式见合同附件3-1），经委托人书面确认后作为每月监理人驻场人员出勤考核的依据；工程收尾期、竣工结算阶段造价人员、资料员须在工程现场或委托人指定场所开展为期6个月的工程收尾相关监理服务工作</w:t>
      </w:r>
      <w:r>
        <w:rPr>
          <w:rFonts w:ascii="Times New Roman" w:hAnsi="Times New Roman"/>
          <w:bCs/>
          <w:snapToGrid w:val="0"/>
          <w:color w:val="auto"/>
          <w:spacing w:val="4"/>
          <w:kern w:val="0"/>
          <w:sz w:val="24"/>
          <w:szCs w:val="20"/>
          <w:highlight w:val="none"/>
        </w:rPr>
        <w:t>；若本项目施工总承包合同未能在此期限内完成结算送审的，则监理人的造价人员在本阶段的驻场服务工作期限相应延长至本项目施工总承包合同结算送达财政评审时止</w:t>
      </w:r>
      <w:r>
        <w:rPr>
          <w:rFonts w:hint="eastAsia" w:ascii="Times New Roman" w:hAnsi="Times New Roman"/>
          <w:bCs/>
          <w:snapToGrid w:val="0"/>
          <w:color w:val="auto"/>
          <w:spacing w:val="4"/>
          <w:kern w:val="0"/>
          <w:sz w:val="24"/>
          <w:szCs w:val="20"/>
          <w:highlight w:val="none"/>
        </w:rPr>
        <w:t>。</w:t>
      </w:r>
    </w:p>
    <w:p w14:paraId="39EB61D6">
      <w:pPr>
        <w:adjustRightInd w:val="0"/>
        <w:snapToGrid w:val="0"/>
        <w:spacing w:line="360" w:lineRule="auto"/>
        <w:ind w:firstLine="482" w:firstLineChars="200"/>
        <w:outlineLvl w:val="2"/>
        <w:rPr>
          <w:rFonts w:ascii="Times New Roman" w:hAnsi="Times New Roman"/>
          <w:color w:val="auto"/>
          <w:sz w:val="24"/>
          <w:szCs w:val="24"/>
          <w:highlight w:val="none"/>
        </w:rPr>
      </w:pPr>
      <w:r>
        <w:rPr>
          <w:rFonts w:hint="eastAsia" w:ascii="Times New Roman" w:hAnsi="Times New Roman"/>
          <w:b/>
          <w:color w:val="auto"/>
          <w:sz w:val="24"/>
          <w:szCs w:val="24"/>
          <w:highlight w:val="none"/>
        </w:rPr>
        <w:t>第三条 监理酬金及其支付方式</w:t>
      </w:r>
    </w:p>
    <w:p w14:paraId="5D475090">
      <w:pPr>
        <w:topLinePunct/>
        <w:adjustRightInd w:val="0"/>
        <w:snapToGrid w:val="0"/>
        <w:spacing w:line="360" w:lineRule="auto"/>
        <w:ind w:firstLine="498" w:firstLineChars="200"/>
        <w:outlineLvl w:val="0"/>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color w:val="auto"/>
          <w:spacing w:val="4"/>
          <w:sz w:val="24"/>
          <w:szCs w:val="24"/>
          <w:highlight w:val="none"/>
        </w:rPr>
        <w:t>监理酬金</w:t>
      </w:r>
      <w:r>
        <w:rPr>
          <w:rFonts w:ascii="Times New Roman" w:hAnsi="Times New Roman"/>
          <w:b/>
          <w:bCs/>
          <w:color w:val="auto"/>
          <w:spacing w:val="4"/>
          <w:sz w:val="24"/>
          <w:szCs w:val="24"/>
          <w:highlight w:val="none"/>
        </w:rPr>
        <w:t>的计取</w:t>
      </w:r>
    </w:p>
    <w:p w14:paraId="476F8090">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color w:val="auto"/>
          <w:spacing w:val="4"/>
          <w:sz w:val="24"/>
          <w:szCs w:val="24"/>
          <w:highlight w:val="none"/>
        </w:rPr>
        <w:t>3.1.1</w:t>
      </w:r>
      <w:r>
        <w:rPr>
          <w:rFonts w:hint="eastAsia" w:ascii="Times New Roman" w:hAnsi="Times New Roman"/>
          <w:bCs/>
          <w:color w:val="auto"/>
          <w:spacing w:val="4"/>
          <w:sz w:val="24"/>
          <w:szCs w:val="24"/>
          <w:highlight w:val="none"/>
        </w:rPr>
        <w:t>结合</w:t>
      </w:r>
      <w:r>
        <w:rPr>
          <w:rFonts w:ascii="Times New Roman" w:hAnsi="Times New Roman"/>
          <w:bCs/>
          <w:color w:val="auto"/>
          <w:spacing w:val="4"/>
          <w:sz w:val="24"/>
          <w:szCs w:val="24"/>
          <w:highlight w:val="none"/>
        </w:rPr>
        <w:t>本合同工程</w:t>
      </w:r>
      <w:r>
        <w:rPr>
          <w:rFonts w:hint="eastAsia" w:ascii="Times New Roman" w:hAnsi="Times New Roman"/>
          <w:bCs/>
          <w:color w:val="auto"/>
          <w:spacing w:val="4"/>
          <w:sz w:val="24"/>
          <w:szCs w:val="24"/>
          <w:highlight w:val="none"/>
        </w:rPr>
        <w:t>的</w:t>
      </w:r>
      <w:r>
        <w:rPr>
          <w:rFonts w:ascii="Times New Roman" w:hAnsi="Times New Roman"/>
          <w:bCs/>
          <w:color w:val="auto"/>
          <w:spacing w:val="4"/>
          <w:sz w:val="24"/>
          <w:szCs w:val="24"/>
          <w:highlight w:val="none"/>
        </w:rPr>
        <w:t>特点，</w:t>
      </w:r>
      <w:r>
        <w:rPr>
          <w:rFonts w:hint="eastAsia" w:ascii="Times New Roman" w:hAnsi="Times New Roman"/>
          <w:bCs/>
          <w:color w:val="auto"/>
          <w:spacing w:val="4"/>
          <w:sz w:val="24"/>
          <w:szCs w:val="24"/>
          <w:highlight w:val="none"/>
        </w:rPr>
        <w:t>委托人、监理人一致同意按如下约定计取监理酬金：</w:t>
      </w:r>
    </w:p>
    <w:p w14:paraId="7C86090D">
      <w:pPr>
        <w:keepNext w:val="0"/>
        <w:keepLines w:val="0"/>
        <w:widowControl w:val="0"/>
        <w:suppressLineNumbers w:val="0"/>
        <w:topLinePunct/>
        <w:adjustRightInd w:val="0"/>
        <w:snapToGrid w:val="0"/>
        <w:spacing w:before="0" w:beforeAutospacing="0" w:after="0" w:afterAutospacing="0" w:line="360" w:lineRule="auto"/>
        <w:ind w:left="0" w:right="0" w:firstLine="420"/>
        <w:jc w:val="both"/>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本合同暂定建筑安装工程费为</w:t>
      </w:r>
      <w:r>
        <w:rPr>
          <w:rFonts w:hint="default" w:ascii="Times New Roman" w:hAnsi="Times New Roman" w:eastAsia="宋体" w:cs="Times New Roman"/>
          <w:bCs/>
          <w:color w:val="auto"/>
          <w:spacing w:val="4"/>
          <w:kern w:val="2"/>
          <w:sz w:val="24"/>
          <w:szCs w:val="24"/>
          <w:highlight w:val="none"/>
          <w:u w:val="single"/>
          <w:lang w:val="en-US" w:eastAsia="zh-CN" w:bidi="ar"/>
          <w:woUserID w:val="1"/>
        </w:rPr>
        <w:t>37687</w:t>
      </w:r>
      <w:r>
        <w:rPr>
          <w:rFonts w:hint="eastAsia" w:ascii="宋体" w:hAnsi="宋体" w:eastAsia="宋体" w:cs="宋体"/>
          <w:bCs/>
          <w:color w:val="auto"/>
          <w:spacing w:val="4"/>
          <w:kern w:val="2"/>
          <w:sz w:val="24"/>
          <w:szCs w:val="24"/>
          <w:highlight w:val="none"/>
          <w:u w:val="single"/>
          <w:lang w:val="en-US" w:eastAsia="zh-CN" w:bidi="ar"/>
          <w:woUserID w:val="1"/>
        </w:rPr>
        <w:t>万</w:t>
      </w:r>
      <w:r>
        <w:rPr>
          <w:rFonts w:hint="eastAsia" w:ascii="Times New Roman" w:hAnsi="Times New Roman"/>
          <w:bCs/>
          <w:color w:val="auto"/>
          <w:spacing w:val="4"/>
          <w:sz w:val="24"/>
          <w:szCs w:val="24"/>
          <w:highlight w:val="none"/>
        </w:rPr>
        <w:t>元，监理酬金暂定为</w:t>
      </w:r>
      <w:r>
        <w:rPr>
          <w:rFonts w:hint="eastAsia" w:ascii="Times New Roman" w:hAnsi="Times New Roman"/>
          <w:bCs/>
          <w:color w:val="auto"/>
          <w:spacing w:val="4"/>
          <w:sz w:val="24"/>
          <w:szCs w:val="24"/>
          <w:highlight w:val="none"/>
          <w:u w:val="single"/>
          <w:lang w:val="en-US" w:eastAsia="zh-CN"/>
        </w:rPr>
        <w:t xml:space="preserve">         </w:t>
      </w:r>
      <w:r>
        <w:rPr>
          <w:rFonts w:hint="eastAsia" w:ascii="Times New Roman" w:hAnsi="Times New Roman"/>
          <w:bCs/>
          <w:color w:val="auto"/>
          <w:spacing w:val="4"/>
          <w:sz w:val="24"/>
          <w:szCs w:val="24"/>
          <w:highlight w:val="none"/>
        </w:rPr>
        <w:t>元（中标价）。本合同监理费率为</w:t>
      </w:r>
      <w:r>
        <w:rPr>
          <w:rFonts w:hint="eastAsia" w:ascii="Times New Roman" w:hAnsi="Times New Roman"/>
          <w:bCs/>
          <w:color w:val="auto"/>
          <w:spacing w:val="4"/>
          <w:sz w:val="24"/>
          <w:szCs w:val="24"/>
          <w:highlight w:val="none"/>
          <w:u w:val="single"/>
          <w:lang w:val="en-US" w:eastAsia="zh-CN"/>
        </w:rPr>
        <w:t xml:space="preserve">         </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（中标价</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暂定建筑安装工程费×</w:t>
      </w:r>
      <w:r>
        <w:rPr>
          <w:rFonts w:ascii="Times New Roman" w:hAnsi="Times New Roman"/>
          <w:bCs/>
          <w:color w:val="auto"/>
          <w:spacing w:val="4"/>
          <w:sz w:val="24"/>
          <w:szCs w:val="24"/>
          <w:highlight w:val="none"/>
        </w:rPr>
        <w:t>100%</w:t>
      </w:r>
      <w:r>
        <w:rPr>
          <w:rFonts w:hint="eastAsia" w:ascii="Times New Roman" w:hAnsi="Times New Roman"/>
          <w:bCs/>
          <w:color w:val="auto"/>
          <w:spacing w:val="4"/>
          <w:sz w:val="24"/>
          <w:szCs w:val="24"/>
          <w:highlight w:val="none"/>
        </w:rPr>
        <w:t>）。</w:t>
      </w:r>
    </w:p>
    <w:p w14:paraId="677726B7">
      <w:pPr>
        <w:topLinePunct/>
        <w:adjustRightInd w:val="0"/>
        <w:snapToGrid w:val="0"/>
        <w:spacing w:line="360" w:lineRule="auto"/>
        <w:ind w:firstLine="496" w:firstLineChars="200"/>
        <w:rPr>
          <w:rFonts w:ascii="Times New Roman" w:hAnsi="Times New Roman"/>
          <w:bCs/>
          <w:color w:val="auto"/>
          <w:spacing w:val="4"/>
          <w:kern w:val="44"/>
          <w:sz w:val="24"/>
          <w:szCs w:val="24"/>
          <w:highlight w:val="none"/>
        </w:rPr>
      </w:pPr>
      <w:r>
        <w:rPr>
          <w:rFonts w:hint="eastAsia" w:ascii="Times New Roman" w:hAnsi="Times New Roman"/>
          <w:bCs/>
          <w:color w:val="auto"/>
          <w:spacing w:val="4"/>
          <w:kern w:val="44"/>
          <w:sz w:val="24"/>
          <w:szCs w:val="24"/>
          <w:highlight w:val="none"/>
        </w:rPr>
        <w:t>监理酬金结算按有权审核部门审定的本合同监理人</w:t>
      </w:r>
      <w:r>
        <w:rPr>
          <w:rFonts w:hint="eastAsia" w:ascii="Times New Roman" w:hAnsi="Times New Roman" w:cs="宋体"/>
          <w:color w:val="auto"/>
          <w:spacing w:val="4"/>
          <w:sz w:val="24"/>
          <w:szCs w:val="24"/>
          <w:highlight w:val="none"/>
        </w:rPr>
        <w:t>实际监理范围内所有单位工程概算中的</w:t>
      </w:r>
      <w:r>
        <w:rPr>
          <w:rFonts w:hint="eastAsia" w:ascii="Times New Roman" w:hAnsi="Times New Roman"/>
          <w:bCs/>
          <w:color w:val="auto"/>
          <w:spacing w:val="4"/>
          <w:kern w:val="44"/>
          <w:sz w:val="24"/>
          <w:szCs w:val="24"/>
          <w:highlight w:val="none"/>
        </w:rPr>
        <w:t>建筑安装工程费之和的</w:t>
      </w:r>
      <w:r>
        <w:rPr>
          <w:rFonts w:ascii="Times New Roman" w:hAnsi="Times New Roman"/>
          <w:bCs/>
          <w:color w:val="auto"/>
          <w:spacing w:val="4"/>
          <w:kern w:val="44"/>
          <w:sz w:val="24"/>
          <w:szCs w:val="24"/>
          <w:highlight w:val="none"/>
        </w:rPr>
        <w:t>95%</w:t>
      </w:r>
      <w:r>
        <w:rPr>
          <w:rFonts w:hint="eastAsia" w:ascii="Times New Roman" w:hAnsi="Times New Roman"/>
          <w:bCs/>
          <w:color w:val="auto"/>
          <w:spacing w:val="4"/>
          <w:kern w:val="44"/>
          <w:sz w:val="24"/>
          <w:szCs w:val="24"/>
          <w:highlight w:val="none"/>
        </w:rPr>
        <w:t>乘以本合同监理费率计取。</w:t>
      </w:r>
      <w:r>
        <w:rPr>
          <w:rFonts w:hint="eastAsia" w:ascii="Times New Roman" w:hAnsi="Times New Roman"/>
          <w:b/>
          <w:bCs/>
          <w:color w:val="auto"/>
          <w:spacing w:val="4"/>
          <w:kern w:val="44"/>
          <w:sz w:val="24"/>
          <w:szCs w:val="24"/>
          <w:highlight w:val="none"/>
        </w:rPr>
        <w:t>监理酬金最终结算价不超过概算批复监理费的</w:t>
      </w:r>
      <w:r>
        <w:rPr>
          <w:rFonts w:ascii="Times New Roman" w:hAnsi="Times New Roman"/>
          <w:b/>
          <w:bCs/>
          <w:color w:val="auto"/>
          <w:spacing w:val="4"/>
          <w:kern w:val="44"/>
          <w:sz w:val="24"/>
          <w:szCs w:val="24"/>
          <w:highlight w:val="none"/>
        </w:rPr>
        <w:t>88%</w:t>
      </w:r>
      <w:r>
        <w:rPr>
          <w:rFonts w:hint="eastAsia" w:ascii="Times New Roman" w:hAnsi="Times New Roman"/>
          <w:bCs/>
          <w:color w:val="auto"/>
          <w:spacing w:val="4"/>
          <w:kern w:val="44"/>
          <w:sz w:val="24"/>
          <w:szCs w:val="24"/>
          <w:highlight w:val="none"/>
        </w:rPr>
        <w:t>，并以有权终审部门审定的金额为准。</w:t>
      </w:r>
    </w:p>
    <w:p w14:paraId="2CB42931">
      <w:pPr>
        <w:tabs>
          <w:tab w:val="left" w:pos="4680"/>
        </w:tabs>
        <w:topLinePunct/>
        <w:adjustRightInd w:val="0"/>
        <w:snapToGrid w:val="0"/>
        <w:spacing w:line="360" w:lineRule="auto"/>
        <w:ind w:firstLine="498" w:firstLineChars="200"/>
        <w:rPr>
          <w:rFonts w:ascii="Times New Roman" w:hAnsi="Times New Roman"/>
          <w:b/>
          <w:bCs/>
          <w:strike w:val="0"/>
          <w:color w:val="auto"/>
          <w:spacing w:val="4"/>
          <w:sz w:val="24"/>
          <w:szCs w:val="24"/>
          <w:highlight w:val="none"/>
        </w:rPr>
      </w:pPr>
      <w:r>
        <w:rPr>
          <w:rFonts w:ascii="Times New Roman" w:hAnsi="Times New Roman"/>
          <w:b/>
          <w:bCs/>
          <w:color w:val="auto"/>
          <w:spacing w:val="4"/>
          <w:sz w:val="24"/>
          <w:szCs w:val="24"/>
          <w:highlight w:val="none"/>
        </w:rPr>
        <w:t>本项目概算最终批复后，若按上述计取方式测算的监理酬金</w:t>
      </w:r>
      <w:r>
        <w:rPr>
          <w:rFonts w:hint="eastAsia" w:ascii="Times New Roman" w:hAnsi="Times New Roman"/>
          <w:b/>
          <w:bCs/>
          <w:color w:val="auto"/>
          <w:spacing w:val="4"/>
          <w:sz w:val="24"/>
          <w:szCs w:val="24"/>
          <w:highlight w:val="none"/>
          <w:lang w:val="en-US" w:eastAsia="zh-CN"/>
        </w:rPr>
        <w:t>大于</w:t>
      </w:r>
      <w:r>
        <w:rPr>
          <w:rFonts w:ascii="Times New Roman" w:hAnsi="Times New Roman"/>
          <w:b/>
          <w:bCs/>
          <w:color w:val="auto"/>
          <w:spacing w:val="4"/>
          <w:sz w:val="24"/>
          <w:szCs w:val="24"/>
          <w:highlight w:val="none"/>
        </w:rPr>
        <w:t>本合同监理酬金暂定金额</w:t>
      </w:r>
      <w:r>
        <w:rPr>
          <w:rFonts w:hint="eastAsia" w:ascii="Times New Roman" w:hAnsi="Times New Roman"/>
          <w:b/>
          <w:bCs/>
          <w:color w:val="auto"/>
          <w:spacing w:val="4"/>
          <w:sz w:val="24"/>
          <w:szCs w:val="24"/>
          <w:highlight w:val="none"/>
          <w:lang w:val="en-US" w:eastAsia="zh-CN"/>
        </w:rPr>
        <w:t>1</w:t>
      </w:r>
      <w:r>
        <w:rPr>
          <w:rFonts w:ascii="Times New Roman" w:hAnsi="Times New Roman"/>
          <w:b/>
          <w:bCs/>
          <w:color w:val="auto"/>
          <w:spacing w:val="4"/>
          <w:sz w:val="24"/>
          <w:szCs w:val="24"/>
          <w:highlight w:val="none"/>
        </w:rPr>
        <w:t>10%（不含1</w:t>
      </w:r>
      <w:r>
        <w:rPr>
          <w:rFonts w:hint="eastAsia" w:ascii="Times New Roman" w:hAnsi="Times New Roman"/>
          <w:b/>
          <w:bCs/>
          <w:color w:val="auto"/>
          <w:spacing w:val="4"/>
          <w:sz w:val="24"/>
          <w:szCs w:val="24"/>
          <w:highlight w:val="none"/>
          <w:lang w:val="en-US" w:eastAsia="zh-CN"/>
        </w:rPr>
        <w:t>1</w:t>
      </w:r>
      <w:r>
        <w:rPr>
          <w:rFonts w:ascii="Times New Roman" w:hAnsi="Times New Roman"/>
          <w:b/>
          <w:bCs/>
          <w:color w:val="auto"/>
          <w:spacing w:val="4"/>
          <w:sz w:val="24"/>
          <w:szCs w:val="24"/>
          <w:highlight w:val="none"/>
        </w:rPr>
        <w:t>0%），则超过部分的监理酬金的计取及结算方式由双方另行商定并考虑一定的折扣率</w:t>
      </w:r>
      <w:r>
        <w:rPr>
          <w:rFonts w:ascii="Times New Roman" w:hAnsi="Times New Roman"/>
          <w:b/>
          <w:bCs/>
          <w:strike w:val="0"/>
          <w:color w:val="auto"/>
          <w:spacing w:val="4"/>
          <w:sz w:val="24"/>
          <w:szCs w:val="24"/>
          <w:highlight w:val="none"/>
        </w:rPr>
        <w:t>，且</w:t>
      </w:r>
      <w:r>
        <w:rPr>
          <w:rFonts w:hint="eastAsia" w:ascii="Times New Roman" w:hAnsi="Times New Roman"/>
          <w:b/>
          <w:bCs/>
          <w:strike w:val="0"/>
          <w:color w:val="auto"/>
          <w:spacing w:val="4"/>
          <w:kern w:val="44"/>
          <w:sz w:val="24"/>
          <w:szCs w:val="24"/>
          <w:highlight w:val="none"/>
        </w:rPr>
        <w:t>监理酬金最终结算价不超过概算批复监理费的</w:t>
      </w:r>
      <w:r>
        <w:rPr>
          <w:rFonts w:ascii="Times New Roman" w:hAnsi="Times New Roman"/>
          <w:b/>
          <w:bCs/>
          <w:strike w:val="0"/>
          <w:color w:val="auto"/>
          <w:spacing w:val="4"/>
          <w:kern w:val="44"/>
          <w:sz w:val="24"/>
          <w:szCs w:val="24"/>
          <w:highlight w:val="none"/>
        </w:rPr>
        <w:t>88%</w:t>
      </w:r>
      <w:r>
        <w:rPr>
          <w:rFonts w:hint="eastAsia" w:ascii="Times New Roman" w:hAnsi="Times New Roman"/>
          <w:bCs/>
          <w:strike w:val="0"/>
          <w:color w:val="auto"/>
          <w:spacing w:val="4"/>
          <w:kern w:val="44"/>
          <w:sz w:val="24"/>
          <w:szCs w:val="24"/>
          <w:highlight w:val="none"/>
        </w:rPr>
        <w:t>，</w:t>
      </w:r>
    </w:p>
    <w:p w14:paraId="22BB2F19">
      <w:pPr>
        <w:tabs>
          <w:tab w:val="left" w:pos="4680"/>
        </w:tabs>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在本合同约定的监理范围内，监理人不得以任何理由要求对附加工作和额外工作计取监理酬金。</w:t>
      </w:r>
    </w:p>
    <w:p w14:paraId="3257C9CA">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3</w:t>
      </w:r>
      <w:r>
        <w:rPr>
          <w:rFonts w:hint="eastAsia" w:ascii="Times New Roman" w:hAnsi="Times New Roman"/>
          <w:bCs/>
          <w:color w:val="auto"/>
          <w:spacing w:val="4"/>
          <w:sz w:val="24"/>
          <w:szCs w:val="24"/>
          <w:highlight w:val="none"/>
        </w:rPr>
        <w:t>在本合同约定的监理范围内，当工程量增加、或设计变更、或设计规模变化时，监理人工作的变化均应视为本合同约定的监理工作，监理酬金总额不再调整。</w:t>
      </w:r>
    </w:p>
    <w:p w14:paraId="41B48F1C">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4</w:t>
      </w:r>
      <w:r>
        <w:rPr>
          <w:rFonts w:hint="eastAsia" w:ascii="Times New Roman" w:hAnsi="Times New Roman"/>
          <w:bCs/>
          <w:color w:val="auto"/>
          <w:spacing w:val="4"/>
          <w:sz w:val="24"/>
          <w:szCs w:val="24"/>
          <w:highlight w:val="none"/>
        </w:rPr>
        <w:t>本合同约定的服务期间，其各种费率和费用不因物价变动导致监理酬金的增减而给予弥补或调整，双方另有约定的除外。</w:t>
      </w:r>
    </w:p>
    <w:p w14:paraId="0FF9C1CC">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5</w:t>
      </w:r>
      <w:r>
        <w:rPr>
          <w:rFonts w:hint="eastAsia" w:ascii="Times New Roman" w:hAnsi="Times New Roman"/>
          <w:bCs/>
          <w:color w:val="auto"/>
          <w:spacing w:val="4"/>
          <w:sz w:val="24"/>
          <w:szCs w:val="24"/>
          <w:highlight w:val="none"/>
        </w:rPr>
        <w:t>在本合同约定的监理范围内，非因监理人原因造成工程延期，致使监理服务期出现延长，监理人的责任期也应相应延长，本合同监理酬金总额不作调整，双方另有约定的除外。</w:t>
      </w:r>
    </w:p>
    <w:p w14:paraId="644A653B">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6</w:t>
      </w:r>
      <w:r>
        <w:rPr>
          <w:rFonts w:hint="eastAsia" w:ascii="Times New Roman" w:hAnsi="Times New Roman"/>
          <w:bCs/>
          <w:color w:val="auto"/>
          <w:spacing w:val="4"/>
          <w:sz w:val="24"/>
          <w:szCs w:val="24"/>
          <w:highlight w:val="none"/>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3DC12946">
      <w:pPr>
        <w:topLinePunct/>
        <w:adjustRightInd w:val="0"/>
        <w:snapToGrid w:val="0"/>
        <w:spacing w:line="360" w:lineRule="auto"/>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7</w:t>
      </w:r>
      <w:r>
        <w:rPr>
          <w:rFonts w:hint="eastAsia" w:ascii="Times New Roman" w:hAnsi="Times New Roman"/>
          <w:bCs/>
          <w:color w:val="auto"/>
          <w:spacing w:val="4"/>
          <w:sz w:val="24"/>
          <w:szCs w:val="24"/>
          <w:highlight w:val="none"/>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3FF986CE">
      <w:pPr>
        <w:topLinePunct/>
        <w:adjustRightInd w:val="0"/>
        <w:snapToGrid w:val="0"/>
        <w:spacing w:line="360" w:lineRule="auto"/>
        <w:ind w:firstLine="498" w:firstLineChars="200"/>
        <w:rPr>
          <w:rFonts w:ascii="Times New Roman" w:hAnsi="Times New Roman"/>
          <w:bCs/>
          <w:color w:val="auto"/>
          <w:spacing w:val="4"/>
          <w:sz w:val="24"/>
          <w:szCs w:val="24"/>
          <w:highlight w:val="none"/>
        </w:rPr>
      </w:pPr>
      <w:r>
        <w:rPr>
          <w:rFonts w:ascii="Times New Roman" w:hAnsi="Times New Roman"/>
          <w:b/>
          <w:bCs/>
          <w:color w:val="auto"/>
          <w:spacing w:val="4"/>
          <w:sz w:val="24"/>
          <w:szCs w:val="24"/>
          <w:highlight w:val="none"/>
        </w:rPr>
        <w:t>3.1.</w:t>
      </w:r>
      <w:r>
        <w:rPr>
          <w:rFonts w:hint="eastAsia" w:ascii="Times New Roman" w:hAnsi="Times New Roman"/>
          <w:b/>
          <w:bCs/>
          <w:color w:val="auto"/>
          <w:spacing w:val="4"/>
          <w:sz w:val="24"/>
          <w:szCs w:val="24"/>
          <w:highlight w:val="none"/>
        </w:rPr>
        <w:t>8</w:t>
      </w:r>
      <w:r>
        <w:rPr>
          <w:rFonts w:hint="eastAsia" w:ascii="Times New Roman" w:hAnsi="Times New Roman"/>
          <w:bCs/>
          <w:color w:val="auto"/>
          <w:spacing w:val="4"/>
          <w:sz w:val="24"/>
          <w:szCs w:val="24"/>
          <w:highlight w:val="none"/>
        </w:rPr>
        <w:t>委托人可根据工作需要从监理人的项目部直接抽调造价人员，于工程现场或委托人指定场所协助委托人工作；相关费用已含于监理费用中。</w:t>
      </w:r>
    </w:p>
    <w:p w14:paraId="234E9EED">
      <w:pPr>
        <w:topLinePunct/>
        <w:adjustRightInd w:val="0"/>
        <w:snapToGrid w:val="0"/>
        <w:spacing w:line="360" w:lineRule="auto"/>
        <w:ind w:firstLine="498" w:firstLineChars="200"/>
        <w:outlineLvl w:val="0"/>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3.2</w:t>
      </w:r>
      <w:r>
        <w:rPr>
          <w:rFonts w:hint="eastAsia" w:ascii="Times New Roman" w:hAnsi="Times New Roman"/>
          <w:b/>
          <w:color w:val="auto"/>
          <w:spacing w:val="4"/>
          <w:sz w:val="24"/>
          <w:szCs w:val="24"/>
          <w:highlight w:val="none"/>
        </w:rPr>
        <w:t>监理酬金</w:t>
      </w:r>
      <w:r>
        <w:rPr>
          <w:rFonts w:ascii="Times New Roman" w:hAnsi="Times New Roman"/>
          <w:b/>
          <w:bCs/>
          <w:color w:val="auto"/>
          <w:spacing w:val="4"/>
          <w:sz w:val="24"/>
          <w:szCs w:val="24"/>
          <w:highlight w:val="none"/>
        </w:rPr>
        <w:t>的</w:t>
      </w:r>
      <w:r>
        <w:rPr>
          <w:rFonts w:hint="eastAsia" w:ascii="Times New Roman" w:hAnsi="Times New Roman"/>
          <w:b/>
          <w:bCs/>
          <w:color w:val="auto"/>
          <w:spacing w:val="4"/>
          <w:sz w:val="24"/>
          <w:szCs w:val="24"/>
          <w:highlight w:val="none"/>
        </w:rPr>
        <w:t>支付</w:t>
      </w:r>
    </w:p>
    <w:p w14:paraId="6B9735FD">
      <w:pPr>
        <w:topLinePunct/>
        <w:adjustRightInd w:val="0"/>
        <w:snapToGrid w:val="0"/>
        <w:spacing w:line="360" w:lineRule="auto"/>
        <w:ind w:firstLine="498" w:firstLineChars="200"/>
        <w:rPr>
          <w:rFonts w:ascii="Times New Roman" w:hAnsi="Times New Roman"/>
          <w:color w:val="auto"/>
          <w:spacing w:val="4"/>
          <w:sz w:val="24"/>
          <w:szCs w:val="24"/>
          <w:highlight w:val="none"/>
        </w:rPr>
      </w:pPr>
      <w:r>
        <w:rPr>
          <w:rFonts w:ascii="Times New Roman" w:hAnsi="Times New Roman"/>
          <w:b/>
          <w:bCs/>
          <w:color w:val="auto"/>
          <w:spacing w:val="4"/>
          <w:sz w:val="24"/>
          <w:szCs w:val="24"/>
          <w:highlight w:val="none"/>
        </w:rPr>
        <w:t>3.2.1</w:t>
      </w:r>
      <w:r>
        <w:rPr>
          <w:rFonts w:hint="eastAsia" w:ascii="Times New Roman" w:hAnsi="Times New Roman"/>
          <w:bCs/>
          <w:color w:val="auto"/>
          <w:spacing w:val="4"/>
          <w:sz w:val="24"/>
          <w:szCs w:val="24"/>
          <w:highlight w:val="none"/>
        </w:rPr>
        <w:t>监理人必须在本合同签订生效后按合同附件载明的格式向委托人提交履约担保，方可根据完成本合同约定的相关监理工作的情况办理监理酬金支付申请手续</w:t>
      </w:r>
      <w:r>
        <w:rPr>
          <w:rFonts w:hint="eastAsia" w:ascii="Times New Roman" w:hAnsi="Times New Roman"/>
          <w:color w:val="auto"/>
          <w:spacing w:val="4"/>
          <w:sz w:val="24"/>
          <w:szCs w:val="24"/>
          <w:highlight w:val="none"/>
        </w:rPr>
        <w:t>。</w:t>
      </w:r>
    </w:p>
    <w:p w14:paraId="56882739">
      <w:pPr>
        <w:topLinePunct/>
        <w:adjustRightInd w:val="0"/>
        <w:snapToGrid w:val="0"/>
        <w:spacing w:line="360" w:lineRule="auto"/>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3.2.2</w:t>
      </w:r>
      <w:r>
        <w:rPr>
          <w:rFonts w:hint="eastAsia" w:ascii="Times New Roman" w:hAnsi="Times New Roman"/>
          <w:b/>
          <w:color w:val="auto"/>
          <w:spacing w:val="4"/>
          <w:sz w:val="24"/>
          <w:szCs w:val="24"/>
          <w:highlight w:val="none"/>
        </w:rPr>
        <w:t xml:space="preserve"> </w:t>
      </w:r>
      <w:r>
        <w:rPr>
          <w:rFonts w:hint="eastAsia" w:ascii="宋体" w:hAnsi="宋体"/>
          <w:b/>
          <w:bCs/>
          <w:strike w:val="0"/>
          <w:snapToGrid w:val="0"/>
          <w:color w:val="auto"/>
          <w:kern w:val="0"/>
          <w:sz w:val="24"/>
          <w:highlight w:val="none"/>
        </w:rPr>
        <w:t>☒</w:t>
      </w:r>
      <w:r>
        <w:rPr>
          <w:rFonts w:hint="eastAsia" w:ascii="Times New Roman" w:hAnsi="Times New Roman"/>
          <w:color w:val="auto"/>
          <w:spacing w:val="4"/>
          <w:kern w:val="0"/>
          <w:sz w:val="24"/>
          <w:szCs w:val="24"/>
          <w:highlight w:val="none"/>
        </w:rPr>
        <w:t>【适用于受托建设并签订资金支付协议的项目】</w:t>
      </w:r>
      <w:r>
        <w:rPr>
          <w:rFonts w:ascii="Times New Roman" w:hAnsi="Times New Roman"/>
          <w:color w:val="auto"/>
          <w:spacing w:val="4"/>
          <w:kern w:val="0"/>
          <w:sz w:val="24"/>
          <w:szCs w:val="24"/>
          <w:highlight w:val="none"/>
        </w:rPr>
        <w:t>委托人受项目业主单位委托，实施本项目建设管理，项目建设资金由项目业主单位负责落实，本合同监理酬金支付方式如下：</w:t>
      </w:r>
    </w:p>
    <w:p w14:paraId="51BBD8CC">
      <w:pPr>
        <w:keepNext w:val="0"/>
        <w:keepLines w:val="0"/>
        <w:widowControl w:val="0"/>
        <w:suppressLineNumbers w:val="0"/>
        <w:topLinePunct/>
        <w:adjustRightInd w:val="0"/>
        <w:snapToGrid w:val="0"/>
        <w:spacing w:before="0" w:beforeAutospacing="0" w:after="0" w:afterAutospacing="0" w:line="360" w:lineRule="auto"/>
        <w:ind w:left="0" w:right="0" w:firstLine="496" w:firstLineChars="200"/>
        <w:jc w:val="both"/>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监理人在达到本合同付款条件并按照合同约定申请支付监理酬金时，应向委托人提交相应合法有效的支付申请材料和收款票据（票据类型包括但不限于发票，下同；由监理人向项目业主单位开具，即付款方名称为“</w:t>
      </w:r>
      <w:r>
        <w:rPr>
          <w:rFonts w:hint="eastAsia" w:ascii="宋体" w:hAnsi="宋体" w:cs="宋体"/>
          <w:color w:val="auto"/>
          <w:spacing w:val="4"/>
          <w:kern w:val="0"/>
          <w:sz w:val="24"/>
          <w:szCs w:val="24"/>
          <w:highlight w:val="none"/>
          <w:lang w:val="en-US" w:eastAsia="zh-CN" w:bidi="ar"/>
        </w:rPr>
        <w:t>华南理工大学</w:t>
      </w:r>
      <w:r>
        <w:rPr>
          <w:rFonts w:ascii="Times New Roman" w:hAnsi="Times New Roman"/>
          <w:color w:val="auto"/>
          <w:spacing w:val="4"/>
          <w:kern w:val="0"/>
          <w:sz w:val="24"/>
          <w:szCs w:val="24"/>
          <w:highlight w:val="none"/>
        </w:rPr>
        <w:t>”）。</w:t>
      </w:r>
    </w:p>
    <w:p w14:paraId="178DB9D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监理人按相关规定及财务制度（含委托人的财务管理制度）提交完备且无误的支付申请材料后，委托人对监理人提交的支付申请材料进行审核，委托人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2082886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t>具体要求按委托人与项目业主单位签订的《建设资金支付协议》（详见附件2）执行。</w:t>
      </w:r>
    </w:p>
    <w:p w14:paraId="4F7DC9D0">
      <w:pPr>
        <w:topLinePunct/>
        <w:adjustRightInd w:val="0"/>
        <w:snapToGrid w:val="0"/>
        <w:spacing w:line="360" w:lineRule="auto"/>
        <w:ind w:firstLine="482" w:firstLineChars="200"/>
        <w:rPr>
          <w:rFonts w:ascii="Times New Roman" w:hAnsi="Times New Roman"/>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olor w:val="auto"/>
          <w:spacing w:val="4"/>
          <w:kern w:val="0"/>
          <w:sz w:val="24"/>
          <w:szCs w:val="24"/>
          <w:highlight w:val="none"/>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约责任，并且此情况不能成为乙方中止或拒绝履行合同约定义务的理由。</w:t>
      </w:r>
    </w:p>
    <w:p w14:paraId="7FF6A3B9">
      <w:pPr>
        <w:topLinePunct/>
        <w:adjustRightInd w:val="0"/>
        <w:snapToGrid w:val="0"/>
        <w:spacing w:line="360" w:lineRule="auto"/>
        <w:ind w:firstLine="482" w:firstLineChars="200"/>
        <w:rPr>
          <w:rFonts w:ascii="Times New Roman" w:hAnsi="Times New Roman"/>
          <w:color w:val="auto"/>
          <w:spacing w:val="4"/>
          <w:kern w:val="0"/>
          <w:sz w:val="24"/>
          <w:szCs w:val="24"/>
          <w:highlight w:val="none"/>
        </w:rPr>
      </w:pPr>
      <w:r>
        <w:rPr>
          <w:rFonts w:hint="eastAsia" w:ascii="宋体" w:hAnsi="宋体"/>
          <w:b/>
          <w:bCs/>
          <w:snapToGrid w:val="0"/>
          <w:color w:val="auto"/>
          <w:kern w:val="0"/>
          <w:sz w:val="24"/>
          <w:szCs w:val="24"/>
          <w:highlight w:val="none"/>
          <w:lang w:eastAsia="zh-CN"/>
        </w:rPr>
        <w:t>☒</w:t>
      </w:r>
      <w:r>
        <w:rPr>
          <w:rFonts w:hint="eastAsia" w:ascii="宋体" w:hAnsi="宋体"/>
          <w:b/>
          <w:bCs/>
          <w:snapToGrid w:val="0"/>
          <w:color w:val="auto"/>
          <w:kern w:val="0"/>
          <w:sz w:val="24"/>
          <w:szCs w:val="24"/>
          <w:highlight w:val="none"/>
          <w:lang w:val="en-US" w:eastAsia="zh-CN"/>
        </w:rPr>
        <w:t xml:space="preserve"> </w:t>
      </w:r>
      <w:r>
        <w:rPr>
          <w:rFonts w:hint="eastAsia" w:ascii="Times New Roman" w:hAnsi="Times New Roman"/>
          <w:color w:val="auto"/>
          <w:spacing w:val="4"/>
          <w:kern w:val="0"/>
          <w:sz w:val="24"/>
          <w:szCs w:val="24"/>
          <w:highlight w:val="none"/>
        </w:rPr>
        <w:t>【适用于暨大等业主/使用单位直接参与签订本合同的项目】本合同款项由项目业主单位（或项目使用单位）直接向乙方支付，相关付款责任由项目业主单位（或项目使用单位）按照本合同约定承担。</w:t>
      </w:r>
    </w:p>
    <w:p w14:paraId="2F5E738B">
      <w:pPr>
        <w:keepNext w:val="0"/>
        <w:keepLines w:val="0"/>
        <w:widowControl w:val="0"/>
        <w:suppressLineNumbers w:val="0"/>
        <w:topLinePunct/>
        <w:adjustRightInd w:val="0"/>
        <w:snapToGrid w:val="0"/>
        <w:spacing w:before="0" w:beforeAutospacing="0" w:after="0" w:afterAutospacing="0" w:line="360" w:lineRule="auto"/>
        <w:ind w:left="0" w:right="0" w:firstLine="506" w:firstLineChars="200"/>
        <w:jc w:val="both"/>
        <w:rPr>
          <w:rFonts w:hint="eastAsia" w:ascii="Times New Roman" w:hAnsi="Times New Roman"/>
          <w:color w:val="auto"/>
          <w:spacing w:val="4"/>
          <w:kern w:val="0"/>
          <w:sz w:val="24"/>
          <w:highlight w:val="none"/>
        </w:rPr>
      </w:pPr>
      <w:r>
        <w:rPr>
          <w:rFonts w:hint="eastAsia" w:ascii="宋体" w:hAnsi="宋体"/>
          <w:b/>
          <w:bCs/>
          <w:snapToGrid w:val="0"/>
          <w:color w:val="auto"/>
          <w:spacing w:val="6"/>
          <w:sz w:val="24"/>
          <w:highlight w:val="none"/>
        </w:rPr>
        <w:sym w:font="Wingdings 2" w:char="0052"/>
      </w:r>
      <w:r>
        <w:rPr>
          <w:rFonts w:hint="default" w:ascii="宋体" w:hAnsi="宋体"/>
          <w:b/>
          <w:bCs/>
          <w:snapToGrid w:val="0"/>
          <w:color w:val="auto"/>
          <w:spacing w:val="6"/>
          <w:sz w:val="24"/>
          <w:highlight w:val="none"/>
          <w:woUserID w:val="1"/>
        </w:rPr>
        <w:t>✓</w:t>
      </w:r>
      <w:r>
        <w:rPr>
          <w:rFonts w:hint="eastAsia" w:ascii="宋体" w:hAnsi="宋体"/>
          <w:b/>
          <w:bCs/>
          <w:snapToGrid w:val="0"/>
          <w:color w:val="auto"/>
          <w:kern w:val="0"/>
          <w:sz w:val="24"/>
          <w:highlight w:val="none"/>
        </w:rPr>
        <w:t xml:space="preserve"> </w:t>
      </w:r>
      <w:r>
        <w:rPr>
          <w:rFonts w:hint="eastAsia" w:ascii="Times New Roman" w:hAnsi="Times New Roman"/>
          <w:color w:val="auto"/>
          <w:spacing w:val="4"/>
          <w:kern w:val="0"/>
          <w:sz w:val="24"/>
          <w:highlight w:val="none"/>
        </w:rPr>
        <w:t>【适用于中大等业主/使用单位直接付款并签订三方协议的项目】本合同款项由项目业主单位（或项目使用单位）直接向</w:t>
      </w:r>
      <w:r>
        <w:rPr>
          <w:rFonts w:hint="eastAsia" w:ascii="宋体" w:hAnsi="宋体" w:eastAsia="宋体" w:cs="宋体"/>
          <w:color w:val="auto"/>
          <w:spacing w:val="4"/>
          <w:kern w:val="0"/>
          <w:sz w:val="24"/>
          <w:szCs w:val="24"/>
          <w:highlight w:val="none"/>
          <w:lang w:val="en-US" w:eastAsia="zh-CN" w:bidi="ar"/>
          <w:woUserID w:val="1"/>
        </w:rPr>
        <w:t>监理人</w:t>
      </w:r>
      <w:r>
        <w:rPr>
          <w:rFonts w:hint="eastAsia" w:ascii="Times New Roman" w:hAnsi="Times New Roman"/>
          <w:color w:val="auto"/>
          <w:spacing w:val="4"/>
          <w:kern w:val="0"/>
          <w:sz w:val="24"/>
          <w:highlight w:val="none"/>
        </w:rPr>
        <w:t>支付，相关付款责任由项目业主单位（或项目使用单位）承担，具体支付方式由</w:t>
      </w:r>
      <w:r>
        <w:rPr>
          <w:rFonts w:hint="eastAsia" w:ascii="宋体" w:hAnsi="宋体" w:eastAsia="宋体" w:cs="宋体"/>
          <w:color w:val="auto"/>
          <w:spacing w:val="4"/>
          <w:kern w:val="0"/>
          <w:sz w:val="24"/>
          <w:szCs w:val="24"/>
          <w:highlight w:val="none"/>
          <w:lang w:val="en-US" w:eastAsia="zh-CN" w:bidi="ar"/>
          <w:woUserID w:val="1"/>
        </w:rPr>
        <w:t>委托人、监理人、</w:t>
      </w:r>
      <w:r>
        <w:rPr>
          <w:rFonts w:hint="eastAsia" w:ascii="Times New Roman" w:hAnsi="Times New Roman"/>
          <w:color w:val="auto"/>
          <w:spacing w:val="4"/>
          <w:kern w:val="0"/>
          <w:sz w:val="24"/>
          <w:highlight w:val="none"/>
        </w:rPr>
        <w:t>项目业主单位（或项目使用单位）三方另行签订补充协议予以明确。</w:t>
      </w:r>
    </w:p>
    <w:p w14:paraId="699AB161">
      <w:pPr>
        <w:topLinePunct/>
        <w:adjustRightInd w:val="0"/>
        <w:snapToGrid w:val="0"/>
        <w:spacing w:line="360" w:lineRule="auto"/>
        <w:ind w:firstLine="498" w:firstLineChars="200"/>
        <w:rPr>
          <w:rFonts w:ascii="Times New Roman" w:hAnsi="Times New Roman"/>
          <w:bCs/>
          <w:snapToGrid w:val="0"/>
          <w:color w:val="auto"/>
          <w:spacing w:val="4"/>
          <w:kern w:val="0"/>
          <w:sz w:val="24"/>
          <w:szCs w:val="24"/>
          <w:highlight w:val="none"/>
        </w:rPr>
      </w:pPr>
      <w:r>
        <w:rPr>
          <w:rFonts w:ascii="Times New Roman" w:hAnsi="Times New Roman"/>
          <w:b/>
          <w:color w:val="auto"/>
          <w:spacing w:val="4"/>
          <w:sz w:val="24"/>
          <w:szCs w:val="24"/>
          <w:highlight w:val="none"/>
        </w:rPr>
        <w:t>3.2.3</w:t>
      </w:r>
      <w:r>
        <w:rPr>
          <w:rFonts w:hint="eastAsia" w:ascii="Times New Roman" w:hAnsi="Times New Roman"/>
          <w:snapToGrid w:val="0"/>
          <w:color w:val="auto"/>
          <w:spacing w:val="4"/>
          <w:kern w:val="0"/>
          <w:sz w:val="24"/>
          <w:szCs w:val="24"/>
          <w:highlight w:val="none"/>
        </w:rPr>
        <w:t>监理人向委托人承诺：保证按照本合同的约定完成本合同监理服务的工作内容且相关的监理服务须达到令委托人满意的程度。监理人如未能</w:t>
      </w:r>
      <w:r>
        <w:rPr>
          <w:rFonts w:hint="eastAsia" w:ascii="Times New Roman" w:hAnsi="Times New Roman"/>
          <w:bCs/>
          <w:snapToGrid w:val="0"/>
          <w:color w:val="auto"/>
          <w:spacing w:val="4"/>
          <w:kern w:val="0"/>
          <w:sz w:val="24"/>
          <w:szCs w:val="24"/>
          <w:highlight w:val="none"/>
        </w:rPr>
        <w:t>按《各阶段工作成果文件的要求》（合同附件3）的约定完成相关工作内容的工作成果，或完成的工作成果未能达到约定的支付审核标准，或委托人对监理工作情况的检查结果未能达到约定的令人满意的程度，均视为监理人对该承诺的违反，委托人将（</w:t>
      </w:r>
      <w:r>
        <w:rPr>
          <w:rFonts w:hint="eastAsia" w:ascii="宋体" w:hAnsi="宋体"/>
          <w:b/>
          <w:bCs/>
          <w:snapToGrid w:val="0"/>
          <w:color w:val="auto"/>
          <w:kern w:val="0"/>
          <w:sz w:val="24"/>
          <w:szCs w:val="24"/>
          <w:highlight w:val="none"/>
          <w:lang w:eastAsia="zh-CN"/>
        </w:rPr>
        <w:sym w:font="Wingdings" w:char="00FE"/>
      </w:r>
      <w:r>
        <w:rPr>
          <w:rFonts w:hint="eastAsia" w:ascii="Times New Roman" w:hAnsi="Times New Roman"/>
          <w:bCs/>
          <w:snapToGrid w:val="0"/>
          <w:color w:val="auto"/>
          <w:spacing w:val="4"/>
          <w:kern w:val="0"/>
          <w:sz w:val="24"/>
          <w:szCs w:val="24"/>
          <w:highlight w:val="none"/>
        </w:rPr>
        <w:t>有权通知业主单位）在合同监理酬金总额中扣减相关监理服务项目的酬金。监理人对于履行监理职责方面的违约责任按照本合同专用条件第二十六条的相关约定执行。</w:t>
      </w:r>
    </w:p>
    <w:p w14:paraId="5A6A155A">
      <w:pPr>
        <w:topLinePunct/>
        <w:adjustRightInd w:val="0"/>
        <w:snapToGrid w:val="0"/>
        <w:spacing w:line="360" w:lineRule="auto"/>
        <w:ind w:firstLine="498" w:firstLineChars="200"/>
        <w:rPr>
          <w:rFonts w:ascii="Times New Roman" w:hAnsi="Times New Roman"/>
          <w:b/>
          <w:bCs/>
          <w:strike/>
          <w:color w:val="auto"/>
          <w:spacing w:val="4"/>
          <w:sz w:val="24"/>
          <w:szCs w:val="24"/>
          <w:highlight w:val="none"/>
        </w:rPr>
      </w:pPr>
      <w:r>
        <w:rPr>
          <w:rFonts w:ascii="Times New Roman" w:hAnsi="Times New Roman"/>
          <w:b/>
          <w:bCs/>
          <w:color w:val="auto"/>
          <w:spacing w:val="4"/>
          <w:sz w:val="24"/>
          <w:szCs w:val="24"/>
          <w:highlight w:val="none"/>
        </w:rPr>
        <w:t xml:space="preserve">3.2.4  </w:t>
      </w:r>
      <w:r>
        <w:rPr>
          <w:rFonts w:hint="eastAsia" w:ascii="Times New Roman" w:hAnsi="Times New Roman"/>
          <w:b/>
          <w:bCs/>
          <w:color w:val="auto"/>
          <w:spacing w:val="4"/>
          <w:sz w:val="24"/>
          <w:szCs w:val="24"/>
          <w:highlight w:val="none"/>
        </w:rPr>
        <w:t>监理酬金的支付方式</w:t>
      </w:r>
    </w:p>
    <w:p w14:paraId="13A0AF69">
      <w:pPr>
        <w:ind w:firstLine="480" w:firstLineChars="200"/>
        <w:jc w:val="left"/>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lang w:eastAsia="zh-CN"/>
        </w:rPr>
        <w:t>☑</w:t>
      </w:r>
      <w:r>
        <w:rPr>
          <w:rFonts w:hint="eastAsia" w:ascii="Times New Roman" w:hAnsi="Times New Roman" w:cs="宋体"/>
          <w:color w:val="auto"/>
          <w:kern w:val="0"/>
          <w:sz w:val="24"/>
          <w:szCs w:val="24"/>
          <w:highlight w:val="none"/>
        </w:rPr>
        <w:t>【适用于新建、改建、扩建类项目】</w:t>
      </w:r>
    </w:p>
    <w:tbl>
      <w:tblPr>
        <w:tblStyle w:val="12"/>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925"/>
        <w:gridCol w:w="2723"/>
        <w:gridCol w:w="2058"/>
      </w:tblGrid>
      <w:tr w14:paraId="3926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7C74A74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支付节点</w:t>
            </w:r>
          </w:p>
        </w:tc>
        <w:tc>
          <w:tcPr>
            <w:tcW w:w="2925" w:type="dxa"/>
            <w:tcBorders>
              <w:top w:val="single" w:color="auto" w:sz="4" w:space="0"/>
              <w:left w:val="single" w:color="auto" w:sz="4" w:space="0"/>
              <w:bottom w:val="single" w:color="auto" w:sz="4" w:space="0"/>
              <w:right w:val="single" w:color="auto" w:sz="4" w:space="0"/>
            </w:tcBorders>
            <w:vAlign w:val="center"/>
          </w:tcPr>
          <w:p w14:paraId="2506F6D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支付条件</w:t>
            </w:r>
          </w:p>
        </w:tc>
        <w:tc>
          <w:tcPr>
            <w:tcW w:w="2723" w:type="dxa"/>
            <w:tcBorders>
              <w:top w:val="single" w:color="auto" w:sz="4" w:space="0"/>
              <w:left w:val="single" w:color="auto" w:sz="4" w:space="0"/>
              <w:bottom w:val="single" w:color="auto" w:sz="4" w:space="0"/>
              <w:right w:val="single" w:color="auto" w:sz="4" w:space="0"/>
            </w:tcBorders>
            <w:vAlign w:val="center"/>
          </w:tcPr>
          <w:p w14:paraId="1FC0D73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支付比例</w:t>
            </w:r>
          </w:p>
        </w:tc>
        <w:tc>
          <w:tcPr>
            <w:tcW w:w="2058" w:type="dxa"/>
            <w:tcBorders>
              <w:top w:val="single" w:color="auto" w:sz="4" w:space="0"/>
              <w:left w:val="single" w:color="auto" w:sz="4" w:space="0"/>
              <w:bottom w:val="single" w:color="auto" w:sz="4" w:space="0"/>
              <w:right w:val="single" w:color="auto" w:sz="4" w:space="0"/>
            </w:tcBorders>
            <w:vAlign w:val="center"/>
          </w:tcPr>
          <w:p w14:paraId="6062E9D9">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b/>
                <w:color w:val="auto"/>
                <w:kern w:val="0"/>
                <w:szCs w:val="21"/>
                <w:highlight w:val="none"/>
              </w:rPr>
            </w:pPr>
            <w:r>
              <w:rPr>
                <w:rFonts w:hint="eastAsia" w:ascii="Times New Roman" w:hAnsi="Times New Roman" w:cs="宋体"/>
                <w:b/>
                <w:color w:val="auto"/>
                <w:kern w:val="0"/>
                <w:szCs w:val="21"/>
                <w:highlight w:val="none"/>
              </w:rPr>
              <w:t>备注</w:t>
            </w:r>
          </w:p>
        </w:tc>
      </w:tr>
      <w:tr w14:paraId="4617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212081F7">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第一期支付</w:t>
            </w:r>
          </w:p>
        </w:tc>
        <w:tc>
          <w:tcPr>
            <w:tcW w:w="2925" w:type="dxa"/>
            <w:tcBorders>
              <w:top w:val="single" w:color="auto" w:sz="4" w:space="0"/>
              <w:left w:val="single" w:color="auto" w:sz="4" w:space="0"/>
              <w:bottom w:val="single" w:color="auto" w:sz="4" w:space="0"/>
              <w:right w:val="single" w:color="auto" w:sz="4" w:space="0"/>
            </w:tcBorders>
            <w:vAlign w:val="center"/>
          </w:tcPr>
          <w:p w14:paraId="75C3824A">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本合同签订生效且监理人提交履约</w:t>
            </w:r>
            <w:r>
              <w:rPr>
                <w:rFonts w:hint="eastAsia" w:ascii="Times New Roman" w:hAnsi="Times New Roman" w:cs="宋体"/>
                <w:color w:val="auto"/>
                <w:kern w:val="0"/>
                <w:szCs w:val="21"/>
                <w:highlight w:val="none"/>
                <w:lang w:val="en-US" w:eastAsia="zh-CN"/>
              </w:rPr>
              <w:t>担保</w:t>
            </w:r>
            <w:r>
              <w:rPr>
                <w:rFonts w:hint="eastAsia" w:ascii="Times New Roman" w:hAnsi="Times New Roman" w:cs="宋体"/>
                <w:color w:val="auto"/>
                <w:kern w:val="0"/>
                <w:szCs w:val="21"/>
                <w:highlight w:val="none"/>
              </w:rPr>
              <w:t>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664DF31">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支付至暂定监理酬金的10%</w:t>
            </w:r>
          </w:p>
        </w:tc>
        <w:tc>
          <w:tcPr>
            <w:tcW w:w="2058" w:type="dxa"/>
            <w:tcBorders>
              <w:top w:val="single" w:color="auto" w:sz="4" w:space="0"/>
              <w:left w:val="single" w:color="auto" w:sz="4" w:space="0"/>
              <w:right w:val="single" w:color="auto" w:sz="4" w:space="0"/>
            </w:tcBorders>
            <w:vAlign w:val="center"/>
          </w:tcPr>
          <w:p w14:paraId="58C9C6AE">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24A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411AE892">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第二期支付</w:t>
            </w:r>
          </w:p>
        </w:tc>
        <w:tc>
          <w:tcPr>
            <w:tcW w:w="2925" w:type="dxa"/>
            <w:tcBorders>
              <w:top w:val="single" w:color="auto" w:sz="4" w:space="0"/>
              <w:left w:val="single" w:color="auto" w:sz="4" w:space="0"/>
              <w:bottom w:val="single" w:color="auto" w:sz="4" w:space="0"/>
              <w:right w:val="single" w:color="auto" w:sz="4" w:space="0"/>
            </w:tcBorders>
            <w:vAlign w:val="center"/>
          </w:tcPr>
          <w:p w14:paraId="60B78829">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完成基坑支护工程，监理人可提交付款申请。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22531143">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支付至暂定监理酬金的20%</w:t>
            </w:r>
          </w:p>
        </w:tc>
        <w:tc>
          <w:tcPr>
            <w:tcW w:w="2058" w:type="dxa"/>
            <w:vMerge w:val="restart"/>
            <w:tcBorders>
              <w:left w:val="single" w:color="auto" w:sz="4" w:space="0"/>
              <w:right w:val="single" w:color="auto" w:sz="4" w:space="0"/>
            </w:tcBorders>
          </w:tcPr>
          <w:p w14:paraId="68BC21DE">
            <w:pPr>
              <w:keepNext w:val="0"/>
              <w:keepLines w:val="0"/>
              <w:suppressLineNumbers w:val="0"/>
              <w:spacing w:before="0" w:beforeAutospacing="0" w:after="0" w:afterAutospacing="0"/>
              <w:ind w:left="0" w:right="0"/>
              <w:jc w:val="center"/>
              <w:rPr>
                <w:rFonts w:hint="default" w:ascii="Times New Roman" w:hAnsi="Times New Roman" w:cs="宋体"/>
                <w:strike/>
                <w:color w:val="auto"/>
                <w:kern w:val="0"/>
                <w:sz w:val="18"/>
                <w:szCs w:val="18"/>
                <w:highlight w:val="none"/>
              </w:rPr>
            </w:pPr>
          </w:p>
        </w:tc>
      </w:tr>
      <w:tr w14:paraId="69D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647E0ED">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第三期支付</w:t>
            </w:r>
          </w:p>
        </w:tc>
        <w:tc>
          <w:tcPr>
            <w:tcW w:w="2925" w:type="dxa"/>
            <w:tcBorders>
              <w:top w:val="single" w:color="auto" w:sz="4" w:space="0"/>
              <w:left w:val="single" w:color="auto" w:sz="4" w:space="0"/>
              <w:bottom w:val="single" w:color="auto" w:sz="4" w:space="0"/>
              <w:right w:val="single" w:color="auto" w:sz="4" w:space="0"/>
            </w:tcBorders>
            <w:vAlign w:val="center"/>
          </w:tcPr>
          <w:p w14:paraId="0920B240">
            <w:pPr>
              <w:keepNext w:val="0"/>
              <w:keepLines w:val="0"/>
              <w:suppressLineNumbers w:val="0"/>
              <w:spacing w:before="0" w:beforeAutospacing="0" w:after="0" w:afterAutospacing="0"/>
              <w:ind w:left="0" w:right="0"/>
              <w:jc w:val="left"/>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完成土石方工程，监理人可提交付款申请。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008B9FC9">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支付至暂定监理酬金的30%</w:t>
            </w:r>
          </w:p>
        </w:tc>
        <w:tc>
          <w:tcPr>
            <w:tcW w:w="2058" w:type="dxa"/>
            <w:vMerge w:val="continue"/>
            <w:tcBorders>
              <w:left w:val="single" w:color="auto" w:sz="4" w:space="0"/>
              <w:right w:val="single" w:color="auto" w:sz="4" w:space="0"/>
            </w:tcBorders>
          </w:tcPr>
          <w:p w14:paraId="4593799C">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425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08E131CB">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第四期支付</w:t>
            </w:r>
          </w:p>
        </w:tc>
        <w:tc>
          <w:tcPr>
            <w:tcW w:w="2925" w:type="dxa"/>
            <w:tcBorders>
              <w:top w:val="single" w:color="auto" w:sz="4" w:space="0"/>
              <w:left w:val="single" w:color="auto" w:sz="4" w:space="0"/>
              <w:bottom w:val="single" w:color="auto" w:sz="4" w:space="0"/>
              <w:right w:val="single" w:color="auto" w:sz="4" w:space="0"/>
            </w:tcBorders>
            <w:vAlign w:val="center"/>
          </w:tcPr>
          <w:p w14:paraId="7E9C5FB3">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主体结构封顶后，监理人可提交付款申请。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5EA678F5">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支付至暂定监理酬金的50%</w:t>
            </w:r>
          </w:p>
        </w:tc>
        <w:tc>
          <w:tcPr>
            <w:tcW w:w="2058" w:type="dxa"/>
            <w:vMerge w:val="continue"/>
            <w:tcBorders>
              <w:left w:val="single" w:color="auto" w:sz="4" w:space="0"/>
              <w:right w:val="single" w:color="auto" w:sz="4" w:space="0"/>
            </w:tcBorders>
          </w:tcPr>
          <w:p w14:paraId="236EE2A1">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1EF4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4B3F62ED">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第五期支付</w:t>
            </w:r>
          </w:p>
        </w:tc>
        <w:tc>
          <w:tcPr>
            <w:tcW w:w="2925" w:type="dxa"/>
            <w:tcBorders>
              <w:top w:val="single" w:color="auto" w:sz="4" w:space="0"/>
              <w:left w:val="single" w:color="auto" w:sz="4" w:space="0"/>
              <w:bottom w:val="single" w:color="auto" w:sz="4" w:space="0"/>
              <w:right w:val="single" w:color="auto" w:sz="4" w:space="0"/>
            </w:tcBorders>
            <w:vAlign w:val="center"/>
          </w:tcPr>
          <w:p w14:paraId="7B9C3807">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本合同范围内的建设项目实体完工，监理人可提交付款申请。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1190E3ED">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w:t>
            </w:r>
            <w:r>
              <w:rPr>
                <w:rFonts w:hint="default" w:ascii="Times New Roman" w:hAnsi="Times New Roman" w:cs="宋体"/>
                <w:color w:val="auto"/>
                <w:kern w:val="0"/>
                <w:szCs w:val="21"/>
                <w:highlight w:val="none"/>
              </w:rPr>
              <w:t>68%</w:t>
            </w:r>
            <w:r>
              <w:rPr>
                <w:rFonts w:hint="eastAsia" w:ascii="Times New Roman" w:hAnsi="Times New Roman" w:cs="宋体"/>
                <w:color w:val="auto"/>
                <w:kern w:val="0"/>
                <w:szCs w:val="21"/>
                <w:highlight w:val="none"/>
              </w:rPr>
              <w:t>；并视检测（监测）工作质量情况予以支付暂定监理酬金的</w:t>
            </w:r>
            <w:r>
              <w:rPr>
                <w:rFonts w:hint="default" w:ascii="Times New Roman" w:hAnsi="Times New Roman" w:cs="宋体"/>
                <w:color w:val="auto"/>
                <w:kern w:val="0"/>
                <w:szCs w:val="21"/>
                <w:highlight w:val="none"/>
              </w:rPr>
              <w:t>2%</w:t>
            </w:r>
          </w:p>
        </w:tc>
        <w:tc>
          <w:tcPr>
            <w:tcW w:w="2058" w:type="dxa"/>
            <w:vMerge w:val="continue"/>
            <w:tcBorders>
              <w:left w:val="single" w:color="auto" w:sz="4" w:space="0"/>
              <w:bottom w:val="single" w:color="auto" w:sz="4" w:space="0"/>
              <w:right w:val="single" w:color="auto" w:sz="4" w:space="0"/>
            </w:tcBorders>
          </w:tcPr>
          <w:p w14:paraId="510670A2">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0EA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32B3824B">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第六期支付</w:t>
            </w:r>
          </w:p>
        </w:tc>
        <w:tc>
          <w:tcPr>
            <w:tcW w:w="2925" w:type="dxa"/>
            <w:tcBorders>
              <w:top w:val="single" w:color="auto" w:sz="4" w:space="0"/>
              <w:left w:val="single" w:color="auto" w:sz="4" w:space="0"/>
              <w:bottom w:val="single" w:color="auto" w:sz="4" w:space="0"/>
              <w:right w:val="single" w:color="auto" w:sz="4" w:space="0"/>
            </w:tcBorders>
            <w:vAlign w:val="center"/>
          </w:tcPr>
          <w:p w14:paraId="6D615B5A">
            <w:pPr>
              <w:keepNext w:val="0"/>
              <w:keepLines w:val="0"/>
              <w:suppressLineNumbers w:val="0"/>
              <w:spacing w:before="0" w:beforeAutospacing="0" w:after="0" w:afterAutospacing="0"/>
              <w:ind w:left="0" w:right="0"/>
              <w:jc w:val="left"/>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本合同范围内所有工程项目完成竣工联合验收取得批复意见后，监理人可提交付款申请。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3246F07E">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宋体"/>
                <w:color w:val="auto"/>
                <w:kern w:val="0"/>
                <w:szCs w:val="21"/>
                <w:highlight w:val="none"/>
              </w:rPr>
              <w:t>支付至暂定监理酬金的80%</w:t>
            </w:r>
          </w:p>
        </w:tc>
        <w:tc>
          <w:tcPr>
            <w:tcW w:w="2058" w:type="dxa"/>
            <w:tcBorders>
              <w:top w:val="single" w:color="auto" w:sz="4" w:space="0"/>
              <w:left w:val="single" w:color="auto" w:sz="4" w:space="0"/>
              <w:bottom w:val="single" w:color="auto" w:sz="4" w:space="0"/>
              <w:right w:val="single" w:color="auto" w:sz="4" w:space="0"/>
            </w:tcBorders>
          </w:tcPr>
          <w:p w14:paraId="314050A5">
            <w:pPr>
              <w:keepNext w:val="0"/>
              <w:keepLines w:val="0"/>
              <w:suppressLineNumbers w:val="0"/>
              <w:spacing w:before="0" w:beforeAutospacing="0" w:after="0" w:afterAutospacing="0"/>
              <w:ind w:left="0" w:right="0"/>
              <w:jc w:val="center"/>
              <w:rPr>
                <w:rFonts w:hint="default" w:ascii="Times New Roman" w:hAnsi="Times New Roman" w:cs="宋体"/>
                <w:color w:val="auto"/>
                <w:kern w:val="0"/>
                <w:szCs w:val="21"/>
                <w:highlight w:val="none"/>
              </w:rPr>
            </w:pPr>
          </w:p>
        </w:tc>
      </w:tr>
      <w:tr w14:paraId="5CEF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52C28EE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第七期支付（竣工结算阶段酬金支付）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1DA4366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bCs/>
                <w:snapToGrid w:val="0"/>
                <w:color w:val="auto"/>
                <w:spacing w:val="4"/>
                <w:szCs w:val="21"/>
                <w:highlight w:val="none"/>
              </w:rPr>
            </w:pPr>
            <w:r>
              <w:rPr>
                <w:rFonts w:hint="eastAsia" w:ascii="Times New Roman" w:hAnsi="Times New Roman" w:cs="宋体"/>
                <w:color w:val="auto"/>
                <w:highlight w:val="none"/>
              </w:rPr>
              <w:t>完成工程竣工结算审核工作，且工程竣工结算经有权终审部门审定后，由委托人对监理人结算审核工作质量情况进行考评（考评细则详见附件</w:t>
            </w:r>
            <w:r>
              <w:rPr>
                <w:rFonts w:hint="default" w:ascii="Times New Roman" w:hAnsi="Times New Roman" w:cs="宋体"/>
                <w:color w:val="auto"/>
                <w:highlight w:val="none"/>
              </w:rPr>
              <w:t>1</w:t>
            </w:r>
            <w:r>
              <w:rPr>
                <w:rFonts w:hint="eastAsia" w:ascii="Times New Roman" w:hAnsi="Times New Roman" w:cs="宋体"/>
                <w:color w:val="auto"/>
                <w:highlight w:val="none"/>
              </w:rPr>
              <w:t>3《结算审核工作质量情况考评细则》），视考评情况予以支付相应比例监理酬金。</w:t>
            </w:r>
          </w:p>
        </w:tc>
        <w:tc>
          <w:tcPr>
            <w:tcW w:w="2723" w:type="dxa"/>
            <w:tcBorders>
              <w:top w:val="single" w:color="auto" w:sz="4" w:space="0"/>
              <w:left w:val="single" w:color="auto" w:sz="4" w:space="0"/>
              <w:bottom w:val="single" w:color="auto" w:sz="4" w:space="0"/>
              <w:right w:val="single" w:color="auto" w:sz="4" w:space="0"/>
            </w:tcBorders>
            <w:vAlign w:val="center"/>
          </w:tcPr>
          <w:p w14:paraId="2C66297A">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1</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95</w:t>
            </w:r>
            <w:r>
              <w:rPr>
                <w:rFonts w:hint="eastAsia" w:ascii="Times New Roman" w:hAnsi="Times New Roman" w:cs="宋体"/>
                <w:color w:val="auto"/>
                <w:highlight w:val="none"/>
              </w:rPr>
              <w:t>分（含本数）时，支付暂定监理酬金的</w:t>
            </w:r>
            <w:r>
              <w:rPr>
                <w:rFonts w:hint="default" w:ascii="Times New Roman" w:hAnsi="Times New Roman" w:cs="宋体"/>
                <w:color w:val="auto"/>
                <w:highlight w:val="none"/>
              </w:rPr>
              <w:t>10%</w:t>
            </w:r>
            <w:r>
              <w:rPr>
                <w:rFonts w:hint="eastAsia" w:ascii="Times New Roman" w:hAnsi="Times New Roman" w:cs="宋体"/>
                <w:color w:val="auto"/>
                <w:highlight w:val="none"/>
              </w:rPr>
              <w:t>；</w:t>
            </w:r>
          </w:p>
          <w:p w14:paraId="0629EB63">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2</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90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95</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8%</w:t>
            </w:r>
            <w:r>
              <w:rPr>
                <w:rFonts w:hint="eastAsia" w:ascii="Times New Roman" w:hAnsi="Times New Roman" w:cs="宋体"/>
                <w:color w:val="auto"/>
                <w:highlight w:val="none"/>
              </w:rPr>
              <w:t>；</w:t>
            </w:r>
          </w:p>
          <w:p w14:paraId="6940F4FD">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3</w:t>
            </w:r>
            <w:r>
              <w:rPr>
                <w:rFonts w:hint="eastAsia" w:ascii="Times New Roman" w:hAnsi="Times New Roman" w:cs="宋体"/>
                <w:color w:val="auto"/>
                <w:highlight w:val="none"/>
              </w:rPr>
              <w:t>）结算审核工作质量最终总得分高于</w:t>
            </w:r>
            <w:r>
              <w:rPr>
                <w:rFonts w:hint="default" w:ascii="Times New Roman" w:hAnsi="Times New Roman" w:cs="宋体"/>
                <w:color w:val="auto"/>
                <w:highlight w:val="none"/>
              </w:rPr>
              <w:t>80</w:t>
            </w:r>
            <w:r>
              <w:rPr>
                <w:rFonts w:hint="eastAsia" w:ascii="Times New Roman" w:hAnsi="Times New Roman" w:cs="宋体"/>
                <w:color w:val="auto"/>
                <w:highlight w:val="none"/>
              </w:rPr>
              <w:t>分（含本数）低于</w:t>
            </w:r>
            <w:r>
              <w:rPr>
                <w:rFonts w:hint="default" w:ascii="Times New Roman" w:hAnsi="Times New Roman" w:cs="宋体"/>
                <w:color w:val="auto"/>
                <w:highlight w:val="none"/>
              </w:rPr>
              <w:t>90</w:t>
            </w:r>
            <w:r>
              <w:rPr>
                <w:rFonts w:hint="eastAsia" w:ascii="Times New Roman" w:hAnsi="Times New Roman" w:cs="宋体"/>
                <w:color w:val="auto"/>
                <w:highlight w:val="none"/>
              </w:rPr>
              <w:t>分时，支付暂定监理酬金的</w:t>
            </w:r>
            <w:r>
              <w:rPr>
                <w:rFonts w:hint="default" w:ascii="Times New Roman" w:hAnsi="Times New Roman" w:cs="宋体"/>
                <w:color w:val="auto"/>
                <w:highlight w:val="none"/>
              </w:rPr>
              <w:t>6%</w:t>
            </w:r>
            <w:r>
              <w:rPr>
                <w:rFonts w:hint="eastAsia" w:ascii="Times New Roman" w:hAnsi="Times New Roman" w:cs="宋体"/>
                <w:color w:val="auto"/>
                <w:highlight w:val="none"/>
              </w:rPr>
              <w:t>；</w:t>
            </w:r>
          </w:p>
          <w:p w14:paraId="24D54B18">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w:t>
            </w:r>
            <w:r>
              <w:rPr>
                <w:rFonts w:hint="default" w:ascii="Times New Roman" w:hAnsi="Times New Roman" w:cs="宋体"/>
                <w:color w:val="auto"/>
                <w:highlight w:val="none"/>
              </w:rPr>
              <w:t>4</w:t>
            </w:r>
            <w:r>
              <w:rPr>
                <w:rFonts w:hint="eastAsia" w:ascii="Times New Roman" w:hAnsi="Times New Roman" w:cs="宋体"/>
                <w:color w:val="auto"/>
                <w:highlight w:val="none"/>
              </w:rPr>
              <w:t>）结算审核工作质量最终总得分低于</w:t>
            </w:r>
            <w:r>
              <w:rPr>
                <w:rFonts w:hint="default" w:ascii="Times New Roman" w:hAnsi="Times New Roman" w:cs="宋体"/>
                <w:color w:val="auto"/>
                <w:highlight w:val="none"/>
              </w:rPr>
              <w:t>80</w:t>
            </w:r>
            <w:r>
              <w:rPr>
                <w:rFonts w:hint="eastAsia" w:ascii="Times New Roman" w:hAnsi="Times New Roman" w:cs="宋体"/>
                <w:color w:val="auto"/>
                <w:highlight w:val="none"/>
              </w:rPr>
              <w:t>分时，本期监理酬金不予支付。</w:t>
            </w:r>
          </w:p>
          <w:p w14:paraId="6CBF865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b/>
                <w:color w:val="auto"/>
                <w:highlight w:val="none"/>
              </w:rPr>
              <w:t>注：按照上述约定未支付的监理酬金金额后续将不再支付。</w:t>
            </w:r>
          </w:p>
        </w:tc>
        <w:tc>
          <w:tcPr>
            <w:tcW w:w="2058" w:type="dxa"/>
            <w:tcBorders>
              <w:top w:val="single" w:color="auto" w:sz="4" w:space="0"/>
              <w:left w:val="single" w:color="auto" w:sz="4" w:space="0"/>
              <w:bottom w:val="single" w:color="auto" w:sz="4" w:space="0"/>
              <w:right w:val="single" w:color="auto" w:sz="4" w:space="0"/>
            </w:tcBorders>
          </w:tcPr>
          <w:p w14:paraId="7752FCF1">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p>
        </w:tc>
      </w:tr>
      <w:tr w14:paraId="4FC4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tcBorders>
              <w:top w:val="single" w:color="auto" w:sz="4" w:space="0"/>
              <w:left w:val="single" w:color="auto" w:sz="4" w:space="0"/>
              <w:bottom w:val="single" w:color="auto" w:sz="4" w:space="0"/>
              <w:right w:val="single" w:color="auto" w:sz="4" w:space="0"/>
            </w:tcBorders>
            <w:vAlign w:val="center"/>
          </w:tcPr>
          <w:p w14:paraId="75BD8E0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highlight w:val="none"/>
              </w:rPr>
            </w:pPr>
            <w:r>
              <w:rPr>
                <w:rFonts w:hint="eastAsia" w:ascii="Times New Roman" w:hAnsi="Times New Roman" w:cs="宋体"/>
                <w:color w:val="auto"/>
                <w:highlight w:val="none"/>
              </w:rPr>
              <w:t>第八期支付（竣工移交阶段酬金支付）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4116A4C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auto"/>
                <w:highlight w:val="none"/>
              </w:rPr>
            </w:pPr>
            <w:r>
              <w:rPr>
                <w:rFonts w:hint="eastAsia" w:ascii="Times New Roman" w:hAnsi="Times New Roman"/>
                <w:bCs/>
                <w:color w:val="auto"/>
                <w:szCs w:val="21"/>
                <w:highlight w:val="none"/>
              </w:rPr>
              <w:t>监理人</w:t>
            </w:r>
            <w:r>
              <w:rPr>
                <w:rFonts w:hint="eastAsia" w:ascii="Times New Roman" w:hAnsi="Times New Roman"/>
                <w:bCs/>
                <w:snapToGrid w:val="0"/>
                <w:color w:val="auto"/>
                <w:spacing w:val="4"/>
                <w:szCs w:val="21"/>
                <w:highlight w:val="none"/>
              </w:rPr>
              <w:t>完成本合同约定的</w:t>
            </w:r>
            <w:r>
              <w:rPr>
                <w:rFonts w:hint="default" w:ascii="Times New Roman" w:hAnsi="Times New Roman"/>
                <w:bCs/>
                <w:snapToGrid w:val="0"/>
                <w:color w:val="auto"/>
                <w:spacing w:val="4"/>
                <w:szCs w:val="21"/>
                <w:highlight w:val="none"/>
              </w:rPr>
              <w:t>除质量保修阶段外的</w:t>
            </w:r>
            <w:r>
              <w:rPr>
                <w:rFonts w:hint="eastAsia" w:ascii="Times New Roman" w:hAnsi="Times New Roman"/>
                <w:bCs/>
                <w:snapToGrid w:val="0"/>
                <w:color w:val="auto"/>
                <w:spacing w:val="4"/>
                <w:szCs w:val="21"/>
                <w:highlight w:val="none"/>
              </w:rPr>
              <w:t>全部监理工作（包括但不限于督促承包人按时完整移交工程竣工档案、</w:t>
            </w:r>
            <w:r>
              <w:rPr>
                <w:rFonts w:hint="eastAsia" w:ascii="Times New Roman" w:hAnsi="Times New Roman"/>
                <w:snapToGrid w:val="0"/>
                <w:color w:val="auto"/>
                <w:spacing w:val="4"/>
                <w:szCs w:val="21"/>
                <w:highlight w:val="none"/>
              </w:rPr>
              <w:t>完整移交工程以及完成工程创优的相关工作）且监理酬金经有权审核部门审定后</w:t>
            </w:r>
            <w:r>
              <w:rPr>
                <w:rFonts w:hint="eastAsia" w:ascii="Times New Roman" w:hAnsi="Times New Roman"/>
                <w:bCs/>
                <w:color w:val="auto"/>
                <w:szCs w:val="21"/>
                <w:highlight w:val="none"/>
              </w:rPr>
              <w:t>，监理人可提交付款申请。</w:t>
            </w:r>
          </w:p>
        </w:tc>
        <w:tc>
          <w:tcPr>
            <w:tcW w:w="2723" w:type="dxa"/>
            <w:tcBorders>
              <w:top w:val="single" w:color="auto" w:sz="4" w:space="0"/>
              <w:left w:val="single" w:color="auto" w:sz="4" w:space="0"/>
              <w:bottom w:val="single" w:color="auto" w:sz="4" w:space="0"/>
              <w:right w:val="single" w:color="auto" w:sz="4" w:space="0"/>
            </w:tcBorders>
            <w:vAlign w:val="center"/>
          </w:tcPr>
          <w:p w14:paraId="3342F1F0">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r>
              <w:rPr>
                <w:rFonts w:hint="eastAsia" w:ascii="Times New Roman" w:hAnsi="Times New Roman" w:cs="宋体"/>
                <w:color w:val="auto"/>
                <w:highlight w:val="none"/>
              </w:rPr>
              <w:t>支付至监理酬金结算金额的</w:t>
            </w:r>
            <w:r>
              <w:rPr>
                <w:rFonts w:hint="default" w:ascii="Times New Roman" w:hAnsi="Times New Roman" w:cs="宋体"/>
                <w:color w:val="auto"/>
                <w:highlight w:val="none"/>
              </w:rPr>
              <w:t>95%</w:t>
            </w:r>
            <w:r>
              <w:rPr>
                <w:rFonts w:hint="eastAsia" w:ascii="Times New Roman" w:hAnsi="Times New Roman" w:cs="宋体"/>
                <w:color w:val="auto"/>
                <w:highlight w:val="none"/>
              </w:rPr>
              <w:t>，若竣工结算阶段监理酬金支付有扣减，则本阶段支付应按比例相应扣减（以监理酬金结算金额为基数）</w:t>
            </w:r>
          </w:p>
        </w:tc>
        <w:tc>
          <w:tcPr>
            <w:tcW w:w="2058" w:type="dxa"/>
            <w:tcBorders>
              <w:top w:val="single" w:color="auto" w:sz="4" w:space="0"/>
              <w:left w:val="single" w:color="auto" w:sz="4" w:space="0"/>
              <w:bottom w:val="single" w:color="auto" w:sz="4" w:space="0"/>
              <w:right w:val="single" w:color="auto" w:sz="4" w:space="0"/>
            </w:tcBorders>
          </w:tcPr>
          <w:p w14:paraId="4BBCECCD">
            <w:pPr>
              <w:keepNext w:val="0"/>
              <w:keepLines w:val="0"/>
              <w:suppressLineNumbers w:val="0"/>
              <w:spacing w:before="0" w:beforeAutospacing="0" w:after="0" w:afterAutospacing="0" w:line="300" w:lineRule="exact"/>
              <w:ind w:left="0" w:right="0"/>
              <w:rPr>
                <w:rFonts w:hint="default" w:ascii="Times New Roman" w:hAnsi="Times New Roman" w:cs="宋体"/>
                <w:color w:val="auto"/>
                <w:highlight w:val="none"/>
              </w:rPr>
            </w:pPr>
          </w:p>
        </w:tc>
      </w:tr>
      <w:tr w14:paraId="4DDE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59E7552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kern w:val="0"/>
                <w:szCs w:val="21"/>
                <w:highlight w:val="none"/>
              </w:rPr>
              <w:t>第九期支付（质量保修阶段酬金支付）</w:t>
            </w:r>
          </w:p>
        </w:tc>
        <w:tc>
          <w:tcPr>
            <w:tcW w:w="2925" w:type="dxa"/>
            <w:tcBorders>
              <w:top w:val="single" w:color="auto" w:sz="4" w:space="0"/>
              <w:left w:val="single" w:color="auto" w:sz="4" w:space="0"/>
              <w:bottom w:val="single" w:color="auto" w:sz="4" w:space="0"/>
              <w:right w:val="single" w:color="auto" w:sz="4" w:space="0"/>
            </w:tcBorders>
            <w:vAlign w:val="center"/>
          </w:tcPr>
          <w:p w14:paraId="510AFD1D">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宋体"/>
                <w:color w:val="auto"/>
                <w:kern w:val="0"/>
                <w:szCs w:val="21"/>
                <w:highlight w:val="none"/>
              </w:rPr>
            </w:pPr>
            <w:r>
              <w:rPr>
                <w:rFonts w:hint="eastAsia" w:ascii="Times New Roman" w:hAnsi="Times New Roman"/>
                <w:snapToGrid w:val="0"/>
                <w:color w:val="auto"/>
                <w:spacing w:val="4"/>
                <w:szCs w:val="21"/>
                <w:highlight w:val="none"/>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723" w:type="dxa"/>
            <w:tcBorders>
              <w:top w:val="single" w:color="auto" w:sz="4" w:space="0"/>
              <w:left w:val="single" w:color="auto" w:sz="4" w:space="0"/>
              <w:bottom w:val="single" w:color="auto" w:sz="4" w:space="0"/>
              <w:right w:val="single" w:color="auto" w:sz="4" w:space="0"/>
            </w:tcBorders>
            <w:vAlign w:val="center"/>
          </w:tcPr>
          <w:p w14:paraId="62A9FD9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kern w:val="0"/>
                <w:szCs w:val="21"/>
                <w:highlight w:val="none"/>
              </w:rPr>
            </w:pPr>
            <w:r>
              <w:rPr>
                <w:rFonts w:hint="eastAsia" w:ascii="Times New Roman" w:hAnsi="Times New Roman" w:cs="宋体"/>
                <w:color w:val="auto"/>
                <w:highlight w:val="none"/>
              </w:rPr>
              <w:t>监理酬金结算金额的</w:t>
            </w:r>
            <w:r>
              <w:rPr>
                <w:rFonts w:hint="default" w:ascii="Times New Roman" w:hAnsi="Times New Roman" w:cs="宋体"/>
                <w:color w:val="auto"/>
                <w:highlight w:val="none"/>
              </w:rPr>
              <w:t>5%</w:t>
            </w:r>
            <w:r>
              <w:rPr>
                <w:rFonts w:hint="default" w:ascii="Times New Roman" w:hAnsi="Times New Roman"/>
                <w:color w:val="auto"/>
                <w:highlight w:val="none"/>
              </w:rPr>
              <w:t>（缺陷责任期届满时支付其中的50%，剩余50%在防水工程质保期（5年）届满后再支付）</w:t>
            </w:r>
          </w:p>
        </w:tc>
        <w:tc>
          <w:tcPr>
            <w:tcW w:w="2058" w:type="dxa"/>
            <w:tcBorders>
              <w:top w:val="single" w:color="auto" w:sz="4" w:space="0"/>
              <w:left w:val="single" w:color="auto" w:sz="4" w:space="0"/>
              <w:bottom w:val="single" w:color="auto" w:sz="4" w:space="0"/>
              <w:right w:val="single" w:color="auto" w:sz="4" w:space="0"/>
            </w:tcBorders>
          </w:tcPr>
          <w:p w14:paraId="766DE3D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宋体"/>
                <w:color w:val="auto"/>
                <w:highlight w:val="none"/>
              </w:rPr>
            </w:pPr>
          </w:p>
        </w:tc>
      </w:tr>
    </w:tbl>
    <w:p w14:paraId="04308E57">
      <w:pPr>
        <w:keepNext w:val="0"/>
        <w:keepLines w:val="0"/>
        <w:widowControl w:val="0"/>
        <w:suppressLineNumbers w:val="0"/>
        <w:topLinePunct/>
        <w:adjustRightInd w:val="0"/>
        <w:snapToGrid w:val="0"/>
        <w:spacing w:before="0" w:beforeLines="50" w:beforeAutospacing="0" w:after="0" w:afterAutospacing="0" w:line="360" w:lineRule="auto"/>
        <w:ind w:left="0" w:right="0" w:firstLine="498" w:firstLineChars="200"/>
        <w:jc w:val="both"/>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3.2.5</w:t>
      </w:r>
      <w:r>
        <w:rPr>
          <w:rFonts w:hint="eastAsia" w:ascii="Times New Roman" w:hAnsi="Times New Roman"/>
          <w:bCs/>
          <w:color w:val="auto"/>
          <w:spacing w:val="4"/>
          <w:sz w:val="24"/>
          <w:highlight w:val="none"/>
        </w:rPr>
        <w:t>本合同结算监理酬金审定后，</w:t>
      </w:r>
      <w:r>
        <w:rPr>
          <w:rFonts w:hint="eastAsia" w:ascii="Times New Roman" w:hAnsi="Times New Roman" w:cs="宋体"/>
          <w:color w:val="auto"/>
          <w:spacing w:val="4"/>
          <w:kern w:val="0"/>
          <w:sz w:val="24"/>
          <w:highlight w:val="none"/>
        </w:rPr>
        <w:t>如已支付的监理酬金超过审定的监理酬金结算金额</w:t>
      </w:r>
      <w:r>
        <w:rPr>
          <w:rFonts w:hint="eastAsia" w:ascii="Times New Roman" w:hAnsi="Times New Roman"/>
          <w:bCs/>
          <w:color w:val="auto"/>
          <w:spacing w:val="4"/>
          <w:sz w:val="24"/>
          <w:highlight w:val="none"/>
        </w:rPr>
        <w:t>，则监理人必须在收到本合同结算监理酬金审定通知之日起</w:t>
      </w:r>
      <w:r>
        <w:rPr>
          <w:rFonts w:ascii="Times New Roman" w:hAnsi="Times New Roman"/>
          <w:bCs/>
          <w:color w:val="auto"/>
          <w:spacing w:val="4"/>
          <w:sz w:val="24"/>
          <w:highlight w:val="none"/>
        </w:rPr>
        <w:t>14</w:t>
      </w:r>
      <w:r>
        <w:rPr>
          <w:rFonts w:hint="eastAsia" w:ascii="Times New Roman" w:hAnsi="Times New Roman"/>
          <w:bCs/>
          <w:color w:val="auto"/>
          <w:spacing w:val="4"/>
          <w:sz w:val="24"/>
          <w:highlight w:val="none"/>
        </w:rPr>
        <w:t>日内无条件按本条第3.2.4款约定的比例将超付的监理酬金退还</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□委托人</w:t>
      </w:r>
      <w:r>
        <w:rPr>
          <w:rFonts w:hint="eastAsia" w:ascii="宋体" w:hAnsi="宋体" w:eastAsia="宋体" w:cs="宋体"/>
          <w:b/>
          <w:bCs/>
          <w:snapToGrid w:val="0"/>
          <w:color w:val="auto"/>
          <w:spacing w:val="6"/>
          <w:sz w:val="24"/>
          <w:highlight w:val="none"/>
        </w:rPr>
        <w:sym w:font="Wingdings 2" w:char="0052"/>
      </w:r>
      <w:r>
        <w:rPr>
          <w:rFonts w:hint="eastAsia" w:ascii="宋体" w:hAnsi="宋体" w:eastAsia="宋体" w:cs="宋体"/>
          <w:color w:val="auto"/>
          <w:kern w:val="0"/>
          <w:sz w:val="24"/>
          <w:highlight w:val="none"/>
        </w:rPr>
        <w:t>业主单位</w:t>
      </w:r>
      <w:r>
        <w:rPr>
          <w:rFonts w:hint="eastAsia" w:ascii="宋体" w:hAnsi="宋体" w:eastAsia="宋体" w:cs="宋体"/>
          <w:color w:val="auto"/>
          <w:sz w:val="24"/>
          <w:highlight w:val="none"/>
        </w:rPr>
        <w:t>）</w:t>
      </w:r>
      <w:r>
        <w:rPr>
          <w:rFonts w:hint="eastAsia" w:ascii="Times New Roman" w:hAnsi="Times New Roman"/>
          <w:bCs/>
          <w:color w:val="auto"/>
          <w:spacing w:val="4"/>
          <w:sz w:val="24"/>
          <w:highlight w:val="none"/>
        </w:rPr>
        <w:t>；若监理人迟延退还超付的监理酬金，除须继续向</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□委托人</w:t>
      </w:r>
      <w:r>
        <w:rPr>
          <w:rFonts w:hint="default" w:ascii="宋体" w:hAnsi="宋体" w:cs="宋体"/>
          <w:color w:val="auto"/>
          <w:sz w:val="24"/>
          <w:highlight w:val="none"/>
          <w:woUserID w:val="1"/>
        </w:rPr>
        <w:t xml:space="preserve"> ✓</w:t>
      </w:r>
      <w:r>
        <w:rPr>
          <w:rFonts w:hint="eastAsia" w:ascii="宋体" w:hAnsi="宋体" w:eastAsia="宋体" w:cs="宋体"/>
          <w:color w:val="auto"/>
          <w:kern w:val="0"/>
          <w:sz w:val="24"/>
          <w:highlight w:val="none"/>
        </w:rPr>
        <w:t>业主单位</w:t>
      </w:r>
      <w:r>
        <w:rPr>
          <w:rFonts w:hint="eastAsia" w:ascii="宋体" w:hAnsi="宋体" w:eastAsia="宋体" w:cs="宋体"/>
          <w:color w:val="auto"/>
          <w:sz w:val="24"/>
          <w:highlight w:val="none"/>
        </w:rPr>
        <w:t>）</w:t>
      </w:r>
      <w:r>
        <w:rPr>
          <w:rFonts w:hint="eastAsia" w:ascii="Times New Roman" w:hAnsi="Times New Roman"/>
          <w:bCs/>
          <w:color w:val="auto"/>
          <w:spacing w:val="4"/>
          <w:sz w:val="24"/>
          <w:highlight w:val="none"/>
        </w:rPr>
        <w:t>退还超付的监理酬金外，还应每天向</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□委托人</w:t>
      </w:r>
      <w:r>
        <w:rPr>
          <w:rFonts w:hint="default" w:ascii="宋体" w:hAnsi="宋体" w:cs="宋体"/>
          <w:color w:val="auto"/>
          <w:sz w:val="24"/>
          <w:highlight w:val="none"/>
          <w:woUserID w:val="1"/>
        </w:rPr>
        <w:t xml:space="preserve"> ✓</w:t>
      </w:r>
      <w:r>
        <w:rPr>
          <w:rFonts w:hint="eastAsia" w:ascii="宋体" w:hAnsi="宋体" w:eastAsia="宋体" w:cs="宋体"/>
          <w:color w:val="auto"/>
          <w:kern w:val="0"/>
          <w:sz w:val="24"/>
          <w:highlight w:val="none"/>
        </w:rPr>
        <w:t>业主单位</w:t>
      </w:r>
      <w:r>
        <w:rPr>
          <w:rFonts w:hint="eastAsia" w:ascii="宋体" w:hAnsi="宋体" w:eastAsia="宋体" w:cs="宋体"/>
          <w:color w:val="auto"/>
          <w:sz w:val="24"/>
          <w:highlight w:val="none"/>
        </w:rPr>
        <w:t>）</w:t>
      </w:r>
      <w:r>
        <w:rPr>
          <w:rFonts w:hint="eastAsia" w:ascii="Times New Roman" w:hAnsi="Times New Roman"/>
          <w:bCs/>
          <w:color w:val="auto"/>
          <w:spacing w:val="4"/>
          <w:sz w:val="24"/>
          <w:highlight w:val="none"/>
        </w:rPr>
        <w:t>支付该超付监理酬金</w:t>
      </w:r>
      <w:r>
        <w:rPr>
          <w:rFonts w:ascii="Times New Roman" w:hAnsi="Times New Roman"/>
          <w:bCs/>
          <w:color w:val="auto"/>
          <w:spacing w:val="4"/>
          <w:sz w:val="24"/>
          <w:highlight w:val="none"/>
        </w:rPr>
        <w:t>2</w:t>
      </w:r>
      <w:r>
        <w:rPr>
          <w:rFonts w:hint="eastAsia" w:ascii="Times New Roman" w:hAnsi="Times New Roman"/>
          <w:bCs/>
          <w:color w:val="auto"/>
          <w:spacing w:val="4"/>
          <w:sz w:val="24"/>
          <w:highlight w:val="none"/>
        </w:rPr>
        <w:t>‰的违约金</w:t>
      </w:r>
      <w:r>
        <w:rPr>
          <w:rFonts w:hint="eastAsia" w:ascii="Times New Roman" w:hAnsi="Times New Roman"/>
          <w:bCs/>
          <w:color w:val="auto"/>
          <w:spacing w:val="4"/>
          <w:sz w:val="24"/>
          <w:szCs w:val="24"/>
          <w:highlight w:val="none"/>
        </w:rPr>
        <w:t>。</w:t>
      </w:r>
    </w:p>
    <w:p w14:paraId="7D950D72">
      <w:pPr>
        <w:adjustRightInd w:val="0"/>
        <w:snapToGrid w:val="0"/>
        <w:spacing w:line="360" w:lineRule="auto"/>
        <w:ind w:firstLine="498" w:firstLineChars="200"/>
        <w:rPr>
          <w:rFonts w:ascii="宋体" w:hAnsi="宋体"/>
          <w:bCs/>
          <w:snapToGrid w:val="0"/>
          <w:color w:val="auto"/>
          <w:kern w:val="0"/>
          <w:sz w:val="24"/>
          <w:highlight w:val="none"/>
        </w:rPr>
      </w:pPr>
      <w:r>
        <w:rPr>
          <w:rFonts w:ascii="Times New Roman" w:hAnsi="Times New Roman"/>
          <w:b/>
          <w:bCs/>
          <w:snapToGrid w:val="0"/>
          <w:color w:val="auto"/>
          <w:spacing w:val="4"/>
          <w:sz w:val="24"/>
          <w:highlight w:val="none"/>
        </w:rPr>
        <w:t>3.2.6</w:t>
      </w:r>
      <w:r>
        <w:rPr>
          <w:rFonts w:hint="eastAsia" w:ascii="Times New Roman" w:hAnsi="Times New Roman"/>
          <w:bCs/>
          <w:snapToGrid w:val="0"/>
          <w:color w:val="auto"/>
          <w:spacing w:val="4"/>
          <w:kern w:val="0"/>
          <w:sz w:val="24"/>
          <w:highlight w:val="none"/>
        </w:rPr>
        <w:t>本项目工程竣工验收且移交给项目业主单位（或项目使用单位）使用管理后，本合同项下属于委托人在工程质量保修阶段所涉及的权利和义务即由项目业主单位（或项目使用单位）享有和承担，</w:t>
      </w:r>
      <w:r>
        <w:rPr>
          <w:rFonts w:hint="eastAsia" w:ascii="宋体" w:hAnsi="宋体"/>
          <w:bCs/>
          <w:snapToGrid w:val="0"/>
          <w:color w:val="auto"/>
          <w:kern w:val="0"/>
          <w:sz w:val="24"/>
          <w:highlight w:val="none"/>
        </w:rPr>
        <w:t>即：由</w:t>
      </w:r>
      <w:r>
        <w:rPr>
          <w:rFonts w:hint="eastAsia" w:ascii="宋体" w:hAnsi="宋体"/>
          <w:bCs/>
          <w:snapToGrid w:val="0"/>
          <w:color w:val="auto"/>
          <w:kern w:val="0"/>
          <w:sz w:val="24"/>
          <w:szCs w:val="24"/>
          <w:highlight w:val="none"/>
        </w:rPr>
        <w:t>项目业主单位（或项目使用单位）</w:t>
      </w:r>
      <w:r>
        <w:rPr>
          <w:rFonts w:hint="eastAsia" w:ascii="宋体" w:hAnsi="宋体"/>
          <w:bCs/>
          <w:snapToGrid w:val="0"/>
          <w:color w:val="auto"/>
          <w:kern w:val="0"/>
          <w:sz w:val="24"/>
          <w:highlight w:val="none"/>
        </w:rPr>
        <w:t>牵头组织完成项目合同约定范围内的工程质量保修阶段监理服务，委托人负责监督协调，监理人在本合同中约定的工程质量保修阶段监理服务所涉及的权利和义务不变。</w:t>
      </w:r>
    </w:p>
    <w:p w14:paraId="7B77EE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ascii="Times New Roman" w:hAnsi="Times New Roman"/>
          <w:bCs/>
          <w:snapToGrid w:val="0"/>
          <w:color w:val="auto"/>
          <w:spacing w:val="4"/>
          <w:sz w:val="24"/>
          <w:highlight w:val="none"/>
        </w:rPr>
      </w:pPr>
      <w:r>
        <w:rPr>
          <w:rFonts w:hint="eastAsia" w:ascii="宋体" w:hAnsi="宋体"/>
          <w:bCs/>
          <w:snapToGrid w:val="0"/>
          <w:color w:val="auto"/>
          <w:kern w:val="0"/>
          <w:sz w:val="24"/>
          <w:highlight w:val="none"/>
        </w:rPr>
        <w:t>本项目工程质量保修阶段监理酬金，由监理人向项目业主单位（或项目使用单位）提交申请支付资料，项目业主单位（或项目使用单位）按相关审批手续组织审核后，由项目业主单位（项目使用单位）（</w:t>
      </w:r>
      <w:r>
        <w:rPr>
          <w:rFonts w:hint="eastAsia" w:ascii="宋体" w:hAnsi="宋体" w:eastAsia="宋体" w:cs="宋体"/>
          <w:color w:val="auto"/>
          <w:spacing w:val="4"/>
          <w:kern w:val="0"/>
          <w:sz w:val="24"/>
          <w:szCs w:val="24"/>
          <w:highlight w:val="none"/>
          <w:lang w:val="en-US" w:eastAsia="zh-CN" w:bidi="ar"/>
        </w:rPr>
        <w:t>☑</w:t>
      </w:r>
      <w:r>
        <w:rPr>
          <w:rFonts w:hint="eastAsia" w:ascii="宋体" w:hAnsi="宋体"/>
          <w:bCs/>
          <w:snapToGrid w:val="0"/>
          <w:color w:val="auto"/>
          <w:kern w:val="0"/>
          <w:sz w:val="24"/>
          <w:highlight w:val="none"/>
        </w:rPr>
        <w:t xml:space="preserve">支付 </w:t>
      </w:r>
      <w:r>
        <w:rPr>
          <w:rFonts w:hint="eastAsia" w:ascii="宋体" w:hAnsi="宋体" w:eastAsia="宋体" w:cs="宋体"/>
          <w:b/>
          <w:color w:val="auto"/>
          <w:spacing w:val="6"/>
          <w:kern w:val="2"/>
          <w:sz w:val="24"/>
          <w:szCs w:val="24"/>
          <w:highlight w:val="none"/>
          <w:lang w:val="en-US" w:eastAsia="zh-CN" w:bidi="ar"/>
        </w:rPr>
        <w:t>☒</w:t>
      </w:r>
      <w:r>
        <w:rPr>
          <w:rFonts w:hint="eastAsia" w:ascii="宋体" w:hAnsi="宋体"/>
          <w:bCs/>
          <w:snapToGrid w:val="0"/>
          <w:color w:val="auto"/>
          <w:kern w:val="0"/>
          <w:sz w:val="24"/>
          <w:highlight w:val="none"/>
        </w:rPr>
        <w:t>将相关付款资料和监理人提交的发票送财政部门或资金主管部门办理拨款手续）。</w:t>
      </w:r>
    </w:p>
    <w:p w14:paraId="2476A8E6">
      <w:pPr>
        <w:adjustRightInd w:val="0"/>
        <w:snapToGrid w:val="0"/>
        <w:spacing w:line="360" w:lineRule="auto"/>
        <w:ind w:firstLine="498" w:firstLineChars="200"/>
        <w:rPr>
          <w:rFonts w:ascii="Times New Roman" w:hAnsi="Times New Roman"/>
          <w:bCs/>
          <w:snapToGrid w:val="0"/>
          <w:color w:val="auto"/>
          <w:spacing w:val="4"/>
          <w:sz w:val="24"/>
          <w:highlight w:val="none"/>
        </w:rPr>
      </w:pPr>
      <w:r>
        <w:rPr>
          <w:rFonts w:ascii="Times New Roman" w:hAnsi="Times New Roman"/>
          <w:b/>
          <w:bCs/>
          <w:snapToGrid w:val="0"/>
          <w:color w:val="auto"/>
          <w:spacing w:val="4"/>
          <w:sz w:val="24"/>
          <w:highlight w:val="none"/>
        </w:rPr>
        <w:t>3.2.7</w:t>
      </w:r>
      <w:r>
        <w:rPr>
          <w:rFonts w:hint="eastAsia" w:ascii="Times New Roman" w:hAnsi="Times New Roman"/>
          <w:bCs/>
          <w:snapToGrid w:val="0"/>
          <w:color w:val="auto"/>
          <w:spacing w:val="4"/>
          <w:sz w:val="24"/>
          <w:highlight w:val="none"/>
        </w:rPr>
        <w:t>监理人申请支付每期监理酬金时，需提供当期监理工作报告，内容包括但不限于：各阶段监理工作完成情况</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注：结合《各阶段工作成果文件的要求》（合同附件3）进行说明</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、《每期驻场监理人员出勤情况表》（格式见合同附件3</w:t>
      </w:r>
      <w:r>
        <w:rPr>
          <w:rFonts w:ascii="Times New Roman" w:hAnsi="Times New Roman"/>
          <w:bCs/>
          <w:snapToGrid w:val="0"/>
          <w:color w:val="auto"/>
          <w:spacing w:val="4"/>
          <w:sz w:val="24"/>
          <w:highlight w:val="none"/>
        </w:rPr>
        <w:t>-1</w:t>
      </w:r>
      <w:r>
        <w:rPr>
          <w:rFonts w:hint="eastAsia" w:ascii="Times New Roman" w:hAnsi="Times New Roman"/>
          <w:bCs/>
          <w:snapToGrid w:val="0"/>
          <w:color w:val="auto"/>
          <w:spacing w:val="4"/>
          <w:sz w:val="24"/>
          <w:highlight w:val="none"/>
        </w:rPr>
        <w:t>）、《每期监理设备投入情况表》（格式见合同附件3</w:t>
      </w:r>
      <w:r>
        <w:rPr>
          <w:rFonts w:ascii="Times New Roman" w:hAnsi="Times New Roman"/>
          <w:bCs/>
          <w:snapToGrid w:val="0"/>
          <w:color w:val="auto"/>
          <w:spacing w:val="4"/>
          <w:sz w:val="24"/>
          <w:highlight w:val="none"/>
        </w:rPr>
        <w:t>-2</w:t>
      </w:r>
      <w:r>
        <w:rPr>
          <w:rFonts w:hint="eastAsia" w:ascii="Times New Roman" w:hAnsi="Times New Roman"/>
          <w:bCs/>
          <w:snapToGrid w:val="0"/>
          <w:color w:val="auto"/>
          <w:spacing w:val="4"/>
          <w:sz w:val="24"/>
          <w:highlight w:val="none"/>
        </w:rPr>
        <w:t>）。本合同协议书第</w:t>
      </w:r>
      <w:r>
        <w:rPr>
          <w:rFonts w:ascii="Times New Roman" w:hAnsi="Times New Roman"/>
          <w:bCs/>
          <w:snapToGrid w:val="0"/>
          <w:color w:val="auto"/>
          <w:spacing w:val="4"/>
          <w:sz w:val="24"/>
          <w:highlight w:val="none"/>
        </w:rPr>
        <w:t>3.2.4</w:t>
      </w:r>
      <w:r>
        <w:rPr>
          <w:rFonts w:hint="eastAsia" w:ascii="Times New Roman" w:hAnsi="Times New Roman"/>
          <w:bCs/>
          <w:snapToGrid w:val="0"/>
          <w:color w:val="auto"/>
          <w:spacing w:val="4"/>
          <w:sz w:val="24"/>
          <w:highlight w:val="none"/>
        </w:rPr>
        <w:t>款约定的第二期至（</w:t>
      </w:r>
      <w:r>
        <w:rPr>
          <w:rFonts w:hint="eastAsia" w:ascii="Times New Roman" w:hAnsi="Times New Roman" w:cs="宋体"/>
          <w:color w:val="auto"/>
          <w:spacing w:val="4"/>
          <w:kern w:val="0"/>
          <w:sz w:val="24"/>
          <w:szCs w:val="24"/>
          <w:highlight w:val="none"/>
        </w:rPr>
        <w:t>☑</w:t>
      </w:r>
      <w:r>
        <w:rPr>
          <w:rFonts w:hint="eastAsia" w:ascii="Times New Roman" w:hAnsi="Times New Roman"/>
          <w:bCs/>
          <w:snapToGrid w:val="0"/>
          <w:color w:val="auto"/>
          <w:spacing w:val="4"/>
          <w:sz w:val="24"/>
          <w:highlight w:val="none"/>
        </w:rPr>
        <w:t xml:space="preserve">第八期[新改扩建] </w:t>
      </w:r>
      <w:r>
        <w:rPr>
          <w:rFonts w:hint="eastAsia" w:ascii="Times New Roman" w:hAnsi="Times New Roman" w:cs="宋体"/>
          <w:b/>
          <w:bCs/>
          <w:color w:val="auto"/>
          <w:spacing w:val="4"/>
          <w:kern w:val="0"/>
          <w:sz w:val="24"/>
          <w:szCs w:val="24"/>
          <w:highlight w:val="none"/>
          <w:lang w:val="en-US" w:eastAsia="zh-CN"/>
        </w:rPr>
        <w:t>☒</w:t>
      </w:r>
      <w:r>
        <w:rPr>
          <w:rFonts w:hint="eastAsia" w:ascii="Times New Roman" w:hAnsi="Times New Roman"/>
          <w:bCs/>
          <w:snapToGrid w:val="0"/>
          <w:color w:val="auto"/>
          <w:spacing w:val="4"/>
          <w:sz w:val="24"/>
          <w:highlight w:val="none"/>
        </w:rPr>
        <w:t>第六期 [维修改造] ）监理酬金根据当期驻场监理人员出勤率计量支付。当期出勤率高于</w:t>
      </w:r>
      <w:r>
        <w:rPr>
          <w:rFonts w:ascii="Times New Roman" w:hAnsi="Times New Roman"/>
          <w:bCs/>
          <w:snapToGrid w:val="0"/>
          <w:color w:val="auto"/>
          <w:spacing w:val="4"/>
          <w:sz w:val="24"/>
          <w:highlight w:val="none"/>
        </w:rPr>
        <w:t>95%</w:t>
      </w:r>
      <w:r>
        <w:rPr>
          <w:rFonts w:hint="eastAsia" w:ascii="Times New Roman" w:hAnsi="Times New Roman"/>
          <w:bCs/>
          <w:snapToGrid w:val="0"/>
          <w:color w:val="auto"/>
          <w:spacing w:val="4"/>
          <w:sz w:val="24"/>
          <w:highlight w:val="none"/>
        </w:rPr>
        <w:t>（含本数）时，按当期应支付金额的</w:t>
      </w:r>
      <w:r>
        <w:rPr>
          <w:rFonts w:ascii="Times New Roman" w:hAnsi="Times New Roman"/>
          <w:bCs/>
          <w:snapToGrid w:val="0"/>
          <w:color w:val="auto"/>
          <w:spacing w:val="4"/>
          <w:sz w:val="24"/>
          <w:highlight w:val="none"/>
        </w:rPr>
        <w:t>100%</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90%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95%</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85%</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80%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90%</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75%</w:t>
      </w:r>
      <w:r>
        <w:rPr>
          <w:rFonts w:hint="eastAsia" w:ascii="Times New Roman" w:hAnsi="Times New Roman"/>
          <w:bCs/>
          <w:snapToGrid w:val="0"/>
          <w:color w:val="auto"/>
          <w:spacing w:val="4"/>
          <w:sz w:val="24"/>
          <w:highlight w:val="none"/>
        </w:rPr>
        <w:t>支付；当期出勤率高于</w:t>
      </w:r>
      <w:r>
        <w:rPr>
          <w:rFonts w:ascii="Times New Roman" w:hAnsi="Times New Roman"/>
          <w:bCs/>
          <w:snapToGrid w:val="0"/>
          <w:color w:val="auto"/>
          <w:spacing w:val="4"/>
          <w:sz w:val="24"/>
          <w:highlight w:val="none"/>
        </w:rPr>
        <w:t>70%</w:t>
      </w:r>
      <w:r>
        <w:rPr>
          <w:rFonts w:hint="eastAsia" w:ascii="Times New Roman" w:hAnsi="Times New Roman"/>
          <w:bCs/>
          <w:snapToGrid w:val="0"/>
          <w:color w:val="auto"/>
          <w:spacing w:val="4"/>
          <w:sz w:val="24"/>
          <w:highlight w:val="none"/>
        </w:rPr>
        <w:t>（含本数）低于</w:t>
      </w:r>
      <w:r>
        <w:rPr>
          <w:rFonts w:ascii="Times New Roman" w:hAnsi="Times New Roman"/>
          <w:bCs/>
          <w:snapToGrid w:val="0"/>
          <w:color w:val="auto"/>
          <w:spacing w:val="4"/>
          <w:sz w:val="24"/>
          <w:highlight w:val="none"/>
        </w:rPr>
        <w:t>80%</w:t>
      </w:r>
      <w:r>
        <w:rPr>
          <w:rFonts w:hint="eastAsia" w:ascii="Times New Roman" w:hAnsi="Times New Roman"/>
          <w:bCs/>
          <w:snapToGrid w:val="0"/>
          <w:color w:val="auto"/>
          <w:spacing w:val="4"/>
          <w:sz w:val="24"/>
          <w:highlight w:val="none"/>
        </w:rPr>
        <w:t>时，按当期应支付金额的</w:t>
      </w:r>
      <w:r>
        <w:rPr>
          <w:rFonts w:ascii="Times New Roman" w:hAnsi="Times New Roman"/>
          <w:bCs/>
          <w:snapToGrid w:val="0"/>
          <w:color w:val="auto"/>
          <w:spacing w:val="4"/>
          <w:sz w:val="24"/>
          <w:highlight w:val="none"/>
        </w:rPr>
        <w:t>60%</w:t>
      </w:r>
      <w:r>
        <w:rPr>
          <w:rFonts w:hint="eastAsia" w:ascii="Times New Roman" w:hAnsi="Times New Roman"/>
          <w:bCs/>
          <w:snapToGrid w:val="0"/>
          <w:color w:val="auto"/>
          <w:spacing w:val="4"/>
          <w:sz w:val="24"/>
          <w:highlight w:val="none"/>
        </w:rPr>
        <w:t>支付。当期出勤率低于</w:t>
      </w:r>
      <w:r>
        <w:rPr>
          <w:rFonts w:ascii="Times New Roman" w:hAnsi="Times New Roman"/>
          <w:bCs/>
          <w:snapToGrid w:val="0"/>
          <w:color w:val="auto"/>
          <w:spacing w:val="4"/>
          <w:sz w:val="24"/>
          <w:highlight w:val="none"/>
        </w:rPr>
        <w:t>70%</w:t>
      </w:r>
      <w:r>
        <w:rPr>
          <w:rFonts w:hint="eastAsia" w:ascii="Times New Roman" w:hAnsi="Times New Roman"/>
          <w:bCs/>
          <w:snapToGrid w:val="0"/>
          <w:color w:val="auto"/>
          <w:spacing w:val="4"/>
          <w:sz w:val="24"/>
          <w:highlight w:val="none"/>
        </w:rPr>
        <w:t>时，当期监理酬金不予支付。按照上述约定未支付的监理酬金金额将不再支付（当期出勤率</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当期驻场人员出勤总天数</w:t>
      </w:r>
      <w:r>
        <w:rPr>
          <w:rFonts w:ascii="Times New Roman" w:hAnsi="Times New Roman"/>
          <w:bCs/>
          <w:snapToGrid w:val="0"/>
          <w:color w:val="auto"/>
          <w:spacing w:val="4"/>
          <w:sz w:val="24"/>
          <w:highlight w:val="none"/>
        </w:rPr>
        <w:t>/</w:t>
      </w:r>
      <w:r>
        <w:rPr>
          <w:rFonts w:hint="eastAsia" w:ascii="Times New Roman" w:hAnsi="Times New Roman"/>
          <w:bCs/>
          <w:snapToGrid w:val="0"/>
          <w:color w:val="auto"/>
          <w:spacing w:val="4"/>
          <w:sz w:val="24"/>
          <w:highlight w:val="none"/>
        </w:rPr>
        <w:t>当期驻场人员应出勤天数×</w:t>
      </w:r>
      <w:r>
        <w:rPr>
          <w:rFonts w:ascii="Times New Roman" w:hAnsi="Times New Roman"/>
          <w:bCs/>
          <w:snapToGrid w:val="0"/>
          <w:color w:val="auto"/>
          <w:spacing w:val="4"/>
          <w:sz w:val="24"/>
          <w:highlight w:val="none"/>
        </w:rPr>
        <w:t>100%</w:t>
      </w:r>
      <w:r>
        <w:rPr>
          <w:rFonts w:hint="eastAsia" w:ascii="Times New Roman" w:hAnsi="Times New Roman"/>
          <w:bCs/>
          <w:snapToGrid w:val="0"/>
          <w:color w:val="auto"/>
          <w:spacing w:val="4"/>
          <w:sz w:val="24"/>
          <w:highlight w:val="none"/>
        </w:rPr>
        <w:t>，出勤率按人计算，每人每天最多只计一个出勤日）。</w:t>
      </w:r>
    </w:p>
    <w:p w14:paraId="1083D01F">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cs="宋体"/>
          <w:b/>
          <w:color w:val="auto"/>
          <w:sz w:val="24"/>
          <w:highlight w:val="none"/>
        </w:rPr>
        <w:t>3.2.8</w:t>
      </w:r>
      <w:r>
        <w:rPr>
          <w:rFonts w:hint="eastAsia" w:ascii="Times New Roman" w:hAnsi="Times New Roman" w:cs="宋体"/>
          <w:color w:val="auto"/>
          <w:sz w:val="24"/>
          <w:highlight w:val="none"/>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50%，剩余50%的质量保修阶段监理酬金在防水工程质保期（5年）届满后再支付。</w:t>
      </w:r>
    </w:p>
    <w:p w14:paraId="5FC02EEB">
      <w:pPr>
        <w:adjustRightInd w:val="0"/>
        <w:snapToGrid w:val="0"/>
        <w:spacing w:line="360" w:lineRule="auto"/>
        <w:ind w:firstLine="498" w:firstLineChars="200"/>
        <w:rPr>
          <w:rFonts w:ascii="Times New Roman" w:hAnsi="Times New Roman"/>
          <w:b/>
          <w:bCs/>
          <w:snapToGrid w:val="0"/>
          <w:color w:val="auto"/>
          <w:spacing w:val="4"/>
          <w:sz w:val="24"/>
          <w:highlight w:val="none"/>
        </w:rPr>
      </w:pPr>
      <w:r>
        <w:rPr>
          <w:rFonts w:ascii="Times New Roman" w:hAnsi="Times New Roman"/>
          <w:b/>
          <w:bCs/>
          <w:snapToGrid w:val="0"/>
          <w:color w:val="auto"/>
          <w:spacing w:val="4"/>
          <w:sz w:val="24"/>
          <w:highlight w:val="none"/>
        </w:rPr>
        <w:t>3.2.9</w:t>
      </w:r>
      <w:r>
        <w:rPr>
          <w:rFonts w:hint="eastAsia" w:ascii="Times New Roman" w:hAnsi="Times New Roman"/>
          <w:b/>
          <w:bCs/>
          <w:snapToGrid w:val="0"/>
          <w:color w:val="auto"/>
          <w:spacing w:val="4"/>
          <w:sz w:val="24"/>
          <w:highlight w:val="none"/>
        </w:rPr>
        <w:t>在本项目批复概算后，监理人须根据本项目批复概算中的建筑安装工程费按合同协议书第</w:t>
      </w:r>
      <w:r>
        <w:rPr>
          <w:rFonts w:ascii="Times New Roman" w:hAnsi="Times New Roman"/>
          <w:b/>
          <w:bCs/>
          <w:snapToGrid w:val="0"/>
          <w:color w:val="auto"/>
          <w:spacing w:val="4"/>
          <w:sz w:val="24"/>
          <w:highlight w:val="none"/>
        </w:rPr>
        <w:t>3.1.1</w:t>
      </w:r>
      <w:r>
        <w:rPr>
          <w:rFonts w:hint="eastAsia" w:ascii="Times New Roman" w:hAnsi="Times New Roman"/>
          <w:b/>
          <w:bCs/>
          <w:snapToGrid w:val="0"/>
          <w:color w:val="auto"/>
          <w:spacing w:val="4"/>
          <w:sz w:val="24"/>
          <w:highlight w:val="none"/>
        </w:rPr>
        <w:t>款所约定的计算方式测算本项目监理酬金。最终监理酬金结算金额以有权结算终审部门审定的金额为准。</w:t>
      </w:r>
    </w:p>
    <w:p w14:paraId="4A22AD6B">
      <w:pPr>
        <w:adjustRightInd w:val="0"/>
        <w:snapToGrid w:val="0"/>
        <w:spacing w:line="360" w:lineRule="auto"/>
        <w:ind w:firstLine="498" w:firstLineChars="200"/>
        <w:rPr>
          <w:rFonts w:ascii="Times New Roman" w:hAnsi="Times New Roman"/>
          <w:snapToGrid w:val="0"/>
          <w:color w:val="auto"/>
          <w:sz w:val="24"/>
          <w:highlight w:val="none"/>
        </w:rPr>
      </w:pPr>
      <w:r>
        <w:rPr>
          <w:rFonts w:hint="eastAsia" w:ascii="Times New Roman" w:hAnsi="Times New Roman"/>
          <w:b/>
          <w:bCs/>
          <w:snapToGrid w:val="0"/>
          <w:color w:val="auto"/>
          <w:spacing w:val="4"/>
          <w:sz w:val="24"/>
          <w:highlight w:val="none"/>
        </w:rPr>
        <w:t>3.2.10</w:t>
      </w:r>
      <w:r>
        <w:rPr>
          <w:rFonts w:hint="eastAsia" w:ascii="Times New Roman" w:hAnsi="Times New Roman"/>
          <w:snapToGrid w:val="0"/>
          <w:color w:val="auto"/>
          <w:sz w:val="24"/>
          <w:highlight w:val="none"/>
        </w:rPr>
        <w:t>双方一致同意，如审计机关对本合同项目结算评审提出修正意见的，双方应当本着实事求是的原则予以纠正。</w:t>
      </w:r>
    </w:p>
    <w:p w14:paraId="51CCCE89">
      <w:pPr>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第四条 协议书中的词语定义</w:t>
      </w:r>
    </w:p>
    <w:p w14:paraId="20DD7F0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本协议书中的有关词语含义与本合同专用条件、标准条件中赋予它们的定义相同。</w:t>
      </w:r>
    </w:p>
    <w:p w14:paraId="431A94AE">
      <w:pPr>
        <w:topLinePunct/>
        <w:adjustRightInd w:val="0"/>
        <w:snapToGrid w:val="0"/>
        <w:spacing w:line="360" w:lineRule="auto"/>
        <w:ind w:firstLine="498" w:firstLineChars="200"/>
        <w:outlineLvl w:val="1"/>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第五条 合同文件的解释顺序</w:t>
      </w:r>
    </w:p>
    <w:p w14:paraId="29FAEE39">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下列文件应被认为是组成本合同的一部分，并互为补充和解释，如各文件存在冲突之处，以如下排列次序在前者优先适用：</w:t>
      </w:r>
    </w:p>
    <w:p w14:paraId="3F068C99">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政府部门关于本项目的有关文件；</w:t>
      </w:r>
    </w:p>
    <w:p w14:paraId="0E0656E4">
      <w:pPr>
        <w:topLinePunct/>
        <w:adjustRightInd w:val="0"/>
        <w:snapToGrid w:val="0"/>
        <w:spacing w:line="360" w:lineRule="auto"/>
        <w:ind w:firstLine="496" w:firstLineChars="200"/>
        <w:outlineLvl w:val="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本合同履行期间委托人与监理人双方签订的补充合同（协议）或修正文件；</w:t>
      </w:r>
    </w:p>
    <w:p w14:paraId="6BE2F17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本协议书；</w:t>
      </w:r>
    </w:p>
    <w:p w14:paraId="105EC4F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中标通知书；</w:t>
      </w:r>
    </w:p>
    <w:p w14:paraId="0CBD9DC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本合同专用条件；</w:t>
      </w:r>
    </w:p>
    <w:p w14:paraId="34F9631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委托人关于建设项目管理的各项制度、规定，包括继续沿用委托人更名前的各项管理制度及规定（如有更新则按更新后的执行，下同）；</w:t>
      </w:r>
    </w:p>
    <w:p w14:paraId="751D5FF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本合同附件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属本条第（</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3F7AF77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本合同标准条件；</w:t>
      </w:r>
    </w:p>
    <w:p w14:paraId="2950EC0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本合同工程监理招标文件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含招标文件补充文件、澄清文件、答疑文件等，属本条第（</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0FA9912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监理人据此中标的本合同工程监理投标文件</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含投标文件澄清等，属本条第（</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）项内容的除外</w:t>
      </w:r>
      <w:r>
        <w:rPr>
          <w:rFonts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w:t>
      </w:r>
    </w:p>
    <w:p w14:paraId="5C6FD11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组成本合同的其他文件。</w:t>
      </w:r>
    </w:p>
    <w:p w14:paraId="699EBA92">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通过上述顺序解释仍无法明确的事项，由委托人与监理人协商解决；如协商不成，由委托人按照公平合理和有利于本合同工程建设的原则作出决定，如监理人对此决定不服的，应在接到委托人决定之日起三日内提出书面异议。如期满不提出书面异议的，视为同意委托人的决定。委托人收到监理人的书面异议后应作出进一步的决定。如监理人仍有异议的，可按</w:t>
      </w:r>
      <w:r>
        <w:rPr>
          <w:rFonts w:hint="eastAsia" w:ascii="Times New Roman" w:hAnsi="Times New Roman"/>
          <w:bCs/>
          <w:color w:val="auto"/>
          <w:spacing w:val="4"/>
          <w:sz w:val="24"/>
          <w:szCs w:val="24"/>
          <w:highlight w:val="none"/>
        </w:rPr>
        <w:t>本合同专用条件第四十九条</w:t>
      </w:r>
      <w:r>
        <w:rPr>
          <w:rFonts w:hint="eastAsia" w:ascii="Times New Roman" w:hAnsi="Times New Roman"/>
          <w:color w:val="auto"/>
          <w:spacing w:val="4"/>
          <w:sz w:val="24"/>
          <w:szCs w:val="24"/>
          <w:highlight w:val="none"/>
        </w:rPr>
        <w:t>的约定处理，但在有关单位作出正式裁判之前，监理人必须无条件先行执行委托人的决定。</w:t>
      </w:r>
    </w:p>
    <w:p w14:paraId="660E61A6">
      <w:pPr>
        <w:topLinePunct/>
        <w:adjustRightInd w:val="0"/>
        <w:snapToGrid w:val="0"/>
        <w:spacing w:line="360" w:lineRule="auto"/>
        <w:ind w:firstLine="488" w:firstLineChars="196"/>
        <w:outlineLvl w:val="1"/>
        <w:rPr>
          <w:rFonts w:ascii="Times New Roman" w:hAnsi="Times New Roman"/>
          <w:bCs/>
          <w:color w:val="auto"/>
          <w:spacing w:val="4"/>
          <w:kern w:val="0"/>
          <w:sz w:val="24"/>
          <w:szCs w:val="20"/>
          <w:highlight w:val="none"/>
        </w:rPr>
      </w:pPr>
      <w:r>
        <w:rPr>
          <w:rFonts w:hint="eastAsia" w:ascii="Times New Roman" w:hAnsi="Times New Roman" w:cs="宋体"/>
          <w:b/>
          <w:bCs/>
          <w:color w:val="auto"/>
          <w:spacing w:val="4"/>
          <w:sz w:val="24"/>
          <w:szCs w:val="24"/>
          <w:highlight w:val="none"/>
        </w:rPr>
        <w:t xml:space="preserve">第六条 </w:t>
      </w:r>
      <w:r>
        <w:rPr>
          <w:rFonts w:hint="eastAsia" w:ascii="Times New Roman" w:hAnsi="Times New Roman"/>
          <w:b/>
          <w:bCs/>
          <w:color w:val="auto"/>
          <w:spacing w:val="4"/>
          <w:sz w:val="24"/>
          <w:szCs w:val="20"/>
          <w:highlight w:val="none"/>
        </w:rPr>
        <w:t>主要人员信息提供</w:t>
      </w:r>
    </w:p>
    <w:p w14:paraId="1EF71F65">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监理人应在收到中标通知书之日起</w:t>
      </w:r>
      <w:r>
        <w:rPr>
          <w:rFonts w:ascii="Times New Roman" w:hAnsi="Times New Roman" w:cs="宋体"/>
          <w:bCs/>
          <w:color w:val="auto"/>
          <w:spacing w:val="4"/>
          <w:sz w:val="24"/>
          <w:szCs w:val="24"/>
          <w:highlight w:val="none"/>
        </w:rPr>
        <w:t>5</w:t>
      </w:r>
      <w:r>
        <w:rPr>
          <w:rFonts w:hint="eastAsia" w:ascii="Times New Roman" w:hAnsi="Times New Roman" w:cs="宋体"/>
          <w:bCs/>
          <w:color w:val="auto"/>
          <w:spacing w:val="4"/>
          <w:sz w:val="24"/>
          <w:szCs w:val="24"/>
          <w:highlight w:val="none"/>
        </w:rPr>
        <w:t>日内以书面形式向委托人提交其法定代表人、项目总监理工程师、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的姓名、身份证复印件、职务、职称、联系方式（包括办公电话、手机、传真号码）、通信地址等信息作为合同附件。</w:t>
      </w:r>
    </w:p>
    <w:p w14:paraId="2869E4B0">
      <w:pPr>
        <w:topLinePunct/>
        <w:adjustRightInd w:val="0"/>
        <w:snapToGrid w:val="0"/>
        <w:spacing w:line="360" w:lineRule="auto"/>
        <w:ind w:firstLine="498" w:firstLineChars="200"/>
        <w:outlineLvl w:val="1"/>
        <w:rPr>
          <w:rFonts w:ascii="Times New Roman" w:hAnsi="Times New Roman" w:cs="宋体"/>
          <w:b/>
          <w:bCs/>
          <w:color w:val="auto"/>
          <w:spacing w:val="4"/>
          <w:kern w:val="0"/>
          <w:sz w:val="24"/>
          <w:szCs w:val="24"/>
          <w:highlight w:val="none"/>
        </w:rPr>
      </w:pPr>
      <w:r>
        <w:rPr>
          <w:rFonts w:hint="eastAsia" w:ascii="Times New Roman" w:hAnsi="Times New Roman" w:cs="宋体"/>
          <w:b/>
          <w:bCs/>
          <w:color w:val="auto"/>
          <w:spacing w:val="4"/>
          <w:sz w:val="24"/>
          <w:szCs w:val="24"/>
          <w:highlight w:val="none"/>
        </w:rPr>
        <w:t xml:space="preserve">第七条 </w:t>
      </w:r>
      <w:r>
        <w:rPr>
          <w:rFonts w:hint="eastAsia" w:ascii="Times New Roman" w:hAnsi="Times New Roman"/>
          <w:b/>
          <w:bCs/>
          <w:color w:val="auto"/>
          <w:spacing w:val="4"/>
          <w:sz w:val="24"/>
          <w:szCs w:val="20"/>
          <w:highlight w:val="none"/>
        </w:rPr>
        <w:t>监理人资料变更</w:t>
      </w:r>
    </w:p>
    <w:p w14:paraId="7CD5A03E">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在本合同有效期内，监理人的单位名称变更的，应及时以书面形式通知委托人并附上变更登记资料；监理人法定代表人变更的，应在变更后</w:t>
      </w:r>
      <w:r>
        <w:rPr>
          <w:rFonts w:ascii="Times New Roman" w:hAnsi="Times New Roman" w:cs="宋体"/>
          <w:bCs/>
          <w:color w:val="auto"/>
          <w:spacing w:val="4"/>
          <w:sz w:val="24"/>
          <w:szCs w:val="24"/>
          <w:highlight w:val="none"/>
        </w:rPr>
        <w:t>15</w:t>
      </w:r>
      <w:r>
        <w:rPr>
          <w:rFonts w:hint="eastAsia" w:ascii="Times New Roman" w:hAnsi="Times New Roman" w:cs="宋体"/>
          <w:bCs/>
          <w:color w:val="auto"/>
          <w:spacing w:val="4"/>
          <w:sz w:val="24"/>
          <w:szCs w:val="24"/>
          <w:highlight w:val="none"/>
        </w:rPr>
        <w:t>日内向委托人提交新法定代表人的姓名、身份证复印件、职务、职称、联系电话、通信地址等信息。</w:t>
      </w:r>
    </w:p>
    <w:p w14:paraId="58CA85E9">
      <w:pPr>
        <w:topLinePunct/>
        <w:adjustRightInd w:val="0"/>
        <w:snapToGrid w:val="0"/>
        <w:spacing w:line="360" w:lineRule="auto"/>
        <w:ind w:firstLine="488" w:firstLineChars="196"/>
        <w:outlineLvl w:val="1"/>
        <w:rPr>
          <w:rFonts w:ascii="Times New Roman" w:hAnsi="Times New Roman"/>
          <w:bCs/>
          <w:color w:val="auto"/>
          <w:spacing w:val="4"/>
          <w:kern w:val="0"/>
          <w:sz w:val="24"/>
          <w:szCs w:val="20"/>
          <w:highlight w:val="none"/>
        </w:rPr>
      </w:pPr>
      <w:r>
        <w:rPr>
          <w:rFonts w:hint="eastAsia" w:ascii="Times New Roman" w:hAnsi="Times New Roman" w:cs="宋体"/>
          <w:b/>
          <w:bCs/>
          <w:color w:val="auto"/>
          <w:spacing w:val="4"/>
          <w:sz w:val="24"/>
          <w:szCs w:val="24"/>
          <w:highlight w:val="none"/>
        </w:rPr>
        <w:t xml:space="preserve">第八条 </w:t>
      </w:r>
      <w:r>
        <w:rPr>
          <w:rFonts w:hint="eastAsia" w:ascii="Times New Roman" w:hAnsi="Times New Roman"/>
          <w:b/>
          <w:bCs/>
          <w:color w:val="auto"/>
          <w:spacing w:val="4"/>
          <w:sz w:val="24"/>
          <w:szCs w:val="20"/>
          <w:highlight w:val="none"/>
        </w:rPr>
        <w:t>人员变更通知</w:t>
      </w:r>
    </w:p>
    <w:p w14:paraId="1A1DF70C">
      <w:pPr>
        <w:topLinePunct/>
        <w:adjustRightInd w:val="0"/>
        <w:snapToGrid w:val="0"/>
        <w:spacing w:line="360" w:lineRule="auto"/>
        <w:ind w:firstLine="496" w:firstLineChars="200"/>
        <w:rPr>
          <w:rFonts w:ascii="Times New Roman" w:hAnsi="Times New Roman" w:cs="宋体"/>
          <w:bCs/>
          <w:color w:val="auto"/>
          <w:spacing w:val="4"/>
          <w:kern w:val="0"/>
          <w:sz w:val="24"/>
          <w:szCs w:val="24"/>
          <w:highlight w:val="none"/>
        </w:rPr>
      </w:pPr>
      <w:r>
        <w:rPr>
          <w:rFonts w:hint="eastAsia" w:ascii="Times New Roman" w:hAnsi="Times New Roman" w:cs="宋体"/>
          <w:bCs/>
          <w:color w:val="auto"/>
          <w:spacing w:val="4"/>
          <w:sz w:val="24"/>
          <w:szCs w:val="24"/>
          <w:highlight w:val="none"/>
        </w:rPr>
        <w:t>在本合同有效期内，监理人更换项目总监理工程师、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的，应在更换后</w:t>
      </w:r>
      <w:r>
        <w:rPr>
          <w:rFonts w:ascii="Times New Roman" w:hAnsi="Times New Roman" w:cs="宋体"/>
          <w:bCs/>
          <w:color w:val="auto"/>
          <w:spacing w:val="4"/>
          <w:sz w:val="24"/>
          <w:szCs w:val="24"/>
          <w:highlight w:val="none"/>
        </w:rPr>
        <w:t>7</w:t>
      </w:r>
      <w:r>
        <w:rPr>
          <w:rFonts w:hint="eastAsia" w:ascii="Times New Roman" w:hAnsi="Times New Roman" w:cs="宋体"/>
          <w:bCs/>
          <w:color w:val="auto"/>
          <w:spacing w:val="4"/>
          <w:sz w:val="24"/>
          <w:szCs w:val="24"/>
          <w:highlight w:val="none"/>
        </w:rPr>
        <w:t>日内将新项目总监理工程师、新</w:t>
      </w:r>
      <w:r>
        <w:rPr>
          <w:rFonts w:hint="eastAsia" w:ascii="Times New Roman" w:hAnsi="Times New Roman"/>
          <w:bCs/>
          <w:color w:val="auto"/>
          <w:spacing w:val="4"/>
          <w:sz w:val="24"/>
          <w:szCs w:val="24"/>
          <w:highlight w:val="none"/>
        </w:rPr>
        <w:t>项目总监理工程师代表</w:t>
      </w:r>
      <w:r>
        <w:rPr>
          <w:rFonts w:hint="eastAsia" w:ascii="Times New Roman" w:hAnsi="Times New Roman" w:cs="宋体"/>
          <w:bCs/>
          <w:color w:val="auto"/>
          <w:spacing w:val="4"/>
          <w:sz w:val="24"/>
          <w:szCs w:val="24"/>
          <w:highlight w:val="none"/>
        </w:rPr>
        <w:t>的姓名、职务、职称、联系电话、通信地址等信息提交给委托人。</w:t>
      </w:r>
    </w:p>
    <w:p w14:paraId="20B73522">
      <w:pPr>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第九条 信息管理要求</w:t>
      </w:r>
    </w:p>
    <w:p w14:paraId="0AA178D3">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委托人已建立工程信息管理系统，监理人应投入足够的人员并配备足够的设备与该系统连接，确保及时准确地按委托人要求进行信息沟通及管理。</w:t>
      </w:r>
    </w:p>
    <w:p w14:paraId="383806C8">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宋体" w:hAnsi="宋体" w:cs="宋体"/>
          <w:color w:val="auto"/>
          <w:spacing w:val="4"/>
          <w:sz w:val="24"/>
          <w:szCs w:val="24"/>
          <w:highlight w:val="none"/>
          <w:lang w:bidi="ar"/>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监理人认可并属监理人向委托人提交的正式文件与资料。与该账号操作相关的行为与内容，其法律效果和法律责任一律由监理人承受及承担。前述信息、文件与资料如有需要形成纸质文件并加盖公章的，</w:t>
      </w:r>
      <w:r>
        <w:rPr>
          <w:rFonts w:ascii="宋体" w:hAnsi="宋体" w:cs="宋体"/>
          <w:color w:val="auto"/>
          <w:spacing w:val="4"/>
          <w:sz w:val="24"/>
          <w:szCs w:val="24"/>
          <w:highlight w:val="none"/>
          <w:lang w:bidi="ar"/>
        </w:rPr>
        <w:t>监理人</w:t>
      </w:r>
      <w:r>
        <w:rPr>
          <w:rFonts w:hint="eastAsia" w:ascii="宋体" w:hAnsi="宋体" w:cs="宋体"/>
          <w:color w:val="auto"/>
          <w:spacing w:val="4"/>
          <w:sz w:val="24"/>
          <w:szCs w:val="24"/>
          <w:highlight w:val="none"/>
          <w:lang w:bidi="ar"/>
        </w:rPr>
        <w:t>必须按</w:t>
      </w:r>
      <w:r>
        <w:rPr>
          <w:rFonts w:ascii="宋体" w:hAnsi="宋体" w:cs="宋体"/>
          <w:color w:val="auto"/>
          <w:spacing w:val="4"/>
          <w:sz w:val="24"/>
          <w:szCs w:val="24"/>
          <w:highlight w:val="none"/>
          <w:lang w:bidi="ar"/>
        </w:rPr>
        <w:t>委托</w:t>
      </w:r>
      <w:r>
        <w:rPr>
          <w:rFonts w:hint="eastAsia" w:ascii="宋体" w:hAnsi="宋体" w:cs="宋体"/>
          <w:color w:val="auto"/>
          <w:spacing w:val="4"/>
          <w:sz w:val="24"/>
          <w:szCs w:val="24"/>
          <w:highlight w:val="none"/>
          <w:lang w:bidi="ar"/>
        </w:rPr>
        <w:t>人要求提供。</w:t>
      </w:r>
    </w:p>
    <w:p w14:paraId="166B00FB">
      <w:pPr>
        <w:topLinePunct/>
        <w:adjustRightInd w:val="0"/>
        <w:snapToGrid w:val="0"/>
        <w:spacing w:line="360" w:lineRule="auto"/>
        <w:ind w:firstLine="498" w:firstLineChars="200"/>
        <w:outlineLvl w:val="0"/>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第十条 综合考评的要求</w:t>
      </w:r>
    </w:p>
    <w:p w14:paraId="428B202A">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cs="宋体"/>
          <w:color w:val="auto"/>
          <w:spacing w:val="4"/>
          <w:sz w:val="24"/>
          <w:szCs w:val="24"/>
          <w:highlight w:val="none"/>
        </w:rPr>
        <w:t>鉴于本合同工程的重要性，为确保本合同工程质量，委托人将对参与本合同项目建设的勘察设计、施工、监理等单位进行综合考评，并根据综合考评的结果按照相关规定执行</w:t>
      </w:r>
      <w:r>
        <w:rPr>
          <w:rFonts w:hint="eastAsia" w:ascii="Times New Roman" w:hAnsi="Times New Roman"/>
          <w:bCs/>
          <w:color w:val="auto"/>
          <w:spacing w:val="4"/>
          <w:sz w:val="24"/>
          <w:szCs w:val="24"/>
          <w:highlight w:val="none"/>
        </w:rPr>
        <w:t>。</w:t>
      </w:r>
    </w:p>
    <w:p w14:paraId="586692C9">
      <w:pPr>
        <w:topLinePunct/>
        <w:adjustRightInd w:val="0"/>
        <w:snapToGrid w:val="0"/>
        <w:spacing w:line="360" w:lineRule="auto"/>
        <w:ind w:firstLine="498" w:firstLineChars="200"/>
        <w:outlineLvl w:val="1"/>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第十</w:t>
      </w:r>
      <w:r>
        <w:rPr>
          <w:rFonts w:hint="eastAsia" w:ascii="Times New Roman" w:hAnsi="Times New Roman"/>
          <w:b/>
          <w:color w:val="auto"/>
          <w:spacing w:val="4"/>
          <w:sz w:val="24"/>
          <w:szCs w:val="24"/>
          <w:highlight w:val="none"/>
        </w:rPr>
        <w:t>一</w:t>
      </w:r>
      <w:r>
        <w:rPr>
          <w:rFonts w:hint="eastAsia" w:ascii="Times New Roman" w:hAnsi="Times New Roman"/>
          <w:b/>
          <w:bCs/>
          <w:color w:val="auto"/>
          <w:spacing w:val="4"/>
          <w:sz w:val="24"/>
          <w:szCs w:val="24"/>
          <w:highlight w:val="none"/>
        </w:rPr>
        <w:t>条 合同的生效与终止</w:t>
      </w:r>
    </w:p>
    <w:p w14:paraId="056608EB">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lang w:val="zh-CN"/>
        </w:rPr>
        <w:t>本合同自</w:t>
      </w:r>
      <w:r>
        <w:rPr>
          <w:rFonts w:hint="eastAsia" w:ascii="Times New Roman" w:hAnsi="Times New Roman"/>
          <w:color w:val="auto"/>
          <w:spacing w:val="4"/>
          <w:sz w:val="24"/>
          <w:szCs w:val="24"/>
          <w:highlight w:val="none"/>
        </w:rPr>
        <w:t>委托人、监理人双</w:t>
      </w:r>
      <w:r>
        <w:rPr>
          <w:rFonts w:hint="eastAsia" w:ascii="Times New Roman" w:hAnsi="Times New Roman"/>
          <w:color w:val="auto"/>
          <w:spacing w:val="4"/>
          <w:sz w:val="24"/>
          <w:szCs w:val="24"/>
          <w:highlight w:val="none"/>
          <w:lang w:val="zh-CN"/>
        </w:rPr>
        <w:t>方签字</w:t>
      </w:r>
      <w:r>
        <w:rPr>
          <w:rFonts w:hint="eastAsia" w:ascii="Times New Roman" w:hAnsi="Times New Roman"/>
          <w:bCs/>
          <w:color w:val="auto"/>
          <w:spacing w:val="4"/>
          <w:sz w:val="24"/>
          <w:szCs w:val="24"/>
          <w:highlight w:val="none"/>
        </w:rPr>
        <w:t>盖章（公章或合同专用章）后生效</w:t>
      </w:r>
      <w:r>
        <w:rPr>
          <w:rFonts w:hint="eastAsia" w:ascii="Times New Roman" w:hAnsi="Times New Roman"/>
          <w:bCs/>
          <w:color w:val="auto"/>
          <w:spacing w:val="4"/>
          <w:kern w:val="0"/>
          <w:sz w:val="24"/>
          <w:szCs w:val="24"/>
          <w:highlight w:val="none"/>
        </w:rPr>
        <w:t>，</w:t>
      </w:r>
      <w:r>
        <w:rPr>
          <w:rFonts w:hint="eastAsia" w:ascii="宋体" w:hAnsi="宋体"/>
          <w:bCs/>
          <w:snapToGrid w:val="0"/>
          <w:color w:val="auto"/>
          <w:spacing w:val="4"/>
          <w:kern w:val="0"/>
          <w:sz w:val="24"/>
          <w:szCs w:val="24"/>
          <w:highlight w:val="none"/>
        </w:rPr>
        <w:t>委托代理人签字的需经另一方书面同意</w:t>
      </w:r>
      <w:r>
        <w:rPr>
          <w:rFonts w:hint="eastAsia" w:ascii="Times New Roman" w:hAnsi="Times New Roman"/>
          <w:bCs/>
          <w:color w:val="auto"/>
          <w:spacing w:val="4"/>
          <w:sz w:val="24"/>
          <w:szCs w:val="24"/>
          <w:highlight w:val="none"/>
        </w:rPr>
        <w:t>。以下三个条件均满足后，</w:t>
      </w:r>
      <w:r>
        <w:rPr>
          <w:rFonts w:hint="eastAsia" w:ascii="Times New Roman" w:hAnsi="Times New Roman"/>
          <w:color w:val="auto"/>
          <w:spacing w:val="4"/>
          <w:sz w:val="24"/>
          <w:szCs w:val="24"/>
          <w:highlight w:val="none"/>
        </w:rPr>
        <w:t>双</w:t>
      </w:r>
      <w:r>
        <w:rPr>
          <w:rFonts w:hint="eastAsia" w:ascii="Times New Roman" w:hAnsi="Times New Roman"/>
          <w:color w:val="auto"/>
          <w:spacing w:val="4"/>
          <w:sz w:val="24"/>
          <w:szCs w:val="24"/>
          <w:highlight w:val="none"/>
          <w:lang w:val="zh-CN"/>
        </w:rPr>
        <w:t>方</w:t>
      </w:r>
      <w:r>
        <w:rPr>
          <w:rFonts w:hint="eastAsia" w:ascii="Times New Roman" w:hAnsi="Times New Roman"/>
          <w:bCs/>
          <w:color w:val="auto"/>
          <w:spacing w:val="4"/>
          <w:sz w:val="24"/>
          <w:szCs w:val="24"/>
          <w:highlight w:val="none"/>
        </w:rPr>
        <w:t>终止本合同的执行：</w:t>
      </w:r>
    </w:p>
    <w:p w14:paraId="699B1B72">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本合同工程质量保修期届满；</w:t>
      </w:r>
    </w:p>
    <w:p w14:paraId="0B88A585">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本合同工程竣工结算经有权结算终审部门审定之日起届满</w:t>
      </w:r>
      <w:r>
        <w:rPr>
          <w:rFonts w:ascii="Times New Roman" w:hAnsi="Times New Roman"/>
          <w:bCs/>
          <w:color w:val="auto"/>
          <w:spacing w:val="4"/>
          <w:sz w:val="24"/>
          <w:szCs w:val="24"/>
          <w:highlight w:val="none"/>
        </w:rPr>
        <w:t>60</w:t>
      </w:r>
      <w:r>
        <w:rPr>
          <w:rFonts w:hint="eastAsia" w:ascii="Times New Roman" w:hAnsi="Times New Roman"/>
          <w:bCs/>
          <w:color w:val="auto"/>
          <w:spacing w:val="4"/>
          <w:sz w:val="24"/>
          <w:szCs w:val="24"/>
          <w:highlight w:val="none"/>
        </w:rPr>
        <w:t>日；</w:t>
      </w:r>
    </w:p>
    <w:p w14:paraId="03E529EF">
      <w:pPr>
        <w:topLinePunct/>
        <w:adjustRightInd w:val="0"/>
        <w:snapToGrid w:val="0"/>
        <w:spacing w:line="360" w:lineRule="auto"/>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双方在本合同项下的责任承担、义务履行均告完毕。</w:t>
      </w:r>
    </w:p>
    <w:p w14:paraId="06EC37DB">
      <w:pPr>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第十二条 合同文本的份数</w:t>
      </w:r>
    </w:p>
    <w:p w14:paraId="3A6916B6">
      <w:pPr>
        <w:topLinePunct/>
        <w:adjustRightInd w:val="0"/>
        <w:snapToGrid w:val="0"/>
        <w:spacing w:line="360" w:lineRule="auto"/>
        <w:ind w:firstLine="496" w:firstLineChars="200"/>
        <w:outlineLvl w:val="1"/>
        <w:rPr>
          <w:rFonts w:ascii="Times New Roman" w:hAnsi="Times New Roman"/>
          <w:bCs/>
          <w:color w:val="auto"/>
          <w:spacing w:val="4"/>
          <w:kern w:val="0"/>
          <w:sz w:val="24"/>
          <w:szCs w:val="21"/>
          <w:highlight w:val="none"/>
        </w:rPr>
      </w:pPr>
      <w:r>
        <w:rPr>
          <w:rFonts w:hint="eastAsia" w:ascii="Times New Roman" w:hAnsi="Times New Roman"/>
          <w:bCs/>
          <w:color w:val="auto"/>
          <w:spacing w:val="4"/>
          <w:sz w:val="24"/>
          <w:szCs w:val="21"/>
          <w:highlight w:val="none"/>
        </w:rPr>
        <w:t>本合同正本一式两份，委托人、监理人各执一份；副本</w:t>
      </w:r>
      <w:r>
        <w:rPr>
          <w:rFonts w:hint="default" w:ascii="Times New Roman" w:hAnsi="Times New Roman"/>
          <w:bCs/>
          <w:color w:val="auto"/>
          <w:spacing w:val="4"/>
          <w:sz w:val="24"/>
          <w:szCs w:val="21"/>
          <w:highlight w:val="none"/>
        </w:rPr>
        <w:t>六</w:t>
      </w:r>
      <w:r>
        <w:rPr>
          <w:rFonts w:hint="eastAsia" w:ascii="Times New Roman" w:hAnsi="Times New Roman"/>
          <w:bCs/>
          <w:color w:val="auto"/>
          <w:spacing w:val="4"/>
          <w:sz w:val="24"/>
          <w:szCs w:val="21"/>
          <w:highlight w:val="none"/>
        </w:rPr>
        <w:t>份，委托人执</w:t>
      </w:r>
      <w:r>
        <w:rPr>
          <w:rFonts w:hint="default" w:ascii="Times New Roman" w:hAnsi="Times New Roman"/>
          <w:bCs/>
          <w:color w:val="auto"/>
          <w:spacing w:val="4"/>
          <w:sz w:val="24"/>
          <w:szCs w:val="21"/>
          <w:highlight w:val="none"/>
        </w:rPr>
        <w:t>四</w:t>
      </w:r>
      <w:r>
        <w:rPr>
          <w:rFonts w:hint="eastAsia" w:ascii="Times New Roman" w:hAnsi="Times New Roman"/>
          <w:bCs/>
          <w:color w:val="auto"/>
          <w:spacing w:val="4"/>
          <w:sz w:val="24"/>
          <w:szCs w:val="21"/>
          <w:highlight w:val="none"/>
        </w:rPr>
        <w:t>份，监理人执两份。合同正、副本具有同等效力，但当合同正本与副本的表述不一致时，以合同正本为准。</w:t>
      </w:r>
    </w:p>
    <w:p w14:paraId="65770957">
      <w:pPr>
        <w:topLinePunct/>
        <w:adjustRightInd w:val="0"/>
        <w:snapToGrid w:val="0"/>
        <w:spacing w:line="360" w:lineRule="auto"/>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第十三条 其它约定事项</w:t>
      </w:r>
    </w:p>
    <w:p w14:paraId="17BF976B">
      <w:pPr>
        <w:topLinePunct/>
        <w:adjustRightInd w:val="0"/>
        <w:snapToGrid w:val="0"/>
        <w:spacing w:line="360" w:lineRule="auto"/>
        <w:ind w:firstLine="496" w:firstLineChars="200"/>
        <w:outlineLvl w:val="1"/>
        <w:rPr>
          <w:rFonts w:ascii="Times New Roman" w:hAnsi="Times New Roman"/>
          <w:bCs/>
          <w:color w:val="auto"/>
          <w:spacing w:val="4"/>
          <w:sz w:val="24"/>
          <w:szCs w:val="21"/>
          <w:highlight w:val="none"/>
        </w:rPr>
      </w:pPr>
      <w:r>
        <w:rPr>
          <w:rFonts w:hint="eastAsia" w:ascii="Times New Roman" w:hAnsi="Times New Roman"/>
          <w:bCs/>
          <w:color w:val="auto"/>
          <w:spacing w:val="4"/>
          <w:sz w:val="24"/>
          <w:szCs w:val="21"/>
          <w:highlight w:val="none"/>
        </w:rPr>
        <w:t>（</w:t>
      </w:r>
      <w:r>
        <w:rPr>
          <w:rFonts w:ascii="Times New Roman" w:hAnsi="Times New Roman"/>
          <w:bCs/>
          <w:color w:val="auto"/>
          <w:spacing w:val="4"/>
          <w:sz w:val="24"/>
          <w:szCs w:val="21"/>
          <w:highlight w:val="none"/>
        </w:rPr>
        <w:t>1</w:t>
      </w:r>
      <w:r>
        <w:rPr>
          <w:rFonts w:hint="eastAsia" w:ascii="Times New Roman" w:hAnsi="Times New Roman"/>
          <w:bCs/>
          <w:color w:val="auto"/>
          <w:spacing w:val="4"/>
          <w:sz w:val="24"/>
          <w:szCs w:val="21"/>
          <w:highlight w:val="none"/>
        </w:rPr>
        <w:t>）本合同工程总监理工程师姓名：_________，职务（职称）：_________。</w:t>
      </w:r>
    </w:p>
    <w:p w14:paraId="4346BF7C">
      <w:pPr>
        <w:topLinePunct/>
        <w:adjustRightInd w:val="0"/>
        <w:snapToGrid w:val="0"/>
        <w:spacing w:line="360" w:lineRule="auto"/>
        <w:ind w:firstLine="124" w:firstLineChars="50"/>
        <w:outlineLvl w:val="1"/>
        <w:rPr>
          <w:rFonts w:ascii="Times New Roman" w:hAnsi="Times New Roman"/>
          <w:bCs/>
          <w:strike w:val="0"/>
          <w:color w:val="auto"/>
          <w:spacing w:val="4"/>
          <w:sz w:val="24"/>
          <w:szCs w:val="21"/>
          <w:highlight w:val="none"/>
        </w:rPr>
      </w:pPr>
      <w:r>
        <w:rPr>
          <w:rFonts w:hint="eastAsia" w:ascii="Times New Roman" w:hAnsi="Times New Roman" w:cs="宋体"/>
          <w:strike w:val="0"/>
          <w:color w:val="auto"/>
          <w:spacing w:val="4"/>
          <w:kern w:val="0"/>
          <w:sz w:val="24"/>
          <w:szCs w:val="24"/>
          <w:highlight w:val="none"/>
          <w:lang w:eastAsia="zh-CN"/>
        </w:rPr>
        <w:t>☑</w:t>
      </w:r>
      <w:r>
        <w:rPr>
          <w:rFonts w:hint="eastAsia" w:ascii="Times New Roman" w:hAnsi="Times New Roman"/>
          <w:bCs/>
          <w:strike w:val="0"/>
          <w:color w:val="auto"/>
          <w:spacing w:val="4"/>
          <w:sz w:val="24"/>
          <w:szCs w:val="21"/>
          <w:highlight w:val="none"/>
        </w:rPr>
        <w:t>（2）</w:t>
      </w:r>
      <w:r>
        <w:rPr>
          <w:rFonts w:hint="eastAsia" w:ascii="Times New Roman" w:hAnsi="Times New Roman"/>
          <w:bCs/>
          <w:color w:val="auto"/>
          <w:spacing w:val="4"/>
          <w:sz w:val="24"/>
          <w:highlight w:val="none"/>
        </w:rPr>
        <w:t>在监理服务期内，监理人须按招标文件要求</w:t>
      </w:r>
      <w:r>
        <w:rPr>
          <w:rFonts w:ascii="Times New Roman" w:hAnsi="Times New Roman"/>
          <w:bCs/>
          <w:color w:val="auto"/>
          <w:spacing w:val="4"/>
          <w:sz w:val="24"/>
          <w:highlight w:val="none"/>
        </w:rPr>
        <w:t>及投标文件响应情况</w:t>
      </w:r>
      <w:r>
        <w:rPr>
          <w:rFonts w:hint="eastAsia" w:ascii="Times New Roman" w:hAnsi="Times New Roman"/>
          <w:bCs/>
          <w:color w:val="auto"/>
          <w:spacing w:val="4"/>
          <w:sz w:val="24"/>
          <w:highlight w:val="none"/>
        </w:rPr>
        <w:t>选派</w:t>
      </w:r>
      <w:r>
        <w:rPr>
          <w:rFonts w:hint="eastAsia" w:ascii="Times New Roman" w:hAnsi="Times New Roman"/>
          <w:bCs/>
          <w:color w:val="auto"/>
          <w:spacing w:val="4"/>
          <w:sz w:val="24"/>
          <w:highlight w:val="none"/>
          <w:u w:val="single"/>
        </w:rPr>
        <w:t>相关人员</w:t>
      </w:r>
      <w:r>
        <w:rPr>
          <w:rFonts w:hint="eastAsia" w:ascii="Times New Roman" w:hAnsi="Times New Roman"/>
          <w:bCs/>
          <w:color w:val="auto"/>
          <w:spacing w:val="4"/>
          <w:sz w:val="24"/>
          <w:highlight w:val="none"/>
        </w:rPr>
        <w:t>到委托人指定地点现场办公，接受委托人考核管理；驻场服务人员相关费用已包含在监理酬金总额中，不再另行计取</w:t>
      </w:r>
      <w:r>
        <w:rPr>
          <w:rFonts w:hint="eastAsia" w:ascii="Times New Roman" w:hAnsi="Times New Roman"/>
          <w:bCs/>
          <w:strike w:val="0"/>
          <w:color w:val="auto"/>
          <w:spacing w:val="4"/>
          <w:sz w:val="24"/>
          <w:szCs w:val="21"/>
          <w:highlight w:val="none"/>
        </w:rPr>
        <w:t>。</w:t>
      </w:r>
    </w:p>
    <w:p w14:paraId="050BC40C">
      <w:pPr>
        <w:topLinePunct/>
        <w:adjustRightInd w:val="0"/>
        <w:snapToGrid w:val="0"/>
        <w:spacing w:line="360" w:lineRule="auto"/>
        <w:ind w:firstLine="124" w:firstLineChars="50"/>
        <w:outlineLvl w:val="1"/>
        <w:rPr>
          <w:rFonts w:ascii="Times New Roman" w:hAnsi="Times New Roman"/>
          <w:bCs/>
          <w:color w:val="auto"/>
          <w:spacing w:val="4"/>
          <w:sz w:val="24"/>
          <w:szCs w:val="21"/>
          <w:highlight w:val="none"/>
        </w:rPr>
      </w:pPr>
      <w:r>
        <w:rPr>
          <w:rFonts w:hint="eastAsia" w:ascii="Times New Roman" w:hAnsi="Times New Roman" w:cs="宋体"/>
          <w:color w:val="auto"/>
          <w:spacing w:val="4"/>
          <w:kern w:val="0"/>
          <w:sz w:val="24"/>
          <w:szCs w:val="24"/>
          <w:highlight w:val="none"/>
        </w:rPr>
        <w:t>☑</w:t>
      </w:r>
      <w:r>
        <w:rPr>
          <w:rFonts w:ascii="Times New Roman" w:hAnsi="Times New Roman"/>
          <w:bCs/>
          <w:color w:val="auto"/>
          <w:spacing w:val="4"/>
          <w:sz w:val="24"/>
          <w:szCs w:val="21"/>
          <w:highlight w:val="none"/>
        </w:rPr>
        <w:t>（3）鉴于本项目任务重，工期紧，在工程项目实施过程中，如安监站、委托人就关键工期、关键节点提出监理人员（包括但不限于安全工程师、安全监理员等）提档升级（包括人数、资格、资历等）要求的，监理人应无条件配合。</w:t>
      </w:r>
    </w:p>
    <w:p w14:paraId="1118C93E">
      <w:pPr>
        <w:topLinePunct/>
        <w:adjustRightInd w:val="0"/>
        <w:snapToGrid w:val="0"/>
        <w:spacing w:line="360" w:lineRule="auto"/>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（本页无正文，为签署页）</w:t>
      </w:r>
    </w:p>
    <w:p w14:paraId="5143BB9F">
      <w:pPr>
        <w:topLinePunct/>
        <w:adjustRightInd w:val="0"/>
        <w:snapToGrid w:val="0"/>
        <w:spacing w:line="360" w:lineRule="auto"/>
        <w:rPr>
          <w:rFonts w:ascii="Times New Roman" w:hAnsi="Times New Roman"/>
          <w:color w:val="auto"/>
          <w:kern w:val="0"/>
          <w:sz w:val="24"/>
          <w:szCs w:val="24"/>
          <w:highlight w:val="none"/>
        </w:rPr>
      </w:pPr>
    </w:p>
    <w:p w14:paraId="030D712A">
      <w:pPr>
        <w:topLinePunct/>
        <w:adjustRightInd w:val="0"/>
        <w:snapToGrid w:val="0"/>
        <w:spacing w:line="360" w:lineRule="auto"/>
        <w:rPr>
          <w:rFonts w:ascii="Times New Roman" w:hAnsi="Times New Roman"/>
          <w:color w:val="auto"/>
          <w:kern w:val="0"/>
          <w:sz w:val="24"/>
          <w:szCs w:val="24"/>
          <w:highlight w:val="none"/>
        </w:rPr>
      </w:pPr>
      <w:r>
        <w:rPr>
          <w:rFonts w:hint="eastAsia" w:ascii="Times New Roman" w:hAnsi="Times New Roman"/>
          <w:color w:val="auto"/>
          <w:spacing w:val="-14"/>
          <w:sz w:val="24"/>
          <w:szCs w:val="24"/>
          <w:highlight w:val="none"/>
        </w:rPr>
        <w:t>委托人：</w:t>
      </w:r>
      <w:r>
        <w:rPr>
          <w:rFonts w:hint="eastAsia" w:ascii="Times New Roman" w:hAnsi="Times New Roman"/>
          <w:b/>
          <w:bCs/>
          <w:color w:val="auto"/>
          <w:spacing w:val="-14"/>
          <w:sz w:val="24"/>
          <w:szCs w:val="24"/>
          <w:highlight w:val="none"/>
        </w:rPr>
        <w:t xml:space="preserve">广州市重点公共建设项目管理中心 </w:t>
      </w:r>
      <w:r>
        <w:rPr>
          <w:rFonts w:hint="eastAsia" w:ascii="Times New Roman" w:hAnsi="Times New Roman"/>
          <w:b/>
          <w:bCs/>
          <w:color w:val="auto"/>
          <w:sz w:val="24"/>
          <w:szCs w:val="24"/>
          <w:highlight w:val="none"/>
        </w:rPr>
        <w:t xml:space="preserve">    </w:t>
      </w:r>
      <w:r>
        <w:rPr>
          <w:rFonts w:hint="eastAsia" w:ascii="Times New Roman" w:hAnsi="Times New Roman"/>
          <w:color w:val="auto"/>
          <w:spacing w:val="-14"/>
          <w:sz w:val="24"/>
          <w:szCs w:val="24"/>
          <w:highlight w:val="none"/>
        </w:rPr>
        <w:t>监理人：</w:t>
      </w:r>
    </w:p>
    <w:p w14:paraId="2ED98AE1">
      <w:pPr>
        <w:topLinePunct/>
        <w:adjustRightInd w:val="0"/>
        <w:snapToGrid w:val="0"/>
        <w:spacing w:line="360" w:lineRule="auto"/>
        <w:ind w:firstLine="2303" w:firstLineChars="929"/>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（盖章）                        （盖章）</w:t>
      </w:r>
    </w:p>
    <w:p w14:paraId="0C86CD9B">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45D02BAE">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法定代表人：                        法定代表人：</w:t>
      </w:r>
    </w:p>
    <w:p w14:paraId="3945EF1D">
      <w:pPr>
        <w:topLinePunct/>
        <w:adjustRightInd w:val="0"/>
        <w:snapToGrid w:val="0"/>
        <w:spacing w:line="360" w:lineRule="auto"/>
        <w:rPr>
          <w:rFonts w:ascii="Times New Roman" w:hAnsi="Times New Roman"/>
          <w:color w:val="auto"/>
          <w:spacing w:val="4"/>
          <w:kern w:val="0"/>
          <w:sz w:val="24"/>
          <w:szCs w:val="24"/>
          <w:highlight w:val="none"/>
        </w:rPr>
      </w:pPr>
    </w:p>
    <w:p w14:paraId="61BCC603">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委托代理人：                        委托代理人：</w:t>
      </w:r>
    </w:p>
    <w:p w14:paraId="5C9986DA">
      <w:pPr>
        <w:topLinePunct/>
        <w:adjustRightInd w:val="0"/>
        <w:snapToGrid w:val="0"/>
        <w:spacing w:line="360" w:lineRule="auto"/>
        <w:rPr>
          <w:rFonts w:ascii="Times New Roman" w:hAnsi="Times New Roman"/>
          <w:color w:val="auto"/>
          <w:spacing w:val="4"/>
          <w:kern w:val="0"/>
          <w:sz w:val="24"/>
          <w:szCs w:val="24"/>
          <w:highlight w:val="none"/>
        </w:rPr>
      </w:pPr>
    </w:p>
    <w:p w14:paraId="25F61428">
      <w:pPr>
        <w:topLinePunct/>
        <w:adjustRightInd w:val="0"/>
        <w:snapToGrid w:val="0"/>
        <w:spacing w:line="360" w:lineRule="auto"/>
        <w:ind w:left="5952" w:right="-248" w:rightChars="-118" w:hanging="5952" w:hangingChars="2400"/>
        <w:rPr>
          <w:rFonts w:ascii="Times New Roman" w:hAnsi="Times New Roman"/>
          <w:color w:val="auto"/>
          <w:spacing w:val="4"/>
          <w:w w:val="66"/>
          <w:kern w:val="0"/>
          <w:sz w:val="24"/>
          <w:szCs w:val="24"/>
          <w:highlight w:val="none"/>
        </w:rPr>
      </w:pPr>
      <w:r>
        <w:rPr>
          <w:rFonts w:hint="eastAsia" w:ascii="Times New Roman" w:hAnsi="Times New Roman"/>
          <w:color w:val="auto"/>
          <w:spacing w:val="4"/>
          <w:sz w:val="24"/>
          <w:szCs w:val="24"/>
          <w:highlight w:val="none"/>
        </w:rPr>
        <w:t>住所：广州大学城内环东星运路</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号     住所：</w:t>
      </w:r>
    </w:p>
    <w:p w14:paraId="14225507">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邮编：</w:t>
      </w:r>
      <w:r>
        <w:rPr>
          <w:rFonts w:ascii="Times New Roman" w:hAnsi="Times New Roman"/>
          <w:color w:val="auto"/>
          <w:spacing w:val="4"/>
          <w:sz w:val="24"/>
          <w:szCs w:val="24"/>
          <w:highlight w:val="none"/>
        </w:rPr>
        <w:t>510006</w:t>
      </w:r>
      <w:r>
        <w:rPr>
          <w:rFonts w:hint="eastAsia" w:ascii="Times New Roman" w:hAnsi="Times New Roman"/>
          <w:color w:val="auto"/>
          <w:spacing w:val="4"/>
          <w:sz w:val="24"/>
          <w:szCs w:val="24"/>
          <w:highlight w:val="none"/>
        </w:rPr>
        <w:t xml:space="preserve">                        邮编：</w:t>
      </w:r>
    </w:p>
    <w:p w14:paraId="7A8B04EE">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电话：                              电话：</w:t>
      </w:r>
    </w:p>
    <w:p w14:paraId="04149F50">
      <w:pPr>
        <w:topLinePunct/>
        <w:adjustRightInd w:val="0"/>
        <w:snapToGrid w:val="0"/>
        <w:spacing w:line="360" w:lineRule="auto"/>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传真：                              传真：</w:t>
      </w:r>
    </w:p>
    <w:p w14:paraId="69843730">
      <w:pPr>
        <w:topLinePunct/>
        <w:adjustRightInd w:val="0"/>
        <w:snapToGrid w:val="0"/>
        <w:spacing w:line="360" w:lineRule="auto"/>
        <w:ind w:left="6324" w:hanging="6324" w:hangingChars="2550"/>
        <w:rPr>
          <w:rFonts w:ascii="Times New Roman" w:hAnsi="Times New Roman"/>
          <w:color w:val="auto"/>
          <w:kern w:val="0"/>
          <w:sz w:val="24"/>
          <w:szCs w:val="24"/>
          <w:highlight w:val="none"/>
        </w:rPr>
      </w:pPr>
      <w:r>
        <w:rPr>
          <w:rFonts w:hint="eastAsia" w:ascii="Times New Roman" w:hAnsi="Times New Roman"/>
          <w:color w:val="auto"/>
          <w:spacing w:val="4"/>
          <w:kern w:val="0"/>
          <w:sz w:val="24"/>
          <w:szCs w:val="24"/>
          <w:highlight w:val="none"/>
        </w:rPr>
        <w:t xml:space="preserve">签约日期：    年   月 日            </w:t>
      </w:r>
      <w:r>
        <w:rPr>
          <w:rFonts w:hint="eastAsia" w:ascii="Times New Roman" w:hAnsi="Times New Roman"/>
          <w:color w:val="auto"/>
          <w:sz w:val="24"/>
          <w:szCs w:val="24"/>
          <w:highlight w:val="none"/>
        </w:rPr>
        <w:t>开户银行：</w:t>
      </w:r>
    </w:p>
    <w:p w14:paraId="18970AC1">
      <w:pPr>
        <w:topLinePunct/>
        <w:adjustRightInd w:val="0"/>
        <w:snapToGrid w:val="0"/>
        <w:spacing w:line="360" w:lineRule="auto"/>
        <w:ind w:firstLine="4535" w:firstLineChars="1829"/>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账号</w:t>
      </w:r>
      <w:r>
        <w:rPr>
          <w:rFonts w:hint="eastAsia" w:ascii="Times New Roman" w:hAnsi="Times New Roman"/>
          <w:color w:val="auto"/>
          <w:spacing w:val="4"/>
          <w:sz w:val="24"/>
          <w:szCs w:val="24"/>
          <w:highlight w:val="none"/>
        </w:rPr>
        <w:t>：</w:t>
      </w:r>
    </w:p>
    <w:p w14:paraId="021227DC">
      <w:pPr>
        <w:topLinePunct/>
        <w:adjustRightInd w:val="0"/>
        <w:snapToGrid w:val="0"/>
        <w:spacing w:line="360" w:lineRule="auto"/>
        <w:ind w:left="6076" w:hanging="6076" w:hangingChars="245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 xml:space="preserve">                                    签约日期：    年  月   日</w:t>
      </w:r>
    </w:p>
    <w:p w14:paraId="49AB2CC8">
      <w:pPr>
        <w:topLinePunct/>
        <w:adjustRightInd w:val="0"/>
        <w:snapToGrid w:val="0"/>
        <w:spacing w:line="360" w:lineRule="auto"/>
        <w:jc w:val="center"/>
        <w:rPr>
          <w:rFonts w:ascii="Times New Roman" w:hAnsi="Times New Roman"/>
          <w:color w:val="auto"/>
          <w:spacing w:val="4"/>
          <w:kern w:val="0"/>
          <w:sz w:val="24"/>
          <w:szCs w:val="24"/>
          <w:highlight w:val="none"/>
        </w:rPr>
      </w:pPr>
    </w:p>
    <w:p w14:paraId="613EB8FF">
      <w:pPr>
        <w:topLinePunct/>
        <w:adjustRightInd w:val="0"/>
        <w:snapToGrid w:val="0"/>
        <w:spacing w:line="360" w:lineRule="auto"/>
        <w:jc w:val="center"/>
        <w:rPr>
          <w:rFonts w:ascii="Times New Roman" w:hAnsi="Times New Roman"/>
          <w:b/>
          <w:snapToGrid w:val="0"/>
          <w:color w:val="auto"/>
          <w:spacing w:val="4"/>
          <w:sz w:val="24"/>
          <w:highlight w:val="none"/>
        </w:rPr>
      </w:pPr>
      <w:r>
        <w:rPr>
          <w:rFonts w:hint="eastAsia" w:ascii="Times New Roman" w:hAnsi="Times New Roman"/>
          <w:color w:val="auto"/>
          <w:spacing w:val="4"/>
          <w:sz w:val="24"/>
          <w:szCs w:val="24"/>
          <w:highlight w:val="none"/>
        </w:rPr>
        <w:t>签订地点：广东省广州市番禺区。</w:t>
      </w:r>
    </w:p>
    <w:p w14:paraId="00769FAF">
      <w:pPr>
        <w:topLinePunct/>
        <w:adjustRightInd w:val="0"/>
        <w:snapToGrid w:val="0"/>
        <w:spacing w:line="360" w:lineRule="auto"/>
        <w:rPr>
          <w:rFonts w:ascii="Times New Roman" w:hAnsi="Times New Roman"/>
          <w:b/>
          <w:snapToGrid w:val="0"/>
          <w:color w:val="auto"/>
          <w:spacing w:val="4"/>
          <w:sz w:val="24"/>
          <w:highlight w:val="none"/>
        </w:rPr>
      </w:pPr>
      <w:r>
        <w:rPr>
          <w:rFonts w:ascii="Times New Roman" w:hAnsi="Times New Roman"/>
          <w:b/>
          <w:snapToGrid w:val="0"/>
          <w:color w:val="auto"/>
          <w:spacing w:val="4"/>
          <w:sz w:val="24"/>
          <w:highlight w:val="none"/>
        </w:rPr>
        <w:br w:type="page"/>
      </w:r>
      <w:r>
        <w:rPr>
          <w:rFonts w:hint="eastAsia" w:ascii="Times New Roman" w:hAnsi="Times New Roman"/>
          <w:b/>
          <w:snapToGrid w:val="0"/>
          <w:color w:val="auto"/>
          <w:spacing w:val="4"/>
          <w:sz w:val="24"/>
          <w:highlight w:val="none"/>
        </w:rPr>
        <w:t>协议书附1：中标通知书</w:t>
      </w:r>
    </w:p>
    <w:p w14:paraId="3AC0C2FE">
      <w:pPr>
        <w:topLinePunct/>
        <w:adjustRightInd w:val="0"/>
        <w:snapToGrid w:val="0"/>
        <w:spacing w:line="360" w:lineRule="auto"/>
        <w:rPr>
          <w:rFonts w:ascii="Times New Roman" w:hAnsi="Times New Roman"/>
          <w:b/>
          <w:snapToGrid w:val="0"/>
          <w:color w:val="auto"/>
          <w:spacing w:val="4"/>
          <w:sz w:val="24"/>
          <w:highlight w:val="none"/>
        </w:rPr>
      </w:pPr>
      <w:r>
        <w:rPr>
          <w:rFonts w:ascii="Times New Roman" w:hAnsi="Times New Roman"/>
          <w:color w:val="auto"/>
          <w:highlight w:val="none"/>
        </w:rPr>
        <w:br w:type="page"/>
      </w:r>
      <w:r>
        <w:rPr>
          <w:rFonts w:hint="eastAsia" w:ascii="Times New Roman" w:hAnsi="Times New Roman"/>
          <w:b/>
          <w:snapToGrid w:val="0"/>
          <w:color w:val="auto"/>
          <w:spacing w:val="4"/>
          <w:sz w:val="24"/>
          <w:highlight w:val="none"/>
        </w:rPr>
        <w:t>协议书附2：招标澄清、答疑文件</w:t>
      </w:r>
    </w:p>
    <w:p w14:paraId="24B6E65F">
      <w:pPr>
        <w:pStyle w:val="18"/>
        <w:spacing w:beforeLines="0" w:afterLines="0"/>
        <w:outlineLvl w:val="1"/>
        <w:rPr>
          <w:rFonts w:ascii="Times New Roman" w:hAnsi="Times New Roman" w:eastAsia="宋体"/>
          <w:color w:val="auto"/>
          <w:highlight w:val="none"/>
        </w:rPr>
      </w:pPr>
    </w:p>
    <w:p w14:paraId="1EF9A67D">
      <w:pPr>
        <w:topLinePunct/>
        <w:adjustRightInd w:val="0"/>
        <w:snapToGrid w:val="0"/>
        <w:spacing w:line="360" w:lineRule="auto"/>
        <w:rPr>
          <w:rFonts w:ascii="Times New Roman" w:hAnsi="Times New Roman"/>
          <w:b/>
          <w:color w:val="auto"/>
          <w:spacing w:val="4"/>
          <w:kern w:val="0"/>
          <w:sz w:val="24"/>
          <w:szCs w:val="24"/>
          <w:highlight w:val="none"/>
        </w:rPr>
      </w:pPr>
    </w:p>
    <w:p w14:paraId="21356799">
      <w:pPr>
        <w:topLinePunct/>
        <w:adjustRightInd w:val="0"/>
        <w:snapToGrid w:val="0"/>
        <w:spacing w:line="360" w:lineRule="auto"/>
        <w:rPr>
          <w:rFonts w:ascii="Times New Roman" w:hAnsi="Times New Roman"/>
          <w:color w:val="auto"/>
          <w:spacing w:val="4"/>
          <w:kern w:val="0"/>
          <w:sz w:val="24"/>
          <w:szCs w:val="24"/>
          <w:highlight w:val="none"/>
        </w:rPr>
      </w:pPr>
      <w:r>
        <w:rPr>
          <w:rFonts w:ascii="Times New Roman" w:hAnsi="Times New Roman"/>
          <w:color w:val="auto"/>
          <w:spacing w:val="4"/>
          <w:kern w:val="0"/>
          <w:sz w:val="24"/>
          <w:szCs w:val="24"/>
          <w:highlight w:val="none"/>
        </w:rPr>
        <w:br w:type="page"/>
      </w:r>
    </w:p>
    <w:p w14:paraId="5B2FB01C">
      <w:pPr>
        <w:pStyle w:val="15"/>
        <w:spacing w:beforeLines="0" w:afterLines="0" w:line="480" w:lineRule="exact"/>
        <w:outlineLvl w:val="0"/>
        <w:rPr>
          <w:rFonts w:eastAsia="宋体"/>
          <w:color w:val="auto"/>
          <w:highlight w:val="none"/>
        </w:rPr>
      </w:pPr>
      <w:r>
        <w:rPr>
          <w:rFonts w:hint="eastAsia" w:eastAsia="宋体"/>
          <w:color w:val="auto"/>
          <w:highlight w:val="none"/>
        </w:rPr>
        <w:t>第二篇  专用条件</w:t>
      </w:r>
    </w:p>
    <w:p w14:paraId="35CFB0A4">
      <w:pPr>
        <w:topLinePunct/>
        <w:adjustRightInd w:val="0"/>
        <w:snapToGrid w:val="0"/>
        <w:spacing w:line="480" w:lineRule="exact"/>
        <w:ind w:firstLine="198" w:firstLineChars="8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0316F37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p>
    <w:p w14:paraId="661B2429">
      <w:pPr>
        <w:topLinePunct/>
        <w:adjustRightInd w:val="0"/>
        <w:snapToGrid w:val="0"/>
        <w:spacing w:line="480" w:lineRule="exact"/>
        <w:ind w:firstLine="498" w:firstLineChars="200"/>
        <w:outlineLvl w:val="1"/>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总则</w:t>
      </w:r>
    </w:p>
    <w:p w14:paraId="12924DF0">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1．</w:t>
      </w:r>
      <w:r>
        <w:rPr>
          <w:rFonts w:hint="eastAsia" w:ascii="Times New Roman" w:hAnsi="Times New Roman"/>
          <w:bCs/>
          <w:color w:val="auto"/>
          <w:spacing w:val="4"/>
          <w:sz w:val="24"/>
          <w:szCs w:val="24"/>
          <w:highlight w:val="none"/>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64B7BCF1">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委托人通过监理人下达指令，监督承包人履约行为，承包人所有请求事项由监理人协调并在</w:t>
      </w:r>
      <w:r>
        <w:rPr>
          <w:rFonts w:hint="eastAsia" w:ascii="Times New Roman" w:hAnsi="Times New Roman"/>
          <w:color w:val="auto"/>
          <w:spacing w:val="4"/>
          <w:sz w:val="24"/>
          <w:szCs w:val="24"/>
          <w:highlight w:val="none"/>
        </w:rPr>
        <w:t>一般情况下均通过监理人接受或提出处理意见</w:t>
      </w:r>
      <w:r>
        <w:rPr>
          <w:rFonts w:hint="eastAsia" w:ascii="Times New Roman" w:hAnsi="Times New Roman"/>
          <w:bCs/>
          <w:color w:val="auto"/>
          <w:spacing w:val="4"/>
          <w:sz w:val="24"/>
          <w:szCs w:val="24"/>
          <w:highlight w:val="none"/>
        </w:rPr>
        <w:t>（委托人有特别要求和规定的除外）。</w:t>
      </w:r>
    </w:p>
    <w:p w14:paraId="72FEED91">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3．</w:t>
      </w:r>
      <w:r>
        <w:rPr>
          <w:rFonts w:hint="eastAsia" w:ascii="Times New Roman" w:hAnsi="Times New Roman"/>
          <w:bCs/>
          <w:color w:val="auto"/>
          <w:spacing w:val="4"/>
          <w:sz w:val="24"/>
          <w:szCs w:val="24"/>
          <w:highlight w:val="none"/>
        </w:rPr>
        <w:t>考虑到本项目时间相对紧张，委托人将采取较为严密的组织管理形式，监理人需投入有别于其他项目的人力、物力进行集中现场管理服务。</w:t>
      </w:r>
    </w:p>
    <w:p w14:paraId="16906D96">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4．</w:t>
      </w:r>
      <w:r>
        <w:rPr>
          <w:rFonts w:hint="eastAsia" w:ascii="Times New Roman" w:hAnsi="Times New Roman"/>
          <w:bCs/>
          <w:color w:val="auto"/>
          <w:spacing w:val="4"/>
          <w:sz w:val="24"/>
          <w:szCs w:val="24"/>
          <w:highlight w:val="none"/>
        </w:rPr>
        <w:t>全员培训是工程管理的重要组成部分，监理人承诺按照工程推进的情况，不间断地对监理人员进行培训。</w:t>
      </w:r>
    </w:p>
    <w:p w14:paraId="1E21A6AC">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5．</w:t>
      </w:r>
      <w:r>
        <w:rPr>
          <w:rFonts w:hint="eastAsia" w:ascii="Times New Roman" w:hAnsi="Times New Roman"/>
          <w:bCs/>
          <w:color w:val="auto"/>
          <w:spacing w:val="4"/>
          <w:sz w:val="24"/>
          <w:szCs w:val="24"/>
          <w:highlight w:val="none"/>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4D352364">
      <w:pPr>
        <w:topLinePunct/>
        <w:adjustRightInd w:val="0"/>
        <w:snapToGrid w:val="0"/>
        <w:spacing w:line="480" w:lineRule="exact"/>
        <w:ind w:firstLine="498" w:firstLineChars="20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6．</w:t>
      </w:r>
      <w:r>
        <w:rPr>
          <w:rFonts w:hint="eastAsia" w:ascii="Times New Roman" w:hAnsi="Times New Roman"/>
          <w:bCs/>
          <w:color w:val="auto"/>
          <w:spacing w:val="4"/>
          <w:sz w:val="24"/>
          <w:szCs w:val="24"/>
          <w:highlight w:val="none"/>
        </w:rPr>
        <w:t>监理人承诺遵守委托人所制订的针对本合同工程建设管理的各项制度、规定，这些管理制度、规定必须符合下列原则：</w:t>
      </w:r>
    </w:p>
    <w:p w14:paraId="4743E98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符合国家、广东省、广州市的有关法律、法规、政策和标准；</w:t>
      </w:r>
    </w:p>
    <w:p w14:paraId="5AB7257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符合对本合同工程进行有效管理的基本精神和要求；</w:t>
      </w:r>
    </w:p>
    <w:p w14:paraId="3B48372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为确保工程质量、进度、安全文明及职业健康管理所必须；</w:t>
      </w:r>
    </w:p>
    <w:p w14:paraId="54C8A24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不是针对某一特定的监理人或承包人。</w:t>
      </w:r>
    </w:p>
    <w:p w14:paraId="07C924DC">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p>
    <w:p w14:paraId="4FC7FA4F">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第一条</w:t>
      </w:r>
      <w:r>
        <w:rPr>
          <w:rFonts w:hint="eastAsia" w:ascii="Times New Roman" w:hAnsi="Times New Roman"/>
          <w:color w:val="auto"/>
          <w:spacing w:val="4"/>
          <w:sz w:val="24"/>
          <w:szCs w:val="24"/>
          <w:highlight w:val="none"/>
        </w:rPr>
        <w:t>　</w:t>
      </w:r>
      <w:r>
        <w:rPr>
          <w:rFonts w:hint="eastAsia" w:ascii="Times New Roman" w:hAnsi="Times New Roman"/>
          <w:b/>
          <w:bCs/>
          <w:color w:val="auto"/>
          <w:spacing w:val="4"/>
          <w:sz w:val="24"/>
          <w:szCs w:val="24"/>
          <w:highlight w:val="none"/>
        </w:rPr>
        <w:t>词语定义</w:t>
      </w:r>
    </w:p>
    <w:p w14:paraId="6D7A16A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“本合同工程”指委托人委托监理人监理的工程。</w:t>
      </w:r>
    </w:p>
    <w:p w14:paraId="3A1513B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“委托人”</w:t>
      </w:r>
    </w:p>
    <w:p w14:paraId="7CD20184">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color w:val="auto"/>
          <w:spacing w:val="4"/>
          <w:sz w:val="24"/>
          <w:szCs w:val="24"/>
          <w:highlight w:val="none"/>
        </w:rPr>
        <w:t>“委托人”在本合同中特指广州市重点公共建设项目管理中心。</w:t>
      </w:r>
    </w:p>
    <w:p w14:paraId="393867C8">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合法继承人”指工程竣工验收合格后，委托人依据广州市政府的规定，将工程移交给其承接使用的产权管理单位。在继承生效后，合法继承人享有委托人在本合同中的一切权利及承担相应的义务。</w:t>
      </w:r>
    </w:p>
    <w:p w14:paraId="6C087C44">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s="宋体"/>
          <w:color w:val="auto"/>
          <w:spacing w:val="4"/>
          <w:sz w:val="24"/>
          <w:szCs w:val="24"/>
          <w:highlight w:val="none"/>
        </w:rPr>
        <w:t>“总监理工程师代表”指经监理人法定代表人同意，由总监理工程师书面授权，代表总监理工程师行使其部分职责和权力的项目监理机构中的监理工程师。</w:t>
      </w:r>
    </w:p>
    <w:p w14:paraId="31C6C69B">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s="宋体"/>
          <w:color w:val="auto"/>
          <w:spacing w:val="4"/>
          <w:sz w:val="24"/>
          <w:szCs w:val="24"/>
          <w:highlight w:val="none"/>
        </w:rPr>
        <w:t>“承包人”指除委托管理单位以外，与委托人就本合同工程建设有关事宜签订合同的当事人。</w:t>
      </w:r>
    </w:p>
    <w:p w14:paraId="05E41E7D">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（12）</w:t>
      </w:r>
      <w:r>
        <w:rPr>
          <w:rFonts w:hint="eastAsia" w:ascii="Times New Roman" w:hAnsi="Times New Roman" w:cs="宋体"/>
          <w:color w:val="auto"/>
          <w:spacing w:val="4"/>
          <w:sz w:val="24"/>
          <w:szCs w:val="24"/>
          <w:highlight w:val="none"/>
        </w:rPr>
        <w:t>“监理工程师”指取得国家监理工程师执业资格证书并经注册的监理人员。</w:t>
      </w:r>
    </w:p>
    <w:p w14:paraId="799F1CA4">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（13）</w:t>
      </w:r>
      <w:r>
        <w:rPr>
          <w:rFonts w:hint="eastAsia" w:ascii="Times New Roman" w:hAnsi="Times New Roman" w:cs="宋体"/>
          <w:color w:val="auto"/>
          <w:spacing w:val="4"/>
          <w:sz w:val="24"/>
          <w:szCs w:val="24"/>
          <w:highlight w:val="none"/>
        </w:rPr>
        <w:t>“专业监理工程师”指取得国家各专业监理工程师执业资格证书并经注册</w:t>
      </w:r>
      <w:r>
        <w:rPr>
          <w:rFonts w:hint="eastAsia" w:ascii="Times New Roman" w:hAnsi="Times New Roman" w:cs="宋体"/>
          <w:color w:val="auto"/>
          <w:spacing w:val="4"/>
          <w:sz w:val="24"/>
          <w:szCs w:val="24"/>
          <w:highlight w:val="none"/>
          <w:u w:val="single"/>
        </w:rPr>
        <w:t>或具备中级（或以上）技术职称</w:t>
      </w:r>
      <w:r>
        <w:rPr>
          <w:rFonts w:hint="eastAsia" w:ascii="Times New Roman" w:hAnsi="Times New Roman" w:cs="宋体"/>
          <w:color w:val="auto"/>
          <w:spacing w:val="4"/>
          <w:sz w:val="24"/>
          <w:szCs w:val="24"/>
          <w:highlight w:val="none"/>
        </w:rPr>
        <w:t>的监理人员，如：土建专业监理工程师、机电专业监理工程师、道路专业监理工程师、桥梁专业监理工程师等，负责实施某一专业监理工作，具有相应监理文件签发权的专业监理工程师。</w:t>
      </w:r>
    </w:p>
    <w:p w14:paraId="597AEFDB">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（14）</w:t>
      </w:r>
      <w:r>
        <w:rPr>
          <w:rFonts w:hint="eastAsia" w:ascii="Times New Roman" w:hAnsi="Times New Roman" w:cs="宋体"/>
          <w:color w:val="auto"/>
          <w:spacing w:val="4"/>
          <w:sz w:val="24"/>
          <w:szCs w:val="24"/>
          <w:highlight w:val="none"/>
        </w:rPr>
        <w:t>“监理员”指经过监理业务培训，具有同类工程相关专业知识，从事具体监理工作的监理人员。</w:t>
      </w:r>
    </w:p>
    <w:p w14:paraId="7D353B8E">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（15）</w:t>
      </w:r>
      <w:r>
        <w:rPr>
          <w:rFonts w:hint="eastAsia" w:ascii="Times New Roman" w:hAnsi="Times New Roman" w:cs="宋体"/>
          <w:color w:val="auto"/>
          <w:spacing w:val="4"/>
          <w:sz w:val="24"/>
          <w:szCs w:val="24"/>
          <w:highlight w:val="none"/>
        </w:rPr>
        <w:t>“监理规划”指在总监理工程师的主持下编制、经监理人技术负责人批准，用来指导项目监理机构全面开展监理工作的指导性文件。</w:t>
      </w:r>
    </w:p>
    <w:p w14:paraId="3809AE18">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（16）</w:t>
      </w:r>
      <w:r>
        <w:rPr>
          <w:rFonts w:hint="eastAsia" w:ascii="Times New Roman" w:hAnsi="Times New Roman" w:cs="宋体"/>
          <w:color w:val="auto"/>
          <w:spacing w:val="4"/>
          <w:sz w:val="24"/>
          <w:szCs w:val="24"/>
          <w:highlight w:val="none"/>
        </w:rPr>
        <w:t>“监理实施细则”指根据监理规划，由专业监理工程师编写，并经总监理工程师批准，针对工程项目中某一专业或某一方面监理工作的操作性文件。</w:t>
      </w:r>
    </w:p>
    <w:p w14:paraId="08DC1FD9">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（17）</w:t>
      </w:r>
      <w:r>
        <w:rPr>
          <w:rFonts w:hint="eastAsia" w:ascii="Times New Roman" w:hAnsi="Times New Roman" w:cs="宋体"/>
          <w:color w:val="auto"/>
          <w:spacing w:val="4"/>
          <w:sz w:val="24"/>
          <w:szCs w:val="24"/>
          <w:highlight w:val="none"/>
        </w:rPr>
        <w:t>“工地例会”指由项目监理机构主持的，在工程实施过程中针对工程质量、造价、进度、合同管理等事宜定期召开的，由有关单位参加的会议。</w:t>
      </w:r>
    </w:p>
    <w:p w14:paraId="5B73DFE3">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（18）</w:t>
      </w:r>
      <w:r>
        <w:rPr>
          <w:rFonts w:hint="eastAsia" w:ascii="Times New Roman" w:hAnsi="Times New Roman" w:cs="宋体"/>
          <w:color w:val="auto"/>
          <w:spacing w:val="4"/>
          <w:sz w:val="24"/>
          <w:szCs w:val="24"/>
          <w:highlight w:val="none"/>
        </w:rPr>
        <w:t>“工程变更”指在工程项目实施过程中，按照合同约定的程序对部分或全部工程在材料、工艺、功能、构造、尺寸、技术指标、工程数量及施工方法等方面做出的改变。</w:t>
      </w:r>
    </w:p>
    <w:p w14:paraId="41CBDCB6">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（19）</w:t>
      </w:r>
      <w:r>
        <w:rPr>
          <w:rFonts w:hint="eastAsia" w:ascii="Times New Roman" w:hAnsi="Times New Roman" w:cs="宋体"/>
          <w:color w:val="auto"/>
          <w:spacing w:val="4"/>
          <w:sz w:val="24"/>
          <w:szCs w:val="24"/>
          <w:highlight w:val="none"/>
        </w:rPr>
        <w:t>“工程计量”指根据设计文件及承包合同中关于工程量计算的规定，项目监理机构对承包人申报的已完成工程的工程量进行的核验。</w:t>
      </w:r>
    </w:p>
    <w:p w14:paraId="77159E0F">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（20）</w:t>
      </w:r>
      <w:r>
        <w:rPr>
          <w:rFonts w:hint="eastAsia" w:ascii="Times New Roman" w:hAnsi="Times New Roman" w:cs="宋体"/>
          <w:color w:val="auto"/>
          <w:spacing w:val="4"/>
          <w:sz w:val="24"/>
          <w:szCs w:val="24"/>
          <w:highlight w:val="none"/>
        </w:rPr>
        <w:t>“见证”指由监理人员现场监督某工序全过程完成情况的活动。</w:t>
      </w:r>
    </w:p>
    <w:p w14:paraId="1E4F18DF">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（21）</w:t>
      </w:r>
      <w:r>
        <w:rPr>
          <w:rFonts w:hint="eastAsia" w:ascii="Times New Roman" w:hAnsi="Times New Roman" w:cs="宋体"/>
          <w:color w:val="auto"/>
          <w:spacing w:val="4"/>
          <w:sz w:val="24"/>
          <w:szCs w:val="24"/>
          <w:highlight w:val="none"/>
        </w:rPr>
        <w:t>“旁站”指在关键部位或关键工序施工过程中，由监理人员在现场进行的监督活动。</w:t>
      </w:r>
    </w:p>
    <w:p w14:paraId="41E196A0">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（22）</w:t>
      </w:r>
      <w:r>
        <w:rPr>
          <w:rFonts w:hint="eastAsia" w:ascii="Times New Roman" w:hAnsi="Times New Roman" w:cs="宋体"/>
          <w:color w:val="auto"/>
          <w:spacing w:val="4"/>
          <w:sz w:val="24"/>
          <w:szCs w:val="24"/>
          <w:highlight w:val="none"/>
        </w:rPr>
        <w:t>“巡视”指对正在施工的部位或工序在现场进行的定期或不定期的监督活动。</w:t>
      </w:r>
    </w:p>
    <w:p w14:paraId="02D9D0F3">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（23）</w:t>
      </w:r>
      <w:r>
        <w:rPr>
          <w:rFonts w:hint="eastAsia" w:ascii="Times New Roman" w:hAnsi="Times New Roman" w:cs="宋体"/>
          <w:color w:val="auto"/>
          <w:spacing w:val="4"/>
          <w:sz w:val="24"/>
          <w:szCs w:val="24"/>
          <w:highlight w:val="none"/>
        </w:rPr>
        <w:t>“平行检验”指项目监理机构利用一定的检查或检测手段，在承包人自检的基础上，按照一定的比例独立进行检查或检测的活动。</w:t>
      </w:r>
    </w:p>
    <w:p w14:paraId="68E402B3">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（24）</w:t>
      </w:r>
      <w:r>
        <w:rPr>
          <w:rFonts w:hint="eastAsia" w:ascii="Times New Roman" w:hAnsi="Times New Roman" w:cs="宋体"/>
          <w:color w:val="auto"/>
          <w:spacing w:val="4"/>
          <w:sz w:val="24"/>
          <w:szCs w:val="24"/>
          <w:highlight w:val="none"/>
        </w:rPr>
        <w:t>“设备监造”指监理人依据监理合同和设备订货合同对设备制造过程进行的监督活动。</w:t>
      </w:r>
    </w:p>
    <w:p w14:paraId="5E9BCEEA">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（25）</w:t>
      </w:r>
      <w:r>
        <w:rPr>
          <w:rFonts w:hint="eastAsia" w:ascii="Times New Roman" w:hAnsi="Times New Roman" w:cs="宋体"/>
          <w:color w:val="auto"/>
          <w:spacing w:val="4"/>
          <w:sz w:val="24"/>
          <w:szCs w:val="24"/>
          <w:highlight w:val="none"/>
        </w:rPr>
        <w:t>“费用索赔”指根据承包合同的约定，合同一方因另一方原因造成本方经济损失，通过监理工程师向对方索取费用的活动。</w:t>
      </w:r>
    </w:p>
    <w:p w14:paraId="64759331">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（26）</w:t>
      </w:r>
      <w:r>
        <w:rPr>
          <w:rFonts w:hint="eastAsia" w:ascii="Times New Roman" w:hAnsi="Times New Roman" w:cs="宋体"/>
          <w:color w:val="auto"/>
          <w:spacing w:val="4"/>
          <w:sz w:val="24"/>
          <w:szCs w:val="24"/>
          <w:highlight w:val="none"/>
        </w:rPr>
        <w:t>“临时延期批准”是指当发生非承包人原因造成的持续性影响工期的事件，总监理工程师所作出暂时延长合同工期的批准。</w:t>
      </w:r>
    </w:p>
    <w:p w14:paraId="526685D5">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（27）</w:t>
      </w:r>
      <w:r>
        <w:rPr>
          <w:rFonts w:hint="eastAsia" w:ascii="Times New Roman" w:hAnsi="Times New Roman" w:cs="宋体"/>
          <w:color w:val="auto"/>
          <w:spacing w:val="4"/>
          <w:sz w:val="24"/>
          <w:szCs w:val="24"/>
          <w:highlight w:val="none"/>
        </w:rPr>
        <w:t>“延期批准”指当发生非承包人原因造成的持续性影响工期事件，总监理工程师所作出的最终延长合同工期的批准。</w:t>
      </w:r>
    </w:p>
    <w:p w14:paraId="1F4F610D">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（28）</w:t>
      </w:r>
      <w:r>
        <w:rPr>
          <w:rFonts w:hint="eastAsia" w:ascii="Times New Roman" w:hAnsi="Times New Roman" w:cs="宋体"/>
          <w:color w:val="auto"/>
          <w:spacing w:val="4"/>
          <w:sz w:val="24"/>
          <w:szCs w:val="24"/>
          <w:highlight w:val="none"/>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5E071032">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（29）</w:t>
      </w:r>
      <w:r>
        <w:rPr>
          <w:rFonts w:hint="eastAsia" w:ascii="Times New Roman" w:hAnsi="Times New Roman" w:cs="宋体"/>
          <w:color w:val="auto"/>
          <w:spacing w:val="4"/>
          <w:sz w:val="24"/>
          <w:szCs w:val="24"/>
          <w:highlight w:val="none"/>
        </w:rPr>
        <w:t>“通知”指合同中所提及的各方之间传达意思表示的方式，包括但不限于申请、报告、同意、答复、批准、指令、证书、决定，等等。除本合同专用条件有特别约定外，只有采用书面形式的通知才有效。</w:t>
      </w:r>
    </w:p>
    <w:p w14:paraId="21BD111A">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ascii="Times New Roman" w:hAnsi="Times New Roman"/>
          <w:color w:val="auto"/>
          <w:spacing w:val="4"/>
          <w:sz w:val="24"/>
          <w:szCs w:val="24"/>
          <w:highlight w:val="none"/>
        </w:rPr>
        <w:t>（30）</w:t>
      </w:r>
      <w:r>
        <w:rPr>
          <w:rFonts w:hint="eastAsia" w:ascii="Times New Roman" w:hAnsi="Times New Roman" w:cs="宋体"/>
          <w:color w:val="auto"/>
          <w:spacing w:val="4"/>
          <w:sz w:val="24"/>
          <w:szCs w:val="24"/>
          <w:highlight w:val="none"/>
        </w:rPr>
        <w:t>“</w:t>
      </w:r>
      <w:r>
        <w:rPr>
          <w:rFonts w:hint="eastAsia" w:ascii="Times New Roman" w:hAnsi="Times New Roman"/>
          <w:color w:val="auto"/>
          <w:spacing w:val="4"/>
          <w:sz w:val="24"/>
          <w:szCs w:val="24"/>
          <w:highlight w:val="none"/>
        </w:rPr>
        <w:t>生产安全事故</w:t>
      </w:r>
      <w:r>
        <w:rPr>
          <w:rFonts w:hint="eastAsia" w:ascii="Times New Roman" w:hAnsi="Times New Roman" w:cs="宋体"/>
          <w:color w:val="auto"/>
          <w:spacing w:val="4"/>
          <w:sz w:val="24"/>
          <w:szCs w:val="24"/>
          <w:highlight w:val="none"/>
        </w:rPr>
        <w:t>”指在工程建设过程中由于责任过失造成工程倒塌或报废、机械设备毁坏和安全设施失当等原因造成人身伤亡或者重大经济损失的事故。分为：</w:t>
      </w:r>
    </w:p>
    <w:p w14:paraId="56787457">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）特别重大事故，是指造成</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人以上死亡，或者</w:t>
      </w:r>
      <w:r>
        <w:rPr>
          <w:rFonts w:ascii="Times New Roman" w:hAnsi="Times New Roman"/>
          <w:color w:val="auto"/>
          <w:spacing w:val="4"/>
          <w:sz w:val="24"/>
          <w:szCs w:val="24"/>
          <w:highlight w:val="none"/>
        </w:rPr>
        <w:t>100</w:t>
      </w:r>
      <w:r>
        <w:rPr>
          <w:rFonts w:hint="eastAsia" w:ascii="Times New Roman" w:hAnsi="Times New Roman"/>
          <w:color w:val="auto"/>
          <w:spacing w:val="4"/>
          <w:sz w:val="24"/>
          <w:szCs w:val="24"/>
          <w:highlight w:val="none"/>
        </w:rPr>
        <w:t>人以上重伤（包括急性工业中毒，下同），或者</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亿元以上直接经济损失的事故；</w:t>
      </w:r>
    </w:p>
    <w:p w14:paraId="41851BD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）重大事故，是指造成</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50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100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5000</w:t>
      </w:r>
      <w:r>
        <w:rPr>
          <w:rFonts w:hint="eastAsia" w:ascii="Times New Roman" w:hAnsi="Times New Roman"/>
          <w:color w:val="auto"/>
          <w:spacing w:val="4"/>
          <w:sz w:val="24"/>
          <w:szCs w:val="24"/>
          <w:highlight w:val="none"/>
        </w:rPr>
        <w:t>万元以上</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亿元以下直接经济损失的事故；</w:t>
      </w:r>
    </w:p>
    <w:p w14:paraId="62DEFBFF">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）较大事故，是指造成</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人以上</w:t>
      </w:r>
      <w:r>
        <w:rPr>
          <w:rFonts w:ascii="Times New Roman" w:hAnsi="Times New Roman"/>
          <w:color w:val="auto"/>
          <w:spacing w:val="4"/>
          <w:sz w:val="24"/>
          <w:szCs w:val="24"/>
          <w:highlight w:val="none"/>
        </w:rPr>
        <w:t>50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1000</w:t>
      </w:r>
      <w:r>
        <w:rPr>
          <w:rFonts w:hint="eastAsia" w:ascii="Times New Roman" w:hAnsi="Times New Roman"/>
          <w:color w:val="auto"/>
          <w:spacing w:val="4"/>
          <w:sz w:val="24"/>
          <w:szCs w:val="24"/>
          <w:highlight w:val="none"/>
        </w:rPr>
        <w:t>万元以上</w:t>
      </w:r>
      <w:r>
        <w:rPr>
          <w:rFonts w:ascii="Times New Roman" w:hAnsi="Times New Roman"/>
          <w:color w:val="auto"/>
          <w:spacing w:val="4"/>
          <w:sz w:val="24"/>
          <w:szCs w:val="24"/>
          <w:highlight w:val="none"/>
        </w:rPr>
        <w:t>5000</w:t>
      </w:r>
      <w:r>
        <w:rPr>
          <w:rFonts w:hint="eastAsia" w:ascii="Times New Roman" w:hAnsi="Times New Roman"/>
          <w:color w:val="auto"/>
          <w:spacing w:val="4"/>
          <w:sz w:val="24"/>
          <w:szCs w:val="24"/>
          <w:highlight w:val="none"/>
        </w:rPr>
        <w:t>万元以下直接经济损失的事故；</w:t>
      </w:r>
    </w:p>
    <w:p w14:paraId="73B0300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）一般事故，是指造成</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人以下死亡，或者</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人以下重伤，或者</w:t>
      </w:r>
      <w:r>
        <w:rPr>
          <w:rFonts w:ascii="Times New Roman" w:hAnsi="Times New Roman"/>
          <w:color w:val="auto"/>
          <w:spacing w:val="4"/>
          <w:sz w:val="24"/>
          <w:szCs w:val="24"/>
          <w:highlight w:val="none"/>
        </w:rPr>
        <w:t>1000</w:t>
      </w:r>
      <w:r>
        <w:rPr>
          <w:rFonts w:hint="eastAsia" w:ascii="Times New Roman" w:hAnsi="Times New Roman"/>
          <w:color w:val="auto"/>
          <w:spacing w:val="4"/>
          <w:sz w:val="24"/>
          <w:szCs w:val="24"/>
          <w:highlight w:val="none"/>
        </w:rPr>
        <w:t>万元以下直接经济损失的事故。</w:t>
      </w:r>
    </w:p>
    <w:p w14:paraId="23EA844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rPr>
        <w:t>本项所称的“以上”包括本数，所称的“以下”不包括本数。</w:t>
      </w:r>
    </w:p>
    <w:p w14:paraId="111F7CE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（31）</w:t>
      </w:r>
      <w:r>
        <w:rPr>
          <w:rFonts w:hint="eastAsia" w:ascii="Times New Roman" w:hAnsi="Times New Roman"/>
          <w:bCs/>
          <w:color w:val="auto"/>
          <w:spacing w:val="4"/>
          <w:sz w:val="24"/>
          <w:szCs w:val="24"/>
          <w:highlight w:val="none"/>
        </w:rPr>
        <w:t>“质量事故”指因质量原因导致损失或造成人身伤亡的事故。</w:t>
      </w:r>
    </w:p>
    <w:p w14:paraId="618AB23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（32）</w:t>
      </w:r>
      <w:r>
        <w:rPr>
          <w:rFonts w:hint="eastAsia" w:ascii="Times New Roman" w:hAnsi="Times New Roman"/>
          <w:bCs/>
          <w:color w:val="auto"/>
          <w:spacing w:val="4"/>
          <w:sz w:val="24"/>
          <w:szCs w:val="24"/>
          <w:highlight w:val="none"/>
        </w:rPr>
        <w:t>“元”指人民币元。</w:t>
      </w:r>
    </w:p>
    <w:p w14:paraId="289647D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（33）</w:t>
      </w:r>
      <w:r>
        <w:rPr>
          <w:rFonts w:hint="eastAsia" w:ascii="Times New Roman" w:hAnsi="Times New Roman"/>
          <w:bCs/>
          <w:color w:val="auto"/>
          <w:spacing w:val="4"/>
          <w:sz w:val="24"/>
          <w:szCs w:val="24"/>
          <w:highlight w:val="none"/>
        </w:rPr>
        <w:t>“委托管理单位”指受委托人委托对本合同工程建设进行管理的单位，包括监理人和技术督导单位、</w:t>
      </w:r>
      <w:r>
        <w:rPr>
          <w:rFonts w:hint="eastAsia" w:ascii="Times New Roman" w:hAnsi="Times New Roman"/>
          <w:color w:val="auto"/>
          <w:spacing w:val="4"/>
          <w:sz w:val="24"/>
          <w:szCs w:val="24"/>
          <w:highlight w:val="none"/>
        </w:rPr>
        <w:t>材料设备管理服务单位</w:t>
      </w:r>
      <w:r>
        <w:rPr>
          <w:rFonts w:hint="eastAsia" w:ascii="Times New Roman" w:hAnsi="Times New Roman"/>
          <w:bCs/>
          <w:color w:val="auto"/>
          <w:spacing w:val="4"/>
          <w:sz w:val="24"/>
          <w:szCs w:val="24"/>
          <w:highlight w:val="none"/>
        </w:rPr>
        <w:t>等。</w:t>
      </w:r>
    </w:p>
    <w:p w14:paraId="637E76A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（34）</w:t>
      </w:r>
      <w:r>
        <w:rPr>
          <w:rFonts w:hint="eastAsia" w:ascii="Times New Roman" w:hAnsi="Times New Roman"/>
          <w:bCs/>
          <w:color w:val="auto"/>
          <w:spacing w:val="4"/>
          <w:sz w:val="24"/>
          <w:szCs w:val="24"/>
          <w:highlight w:val="none"/>
        </w:rPr>
        <w:t>“保证人”指按本合同专用条件第</w:t>
      </w:r>
      <w:r>
        <w:rPr>
          <w:rFonts w:ascii="Times New Roman" w:hAnsi="Times New Roman"/>
          <w:bCs/>
          <w:color w:val="auto"/>
          <w:spacing w:val="4"/>
          <w:sz w:val="24"/>
          <w:szCs w:val="24"/>
          <w:highlight w:val="none"/>
        </w:rPr>
        <w:t>5.11</w:t>
      </w:r>
      <w:r>
        <w:rPr>
          <w:rFonts w:hint="eastAsia" w:ascii="Times New Roman" w:hAnsi="Times New Roman"/>
          <w:bCs/>
          <w:color w:val="auto"/>
          <w:spacing w:val="4"/>
          <w:sz w:val="24"/>
          <w:szCs w:val="24"/>
          <w:highlight w:val="none"/>
        </w:rPr>
        <w:t>款约定向委托人提交监理人履约</w:t>
      </w:r>
      <w:r>
        <w:rPr>
          <w:rFonts w:ascii="Times New Roman" w:hAnsi="Times New Roman"/>
          <w:bCs/>
          <w:color w:val="auto"/>
          <w:spacing w:val="4"/>
          <w:sz w:val="24"/>
          <w:szCs w:val="24"/>
          <w:highlight w:val="none"/>
        </w:rPr>
        <w:t>担保</w:t>
      </w:r>
      <w:r>
        <w:rPr>
          <w:rFonts w:hint="eastAsia" w:ascii="Times New Roman" w:hAnsi="Times New Roman"/>
          <w:bCs/>
          <w:color w:val="auto"/>
          <w:spacing w:val="4"/>
          <w:sz w:val="24"/>
          <w:szCs w:val="24"/>
          <w:highlight w:val="none"/>
        </w:rPr>
        <w:t>的机构。</w:t>
      </w:r>
    </w:p>
    <w:p w14:paraId="0B80E243">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bCs/>
          <w:color w:val="auto"/>
          <w:spacing w:val="4"/>
          <w:sz w:val="24"/>
          <w:szCs w:val="24"/>
          <w:highlight w:val="none"/>
        </w:rPr>
        <w:t>（35）</w:t>
      </w:r>
      <w:r>
        <w:rPr>
          <w:rFonts w:hint="eastAsia" w:ascii="Times New Roman" w:hAnsi="Times New Roman"/>
          <w:bCs/>
          <w:color w:val="auto"/>
          <w:spacing w:val="4"/>
          <w:sz w:val="24"/>
          <w:szCs w:val="24"/>
          <w:highlight w:val="none"/>
        </w:rPr>
        <w:t>“委托人监理代表”指按本合同专用条件第</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3</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5）项的约定，</w:t>
      </w:r>
      <w:r>
        <w:rPr>
          <w:rFonts w:hint="eastAsia" w:ascii="Times New Roman" w:hAnsi="Times New Roman"/>
          <w:color w:val="auto"/>
          <w:spacing w:val="4"/>
          <w:sz w:val="24"/>
          <w:szCs w:val="24"/>
          <w:highlight w:val="none"/>
        </w:rPr>
        <w:t>为加强委托人与监理人的沟通与协调，由委托人另行指定的，常驻项目监理机构、监督并协助项目监理机构工作的一名专业工程师。</w:t>
      </w:r>
    </w:p>
    <w:p w14:paraId="6256D07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（36）</w:t>
      </w:r>
      <w:r>
        <w:rPr>
          <w:rFonts w:hint="eastAsia" w:ascii="Times New Roman" w:hAnsi="Times New Roman"/>
          <w:bCs/>
          <w:color w:val="auto"/>
          <w:spacing w:val="4"/>
          <w:sz w:val="24"/>
          <w:szCs w:val="24"/>
          <w:highlight w:val="none"/>
        </w:rPr>
        <w:t>“施工准备阶段”指自监理人接到入场通知开始，至本合同工程正式开工止，监理人在此期间应完成熟悉设计文件、参加设计技术交底、参加图纸会审、提交监理规划等监理工作。</w:t>
      </w:r>
    </w:p>
    <w:p w14:paraId="0390F07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（37）</w:t>
      </w:r>
      <w:r>
        <w:rPr>
          <w:rFonts w:hint="eastAsia" w:ascii="Times New Roman" w:hAnsi="Times New Roman"/>
          <w:bCs/>
          <w:color w:val="auto"/>
          <w:spacing w:val="4"/>
          <w:sz w:val="24"/>
          <w:szCs w:val="24"/>
          <w:highlight w:val="none"/>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14:paraId="6A172E8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（38）</w:t>
      </w:r>
      <w:r>
        <w:rPr>
          <w:rFonts w:hint="eastAsia" w:ascii="Times New Roman" w:hAnsi="Times New Roman"/>
          <w:bCs/>
          <w:color w:val="auto"/>
          <w:spacing w:val="4"/>
          <w:sz w:val="24"/>
          <w:szCs w:val="24"/>
          <w:highlight w:val="none"/>
        </w:rPr>
        <w:t>“工程收尾阶段”指自本项目工程具备竣工条件直至本合同工程结算工作全部完成结束，监理人在此期间组织实施本合同工程的竣工验收、工程项目整改、工程移交、工程结算等监理工作。</w:t>
      </w:r>
    </w:p>
    <w:p w14:paraId="00AF88BF">
      <w:pPr>
        <w:topLinePunct/>
        <w:adjustRightInd w:val="0"/>
        <w:snapToGrid w:val="0"/>
        <w:spacing w:line="480" w:lineRule="exact"/>
        <w:ind w:firstLine="496" w:firstLineChars="200"/>
        <w:rPr>
          <w:rFonts w:hint="eastAsia" w:ascii="Times New Roman" w:hAnsi="Times New Roman"/>
          <w:bCs/>
          <w:color w:val="auto"/>
          <w:spacing w:val="4"/>
          <w:sz w:val="24"/>
          <w:szCs w:val="24"/>
          <w:highlight w:val="none"/>
        </w:rPr>
      </w:pPr>
      <w:r>
        <w:rPr>
          <w:rFonts w:ascii="Times New Roman" w:hAnsi="Times New Roman"/>
          <w:bCs/>
          <w:color w:val="auto"/>
          <w:spacing w:val="4"/>
          <w:sz w:val="24"/>
          <w:szCs w:val="24"/>
          <w:highlight w:val="none"/>
        </w:rPr>
        <w:t>（39）</w:t>
      </w:r>
      <w:r>
        <w:rPr>
          <w:rFonts w:hint="eastAsia" w:ascii="Times New Roman" w:hAnsi="Times New Roman"/>
          <w:bCs/>
          <w:color w:val="auto"/>
          <w:spacing w:val="4"/>
          <w:sz w:val="24"/>
          <w:szCs w:val="24"/>
          <w:highlight w:val="none"/>
        </w:rPr>
        <w:t>“工程质量保修阶段”指自本工程项目质量保修期开始，直至本工程项目质量保修期结束，监理人在此期间应负责本合同工程质量保修相关的监理工作。</w:t>
      </w:r>
    </w:p>
    <w:p w14:paraId="00200549">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40</w:t>
      </w:r>
      <w:r>
        <w:rPr>
          <w:rFonts w:hint="eastAsia" w:ascii="宋体" w:hAnsi="宋体" w:eastAsia="宋体" w:cs="宋体"/>
          <w:bCs/>
          <w:color w:val="auto"/>
          <w:spacing w:val="4"/>
          <w:kern w:val="2"/>
          <w:sz w:val="24"/>
          <w:szCs w:val="24"/>
          <w:highlight w:val="none"/>
          <w:lang w:val="en-US" w:eastAsia="zh-CN" w:bidi="ar"/>
        </w:rPr>
        <w:t>）“缺陷责任期”指承包人按照合同约定承担缺陷修复义务，且发包人预留质量保证金的期限。本工程缺陷责任期为</w:t>
      </w:r>
      <w:r>
        <w:rPr>
          <w:rFonts w:hint="default" w:ascii="Times New Roman" w:hAnsi="Times New Roman" w:eastAsia="宋体" w:cs="Times New Roman"/>
          <w:bCs/>
          <w:color w:val="auto"/>
          <w:spacing w:val="4"/>
          <w:kern w:val="2"/>
          <w:sz w:val="24"/>
          <w:szCs w:val="24"/>
          <w:highlight w:val="none"/>
          <w:lang w:val="en-US" w:eastAsia="zh-CN" w:bidi="ar"/>
        </w:rPr>
        <w:t>24</w:t>
      </w:r>
      <w:r>
        <w:rPr>
          <w:rFonts w:hint="eastAsia" w:ascii="宋体" w:hAnsi="宋体" w:eastAsia="宋体" w:cs="宋体"/>
          <w:bCs/>
          <w:color w:val="auto"/>
          <w:spacing w:val="4"/>
          <w:kern w:val="2"/>
          <w:sz w:val="24"/>
          <w:szCs w:val="24"/>
          <w:highlight w:val="none"/>
          <w:lang w:val="en-US" w:eastAsia="zh-CN" w:bidi="ar"/>
        </w:rPr>
        <w:t>个月，自工程竣工验收合格之日起计算。</w:t>
      </w:r>
    </w:p>
    <w:p w14:paraId="2BC33381">
      <w:pPr>
        <w:topLinePunct/>
        <w:adjustRightInd w:val="0"/>
        <w:snapToGrid w:val="0"/>
        <w:spacing w:line="48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第二条</w:t>
      </w:r>
      <w:r>
        <w:rPr>
          <w:rFonts w:hint="eastAsia" w:ascii="Times New Roman" w:hAnsi="Times New Roman"/>
          <w:b/>
          <w:color w:val="auto"/>
          <w:spacing w:val="4"/>
          <w:sz w:val="24"/>
          <w:szCs w:val="24"/>
          <w:highlight w:val="none"/>
        </w:rPr>
        <w:t>　本合同适用的法律法规及监理依据</w:t>
      </w:r>
    </w:p>
    <w:p w14:paraId="73386C1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中华人民共和国的法律、法规、本合同约定的部门规章及工程所在地的地方法规和规章；</w:t>
      </w:r>
    </w:p>
    <w:p w14:paraId="6C094EEA">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《建设工程监理规范》（</w:t>
      </w:r>
      <w:r>
        <w:rPr>
          <w:rFonts w:ascii="Times New Roman" w:hAnsi="Times New Roman"/>
          <w:color w:val="auto"/>
          <w:spacing w:val="4"/>
          <w:sz w:val="24"/>
          <w:szCs w:val="24"/>
          <w:highlight w:val="none"/>
        </w:rPr>
        <w:t>GB/T 50319-2013</w:t>
      </w:r>
      <w:r>
        <w:rPr>
          <w:rFonts w:hint="eastAsia" w:ascii="Times New Roman" w:hAnsi="Times New Roman"/>
          <w:color w:val="auto"/>
          <w:spacing w:val="4"/>
          <w:sz w:val="24"/>
          <w:szCs w:val="24"/>
          <w:highlight w:val="none"/>
        </w:rPr>
        <w:t>）；</w:t>
      </w:r>
    </w:p>
    <w:p w14:paraId="5DCC5DF1">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国家和地方现行的建设工程质量评定标准、设计及施工验收规范；</w:t>
      </w:r>
    </w:p>
    <w:p w14:paraId="38F9CDBF">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经批准的施工图纸及说明，以及经图纸会审确定的修改设计通知书；</w:t>
      </w:r>
    </w:p>
    <w:p w14:paraId="1537DD17">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本合同工程的设计、施工、安装等的招投标文件及合同；</w:t>
      </w:r>
    </w:p>
    <w:p w14:paraId="4CF5802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委托人发出的有关本合同工程建设的指令；</w:t>
      </w:r>
    </w:p>
    <w:p w14:paraId="4DF1C5BA">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委托人制定的有关本合同工程建设的管理制度。</w:t>
      </w:r>
    </w:p>
    <w:p w14:paraId="19241472">
      <w:pPr>
        <w:topLinePunct/>
        <w:adjustRightInd w:val="0"/>
        <w:snapToGrid w:val="0"/>
        <w:spacing w:line="480" w:lineRule="exact"/>
        <w:ind w:firstLine="498" w:firstLineChars="200"/>
        <w:outlineLvl w:val="1"/>
        <w:rPr>
          <w:rFonts w:ascii="Times New Roman" w:hAnsi="Times New Roman"/>
          <w:snapToGrid w:val="0"/>
          <w:color w:val="auto"/>
          <w:spacing w:val="4"/>
          <w:kern w:val="0"/>
          <w:sz w:val="24"/>
          <w:szCs w:val="24"/>
          <w:highlight w:val="none"/>
        </w:rPr>
      </w:pPr>
      <w:r>
        <w:rPr>
          <w:rFonts w:hint="eastAsia" w:ascii="Times New Roman" w:hAnsi="Times New Roman"/>
          <w:b/>
          <w:snapToGrid w:val="0"/>
          <w:color w:val="auto"/>
          <w:spacing w:val="4"/>
          <w:kern w:val="0"/>
          <w:sz w:val="24"/>
          <w:szCs w:val="24"/>
          <w:highlight w:val="none"/>
        </w:rPr>
        <w:t>第四条　监理工作内容、项目监理机构及监理人员</w:t>
      </w:r>
    </w:p>
    <w:p w14:paraId="43BB995E">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highlight w:val="none"/>
        </w:rPr>
      </w:pPr>
      <w:r>
        <w:rPr>
          <w:rFonts w:ascii="Times New Roman" w:hAnsi="Times New Roman"/>
          <w:b/>
          <w:snapToGrid w:val="0"/>
          <w:color w:val="auto"/>
          <w:spacing w:val="4"/>
          <w:kern w:val="0"/>
          <w:sz w:val="24"/>
          <w:highlight w:val="none"/>
        </w:rPr>
        <w:t xml:space="preserve">4.1  </w:t>
      </w:r>
      <w:r>
        <w:rPr>
          <w:rFonts w:hint="eastAsia" w:ascii="Times New Roman" w:hAnsi="Times New Roman"/>
          <w:b/>
          <w:snapToGrid w:val="0"/>
          <w:color w:val="auto"/>
          <w:spacing w:val="4"/>
          <w:kern w:val="0"/>
          <w:sz w:val="24"/>
          <w:highlight w:val="none"/>
        </w:rPr>
        <w:t>项目管理工作内容</w:t>
      </w:r>
    </w:p>
    <w:p w14:paraId="0BA1EF03">
      <w:pPr>
        <w:topLinePunct/>
        <w:adjustRightInd w:val="0"/>
        <w:snapToGrid w:val="0"/>
        <w:spacing w:line="480" w:lineRule="exact"/>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4.1.1</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项目计划统筹及总体管理工作内容</w:t>
      </w:r>
    </w:p>
    <w:p w14:paraId="17A05E4A">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1）建立工程监理（含项目管理）组织机构，制订项目总体控制目标，及各阶段目标。</w:t>
      </w:r>
    </w:p>
    <w:p w14:paraId="3D03FE66">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2）协调</w:t>
      </w:r>
      <w:r>
        <w:rPr>
          <w:rFonts w:hint="eastAsia" w:ascii="Times New Roman" w:hAnsi="Times New Roman"/>
          <w:color w:val="auto"/>
          <w:spacing w:val="4"/>
          <w:sz w:val="24"/>
          <w:szCs w:val="24"/>
          <w:highlight w:val="none"/>
        </w:rPr>
        <w:t>各项目各层面、各相关单位、各项工作关系，协调项目外部关系。</w:t>
      </w:r>
    </w:p>
    <w:p w14:paraId="4433A1EE">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3）定期（每周）组织召开工程例会</w:t>
      </w:r>
      <w:r>
        <w:rPr>
          <w:rFonts w:hint="eastAsia" w:ascii="Times New Roman" w:hAnsi="Times New Roman"/>
          <w:color w:val="auto"/>
          <w:spacing w:val="4"/>
          <w:sz w:val="24"/>
          <w:szCs w:val="24"/>
          <w:highlight w:val="none"/>
        </w:rPr>
        <w:t>或各项专题会，汇报项目总体进展，研究解决存在问题。</w:t>
      </w:r>
    </w:p>
    <w:p w14:paraId="49C85AB9">
      <w:pPr>
        <w:topLinePunct/>
        <w:adjustRightInd w:val="0"/>
        <w:snapToGrid w:val="0"/>
        <w:spacing w:line="480" w:lineRule="exact"/>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4.1.2</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需求管理</w:t>
      </w:r>
    </w:p>
    <w:p w14:paraId="5572CD1F">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1）对项目建设功能、规模、标准进行充分研究，实施过程中与委托人、业主单位的沟通协调，将业主的功能需求落实到设计任务书</w:t>
      </w:r>
      <w:r>
        <w:rPr>
          <w:rFonts w:hint="eastAsia" w:ascii="Times New Roman" w:hAnsi="Times New Roman"/>
          <w:color w:val="auto"/>
          <w:spacing w:val="4"/>
          <w:sz w:val="24"/>
          <w:szCs w:val="24"/>
          <w:highlight w:val="none"/>
        </w:rPr>
        <w:t>（如有）</w:t>
      </w:r>
      <w:r>
        <w:rPr>
          <w:rFonts w:ascii="Times New Roman" w:hAnsi="Times New Roman"/>
          <w:color w:val="auto"/>
          <w:spacing w:val="4"/>
          <w:sz w:val="24"/>
          <w:szCs w:val="24"/>
          <w:highlight w:val="none"/>
        </w:rPr>
        <w:t>、设计文件、造价文件中。</w:t>
      </w:r>
    </w:p>
    <w:p w14:paraId="52FCD1FA">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2）对项目初步设计与概算文件、施工图设计与施工图预算进行分析，确保在不突破各项目投资估算的前提下完成建设内容。</w:t>
      </w:r>
    </w:p>
    <w:p w14:paraId="6CA82DBD">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3）对项目的建设条件进行分析，了解场地周边情况，如交通、临时设施、施工条件向承包人作好交底工作，会同承包人共同研究施工组织方案的可行性。</w:t>
      </w:r>
    </w:p>
    <w:p w14:paraId="73AA22D3">
      <w:pPr>
        <w:topLinePunct/>
        <w:adjustRightInd w:val="0"/>
        <w:snapToGrid w:val="0"/>
        <w:spacing w:line="480" w:lineRule="exact"/>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4.1.3</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报建报批管理</w:t>
      </w:r>
    </w:p>
    <w:p w14:paraId="62DB874F">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1）对各项目建设需要开展的相关专题研究以及需要办理的相关手续进行梳理，根据总体工作计划要求进行报批报建工作策划。</w:t>
      </w:r>
    </w:p>
    <w:p w14:paraId="7A8BC28A">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2）根据各项目建设内容编制报建报批工作计划，督促审核</w:t>
      </w:r>
      <w:r>
        <w:rPr>
          <w:rFonts w:hint="eastAsia" w:ascii="Times New Roman" w:hAnsi="Times New Roman"/>
          <w:color w:val="auto"/>
          <w:spacing w:val="4"/>
          <w:sz w:val="24"/>
          <w:szCs w:val="24"/>
          <w:highlight w:val="none"/>
        </w:rPr>
        <w:t>承包人</w:t>
      </w:r>
      <w:r>
        <w:rPr>
          <w:rFonts w:ascii="Times New Roman" w:hAnsi="Times New Roman"/>
          <w:color w:val="auto"/>
          <w:spacing w:val="4"/>
          <w:sz w:val="24"/>
          <w:szCs w:val="24"/>
          <w:highlight w:val="none"/>
        </w:rPr>
        <w:t>及时办理项目前期及工程建设期间的各项报批报建手续(包括但不限于：办理土地、规划、建设、环保、人防、消防、气象、用电、用水、路口、水土保持、市政接驳等)。</w:t>
      </w:r>
    </w:p>
    <w:p w14:paraId="196CD202">
      <w:pPr>
        <w:topLinePunct/>
        <w:adjustRightInd w:val="0"/>
        <w:snapToGrid w:val="0"/>
        <w:spacing w:line="480" w:lineRule="exact"/>
        <w:ind w:firstLine="422" w:firstLineChars="200"/>
        <w:outlineLvl w:val="0"/>
        <w:rPr>
          <w:rFonts w:hint="eastAsia" w:ascii="Times New Roman" w:hAnsi="Times New Roman" w:eastAsia="宋体"/>
          <w:b/>
          <w:strike/>
          <w:color w:val="auto"/>
          <w:spacing w:val="4"/>
          <w:sz w:val="24"/>
          <w:szCs w:val="24"/>
          <w:highlight w:val="none"/>
          <w:lang w:eastAsia="zh-CN"/>
        </w:rPr>
      </w:pPr>
      <w:r>
        <w:rPr>
          <w:rFonts w:ascii="Segoe UI Symbol" w:hAnsi="Segoe UI Symbol" w:cs="Segoe UI Symbol"/>
          <w:b/>
          <w:bCs/>
          <w:strike w:val="0"/>
          <w:snapToGrid w:val="0"/>
          <w:color w:val="auto"/>
          <w:highlight w:val="none"/>
        </w:rPr>
        <w:t>☒</w:t>
      </w:r>
      <w:r>
        <w:rPr>
          <w:rFonts w:ascii="Times New Roman" w:hAnsi="Times New Roman"/>
          <w:b/>
          <w:color w:val="auto"/>
          <w:spacing w:val="4"/>
          <w:sz w:val="24"/>
          <w:szCs w:val="24"/>
          <w:highlight w:val="none"/>
        </w:rPr>
        <w:t>4.1.4</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勘察、</w:t>
      </w:r>
      <w:r>
        <w:rPr>
          <w:rFonts w:ascii="Times New Roman" w:hAnsi="Times New Roman"/>
          <w:b/>
          <w:strike w:val="0"/>
          <w:color w:val="auto"/>
          <w:spacing w:val="4"/>
          <w:sz w:val="24"/>
          <w:szCs w:val="24"/>
          <w:highlight w:val="none"/>
        </w:rPr>
        <w:t>设计管理</w:t>
      </w:r>
      <w:r>
        <w:rPr>
          <w:rFonts w:hint="eastAsia" w:ascii="Times New Roman" w:hAnsi="Times New Roman"/>
          <w:b/>
          <w:strike w:val="0"/>
          <w:color w:val="auto"/>
          <w:spacing w:val="4"/>
          <w:sz w:val="24"/>
          <w:szCs w:val="24"/>
          <w:highlight w:val="none"/>
          <w:lang w:eastAsia="zh-CN"/>
        </w:rPr>
        <w:t>（如有）</w:t>
      </w:r>
    </w:p>
    <w:p w14:paraId="60EFC93A">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p>
    <w:p w14:paraId="6C0BB6E7">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2）根据使用功能需求条件，要求设计单位按时提交合格的设计成果，并督促设计单位按照《广州市工程建设项目审批制度改革试点工作领导小组办公室关于开展房屋建筑工程电子图纸全过程流转应用工作的通知》的程序及要求，上传并进行电子图纸（CAD、BIM模型）的全过程流转工作。检查并控制设计单位的设计进度，检查设计的功能性是否满足使用要求。</w:t>
      </w:r>
    </w:p>
    <w:p w14:paraId="189662E7">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3）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Pr>
          <w:rFonts w:hint="eastAsia" w:ascii="Times New Roman" w:hAnsi="Times New Roman"/>
          <w:strike w:val="0"/>
          <w:color w:val="auto"/>
          <w:spacing w:val="4"/>
          <w:sz w:val="24"/>
          <w:szCs w:val="24"/>
          <w:highlight w:val="none"/>
        </w:rPr>
        <w:t>方</w:t>
      </w:r>
      <w:r>
        <w:rPr>
          <w:rFonts w:ascii="Times New Roman" w:hAnsi="Times New Roman"/>
          <w:strike w:val="0"/>
          <w:color w:val="auto"/>
          <w:spacing w:val="4"/>
          <w:sz w:val="24"/>
          <w:szCs w:val="24"/>
          <w:highlight w:val="none"/>
        </w:rPr>
        <w:t>案的变化和工期影响等，必要时开展价值工程研究解决。</w:t>
      </w:r>
    </w:p>
    <w:p w14:paraId="194F39E9">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4）协助委托人组织专项审查，包括但不限于：交通评估的审查、环境影响评价的审查、结构超限审查论证、消防性能化论证、深基坑审查、建筑节能审查等。</w:t>
      </w:r>
    </w:p>
    <w:p w14:paraId="5CE99EDA">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5）负责编写设计阶段各类管理文件、设置预控要点</w:t>
      </w: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制定有关设计管理工作制度及工作标准</w:t>
      </w: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编写设计管理规划等，并采用各项设计管理控制措施以保证勘察设计管理工作的顺利实施。</w:t>
      </w:r>
    </w:p>
    <w:p w14:paraId="603C973E">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6）组织周/月进度例会及专项勘察、设计例会，按时向</w:t>
      </w:r>
      <w:r>
        <w:rPr>
          <w:rFonts w:hint="eastAsia" w:ascii="Times New Roman" w:hAnsi="Times New Roman"/>
          <w:strike w:val="0"/>
          <w:color w:val="auto"/>
          <w:spacing w:val="4"/>
          <w:sz w:val="24"/>
          <w:szCs w:val="24"/>
          <w:highlight w:val="none"/>
        </w:rPr>
        <w:t>委托人</w:t>
      </w:r>
      <w:r>
        <w:rPr>
          <w:rFonts w:ascii="Times New Roman" w:hAnsi="Times New Roman"/>
          <w:strike w:val="0"/>
          <w:color w:val="auto"/>
          <w:spacing w:val="4"/>
          <w:sz w:val="24"/>
          <w:szCs w:val="24"/>
          <w:highlight w:val="none"/>
        </w:rPr>
        <w:t>报送勘察设计管理简报和管理专项报告。定期进行设计阶段管理小结，定期向委托人报告勘察设计进展情况，设计中存在的问题及整改措施以及上个周期的整改措施落实情况。参与重大、疑难技术问题的处理。</w:t>
      </w:r>
    </w:p>
    <w:p w14:paraId="09EE91A6">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7）对项目全过程进行投资控制管理。负责组织</w:t>
      </w:r>
      <w:r>
        <w:rPr>
          <w:rFonts w:hint="eastAsia" w:ascii="Times New Roman" w:hAnsi="Times New Roman"/>
          <w:strike w:val="0"/>
          <w:color w:val="auto"/>
          <w:spacing w:val="4"/>
          <w:sz w:val="24"/>
          <w:szCs w:val="24"/>
          <w:highlight w:val="none"/>
        </w:rPr>
        <w:t>承包人</w:t>
      </w:r>
      <w:r>
        <w:rPr>
          <w:rFonts w:ascii="Times New Roman" w:hAnsi="Times New Roman"/>
          <w:strike w:val="0"/>
          <w:color w:val="auto"/>
          <w:spacing w:val="4"/>
          <w:sz w:val="24"/>
          <w:szCs w:val="24"/>
          <w:highlight w:val="none"/>
        </w:rPr>
        <w:t>/设计单位进行工程设计优化、技术经济方案比选并进行投资控制，要求限额设计。</w:t>
      </w:r>
    </w:p>
    <w:p w14:paraId="16109B30">
      <w:pPr>
        <w:topLinePunct/>
        <w:adjustRightInd w:val="0"/>
        <w:snapToGrid w:val="0"/>
        <w:spacing w:line="480" w:lineRule="exact"/>
        <w:ind w:firstLine="496" w:firstLineChars="200"/>
        <w:outlineLvl w:val="0"/>
        <w:rPr>
          <w:rFonts w:ascii="Times New Roman" w:hAnsi="Times New Roman"/>
          <w:strike w:val="0"/>
          <w:color w:val="auto"/>
          <w:spacing w:val="4"/>
          <w:sz w:val="24"/>
          <w:szCs w:val="24"/>
          <w:highlight w:val="none"/>
        </w:rPr>
      </w:pPr>
      <w:r>
        <w:rPr>
          <w:rFonts w:hint="eastAsia" w:ascii="Times New Roman" w:hAnsi="Times New Roman"/>
          <w:strike w:val="0"/>
          <w:color w:val="auto"/>
          <w:spacing w:val="4"/>
          <w:sz w:val="24"/>
          <w:szCs w:val="24"/>
          <w:highlight w:val="none"/>
        </w:rPr>
        <w:t>（</w:t>
      </w:r>
      <w:r>
        <w:rPr>
          <w:rFonts w:ascii="Times New Roman" w:hAnsi="Times New Roman"/>
          <w:strike w:val="0"/>
          <w:color w:val="auto"/>
          <w:spacing w:val="4"/>
          <w:sz w:val="24"/>
          <w:szCs w:val="24"/>
          <w:highlight w:val="none"/>
        </w:rPr>
        <w:t>8）进行勘察设计合同有关条款跟踪管理，处理工程勘察设计条款中有关的索赔与反索赔事宜，处理勘察设计合同纠纷，为仲裁提供正确的全面的维护委托人正当权益的法律凭证。</w:t>
      </w:r>
    </w:p>
    <w:p w14:paraId="51962C5F">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9）对重要的需求、设计调整及相关的专题会议、协调会议应做好完备的</w:t>
      </w:r>
      <w:r>
        <w:rPr>
          <w:rFonts w:hint="eastAsia" w:ascii="Times New Roman" w:hAnsi="Times New Roman"/>
          <w:color w:val="auto"/>
          <w:spacing w:val="4"/>
          <w:sz w:val="24"/>
          <w:szCs w:val="24"/>
          <w:highlight w:val="none"/>
          <w:lang w:eastAsia="zh-CN"/>
        </w:rPr>
        <w:t>台账</w:t>
      </w:r>
      <w:r>
        <w:rPr>
          <w:rFonts w:ascii="Times New Roman" w:hAnsi="Times New Roman"/>
          <w:color w:val="auto"/>
          <w:spacing w:val="4"/>
          <w:sz w:val="24"/>
          <w:szCs w:val="24"/>
          <w:highlight w:val="none"/>
        </w:rPr>
        <w:t>管理，做到易查看、可追溯。</w:t>
      </w:r>
    </w:p>
    <w:p w14:paraId="21BAD869">
      <w:pPr>
        <w:topLinePunct/>
        <w:adjustRightInd w:val="0"/>
        <w:snapToGrid w:val="0"/>
        <w:spacing w:line="480" w:lineRule="exact"/>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4.1.5</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项目总体进度计划管理</w:t>
      </w:r>
    </w:p>
    <w:p w14:paraId="23D8890A">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1）确定进度管理总体目标及节点目标，编制项目进度计划及控制措施，分析影响进度的主要因素，对进度计划的实施进行检查和调整，确保项目进展符合总体目标要求。</w:t>
      </w:r>
    </w:p>
    <w:p w14:paraId="0A3F2D37">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p>
    <w:p w14:paraId="23A47B5E">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记录各节点要求进度的具体时间，对预判工期超出的情况应及时预警；对非承包人原因造成工期延误的情况，应及时办理工期延期记录和工期签证（在延误事件发生时当天记录，结束后10日内办结，包括相关单位</w:t>
      </w:r>
      <w:r>
        <w:rPr>
          <w:rFonts w:hint="eastAsia" w:ascii="Times New Roman" w:hAnsi="Times New Roman"/>
          <w:color w:val="auto"/>
          <w:spacing w:val="4"/>
          <w:sz w:val="24"/>
          <w:szCs w:val="24"/>
          <w:highlight w:val="none"/>
        </w:rPr>
        <w:t>签认并形成书面记录）。</w:t>
      </w:r>
    </w:p>
    <w:p w14:paraId="3AC321C5">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4）须按照经审核的进度网络图对关键线路严格管控，每周向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提供各项目进度分析报告和进度纠偏建议。</w:t>
      </w:r>
    </w:p>
    <w:p w14:paraId="55FB7276">
      <w:pPr>
        <w:topLinePunct/>
        <w:adjustRightInd w:val="0"/>
        <w:snapToGrid w:val="0"/>
        <w:spacing w:line="480" w:lineRule="exact"/>
        <w:ind w:firstLine="498" w:firstLineChars="200"/>
        <w:outlineLvl w:val="0"/>
        <w:rPr>
          <w:rFonts w:ascii="Times New Roman" w:hAnsi="Times New Roman"/>
          <w:b/>
          <w:color w:val="auto"/>
          <w:spacing w:val="4"/>
          <w:sz w:val="24"/>
          <w:szCs w:val="24"/>
          <w:highlight w:val="none"/>
        </w:rPr>
      </w:pPr>
      <w:r>
        <w:rPr>
          <w:rFonts w:ascii="Times New Roman" w:hAnsi="Times New Roman"/>
          <w:b/>
          <w:color w:val="auto"/>
          <w:spacing w:val="4"/>
          <w:sz w:val="24"/>
          <w:szCs w:val="24"/>
          <w:highlight w:val="none"/>
        </w:rPr>
        <w:t>4.1.6</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投资管理</w:t>
      </w:r>
    </w:p>
    <w:p w14:paraId="528E9D77">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ascii="Times New Roman" w:hAnsi="Times New Roman"/>
          <w:strike w:val="0"/>
          <w:color w:val="auto"/>
          <w:spacing w:val="4"/>
          <w:sz w:val="24"/>
          <w:szCs w:val="24"/>
          <w:highlight w:val="none"/>
        </w:rPr>
        <w:t>确定投资控制目标，制订投资管理制度、措施和工作程序，做好决策、设计、招标、施工、结算各阶段的投资控制。</w:t>
      </w:r>
      <w:r>
        <w:rPr>
          <w:rFonts w:ascii="Times New Roman" w:hAnsi="Times New Roman"/>
          <w:color w:val="auto"/>
          <w:spacing w:val="4"/>
          <w:sz w:val="24"/>
          <w:szCs w:val="24"/>
          <w:highlight w:val="none"/>
        </w:rPr>
        <w:t>施工招标阶段监理单位应组织专业人员认真读图、看图，对设计方案是否合理、图纸深度是否满足要求、图纸是否存在错漏碰等方面进行复核，并提出合理化建议；对造价咨询单位编制的工程招标清单开项、项目特征描述等的合理性、准确性进行复核和提出合理化建议。结合项目实际情况，包括但不限于对施工总平面布置、临水、临电、场地管线摸查、土石方挖运摸查、为配合第三方检测等方案编制（含预算）或方案复核。各年的投资控制应结合</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年度投资计划实施。</w:t>
      </w:r>
    </w:p>
    <w:p w14:paraId="76B9D82D">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2）按委托人要求和规定审批工程进度款支付，审核工程变更及签证并送委托人审批，做好用款计划、月报、年报、年度投资计划等统计工作，建立各项目的合同、支付、变更、预结算等各种</w:t>
      </w:r>
      <w:r>
        <w:rPr>
          <w:rFonts w:hint="eastAsia" w:ascii="Times New Roman" w:hAnsi="Times New Roman"/>
          <w:color w:val="auto"/>
          <w:spacing w:val="4"/>
          <w:sz w:val="24"/>
          <w:szCs w:val="24"/>
          <w:highlight w:val="none"/>
          <w:lang w:eastAsia="zh-CN"/>
        </w:rPr>
        <w:t>台账</w:t>
      </w:r>
      <w:r>
        <w:rPr>
          <w:rFonts w:ascii="Times New Roman" w:hAnsi="Times New Roman"/>
          <w:color w:val="auto"/>
          <w:spacing w:val="4"/>
          <w:sz w:val="24"/>
          <w:szCs w:val="24"/>
          <w:highlight w:val="none"/>
        </w:rPr>
        <w:t>；</w:t>
      </w:r>
    </w:p>
    <w:p w14:paraId="636B60C2">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3）工程投资控制月报制度</w:t>
      </w:r>
    </w:p>
    <w:p w14:paraId="56608B2C">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1） 每月25日前，应向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提供当月的投资控制月报。</w:t>
      </w:r>
    </w:p>
    <w:p w14:paraId="276810A9">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2） 投资控制月报应包括上月工程款支付情况、工程形象进度、工程完成投资额、承包商人员和机械设备投入情况、工程质量情况、检测资料、数据、工程设计变更及投资增加情况，提出问题，查找原因，并提出下月的工作建议。</w:t>
      </w:r>
    </w:p>
    <w:p w14:paraId="24AA7938">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3） 对于</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有特殊要求的情况，应向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及时提供投资控制报告，如周报、专题报告等。</w:t>
      </w:r>
    </w:p>
    <w:p w14:paraId="64800E81">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4）投资控制工作总结制度</w:t>
      </w:r>
    </w:p>
    <w:p w14:paraId="54DCF453">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1） 在工程竣工验收后，应向</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提交该项目的工程投资工作总结，该总结作为工程咨询工作的一项竣工验收资料，并报送</w:t>
      </w:r>
      <w:r>
        <w:rPr>
          <w:rFonts w:hint="eastAsia" w:ascii="Times New Roman" w:hAnsi="Times New Roman"/>
          <w:color w:val="auto"/>
          <w:spacing w:val="4"/>
          <w:sz w:val="24"/>
          <w:szCs w:val="24"/>
          <w:highlight w:val="none"/>
        </w:rPr>
        <w:t>委托人</w:t>
      </w:r>
      <w:r>
        <w:rPr>
          <w:rFonts w:ascii="Times New Roman" w:hAnsi="Times New Roman"/>
          <w:color w:val="auto"/>
          <w:spacing w:val="4"/>
          <w:sz w:val="24"/>
          <w:szCs w:val="24"/>
          <w:highlight w:val="none"/>
        </w:rPr>
        <w:t>资料室备案。</w:t>
      </w:r>
    </w:p>
    <w:p w14:paraId="664F7F7C">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ascii="Times New Roman" w:hAnsi="Times New Roman"/>
          <w:color w:val="auto"/>
          <w:spacing w:val="4"/>
          <w:sz w:val="24"/>
          <w:szCs w:val="24"/>
          <w:highlight w:val="none"/>
        </w:rPr>
        <w:t>2）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p>
    <w:p w14:paraId="6EA34BC2">
      <w:pPr>
        <w:topLinePunct/>
        <w:adjustRightInd w:val="0"/>
        <w:snapToGrid w:val="0"/>
        <w:spacing w:line="480" w:lineRule="exact"/>
        <w:ind w:firstLine="496" w:firstLineChars="200"/>
        <w:outlineLvl w:val="0"/>
        <w:rPr>
          <w:rFonts w:ascii="Times New Roman" w:hAnsi="Times New Roman"/>
          <w:b/>
          <w:color w:val="auto"/>
          <w:spacing w:val="4"/>
          <w:sz w:val="24"/>
          <w:szCs w:val="24"/>
          <w:highlight w:val="none"/>
        </w:rPr>
      </w:pPr>
      <w:r>
        <w:rPr>
          <w:rFonts w:hint="eastAsia" w:ascii="Times New Roman" w:hAnsi="Times New Roman" w:cs="宋体"/>
          <w:color w:val="auto"/>
          <w:spacing w:val="4"/>
          <w:kern w:val="0"/>
          <w:sz w:val="24"/>
          <w:szCs w:val="24"/>
          <w:highlight w:val="none"/>
        </w:rPr>
        <w:t>☑</w:t>
      </w:r>
      <w:r>
        <w:rPr>
          <w:rFonts w:ascii="Times New Roman" w:hAnsi="Times New Roman"/>
          <w:b/>
          <w:color w:val="auto"/>
          <w:spacing w:val="4"/>
          <w:sz w:val="24"/>
          <w:szCs w:val="24"/>
          <w:highlight w:val="none"/>
        </w:rPr>
        <w:t>4.1.7</w:t>
      </w:r>
      <w:r>
        <w:rPr>
          <w:rFonts w:hint="eastAsia" w:ascii="Times New Roman" w:hAnsi="Times New Roman"/>
          <w:b/>
          <w:color w:val="auto"/>
          <w:spacing w:val="4"/>
          <w:sz w:val="24"/>
          <w:szCs w:val="24"/>
          <w:highlight w:val="none"/>
        </w:rPr>
        <w:t xml:space="preserve"> </w:t>
      </w:r>
      <w:r>
        <w:rPr>
          <w:rFonts w:ascii="Times New Roman" w:hAnsi="Times New Roman"/>
          <w:b/>
          <w:color w:val="auto"/>
          <w:spacing w:val="4"/>
          <w:sz w:val="24"/>
          <w:szCs w:val="24"/>
          <w:highlight w:val="none"/>
        </w:rPr>
        <w:t>BIM技术管理</w:t>
      </w:r>
    </w:p>
    <w:p w14:paraId="55FD2712">
      <w:pPr>
        <w:topLinePunct/>
        <w:adjustRightInd w:val="0"/>
        <w:snapToGrid w:val="0"/>
        <w:spacing w:line="480" w:lineRule="exact"/>
        <w:ind w:firstLine="496" w:firstLineChars="200"/>
        <w:outlineLvl w:val="0"/>
        <w:rPr>
          <w:rFonts w:hint="eastAsia"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督促并检查承包人运用</w:t>
      </w:r>
      <w:r>
        <w:rPr>
          <w:rFonts w:ascii="Times New Roman" w:hAnsi="Times New Roman"/>
          <w:color w:val="auto"/>
          <w:spacing w:val="4"/>
          <w:sz w:val="24"/>
          <w:szCs w:val="24"/>
          <w:highlight w:val="none"/>
        </w:rPr>
        <w:t>BIM技术完成相关工作（包括各专业模型创建及深化、管线综合、场地布置模拟、材料设备工程量统计等）并收集相关应用成果；督促承包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在项目不同阶段基于各BIM模型进行可视化交底、施工；监督承包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对BIM模型进行实时更新与维护，准确反映施工实际情况；根据项目实际进度等情况，制定BIM实施计划并实时调整，为项目部署BIM工作和制定BIM工作决策向委托人提供建议和参考。监督承包</w:t>
      </w:r>
      <w:r>
        <w:rPr>
          <w:rFonts w:hint="eastAsia" w:ascii="Times New Roman" w:hAnsi="Times New Roman"/>
          <w:color w:val="auto"/>
          <w:spacing w:val="4"/>
          <w:sz w:val="24"/>
          <w:szCs w:val="24"/>
          <w:highlight w:val="none"/>
        </w:rPr>
        <w:t>人</w:t>
      </w:r>
      <w:r>
        <w:rPr>
          <w:rFonts w:ascii="Times New Roman" w:hAnsi="Times New Roman"/>
          <w:color w:val="auto"/>
          <w:spacing w:val="4"/>
          <w:sz w:val="24"/>
          <w:szCs w:val="24"/>
          <w:highlight w:val="none"/>
        </w:rPr>
        <w:t>在安全文明施工和智慧工地充分应用BIM技术。协助委托人对BIM应用成果进行验收；督促</w:t>
      </w:r>
      <w:r>
        <w:rPr>
          <w:rFonts w:hint="eastAsia" w:ascii="Times New Roman" w:hAnsi="Times New Roman"/>
          <w:color w:val="auto"/>
          <w:spacing w:val="4"/>
          <w:sz w:val="24"/>
          <w:szCs w:val="24"/>
          <w:highlight w:val="none"/>
        </w:rPr>
        <w:t>承包人按要求提交模型、资料等，并负责归档。</w:t>
      </w:r>
    </w:p>
    <w:p w14:paraId="45159044">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szCs w:val="24"/>
          <w:highlight w:val="none"/>
        </w:rPr>
      </w:pPr>
    </w:p>
    <w:p w14:paraId="261965AE">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  监理服务工作内容</w:t>
      </w:r>
    </w:p>
    <w:p w14:paraId="2D414305">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.1</w:t>
      </w:r>
      <w:r>
        <w:rPr>
          <w:rFonts w:hint="eastAsia" w:ascii="Times New Roman" w:hAnsi="Times New Roman"/>
          <w:b/>
          <w:snapToGrid w:val="0"/>
          <w:color w:val="auto"/>
          <w:spacing w:val="4"/>
          <w:kern w:val="0"/>
          <w:sz w:val="24"/>
          <w:szCs w:val="24"/>
          <w:highlight w:val="none"/>
        </w:rPr>
        <w:t xml:space="preserve"> 建设工程监理一般规定</w:t>
      </w:r>
    </w:p>
    <w:p w14:paraId="61EF824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实行总监理工程师负责制。</w:t>
      </w:r>
    </w:p>
    <w:p w14:paraId="05EC4E5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监理人应公正、独立、自主地开展监理工作，维护委托人和承包人的合法权益。</w:t>
      </w:r>
    </w:p>
    <w:p w14:paraId="5A1DC1A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建设工程监理除应符合《建设工程监理规范》（</w:t>
      </w:r>
      <w:r>
        <w:rPr>
          <w:rFonts w:ascii="Times New Roman" w:hAnsi="Times New Roman"/>
          <w:snapToGrid w:val="0"/>
          <w:color w:val="auto"/>
          <w:spacing w:val="4"/>
          <w:kern w:val="0"/>
          <w:sz w:val="24"/>
          <w:szCs w:val="24"/>
          <w:highlight w:val="none"/>
        </w:rPr>
        <w:t xml:space="preserve">GB/T </w:t>
      </w:r>
      <w:r>
        <w:rPr>
          <w:rFonts w:hint="eastAsia" w:ascii="Times New Roman" w:hAnsi="Times New Roman"/>
          <w:snapToGrid w:val="0"/>
          <w:color w:val="auto"/>
          <w:spacing w:val="4"/>
          <w:kern w:val="0"/>
          <w:sz w:val="24"/>
          <w:szCs w:val="24"/>
          <w:highlight w:val="none"/>
        </w:rPr>
        <w:t>5</w:t>
      </w:r>
      <w:r>
        <w:rPr>
          <w:rFonts w:ascii="Times New Roman" w:hAnsi="Times New Roman"/>
          <w:snapToGrid w:val="0"/>
          <w:color w:val="auto"/>
          <w:spacing w:val="4"/>
          <w:kern w:val="0"/>
          <w:sz w:val="24"/>
          <w:szCs w:val="24"/>
          <w:highlight w:val="none"/>
        </w:rPr>
        <w:t>0319-2013</w:t>
      </w:r>
      <w:r>
        <w:rPr>
          <w:rFonts w:hint="eastAsia" w:ascii="Times New Roman" w:hAnsi="Times New Roman"/>
          <w:snapToGrid w:val="0"/>
          <w:color w:val="auto"/>
          <w:spacing w:val="4"/>
          <w:kern w:val="0"/>
          <w:sz w:val="24"/>
          <w:szCs w:val="24"/>
          <w:highlight w:val="none"/>
        </w:rPr>
        <w:t>）外，还应符合国家现行的有关强制性标准、规范的规定。</w:t>
      </w:r>
    </w:p>
    <w:p w14:paraId="72681FA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4）乙方应严格按照《国务院办公厅关于科学绿化的指导意见》（国办发〔2021〕19号）、《广东省人民政府办公厅关于科学绿化的实施意见》（粤府办〔2021〕48号）、《广州市关于科学绿化的实施意见》（穗办〔2021〕11号）、《广州市城市树木保护管理规定（试行）》（穗林业园林规字〔2022〕1号）等相关规定开展监理工作。</w:t>
      </w:r>
    </w:p>
    <w:p w14:paraId="21454F2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（5）监理人应督促承包人严格执行《广东省建筑垃圾管理条例》（广东省第十三届人民代表大会常务委员会公告第126号）等环境卫生管理相关规定。</w:t>
      </w:r>
    </w:p>
    <w:p w14:paraId="0609CBD8">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.2</w:t>
      </w:r>
      <w:r>
        <w:rPr>
          <w:rFonts w:hint="eastAsia" w:ascii="Times New Roman" w:hAnsi="Times New Roman"/>
          <w:b/>
          <w:snapToGrid w:val="0"/>
          <w:color w:val="auto"/>
          <w:spacing w:val="4"/>
          <w:kern w:val="0"/>
          <w:sz w:val="24"/>
          <w:szCs w:val="24"/>
          <w:highlight w:val="none"/>
        </w:rPr>
        <w:t xml:space="preserve"> 施工准备阶段的监理工作</w:t>
      </w:r>
    </w:p>
    <w:p w14:paraId="7CAA205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施工准备阶段的监理工作包括但不限于以下内容：</w:t>
      </w:r>
    </w:p>
    <w:p w14:paraId="03C142B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在设计交底前，总监理工程师应组织监理人员熟悉设计文件，并对图纸中存在的问题通过委托人向设计单位提出书面意见和建议。</w:t>
      </w:r>
    </w:p>
    <w:p w14:paraId="5B4D8BE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项目监理人员应参加由委托人组织的设计技术交底会，总监理工程师应组织人员编写设计技术交底会议纪要并提交给委托人。</w:t>
      </w:r>
    </w:p>
    <w:p w14:paraId="4BFAF39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图纸会审由委托人组织，总监理工程师应组织人员做好图纸会审记录并提交给委托人。</w:t>
      </w:r>
    </w:p>
    <w:p w14:paraId="082FFC2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工程项目开工前，总监理工程师应组织专业监理工程师审查承包人报送的施工组织设计（方案）报审表，提出审查意见，并经总监理工程师审核、签认后报委托人。</w:t>
      </w:r>
    </w:p>
    <w:p w14:paraId="3CF0527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72E5FA6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质量管理体系、环境管理体系和安全管理体系的组织及职责；</w:t>
      </w:r>
    </w:p>
    <w:p w14:paraId="66948F5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质量管理体系、环境管理体系和安全管理体系各过程的识别与管理；</w:t>
      </w:r>
    </w:p>
    <w:p w14:paraId="542D3A1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质量管理体系、环境管理体系和安全管理体系的持续改进措施。</w:t>
      </w:r>
    </w:p>
    <w:p w14:paraId="1FDD8FB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分包工程开工前，专业监理工程师应审查承包人报送的分包单位资格报审表和分包单位有关资质资料，符合有关规定后，由总监理工程师予以签认。对分包单位资格应审核以下内容：</w:t>
      </w:r>
    </w:p>
    <w:p w14:paraId="1152678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分包单位的营业执照、企业资质等级证书、特殊行业施工许可证、国外（境外）企业在国内承包工程许可证；</w:t>
      </w:r>
    </w:p>
    <w:p w14:paraId="22C5945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分包单位的业绩，尤其是类似工程施工的经验；</w:t>
      </w:r>
    </w:p>
    <w:p w14:paraId="1EE2770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拟分包工程的内容和范围；</w:t>
      </w:r>
    </w:p>
    <w:p w14:paraId="319A971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专职管理人员和特种作业人员的资格证、上岗证。</w:t>
      </w:r>
    </w:p>
    <w:p w14:paraId="56CB120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专业监理工程师应按以下要求对承包人报送的测量放线控制方案成果及保护措施进行检查，符合要求时，专业监理工程师对承包人报送的施工测量资料予以签认：</w:t>
      </w:r>
    </w:p>
    <w:p w14:paraId="2988BA8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检查承包人专职测量人员的岗位证书及测量设备检定证书；</w:t>
      </w:r>
    </w:p>
    <w:p w14:paraId="3DFA53E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审核承包人提交的控制测量方案；</w:t>
      </w:r>
    </w:p>
    <w:p w14:paraId="2F7AF99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复核控制桩的校核成果、控制桩的保护措施以及平面控制网、高程控制网和临时水准点的测量成果。</w:t>
      </w:r>
    </w:p>
    <w:p w14:paraId="72D94D7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专业监理工程师应审查承包人报送的工程开工报审表及相关资料，具备以下开工条件时，由总监理工程师签发，并报委托人：</w:t>
      </w:r>
    </w:p>
    <w:p w14:paraId="5F2D02F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施工许可证已获政府主管部门批准；</w:t>
      </w:r>
    </w:p>
    <w:p w14:paraId="5F353AC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征地拆迁工作能满足工程进度的需要；</w:t>
      </w:r>
    </w:p>
    <w:p w14:paraId="68A92B6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施工组织设计已获总监理工程师批准；</w:t>
      </w:r>
    </w:p>
    <w:p w14:paraId="73401D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承包人现场管理人员已到位，机具、施工人员已进场，主要工程材料已落实；</w:t>
      </w:r>
    </w:p>
    <w:p w14:paraId="29058E0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进场道路及水、电、通讯等已满足开工要求；</w:t>
      </w:r>
    </w:p>
    <w:p w14:paraId="254BAA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施工测量、技术交底、作业指导书等各项技术准备工作已经完成。</w:t>
      </w:r>
    </w:p>
    <w:p w14:paraId="41F295A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工程项目开工前，监理人员应参加由委托人主持召开的第一次工地会议。工地会议应包括以下主要内容：</w:t>
      </w:r>
    </w:p>
    <w:p w14:paraId="60FF01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委托人、承包人和监理人分别介绍各自派驻现场的组织机构、人员及其分工；</w:t>
      </w:r>
    </w:p>
    <w:p w14:paraId="725D224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委托人根据本合同宣布对总监理工程师的授权；</w:t>
      </w:r>
    </w:p>
    <w:p w14:paraId="26731D8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委托人介绍工程开工准备情况；</w:t>
      </w:r>
    </w:p>
    <w:p w14:paraId="2BE72AE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承包人介绍施工准备情况；</w:t>
      </w:r>
    </w:p>
    <w:p w14:paraId="68BB814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委托人和总监理工程师对施工准备情况提出意见和要求；</w:t>
      </w:r>
    </w:p>
    <w:p w14:paraId="2BFF408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总监理工程师介绍监理规划的主要内容；</w:t>
      </w:r>
    </w:p>
    <w:p w14:paraId="12F813C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研究确定各方在施工过程中参加工地例会的主要人员，召开工地例会周期、地点及主要议题。</w:t>
      </w:r>
    </w:p>
    <w:p w14:paraId="1B60F33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第一次工地会议纪要应由项目监理机构负责起草，并经与会各方代表会签。</w:t>
      </w:r>
    </w:p>
    <w:p w14:paraId="7FE7819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制定监理规划</w:t>
      </w:r>
    </w:p>
    <w:p w14:paraId="2C97D2E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监理规划的编制应针对项目的实际情况，明确项目监理机构的工作目标，确定具体的监理工作制度、程序、方法和措施，并应具有可操作性。</w:t>
      </w:r>
    </w:p>
    <w:p w14:paraId="089596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监理规划编制的程序与依据应符合下列规定：</w:t>
      </w:r>
    </w:p>
    <w:p w14:paraId="7BAA8F8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监理规划应在签订本合同及收到设计文件后开始编制，完成后必须经监理人技术负责人审核批准，并应在召开第一次工地会议前报送委托人；</w:t>
      </w:r>
    </w:p>
    <w:p w14:paraId="34D4D6C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监理规划应由总监理工程师主持、专业监理工程师参加编制；</w:t>
      </w:r>
    </w:p>
    <w:p w14:paraId="1CEA9A4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编制监理规划应依据为以下各项：</w:t>
      </w:r>
    </w:p>
    <w:p w14:paraId="65D1CD3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建设工程的相关法律、法规及项目审批文件；</w:t>
      </w:r>
    </w:p>
    <w:p w14:paraId="213667F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 xml:space="preserve">b. </w:t>
      </w:r>
      <w:r>
        <w:rPr>
          <w:rFonts w:hint="eastAsia" w:ascii="Times New Roman" w:hAnsi="Times New Roman"/>
          <w:snapToGrid w:val="0"/>
          <w:color w:val="auto"/>
          <w:spacing w:val="4"/>
          <w:kern w:val="0"/>
          <w:sz w:val="24"/>
          <w:szCs w:val="24"/>
          <w:highlight w:val="none"/>
        </w:rPr>
        <w:t>与建设工程项目有关的标准、设计文件、技术资料；</w:t>
      </w:r>
    </w:p>
    <w:p w14:paraId="529F3F8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监理大纲、监理合同文件以及与建设工程项目相关的合同文件；</w:t>
      </w:r>
    </w:p>
    <w:p w14:paraId="09DF6FF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委托人制定的有关本合同工程建设的管理制度。</w:t>
      </w:r>
    </w:p>
    <w:p w14:paraId="2C7CDB6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监理规划应包括以下主要内容：</w:t>
      </w:r>
    </w:p>
    <w:p w14:paraId="5322EB7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工程项目概况；</w:t>
      </w:r>
    </w:p>
    <w:p w14:paraId="0DCB8988">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监理工作范围；</w:t>
      </w:r>
    </w:p>
    <w:p w14:paraId="249179F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监理工作内容；</w:t>
      </w:r>
    </w:p>
    <w:p w14:paraId="7D4ED49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监理工作目标；</w:t>
      </w:r>
    </w:p>
    <w:p w14:paraId="1870093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监理工作依据；</w:t>
      </w:r>
    </w:p>
    <w:p w14:paraId="765DB43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项目监理机构的组织形式；</w:t>
      </w:r>
    </w:p>
    <w:p w14:paraId="2EE876F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项目监理机构的人员配备计划；</w:t>
      </w:r>
    </w:p>
    <w:p w14:paraId="4ED1B25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项目监理机构的人员岗位职责；</w:t>
      </w:r>
    </w:p>
    <w:p w14:paraId="7B61D861">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监理工作程序；</w:t>
      </w:r>
    </w:p>
    <w:p w14:paraId="08AC58B5">
      <w:pPr>
        <w:topLinePunct/>
        <w:adjustRightInd w:val="0"/>
        <w:snapToGrid w:val="0"/>
        <w:spacing w:line="480" w:lineRule="exact"/>
        <w:ind w:firstLine="576" w:firstLineChars="200"/>
        <w:rPr>
          <w:rFonts w:ascii="Times New Roman" w:hAnsi="Times New Roman"/>
          <w:snapToGrid w:val="0"/>
          <w:color w:val="auto"/>
          <w:spacing w:val="4"/>
          <w:kern w:val="0"/>
          <w:sz w:val="28"/>
          <w:szCs w:val="28"/>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监理工作方法及措施；</w:t>
      </w:r>
    </w:p>
    <w:p w14:paraId="2851580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⑪</w:t>
      </w:r>
      <w:r>
        <w:rPr>
          <w:rFonts w:hint="eastAsia" w:ascii="Times New Roman" w:hAnsi="Times New Roman"/>
          <w:snapToGrid w:val="0"/>
          <w:color w:val="auto"/>
          <w:spacing w:val="4"/>
          <w:kern w:val="0"/>
          <w:sz w:val="24"/>
          <w:szCs w:val="24"/>
          <w:highlight w:val="none"/>
        </w:rPr>
        <w:t xml:space="preserve"> 监理工作制度；</w:t>
      </w:r>
    </w:p>
    <w:p w14:paraId="00F6309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⑫</w:t>
      </w:r>
      <w:r>
        <w:rPr>
          <w:rFonts w:hint="eastAsia" w:ascii="Times New Roman" w:hAnsi="Times New Roman"/>
          <w:snapToGrid w:val="0"/>
          <w:color w:val="auto"/>
          <w:spacing w:val="4"/>
          <w:kern w:val="0"/>
          <w:sz w:val="24"/>
          <w:szCs w:val="24"/>
          <w:highlight w:val="none"/>
        </w:rPr>
        <w:t xml:space="preserve"> 监理设施。</w:t>
      </w:r>
    </w:p>
    <w:p w14:paraId="0D6CC30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在监理工作实施过程中，如实际情况或条件发生重大变化而需要调整监理规划时，应由总监理工程师组织专业监理工程师研究修改，按原报审程序经过批准后报委托人。</w:t>
      </w:r>
    </w:p>
    <w:p w14:paraId="6102483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制定监理实施细则</w:t>
      </w:r>
    </w:p>
    <w:p w14:paraId="0F39D0D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项目监理机构应编制监理实施细则。监理实施细则应符合监理规划的要求，并应结合工程项目的专业特点，做到详细具体、具有可操作性。</w:t>
      </w:r>
    </w:p>
    <w:p w14:paraId="45CA04F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监理实施细则的编制程序与依据应符合下列规定：</w:t>
      </w:r>
    </w:p>
    <w:p w14:paraId="3F3D66D1">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监理实施细则应在相应工程施工开始前编制完成，并必须经总监理工程师批准；</w:t>
      </w:r>
    </w:p>
    <w:p w14:paraId="0251A52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监理实施细则应由专业监理工程师编制；</w:t>
      </w:r>
    </w:p>
    <w:p w14:paraId="4D3CAEB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编制监理实施细则的依据为以下各项：</w:t>
      </w:r>
    </w:p>
    <w:p w14:paraId="727B25E0">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已批准的监理规划；</w:t>
      </w:r>
    </w:p>
    <w:p w14:paraId="30CFB012">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与专业工程相关的标准、设计文件和技术资料；</w:t>
      </w:r>
    </w:p>
    <w:p w14:paraId="0B8F2555">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施工组织设计；</w:t>
      </w:r>
    </w:p>
    <w:p w14:paraId="7506720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本合同工程的设计、施工、安装等招投标文件及合同；</w:t>
      </w:r>
    </w:p>
    <w:p w14:paraId="46208E10">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委托人制定的有关本合同工程建设的管理制度。</w:t>
      </w:r>
    </w:p>
    <w:p w14:paraId="1431A6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监理实施细则应包括下列主要内容：</w:t>
      </w:r>
    </w:p>
    <w:p w14:paraId="628403B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专业工程的特点；</w:t>
      </w:r>
    </w:p>
    <w:p w14:paraId="264674C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监理工作的流程；</w:t>
      </w:r>
    </w:p>
    <w:p w14:paraId="459A16F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监理工作的控制要点及目标值；</w:t>
      </w:r>
    </w:p>
    <w:p w14:paraId="37D96E9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监理工作的方法及措施。</w:t>
      </w:r>
    </w:p>
    <w:p w14:paraId="7E01546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在监理工作实施过程中，监理实施细则应根据实际情况进行补充、修改和完善。</w:t>
      </w:r>
    </w:p>
    <w:p w14:paraId="06A860C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对</w:t>
      </w:r>
      <w:r>
        <w:rPr>
          <w:rFonts w:ascii="Times New Roman" w:hAnsi="Times New Roman"/>
          <w:snapToGrid w:val="0"/>
          <w:color w:val="auto"/>
          <w:spacing w:val="4"/>
          <w:kern w:val="0"/>
          <w:sz w:val="24"/>
          <w:szCs w:val="24"/>
          <w:highlight w:val="none"/>
        </w:rPr>
        <w:t>合同管理实施控制工作程序化、规范化，建立定期和不定期的协商会办制度，</w:t>
      </w:r>
      <w:r>
        <w:rPr>
          <w:rFonts w:hint="eastAsia" w:ascii="Times New Roman" w:hAnsi="Times New Roman"/>
          <w:snapToGrid w:val="0"/>
          <w:color w:val="auto"/>
          <w:spacing w:val="4"/>
          <w:kern w:val="0"/>
          <w:sz w:val="24"/>
          <w:szCs w:val="24"/>
          <w:highlight w:val="none"/>
        </w:rPr>
        <w:t>根据合同文件的约定及委托人要求的</w:t>
      </w:r>
      <w:r>
        <w:rPr>
          <w:rFonts w:ascii="Times New Roman" w:hAnsi="Times New Roman"/>
          <w:snapToGrid w:val="0"/>
          <w:color w:val="auto"/>
          <w:spacing w:val="4"/>
          <w:kern w:val="0"/>
          <w:sz w:val="24"/>
          <w:szCs w:val="24"/>
          <w:highlight w:val="none"/>
        </w:rPr>
        <w:t>图纸批准程序、工程变更程序、</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索赔程序、</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的账单审查程序、进度付款账单的审查批准程序、工程问题的请示报告程序</w:t>
      </w:r>
      <w:r>
        <w:rPr>
          <w:rFonts w:hint="eastAsia" w:ascii="Times New Roman" w:hAnsi="Times New Roman"/>
          <w:snapToGrid w:val="0"/>
          <w:color w:val="auto"/>
          <w:spacing w:val="4"/>
          <w:kern w:val="0"/>
          <w:sz w:val="24"/>
          <w:szCs w:val="24"/>
          <w:highlight w:val="none"/>
        </w:rPr>
        <w:t>等制定相关表格。</w:t>
      </w:r>
    </w:p>
    <w:p w14:paraId="6BFD68A0">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w:t>
      </w:r>
      <w:r>
        <w:rPr>
          <w:rFonts w:hint="eastAsia" w:ascii="Times New Roman" w:hAnsi="Times New Roman"/>
          <w:b/>
          <w:snapToGrid w:val="0"/>
          <w:color w:val="auto"/>
          <w:spacing w:val="4"/>
          <w:kern w:val="0"/>
          <w:sz w:val="24"/>
          <w:szCs w:val="24"/>
          <w:highlight w:val="none"/>
        </w:rPr>
        <w:t xml:space="preserve"> 施工阶段的监理工作（包括但不限于以下内容）</w:t>
      </w:r>
    </w:p>
    <w:p w14:paraId="4CB91124">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w:t>
      </w:r>
      <w:r>
        <w:rPr>
          <w:rFonts w:hint="eastAsia" w:ascii="Times New Roman" w:hAnsi="Times New Roman"/>
          <w:b/>
          <w:snapToGrid w:val="0"/>
          <w:color w:val="auto"/>
          <w:spacing w:val="4"/>
          <w:kern w:val="0"/>
          <w:sz w:val="24"/>
          <w:szCs w:val="24"/>
          <w:highlight w:val="none"/>
        </w:rPr>
        <w:t xml:space="preserve"> 工程质量控制工作</w:t>
      </w:r>
    </w:p>
    <w:p w14:paraId="508D29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在施工过程中，当承包人对已批准的施工组织设计进行调整、补充或变动时，应经专业监理工程师审查，并应由总监理工程师签认。</w:t>
      </w:r>
    </w:p>
    <w:p w14:paraId="3FC3BA9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专业监理工程师应要求承包人报送重点部位、关键工序的施工方案或作业指导和确保工程质量的措施，审核同意后予以签认。</w:t>
      </w:r>
    </w:p>
    <w:p w14:paraId="7C2B667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当承包人采用新材料、新工艺、新技术、新设备时，专业监理工程师应要求承包人报送相应的施工工艺措施和证明材料，组织专题论证，经审定后予以签认。</w:t>
      </w:r>
    </w:p>
    <w:p w14:paraId="42824BA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项目监理机构应对承包人在施工过程中报送的施工测量放线成果进行复验和确认。</w:t>
      </w:r>
    </w:p>
    <w:p w14:paraId="6A7D904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理人应对材料、设备的进场验收负主要责任。专业监理工程师应对承包人报送的拟进场工程材料、构配件和设备的工程材料/构配件/设备报审表及其质量证明资料进行审核，并对进场的实物按照本合同约定或有关工程质量管理文件规定的比例采用平行检验或见证取样方式进行抽检。</w:t>
      </w:r>
    </w:p>
    <w:p w14:paraId="0DCFA21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对未经监理人员验收或验收不合格的工程材料、构配件、设备，监理人员应拒绝签认，并应签发监理工程师通知单，书面通知承包人限期将不合格的工程材料、构配件、设备撤出现场。</w:t>
      </w:r>
    </w:p>
    <w:p w14:paraId="51916E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项目监理机构应定期检查承包人的直接影响工程质量的计量设备的技术状况。</w:t>
      </w:r>
    </w:p>
    <w:p w14:paraId="1E94788A">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总监理工程师应安排监理人员对建筑材料设备的进场检验的全过程进行见证，对施工过程进行巡视和检查（包括重点检查、抽查及专项检查）。对</w:t>
      </w:r>
      <w:r>
        <w:rPr>
          <w:rFonts w:ascii="Times New Roman" w:hAnsi="Times New Roman" w:cs="Arial"/>
          <w:snapToGrid w:val="0"/>
          <w:color w:val="auto"/>
          <w:spacing w:val="4"/>
          <w:kern w:val="0"/>
          <w:sz w:val="24"/>
          <w:szCs w:val="24"/>
          <w:highlight w:val="none"/>
        </w:rPr>
        <w:t>基础工程</w:t>
      </w:r>
      <w:r>
        <w:rPr>
          <w:rFonts w:hint="eastAsia" w:ascii="Times New Roman" w:hAnsi="Times New Roman" w:cs="Arial"/>
          <w:snapToGrid w:val="0"/>
          <w:color w:val="auto"/>
          <w:spacing w:val="4"/>
          <w:kern w:val="0"/>
          <w:sz w:val="24"/>
          <w:szCs w:val="24"/>
          <w:highlight w:val="none"/>
        </w:rPr>
        <w:t>中</w:t>
      </w:r>
      <w:r>
        <w:rPr>
          <w:rFonts w:ascii="Times New Roman" w:hAnsi="Times New Roman" w:cs="Arial"/>
          <w:snapToGrid w:val="0"/>
          <w:color w:val="auto"/>
          <w:spacing w:val="4"/>
          <w:kern w:val="0"/>
          <w:sz w:val="24"/>
          <w:szCs w:val="24"/>
          <w:highlight w:val="none"/>
        </w:rPr>
        <w:t>土方回填，混凝土灌注桩浇筑，地下连续墙、土钉墙、后浇带及其他结构混凝土、防水混凝土浇筑，卷材防水层细部构造处理，钢结构安装</w:t>
      </w:r>
      <w:r>
        <w:rPr>
          <w:rFonts w:hint="eastAsia" w:ascii="Times New Roman" w:hAnsi="Times New Roman" w:cs="Arial"/>
          <w:snapToGrid w:val="0"/>
          <w:color w:val="auto"/>
          <w:spacing w:val="4"/>
          <w:kern w:val="0"/>
          <w:sz w:val="24"/>
          <w:szCs w:val="24"/>
          <w:highlight w:val="none"/>
        </w:rPr>
        <w:t>和</w:t>
      </w:r>
      <w:r>
        <w:rPr>
          <w:rFonts w:ascii="Times New Roman" w:hAnsi="Times New Roman" w:cs="Arial"/>
          <w:snapToGrid w:val="0"/>
          <w:color w:val="auto"/>
          <w:spacing w:val="4"/>
          <w:kern w:val="0"/>
          <w:sz w:val="24"/>
          <w:szCs w:val="24"/>
          <w:highlight w:val="none"/>
        </w:rPr>
        <w:t>主体结构工程</w:t>
      </w:r>
      <w:r>
        <w:rPr>
          <w:rFonts w:hint="eastAsia" w:ascii="Times New Roman" w:hAnsi="Times New Roman" w:cs="Arial"/>
          <w:snapToGrid w:val="0"/>
          <w:color w:val="auto"/>
          <w:spacing w:val="4"/>
          <w:kern w:val="0"/>
          <w:sz w:val="24"/>
          <w:szCs w:val="24"/>
          <w:highlight w:val="none"/>
        </w:rPr>
        <w:t>中</w:t>
      </w:r>
      <w:r>
        <w:rPr>
          <w:rFonts w:ascii="Times New Roman" w:hAnsi="Times New Roman" w:cs="Arial"/>
          <w:snapToGrid w:val="0"/>
          <w:color w:val="auto"/>
          <w:spacing w:val="4"/>
          <w:kern w:val="0"/>
          <w:sz w:val="24"/>
          <w:szCs w:val="24"/>
          <w:highlight w:val="none"/>
        </w:rPr>
        <w:t>梁柱节点钢筋隐蔽过程，混凝土浇筑，预应力张拉，装配式结构安装，钢结构安装，网架结构安装，索膜安装</w:t>
      </w:r>
      <w:r>
        <w:rPr>
          <w:rFonts w:hint="eastAsia" w:ascii="Times New Roman" w:hAnsi="Times New Roman" w:cs="Arial"/>
          <w:snapToGrid w:val="0"/>
          <w:color w:val="auto"/>
          <w:spacing w:val="4"/>
          <w:kern w:val="0"/>
          <w:sz w:val="24"/>
          <w:szCs w:val="24"/>
          <w:highlight w:val="none"/>
        </w:rPr>
        <w:t>及</w:t>
      </w:r>
      <w:r>
        <w:rPr>
          <w:rFonts w:hint="eastAsia" w:ascii="Times New Roman" w:hAnsi="Times New Roman"/>
          <w:snapToGrid w:val="0"/>
          <w:color w:val="auto"/>
          <w:spacing w:val="4"/>
          <w:kern w:val="0"/>
          <w:sz w:val="24"/>
          <w:szCs w:val="24"/>
          <w:highlight w:val="none"/>
        </w:rPr>
        <w:t>委托人</w:t>
      </w:r>
      <w:r>
        <w:rPr>
          <w:rFonts w:hint="eastAsia" w:ascii="Times New Roman" w:hAnsi="Times New Roman" w:cs="Arial"/>
          <w:snapToGrid w:val="0"/>
          <w:color w:val="auto"/>
          <w:spacing w:val="4"/>
          <w:kern w:val="0"/>
          <w:sz w:val="24"/>
          <w:szCs w:val="24"/>
          <w:highlight w:val="none"/>
        </w:rPr>
        <w:t>要求的其它旁站工作等，</w:t>
      </w:r>
      <w:r>
        <w:rPr>
          <w:rFonts w:hint="eastAsia" w:ascii="Times New Roman" w:hAnsi="Times New Roman"/>
          <w:snapToGrid w:val="0"/>
          <w:color w:val="auto"/>
          <w:spacing w:val="4"/>
          <w:kern w:val="0"/>
          <w:sz w:val="24"/>
          <w:szCs w:val="24"/>
          <w:highlight w:val="none"/>
        </w:rPr>
        <w:t>专业监理工程师应安排监理员进行旁站</w:t>
      </w:r>
      <w:r>
        <w:rPr>
          <w:rFonts w:hint="eastAsia" w:ascii="Times New Roman" w:hAnsi="Times New Roman" w:cs="Arial"/>
          <w:snapToGrid w:val="0"/>
          <w:color w:val="auto"/>
          <w:spacing w:val="4"/>
          <w:kern w:val="0"/>
          <w:sz w:val="24"/>
          <w:szCs w:val="24"/>
          <w:highlight w:val="none"/>
        </w:rPr>
        <w:t>，</w:t>
      </w:r>
      <w:r>
        <w:rPr>
          <w:rFonts w:ascii="Times New Roman" w:hAnsi="Times New Roman" w:cs="Arial"/>
          <w:snapToGrid w:val="0"/>
          <w:color w:val="auto"/>
          <w:spacing w:val="4"/>
          <w:kern w:val="0"/>
          <w:sz w:val="24"/>
          <w:szCs w:val="24"/>
          <w:highlight w:val="none"/>
        </w:rPr>
        <w:t>主要职责是：</w:t>
      </w:r>
    </w:p>
    <w:p w14:paraId="1287267E">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ascii="Times New Roman" w:hAnsi="Times New Roman" w:cs="Arial"/>
          <w:snapToGrid w:val="0"/>
          <w:color w:val="auto"/>
          <w:spacing w:val="4"/>
          <w:kern w:val="0"/>
          <w:sz w:val="24"/>
          <w:szCs w:val="24"/>
          <w:highlight w:val="none"/>
        </w:rPr>
        <w:t>检查施工企业现场质检人员到岗、特殊工种人员持证上岗以及施工机械、建筑材料准备情况；</w:t>
      </w:r>
    </w:p>
    <w:p w14:paraId="5A757E24">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ascii="Times New Roman" w:hAnsi="Times New Roman" w:cs="Arial"/>
          <w:snapToGrid w:val="0"/>
          <w:color w:val="auto"/>
          <w:spacing w:val="4"/>
          <w:kern w:val="0"/>
          <w:sz w:val="24"/>
          <w:szCs w:val="24"/>
          <w:highlight w:val="none"/>
        </w:rPr>
        <w:t>在现场跟班监督关键部位、关键工序的施工执行施工方案以及工程建设强制性标准情况；</w:t>
      </w:r>
    </w:p>
    <w:p w14:paraId="0A3EFCA6">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ascii="Times New Roman" w:hAnsi="Times New Roman" w:cs="Arial"/>
          <w:snapToGrid w:val="0"/>
          <w:color w:val="auto"/>
          <w:spacing w:val="4"/>
          <w:kern w:val="0"/>
          <w:sz w:val="24"/>
          <w:szCs w:val="24"/>
          <w:highlight w:val="none"/>
        </w:rPr>
        <w:t>核查进场建筑材料、建筑构配件、设备和商品混凝土的质量检验报告等，并可在现场监督施工企业进行检验或者委托具有资格的第三方进行复验；</w:t>
      </w:r>
    </w:p>
    <w:p w14:paraId="7B5C4B8C">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ascii="Times New Roman" w:hAnsi="Times New Roman" w:cs="Arial"/>
          <w:snapToGrid w:val="0"/>
          <w:color w:val="auto"/>
          <w:spacing w:val="4"/>
          <w:kern w:val="0"/>
          <w:sz w:val="24"/>
          <w:szCs w:val="24"/>
          <w:highlight w:val="none"/>
        </w:rPr>
        <w:t>做好旁站监理记录和监理日记，保存旁站监理原始资料。</w:t>
      </w:r>
    </w:p>
    <w:p w14:paraId="3855C46C">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4C7E80F0">
      <w:pPr>
        <w:topLinePunct/>
        <w:adjustRightInd w:val="0"/>
        <w:snapToGrid w:val="0"/>
        <w:spacing w:line="480" w:lineRule="exact"/>
        <w:ind w:firstLine="496" w:firstLineChars="200"/>
        <w:rPr>
          <w:rFonts w:ascii="Times New Roman" w:hAnsi="Times New Roman" w:cs="Arial"/>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6F8452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cs="Arial"/>
          <w:snapToGrid w:val="0"/>
          <w:color w:val="auto"/>
          <w:spacing w:val="4"/>
          <w:kern w:val="0"/>
          <w:sz w:val="24"/>
          <w:szCs w:val="24"/>
          <w:highlight w:val="none"/>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208D1F1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专业监理工程师应根据承包人报送的隐蔽工程报验申请表和自检结果进行现场检查，符合要求后予以签认。</w:t>
      </w:r>
    </w:p>
    <w:p w14:paraId="4C502CF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对未经监理人员验收或验收不合格的工序，监理人员应拒绝签认，并要求承包人严禁进行下一道工序的施工。</w:t>
      </w:r>
    </w:p>
    <w:p w14:paraId="04D1E4C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228307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质量网络视频监控管理内容</w:t>
      </w:r>
    </w:p>
    <w:p w14:paraId="7468B5BE">
      <w:pPr>
        <w:topLinePunct/>
        <w:adjustRightInd w:val="0"/>
        <w:snapToGrid w:val="0"/>
        <w:spacing w:line="480" w:lineRule="exact"/>
        <w:ind w:firstLine="496" w:firstLineChars="200"/>
        <w:rPr>
          <w:rFonts w:ascii="Times New Roman" w:hAnsi="Times New Roman"/>
          <w:dstrike/>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组织监督承包人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w:t>
      </w:r>
      <w:r>
        <w:rPr>
          <w:rFonts w:hint="eastAsia" w:ascii="宋体" w:hAnsi="宋体"/>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2017</w:t>
      </w:r>
      <w:r>
        <w:rPr>
          <w:rFonts w:hint="eastAsia" w:ascii="宋体" w:hAnsi="宋体"/>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1166号）文件的要求，满足隐蔽工程、关键工序</w:t>
      </w:r>
      <w:r>
        <w:rPr>
          <w:rFonts w:hint="eastAsia" w:ascii="Times New Roman" w:hAnsi="Times New Roman"/>
          <w:color w:val="auto"/>
          <w:spacing w:val="4"/>
          <w:kern w:val="0"/>
          <w:sz w:val="24"/>
          <w:szCs w:val="24"/>
          <w:highlight w:val="none"/>
        </w:rPr>
        <w:t>、重点部位的质量监控、隐蔽工程可视化验收的需要。</w:t>
      </w:r>
    </w:p>
    <w:p w14:paraId="61D6D51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监理人对视频监控系统反馈信息的分析、上报、决策、实施，严格按照质量控制流程及相关规定进行处理。</w:t>
      </w:r>
    </w:p>
    <w:p w14:paraId="1D406EB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监理人建立专门的视频监控系统资料收集、查阅、检索、档案系统，并设置专人专职负责。</w:t>
      </w:r>
    </w:p>
    <w:p w14:paraId="102108F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监理人按照基建程序从工程建设前期法定建设程序资料、施工过程质量控制技术资料、工程验收及备案资料按照与工程同步的原则进行及时收集，保证保管一套完整的工程技术资料。</w:t>
      </w:r>
    </w:p>
    <w:p w14:paraId="008B48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施工阶段的工程质量控制中的其他监理工作</w:t>
      </w:r>
    </w:p>
    <w:p w14:paraId="5FBC74E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对施工过程中出现的质量缺陷，专业监理工程师应及时下达监理工程师通知，要求承包人整改，并检查整改结果。</w:t>
      </w:r>
    </w:p>
    <w:p w14:paraId="3C24FF8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362697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0EC751F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总监理工程师应及时向委托人及本监理单位提交有关质量事故的书面报告，并应将完整的质量事故处理记录整理归档。</w:t>
      </w:r>
    </w:p>
    <w:p w14:paraId="305A13F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对承包人的试验室进行考核</w:t>
      </w:r>
    </w:p>
    <w:p w14:paraId="5C3C749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对承包人的试验室，专业监理工程师应从以下五个方面进行考核：</w:t>
      </w:r>
    </w:p>
    <w:p w14:paraId="2177EB6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试验室的资质等级及其试验范围；</w:t>
      </w:r>
    </w:p>
    <w:p w14:paraId="3F1AFE9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法定计量部门对试验设备出具的计量检定证明；</w:t>
      </w:r>
    </w:p>
    <w:p w14:paraId="0820B36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试验室的管理制度；</w:t>
      </w:r>
    </w:p>
    <w:p w14:paraId="42085FF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试验人员的资格证书；</w:t>
      </w:r>
    </w:p>
    <w:p w14:paraId="4DF18DC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本工程的试验项目及其要求。</w:t>
      </w:r>
    </w:p>
    <w:p w14:paraId="3BF79D3D">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.3.2</w:t>
      </w:r>
      <w:r>
        <w:rPr>
          <w:rFonts w:hint="eastAsia" w:ascii="Times New Roman" w:hAnsi="Times New Roman"/>
          <w:b/>
          <w:snapToGrid w:val="0"/>
          <w:color w:val="auto"/>
          <w:spacing w:val="4"/>
          <w:kern w:val="0"/>
          <w:sz w:val="24"/>
          <w:szCs w:val="24"/>
          <w:highlight w:val="none"/>
        </w:rPr>
        <w:t xml:space="preserve"> 工程造价控制工作</w:t>
      </w:r>
    </w:p>
    <w:p w14:paraId="609BF68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监理人负责的投资控制工作为项目施工阶段全过程造价控制，包括但不限于：主材单价、综合单价、签证费用、工程预算审核、结算审核、工程量（含钢筋抽料）审核、费用索赔等。</w:t>
      </w:r>
    </w:p>
    <w:p w14:paraId="663EA52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项目监理机构应按下列程序进行工程计量和工程款支付工作：</w:t>
      </w:r>
    </w:p>
    <w:p w14:paraId="136F9D8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监理人应每日统计承包人实际完成的工程量，并记录于监理日志中；</w:t>
      </w:r>
    </w:p>
    <w:p w14:paraId="20DCEED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专业监理工程师进行现场计量，复核当期验收合格的工程量，按施工合同的约定审核承包人提交的工程量清单和工程款支付申请表，并报总监理工程师审定；</w:t>
      </w:r>
    </w:p>
    <w:p w14:paraId="480D217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总监理工程师对工程量清单和工程款支付申请表进行复核，并报委托人；</w:t>
      </w:r>
    </w:p>
    <w:p w14:paraId="49A208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提交月度分包工程支付建议书给委托人。</w:t>
      </w:r>
    </w:p>
    <w:p w14:paraId="390AFF6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项目监理机构应依据施工合同有关条款、施工图，对工程项目造价目标进行风险分析，并应制定防范性对策。</w:t>
      </w:r>
    </w:p>
    <w:p w14:paraId="3711788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项目监理机构应按施工合同约定的工程量计算规则和支付条款进行工程量计量和工程款支付。</w:t>
      </w:r>
    </w:p>
    <w:p w14:paraId="37AE15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专业监理工程师应及时建立月完成工程量和工作量统计表，对实际完成量与计划完成量进行比较、分析，制定调整措施，并应在监理月报中向委托人报告。</w:t>
      </w:r>
    </w:p>
    <w:p w14:paraId="578EF6D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未经监理人员质量验收合格的工程量，或不符合施工合同规定的工程量，监理人员应拒绝计量和该部分的工程款支付申请。</w:t>
      </w:r>
    </w:p>
    <w:p w14:paraId="695613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工程变更的管理</w:t>
      </w:r>
    </w:p>
    <w:p w14:paraId="63EA5C1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总监理工程师应从造价、项目的功能要求、质量和工期等方面审查工程变更的方案，并在工程变更实施前与委托人、承包人协商确定工程变更的价款。</w:t>
      </w:r>
    </w:p>
    <w:p w14:paraId="63B3F3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项目监理机构应按下列程序处理工程变更：</w:t>
      </w:r>
    </w:p>
    <w:p w14:paraId="076B12D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348443E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项目监理机构应了解实际情况和收集与工程变更有关的资料。</w:t>
      </w:r>
    </w:p>
    <w:p w14:paraId="4B2EA860">
      <w:pPr>
        <w:spacing w:line="480" w:lineRule="exact"/>
        <w:ind w:firstLine="560" w:firstLineChars="200"/>
        <w:rPr>
          <w:rFonts w:ascii="Times New Roman" w:hAnsi="Times New Roman"/>
          <w:color w:val="auto"/>
          <w:sz w:val="24"/>
          <w:szCs w:val="24"/>
          <w:highlight w:val="none"/>
        </w:rPr>
      </w:pPr>
      <w:r>
        <w:rPr>
          <w:rFonts w:hint="eastAsia" w:ascii="Times New Roman" w:hAnsi="Times New Roman"/>
          <w:color w:val="auto"/>
          <w:sz w:val="28"/>
          <w:szCs w:val="28"/>
          <w:highlight w:val="none"/>
        </w:rPr>
        <w:t>③</w:t>
      </w:r>
      <w:r>
        <w:rPr>
          <w:rFonts w:hint="eastAsia" w:ascii="Times New Roman" w:hAnsi="Times New Roman"/>
          <w:color w:val="auto"/>
          <w:sz w:val="24"/>
          <w:szCs w:val="24"/>
          <w:highlight w:val="none"/>
        </w:rPr>
        <w:t xml:space="preserve"> 总监理工程师必须根据实际情况、设计变更文件和其他有关资料，按照施工合同的有关条款，在指定专业监理工程师完成下列各项工作后，对工程变更的费用和工期作出评估：</w:t>
      </w:r>
    </w:p>
    <w:p w14:paraId="1CE6A620">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审核工程变更项目与原工程项目之间的类似程度和难易程度；</w:t>
      </w:r>
    </w:p>
    <w:p w14:paraId="3412A6B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审核工程变更项目的工程量；</w:t>
      </w:r>
    </w:p>
    <w:p w14:paraId="620F521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审核工程变更的单价和总价；</w:t>
      </w:r>
    </w:p>
    <w:p w14:paraId="270BA1C6">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审核工程变更所引起的工期变化。</w:t>
      </w:r>
    </w:p>
    <w:p w14:paraId="41A5363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总监理工程师应就工程变更费用及工期的评估情况与承包人和委托人进行协调。</w:t>
      </w:r>
    </w:p>
    <w:p w14:paraId="383A2C6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总监理工程师签发工程变更单。工程变更单应包括工程变更要求、工程变更说明、工程变更费用和工期、必要的附件等内容，有设计变更文件的工程变更应附设计变更文件。</w:t>
      </w:r>
    </w:p>
    <w:p w14:paraId="5F2FE5B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项目监理机构应根据工程变更单监督承包人实施。</w:t>
      </w:r>
    </w:p>
    <w:p w14:paraId="36E4866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）项目监理机构处理工程变更应符合下列要求：</w:t>
      </w:r>
    </w:p>
    <w:p w14:paraId="7CF36B8F">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094F919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在项目监理机构未能就工程变更的质量、费用和工期方面取得委托人授权时，总监理工程师应协助委托人和承包人进行协商，并达成一致；</w:t>
      </w:r>
    </w:p>
    <w:p w14:paraId="7931E1F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）在总监理工程师签发工程变更单之前，承包人不得实施工程变更。</w:t>
      </w:r>
    </w:p>
    <w:p w14:paraId="11F4ED3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）未经总监理工程师审查同意而实施的工程变更，项目监理机构不得予以计量。</w:t>
      </w:r>
    </w:p>
    <w:p w14:paraId="3ED3931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监理人必须按月度提交项目造价变更统计表给委托人。</w:t>
      </w:r>
    </w:p>
    <w:p w14:paraId="2DB2DD9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）工程签证的管理</w:t>
      </w:r>
    </w:p>
    <w:p w14:paraId="3CA43EF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6F782D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）分段结算工作的管理</w:t>
      </w:r>
    </w:p>
    <w:p w14:paraId="6DCD0B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为确保本合同工程结算的顺利进行，委托人可能对本合同工程按分部分项或单位工程进行分段结算（单位工程、分部工程或分项工程），监理人在接到委托人关于分段结算配合工作的指令后7天内向委托人提交相关的分段结算配合服务工作计划，监理人应根据经过委托人批准的分段结算配合服务工作计划积极配合相关的分段结算工作。</w:t>
      </w:r>
    </w:p>
    <w:p w14:paraId="5B3AA59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14:paraId="4B8FAC7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63E88D1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）分段结算涉及到的资料（但不限于以下）：</w:t>
      </w:r>
    </w:p>
    <w:p w14:paraId="64925DE2">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结算书；</w:t>
      </w:r>
    </w:p>
    <w:p w14:paraId="196829E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工程量计算书（即计算底稿）；</w:t>
      </w:r>
    </w:p>
    <w:p w14:paraId="05B230F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钢筋抽料表（建筑、市政、园林景观等工程适用）；</w:t>
      </w:r>
    </w:p>
    <w:p w14:paraId="585C08D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图纸会审记录；</w:t>
      </w:r>
    </w:p>
    <w:p w14:paraId="49B1AFE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设计变更单；</w:t>
      </w:r>
    </w:p>
    <w:p w14:paraId="76FDE81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工程洽商记录；</w:t>
      </w:r>
    </w:p>
    <w:p w14:paraId="04CF4B44">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总监理工程师通知或委托人施工指令；</w:t>
      </w:r>
    </w:p>
    <w:p w14:paraId="678EFB5E">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会议纪要；</w:t>
      </w:r>
    </w:p>
    <w:p w14:paraId="1D2AFB5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工程签证；</w:t>
      </w:r>
    </w:p>
    <w:p w14:paraId="4CDBF4A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材料设备单价呈批审核单；</w:t>
      </w:r>
    </w:p>
    <w:p w14:paraId="34876617">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综合单价呈批审核单；</w:t>
      </w:r>
    </w:p>
    <w:p w14:paraId="2C8A6083">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委托人供应材料收货验收签收单；</w:t>
      </w:r>
    </w:p>
    <w:p w14:paraId="3395AA44">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验收记录或验收报告；</w:t>
      </w:r>
    </w:p>
    <w:p w14:paraId="454F42D6">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其他分段结算资料；</w:t>
      </w:r>
    </w:p>
    <w:p w14:paraId="7CB7FA51">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移交资料签收表。</w:t>
      </w:r>
    </w:p>
    <w:p w14:paraId="6AD2C67C">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.3.3</w:t>
      </w:r>
      <w:r>
        <w:rPr>
          <w:rFonts w:hint="eastAsia" w:ascii="Times New Roman" w:hAnsi="Times New Roman"/>
          <w:b/>
          <w:snapToGrid w:val="0"/>
          <w:color w:val="auto"/>
          <w:spacing w:val="4"/>
          <w:kern w:val="0"/>
          <w:sz w:val="24"/>
          <w:szCs w:val="24"/>
          <w:highlight w:val="none"/>
        </w:rPr>
        <w:t xml:space="preserve"> 工程进度控制工作</w:t>
      </w:r>
    </w:p>
    <w:p w14:paraId="4A0BD2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项目监理机构应按下列程序进行工程进度控制：</w:t>
      </w:r>
    </w:p>
    <w:p w14:paraId="7E9121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总监理工程师审批承包人报送的施工总进度计划；</w:t>
      </w:r>
    </w:p>
    <w:p w14:paraId="0E983EA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总监理工程师审批承包人编制的年、季、月度施工进度计划；</w:t>
      </w:r>
    </w:p>
    <w:p w14:paraId="4BC8CDE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专业监理工程师对进度计划实施情况检查、分析；</w:t>
      </w:r>
    </w:p>
    <w:p w14:paraId="3815B7D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当实际进度符合计划进度时，应要求承包人编制下一期进度计划；当实际进度滞后于计划进度时，专业监理工程师应书面通知承包人采取纠偏措施并监督实施。</w:t>
      </w:r>
    </w:p>
    <w:p w14:paraId="06C3FC0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专业监理工程师应依据施工合同有关条款、施工图及经过批准的施工组织设计制定进度控制方案，对进度目标进行风险分析，制定防范性对策，经总监理工程师审定后报送委托人。</w:t>
      </w:r>
    </w:p>
    <w:p w14:paraId="7DD9CE2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专业监理工程师应检查进度计划的实施，并记录实际进度及其相关情况。</w:t>
      </w:r>
    </w:p>
    <w:p w14:paraId="457947F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施工阶段的工程进度控制中的其他监理工作</w:t>
      </w:r>
    </w:p>
    <w:p w14:paraId="64D67EF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当发现实际进度滞后于计划进度时，应签发监理工程师通知单指令承包人采取调整措施。当实际进度严重滞后于计划进度时应及时报总监理工程师，由总监理工程师与委托人商定采取进一步措施。</w:t>
      </w:r>
    </w:p>
    <w:p w14:paraId="3CE11EB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总监理工程师应在监理月报中向委托人报告工程进度和所采取进度控制措施的执行情况，并提出合理预防由于委托人原因导致的工程延期及其相关费用索赔的建议。</w:t>
      </w:r>
    </w:p>
    <w:p w14:paraId="338C02FD">
      <w:pPr>
        <w:topLinePunct/>
        <w:adjustRightInd w:val="0"/>
        <w:snapToGrid w:val="0"/>
        <w:spacing w:line="480" w:lineRule="exact"/>
        <w:ind w:firstLine="498" w:firstLineChars="200"/>
        <w:outlineLvl w:val="4"/>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.3.4</w:t>
      </w:r>
      <w:r>
        <w:rPr>
          <w:rFonts w:hint="eastAsia" w:ascii="Times New Roman" w:hAnsi="Times New Roman"/>
          <w:b/>
          <w:snapToGrid w:val="0"/>
          <w:color w:val="auto"/>
          <w:spacing w:val="4"/>
          <w:kern w:val="0"/>
          <w:sz w:val="24"/>
          <w:szCs w:val="24"/>
          <w:highlight w:val="none"/>
        </w:rPr>
        <w:t xml:space="preserve"> 工程职业健康安全控制工作</w:t>
      </w:r>
    </w:p>
    <w:p w14:paraId="5B0416D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工程职业健康安全控制应遵循下列程序：</w:t>
      </w:r>
    </w:p>
    <w:p w14:paraId="2ADAF7F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确定施工职业健康安全目标；</w:t>
      </w:r>
    </w:p>
    <w:p w14:paraId="3A3B5E2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编制工程职业健康安全保证计划；</w:t>
      </w:r>
    </w:p>
    <w:p w14:paraId="5853B18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实施工程职业健康安全计划；</w:t>
      </w:r>
    </w:p>
    <w:p w14:paraId="64DAB76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工程职业健康安全保证计划验证；</w:t>
      </w:r>
    </w:p>
    <w:p w14:paraId="6EDFAFE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持续改进。</w:t>
      </w:r>
    </w:p>
    <w:p w14:paraId="46276B5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编制安全监理实施细则，对施工中人的不安全行为、物的不安全状态、作业环境的不安全因素和管理缺陷进行相应的安全控制。</w:t>
      </w:r>
    </w:p>
    <w:p w14:paraId="0A4D7B6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检查项目施工安全目标的要求配置的资源是否满足需要。</w:t>
      </w:r>
    </w:p>
    <w:p w14:paraId="4596517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要求承包人对结构复杂、施工难度大、专业性强的项目和达到一定规模的危险性较大的分部分项工程编制专项施工方案，必要时，组织专家进行论证、审查：</w:t>
      </w:r>
    </w:p>
    <w:p w14:paraId="01D41A0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基坑支护及降水工程；</w:t>
      </w:r>
    </w:p>
    <w:p w14:paraId="3C3531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土方开挖工程；</w:t>
      </w:r>
    </w:p>
    <w:p w14:paraId="2873B0C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模板工程；</w:t>
      </w:r>
    </w:p>
    <w:p w14:paraId="278412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起重吊装工程；</w:t>
      </w:r>
    </w:p>
    <w:p w14:paraId="65C374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脚手架工程；</w:t>
      </w:r>
    </w:p>
    <w:p w14:paraId="7DA975D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拆除、爆破工程；</w:t>
      </w:r>
    </w:p>
    <w:p w14:paraId="133D27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其他危险性较大的工程。</w:t>
      </w:r>
    </w:p>
    <w:p w14:paraId="342F247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（5）定期组织安全控制计划的执行情况</w:t>
      </w:r>
      <w:r>
        <w:rPr>
          <w:rFonts w:hint="eastAsia" w:ascii="Times New Roman" w:hAnsi="Times New Roman"/>
          <w:snapToGrid w:val="0"/>
          <w:color w:val="auto"/>
          <w:spacing w:val="4"/>
          <w:kern w:val="0"/>
          <w:sz w:val="24"/>
          <w:szCs w:val="24"/>
          <w:highlight w:val="none"/>
        </w:rPr>
        <w:t>并</w:t>
      </w:r>
      <w:r>
        <w:rPr>
          <w:rFonts w:ascii="Times New Roman" w:hAnsi="Times New Roman"/>
          <w:snapToGrid w:val="0"/>
          <w:color w:val="auto"/>
          <w:spacing w:val="4"/>
          <w:kern w:val="0"/>
          <w:sz w:val="24"/>
          <w:szCs w:val="24"/>
          <w:highlight w:val="none"/>
        </w:rPr>
        <w:t>进行检查考核和评价</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对施工中存在的不安全行为和隐患，分析原因并制定相应整改防范措施。</w:t>
      </w:r>
    </w:p>
    <w:p w14:paraId="1316DAC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（6）采取随机抽样、现场观察、实地检测相结合的方法</w:t>
      </w:r>
      <w:r>
        <w:rPr>
          <w:rFonts w:hint="eastAsia" w:ascii="Times New Roman" w:hAnsi="Times New Roman"/>
          <w:snapToGrid w:val="0"/>
          <w:color w:val="auto"/>
          <w:spacing w:val="4"/>
          <w:kern w:val="0"/>
          <w:sz w:val="24"/>
          <w:szCs w:val="24"/>
          <w:highlight w:val="none"/>
        </w:rPr>
        <w:t>进行安全检查</w:t>
      </w:r>
      <w:r>
        <w:rPr>
          <w:rFonts w:ascii="Times New Roman" w:hAnsi="Times New Roman"/>
          <w:snapToGrid w:val="0"/>
          <w:color w:val="auto"/>
          <w:spacing w:val="4"/>
          <w:kern w:val="0"/>
          <w:sz w:val="24"/>
          <w:szCs w:val="24"/>
          <w:highlight w:val="none"/>
        </w:rPr>
        <w:t>，并记录检测结果。对现场管理人员的违章指挥和操作人员的违章作业行为应进行纠正</w:t>
      </w:r>
      <w:r>
        <w:rPr>
          <w:rFonts w:hint="eastAsia" w:ascii="Times New Roman" w:hAnsi="Times New Roman"/>
          <w:snapToGrid w:val="0"/>
          <w:color w:val="auto"/>
          <w:spacing w:val="4"/>
          <w:kern w:val="0"/>
          <w:sz w:val="24"/>
          <w:szCs w:val="24"/>
          <w:highlight w:val="none"/>
        </w:rPr>
        <w:t>。</w:t>
      </w:r>
    </w:p>
    <w:p w14:paraId="1F34E0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（7）对检查结果进行分析，找出安全隐患部位，确定危险程度。</w:t>
      </w:r>
    </w:p>
    <w:p w14:paraId="37B66BA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对检查出的隐患立即发出安全隐患整改通知单。受检单位应对安全隐患原因进行分析，制定和落实纠正和预防措施。</w:t>
      </w:r>
    </w:p>
    <w:p w14:paraId="1D70D97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对纠正预防措施的实施过程和实施效果应进行跟踪检查，保存验证记录。</w:t>
      </w:r>
    </w:p>
    <w:p w14:paraId="520EECA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安全网络视频监控管理内容</w:t>
      </w:r>
    </w:p>
    <w:p w14:paraId="4DB22E4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监理人监督承包人必须遵照《关于广州市建筑工地安装视频监控装置的通知》（穗建筑</w:t>
      </w:r>
      <w:r>
        <w:rPr>
          <w:rFonts w:ascii="Times New Roman" w:hAnsi="Times New Roman"/>
          <w:snapToGrid w:val="0"/>
          <w:color w:val="auto"/>
          <w:spacing w:val="4"/>
          <w:kern w:val="0"/>
          <w:sz w:val="24"/>
          <w:szCs w:val="24"/>
          <w:highlight w:val="none"/>
        </w:rPr>
        <w:t>[2006]551</w:t>
      </w:r>
      <w:r>
        <w:rPr>
          <w:rFonts w:hint="eastAsia" w:ascii="Times New Roman" w:hAnsi="Times New Roman"/>
          <w:snapToGrid w:val="0"/>
          <w:color w:val="auto"/>
          <w:spacing w:val="4"/>
          <w:kern w:val="0"/>
          <w:sz w:val="24"/>
          <w:szCs w:val="24"/>
          <w:highlight w:val="none"/>
        </w:rPr>
        <w:t>号）和《关于全面启动广州市社会治安视频监控系统建设有关问题的通知》（穗视频建字</w:t>
      </w:r>
      <w:r>
        <w:rPr>
          <w:rFonts w:ascii="Times New Roman" w:hAnsi="Times New Roman"/>
          <w:snapToGrid w:val="0"/>
          <w:color w:val="auto"/>
          <w:spacing w:val="4"/>
          <w:kern w:val="0"/>
          <w:sz w:val="24"/>
          <w:szCs w:val="24"/>
          <w:highlight w:val="none"/>
        </w:rPr>
        <w:t>〔2006〕1</w:t>
      </w:r>
      <w:r>
        <w:rPr>
          <w:rFonts w:hint="eastAsia" w:ascii="Times New Roman" w:hAnsi="Times New Roman"/>
          <w:snapToGrid w:val="0"/>
          <w:color w:val="auto"/>
          <w:spacing w:val="4"/>
          <w:kern w:val="0"/>
          <w:sz w:val="24"/>
          <w:szCs w:val="24"/>
          <w:highlight w:val="none"/>
        </w:rPr>
        <w:t>号）、《广州市住房和城乡建设委员会关于全市建设工地纳入视频监管的通知》（穗建质〔2017〕1166号）文件的要求，满足安全文明监控的需要。</w:t>
      </w:r>
    </w:p>
    <w:p w14:paraId="2D5A41A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监理人对视频监控系统反馈信息的分析、上报、决策、实施，严格按照安全控制流程及相关规定进行处理。</w:t>
      </w:r>
    </w:p>
    <w:p w14:paraId="1E27FF5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监理人建立专门的视频监控系统资料收集、查阅、检索、档案系统，并设置专人专职负责。</w:t>
      </w:r>
    </w:p>
    <w:p w14:paraId="5E8FB3E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职业健康安全质量事故的处理</w:t>
      </w:r>
    </w:p>
    <w:p w14:paraId="2AA93ED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5AA05E28">
      <w:pPr>
        <w:topLinePunct/>
        <w:adjustRightInd w:val="0"/>
        <w:snapToGrid w:val="0"/>
        <w:spacing w:line="480" w:lineRule="exact"/>
        <w:ind w:firstLine="498" w:firstLineChars="200"/>
        <w:outlineLvl w:val="4"/>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.3.5</w:t>
      </w:r>
      <w:r>
        <w:rPr>
          <w:rFonts w:hint="eastAsia" w:ascii="Times New Roman" w:hAnsi="Times New Roman"/>
          <w:b/>
          <w:snapToGrid w:val="0"/>
          <w:color w:val="auto"/>
          <w:spacing w:val="4"/>
          <w:kern w:val="0"/>
          <w:sz w:val="24"/>
          <w:szCs w:val="24"/>
          <w:highlight w:val="none"/>
        </w:rPr>
        <w:t xml:space="preserve"> 工程材料设备控制工作</w:t>
      </w:r>
    </w:p>
    <w:p w14:paraId="776D1E6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甲供材料设备的管理，包括：</w:t>
      </w:r>
    </w:p>
    <w:p w14:paraId="318494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审核承包人编制的机电设备安装、调试、验收计划；</w:t>
      </w:r>
    </w:p>
    <w:p w14:paraId="05B313A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主持施工图交底审查会；</w:t>
      </w:r>
    </w:p>
    <w:p w14:paraId="4C70AB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检查承包人为设备提供运输所需通道和卸货作业场地及设备仓库或符合要求的材料堆放场地的落实情况；</w:t>
      </w:r>
    </w:p>
    <w:p w14:paraId="0DB7E4B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参加设备的到货验收、开箱检验，并签署相关文件；</w:t>
      </w:r>
    </w:p>
    <w:p w14:paraId="490DC96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负责机电设备安装、调试、验收过程中的质量、安全、进度控制。</w:t>
      </w:r>
    </w:p>
    <w:p w14:paraId="7F499A4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甲招乙供材料设备的管理，包括：</w:t>
      </w:r>
    </w:p>
    <w:p w14:paraId="0F8316A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协助委托人针对甲招乙供材料设备开展的公开招标活动；</w:t>
      </w:r>
    </w:p>
    <w:p w14:paraId="28804F4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督促并审核承包人签订材料设备供货合同及合同款的支付情况；</w:t>
      </w:r>
    </w:p>
    <w:p w14:paraId="419D02B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审核并批准承包人编制的材料设备生产和到货进度计划；</w:t>
      </w:r>
    </w:p>
    <w:p w14:paraId="4F0CE35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审核承包人编制的机电设备安装、调试、验收计划；</w:t>
      </w:r>
    </w:p>
    <w:p w14:paraId="48B1D4C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检查承包人为设备提供运输所需通道和卸货作业场地及设备仓库或符合要求的材料堆放场地的落实情况；</w:t>
      </w:r>
    </w:p>
    <w:p w14:paraId="2966CD1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参加设备的到货验收、开箱检验，并签署相关文件；</w:t>
      </w:r>
    </w:p>
    <w:p w14:paraId="269962E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负责机电设备安装、调试、验收过程中的投资、质量、进度控制；</w:t>
      </w:r>
    </w:p>
    <w:p w14:paraId="1819BD0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审核承包人提供的材料设备的结算资料。</w:t>
      </w:r>
    </w:p>
    <w:p w14:paraId="291FA4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甲管乙供材料设备的管理，包括：</w:t>
      </w:r>
    </w:p>
    <w:p w14:paraId="6780FAD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协助委托人针对甲管乙供材料设备的公开择优竞价活动；</w:t>
      </w:r>
    </w:p>
    <w:p w14:paraId="5A97B22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督促并审核承包人签订材料设备供货合同及合同款的支付情况；</w:t>
      </w:r>
    </w:p>
    <w:p w14:paraId="15E91C0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审核承包人提供的材料设备数量；</w:t>
      </w:r>
    </w:p>
    <w:p w14:paraId="3FF5255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审核并批准承包人编制的材料设备生产和到货进度计划；</w:t>
      </w:r>
    </w:p>
    <w:p w14:paraId="6FFDFEE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监督检查承包人对材料设备生产的质量控制；</w:t>
      </w:r>
    </w:p>
    <w:p w14:paraId="1304B8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参加出厂验收；</w:t>
      </w:r>
    </w:p>
    <w:p w14:paraId="714126B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审核承包人编制的材料设备安装、调试、验收计划；</w:t>
      </w:r>
    </w:p>
    <w:p w14:paraId="395F35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主持施工图交底审查会；</w:t>
      </w:r>
    </w:p>
    <w:p w14:paraId="3208673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检查承包人为材料设备提供运输所需通道和卸货作业场地及材料设备仓库或符合要求的材料堆放场地的落实情况；</w:t>
      </w:r>
    </w:p>
    <w:p w14:paraId="12D138E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参加材料设备的到货验收、开箱检验，并签署相关文件；</w:t>
      </w:r>
    </w:p>
    <w:p w14:paraId="37523CB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负责材料设备安装、调试、验收过程中的投资、质量、进度控制；</w:t>
      </w:r>
    </w:p>
    <w:p w14:paraId="2947CD3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审核承包人提供的材料设备的结算资料；</w:t>
      </w:r>
    </w:p>
    <w:p w14:paraId="3233890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13）</w:t>
      </w:r>
      <w:r>
        <w:rPr>
          <w:rFonts w:hint="eastAsia" w:ascii="Times New Roman" w:hAnsi="Times New Roman"/>
          <w:snapToGrid w:val="0"/>
          <w:color w:val="auto"/>
          <w:spacing w:val="4"/>
          <w:kern w:val="0"/>
          <w:sz w:val="24"/>
          <w:szCs w:val="24"/>
          <w:highlight w:val="none"/>
        </w:rPr>
        <w:t>检查质量保证期工作。</w:t>
      </w:r>
    </w:p>
    <w:p w14:paraId="5A90CAB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乙供材料设备的管理，包括：</w:t>
      </w:r>
    </w:p>
    <w:p w14:paraId="7382180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审核工程总体材料设备使用计划和月度材料设备分批使用计划；</w:t>
      </w:r>
    </w:p>
    <w:p w14:paraId="19C5EE5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审核承包人选定的材料设备合格供货商并对样品进行封存；</w:t>
      </w:r>
    </w:p>
    <w:p w14:paraId="04F9F73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督促并审核承包人签订材料设备供货合同；</w:t>
      </w:r>
    </w:p>
    <w:p w14:paraId="11E8A8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组织承包人拟定准确的材料设备进场计划，及时进行材料设备的采购及供货；</w:t>
      </w:r>
    </w:p>
    <w:p w14:paraId="2AC76AD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组织承包人认真清点到货材料设备，在安装材料设备过程中及安装后应进行监督、检验，把好质量关；</w:t>
      </w:r>
    </w:p>
    <w:p w14:paraId="7A9BD1D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对承包人所定材料设备规格、型号、数量、质量必须严格把关，发现货不对板情况应及时向委托人汇报；</w:t>
      </w:r>
    </w:p>
    <w:p w14:paraId="038D7B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负责材料设备安装、调试、验收过程中的投资、质量、进度控制；</w:t>
      </w:r>
    </w:p>
    <w:p w14:paraId="66C0D2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审核承包人提供的材料设备的结算资料；</w:t>
      </w:r>
    </w:p>
    <w:p w14:paraId="210D3ED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检查质量保证期工作。</w:t>
      </w:r>
    </w:p>
    <w:p w14:paraId="567C771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建筑装饰材料的管理，包括：</w:t>
      </w:r>
    </w:p>
    <w:p w14:paraId="4D4CC65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协助委托人进行材料管理及采购策划；</w:t>
      </w:r>
    </w:p>
    <w:p w14:paraId="7F9FCE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协助委托人选定合格材料供货商；</w:t>
      </w:r>
    </w:p>
    <w:p w14:paraId="12C9A1C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协助并督促承包人签订材料供货合同；</w:t>
      </w:r>
    </w:p>
    <w:p w14:paraId="24E2B60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督促承包人拟定准确的分批次订货计划，及时进行材料的采购及供货；</w:t>
      </w:r>
    </w:p>
    <w:p w14:paraId="42495E0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对材料到货、施工过程中及施工后进行监督、检验，把好材料质量关；</w:t>
      </w:r>
    </w:p>
    <w:p w14:paraId="4BB0ED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对材料变更费用进行预测及审核，提出专业意见及建议；</w:t>
      </w:r>
    </w:p>
    <w:p w14:paraId="267203C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负责供货单位与承包人的协调。</w:t>
      </w:r>
    </w:p>
    <w:p w14:paraId="7AC2BC9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材料设备采购监理，包括：</w:t>
      </w:r>
    </w:p>
    <w:p w14:paraId="453572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监理合同；</w:t>
      </w:r>
    </w:p>
    <w:p w14:paraId="6FCEE59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设备采购方案计划；</w:t>
      </w:r>
    </w:p>
    <w:p w14:paraId="7EEB173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设计图纸和文件；</w:t>
      </w:r>
    </w:p>
    <w:p w14:paraId="7981F95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市场调查、考察报告；</w:t>
      </w:r>
    </w:p>
    <w:p w14:paraId="3A6283D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设备采购招投标文件；</w:t>
      </w:r>
    </w:p>
    <w:p w14:paraId="0EB57AF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设备采购订货合同；</w:t>
      </w:r>
    </w:p>
    <w:p w14:paraId="4195C13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设备采购监理工作总结。</w:t>
      </w:r>
    </w:p>
    <w:p w14:paraId="5455EC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施工阶段材料设备控制中的其它监理工作，包括：</w:t>
      </w:r>
    </w:p>
    <w:p w14:paraId="7A5D889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根据委托人的委托实施设备监造工作（设备监造酬金包括在本合同价款中），具体工作如下：</w:t>
      </w:r>
    </w:p>
    <w:p w14:paraId="7A8796C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监理人应根据设备监造阶段的监理工作内容，成立由总监理工程师和专业监理工程师组成的项目监理机构。项目监理机构应进驻设备制造现场。</w:t>
      </w:r>
    </w:p>
    <w:p w14:paraId="25391ED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6DAC9A35">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总监理工程师应组织专业监理工程师编制设备监造规划，经监理人技术负责人审核批准后，在设备制造开始前十天内报送委托人。</w:t>
      </w:r>
    </w:p>
    <w:p w14:paraId="5AB3FAC8">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总监理工程师应审查设备制造单位报送的设备制造生产计划和工艺方案，提出审查意见，符合要求后予以批准，并报委托人。</w:t>
      </w:r>
    </w:p>
    <w:p w14:paraId="3496768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总监理工程师应审核设备制造分包单位的资质情况、实际生产能力和质量保证体系，符合要求后予以确认。</w:t>
      </w:r>
    </w:p>
    <w:p w14:paraId="3B151C0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专业监理工程师应审查设备制造的检验计划和检验要求，确认各阶段的检验时间、内容、方法、标准以及检测手段、检测设备和仪器。</w:t>
      </w:r>
    </w:p>
    <w:p w14:paraId="6803180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专业监理工程师必须对设备制造过程中拟采用的新技术、新材料、新工艺的鉴定书和试验报告进行审核，并签署意见。</w:t>
      </w:r>
    </w:p>
    <w:p w14:paraId="4EC9D16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专业监理工程师应审查主要及关键零件的生产工艺设备、操作规程和相关生产人员的上岗资格，并对设备制造和装配场所的环境进行检查。</w:t>
      </w:r>
    </w:p>
    <w:p w14:paraId="3EFF55D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6221E45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专业监理工程师应对设备制造过程进行监督和检查，对主要及关键零部件的制造工序应进行抽检或检验。</w:t>
      </w:r>
    </w:p>
    <w:p w14:paraId="1B815090">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054A7CE3">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专业监理工程师应检查和监督设备的装配过程，符合要求后予以签认。</w:t>
      </w:r>
    </w:p>
    <w:p w14:paraId="55C853E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在设备制造过程中如需要对设备的原设计进行变更，专业监理工程师应审核设计变更，并审查因变更引起的费用增减和制造工期的变化。</w:t>
      </w:r>
    </w:p>
    <w:p w14:paraId="05B6766B">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总监理工程师应组织专业监理工程师参加设备制造过程中的调试、整机性能检测和验证，符合要求后予以签认。</w:t>
      </w:r>
    </w:p>
    <w:p w14:paraId="340A9F2E">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在设备运往现场前，专业监理工程师应检查设备制造单位对待运设备采取的防护和包装措施，并应检查是否符合运输、装卸、储存、安装的要求，以及相关的随机文件、装箱单和附件是否齐全。</w:t>
      </w:r>
    </w:p>
    <w:p w14:paraId="6D319C20">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16</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设备全部运到现场后，总监理工程师应组织专业监理工程师参加由设备制造单位按合同规定与安装单位的交接工作，开箱清点、检查、验收、移交。</w:t>
      </w:r>
    </w:p>
    <w:p w14:paraId="02BCFD9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17</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专业监理工程师应按设备采购合同的规定审核设备制造单位提交的进度付款单，提出审核意见，由总监理工程师复核后报委托人。</w:t>
      </w:r>
    </w:p>
    <w:p w14:paraId="052406E6">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18</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专业监理工程师应审查委托人或设备制造单位提出的索赔文件，提出意见后报总监理工程师，由总监理工程师与委托人、设备制造单位进行协商，并提出审核报告。</w:t>
      </w:r>
    </w:p>
    <w:p w14:paraId="4F03AB36">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19</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专业监理工程师应审核设备制造单位报送的设备制造结算文件，并提出审核意见，报总监理工程师审核，由总监理工程师与委托人、设备制造单位进行协商，并提出审核报告。</w:t>
      </w:r>
    </w:p>
    <w:p w14:paraId="0DB46275">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20</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在设备监造工作结束后，总监理工程师应组织编写设备监造工作总结。</w:t>
      </w:r>
    </w:p>
    <w:p w14:paraId="7CAB582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根据委托人委托的设备监造工作提交相关的监理资料（相关费用已包含在设备监造酬金之内），包括：</w:t>
      </w:r>
    </w:p>
    <w:p w14:paraId="083CC45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设备采购合同及监理合同；</w:t>
      </w:r>
    </w:p>
    <w:p w14:paraId="5DE3474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设备监造规划；</w:t>
      </w:r>
    </w:p>
    <w:p w14:paraId="59BD8B9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设备制造的生产计划和工艺方案；</w:t>
      </w:r>
    </w:p>
    <w:p w14:paraId="0A59AD9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设备制造的检验计划和检验要求；</w:t>
      </w:r>
    </w:p>
    <w:p w14:paraId="1295D46D">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分包单位资格报审表；</w:t>
      </w:r>
    </w:p>
    <w:p w14:paraId="0D1BF9C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⑥</w:t>
      </w:r>
      <w:r>
        <w:rPr>
          <w:rFonts w:hint="eastAsia" w:ascii="Times New Roman" w:hAnsi="Times New Roman"/>
          <w:snapToGrid w:val="0"/>
          <w:color w:val="auto"/>
          <w:spacing w:val="4"/>
          <w:kern w:val="0"/>
          <w:sz w:val="24"/>
          <w:szCs w:val="24"/>
          <w:highlight w:val="none"/>
        </w:rPr>
        <w:t xml:space="preserve"> 原材料、零配件等的质量证明文件和检验报告；</w:t>
      </w:r>
    </w:p>
    <w:p w14:paraId="6AD29459">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⑦</w:t>
      </w:r>
      <w:r>
        <w:rPr>
          <w:rFonts w:hint="eastAsia" w:ascii="Times New Roman" w:hAnsi="Times New Roman"/>
          <w:snapToGrid w:val="0"/>
          <w:color w:val="auto"/>
          <w:spacing w:val="4"/>
          <w:kern w:val="0"/>
          <w:sz w:val="24"/>
          <w:szCs w:val="24"/>
          <w:highlight w:val="none"/>
        </w:rPr>
        <w:t xml:space="preserve"> 开工／复工报审表、暂停令；</w:t>
      </w:r>
    </w:p>
    <w:p w14:paraId="52E6567A">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⑧</w:t>
      </w:r>
      <w:r>
        <w:rPr>
          <w:rFonts w:hint="eastAsia" w:ascii="Times New Roman" w:hAnsi="Times New Roman"/>
          <w:snapToGrid w:val="0"/>
          <w:color w:val="auto"/>
          <w:spacing w:val="4"/>
          <w:kern w:val="0"/>
          <w:sz w:val="24"/>
          <w:szCs w:val="24"/>
          <w:highlight w:val="none"/>
        </w:rPr>
        <w:t xml:space="preserve"> 检验记录及试验报告；</w:t>
      </w:r>
    </w:p>
    <w:p w14:paraId="53D3D40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⑨</w:t>
      </w:r>
      <w:r>
        <w:rPr>
          <w:rFonts w:hint="eastAsia" w:ascii="Times New Roman" w:hAnsi="Times New Roman"/>
          <w:snapToGrid w:val="0"/>
          <w:color w:val="auto"/>
          <w:spacing w:val="4"/>
          <w:kern w:val="0"/>
          <w:sz w:val="24"/>
          <w:szCs w:val="24"/>
          <w:highlight w:val="none"/>
        </w:rPr>
        <w:t xml:space="preserve"> 报验申请表；</w:t>
      </w:r>
    </w:p>
    <w:p w14:paraId="2B5A5C8B">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⑩</w:t>
      </w:r>
      <w:r>
        <w:rPr>
          <w:rFonts w:hint="eastAsia" w:ascii="Times New Roman" w:hAnsi="Times New Roman"/>
          <w:snapToGrid w:val="0"/>
          <w:color w:val="auto"/>
          <w:spacing w:val="4"/>
          <w:kern w:val="0"/>
          <w:sz w:val="24"/>
          <w:szCs w:val="24"/>
          <w:highlight w:val="none"/>
        </w:rPr>
        <w:t xml:space="preserve"> 设计变更文件；</w:t>
      </w:r>
    </w:p>
    <w:p w14:paraId="2F9DEFC1">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会议纪要；</w:t>
      </w:r>
    </w:p>
    <w:p w14:paraId="111A9BDC">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来往文件；</w:t>
      </w:r>
    </w:p>
    <w:p w14:paraId="6B1EFDBB">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13</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监理日记；</w:t>
      </w:r>
    </w:p>
    <w:p w14:paraId="274AF670">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14</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监理工程师通知单；</w:t>
      </w:r>
    </w:p>
    <w:p w14:paraId="6C6178D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15</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监理工作联系单；</w:t>
      </w:r>
    </w:p>
    <w:p w14:paraId="51F9C68F">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16</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监理月报；</w:t>
      </w:r>
    </w:p>
    <w:p w14:paraId="194B10FB">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17</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质量事故处理文件；</w:t>
      </w:r>
    </w:p>
    <w:p w14:paraId="376058B9">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18</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设备制造索赔文件；</w:t>
      </w:r>
    </w:p>
    <w:p w14:paraId="709DA5B2">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19</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设备验收文件；</w:t>
      </w:r>
    </w:p>
    <w:p w14:paraId="34CBA765">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20</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设备交接文件；</w:t>
      </w:r>
    </w:p>
    <w:p w14:paraId="7011CFD3">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21</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支付证书和设备制造结算审核文件；</w:t>
      </w:r>
    </w:p>
    <w:p w14:paraId="62B6E30E">
      <w:pPr>
        <w:topLinePunct/>
        <w:adjustRightInd w:val="0"/>
        <w:snapToGrid w:val="0"/>
        <w:spacing w:line="480" w:lineRule="exact"/>
        <w:ind w:firstLine="558" w:firstLineChars="225"/>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fldChar w:fldCharType="begin"/>
      </w:r>
      <w:r>
        <w:rPr>
          <w:rFonts w:ascii="Times New Roman" w:hAnsi="Times New Roman"/>
          <w:snapToGrid w:val="0"/>
          <w:color w:val="auto"/>
          <w:spacing w:val="4"/>
          <w:kern w:val="0"/>
          <w:sz w:val="24"/>
          <w:szCs w:val="24"/>
          <w:highlight w:val="none"/>
        </w:rPr>
        <w:instrText xml:space="preserve"> </w:instrText>
      </w:r>
      <w:r>
        <w:rPr>
          <w:rFonts w:hint="eastAsia" w:ascii="Times New Roman" w:hAnsi="Times New Roman"/>
          <w:snapToGrid w:val="0"/>
          <w:color w:val="auto"/>
          <w:spacing w:val="4"/>
          <w:kern w:val="0"/>
          <w:sz w:val="24"/>
          <w:szCs w:val="24"/>
          <w:highlight w:val="none"/>
        </w:rPr>
        <w:instrText xml:space="preserve">eq \o\ac(</w:instrText>
      </w:r>
      <w:r>
        <w:rPr>
          <w:rFonts w:hint="eastAsia" w:ascii="Times New Roman" w:hAnsi="Times New Roman"/>
          <w:snapToGrid w:val="0"/>
          <w:color w:val="auto"/>
          <w:spacing w:val="4"/>
          <w:kern w:val="0"/>
          <w:position w:val="-4"/>
          <w:sz w:val="36"/>
          <w:szCs w:val="24"/>
          <w:highlight w:val="none"/>
        </w:rPr>
        <w:instrText xml:space="preserve">○</w:instrText>
      </w:r>
      <w:r>
        <w:rPr>
          <w:rFonts w:hint="eastAsia" w:ascii="Times New Roman" w:hAnsi="Times New Roman"/>
          <w:snapToGrid w:val="0"/>
          <w:color w:val="auto"/>
          <w:spacing w:val="4"/>
          <w:kern w:val="0"/>
          <w:sz w:val="24"/>
          <w:szCs w:val="24"/>
          <w:highlight w:val="none"/>
        </w:rPr>
        <w:instrText xml:space="preserve">,</w:instrText>
      </w:r>
      <w:r>
        <w:rPr>
          <w:rFonts w:hint="eastAsia" w:ascii="Times New Roman" w:hAnsi="Times New Roman"/>
          <w:snapToGrid w:val="0"/>
          <w:color w:val="auto"/>
          <w:kern w:val="0"/>
          <w:sz w:val="24"/>
          <w:szCs w:val="24"/>
          <w:highlight w:val="none"/>
        </w:rPr>
        <w:instrText xml:space="preserve">22</w:instrText>
      </w:r>
      <w:r>
        <w:rPr>
          <w:rFonts w:hint="eastAsia" w:ascii="Times New Roman" w:hAnsi="Times New Roman"/>
          <w:snapToGrid w:val="0"/>
          <w:color w:val="auto"/>
          <w:spacing w:val="4"/>
          <w:kern w:val="0"/>
          <w:sz w:val="24"/>
          <w:szCs w:val="24"/>
          <w:highlight w:val="none"/>
        </w:rPr>
        <w:instrText xml:space="preserve">)</w:instrText>
      </w:r>
      <w:r>
        <w:rPr>
          <w:rFonts w:ascii="Times New Roman" w:hAnsi="Times New Roman"/>
          <w:snapToGrid w:val="0"/>
          <w:color w:val="auto"/>
          <w:spacing w:val="4"/>
          <w:kern w:val="0"/>
          <w:sz w:val="24"/>
          <w:szCs w:val="24"/>
          <w:highlight w:val="none"/>
        </w:rPr>
        <w:fldChar w:fldCharType="end"/>
      </w:r>
      <w:r>
        <w:rPr>
          <w:rFonts w:hint="eastAsia" w:ascii="Times New Roman" w:hAnsi="Times New Roman"/>
          <w:snapToGrid w:val="0"/>
          <w:color w:val="auto"/>
          <w:spacing w:val="4"/>
          <w:kern w:val="0"/>
          <w:sz w:val="24"/>
          <w:szCs w:val="24"/>
          <w:highlight w:val="none"/>
        </w:rPr>
        <w:t xml:space="preserve"> 设备监造工作总结。</w:t>
      </w:r>
    </w:p>
    <w:p w14:paraId="02BC884A">
      <w:pPr>
        <w:topLinePunct/>
        <w:adjustRightInd w:val="0"/>
        <w:snapToGrid w:val="0"/>
        <w:spacing w:line="480" w:lineRule="exact"/>
        <w:ind w:firstLine="498" w:firstLineChars="200"/>
        <w:outlineLvl w:val="4"/>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.3.6</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合同管理工作</w:t>
      </w:r>
    </w:p>
    <w:p w14:paraId="27498D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（1）建立合同实施的保证体系，使工程项目的全部合同事件处于控制中，保证合同目标的实现</w:t>
      </w:r>
      <w:r>
        <w:rPr>
          <w:rFonts w:hint="eastAsia" w:ascii="Times New Roman" w:hAnsi="Times New Roman"/>
          <w:snapToGrid w:val="0"/>
          <w:color w:val="auto"/>
          <w:spacing w:val="4"/>
          <w:kern w:val="0"/>
          <w:sz w:val="24"/>
          <w:szCs w:val="24"/>
          <w:highlight w:val="none"/>
        </w:rPr>
        <w:t>。</w:t>
      </w:r>
    </w:p>
    <w:p w14:paraId="49E167A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（2）</w:t>
      </w:r>
      <w:r>
        <w:rPr>
          <w:rFonts w:ascii="Times New Roman" w:hAnsi="Times New Roman"/>
          <w:snapToGrid w:val="0"/>
          <w:color w:val="auto"/>
          <w:spacing w:val="4"/>
          <w:kern w:val="0"/>
          <w:sz w:val="24"/>
          <w:szCs w:val="24"/>
          <w:highlight w:val="none"/>
        </w:rPr>
        <w:t>建立合同管理文档系统。应建立与相适应的编码系统和文档系统，</w:t>
      </w:r>
      <w:r>
        <w:rPr>
          <w:rFonts w:hint="eastAsia" w:ascii="Times New Roman" w:hAnsi="Times New Roman"/>
          <w:snapToGrid w:val="0"/>
          <w:color w:val="auto"/>
          <w:spacing w:val="4"/>
          <w:kern w:val="0"/>
          <w:sz w:val="24"/>
          <w:szCs w:val="24"/>
          <w:highlight w:val="none"/>
        </w:rPr>
        <w:t>便于</w:t>
      </w:r>
      <w:r>
        <w:rPr>
          <w:rFonts w:ascii="Times New Roman" w:hAnsi="Times New Roman"/>
          <w:snapToGrid w:val="0"/>
          <w:color w:val="auto"/>
          <w:spacing w:val="4"/>
          <w:kern w:val="0"/>
          <w:sz w:val="24"/>
          <w:szCs w:val="24"/>
          <w:highlight w:val="none"/>
        </w:rPr>
        <w:t>各种合同资料</w:t>
      </w:r>
      <w:r>
        <w:rPr>
          <w:rFonts w:hint="eastAsia" w:ascii="Times New Roman" w:hAnsi="Times New Roman"/>
          <w:snapToGrid w:val="0"/>
          <w:color w:val="auto"/>
          <w:spacing w:val="4"/>
          <w:kern w:val="0"/>
          <w:sz w:val="24"/>
          <w:szCs w:val="24"/>
          <w:highlight w:val="none"/>
        </w:rPr>
        <w:t>的</w:t>
      </w:r>
      <w:r>
        <w:rPr>
          <w:rFonts w:ascii="Times New Roman" w:hAnsi="Times New Roman"/>
          <w:snapToGrid w:val="0"/>
          <w:color w:val="auto"/>
          <w:spacing w:val="4"/>
          <w:kern w:val="0"/>
          <w:sz w:val="24"/>
          <w:szCs w:val="24"/>
          <w:highlight w:val="none"/>
        </w:rPr>
        <w:t>保存与查询。</w:t>
      </w:r>
    </w:p>
    <w:p w14:paraId="140D93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（3）</w:t>
      </w:r>
      <w:r>
        <w:rPr>
          <w:rFonts w:ascii="Times New Roman" w:hAnsi="Times New Roman"/>
          <w:snapToGrid w:val="0"/>
          <w:color w:val="auto"/>
          <w:spacing w:val="4"/>
          <w:kern w:val="0"/>
          <w:sz w:val="24"/>
          <w:szCs w:val="24"/>
          <w:highlight w:val="none"/>
        </w:rPr>
        <w:t>建立合同文件沟通方式。承包人和委托人、监理工程师、分包人之间的有关合同的文件沟通都应以书面形式进行。</w:t>
      </w:r>
    </w:p>
    <w:p w14:paraId="28ED8B9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（4）</w:t>
      </w:r>
      <w:r>
        <w:rPr>
          <w:rFonts w:ascii="Times New Roman" w:hAnsi="Times New Roman"/>
          <w:snapToGrid w:val="0"/>
          <w:color w:val="auto"/>
          <w:spacing w:val="4"/>
          <w:kern w:val="0"/>
          <w:sz w:val="24"/>
          <w:szCs w:val="24"/>
          <w:highlight w:val="none"/>
        </w:rPr>
        <w:t>合同实施监督</w:t>
      </w:r>
      <w:r>
        <w:rPr>
          <w:rFonts w:hint="eastAsia" w:ascii="Times New Roman" w:hAnsi="Times New Roman"/>
          <w:snapToGrid w:val="0"/>
          <w:color w:val="auto"/>
          <w:spacing w:val="4"/>
          <w:kern w:val="0"/>
          <w:sz w:val="24"/>
          <w:szCs w:val="24"/>
          <w:highlight w:val="none"/>
        </w:rPr>
        <w:t>。包括：</w:t>
      </w:r>
      <w:r>
        <w:rPr>
          <w:rFonts w:ascii="Times New Roman" w:hAnsi="Times New Roman"/>
          <w:snapToGrid w:val="0"/>
          <w:color w:val="auto"/>
          <w:spacing w:val="4"/>
          <w:kern w:val="0"/>
          <w:sz w:val="24"/>
          <w:szCs w:val="24"/>
          <w:highlight w:val="none"/>
        </w:rPr>
        <w:t>监督</w:t>
      </w:r>
      <w:r>
        <w:rPr>
          <w:rFonts w:hint="eastAsia" w:ascii="Times New Roman" w:hAnsi="Times New Roman"/>
          <w:snapToGrid w:val="0"/>
          <w:color w:val="auto"/>
          <w:spacing w:val="4"/>
          <w:kern w:val="0"/>
          <w:sz w:val="24"/>
          <w:szCs w:val="24"/>
          <w:highlight w:val="none"/>
        </w:rPr>
        <w:t>总承包人</w:t>
      </w:r>
      <w:r>
        <w:rPr>
          <w:rFonts w:ascii="Times New Roman" w:hAnsi="Times New Roman"/>
          <w:snapToGrid w:val="0"/>
          <w:color w:val="auto"/>
          <w:spacing w:val="4"/>
          <w:kern w:val="0"/>
          <w:sz w:val="24"/>
          <w:szCs w:val="24"/>
          <w:highlight w:val="none"/>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在3天内将相关信息材料报告委托人。</w:t>
      </w:r>
    </w:p>
    <w:p w14:paraId="0D8E6B2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（5）</w:t>
      </w:r>
      <w:r>
        <w:rPr>
          <w:rFonts w:ascii="Times New Roman" w:hAnsi="Times New Roman"/>
          <w:snapToGrid w:val="0"/>
          <w:color w:val="auto"/>
          <w:spacing w:val="4"/>
          <w:kern w:val="0"/>
          <w:sz w:val="24"/>
          <w:szCs w:val="24"/>
          <w:highlight w:val="none"/>
        </w:rPr>
        <w:t>合同跟踪和诊断</w:t>
      </w:r>
      <w:r>
        <w:rPr>
          <w:rFonts w:hint="eastAsia" w:ascii="Times New Roman" w:hAnsi="Times New Roman"/>
          <w:snapToGrid w:val="0"/>
          <w:color w:val="auto"/>
          <w:spacing w:val="4"/>
          <w:kern w:val="0"/>
          <w:sz w:val="24"/>
          <w:szCs w:val="24"/>
          <w:highlight w:val="none"/>
        </w:rPr>
        <w:t>。包括：</w:t>
      </w:r>
    </w:p>
    <w:p w14:paraId="23F7F2B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1）全面收集并分析合同实施的信息与工程资料，将合同实施情况与合同分析资料进行对比分析，找出其中的偏离。</w:t>
      </w:r>
    </w:p>
    <w:p w14:paraId="1CF28CF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2）对合同履行情况做出诊断。合同诊断包括：合同执行差异的原因分析、合同差异责任分析、合同实施趋向预测。及时通报合同实施情况及问题，提出合同实施方面的意见、建议、甚至警告</w:t>
      </w:r>
      <w:r>
        <w:rPr>
          <w:rFonts w:hint="eastAsia" w:ascii="Times New Roman" w:hAnsi="Times New Roman"/>
          <w:snapToGrid w:val="0"/>
          <w:color w:val="auto"/>
          <w:spacing w:val="4"/>
          <w:kern w:val="0"/>
          <w:sz w:val="24"/>
          <w:szCs w:val="24"/>
          <w:highlight w:val="none"/>
        </w:rPr>
        <w:t>。</w:t>
      </w:r>
    </w:p>
    <w:p w14:paraId="1610399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3）对于发现的问题，及时采取对应的管理措施</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防止问题的扩大和重复发生。</w:t>
      </w:r>
    </w:p>
    <w:p w14:paraId="6BB2C88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严格</w:t>
      </w:r>
      <w:r>
        <w:rPr>
          <w:rFonts w:ascii="Times New Roman" w:hAnsi="Times New Roman"/>
          <w:snapToGrid w:val="0"/>
          <w:color w:val="auto"/>
          <w:spacing w:val="4"/>
          <w:kern w:val="0"/>
          <w:sz w:val="24"/>
          <w:szCs w:val="24"/>
          <w:highlight w:val="none"/>
        </w:rPr>
        <w:t>合同变更管理</w:t>
      </w:r>
      <w:r>
        <w:rPr>
          <w:rFonts w:hint="eastAsia" w:ascii="Times New Roman" w:hAnsi="Times New Roman"/>
          <w:snapToGrid w:val="0"/>
          <w:color w:val="auto"/>
          <w:spacing w:val="4"/>
          <w:kern w:val="0"/>
          <w:sz w:val="24"/>
          <w:szCs w:val="24"/>
          <w:highlight w:val="none"/>
        </w:rPr>
        <w:t>。包括：</w:t>
      </w:r>
      <w:r>
        <w:rPr>
          <w:rFonts w:ascii="Times New Roman" w:hAnsi="Times New Roman"/>
          <w:snapToGrid w:val="0"/>
          <w:color w:val="auto"/>
          <w:spacing w:val="4"/>
          <w:kern w:val="0"/>
          <w:sz w:val="24"/>
          <w:szCs w:val="24"/>
          <w:highlight w:val="none"/>
        </w:rPr>
        <w:t>变更谈判、变更的处理程序，落实变更的措施，修改变更相关的资料，检查变更措施的落实情况。</w:t>
      </w:r>
    </w:p>
    <w:p w14:paraId="3152C97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w:t>
      </w:r>
      <w:r>
        <w:rPr>
          <w:rFonts w:ascii="Times New Roman" w:hAnsi="Times New Roman"/>
          <w:snapToGrid w:val="0"/>
          <w:color w:val="auto"/>
          <w:spacing w:val="4"/>
          <w:kern w:val="0"/>
          <w:sz w:val="24"/>
          <w:szCs w:val="24"/>
          <w:highlight w:val="none"/>
        </w:rPr>
        <w:t>对收到的</w:t>
      </w:r>
      <w:r>
        <w:rPr>
          <w:rFonts w:hint="eastAsia" w:ascii="Times New Roman" w:hAnsi="Times New Roman"/>
          <w:snapToGrid w:val="0"/>
          <w:color w:val="auto"/>
          <w:spacing w:val="4"/>
          <w:kern w:val="0"/>
          <w:sz w:val="24"/>
          <w:szCs w:val="24"/>
          <w:highlight w:val="none"/>
        </w:rPr>
        <w:t>承包人</w:t>
      </w:r>
      <w:r>
        <w:rPr>
          <w:rFonts w:ascii="Times New Roman" w:hAnsi="Times New Roman"/>
          <w:snapToGrid w:val="0"/>
          <w:color w:val="auto"/>
          <w:spacing w:val="4"/>
          <w:kern w:val="0"/>
          <w:sz w:val="24"/>
          <w:szCs w:val="24"/>
          <w:highlight w:val="none"/>
        </w:rPr>
        <w:t>的索赔报告</w:t>
      </w:r>
      <w:r>
        <w:rPr>
          <w:rFonts w:hint="eastAsia" w:ascii="Times New Roman" w:hAnsi="Times New Roman"/>
          <w:snapToGrid w:val="0"/>
          <w:color w:val="auto"/>
          <w:spacing w:val="4"/>
          <w:kern w:val="0"/>
          <w:sz w:val="24"/>
          <w:szCs w:val="24"/>
          <w:highlight w:val="none"/>
        </w:rPr>
        <w:t>应</w:t>
      </w:r>
      <w:r>
        <w:rPr>
          <w:rFonts w:ascii="Times New Roman" w:hAnsi="Times New Roman"/>
          <w:snapToGrid w:val="0"/>
          <w:color w:val="auto"/>
          <w:spacing w:val="4"/>
          <w:kern w:val="0"/>
          <w:sz w:val="24"/>
          <w:szCs w:val="24"/>
          <w:highlight w:val="none"/>
        </w:rPr>
        <w:t>进行审查分析，收集反驳理由和证据，复核索赔值</w:t>
      </w:r>
      <w:r>
        <w:rPr>
          <w:rFonts w:hint="eastAsia" w:ascii="Times New Roman" w:hAnsi="Times New Roman"/>
          <w:snapToGrid w:val="0"/>
          <w:color w:val="auto"/>
          <w:spacing w:val="4"/>
          <w:kern w:val="0"/>
          <w:sz w:val="24"/>
          <w:szCs w:val="24"/>
          <w:highlight w:val="none"/>
        </w:rPr>
        <w:t>；如具备反索赔条件，应及时</w:t>
      </w:r>
      <w:r>
        <w:rPr>
          <w:rFonts w:ascii="Times New Roman" w:hAnsi="Times New Roman"/>
          <w:snapToGrid w:val="0"/>
          <w:color w:val="auto"/>
          <w:spacing w:val="4"/>
          <w:kern w:val="0"/>
          <w:sz w:val="24"/>
          <w:szCs w:val="24"/>
          <w:highlight w:val="none"/>
        </w:rPr>
        <w:t>提出反索赔报告</w:t>
      </w:r>
      <w:r>
        <w:rPr>
          <w:rFonts w:hint="eastAsia" w:ascii="Times New Roman" w:hAnsi="Times New Roman"/>
          <w:snapToGrid w:val="0"/>
          <w:color w:val="auto"/>
          <w:spacing w:val="4"/>
          <w:kern w:val="0"/>
          <w:sz w:val="24"/>
          <w:szCs w:val="24"/>
          <w:highlight w:val="none"/>
        </w:rPr>
        <w:t>并附上相关证据</w:t>
      </w:r>
      <w:r>
        <w:rPr>
          <w:rFonts w:ascii="Times New Roman" w:hAnsi="Times New Roman"/>
          <w:snapToGrid w:val="0"/>
          <w:color w:val="auto"/>
          <w:spacing w:val="4"/>
          <w:kern w:val="0"/>
          <w:sz w:val="24"/>
          <w:szCs w:val="24"/>
          <w:highlight w:val="none"/>
        </w:rPr>
        <w:t>。</w:t>
      </w:r>
    </w:p>
    <w:p w14:paraId="7A6623B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（8）</w:t>
      </w:r>
      <w:r>
        <w:rPr>
          <w:rFonts w:ascii="Times New Roman" w:hAnsi="Times New Roman"/>
          <w:snapToGrid w:val="0"/>
          <w:color w:val="auto"/>
          <w:spacing w:val="4"/>
          <w:kern w:val="0"/>
          <w:sz w:val="24"/>
          <w:szCs w:val="24"/>
          <w:highlight w:val="none"/>
        </w:rPr>
        <w:t>合同终止和后评价</w:t>
      </w:r>
      <w:r>
        <w:rPr>
          <w:rFonts w:hint="eastAsia" w:ascii="Times New Roman" w:hAnsi="Times New Roman"/>
          <w:snapToGrid w:val="0"/>
          <w:color w:val="auto"/>
          <w:spacing w:val="4"/>
          <w:kern w:val="0"/>
          <w:sz w:val="24"/>
          <w:szCs w:val="24"/>
          <w:highlight w:val="none"/>
        </w:rPr>
        <w:t>工作，包括：</w:t>
      </w:r>
      <w:r>
        <w:rPr>
          <w:rFonts w:ascii="Times New Roman" w:hAnsi="Times New Roman"/>
          <w:snapToGrid w:val="0"/>
          <w:color w:val="auto"/>
          <w:spacing w:val="4"/>
          <w:kern w:val="0"/>
          <w:sz w:val="24"/>
          <w:szCs w:val="24"/>
          <w:highlight w:val="none"/>
        </w:rPr>
        <w:t>合同按约定履行结束后，合同即告终止。</w:t>
      </w:r>
      <w:r>
        <w:rPr>
          <w:rFonts w:hint="eastAsia" w:ascii="Times New Roman" w:hAnsi="Times New Roman"/>
          <w:snapToGrid w:val="0"/>
          <w:color w:val="auto"/>
          <w:spacing w:val="4"/>
          <w:kern w:val="0"/>
          <w:sz w:val="24"/>
          <w:szCs w:val="24"/>
          <w:highlight w:val="none"/>
        </w:rPr>
        <w:t>监理人应</w:t>
      </w:r>
      <w:r>
        <w:rPr>
          <w:rFonts w:ascii="Times New Roman" w:hAnsi="Times New Roman"/>
          <w:snapToGrid w:val="0"/>
          <w:color w:val="auto"/>
          <w:spacing w:val="4"/>
          <w:kern w:val="0"/>
          <w:sz w:val="24"/>
          <w:szCs w:val="24"/>
          <w:highlight w:val="none"/>
        </w:rPr>
        <w:t>及时进行合同后评价，总结合同签订和执行过程中的利弊得失、经验教训，作为改进以后工程合同管理工作的借鉴。</w:t>
      </w:r>
    </w:p>
    <w:p w14:paraId="17B8BC7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（9）</w:t>
      </w:r>
      <w:r>
        <w:rPr>
          <w:rFonts w:ascii="Times New Roman" w:hAnsi="Times New Roman"/>
          <w:snapToGrid w:val="0"/>
          <w:color w:val="auto"/>
          <w:spacing w:val="4"/>
          <w:kern w:val="0"/>
          <w:sz w:val="24"/>
          <w:szCs w:val="24"/>
          <w:highlight w:val="none"/>
        </w:rPr>
        <w:t>合同后评估应包括如下内容：</w:t>
      </w:r>
    </w:p>
    <w:p w14:paraId="51B12AE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1）合同签订情况评价</w:t>
      </w:r>
      <w:r>
        <w:rPr>
          <w:rFonts w:hint="eastAsia" w:ascii="Times New Roman" w:hAnsi="Times New Roman"/>
          <w:snapToGrid w:val="0"/>
          <w:color w:val="auto"/>
          <w:spacing w:val="4"/>
          <w:kern w:val="0"/>
          <w:sz w:val="24"/>
          <w:szCs w:val="24"/>
          <w:highlight w:val="none"/>
        </w:rPr>
        <w:t>；</w:t>
      </w:r>
    </w:p>
    <w:p w14:paraId="31D1E93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2）合同执行情况评价</w:t>
      </w:r>
      <w:r>
        <w:rPr>
          <w:rFonts w:hint="eastAsia" w:ascii="Times New Roman" w:hAnsi="Times New Roman"/>
          <w:snapToGrid w:val="0"/>
          <w:color w:val="auto"/>
          <w:spacing w:val="4"/>
          <w:kern w:val="0"/>
          <w:sz w:val="24"/>
          <w:szCs w:val="24"/>
          <w:highlight w:val="none"/>
        </w:rPr>
        <w:t>；</w:t>
      </w:r>
    </w:p>
    <w:p w14:paraId="01E829A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3）合同管理工作评价</w:t>
      </w:r>
      <w:r>
        <w:rPr>
          <w:rFonts w:hint="eastAsia" w:ascii="Times New Roman" w:hAnsi="Times New Roman"/>
          <w:snapToGrid w:val="0"/>
          <w:color w:val="auto"/>
          <w:spacing w:val="4"/>
          <w:kern w:val="0"/>
          <w:sz w:val="24"/>
          <w:szCs w:val="24"/>
          <w:highlight w:val="none"/>
        </w:rPr>
        <w:t>；</w:t>
      </w:r>
    </w:p>
    <w:p w14:paraId="586E51E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4）对本项目有重大影响的合同条款的评价</w:t>
      </w:r>
      <w:r>
        <w:rPr>
          <w:rFonts w:hint="eastAsia" w:ascii="Times New Roman" w:hAnsi="Times New Roman"/>
          <w:snapToGrid w:val="0"/>
          <w:color w:val="auto"/>
          <w:spacing w:val="4"/>
          <w:kern w:val="0"/>
          <w:sz w:val="24"/>
          <w:szCs w:val="24"/>
          <w:highlight w:val="none"/>
        </w:rPr>
        <w:t>。</w:t>
      </w:r>
    </w:p>
    <w:p w14:paraId="2713ADD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合同管理中的其他监理工作，包括：</w:t>
      </w:r>
    </w:p>
    <w:p w14:paraId="7CE58C5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费用索赔的处理</w:t>
      </w:r>
    </w:p>
    <w:p w14:paraId="6D36398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专业监理工程师应及时收集、整理有关的施工和监理资料，为处理可能发生的费用索赔提供证据。</w:t>
      </w:r>
    </w:p>
    <w:p w14:paraId="55EC2C18">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项目监理机构处理费用索赔应依据下列内容：</w:t>
      </w:r>
    </w:p>
    <w:p w14:paraId="50D1950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国家有关的法律、法规和工程项目所在地的地方法规；</w:t>
      </w:r>
    </w:p>
    <w:p w14:paraId="6C26E06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本工程的施工合同文件；</w:t>
      </w:r>
    </w:p>
    <w:p w14:paraId="1AFBD7E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国家、部门和地方有关的标准、规范和定额；</w:t>
      </w:r>
    </w:p>
    <w:p w14:paraId="347FB08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施工合同履行过程中与索赔事件有关的凭证。</w:t>
      </w:r>
    </w:p>
    <w:p w14:paraId="7A04EED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当承包人提出费用索赔的理由同时满足以下条件时，项目监理机构应予以受理：</w:t>
      </w:r>
    </w:p>
    <w:p w14:paraId="3095B0D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索赔事件造成了承包人直接经济损失；</w:t>
      </w:r>
    </w:p>
    <w:p w14:paraId="6A2EEB56">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索赔事件是由于非承包人的责任发生的；</w:t>
      </w:r>
    </w:p>
    <w:p w14:paraId="40B0748F">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承包人已按照施工合同规定的期限和程序提出费用索赔申请表，并附有索赔凭证材料。</w:t>
      </w:r>
    </w:p>
    <w:p w14:paraId="0A28BFA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承包人向委托人提出费用索赔，项目监理机构应按下列程序处理：</w:t>
      </w:r>
    </w:p>
    <w:p w14:paraId="367846E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承包人在施工合同规定的期限内向项目监理机构提交对委托人的费用索赔意向通知书；</w:t>
      </w:r>
    </w:p>
    <w:p w14:paraId="1246A5D6">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总监理工程师指定专业监理工程师收集与索赔有关的资料；</w:t>
      </w:r>
    </w:p>
    <w:p w14:paraId="57D3D732">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承包人在承包合同规定的期限内向项目监理机构提交对委托人的费用索赔申请表；</w:t>
      </w:r>
    </w:p>
    <w:p w14:paraId="16F6BB0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总监理工程师初步审查费用索赔申请表，符合上述</w:t>
      </w:r>
      <w:r>
        <w:rPr>
          <w:rFonts w:hint="eastAsia" w:ascii="Times New Roman" w:hAnsi="Times New Roman" w:cs="宋体"/>
          <w:snapToGrid w:val="0"/>
          <w:color w:val="auto"/>
          <w:spacing w:val="4"/>
          <w:kern w:val="0"/>
          <w:sz w:val="24"/>
          <w:szCs w:val="24"/>
          <w:highlight w:val="none"/>
        </w:rPr>
        <w:t>②</w:t>
      </w:r>
      <w:r>
        <w:rPr>
          <w:rFonts w:hint="eastAsia" w:ascii="Times New Roman" w:hAnsi="Times New Roman"/>
          <w:snapToGrid w:val="0"/>
          <w:color w:val="auto"/>
          <w:spacing w:val="4"/>
          <w:kern w:val="0"/>
          <w:sz w:val="24"/>
          <w:szCs w:val="24"/>
          <w:highlight w:val="none"/>
        </w:rPr>
        <w:t>款规定的条件时予以受理；</w:t>
      </w:r>
    </w:p>
    <w:p w14:paraId="7207FB8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总监理工程师进行费用索赔审查，并在初步确定一个额度后，与承包人和委托人进行协商；</w:t>
      </w:r>
    </w:p>
    <w:p w14:paraId="4AEA38B8">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f.</w:t>
      </w:r>
      <w:r>
        <w:rPr>
          <w:rFonts w:hint="eastAsia" w:ascii="Times New Roman" w:hAnsi="Times New Roman"/>
          <w:snapToGrid w:val="0"/>
          <w:color w:val="auto"/>
          <w:spacing w:val="4"/>
          <w:kern w:val="0"/>
          <w:sz w:val="24"/>
          <w:szCs w:val="24"/>
          <w:highlight w:val="none"/>
        </w:rPr>
        <w:t xml:space="preserve"> 总监理工程师应在施工合同规定的期限内签署费用索赔审批表，或在施工合同规定的期限内发出要求承包人提交有关索赔报告的进一步详细资料的通知，待收到承包人提交的详细资料后，按上述的第</w:t>
      </w:r>
      <w:r>
        <w:rPr>
          <w:rFonts w:ascii="Times New Roman" w:hAnsi="Times New Roman"/>
          <w:snapToGrid w:val="0"/>
          <w:color w:val="auto"/>
          <w:spacing w:val="4"/>
          <w:kern w:val="0"/>
          <w:sz w:val="24"/>
          <w:szCs w:val="24"/>
          <w:highlight w:val="none"/>
        </w:rPr>
        <w:t>d、e</w:t>
      </w:r>
      <w:r>
        <w:rPr>
          <w:rFonts w:hint="eastAsia" w:ascii="Times New Roman" w:hAnsi="Times New Roman"/>
          <w:snapToGrid w:val="0"/>
          <w:color w:val="auto"/>
          <w:spacing w:val="4"/>
          <w:kern w:val="0"/>
          <w:sz w:val="24"/>
          <w:szCs w:val="24"/>
          <w:highlight w:val="none"/>
        </w:rPr>
        <w:t>项的程序进行。</w:t>
      </w:r>
    </w:p>
    <w:p w14:paraId="0FE2822E">
      <w:pPr>
        <w:topLinePunct/>
        <w:adjustRightInd w:val="0"/>
        <w:snapToGrid w:val="0"/>
        <w:spacing w:line="480" w:lineRule="exact"/>
        <w:ind w:firstLine="720" w:firstLineChars="25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当承包人的费用索赔要求与工程延期要求相关联时，总监理工程师在作出费用索赔的批准决定时，应与工程延期的批准联系起来，综合作出费用索赔和工程延期的决定。</w:t>
      </w:r>
    </w:p>
    <w:p w14:paraId="7CB3DD24">
      <w:pPr>
        <w:topLinePunct/>
        <w:adjustRightInd w:val="0"/>
        <w:snapToGrid w:val="0"/>
        <w:spacing w:line="480" w:lineRule="exact"/>
        <w:ind w:firstLine="720" w:firstLineChars="25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⑤</w:t>
      </w:r>
      <w:r>
        <w:rPr>
          <w:rFonts w:hint="eastAsia" w:ascii="Times New Roman" w:hAnsi="Times New Roman"/>
          <w:snapToGrid w:val="0"/>
          <w:color w:val="auto"/>
          <w:spacing w:val="4"/>
          <w:kern w:val="0"/>
          <w:sz w:val="24"/>
          <w:szCs w:val="24"/>
          <w:highlight w:val="none"/>
        </w:rPr>
        <w:t xml:space="preserve"> 由于承包人的原因造成委托人的额外损失，委托人向承包人提出费用索赔时，总监理工程师在审查索赔报告后，应公正地与委托人和承包人进行协商，并及时作出答复。</w:t>
      </w:r>
    </w:p>
    <w:p w14:paraId="6A810B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合同争议的调解</w:t>
      </w:r>
    </w:p>
    <w:p w14:paraId="12A6422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项目监理机构接到合同争议的调解要求后应进行以下工作：</w:t>
      </w:r>
    </w:p>
    <w:p w14:paraId="77408562">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及时了解合同争议的全部情况，包括进行调查和取证；</w:t>
      </w:r>
    </w:p>
    <w:p w14:paraId="0EC76043">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及时与合同争议的双方进行磋商；</w:t>
      </w:r>
    </w:p>
    <w:p w14:paraId="16D71176">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在项目监理机构提出调解方案后，由总监理工程师进行争议调解；</w:t>
      </w:r>
    </w:p>
    <w:p w14:paraId="5086DAFD">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当调解未能达成一致时，总监理工程师应在施工合同规定的期限内提出处理该合同争议的意见；</w:t>
      </w:r>
    </w:p>
    <w:p w14:paraId="51FE4C1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在争议调解过程中，除已达到了施工合同规定的暂停履行合同的条件之外，项目监理机构应要求施工合同的双方继续履行施工合同。</w:t>
      </w:r>
    </w:p>
    <w:p w14:paraId="43DDCDF6">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在总监理工程师签发合同争议处理意见后，委托人或承包人在施工合同规定的期限内未对合同争议处理决定提出异议，在符合施工合同的前提下，此意见应成为最后的决定，双方必须执行。</w:t>
      </w:r>
    </w:p>
    <w:p w14:paraId="177C2367">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在合同争议的仲裁或诉讼过程中，项目监理机构接到仲裁机关或法院要求提供有关证据的通知后，应公正地向仲裁机关或法院提供与争议有关的证据。</w:t>
      </w:r>
    </w:p>
    <w:p w14:paraId="1D0797C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合同解除的相关工作</w:t>
      </w:r>
    </w:p>
    <w:p w14:paraId="781B9AF3">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①</w:t>
      </w:r>
      <w:r>
        <w:rPr>
          <w:rFonts w:hint="eastAsia" w:ascii="Times New Roman" w:hAnsi="Times New Roman"/>
          <w:snapToGrid w:val="0"/>
          <w:color w:val="auto"/>
          <w:spacing w:val="4"/>
          <w:kern w:val="0"/>
          <w:sz w:val="24"/>
          <w:szCs w:val="24"/>
          <w:highlight w:val="none"/>
        </w:rPr>
        <w:t xml:space="preserve"> 施工合同的解除必须符合法律程序。</w:t>
      </w:r>
    </w:p>
    <w:p w14:paraId="2F59421C">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②</w:t>
      </w:r>
      <w:r>
        <w:rPr>
          <w:rFonts w:hint="eastAsia" w:ascii="Times New Roman" w:hAnsi="Times New Roman"/>
          <w:snapToGrid w:val="0"/>
          <w:color w:val="auto"/>
          <w:spacing w:val="4"/>
          <w:kern w:val="0"/>
          <w:sz w:val="24"/>
          <w:szCs w:val="24"/>
          <w:highlight w:val="none"/>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4FE683F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承包人已完成的工程量表中所列的各项工作所应得的款项；</w:t>
      </w:r>
    </w:p>
    <w:p w14:paraId="223EA33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按批准的采购计划订购工程材料、设备、构配件的款项；</w:t>
      </w:r>
    </w:p>
    <w:p w14:paraId="54AC212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承包人撤离施工设备至原基地或其他目的地的合理费用；</w:t>
      </w:r>
    </w:p>
    <w:p w14:paraId="34724B6B">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承包人所有人员的合理遣返费用；</w:t>
      </w:r>
    </w:p>
    <w:p w14:paraId="2F3DBDBE">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合理的利润补偿；</w:t>
      </w:r>
    </w:p>
    <w:p w14:paraId="65ED5CC9">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f.</w:t>
      </w:r>
      <w:r>
        <w:rPr>
          <w:rFonts w:hint="eastAsia" w:ascii="Times New Roman" w:hAnsi="Times New Roman"/>
          <w:snapToGrid w:val="0"/>
          <w:color w:val="auto"/>
          <w:spacing w:val="4"/>
          <w:kern w:val="0"/>
          <w:sz w:val="24"/>
          <w:szCs w:val="24"/>
          <w:highlight w:val="none"/>
        </w:rPr>
        <w:t xml:space="preserve"> 施工合同规定的委托人应支付的违约金。</w:t>
      </w:r>
    </w:p>
    <w:p w14:paraId="42F6DF60">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③</w:t>
      </w:r>
      <w:r>
        <w:rPr>
          <w:rFonts w:hint="eastAsia" w:ascii="Times New Roman" w:hAnsi="Times New Roman"/>
          <w:snapToGrid w:val="0"/>
          <w:color w:val="auto"/>
          <w:spacing w:val="4"/>
          <w:kern w:val="0"/>
          <w:sz w:val="24"/>
          <w:szCs w:val="24"/>
          <w:highlight w:val="none"/>
        </w:rPr>
        <w:t xml:space="preserve"> 由于承包人违约导致施工合同终止后，项目监理机构应按下列程序清理承包人的应得款项，或偿还委托人的相关款项，并书面通知委托人和承包人：</w:t>
      </w:r>
    </w:p>
    <w:p w14:paraId="7F745EB2">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a.</w:t>
      </w:r>
      <w:r>
        <w:rPr>
          <w:rFonts w:hint="eastAsia" w:ascii="Times New Roman" w:hAnsi="Times New Roman"/>
          <w:snapToGrid w:val="0"/>
          <w:color w:val="auto"/>
          <w:spacing w:val="4"/>
          <w:kern w:val="0"/>
          <w:sz w:val="24"/>
          <w:szCs w:val="24"/>
          <w:highlight w:val="none"/>
        </w:rPr>
        <w:t xml:space="preserve"> 施工合同终止时，清理承包人已按施工合同规定实际完成的工作所应得的款项和已经得到支付的款项；</w:t>
      </w:r>
    </w:p>
    <w:p w14:paraId="53E9478C">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b.</w:t>
      </w:r>
      <w:r>
        <w:rPr>
          <w:rFonts w:hint="eastAsia" w:ascii="Times New Roman" w:hAnsi="Times New Roman"/>
          <w:snapToGrid w:val="0"/>
          <w:color w:val="auto"/>
          <w:spacing w:val="4"/>
          <w:kern w:val="0"/>
          <w:sz w:val="24"/>
          <w:szCs w:val="24"/>
          <w:highlight w:val="none"/>
        </w:rPr>
        <w:t xml:space="preserve"> 施工现场余留的材料、设备及临时工程的价值；</w:t>
      </w:r>
    </w:p>
    <w:p w14:paraId="66F3F1E1">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c.</w:t>
      </w:r>
      <w:r>
        <w:rPr>
          <w:rFonts w:hint="eastAsia" w:ascii="Times New Roman" w:hAnsi="Times New Roman"/>
          <w:snapToGrid w:val="0"/>
          <w:color w:val="auto"/>
          <w:spacing w:val="4"/>
          <w:kern w:val="0"/>
          <w:sz w:val="24"/>
          <w:szCs w:val="24"/>
          <w:highlight w:val="none"/>
        </w:rPr>
        <w:t xml:space="preserve"> 检查和验收已完工工程，移交工程资料和对该部分工程的清理、质量缺陷修复等所需的费用；</w:t>
      </w:r>
    </w:p>
    <w:p w14:paraId="51ED6C80">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d.</w:t>
      </w:r>
      <w:r>
        <w:rPr>
          <w:rFonts w:hint="eastAsia" w:ascii="Times New Roman" w:hAnsi="Times New Roman"/>
          <w:snapToGrid w:val="0"/>
          <w:color w:val="auto"/>
          <w:spacing w:val="4"/>
          <w:kern w:val="0"/>
          <w:sz w:val="24"/>
          <w:szCs w:val="24"/>
          <w:highlight w:val="none"/>
        </w:rPr>
        <w:t xml:space="preserve"> 施工合同规定的承包人应支付的违约金；</w:t>
      </w:r>
    </w:p>
    <w:p w14:paraId="0D28E697">
      <w:pPr>
        <w:topLinePunct/>
        <w:adjustRightInd w:val="0"/>
        <w:snapToGrid w:val="0"/>
        <w:spacing w:line="480" w:lineRule="exact"/>
        <w:ind w:firstLine="620" w:firstLineChars="25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e.</w:t>
      </w:r>
      <w:r>
        <w:rPr>
          <w:rFonts w:hint="eastAsia" w:ascii="Times New Roman" w:hAnsi="Times New Roman"/>
          <w:snapToGrid w:val="0"/>
          <w:color w:val="auto"/>
          <w:spacing w:val="4"/>
          <w:kern w:val="0"/>
          <w:sz w:val="24"/>
          <w:szCs w:val="24"/>
          <w:highlight w:val="none"/>
        </w:rPr>
        <w:t xml:space="preserve"> 总监理工程师按照施工合同的规定，在与委托人和承包人协商后，书面提交承包人应得款项或偿还委托人款项的证明。</w:t>
      </w:r>
    </w:p>
    <w:p w14:paraId="57803171">
      <w:pPr>
        <w:topLinePunct/>
        <w:adjustRightInd w:val="0"/>
        <w:snapToGrid w:val="0"/>
        <w:spacing w:line="480" w:lineRule="exact"/>
        <w:ind w:firstLine="57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8"/>
          <w:szCs w:val="28"/>
          <w:highlight w:val="none"/>
        </w:rPr>
        <w:t>④</w:t>
      </w:r>
      <w:r>
        <w:rPr>
          <w:rFonts w:hint="eastAsia" w:ascii="Times New Roman" w:hAnsi="Times New Roman"/>
          <w:snapToGrid w:val="0"/>
          <w:color w:val="auto"/>
          <w:spacing w:val="4"/>
          <w:kern w:val="0"/>
          <w:sz w:val="24"/>
          <w:szCs w:val="24"/>
          <w:highlight w:val="none"/>
        </w:rPr>
        <w:t xml:space="preserve"> 由于不可抗力或非委托人、承包人原因导致施工合同终止时，项目监理机构应按施工合同规定处理合同解除后的有关事宜。</w:t>
      </w:r>
    </w:p>
    <w:p w14:paraId="01DFF06C">
      <w:pPr>
        <w:topLinePunct/>
        <w:adjustRightInd w:val="0"/>
        <w:snapToGrid w:val="0"/>
        <w:spacing w:line="480" w:lineRule="exact"/>
        <w:ind w:firstLine="498" w:firstLineChars="200"/>
        <w:outlineLvl w:val="4"/>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.3.7</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信息管理工作</w:t>
      </w:r>
    </w:p>
    <w:p w14:paraId="2B2684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52E1550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）有关政策文件、法规、技术规范、质量标准等；</w:t>
      </w:r>
    </w:p>
    <w:p w14:paraId="6BBF788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）设计及有关批准文件、图纸会审记录、设计变更</w:t>
      </w:r>
      <w:r>
        <w:rPr>
          <w:rFonts w:ascii="Times New Roman" w:hAnsi="Times New Roman"/>
          <w:snapToGrid w:val="0"/>
          <w:color w:val="auto"/>
          <w:spacing w:val="4"/>
          <w:kern w:val="0"/>
          <w:sz w:val="24"/>
          <w:szCs w:val="24"/>
          <w:highlight w:val="none"/>
        </w:rPr>
        <w:t>设计文件</w:t>
      </w:r>
      <w:r>
        <w:rPr>
          <w:rFonts w:hint="eastAsia" w:ascii="Times New Roman" w:hAnsi="Times New Roman"/>
          <w:snapToGrid w:val="0"/>
          <w:color w:val="auto"/>
          <w:spacing w:val="4"/>
          <w:kern w:val="0"/>
          <w:sz w:val="24"/>
          <w:szCs w:val="24"/>
          <w:highlight w:val="none"/>
        </w:rPr>
        <w:t>等；</w:t>
      </w:r>
    </w:p>
    <w:p w14:paraId="4B106F6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）招投标文件、工程建设合同、协议、补充协议等；</w:t>
      </w:r>
    </w:p>
    <w:p w14:paraId="696980B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）与委托人、承包人及工程有关单位之间的往来文件；</w:t>
      </w:r>
    </w:p>
    <w:p w14:paraId="2C20740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）承包人施工组织设计、临时工程设计、方案等资料；</w:t>
      </w:r>
    </w:p>
    <w:p w14:paraId="03ACA5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）各种</w:t>
      </w:r>
      <w:r>
        <w:rPr>
          <w:rFonts w:ascii="Times New Roman" w:hAnsi="Times New Roman"/>
          <w:snapToGrid w:val="0"/>
          <w:color w:val="auto"/>
          <w:spacing w:val="4"/>
          <w:kern w:val="0"/>
          <w:sz w:val="24"/>
          <w:szCs w:val="24"/>
          <w:highlight w:val="none"/>
        </w:rPr>
        <w:t>材料报验、</w:t>
      </w:r>
      <w:r>
        <w:rPr>
          <w:rFonts w:hint="eastAsia" w:ascii="Times New Roman" w:hAnsi="Times New Roman"/>
          <w:snapToGrid w:val="0"/>
          <w:color w:val="auto"/>
          <w:spacing w:val="4"/>
          <w:kern w:val="0"/>
          <w:sz w:val="24"/>
          <w:szCs w:val="24"/>
          <w:highlight w:val="none"/>
        </w:rPr>
        <w:t>材料、构配件、机械设备的技术资料、检测、试验报告等资料；</w:t>
      </w:r>
    </w:p>
    <w:p w14:paraId="6BB1D46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）各种报验、验收、报告、报表、计量、支付、施工记录、现场签证、质量、进度状况记录等资料；</w:t>
      </w:r>
    </w:p>
    <w:p w14:paraId="0F9B203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）监理日记、巡查、旁站记录、工程照片、事故处理资料、关键的检查资料；</w:t>
      </w:r>
    </w:p>
    <w:p w14:paraId="275719B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）监理通知、会议</w:t>
      </w:r>
      <w:r>
        <w:rPr>
          <w:rFonts w:hint="eastAsia" w:ascii="Times New Roman" w:hAnsi="Times New Roman"/>
          <w:snapToGrid w:val="0"/>
          <w:color w:val="auto"/>
          <w:spacing w:val="4"/>
          <w:kern w:val="0"/>
          <w:sz w:val="24"/>
          <w:szCs w:val="24"/>
          <w:highlight w:val="none"/>
          <w:lang w:val="en-US" w:eastAsia="zh-CN"/>
        </w:rPr>
        <w:t>纪</w:t>
      </w:r>
      <w:r>
        <w:rPr>
          <w:rFonts w:hint="eastAsia" w:ascii="Times New Roman" w:hAnsi="Times New Roman"/>
          <w:snapToGrid w:val="0"/>
          <w:color w:val="auto"/>
          <w:spacing w:val="4"/>
          <w:kern w:val="0"/>
          <w:sz w:val="24"/>
          <w:szCs w:val="24"/>
          <w:highlight w:val="none"/>
        </w:rPr>
        <w:t>要、备忘录、合同执行情况、监理月报、监理报告、总结、评估等；</w:t>
      </w:r>
    </w:p>
    <w:p w14:paraId="7870A5E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）工序验收、</w:t>
      </w:r>
      <w:r>
        <w:rPr>
          <w:rFonts w:ascii="Times New Roman" w:hAnsi="Times New Roman"/>
          <w:snapToGrid w:val="0"/>
          <w:color w:val="auto"/>
          <w:spacing w:val="4"/>
          <w:kern w:val="0"/>
          <w:sz w:val="24"/>
          <w:szCs w:val="24"/>
          <w:highlight w:val="none"/>
        </w:rPr>
        <w:t>检验批验收、分项验收、分部（或子分部）验收、中间验收、竣工验收资料</w:t>
      </w:r>
      <w:r>
        <w:rPr>
          <w:rFonts w:hint="eastAsia" w:ascii="Times New Roman" w:hAnsi="Times New Roman"/>
          <w:snapToGrid w:val="0"/>
          <w:color w:val="auto"/>
          <w:spacing w:val="4"/>
          <w:kern w:val="0"/>
          <w:sz w:val="24"/>
          <w:szCs w:val="24"/>
          <w:highlight w:val="none"/>
        </w:rPr>
        <w:t>；</w:t>
      </w:r>
    </w:p>
    <w:p w14:paraId="4E7F408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）工程规划验收、工程消防验收、环境保护验收、室内环境验收、卫生防疫验收、电梯安装工程质量验收、人防工程验收、燃气验收、工程竣工档案验收、防雷验收、节能验收等专项验收资料；</w:t>
      </w:r>
    </w:p>
    <w:p w14:paraId="38265A2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12</w:t>
      </w:r>
      <w:r>
        <w:rPr>
          <w:rFonts w:hint="eastAsia" w:ascii="Times New Roman" w:hAnsi="Times New Roman"/>
          <w:snapToGrid w:val="0"/>
          <w:color w:val="auto"/>
          <w:spacing w:val="4"/>
          <w:kern w:val="0"/>
          <w:sz w:val="24"/>
          <w:szCs w:val="24"/>
          <w:highlight w:val="none"/>
        </w:rPr>
        <w:t>）监理制度、规定与管理办法等内部文件；</w:t>
      </w:r>
    </w:p>
    <w:p w14:paraId="0B4546F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13</w:t>
      </w:r>
      <w:r>
        <w:rPr>
          <w:rFonts w:hint="eastAsia" w:ascii="Times New Roman" w:hAnsi="Times New Roman"/>
          <w:snapToGrid w:val="0"/>
          <w:color w:val="auto"/>
          <w:spacing w:val="4"/>
          <w:kern w:val="0"/>
          <w:sz w:val="24"/>
          <w:szCs w:val="24"/>
          <w:highlight w:val="none"/>
        </w:rPr>
        <w:t>）安全、文明生产控制资料等。</w:t>
      </w:r>
    </w:p>
    <w:p w14:paraId="40550BD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建立信息管理制度，严格信息采集、编排、查阅、归档保存的管理办法，由专人实施。监理资料的管理必须满足以下要求：</w:t>
      </w:r>
    </w:p>
    <w:p w14:paraId="07C5A35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）监理资料必须及时整理、真实完整、分类有序。</w:t>
      </w:r>
    </w:p>
    <w:p w14:paraId="6AA482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）监理资料的管理应由总监理工程师负责，并指定专人具体实施。</w:t>
      </w:r>
    </w:p>
    <w:p w14:paraId="001C598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）监理资料应在各阶段监理工作结束后及时整理归档。</w:t>
      </w:r>
    </w:p>
    <w:p w14:paraId="2B16277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）监理档案的编制及保存应按有关规定执行。</w:t>
      </w:r>
    </w:p>
    <w:p w14:paraId="15385854">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）计算机信息管理</w:t>
      </w:r>
    </w:p>
    <w:p w14:paraId="4764D316">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计算机信息管理的内容和基本要求</w:t>
      </w:r>
    </w:p>
    <w:p w14:paraId="785CB1A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w:t>
      </w:r>
      <w:r>
        <w:rPr>
          <w:rFonts w:hint="eastAsia" w:ascii="Times New Roman" w:hAnsi="Times New Roman"/>
          <w:snapToGrid w:val="0"/>
          <w:color w:val="auto"/>
          <w:spacing w:val="4"/>
          <w:kern w:val="0"/>
          <w:sz w:val="24"/>
          <w:szCs w:val="24"/>
          <w:highlight w:val="none"/>
        </w:rPr>
        <w:t>投资、资源、</w:t>
      </w:r>
      <w:r>
        <w:rPr>
          <w:rFonts w:ascii="Times New Roman" w:hAnsi="Times New Roman"/>
          <w:snapToGrid w:val="0"/>
          <w:color w:val="auto"/>
          <w:spacing w:val="4"/>
          <w:kern w:val="0"/>
          <w:sz w:val="24"/>
          <w:szCs w:val="24"/>
          <w:highlight w:val="none"/>
        </w:rPr>
        <w:t>合同、结算、文档等管理系统。</w:t>
      </w:r>
    </w:p>
    <w:p w14:paraId="5E995ED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37B60EB6">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计算机网络</w:t>
      </w:r>
    </w:p>
    <w:p w14:paraId="6C5780F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w:t>
      </w:r>
      <w:r>
        <w:rPr>
          <w:rFonts w:hint="eastAsia" w:ascii="Times New Roman" w:hAnsi="Times New Roman"/>
          <w:snapToGrid w:val="0"/>
          <w:color w:val="auto"/>
          <w:spacing w:val="4"/>
          <w:kern w:val="0"/>
          <w:sz w:val="24"/>
          <w:szCs w:val="24"/>
          <w:highlight w:val="none"/>
        </w:rPr>
        <w:t>须以宽带形式接入委托人网站以保证信息传输速度要求。</w:t>
      </w:r>
    </w:p>
    <w:p w14:paraId="6DAA9EAB">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计算机硬件</w:t>
      </w:r>
    </w:p>
    <w:p w14:paraId="4B04A3E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监理人应配置满足GZPPMS运行要求的计算机和工作站来支持日常的合同项目施工管理工作。运行GZPPMS的计算机最低配置为：</w:t>
      </w:r>
      <w:r>
        <w:rPr>
          <w:rFonts w:hint="eastAsia" w:ascii="Times New Roman" w:hAnsi="Times New Roman"/>
          <w:snapToGrid w:val="0"/>
          <w:color w:val="auto"/>
          <w:spacing w:val="4"/>
          <w:kern w:val="0"/>
          <w:sz w:val="24"/>
          <w:szCs w:val="24"/>
          <w:highlight w:val="none"/>
        </w:rPr>
        <w:t>CPU主频</w:t>
      </w:r>
      <w:r>
        <w:rPr>
          <w:rFonts w:ascii="Times New Roman" w:hAnsi="Times New Roman"/>
          <w:snapToGrid w:val="0"/>
          <w:color w:val="auto"/>
          <w:spacing w:val="4"/>
          <w:kern w:val="0"/>
          <w:sz w:val="24"/>
          <w:szCs w:val="24"/>
          <w:highlight w:val="none"/>
        </w:rPr>
        <w:t>1.6GHz</w:t>
      </w:r>
      <w:r>
        <w:rPr>
          <w:rFonts w:hint="eastAsia" w:ascii="Times New Roman" w:hAnsi="Times New Roman"/>
          <w:snapToGrid w:val="0"/>
          <w:color w:val="auto"/>
          <w:spacing w:val="4"/>
          <w:kern w:val="0"/>
          <w:sz w:val="24"/>
          <w:szCs w:val="24"/>
          <w:highlight w:val="none"/>
        </w:rPr>
        <w:t>以上、内存</w:t>
      </w:r>
      <w:r>
        <w:rPr>
          <w:rFonts w:ascii="Times New Roman" w:hAnsi="Times New Roman"/>
          <w:snapToGrid w:val="0"/>
          <w:color w:val="auto"/>
          <w:spacing w:val="4"/>
          <w:kern w:val="0"/>
          <w:sz w:val="24"/>
          <w:szCs w:val="24"/>
          <w:highlight w:val="none"/>
        </w:rPr>
        <w:t>1G</w:t>
      </w:r>
      <w:r>
        <w:rPr>
          <w:rFonts w:hint="eastAsia" w:ascii="Times New Roman" w:hAnsi="Times New Roman"/>
          <w:snapToGrid w:val="0"/>
          <w:color w:val="auto"/>
          <w:spacing w:val="4"/>
          <w:kern w:val="0"/>
          <w:sz w:val="24"/>
          <w:szCs w:val="24"/>
          <w:highlight w:val="none"/>
        </w:rPr>
        <w:t>以上、硬盘</w:t>
      </w:r>
      <w:r>
        <w:rPr>
          <w:rFonts w:ascii="Times New Roman" w:hAnsi="Times New Roman"/>
          <w:snapToGrid w:val="0"/>
          <w:color w:val="auto"/>
          <w:spacing w:val="4"/>
          <w:kern w:val="0"/>
          <w:sz w:val="24"/>
          <w:szCs w:val="24"/>
          <w:highlight w:val="none"/>
        </w:rPr>
        <w:t>120G。</w:t>
      </w:r>
    </w:p>
    <w:p w14:paraId="38A35CA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4）计算机软件</w:t>
      </w:r>
    </w:p>
    <w:p w14:paraId="4FE7BEA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计算机工程信息管理系统运行在</w:t>
      </w:r>
      <w:r>
        <w:rPr>
          <w:rFonts w:hint="eastAsia" w:ascii="Times New Roman" w:hAnsi="Times New Roman"/>
          <w:snapToGrid w:val="0"/>
          <w:color w:val="auto"/>
          <w:spacing w:val="4"/>
          <w:kern w:val="0"/>
          <w:sz w:val="24"/>
          <w:szCs w:val="24"/>
          <w:highlight w:val="none"/>
        </w:rPr>
        <w:t>Windows2000</w:t>
      </w:r>
      <w:r>
        <w:rPr>
          <w:rFonts w:ascii="Times New Roman" w:hAnsi="Times New Roman"/>
          <w:snapToGrid w:val="0"/>
          <w:color w:val="auto"/>
          <w:spacing w:val="4"/>
          <w:kern w:val="0"/>
          <w:sz w:val="24"/>
          <w:szCs w:val="24"/>
          <w:highlight w:val="none"/>
        </w:rPr>
        <w:t>或更高版本的操作系统上，这部分软件由监理人自己负责。计算机工程信息管理系统应用软件和进度计划管理软件由委托人统一免费配置。</w:t>
      </w:r>
    </w:p>
    <w:p w14:paraId="7CC9FB63">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5）人员配备及培训</w:t>
      </w:r>
    </w:p>
    <w:p w14:paraId="621FF46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监理人应配备一定数量的专门人员负责支持和维护计算机工程信息管理系统，并报委托人备案。监理人至少应有如下人员：</w:t>
      </w:r>
    </w:p>
    <w:p w14:paraId="364DAFF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 xml:space="preserve">① </w:t>
      </w:r>
      <w:r>
        <w:rPr>
          <w:rFonts w:ascii="Times New Roman" w:hAnsi="Times New Roman"/>
          <w:snapToGrid w:val="0"/>
          <w:color w:val="auto"/>
          <w:spacing w:val="4"/>
          <w:kern w:val="0"/>
          <w:sz w:val="24"/>
          <w:szCs w:val="24"/>
          <w:highlight w:val="none"/>
        </w:rPr>
        <w:t>计算机系统专门人员</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要求熟悉计算机软硬件技术，能进行计算机工程信息管理系统，相关部分的日常维护，负责与委托人计算机系统人员协调解决计算机工程信息管理系统，应用中出现的问题。</w:t>
      </w:r>
    </w:p>
    <w:p w14:paraId="17019A8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 xml:space="preserve">② </w:t>
      </w:r>
      <w:r>
        <w:rPr>
          <w:rFonts w:ascii="Times New Roman" w:hAnsi="Times New Roman"/>
          <w:snapToGrid w:val="0"/>
          <w:color w:val="auto"/>
          <w:spacing w:val="4"/>
          <w:kern w:val="0"/>
          <w:sz w:val="24"/>
          <w:szCs w:val="24"/>
          <w:highlight w:val="none"/>
        </w:rPr>
        <w:t>数据管理和录入人员2～3名</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负责采集、录入、核对委托人和监理工程师要求提供的信息，并保证数据的及时准确。</w:t>
      </w:r>
    </w:p>
    <w:p w14:paraId="4991AD8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以上人员须参加岗位培训，经一定形式的考核后方能上岗。</w:t>
      </w:r>
    </w:p>
    <w:p w14:paraId="2F3D375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6）信息内容、格式及信息传递要求</w:t>
      </w:r>
    </w:p>
    <w:p w14:paraId="56E25A6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77A66E23">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ascii="Times New Roman" w:hAnsi="Times New Roman"/>
          <w:bCs/>
          <w:snapToGrid w:val="0"/>
          <w:color w:val="auto"/>
          <w:spacing w:val="4"/>
          <w:kern w:val="0"/>
          <w:sz w:val="24"/>
          <w:szCs w:val="24"/>
          <w:highlight w:val="none"/>
        </w:rPr>
        <w:t>7）信息安全</w:t>
      </w:r>
    </w:p>
    <w:p w14:paraId="33E9161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u w:val="single"/>
        </w:rPr>
      </w:pPr>
      <w:r>
        <w:rPr>
          <w:rFonts w:ascii="Times New Roman" w:hAnsi="Times New Roman"/>
          <w:snapToGrid w:val="0"/>
          <w:color w:val="auto"/>
          <w:spacing w:val="4"/>
          <w:kern w:val="0"/>
          <w:sz w:val="24"/>
          <w:szCs w:val="24"/>
          <w:highlight w:val="none"/>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Pr>
          <w:rFonts w:hint="eastAsia" w:ascii="Times New Roman" w:hAnsi="Times New Roman"/>
          <w:snapToGrid w:val="0"/>
          <w:color w:val="auto"/>
          <w:spacing w:val="4"/>
          <w:kern w:val="0"/>
          <w:sz w:val="24"/>
          <w:szCs w:val="24"/>
          <w:highlight w:val="none"/>
        </w:rPr>
        <w:t>本合同履行</w:t>
      </w:r>
      <w:r>
        <w:rPr>
          <w:rFonts w:ascii="Times New Roman" w:hAnsi="Times New Roman"/>
          <w:snapToGrid w:val="0"/>
          <w:color w:val="auto"/>
          <w:spacing w:val="4"/>
          <w:kern w:val="0"/>
          <w:sz w:val="24"/>
          <w:szCs w:val="24"/>
          <w:highlight w:val="none"/>
        </w:rPr>
        <w:t>过程中，监理人可以访问使用与</w:t>
      </w:r>
      <w:r>
        <w:rPr>
          <w:rFonts w:hint="eastAsia" w:ascii="Times New Roman" w:hAnsi="Times New Roman"/>
          <w:snapToGrid w:val="0"/>
          <w:color w:val="auto"/>
          <w:spacing w:val="4"/>
          <w:kern w:val="0"/>
          <w:sz w:val="24"/>
          <w:szCs w:val="24"/>
          <w:highlight w:val="none"/>
        </w:rPr>
        <w:t>本</w:t>
      </w:r>
      <w:r>
        <w:rPr>
          <w:rFonts w:ascii="Times New Roman" w:hAnsi="Times New Roman"/>
          <w:snapToGrid w:val="0"/>
          <w:color w:val="auto"/>
          <w:spacing w:val="4"/>
          <w:kern w:val="0"/>
          <w:sz w:val="24"/>
          <w:szCs w:val="24"/>
          <w:highlight w:val="none"/>
        </w:rPr>
        <w:t>合同相关的信息。</w:t>
      </w:r>
    </w:p>
    <w:p w14:paraId="1E2073E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）对所收集的信息必须进行分析，确保其准确、全面、来源可靠，且要求为正式资料。</w:t>
      </w:r>
    </w:p>
    <w:p w14:paraId="7809767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及时将采集到的信息进行筛选分类，分别通报给有关领导、职能部门和有关人员审阅和签署意见。</w:t>
      </w:r>
    </w:p>
    <w:p w14:paraId="46ADDD7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6</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建立主体数据库系统结构，及时对信息分类保存、要求列名事件、题目、来源、概要、经办人或其他基本情况。</w:t>
      </w:r>
    </w:p>
    <w:p w14:paraId="315860D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7</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对信息资料收集和反馈进行跟踪，对信息进行动态管理。</w:t>
      </w:r>
    </w:p>
    <w:p w14:paraId="3260AFC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8</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涉及国家机密或各单位商业秘密的信息资料保管工作应制订保密管理细则，防止机密泄漏，避免造成经济损失和政治影响。</w:t>
      </w:r>
    </w:p>
    <w:p w14:paraId="397C6D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9</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有保留价值的信息，经请示有关领导后可以消除，但应做好登记。</w:t>
      </w:r>
    </w:p>
    <w:p w14:paraId="4F53C1C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10</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工程结束后，按有关规定进行信息整理存档、移交，并办理好移交签收手续。</w:t>
      </w:r>
    </w:p>
    <w:p w14:paraId="7080A20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）监理人在提交相关信息的纸质文件的同时，须根据委托人的要求提交电子原版及纸质文件扫描版。</w:t>
      </w:r>
    </w:p>
    <w:p w14:paraId="3B91E0A5">
      <w:pPr>
        <w:topLinePunct/>
        <w:adjustRightInd w:val="0"/>
        <w:snapToGrid w:val="0"/>
        <w:spacing w:line="480" w:lineRule="exact"/>
        <w:ind w:firstLine="498" w:firstLineChars="200"/>
        <w:outlineLvl w:val="4"/>
        <w:rPr>
          <w:rFonts w:ascii="Times New Roman" w:hAnsi="Times New Roman"/>
          <w:b/>
          <w:bCs/>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.3.8</w:t>
      </w:r>
      <w:r>
        <w:rPr>
          <w:rFonts w:hint="eastAsia" w:ascii="Times New Roman" w:hAnsi="Times New Roman"/>
          <w:b/>
          <w:snapToGrid w:val="0"/>
          <w:color w:val="auto"/>
          <w:spacing w:val="4"/>
          <w:kern w:val="0"/>
          <w:sz w:val="24"/>
          <w:szCs w:val="24"/>
          <w:highlight w:val="none"/>
        </w:rPr>
        <w:t xml:space="preserve"> 工程</w:t>
      </w:r>
      <w:r>
        <w:rPr>
          <w:rFonts w:hint="eastAsia" w:ascii="Times New Roman" w:hAnsi="Times New Roman"/>
          <w:b/>
          <w:bCs/>
          <w:snapToGrid w:val="0"/>
          <w:color w:val="auto"/>
          <w:spacing w:val="4"/>
          <w:kern w:val="0"/>
          <w:sz w:val="24"/>
          <w:szCs w:val="24"/>
          <w:highlight w:val="none"/>
        </w:rPr>
        <w:t>项目沟通与协调</w:t>
      </w:r>
    </w:p>
    <w:p w14:paraId="2270A21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建立项目沟通与协调管理系统，健全各项制度，并本着“严格守法、遵守公德”的原则，以维护各相关方的利益为前提，应用先进、实用的方法和手段，有效解决项目实施过程中的问题。</w:t>
      </w:r>
    </w:p>
    <w:p w14:paraId="5223E03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0083FF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项目沟通管理计划明确沟通的具体内容、对象、方式、目标、责任人、完成时间、奖罚措施等，并定期或不定期地进行检查、考核和评价，确保沟通计划落到实处。</w:t>
      </w:r>
    </w:p>
    <w:p w14:paraId="02A998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4</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1DF4E94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592B6C1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6</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妥善处理各分项工程之间的施工配合，要求各承包人提出需要配合的问题，如施工场地的要求、施工用水、用电、交叉作业的相互影响，施工收口处理、建筑成品保护要求及需要采取的配合措施等。</w:t>
      </w:r>
    </w:p>
    <w:p w14:paraId="57137F75">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.3.9</w:t>
      </w:r>
      <w:r>
        <w:rPr>
          <w:rFonts w:hint="eastAsia" w:ascii="Times New Roman" w:hAnsi="Times New Roman"/>
          <w:b/>
          <w:snapToGrid w:val="0"/>
          <w:color w:val="auto"/>
          <w:spacing w:val="4"/>
          <w:kern w:val="0"/>
          <w:sz w:val="24"/>
          <w:szCs w:val="24"/>
          <w:highlight w:val="none"/>
        </w:rPr>
        <w:t xml:space="preserve"> 环境管理工作</w:t>
      </w:r>
    </w:p>
    <w:p w14:paraId="5AEC20B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监理人应</w:t>
      </w:r>
      <w:r>
        <w:rPr>
          <w:rFonts w:ascii="Times New Roman" w:hAnsi="Times New Roman"/>
          <w:snapToGrid w:val="0"/>
          <w:color w:val="auto"/>
          <w:spacing w:val="4"/>
          <w:kern w:val="0"/>
          <w:sz w:val="24"/>
          <w:szCs w:val="24"/>
          <w:highlight w:val="none"/>
        </w:rPr>
        <w:t>对施工过程中影响环境的活动进行监督管理，</w:t>
      </w:r>
      <w:r>
        <w:rPr>
          <w:rFonts w:hint="eastAsia" w:ascii="Times New Roman" w:hAnsi="Times New Roman"/>
          <w:snapToGrid w:val="0"/>
          <w:color w:val="auto"/>
          <w:spacing w:val="4"/>
          <w:kern w:val="0"/>
          <w:sz w:val="24"/>
          <w:szCs w:val="24"/>
          <w:highlight w:val="none"/>
        </w:rPr>
        <w:t>以</w:t>
      </w:r>
      <w:r>
        <w:rPr>
          <w:rFonts w:ascii="Times New Roman" w:hAnsi="Times New Roman"/>
          <w:snapToGrid w:val="0"/>
          <w:color w:val="auto"/>
          <w:spacing w:val="4"/>
          <w:kern w:val="0"/>
          <w:sz w:val="24"/>
          <w:szCs w:val="24"/>
          <w:highlight w:val="none"/>
        </w:rPr>
        <w:t>满足</w:t>
      </w:r>
      <w:r>
        <w:rPr>
          <w:rFonts w:hint="eastAsia" w:ascii="Times New Roman" w:hAnsi="Times New Roman"/>
          <w:snapToGrid w:val="0"/>
          <w:color w:val="auto"/>
          <w:spacing w:val="4"/>
          <w:kern w:val="0"/>
          <w:sz w:val="24"/>
          <w:szCs w:val="24"/>
          <w:highlight w:val="none"/>
        </w:rPr>
        <w:t>相关的法律法规对</w:t>
      </w:r>
      <w:r>
        <w:rPr>
          <w:rFonts w:ascii="Times New Roman" w:hAnsi="Times New Roman"/>
          <w:snapToGrid w:val="0"/>
          <w:color w:val="auto"/>
          <w:spacing w:val="4"/>
          <w:kern w:val="0"/>
          <w:sz w:val="24"/>
          <w:szCs w:val="24"/>
          <w:highlight w:val="none"/>
        </w:rPr>
        <w:t>环境保护的要求</w:t>
      </w:r>
      <w:r>
        <w:rPr>
          <w:rFonts w:hint="eastAsia" w:ascii="Times New Roman" w:hAnsi="Times New Roman"/>
          <w:snapToGrid w:val="0"/>
          <w:color w:val="auto"/>
          <w:spacing w:val="4"/>
          <w:kern w:val="0"/>
          <w:sz w:val="24"/>
          <w:szCs w:val="24"/>
          <w:highlight w:val="none"/>
        </w:rPr>
        <w:t>。监理人环境管理工作的主要工作内容如下：</w:t>
      </w:r>
    </w:p>
    <w:p w14:paraId="3358FD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）制定相关的监督检查工作的程序及制度提交委托人及政府相关部门核准；</w:t>
      </w:r>
    </w:p>
    <w:p w14:paraId="6DF55F1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）根据相关的</w:t>
      </w:r>
      <w:r>
        <w:rPr>
          <w:rFonts w:ascii="Times New Roman" w:hAnsi="Times New Roman"/>
          <w:snapToGrid w:val="0"/>
          <w:color w:val="auto"/>
          <w:spacing w:val="4"/>
          <w:kern w:val="0"/>
          <w:sz w:val="24"/>
          <w:szCs w:val="24"/>
          <w:highlight w:val="none"/>
        </w:rPr>
        <w:t>法律</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法规</w:t>
      </w:r>
      <w:r>
        <w:rPr>
          <w:rFonts w:hint="eastAsia" w:ascii="Times New Roman" w:hAnsi="Times New Roman"/>
          <w:snapToGrid w:val="0"/>
          <w:color w:val="auto"/>
          <w:spacing w:val="4"/>
          <w:kern w:val="0"/>
          <w:sz w:val="24"/>
          <w:szCs w:val="24"/>
          <w:highlight w:val="none"/>
        </w:rPr>
        <w:t>、制度及程序等</w:t>
      </w:r>
      <w:r>
        <w:rPr>
          <w:rFonts w:ascii="Times New Roman" w:hAnsi="Times New Roman"/>
          <w:snapToGrid w:val="0"/>
          <w:color w:val="auto"/>
          <w:spacing w:val="4"/>
          <w:kern w:val="0"/>
          <w:sz w:val="24"/>
          <w:szCs w:val="24"/>
          <w:highlight w:val="none"/>
        </w:rPr>
        <w:t>，对工程建设过程中污染环境、破坏生态的行为进行监督管理，如噪声、废气、污水等污染物排放应达标、</w:t>
      </w:r>
      <w:r>
        <w:rPr>
          <w:rFonts w:hint="eastAsia" w:ascii="Times New Roman" w:hAnsi="Times New Roman"/>
          <w:snapToGrid w:val="0"/>
          <w:color w:val="auto"/>
          <w:spacing w:val="4"/>
          <w:kern w:val="0"/>
          <w:sz w:val="24"/>
          <w:szCs w:val="24"/>
          <w:highlight w:val="none"/>
        </w:rPr>
        <w:t>粉尘控制达标、</w:t>
      </w:r>
      <w:r>
        <w:rPr>
          <w:rFonts w:ascii="Times New Roman" w:hAnsi="Times New Roman"/>
          <w:snapToGrid w:val="0"/>
          <w:color w:val="auto"/>
          <w:spacing w:val="4"/>
          <w:kern w:val="0"/>
          <w:sz w:val="24"/>
          <w:szCs w:val="24"/>
          <w:highlight w:val="none"/>
        </w:rPr>
        <w:t>减少水土流失和生态环境破坏；</w:t>
      </w:r>
    </w:p>
    <w:p w14:paraId="02CA157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对配套的环保工程进行施工监理，如对水处理设施、声屏障、绿化工程、水源保护区</w:t>
      </w:r>
      <w:r>
        <w:rPr>
          <w:rFonts w:hint="eastAsia" w:ascii="Times New Roman" w:hAnsi="Times New Roman"/>
          <w:snapToGrid w:val="0"/>
          <w:color w:val="auto"/>
          <w:spacing w:val="4"/>
          <w:kern w:val="0"/>
          <w:sz w:val="24"/>
          <w:szCs w:val="24"/>
          <w:highlight w:val="none"/>
        </w:rPr>
        <w:t>的保护</w:t>
      </w:r>
      <w:r>
        <w:rPr>
          <w:rFonts w:ascii="Times New Roman" w:hAnsi="Times New Roman"/>
          <w:snapToGrid w:val="0"/>
          <w:color w:val="auto"/>
          <w:spacing w:val="4"/>
          <w:kern w:val="0"/>
          <w:sz w:val="24"/>
          <w:szCs w:val="24"/>
          <w:highlight w:val="none"/>
        </w:rPr>
        <w:t>等进行监理。</w:t>
      </w:r>
    </w:p>
    <w:p w14:paraId="122FDE93">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.3.10</w:t>
      </w:r>
      <w:r>
        <w:rPr>
          <w:rFonts w:hint="eastAsia" w:ascii="Times New Roman" w:hAnsi="Times New Roman"/>
          <w:b/>
          <w:snapToGrid w:val="0"/>
          <w:color w:val="auto"/>
          <w:spacing w:val="4"/>
          <w:kern w:val="0"/>
          <w:sz w:val="24"/>
          <w:szCs w:val="24"/>
          <w:highlight w:val="none"/>
        </w:rPr>
        <w:t xml:space="preserve"> 提交监理月报</w:t>
      </w:r>
    </w:p>
    <w:p w14:paraId="5ECBF54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监理月报应包括以下内容：</w:t>
      </w:r>
    </w:p>
    <w:p w14:paraId="30D554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）本月工程概况；</w:t>
      </w:r>
    </w:p>
    <w:p w14:paraId="22D495C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）本月工程形象进度；</w:t>
      </w:r>
    </w:p>
    <w:p w14:paraId="7CD687A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）工程进度，包括：</w:t>
      </w:r>
    </w:p>
    <w:p w14:paraId="02D999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）本月实际完成情况与计划进度比较；</w:t>
      </w:r>
    </w:p>
    <w:p w14:paraId="41770EC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）对进度完成情况及采取措施效果的分析。</w:t>
      </w:r>
    </w:p>
    <w:p w14:paraId="7E30576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）工程质量，包括：</w:t>
      </w:r>
    </w:p>
    <w:p w14:paraId="79E3CF3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）本月工程质量情况分析；</w:t>
      </w:r>
    </w:p>
    <w:p w14:paraId="35AA703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）本月采取的工程质量措施及效果。</w:t>
      </w:r>
    </w:p>
    <w:p w14:paraId="6ADB9AC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）工程计量与工程款支付，包括：</w:t>
      </w:r>
    </w:p>
    <w:p w14:paraId="5DCE788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）工程量审核情况；</w:t>
      </w:r>
    </w:p>
    <w:p w14:paraId="3AC5805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）工程款审批情况及月支付情况；</w:t>
      </w:r>
    </w:p>
    <w:p w14:paraId="61C15C0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）工程款支付情况分析；</w:t>
      </w:r>
    </w:p>
    <w:p w14:paraId="2D53A97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）本月采取的措施及效果。</w:t>
      </w:r>
    </w:p>
    <w:p w14:paraId="1B76DE9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）合同其他事项的处理情况，包括：</w:t>
      </w:r>
    </w:p>
    <w:p w14:paraId="2FDF339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）工程变更；</w:t>
      </w:r>
    </w:p>
    <w:p w14:paraId="20D5792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）工程延期；</w:t>
      </w:r>
    </w:p>
    <w:p w14:paraId="6DDA5B9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）费用索赔。</w:t>
      </w:r>
    </w:p>
    <w:p w14:paraId="2C0A846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）本月职业健康安全及环境等情况的综合评价及相关意见或建议。</w:t>
      </w:r>
    </w:p>
    <w:p w14:paraId="2C9CCA7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）本月监理工作小结，包括：</w:t>
      </w:r>
    </w:p>
    <w:p w14:paraId="7833064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）对本月进度、质量、工程款支付、安全文明施工等方面情况的综合评价；</w:t>
      </w:r>
    </w:p>
    <w:p w14:paraId="4560EE2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）本月监理工作情况；</w:t>
      </w:r>
    </w:p>
    <w:p w14:paraId="79D9BB5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）有关本工程的意见和建议；</w:t>
      </w:r>
    </w:p>
    <w:p w14:paraId="4995E42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）下月监理工作的重点。</w:t>
      </w:r>
    </w:p>
    <w:p w14:paraId="28B3EEF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监理月报应由总监理工程师组织编制及签认，签认后报委托人和本监理人总部。</w:t>
      </w:r>
    </w:p>
    <w:p w14:paraId="19A3D633">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.3.11</w:t>
      </w:r>
      <w:r>
        <w:rPr>
          <w:rFonts w:hint="eastAsia" w:ascii="Times New Roman" w:hAnsi="Times New Roman"/>
          <w:b/>
          <w:snapToGrid w:val="0"/>
          <w:color w:val="auto"/>
          <w:spacing w:val="4"/>
          <w:kern w:val="0"/>
          <w:sz w:val="24"/>
          <w:szCs w:val="24"/>
          <w:highlight w:val="none"/>
        </w:rPr>
        <w:t xml:space="preserve"> 施工阶段的其他监理工作</w:t>
      </w:r>
    </w:p>
    <w:p w14:paraId="28FCBE0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）工地例会</w:t>
      </w:r>
    </w:p>
    <w:p w14:paraId="5AB3CFF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）在施工过程中，总监理工程师应定期主持召开工地例会。工地例会应按委托人提供的例会细则执行。会议纪要应由项目监理机构负责起草，并经与会各方代表会签。</w:t>
      </w:r>
    </w:p>
    <w:p w14:paraId="05BEB21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）工地例会应包括以下主要内容：</w:t>
      </w:r>
    </w:p>
    <w:p w14:paraId="4707A47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①</w:t>
      </w:r>
      <w:r>
        <w:rPr>
          <w:rFonts w:hint="eastAsia" w:ascii="Times New Roman" w:hAnsi="Times New Roman"/>
          <w:snapToGrid w:val="0"/>
          <w:color w:val="auto"/>
          <w:spacing w:val="4"/>
          <w:kern w:val="0"/>
          <w:sz w:val="24"/>
          <w:szCs w:val="24"/>
          <w:highlight w:val="none"/>
        </w:rPr>
        <w:t xml:space="preserve"> 检查上次例会议定事项的落实情况，分析未完事项原因；</w:t>
      </w:r>
    </w:p>
    <w:p w14:paraId="63F0B80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②</w:t>
      </w:r>
      <w:r>
        <w:rPr>
          <w:rFonts w:hint="eastAsia" w:ascii="Times New Roman" w:hAnsi="Times New Roman"/>
          <w:snapToGrid w:val="0"/>
          <w:color w:val="auto"/>
          <w:spacing w:val="4"/>
          <w:kern w:val="0"/>
          <w:sz w:val="24"/>
          <w:szCs w:val="24"/>
          <w:highlight w:val="none"/>
        </w:rPr>
        <w:t xml:space="preserve"> 检查分析工程项目进度计划完成情况，提出下一阶段进度目标及其落实措施；</w:t>
      </w:r>
    </w:p>
    <w:p w14:paraId="6428B6D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③</w:t>
      </w:r>
      <w:r>
        <w:rPr>
          <w:rFonts w:hint="eastAsia" w:ascii="Times New Roman" w:hAnsi="Times New Roman"/>
          <w:snapToGrid w:val="0"/>
          <w:color w:val="auto"/>
          <w:spacing w:val="4"/>
          <w:kern w:val="0"/>
          <w:sz w:val="24"/>
          <w:szCs w:val="24"/>
          <w:highlight w:val="none"/>
        </w:rPr>
        <w:t xml:space="preserve"> 检查分析工程项目质量状况，针对存在的质量问题提出改进措施；</w:t>
      </w:r>
    </w:p>
    <w:p w14:paraId="679061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④</w:t>
      </w:r>
      <w:r>
        <w:rPr>
          <w:rFonts w:hint="eastAsia" w:ascii="Times New Roman" w:hAnsi="Times New Roman"/>
          <w:snapToGrid w:val="0"/>
          <w:color w:val="auto"/>
          <w:spacing w:val="4"/>
          <w:kern w:val="0"/>
          <w:sz w:val="24"/>
          <w:szCs w:val="24"/>
          <w:highlight w:val="none"/>
        </w:rPr>
        <w:t xml:space="preserve"> 检查工程量核定及工程款支付情况；</w:t>
      </w:r>
    </w:p>
    <w:p w14:paraId="04EE41B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⑤</w:t>
      </w:r>
      <w:r>
        <w:rPr>
          <w:rFonts w:hint="eastAsia" w:ascii="Times New Roman" w:hAnsi="Times New Roman"/>
          <w:snapToGrid w:val="0"/>
          <w:color w:val="auto"/>
          <w:spacing w:val="4"/>
          <w:kern w:val="0"/>
          <w:sz w:val="24"/>
          <w:szCs w:val="24"/>
          <w:highlight w:val="none"/>
        </w:rPr>
        <w:t xml:space="preserve"> 检讨工作联系单的相关内容的执行情况，解决需要协调的有关事项；</w:t>
      </w:r>
    </w:p>
    <w:p w14:paraId="321C546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⑥</w:t>
      </w:r>
      <w:r>
        <w:rPr>
          <w:rFonts w:hint="eastAsia" w:ascii="Times New Roman" w:hAnsi="Times New Roman"/>
          <w:snapToGrid w:val="0"/>
          <w:color w:val="auto"/>
          <w:spacing w:val="4"/>
          <w:kern w:val="0"/>
          <w:sz w:val="24"/>
          <w:szCs w:val="24"/>
          <w:highlight w:val="none"/>
        </w:rPr>
        <w:t xml:space="preserve"> 本月职业健康安全及环境、文明施工等方面的综合情况，解决需要协调的有关事项。</w:t>
      </w:r>
    </w:p>
    <w:p w14:paraId="7D451DC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⑦</w:t>
      </w:r>
      <w:r>
        <w:rPr>
          <w:rFonts w:hint="eastAsia" w:ascii="Times New Roman" w:hAnsi="Times New Roman"/>
          <w:snapToGrid w:val="0"/>
          <w:color w:val="auto"/>
          <w:spacing w:val="4"/>
          <w:kern w:val="0"/>
          <w:sz w:val="24"/>
          <w:szCs w:val="24"/>
          <w:highlight w:val="none"/>
        </w:rPr>
        <w:t xml:space="preserve"> 其他有关事宜。</w:t>
      </w:r>
    </w:p>
    <w:p w14:paraId="28DF242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）总监理工程师或专业监理工程师应根据需要及时组织专题会议，解决施工过程中的各种专项问题。</w:t>
      </w:r>
    </w:p>
    <w:p w14:paraId="601C0C9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）对于工地例会上提出的有关设计问题，监理人应积极把关控制，不应随意对相关问题做出定论。工地例会上的相关结论必须以设计变更的方式确定后方可实施。</w:t>
      </w:r>
    </w:p>
    <w:p w14:paraId="611939F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cs="宋体"/>
          <w:snapToGrid w:val="0"/>
          <w:color w:val="auto"/>
          <w:spacing w:val="4"/>
          <w:kern w:val="0"/>
          <w:sz w:val="24"/>
          <w:szCs w:val="24"/>
          <w:highlight w:val="none"/>
        </w:rPr>
        <w:t>5）监理人需参加由委托人组织的设计例会，提出合理化建议和配合完善设计变更手续等工作。</w:t>
      </w:r>
    </w:p>
    <w:p w14:paraId="590090D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）工程暂停及复工的相关工作</w:t>
      </w:r>
    </w:p>
    <w:p w14:paraId="7E498E5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）总监理工程师在签发工程暂停令时，应根据暂停工程的影响范围和影响程度，按照施工合同和本合同的约定签发。</w:t>
      </w:r>
    </w:p>
    <w:p w14:paraId="726F350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）在发生下列情况之一时，总监理工程师可签发工程暂停令：</w:t>
      </w:r>
    </w:p>
    <w:p w14:paraId="62BC115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① 委托人要求暂停施工且工程需要暂停施工；</w:t>
      </w:r>
    </w:p>
    <w:p w14:paraId="347A832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② 为了保证工程质量而需要进行停工处理；</w:t>
      </w:r>
    </w:p>
    <w:p w14:paraId="389A14C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③ 施工出现了安全隐患，总监理工程师认为有必要停工以消除隐患；</w:t>
      </w:r>
    </w:p>
    <w:p w14:paraId="1906D69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④ 发生了必须暂时停止施工的紧急事件；</w:t>
      </w:r>
    </w:p>
    <w:p w14:paraId="4D2EC0D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⑤ 承包人未经许可擅自施工或拒绝项目监理机构管理。</w:t>
      </w:r>
    </w:p>
    <w:p w14:paraId="4A0C994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）总监理工程师在签发工程暂停令时，应根据停工原因的影响范围和影响程度，确定工程项目停工范围。</w:t>
      </w:r>
    </w:p>
    <w:p w14:paraId="174D31B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）由于非承包人且非上述第</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）-②、③、④、⑤项原因时，总监理工程师在签发工程暂停令之前，应就有关工期和费用等事宜与承包人进行协商。</w:t>
      </w:r>
    </w:p>
    <w:p w14:paraId="0F5E08E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0E8F1B1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）由于承包人原因导致工程暂停，在具备恢复施工条件时，项目监理机构应审查承包人报送的复工申请及有关材料，同意后由总监理工程师签署工程复工报审表，指令承包人继续施工。</w:t>
      </w:r>
    </w:p>
    <w:p w14:paraId="31BB7C1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）总监理工程师在签发工程暂停令到签发工程复工报审表之间的时间内，应会同有关各方按照施工合同的约定，处理因工程暂停引起的与工期、费用等有关的问题。</w:t>
      </w:r>
    </w:p>
    <w:p w14:paraId="4C5D327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）工程延期及工程延误的处理工作</w:t>
      </w:r>
    </w:p>
    <w:p w14:paraId="23A6811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）当承包人提出工程延期要求符合施工合同文件的规定条件时，项目监理机构应予以受理。</w:t>
      </w:r>
    </w:p>
    <w:p w14:paraId="72AAAF3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15DB55C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）项目监理机构在作出临时工程延期批准或最终的工程延期批准之前，均应与委托人和承包人进行协商。</w:t>
      </w:r>
    </w:p>
    <w:p w14:paraId="15F0D22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）项目监理机构在审查工程延期时，应依下列情况确定批准工程延期的时间：</w:t>
      </w:r>
    </w:p>
    <w:p w14:paraId="7455157C">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① 施工合同中有关工程延期的约定；</w:t>
      </w:r>
    </w:p>
    <w:p w14:paraId="3397297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② 工期拖延和影响工期事件的事实和程度；</w:t>
      </w:r>
    </w:p>
    <w:p w14:paraId="7CFD0D7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③ 影响工期事件对工期影响的量化程度。</w:t>
      </w:r>
    </w:p>
    <w:p w14:paraId="7FAE200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）工程延期造成承包人提出费用索赔时，项目监理机构应按本合同专用条件第</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2</w:t>
      </w:r>
      <w:r>
        <w:rPr>
          <w:rFonts w:ascii="Times New Roman" w:hAnsi="Times New Roman"/>
          <w:snapToGrid w:val="0"/>
          <w:color w:val="auto"/>
          <w:spacing w:val="4"/>
          <w:kern w:val="0"/>
          <w:sz w:val="24"/>
          <w:szCs w:val="24"/>
          <w:highlight w:val="none"/>
        </w:rPr>
        <w:t>.3.6-（10）-1）</w:t>
      </w:r>
      <w:r>
        <w:rPr>
          <w:rFonts w:hint="eastAsia" w:ascii="Times New Roman" w:hAnsi="Times New Roman"/>
          <w:snapToGrid w:val="0"/>
          <w:color w:val="auto"/>
          <w:spacing w:val="4"/>
          <w:kern w:val="0"/>
          <w:sz w:val="24"/>
          <w:szCs w:val="24"/>
          <w:highlight w:val="none"/>
        </w:rPr>
        <w:t>项的约定处理。</w:t>
      </w:r>
    </w:p>
    <w:p w14:paraId="73DC742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6）当承包人未能按照施工合同要求的工期竣工交付造成工期延误时，项目监理机构应按施工合同规定从承包人应得款项中扣除误期损害赔偿费。</w:t>
      </w:r>
    </w:p>
    <w:p w14:paraId="76FFC5EB">
      <w:pPr>
        <w:topLinePunct/>
        <w:adjustRightInd w:val="0"/>
        <w:snapToGrid w:val="0"/>
        <w:spacing w:line="480" w:lineRule="exact"/>
        <w:ind w:firstLine="498" w:firstLineChars="200"/>
        <w:outlineLvl w:val="3"/>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 xml:space="preserve"> 工程收尾阶段的监理工作（包括但不限于以下内容）</w:t>
      </w:r>
    </w:p>
    <w:p w14:paraId="3FC703A3">
      <w:pPr>
        <w:topLinePunct/>
        <w:adjustRightInd w:val="0"/>
        <w:snapToGrid w:val="0"/>
        <w:spacing w:line="480" w:lineRule="exact"/>
        <w:ind w:firstLine="498" w:firstLineChars="200"/>
        <w:outlineLvl w:val="4"/>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.4.1</w:t>
      </w:r>
      <w:r>
        <w:rPr>
          <w:rFonts w:hint="eastAsia" w:ascii="Times New Roman" w:hAnsi="Times New Roman"/>
          <w:snapToGrid w:val="0"/>
          <w:color w:val="auto"/>
          <w:spacing w:val="4"/>
          <w:kern w:val="0"/>
          <w:sz w:val="24"/>
          <w:szCs w:val="24"/>
          <w:highlight w:val="none"/>
        </w:rPr>
        <w:t xml:space="preserve"> 工程收尾阶段包括竣工扫尾、验收、整改、移交、结算、考核评价等方面的管理。监理人应制定工作计划，提出各项管理要求。工程收尾阶段管理应包括以下内容：</w:t>
      </w:r>
    </w:p>
    <w:p w14:paraId="5CD7A7C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项目的竣工扫尾；</w:t>
      </w:r>
    </w:p>
    <w:p w14:paraId="55F28F0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2</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项目的竣工验收、整改及移交；</w:t>
      </w:r>
    </w:p>
    <w:p w14:paraId="04891B2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项目的竣工结算；</w:t>
      </w:r>
    </w:p>
    <w:p w14:paraId="3288028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4</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项目的回访维护；</w:t>
      </w:r>
    </w:p>
    <w:p w14:paraId="7F3F327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bCs/>
          <w:snapToGrid w:val="0"/>
          <w:color w:val="auto"/>
          <w:spacing w:val="4"/>
          <w:kern w:val="0"/>
          <w:sz w:val="24"/>
          <w:szCs w:val="24"/>
          <w:highlight w:val="none"/>
        </w:rPr>
        <w:t>（</w:t>
      </w:r>
      <w:r>
        <w:rPr>
          <w:rFonts w:ascii="Times New Roman" w:hAnsi="Times New Roman"/>
          <w:bCs/>
          <w:snapToGrid w:val="0"/>
          <w:color w:val="auto"/>
          <w:spacing w:val="4"/>
          <w:kern w:val="0"/>
          <w:sz w:val="24"/>
          <w:szCs w:val="24"/>
          <w:highlight w:val="none"/>
        </w:rPr>
        <w:t>5</w:t>
      </w:r>
      <w:r>
        <w:rPr>
          <w:rFonts w:hint="eastAsia" w:ascii="Times New Roman" w:hAnsi="Times New Roman"/>
          <w:bCs/>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项目的考核评价。</w:t>
      </w:r>
    </w:p>
    <w:p w14:paraId="2E98D216">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.4.2</w:t>
      </w:r>
      <w:r>
        <w:rPr>
          <w:rFonts w:hint="eastAsia" w:ascii="Times New Roman" w:hAnsi="Times New Roman"/>
          <w:b/>
          <w:snapToGrid w:val="0"/>
          <w:color w:val="auto"/>
          <w:spacing w:val="4"/>
          <w:kern w:val="0"/>
          <w:sz w:val="24"/>
          <w:szCs w:val="24"/>
          <w:highlight w:val="none"/>
        </w:rPr>
        <w:t xml:space="preserve"> 竣工验收</w:t>
      </w:r>
    </w:p>
    <w:p w14:paraId="56EF3CE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6EEB2CC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02AC632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）组织或协助委托人、承包人和产权管理单位对项目进行移交。</w:t>
      </w:r>
    </w:p>
    <w:p w14:paraId="4DCB6A38">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按照《广州市工程建设项目审批制度改革试点工作领导小组办公室关于开展房屋建筑工程电子图纸全过程流转应用工作的通知》的程序及要求，根据“广州市工程图纸全过程管理平台（即电子图系统）”上经确认固化的工程竣工电子图纸以及现场的实际竣工情况，对承包人提交的竣工图纸（包括设备移交资料等）进行复核确认。如承包人提交的竣工图纸与电子图系统上经确认固化的工程竣工电子图纸不一致的，</w:t>
      </w:r>
      <w:r>
        <w:rPr>
          <w:rFonts w:hint="eastAsia" w:ascii="宋体" w:hAnsi="宋体" w:eastAsia="宋体" w:cs="宋体"/>
          <w:color w:val="auto"/>
          <w:spacing w:val="4"/>
          <w:kern w:val="0"/>
          <w:sz w:val="24"/>
          <w:szCs w:val="24"/>
          <w:highlight w:val="none"/>
          <w:lang w:val="en-US" w:eastAsia="zh-CN" w:bidi="ar"/>
        </w:rPr>
        <w:t>在取得委托人书面同意后，</w:t>
      </w:r>
      <w:r>
        <w:rPr>
          <w:rFonts w:ascii="Times New Roman" w:hAnsi="Times New Roman"/>
          <w:snapToGrid w:val="0"/>
          <w:color w:val="auto"/>
          <w:spacing w:val="4"/>
          <w:kern w:val="0"/>
          <w:sz w:val="24"/>
          <w:szCs w:val="24"/>
          <w:highlight w:val="none"/>
        </w:rPr>
        <w:t>以电子图系统上经确认固化的工程竣工电子图纸为准，并作为工程竣工验收、结算的依据。</w:t>
      </w:r>
    </w:p>
    <w:p w14:paraId="48F18698">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.4.3</w:t>
      </w:r>
      <w:r>
        <w:rPr>
          <w:rFonts w:hint="eastAsia" w:ascii="Times New Roman" w:hAnsi="Times New Roman"/>
          <w:b/>
          <w:snapToGrid w:val="0"/>
          <w:color w:val="auto"/>
          <w:spacing w:val="4"/>
          <w:kern w:val="0"/>
          <w:sz w:val="24"/>
          <w:szCs w:val="24"/>
          <w:highlight w:val="none"/>
        </w:rPr>
        <w:t xml:space="preserve"> 审核竣工结算</w:t>
      </w:r>
    </w:p>
    <w:p w14:paraId="7F9699C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）结算的总体要求</w:t>
      </w:r>
    </w:p>
    <w:p w14:paraId="631B751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4687FE4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）工程结算资料必须实事求是、完整、真实准确，工程资料的主要内容包括：</w:t>
      </w:r>
    </w:p>
    <w:p w14:paraId="7590F03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）合同（组成包括：协议书、中标通知书或委托书、投标文件澄清纪要、投标文件及其附件、合同专用条件、合同标准条件、招标文件及补遗书、本合同履行期间合同各方间签订的补充合同（协议）、其它）；</w:t>
      </w:r>
    </w:p>
    <w:p w14:paraId="1D23F35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）结算书及电子文档；</w:t>
      </w:r>
    </w:p>
    <w:p w14:paraId="4E3D68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）招标图纸及竣工图纸；</w:t>
      </w:r>
    </w:p>
    <w:p w14:paraId="36126FD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）图纸会审（交底）的会议纪要；</w:t>
      </w:r>
    </w:p>
    <w:p w14:paraId="7BE1367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）工程量计算书（或钢筋抽料表）及电子文档；</w:t>
      </w:r>
    </w:p>
    <w:p w14:paraId="6FEF339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）工程变更图纸、变更指令及工程变更申报审批表；</w:t>
      </w:r>
    </w:p>
    <w:p w14:paraId="6D09AE0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）施工现场变更签证及工程变更申报审批表；</w:t>
      </w:r>
    </w:p>
    <w:p w14:paraId="3C50426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）工程竣工验收证明；</w:t>
      </w:r>
    </w:p>
    <w:p w14:paraId="63583EB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）开、竣工报告；</w:t>
      </w:r>
    </w:p>
    <w:p w14:paraId="68F66E8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）中间计量资料；</w:t>
      </w:r>
    </w:p>
    <w:p w14:paraId="36AE49F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11</w:t>
      </w:r>
      <w:r>
        <w:rPr>
          <w:rFonts w:hint="eastAsia" w:ascii="Times New Roman" w:hAnsi="Times New Roman"/>
          <w:snapToGrid w:val="0"/>
          <w:color w:val="auto"/>
          <w:spacing w:val="4"/>
          <w:kern w:val="0"/>
          <w:sz w:val="24"/>
          <w:szCs w:val="24"/>
          <w:highlight w:val="none"/>
        </w:rPr>
        <w:t>）其它竣工结算资料。</w:t>
      </w:r>
    </w:p>
    <w:p w14:paraId="5C7D284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）有权审核部门结算审核过程中的相关工作</w:t>
      </w:r>
    </w:p>
    <w:p w14:paraId="12B99BD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 xml:space="preserve">）监理人应积极组织并督促承包人配合有权审核部门对本合同工程结算书（结算资料）的审核工作，以推动结算工作的顺利进行。 </w:t>
      </w:r>
    </w:p>
    <w:p w14:paraId="4E7487C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 xml:space="preserve">）监理人应按委托人要求，派出相关人员参加有权审核部门组织的针对本合同工程结算审核工作的相关会议（如结算工作会议、结算工程量核对会议等）。 </w:t>
      </w:r>
    </w:p>
    <w:p w14:paraId="701DDA6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）监理人应根据有权审核部门对本合同工程结算提出的意见，向委托人提出解决本合同工程结算争议的合理建议。</w:t>
      </w:r>
    </w:p>
    <w:p w14:paraId="7CB88391">
      <w:pPr>
        <w:topLinePunct/>
        <w:adjustRightInd w:val="0"/>
        <w:snapToGrid w:val="0"/>
        <w:spacing w:line="480" w:lineRule="exact"/>
        <w:ind w:firstLine="498" w:firstLineChars="200"/>
        <w:outlineLvl w:val="4"/>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spacing w:val="4"/>
          <w:kern w:val="0"/>
          <w:sz w:val="24"/>
          <w:szCs w:val="24"/>
          <w:highlight w:val="none"/>
        </w:rPr>
        <w:t>.4.4</w:t>
      </w:r>
      <w:r>
        <w:rPr>
          <w:rFonts w:hint="eastAsia" w:ascii="Times New Roman" w:hAnsi="Times New Roman"/>
          <w:b/>
          <w:snapToGrid w:val="0"/>
          <w:color w:val="auto"/>
          <w:spacing w:val="4"/>
          <w:kern w:val="0"/>
          <w:sz w:val="24"/>
          <w:szCs w:val="24"/>
          <w:highlight w:val="none"/>
        </w:rPr>
        <w:t xml:space="preserve"> 提交监理工作总结</w:t>
      </w:r>
    </w:p>
    <w:p w14:paraId="6A3795E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监理工作结束时，监理人应向委托人提交监理工作总结。监理工作总结包括但不限于以下内容：</w:t>
      </w:r>
    </w:p>
    <w:p w14:paraId="32829D5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）工程概况；</w:t>
      </w:r>
    </w:p>
    <w:p w14:paraId="7E73FBD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）监理组织机构、监理人员和投入的监理设施；</w:t>
      </w:r>
    </w:p>
    <w:p w14:paraId="6F71978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）监理合同履行情况；</w:t>
      </w:r>
    </w:p>
    <w:p w14:paraId="0D29BC0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）监理工作成效；</w:t>
      </w:r>
    </w:p>
    <w:p w14:paraId="6153FFE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）施工过程中出现的问题及其处理情况和建议；</w:t>
      </w:r>
    </w:p>
    <w:p w14:paraId="29513634">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）工程照片（有必要时）。</w:t>
      </w:r>
    </w:p>
    <w:p w14:paraId="252FB5AF">
      <w:pPr>
        <w:adjustRightInd w:val="0"/>
        <w:snapToGrid w:val="0"/>
        <w:spacing w:line="480" w:lineRule="exact"/>
        <w:ind w:firstLine="482" w:firstLineChars="200"/>
        <w:outlineLvl w:val="3"/>
        <w:rPr>
          <w:rFonts w:ascii="Times New Roman" w:hAnsi="Times New Roman"/>
          <w:b/>
          <w:snapToGrid w:val="0"/>
          <w:color w:val="auto"/>
          <w:kern w:val="0"/>
          <w:sz w:val="24"/>
          <w:szCs w:val="24"/>
          <w:highlight w:val="none"/>
        </w:rPr>
      </w:pPr>
      <w:r>
        <w:rPr>
          <w:rFonts w:ascii="Times New Roman" w:hAnsi="Times New Roman"/>
          <w:b/>
          <w:snapToGrid w:val="0"/>
          <w:color w:val="auto"/>
          <w:kern w:val="0"/>
          <w:sz w:val="24"/>
          <w:szCs w:val="24"/>
          <w:highlight w:val="none"/>
        </w:rPr>
        <w:t>4.</w:t>
      </w:r>
      <w:r>
        <w:rPr>
          <w:rFonts w:hint="eastAsia" w:ascii="Times New Roman" w:hAnsi="Times New Roman"/>
          <w:b/>
          <w:snapToGrid w:val="0"/>
          <w:color w:val="auto"/>
          <w:spacing w:val="4"/>
          <w:kern w:val="0"/>
          <w:sz w:val="24"/>
          <w:szCs w:val="24"/>
          <w:highlight w:val="none"/>
        </w:rPr>
        <w:t>2</w:t>
      </w:r>
      <w:r>
        <w:rPr>
          <w:rFonts w:ascii="Times New Roman" w:hAnsi="Times New Roman"/>
          <w:b/>
          <w:snapToGrid w:val="0"/>
          <w:color w:val="auto"/>
          <w:kern w:val="0"/>
          <w:sz w:val="24"/>
          <w:szCs w:val="24"/>
          <w:highlight w:val="none"/>
        </w:rPr>
        <w:t>.5</w:t>
      </w:r>
      <w:r>
        <w:rPr>
          <w:rFonts w:hint="eastAsia" w:ascii="Times New Roman" w:hAnsi="Times New Roman"/>
          <w:b/>
          <w:snapToGrid w:val="0"/>
          <w:color w:val="auto"/>
          <w:kern w:val="0"/>
          <w:sz w:val="24"/>
          <w:szCs w:val="24"/>
          <w:highlight w:val="none"/>
        </w:rPr>
        <w:t xml:space="preserve"> 工程质量保修期的监理工作</w:t>
      </w:r>
    </w:p>
    <w:p w14:paraId="3629F1EF">
      <w:pPr>
        <w:adjustRightInd w:val="0"/>
        <w:snapToGrid w:val="0"/>
        <w:spacing w:line="480" w:lineRule="exact"/>
        <w:ind w:firstLine="480" w:firstLineChars="200"/>
        <w:rPr>
          <w:rFonts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1</w:t>
      </w:r>
      <w:r>
        <w:rPr>
          <w:rFonts w:hint="eastAsia" w:ascii="Times New Roman" w:hAnsi="Times New Roman"/>
          <w:snapToGrid w:val="0"/>
          <w:color w:val="auto"/>
          <w:kern w:val="0"/>
          <w:sz w:val="24"/>
          <w:szCs w:val="24"/>
          <w:highlight w:val="none"/>
        </w:rPr>
        <w:t>）监理人应依据本合同约定的工程质量保修期监理工作的时间、范围和内容开展工作。</w:t>
      </w:r>
    </w:p>
    <w:p w14:paraId="3518C434">
      <w:pPr>
        <w:adjustRightInd w:val="0"/>
        <w:snapToGrid w:val="0"/>
        <w:spacing w:line="480" w:lineRule="exact"/>
        <w:ind w:firstLine="480" w:firstLineChars="200"/>
        <w:rPr>
          <w:rFonts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2</w:t>
      </w:r>
      <w:r>
        <w:rPr>
          <w:rFonts w:hint="eastAsia" w:ascii="Times New Roman" w:hAnsi="Times New Roman"/>
          <w:snapToGrid w:val="0"/>
          <w:color w:val="auto"/>
          <w:kern w:val="0"/>
          <w:sz w:val="24"/>
          <w:szCs w:val="24"/>
          <w:highlight w:val="none"/>
        </w:rPr>
        <w:t>）承担质量保修期监理工作时，监理人应安排监理人员对委托人提出的工程质量缺陷进行检查和记录，对承包人进行修复的工程质量进行验收，合格后予以签认。</w:t>
      </w:r>
    </w:p>
    <w:p w14:paraId="30664E20">
      <w:pPr>
        <w:adjustRightInd w:val="0"/>
        <w:snapToGrid w:val="0"/>
        <w:spacing w:line="480" w:lineRule="exact"/>
        <w:ind w:firstLine="480" w:firstLineChars="200"/>
        <w:rPr>
          <w:rFonts w:hint="eastAsia" w:ascii="Times New Roman" w:hAnsi="Times New Roman"/>
          <w:snapToGrid w:val="0"/>
          <w:color w:val="auto"/>
          <w:kern w:val="0"/>
          <w:sz w:val="24"/>
          <w:szCs w:val="24"/>
          <w:highlight w:val="none"/>
        </w:rPr>
      </w:pPr>
      <w:r>
        <w:rPr>
          <w:rFonts w:hint="eastAsia" w:ascii="Times New Roman" w:hAnsi="Times New Roman"/>
          <w:snapToGrid w:val="0"/>
          <w:color w:val="auto"/>
          <w:kern w:val="0"/>
          <w:sz w:val="24"/>
          <w:szCs w:val="24"/>
          <w:highlight w:val="none"/>
        </w:rPr>
        <w:t>（</w:t>
      </w:r>
      <w:r>
        <w:rPr>
          <w:rFonts w:ascii="Times New Roman" w:hAnsi="Times New Roman"/>
          <w:snapToGrid w:val="0"/>
          <w:color w:val="auto"/>
          <w:kern w:val="0"/>
          <w:sz w:val="24"/>
          <w:szCs w:val="24"/>
          <w:highlight w:val="none"/>
        </w:rPr>
        <w:t>3</w:t>
      </w:r>
      <w:r>
        <w:rPr>
          <w:rFonts w:hint="eastAsia" w:ascii="Times New Roman" w:hAnsi="Times New Roman"/>
          <w:snapToGrid w:val="0"/>
          <w:color w:val="auto"/>
          <w:kern w:val="0"/>
          <w:sz w:val="24"/>
          <w:szCs w:val="24"/>
          <w:highlight w:val="none"/>
        </w:rPr>
        <w:t>）监理人员应对工程质量缺陷原因进行调查分析并确定责任归属，对非承包人原因造成的工程质量缺陷，监理人员应核实修复工程的费用和签署工程款支付证书，并报委托人。</w:t>
      </w:r>
    </w:p>
    <w:p w14:paraId="6191D76A">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4.2.6 </w:t>
      </w:r>
      <w:r>
        <w:rPr>
          <w:rFonts w:hint="eastAsia" w:ascii="宋体" w:hAnsi="宋体" w:eastAsia="宋体" w:cs="宋体"/>
          <w:color w:val="auto"/>
          <w:kern w:val="0"/>
          <w:sz w:val="24"/>
          <w:szCs w:val="24"/>
          <w:highlight w:val="none"/>
          <w:lang w:val="en-US" w:eastAsia="zh-CN" w:bidi="ar"/>
        </w:rPr>
        <w:t>提交本合同结算文件的时间</w:t>
      </w:r>
    </w:p>
    <w:p w14:paraId="5EDE8576">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Times New Roman" w:hAnsi="Times New Roman" w:eastAsia="宋体"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本合同工程竣工验收完成后</w:t>
      </w:r>
      <w:r>
        <w:rPr>
          <w:rFonts w:hint="default" w:ascii="Times New Roman" w:hAnsi="Times New Roman" w:eastAsia="宋体" w:cs="Times New Roman"/>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日内，监理人应向委托人提交本合同的结算书及完整的结算资料。</w:t>
      </w:r>
    </w:p>
    <w:p w14:paraId="7F6CB107">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 xml:space="preserve"> </w:t>
      </w:r>
      <w:r>
        <w:rPr>
          <w:rFonts w:hint="eastAsia" w:ascii="Times New Roman" w:hAnsi="Times New Roman"/>
          <w:b/>
          <w:snapToGrid w:val="0"/>
          <w:color w:val="auto"/>
          <w:spacing w:val="4"/>
          <w:kern w:val="0"/>
          <w:sz w:val="24"/>
          <w:szCs w:val="24"/>
          <w:highlight w:val="none"/>
        </w:rPr>
        <w:t xml:space="preserve"> 项目监理机构</w:t>
      </w:r>
    </w:p>
    <w:p w14:paraId="126FEA45">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.1</w:t>
      </w:r>
      <w:r>
        <w:rPr>
          <w:rFonts w:hint="eastAsia" w:ascii="Times New Roman" w:hAnsi="Times New Roman"/>
          <w:b/>
          <w:snapToGrid w:val="0"/>
          <w:color w:val="auto"/>
          <w:spacing w:val="4"/>
          <w:kern w:val="0"/>
          <w:sz w:val="24"/>
          <w:szCs w:val="24"/>
          <w:highlight w:val="none"/>
        </w:rPr>
        <w:t xml:space="preserve">  项目监理机构</w:t>
      </w:r>
    </w:p>
    <w:p w14:paraId="55452BE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）监理人必须在施工现场建立项目监理机构。项目监理机构在完成本合同约定的监理工作后可撤离施工现场。</w:t>
      </w:r>
    </w:p>
    <w:p w14:paraId="57C223B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）监理人必须在委托人发出进场通知后，按委托人具体的要求进场，并立即开始履行本合同约定的服务。监理人必须按照其投标文件和监理规划的承诺，足额、按时派驻监理人员和投入设备（见合同附件4</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附件5）。</w:t>
      </w:r>
    </w:p>
    <w:p w14:paraId="2D812BD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）监理人员应包括总监理工程师、专业监理工程师和监理员，必要时可配备总监理工程师代表。</w:t>
      </w:r>
    </w:p>
    <w:p w14:paraId="21D7DEA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总监理工程师及总监代表必须为注册监理工程师；总监理工程师应由具有房屋建筑工程</w:t>
      </w:r>
      <w:r>
        <w:rPr>
          <w:rFonts w:hint="eastAsia" w:ascii="Times New Roman" w:hAnsi="Times New Roman"/>
          <w:snapToGrid w:val="0"/>
          <w:color w:val="auto"/>
          <w:spacing w:val="4"/>
          <w:kern w:val="0"/>
          <w:sz w:val="24"/>
          <w:szCs w:val="24"/>
          <w:highlight w:val="none"/>
          <w:lang w:val="en-US" w:eastAsia="zh-CN"/>
        </w:rPr>
        <w:t>专业</w:t>
      </w:r>
      <w:r>
        <w:rPr>
          <w:rFonts w:hint="eastAsia" w:ascii="Times New Roman" w:hAnsi="Times New Roman"/>
          <w:snapToGrid w:val="0"/>
          <w:color w:val="auto"/>
          <w:spacing w:val="4"/>
          <w:kern w:val="0"/>
          <w:sz w:val="24"/>
          <w:szCs w:val="24"/>
          <w:highlight w:val="none"/>
        </w:rPr>
        <w:t>的注册监理工程师担任；总监代表应由具有房屋建筑工程</w:t>
      </w:r>
      <w:r>
        <w:rPr>
          <w:rFonts w:hint="eastAsia" w:ascii="Times New Roman" w:hAnsi="Times New Roman"/>
          <w:snapToGrid w:val="0"/>
          <w:color w:val="auto"/>
          <w:spacing w:val="4"/>
          <w:kern w:val="0"/>
          <w:sz w:val="24"/>
          <w:szCs w:val="24"/>
          <w:highlight w:val="none"/>
          <w:lang w:val="en-US" w:eastAsia="zh-CN"/>
        </w:rPr>
        <w:t>专业</w:t>
      </w:r>
      <w:r>
        <w:rPr>
          <w:rFonts w:hint="eastAsia" w:ascii="Times New Roman" w:hAnsi="Times New Roman"/>
          <w:snapToGrid w:val="0"/>
          <w:color w:val="auto"/>
          <w:spacing w:val="4"/>
          <w:kern w:val="0"/>
          <w:sz w:val="24"/>
          <w:szCs w:val="24"/>
          <w:highlight w:val="none"/>
        </w:rPr>
        <w:t>的注册监理工程师担任；专业人员应由</w:t>
      </w:r>
      <w:r>
        <w:rPr>
          <w:rFonts w:hint="eastAsia" w:ascii="Times New Roman" w:hAnsi="Times New Roman"/>
          <w:snapToGrid w:val="0"/>
          <w:color w:val="auto"/>
          <w:spacing w:val="4"/>
          <w:kern w:val="0"/>
          <w:sz w:val="24"/>
          <w:szCs w:val="24"/>
          <w:highlight w:val="none"/>
          <w:lang w:val="en-US" w:eastAsia="zh-CN"/>
        </w:rPr>
        <w:t>满足本项目管理基本要求的人员</w:t>
      </w:r>
      <w:r>
        <w:rPr>
          <w:rFonts w:hint="eastAsia" w:ascii="Times New Roman" w:hAnsi="Times New Roman"/>
          <w:snapToGrid w:val="0"/>
          <w:color w:val="auto"/>
          <w:spacing w:val="4"/>
          <w:kern w:val="0"/>
          <w:sz w:val="24"/>
          <w:szCs w:val="24"/>
          <w:highlight w:val="none"/>
        </w:rPr>
        <w:t>担任；负责检测送检的监理人员必须由持有《见证员证书》的技术人员担任。</w:t>
      </w:r>
    </w:p>
    <w:p w14:paraId="5FB081A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4EB54DD4">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default" w:ascii="Times New Roman" w:hAnsi="Times New Roman" w:eastAsia="宋体" w:cs="Times New Roman"/>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）监理人派驻到项目所在地履行监理服务的监理人员</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必须常驻现场。</w:t>
      </w:r>
      <w:r>
        <w:rPr>
          <w:rFonts w:hint="eastAsia" w:ascii="宋体" w:hAnsi="宋体" w:eastAsia="宋体" w:cs="宋体"/>
          <w:color w:val="auto"/>
          <w:spacing w:val="4"/>
          <w:kern w:val="0"/>
          <w:sz w:val="24"/>
          <w:szCs w:val="24"/>
          <w:highlight w:val="none"/>
          <w:lang w:val="en-US" w:eastAsia="zh-CN" w:bidi="ar"/>
        </w:rPr>
        <w:t>总监理工程师、总监理工程师代表、安全监理工程师除有特殊原因且经委托人书面同意以外，不得在其他项目兼职，必须全职在现场办公。</w:t>
      </w:r>
    </w:p>
    <w:p w14:paraId="04F44A56">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078D4231">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）监理人必须保证参与本项目监理人员的稳定性，未征得委托人同意不可撤换，否则必须承担相应责任。监理人因工作安排或其他原因</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需要更换派驻到项目所在地履行监理服务的主要监理人员的</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应事先得到委托人的同意。</w:t>
      </w:r>
    </w:p>
    <w:p w14:paraId="7C3F1725">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）委托人有权以书面形式要求监理人更换不能按照本合同约定履行监理服务的派驻人员。</w:t>
      </w:r>
    </w:p>
    <w:p w14:paraId="007F507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）即使是委托人要求或同意更换的监理人员</w:t>
      </w:r>
      <w:r>
        <w:rPr>
          <w:rFonts w:ascii="Times New Roman" w:hAnsi="Times New Roman"/>
          <w:snapToGrid w:val="0"/>
          <w:color w:val="auto"/>
          <w:spacing w:val="4"/>
          <w:kern w:val="0"/>
          <w:sz w:val="24"/>
          <w:szCs w:val="24"/>
          <w:highlight w:val="none"/>
        </w:rPr>
        <w:t>，</w:t>
      </w:r>
      <w:r>
        <w:rPr>
          <w:rFonts w:hint="eastAsia" w:ascii="Times New Roman" w:hAnsi="Times New Roman"/>
          <w:snapToGrid w:val="0"/>
          <w:color w:val="auto"/>
          <w:spacing w:val="4"/>
          <w:kern w:val="0"/>
          <w:sz w:val="24"/>
          <w:szCs w:val="24"/>
          <w:highlight w:val="none"/>
        </w:rPr>
        <w:t>其替代人员的资质仍应得到委托人的认可。由于更换人员引起的费用由监理人承担。</w:t>
      </w:r>
    </w:p>
    <w:p w14:paraId="38DE25C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10</w:t>
      </w:r>
      <w:r>
        <w:rPr>
          <w:rFonts w:hint="eastAsia" w:ascii="Times New Roman" w:hAnsi="Times New Roman"/>
          <w:snapToGrid w:val="0"/>
          <w:color w:val="auto"/>
          <w:spacing w:val="4"/>
          <w:kern w:val="0"/>
          <w:sz w:val="24"/>
          <w:szCs w:val="24"/>
          <w:highlight w:val="none"/>
        </w:rPr>
        <w:t>）监理工程师在本监理合同授权范围内行使合同规定的权利，履行相应的职责。</w:t>
      </w:r>
    </w:p>
    <w:p w14:paraId="4A3BF7B4">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1）如委托人认为监理人员的数量、监理人员的业务水平、监理人员的专业配置不能满足监理工作所需时，委托人有权另行聘请符合工作需要的监理人员；所聘请监理人员的工资按照不低于《建设工程监理与相关服务收费管理规定》（发改价格[2007]670号）中附表四“建设工程监理与相关服务人员人工日费用标准”相应人员职级对应的工日费用标准上限的2.5倍支付，该费用已包括在本合同监理酬金内，由监理人向所聘监理人员支付。必要时委托人有权（</w:t>
      </w:r>
      <w:r>
        <w:rPr>
          <w:rFonts w:hint="eastAsia" w:ascii="宋体" w:hAnsi="宋体" w:eastAsia="宋体" w:cs="宋体"/>
          <w:color w:val="auto"/>
          <w:spacing w:val="4"/>
          <w:kern w:val="0"/>
          <w:sz w:val="24"/>
          <w:szCs w:val="24"/>
          <w:highlight w:val="none"/>
          <w:lang w:val="en-US" w:eastAsia="zh-CN" w:bidi="ar"/>
        </w:rPr>
        <w:sym w:font="Wingdings" w:char="00FE"/>
      </w:r>
      <w:r>
        <w:rPr>
          <w:rFonts w:hint="eastAsia" w:ascii="Times New Roman" w:hAnsi="Times New Roman"/>
          <w:snapToGrid w:val="0"/>
          <w:color w:val="auto"/>
          <w:spacing w:val="4"/>
          <w:kern w:val="0"/>
          <w:sz w:val="24"/>
          <w:szCs w:val="24"/>
          <w:highlight w:val="none"/>
        </w:rPr>
        <w:t>通知业主单位）从本合同监理酬金中直接支付。</w:t>
      </w:r>
    </w:p>
    <w:p w14:paraId="5886CBA0">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2）委托人根据工程推进实际情况，有权要求监理人的项目负责人必须调用其资源保证落实本项目监理工作。</w:t>
      </w:r>
    </w:p>
    <w:p w14:paraId="5828EA48">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3）监理人应对其驻地监理人员的人身安全承担责任。</w:t>
      </w:r>
    </w:p>
    <w:p w14:paraId="3485C23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4）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183988A9">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5）为了加强委托人与监理人的沟通与协调，委托人另行指定一名专业工程师（委托人监理代表）常驻项目监理机构，监督并协助项目监理机构工作。该名代表的主要职责是：</w:t>
      </w:r>
    </w:p>
    <w:p w14:paraId="1587F0F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）监督监理人的日常监理工作；</w:t>
      </w:r>
    </w:p>
    <w:p w14:paraId="614FE10F">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）负责每天对监理人人员及仪器设备的投入进行考勤考核；</w:t>
      </w:r>
    </w:p>
    <w:p w14:paraId="2B4A0E9E">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）检查监理人的旁站计划及旁站工作记录；</w:t>
      </w:r>
    </w:p>
    <w:p w14:paraId="262D44BD">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）检查监理人的监理日志及隐蔽工程验收记录；</w:t>
      </w:r>
    </w:p>
    <w:p w14:paraId="28ABC672">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）检查监理人编制的承包人人、材、机投入及实物工程量统计报表；</w:t>
      </w:r>
    </w:p>
    <w:p w14:paraId="6052E697">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）如发生安全质量事故，应立即向委托人工程部门领导汇报；</w:t>
      </w:r>
    </w:p>
    <w:p w14:paraId="2ECA18E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）审核签认监理酬金支付申请表；</w:t>
      </w:r>
    </w:p>
    <w:p w14:paraId="790068CB">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8）</w:t>
      </w:r>
      <w:r>
        <w:rPr>
          <w:rFonts w:hint="eastAsia" w:ascii="Times New Roman" w:hAnsi="Times New Roman"/>
          <w:snapToGrid w:val="0"/>
          <w:color w:val="auto"/>
          <w:spacing w:val="4"/>
          <w:kern w:val="0"/>
          <w:sz w:val="24"/>
          <w:szCs w:val="24"/>
          <w:highlight w:val="none"/>
        </w:rPr>
        <w:t>每天填写工作日志，不定期接受委托人工程部门检查；</w:t>
      </w:r>
    </w:p>
    <w:p w14:paraId="7D2C66A3">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ascii="Times New Roman" w:hAnsi="Times New Roman"/>
          <w:snapToGrid w:val="0"/>
          <w:color w:val="auto"/>
          <w:spacing w:val="4"/>
          <w:kern w:val="0"/>
          <w:sz w:val="24"/>
          <w:szCs w:val="24"/>
          <w:highlight w:val="none"/>
        </w:rPr>
        <w:t>9</w:t>
      </w:r>
      <w:r>
        <w:rPr>
          <w:rFonts w:hint="eastAsia" w:ascii="Times New Roman" w:hAnsi="Times New Roman"/>
          <w:snapToGrid w:val="0"/>
          <w:color w:val="auto"/>
          <w:spacing w:val="4"/>
          <w:kern w:val="0"/>
          <w:sz w:val="24"/>
          <w:szCs w:val="24"/>
          <w:highlight w:val="none"/>
        </w:rPr>
        <w:t>）委托人要求其履行的其他职责。</w:t>
      </w:r>
    </w:p>
    <w:p w14:paraId="63631CDA">
      <w:pPr>
        <w:topLinePunct/>
        <w:adjustRightInd w:val="0"/>
        <w:snapToGrid w:val="0"/>
        <w:spacing w:line="480" w:lineRule="exact"/>
        <w:ind w:firstLine="496" w:firstLineChars="200"/>
        <w:rPr>
          <w:rFonts w:ascii="Times New Roman" w:hAnsi="Times New Roman"/>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6）监理人应按照广州市建委的要求为监理人员办理平安卡（如需要）。</w:t>
      </w:r>
    </w:p>
    <w:p w14:paraId="4679B797">
      <w:pPr>
        <w:topLinePunct/>
        <w:adjustRightInd w:val="0"/>
        <w:snapToGrid w:val="0"/>
        <w:spacing w:line="480" w:lineRule="exact"/>
        <w:ind w:firstLine="498" w:firstLineChars="200"/>
        <w:outlineLvl w:val="2"/>
        <w:rPr>
          <w:rFonts w:ascii="Times New Roman" w:hAnsi="Times New Roman"/>
          <w:b/>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4.</w:t>
      </w:r>
      <w:r>
        <w:rPr>
          <w:rFonts w:hint="eastAsia" w:ascii="Times New Roman" w:hAnsi="Times New Roman"/>
          <w:b/>
          <w:snapToGrid w:val="0"/>
          <w:color w:val="auto"/>
          <w:spacing w:val="4"/>
          <w:kern w:val="0"/>
          <w:sz w:val="24"/>
          <w:szCs w:val="24"/>
          <w:highlight w:val="none"/>
        </w:rPr>
        <w:t>3</w:t>
      </w:r>
      <w:r>
        <w:rPr>
          <w:rFonts w:ascii="Times New Roman" w:hAnsi="Times New Roman"/>
          <w:b/>
          <w:snapToGrid w:val="0"/>
          <w:color w:val="auto"/>
          <w:spacing w:val="4"/>
          <w:kern w:val="0"/>
          <w:sz w:val="24"/>
          <w:szCs w:val="24"/>
          <w:highlight w:val="none"/>
        </w:rPr>
        <w:t>.2</w:t>
      </w:r>
      <w:r>
        <w:rPr>
          <w:rFonts w:hint="eastAsia" w:ascii="Times New Roman" w:hAnsi="Times New Roman"/>
          <w:b/>
          <w:snapToGrid w:val="0"/>
          <w:color w:val="auto"/>
          <w:spacing w:val="4"/>
          <w:kern w:val="0"/>
          <w:sz w:val="24"/>
          <w:szCs w:val="24"/>
          <w:highlight w:val="none"/>
        </w:rPr>
        <w:t xml:space="preserve">  总监理工程师的委派和指令</w:t>
      </w:r>
    </w:p>
    <w:p w14:paraId="21E0A33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1</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2761CD43">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2</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5AF58865">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3</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总监理工程师应按相关合同的约定向承包人发出指令，总监理工程师的指令应盖有监理人授权的施工场地机构章，并由总监理工程师或总监理工程师按上述</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项约定授权的监理人员签字。</w:t>
      </w:r>
    </w:p>
    <w:p w14:paraId="4A36E18C">
      <w:pPr>
        <w:topLinePunct/>
        <w:adjustRightInd w:val="0"/>
        <w:snapToGrid w:val="0"/>
        <w:spacing w:line="480" w:lineRule="exact"/>
        <w:ind w:firstLine="496" w:firstLineChars="200"/>
        <w:rPr>
          <w:rFonts w:ascii="Times New Roman" w:hAnsi="Times New Roman"/>
          <w:bCs/>
          <w:strike/>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4</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承包人收到总监理工程师按上述</w:t>
      </w:r>
      <w:r>
        <w:rPr>
          <w:rFonts w:ascii="Times New Roman" w:hAnsi="Times New Roman"/>
          <w:bCs/>
          <w:snapToGrid w:val="0"/>
          <w:color w:val="auto"/>
          <w:spacing w:val="4"/>
          <w:kern w:val="0"/>
          <w:sz w:val="24"/>
          <w:szCs w:val="24"/>
          <w:highlight w:val="none"/>
        </w:rPr>
        <w:t>（3）</w:t>
      </w:r>
      <w:r>
        <w:rPr>
          <w:rFonts w:hint="eastAsia" w:ascii="Times New Roman" w:hAnsi="Times New Roman"/>
          <w:bCs/>
          <w:snapToGrid w:val="0"/>
          <w:color w:val="auto"/>
          <w:spacing w:val="4"/>
          <w:kern w:val="0"/>
          <w:sz w:val="24"/>
          <w:szCs w:val="24"/>
          <w:highlight w:val="none"/>
        </w:rPr>
        <w:t>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1A2FEA12">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5</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在紧急情况下，总监理工程师或被授权的监理人员可以当场发出口头指令，承包人应遵照执行。监理人应在发出口头指令后24小时内发出书面指令予以确认。</w:t>
      </w:r>
    </w:p>
    <w:p w14:paraId="2A98BC87">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6</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除合同另有约定外，承包人只从总监理工程师或按上述</w:t>
      </w:r>
      <w:r>
        <w:rPr>
          <w:rFonts w:ascii="Times New Roman" w:hAnsi="Times New Roman"/>
          <w:bCs/>
          <w:snapToGrid w:val="0"/>
          <w:color w:val="auto"/>
          <w:spacing w:val="4"/>
          <w:kern w:val="0"/>
          <w:sz w:val="24"/>
          <w:szCs w:val="24"/>
          <w:highlight w:val="none"/>
        </w:rPr>
        <w:t>（1）</w:t>
      </w:r>
      <w:r>
        <w:rPr>
          <w:rFonts w:hint="eastAsia" w:ascii="Times New Roman" w:hAnsi="Times New Roman"/>
          <w:bCs/>
          <w:snapToGrid w:val="0"/>
          <w:color w:val="auto"/>
          <w:spacing w:val="4"/>
          <w:kern w:val="0"/>
          <w:sz w:val="24"/>
          <w:szCs w:val="24"/>
          <w:highlight w:val="none"/>
        </w:rPr>
        <w:t>项被授权的监理人员处取得指令。</w:t>
      </w:r>
    </w:p>
    <w:p w14:paraId="63A369AD">
      <w:pPr>
        <w:topLinePunct/>
        <w:adjustRightInd w:val="0"/>
        <w:snapToGrid w:val="0"/>
        <w:spacing w:line="480" w:lineRule="exact"/>
        <w:ind w:firstLine="496" w:firstLineChars="200"/>
        <w:rPr>
          <w:rFonts w:ascii="Times New Roman" w:hAnsi="Times New Roman"/>
          <w:bCs/>
          <w:snapToGrid w:val="0"/>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w:t>
      </w:r>
      <w:r>
        <w:rPr>
          <w:rFonts w:ascii="Times New Roman" w:hAnsi="Times New Roman"/>
          <w:snapToGrid w:val="0"/>
          <w:color w:val="auto"/>
          <w:spacing w:val="4"/>
          <w:kern w:val="0"/>
          <w:sz w:val="24"/>
          <w:szCs w:val="24"/>
          <w:highlight w:val="none"/>
        </w:rPr>
        <w:t>7</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由于总监理工程师未能按合同约定履行职责或总监理工程师指令错误而延误工期的，工期顺延情形只适用于一般节点工期。</w:t>
      </w:r>
    </w:p>
    <w:p w14:paraId="58F87804">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第五条　监理人义务</w:t>
      </w:r>
    </w:p>
    <w:p w14:paraId="3254D8CB">
      <w:pPr>
        <w:topLinePunct/>
        <w:adjustRightInd w:val="0"/>
        <w:snapToGrid w:val="0"/>
        <w:spacing w:line="480" w:lineRule="exact"/>
        <w:ind w:firstLine="498" w:firstLineChars="200"/>
        <w:outlineLvl w:val="2"/>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w:t>
      </w:r>
      <w:r>
        <w:rPr>
          <w:rFonts w:hint="eastAsia" w:ascii="Times New Roman" w:hAnsi="Times New Roman"/>
          <w:color w:val="auto"/>
          <w:spacing w:val="4"/>
          <w:sz w:val="24"/>
          <w:szCs w:val="24"/>
          <w:highlight w:val="none"/>
        </w:rPr>
        <w:t>监理人应对其派驻的项目监理机构在监理业务范围内的工作全面负责，并提供一切必要的支持。</w:t>
      </w:r>
    </w:p>
    <w:p w14:paraId="1EEABE61">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5.2</w:t>
      </w:r>
      <w:r>
        <w:rPr>
          <w:rFonts w:hint="eastAsia" w:ascii="Times New Roman" w:hAnsi="Times New Roman"/>
          <w:color w:val="auto"/>
          <w:spacing w:val="4"/>
          <w:sz w:val="24"/>
          <w:szCs w:val="24"/>
          <w:highlight w:val="none"/>
        </w:rPr>
        <w:t>监理人在本合同履行期内必须接受委托人有关项目管理机构职权规定的约束，监理人应对提供给本项目服务的人员经常进行检查、指导、管理及后方支持，对他们完成的服务承担责任。</w:t>
      </w:r>
    </w:p>
    <w:p w14:paraId="4D37576B">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5.3</w:t>
      </w:r>
      <w:r>
        <w:rPr>
          <w:rFonts w:hint="eastAsia" w:ascii="Times New Roman" w:hAnsi="Times New Roman"/>
          <w:color w:val="auto"/>
          <w:spacing w:val="4"/>
          <w:sz w:val="24"/>
          <w:szCs w:val="24"/>
          <w:highlight w:val="none"/>
        </w:rPr>
        <w:t>监理人必须在收到图纸、勘察资料等技术文件后</w:t>
      </w:r>
      <w:r>
        <w:rPr>
          <w:rFonts w:ascii="Times New Roman" w:hAnsi="Times New Roman"/>
          <w:color w:val="auto"/>
          <w:spacing w:val="4"/>
          <w:sz w:val="24"/>
          <w:szCs w:val="24"/>
          <w:highlight w:val="none"/>
        </w:rPr>
        <w:t>14</w:t>
      </w:r>
      <w:r>
        <w:rPr>
          <w:rFonts w:hint="eastAsia" w:ascii="Times New Roman" w:hAnsi="Times New Roman"/>
          <w:color w:val="auto"/>
          <w:spacing w:val="4"/>
          <w:sz w:val="24"/>
          <w:szCs w:val="24"/>
          <w:highlight w:val="none"/>
        </w:rPr>
        <w:t>个日内向委托人提供针对本合同工程特点、重点、难点的《监理规划》、相应的《监理实施细则》，经委托人审核批准后执行，委托人以此具体考核监理人的监理工作。如委托人要求监理人对《监理规划》等进行调整，监理人必须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个日内完成调整并报委托人审批。</w:t>
      </w:r>
    </w:p>
    <w:p w14:paraId="785FA686">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5.4</w:t>
      </w:r>
      <w:r>
        <w:rPr>
          <w:rFonts w:hint="eastAsia" w:ascii="Times New Roman" w:hAnsi="Times New Roman"/>
          <w:color w:val="auto"/>
          <w:spacing w:val="4"/>
          <w:sz w:val="24"/>
          <w:szCs w:val="24"/>
          <w:highlight w:val="none"/>
        </w:rPr>
        <w:t>委托人委托监理人代表委托人组织施工前期手续的办理工作，直至具备施工条件。委托人委托监理人承担本合同工程范围内的协调管理工作，包括工程施工的进场、设计、退场、质量、进度及其他相关工作。</w:t>
      </w:r>
    </w:p>
    <w:p w14:paraId="03329286">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5.5</w:t>
      </w:r>
      <w:r>
        <w:rPr>
          <w:rFonts w:hint="eastAsia" w:ascii="Times New Roman" w:hAnsi="Times New Roman"/>
          <w:color w:val="auto"/>
          <w:spacing w:val="4"/>
          <w:sz w:val="24"/>
          <w:szCs w:val="24"/>
          <w:highlight w:val="none"/>
        </w:rPr>
        <w:t>监理工程师在本合同工程中，对工程质量、投资与进度进行控制，办理合同约定的各项手续。监理工程师在办理各种手续时，不得扣压和延误。</w:t>
      </w:r>
    </w:p>
    <w:p w14:paraId="235E5D0B">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5.6</w:t>
      </w:r>
      <w:r>
        <w:rPr>
          <w:rFonts w:hint="eastAsia" w:ascii="Times New Roman" w:hAnsi="Times New Roman"/>
          <w:color w:val="auto"/>
          <w:spacing w:val="4"/>
          <w:sz w:val="24"/>
          <w:szCs w:val="24"/>
          <w:highlight w:val="none"/>
        </w:rPr>
        <w:t>在任何情况下（包括合同另有约定的情况），凡涉及工程变更、工程量增减、议价、索赔、处理事故、改变工期、改变技术标准、改变重大施工方案等及一切有关费用的问题，均需与委托人共同商定，报委托人批准。</w:t>
      </w:r>
    </w:p>
    <w:p w14:paraId="7EA14A10">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5.7</w:t>
      </w:r>
      <w:r>
        <w:rPr>
          <w:rFonts w:hint="eastAsia" w:ascii="Times New Roman" w:hAnsi="Times New Roman"/>
          <w:color w:val="auto"/>
          <w:spacing w:val="4"/>
          <w:sz w:val="24"/>
          <w:szCs w:val="24"/>
          <w:highlight w:val="none"/>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7A8D316D">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5.8</w:t>
      </w:r>
      <w:r>
        <w:rPr>
          <w:rFonts w:hint="eastAsia" w:ascii="Times New Roman" w:hAnsi="Times New Roman"/>
          <w:color w:val="auto"/>
          <w:spacing w:val="4"/>
          <w:sz w:val="24"/>
          <w:szCs w:val="24"/>
          <w:highlight w:val="none"/>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55C34598">
      <w:pPr>
        <w:topLinePunct/>
        <w:adjustRightInd w:val="0"/>
        <w:snapToGrid w:val="0"/>
        <w:spacing w:line="480" w:lineRule="exact"/>
        <w:ind w:firstLine="498" w:firstLineChars="200"/>
        <w:outlineLvl w:val="0"/>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5.9</w:t>
      </w:r>
      <w:r>
        <w:rPr>
          <w:rFonts w:hint="eastAsia" w:ascii="Times New Roman" w:hAnsi="Times New Roman"/>
          <w:color w:val="auto"/>
          <w:spacing w:val="4"/>
          <w:sz w:val="24"/>
          <w:szCs w:val="24"/>
          <w:highlight w:val="none"/>
        </w:rPr>
        <w:t>监理人必须不折不扣地履行其工作职责，不得推托或耽误，不能有不履行或不完全履行职务的行为，否则，必须承担相应的违约责任。</w:t>
      </w:r>
    </w:p>
    <w:p w14:paraId="6A2B2AD9">
      <w:pPr>
        <w:topLinePunct/>
        <w:adjustRightInd w:val="0"/>
        <w:snapToGrid w:val="0"/>
        <w:spacing w:line="480" w:lineRule="exact"/>
        <w:ind w:firstLine="496" w:firstLineChars="200"/>
        <w:outlineLvl w:val="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p>
    <w:p w14:paraId="35DEE2A1">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5.10</w:t>
      </w:r>
      <w:r>
        <w:rPr>
          <w:rFonts w:hint="eastAsia" w:ascii="Times New Roman" w:hAnsi="Times New Roman"/>
          <w:color w:val="auto"/>
          <w:spacing w:val="4"/>
          <w:sz w:val="24"/>
          <w:szCs w:val="24"/>
          <w:highlight w:val="none"/>
        </w:rPr>
        <w:t>对于委托人及承包人书面提交并要求作出决定的事宜，监理人应在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日内作出书面答复，对影响施工现场进度的事项应在</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小时内作出具有明确处理意见的书面答复。</w:t>
      </w:r>
    </w:p>
    <w:p w14:paraId="2016A7E7">
      <w:pPr>
        <w:topLinePunct/>
        <w:adjustRightInd w:val="0"/>
        <w:snapToGrid w:val="0"/>
        <w:spacing w:line="480" w:lineRule="exact"/>
        <w:ind w:firstLine="498" w:firstLineChars="200"/>
        <w:outlineLvl w:val="0"/>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5.11</w:t>
      </w:r>
      <w:r>
        <w:rPr>
          <w:rFonts w:hint="eastAsia" w:ascii="Times New Roman" w:hAnsi="Times New Roman"/>
          <w:color w:val="auto"/>
          <w:spacing w:val="4"/>
          <w:sz w:val="24"/>
          <w:szCs w:val="24"/>
          <w:highlight w:val="none"/>
        </w:rPr>
        <w:t>监理人应在签订本合同后30天内按合同附件载明的格式向委托人提交由在中国注册</w:t>
      </w:r>
      <w:r>
        <w:rPr>
          <w:rFonts w:ascii="Times New Roman" w:hAnsi="Times New Roman"/>
          <w:color w:val="auto"/>
          <w:spacing w:val="4"/>
          <w:sz w:val="24"/>
          <w:szCs w:val="24"/>
          <w:highlight w:val="none"/>
        </w:rPr>
        <w:t>并经委托人认可的担保机构</w:t>
      </w:r>
      <w:r>
        <w:rPr>
          <w:rFonts w:hint="eastAsia" w:ascii="Times New Roman" w:hAnsi="Times New Roman"/>
          <w:color w:val="auto"/>
          <w:spacing w:val="4"/>
          <w:sz w:val="24"/>
          <w:szCs w:val="24"/>
          <w:highlight w:val="none"/>
        </w:rPr>
        <w:t>开出的担保金额为合同价款的</w:t>
      </w:r>
      <w:r>
        <w:rPr>
          <w:rFonts w:ascii="Times New Roman" w:hAnsi="Times New Roman"/>
          <w:color w:val="auto"/>
          <w:spacing w:val="4"/>
          <w:sz w:val="24"/>
          <w:szCs w:val="24"/>
          <w:highlight w:val="none"/>
        </w:rPr>
        <w:t>10%</w:t>
      </w:r>
      <w:r>
        <w:rPr>
          <w:rFonts w:hint="eastAsia" w:ascii="Times New Roman" w:hAnsi="Times New Roman"/>
          <w:color w:val="auto"/>
          <w:spacing w:val="4"/>
          <w:kern w:val="0"/>
          <w:sz w:val="24"/>
          <w:szCs w:val="24"/>
          <w:highlight w:val="none"/>
        </w:rPr>
        <w:t>，</w:t>
      </w:r>
      <w:r>
        <w:rPr>
          <w:rFonts w:hint="eastAsia" w:ascii="Times New Roman" w:hAnsi="Times New Roman"/>
          <w:color w:val="auto"/>
          <w:spacing w:val="4"/>
          <w:sz w:val="24"/>
          <w:szCs w:val="24"/>
          <w:highlight w:val="none"/>
        </w:rPr>
        <w:t>即人民币________元的《履约</w:t>
      </w:r>
      <w:r>
        <w:rPr>
          <w:rFonts w:ascii="Times New Roman" w:hAnsi="Times New Roman"/>
          <w:color w:val="auto"/>
          <w:spacing w:val="4"/>
          <w:sz w:val="24"/>
          <w:szCs w:val="24"/>
          <w:highlight w:val="none"/>
        </w:rPr>
        <w:t>担保</w:t>
      </w:r>
      <w:r>
        <w:rPr>
          <w:rFonts w:hint="eastAsia" w:ascii="Times New Roman" w:hAnsi="Times New Roman"/>
          <w:color w:val="auto"/>
          <w:spacing w:val="4"/>
          <w:sz w:val="24"/>
          <w:szCs w:val="24"/>
          <w:highlight w:val="none"/>
        </w:rPr>
        <w:t>》原件。</w:t>
      </w:r>
    </w:p>
    <w:p w14:paraId="68A4EBFA">
      <w:pPr>
        <w:topLinePunct/>
        <w:adjustRightInd w:val="0"/>
        <w:snapToGrid w:val="0"/>
        <w:spacing w:line="480" w:lineRule="exact"/>
        <w:ind w:firstLine="496" w:firstLineChars="200"/>
        <w:outlineLvl w:val="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监理人需保证</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在本合同整个履行期间的有效性；若因工程延期或因其他原因导致</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期限未涵盖本合同整个有效期的，监理人应在</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有效期届满前45天办理</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的续期手续，并于原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有效期届满前10天向委托人提交同样格式且更新日期后的有效</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，以替代原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。关于新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担保金额：</w:t>
      </w:r>
    </w:p>
    <w:p w14:paraId="15CBFF9F">
      <w:pPr>
        <w:topLinePunct/>
        <w:adjustRightInd w:val="0"/>
        <w:snapToGrid w:val="0"/>
        <w:spacing w:line="480" w:lineRule="exact"/>
        <w:ind w:firstLine="496" w:firstLineChars="200"/>
        <w:outlineLvl w:val="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（1）若实体工程已完工且监理人无欠付委托人相关费用的，则无论原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是否到期，监理人均可申请提交担保金额为原担保金额30%的新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替换原</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。经委托人审核同意后方可执行。</w:t>
      </w:r>
    </w:p>
    <w:p w14:paraId="6ED4F7C7">
      <w:pPr>
        <w:topLinePunct/>
        <w:adjustRightInd w:val="0"/>
        <w:snapToGrid w:val="0"/>
        <w:spacing w:line="480" w:lineRule="exact"/>
        <w:ind w:firstLine="496" w:firstLineChars="200"/>
        <w:outlineLvl w:val="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（2）若实体工程未完成的，则监理人须按原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kern w:val="0"/>
          <w:sz w:val="24"/>
          <w:szCs w:val="24"/>
          <w:highlight w:val="none"/>
        </w:rPr>
        <w:t>金额办理</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续期手续。</w:t>
      </w:r>
    </w:p>
    <w:p w14:paraId="286D034B">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5.12</w:t>
      </w:r>
      <w:r>
        <w:rPr>
          <w:rFonts w:hint="eastAsia" w:ascii="Times New Roman" w:hAnsi="Times New Roman"/>
          <w:color w:val="auto"/>
          <w:spacing w:val="4"/>
          <w:sz w:val="24"/>
          <w:szCs w:val="24"/>
          <w:highlight w:val="none"/>
        </w:rPr>
        <w:t>监理人如未能在上述约定的时间内提交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的，委托人有权取消监理人中标资格并解除合同，</w:t>
      </w:r>
      <w:r>
        <w:rPr>
          <w:rFonts w:ascii="Times New Roman" w:hAnsi="Times New Roman"/>
          <w:color w:val="auto"/>
          <w:spacing w:val="4"/>
          <w:sz w:val="24"/>
          <w:szCs w:val="24"/>
          <w:highlight w:val="none"/>
        </w:rPr>
        <w:t>给委托人造成损失的，委托人有权要求监理人承担赔偿责任</w:t>
      </w:r>
      <w:r>
        <w:rPr>
          <w:rFonts w:hint="eastAsia" w:ascii="Times New Roman" w:hAnsi="Times New Roman"/>
          <w:color w:val="auto"/>
          <w:spacing w:val="4"/>
          <w:sz w:val="24"/>
          <w:szCs w:val="24"/>
          <w:highlight w:val="none"/>
        </w:rPr>
        <w:t>。</w:t>
      </w:r>
    </w:p>
    <w:p w14:paraId="3C90510D">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5.13</w:t>
      </w:r>
      <w:r>
        <w:rPr>
          <w:rFonts w:hint="eastAsia" w:ascii="Times New Roman" w:hAnsi="Times New Roman"/>
          <w:color w:val="auto"/>
          <w:spacing w:val="4"/>
          <w:sz w:val="24"/>
          <w:szCs w:val="24"/>
          <w:highlight w:val="none"/>
        </w:rPr>
        <w:t>监理人提交的</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是对本合同约定的监理人的全部义务（包括但不限于监理人违约后应支付的违约金和赔偿金）的担保，监理人的任何一次不履行或不完全履行合同义务的行为，委托人均有权向</w:t>
      </w:r>
      <w:r>
        <w:rPr>
          <w:rFonts w:ascii="Times New Roman" w:hAnsi="Times New Roman"/>
          <w:color w:val="auto"/>
          <w:spacing w:val="4"/>
          <w:sz w:val="24"/>
          <w:szCs w:val="24"/>
          <w:highlight w:val="none"/>
        </w:rPr>
        <w:t>保证人</w:t>
      </w:r>
      <w:r>
        <w:rPr>
          <w:rFonts w:hint="eastAsia" w:ascii="Times New Roman" w:hAnsi="Times New Roman"/>
          <w:color w:val="auto"/>
          <w:spacing w:val="4"/>
          <w:sz w:val="24"/>
          <w:szCs w:val="24"/>
          <w:highlight w:val="none"/>
        </w:rPr>
        <w:t>提出索赔。</w:t>
      </w:r>
    </w:p>
    <w:p w14:paraId="20865E49">
      <w:pPr>
        <w:topLinePunct/>
        <w:adjustRightInd w:val="0"/>
        <w:snapToGrid w:val="0"/>
        <w:spacing w:line="480" w:lineRule="exact"/>
        <w:ind w:firstLine="498" w:firstLineChars="200"/>
        <w:outlineLvl w:val="0"/>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5.14</w:t>
      </w:r>
      <w:r>
        <w:rPr>
          <w:rFonts w:hint="eastAsia" w:ascii="Times New Roman" w:hAnsi="Times New Roman"/>
          <w:color w:val="auto"/>
          <w:spacing w:val="4"/>
          <w:sz w:val="24"/>
          <w:szCs w:val="24"/>
          <w:highlight w:val="none"/>
        </w:rPr>
        <w:t>监理人不履行或不完全履行合同义务的行为导致委托人依据</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向</w:t>
      </w:r>
      <w:r>
        <w:rPr>
          <w:rFonts w:ascii="Times New Roman" w:hAnsi="Times New Roman"/>
          <w:color w:val="auto"/>
          <w:spacing w:val="4"/>
          <w:sz w:val="24"/>
          <w:szCs w:val="24"/>
          <w:highlight w:val="none"/>
        </w:rPr>
        <w:t>保证人</w:t>
      </w:r>
      <w:r>
        <w:rPr>
          <w:rFonts w:hint="eastAsia" w:ascii="Times New Roman" w:hAnsi="Times New Roman"/>
          <w:color w:val="auto"/>
          <w:spacing w:val="4"/>
          <w:sz w:val="24"/>
          <w:szCs w:val="24"/>
          <w:highlight w:val="none"/>
        </w:rPr>
        <w:t>索赔</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金额的一部分或者全部的，监理人必须在委托人规定的时间内补充提交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，使得本合同履行期间有效的</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金额等于监理人第一次提交的</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w:t>
      </w:r>
    </w:p>
    <w:p w14:paraId="2584D5F7">
      <w:pPr>
        <w:topLinePunct/>
        <w:adjustRightInd w:val="0"/>
        <w:snapToGrid w:val="0"/>
        <w:spacing w:line="480" w:lineRule="exact"/>
        <w:ind w:firstLine="496" w:firstLineChars="200"/>
        <w:outlineLvl w:val="0"/>
        <w:rPr>
          <w:rFonts w:ascii="Times New Roman" w:hAnsi="Times New Roman"/>
          <w:color w:val="auto"/>
          <w:spacing w:val="4"/>
          <w:kern w:val="0"/>
          <w:sz w:val="24"/>
          <w:szCs w:val="24"/>
          <w:highlight w:val="none"/>
        </w:rPr>
      </w:pPr>
      <w:r>
        <w:rPr>
          <w:rFonts w:hint="eastAsia" w:ascii="Times New Roman" w:hAnsi="Times New Roman"/>
          <w:color w:val="auto"/>
          <w:spacing w:val="4"/>
          <w:kern w:val="0"/>
          <w:sz w:val="24"/>
          <w:szCs w:val="24"/>
          <w:highlight w:val="none"/>
        </w:rPr>
        <w:t>如果监理人不按委托人的要求及时补充提交</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kern w:val="0"/>
          <w:sz w:val="24"/>
          <w:szCs w:val="24"/>
          <w:highlight w:val="none"/>
        </w:rPr>
        <w:t>，则委托人有权单方面部分解除或解除本合同，并按合同专用条件第26.1（4）、（5）款的有关约定执行。</w:t>
      </w:r>
    </w:p>
    <w:p w14:paraId="34CFA70C">
      <w:pPr>
        <w:topLinePunct/>
        <w:adjustRightInd w:val="0"/>
        <w:snapToGrid w:val="0"/>
        <w:spacing w:line="480" w:lineRule="exact"/>
        <w:ind w:firstLine="498" w:firstLineChars="200"/>
        <w:outlineLvl w:val="0"/>
        <w:rPr>
          <w:rFonts w:ascii="Times New Roman" w:hAnsi="Times New Roman"/>
          <w:color w:val="auto"/>
          <w:spacing w:val="4"/>
          <w:sz w:val="24"/>
          <w:szCs w:val="24"/>
          <w:highlight w:val="none"/>
        </w:rPr>
      </w:pPr>
      <w:r>
        <w:rPr>
          <w:rFonts w:ascii="Times New Roman" w:hAnsi="Times New Roman"/>
          <w:b/>
          <w:color w:val="auto"/>
          <w:spacing w:val="4"/>
          <w:sz w:val="24"/>
          <w:szCs w:val="24"/>
          <w:highlight w:val="none"/>
        </w:rPr>
        <w:t>5.15</w:t>
      </w:r>
      <w:r>
        <w:rPr>
          <w:rFonts w:hint="eastAsia" w:ascii="Times New Roman" w:hAnsi="Times New Roman"/>
          <w:color w:val="auto"/>
          <w:spacing w:val="4"/>
          <w:sz w:val="24"/>
          <w:szCs w:val="24"/>
          <w:highlight w:val="none"/>
        </w:rPr>
        <w:t>如果监理人未按合同约定更新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的，应按以下约定承担违约责任，且委托人有权以不超过</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金额为限暂停支付余下的合同价款直至监理人提交新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或提供工程所需全部分部（子分部）工程质量验收记录及已提供竣工图证明文件（经委托人确认承包人已提供竣工图的相关文件）。</w:t>
      </w:r>
    </w:p>
    <w:p w14:paraId="052B5237">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（1）自原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期限届满之日起5日内未提交新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的，给予书面警告并限期整改。</w:t>
      </w:r>
    </w:p>
    <w:p w14:paraId="3BDBF8A0">
      <w:pPr>
        <w:topLinePunct/>
        <w:adjustRightInd w:val="0"/>
        <w:snapToGrid w:val="0"/>
        <w:spacing w:line="480" w:lineRule="exact"/>
        <w:ind w:firstLine="496" w:firstLineChars="200"/>
        <w:outlineLvl w:val="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（2）若原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过期达10天（含）仍未提交新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的，则监理人承担一般违约责任；若原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过期达30天（含）仍未提交新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的，则监理人须再承担严重违约责任。</w:t>
      </w:r>
    </w:p>
    <w:p w14:paraId="53B4E1CA">
      <w:pPr>
        <w:topLinePunct w:val="0"/>
        <w:adjustRightInd/>
        <w:snapToGrid/>
        <w:spacing w:line="240" w:lineRule="auto"/>
        <w:ind w:firstLine="0" w:firstLineChars="0"/>
        <w:outlineLvl w:val="9"/>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（3）若原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过期达60天（含）仍未提交新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的，则监理人除按上述约定承担违约责任外，自原</w:t>
      </w:r>
      <w:r>
        <w:rPr>
          <w:rFonts w:ascii="Times New Roman" w:hAnsi="Times New Roman"/>
          <w:color w:val="auto"/>
          <w:spacing w:val="4"/>
          <w:kern w:val="0"/>
          <w:sz w:val="24"/>
          <w:szCs w:val="24"/>
          <w:highlight w:val="none"/>
        </w:rPr>
        <w:t>担保</w:t>
      </w:r>
      <w:r>
        <w:rPr>
          <w:rFonts w:hint="eastAsia" w:ascii="Times New Roman" w:hAnsi="Times New Roman"/>
          <w:color w:val="auto"/>
          <w:spacing w:val="4"/>
          <w:sz w:val="24"/>
          <w:szCs w:val="24"/>
          <w:highlight w:val="none"/>
        </w:rPr>
        <w:t>届满第60天起，监理人应向委托人支付违约金（</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szCs w:val="24"/>
          <w:highlight w:val="none"/>
        </w:rPr>
        <w:t>1000元/天、</w:t>
      </w:r>
      <w:r>
        <w:rPr>
          <w:rFonts w:hint="eastAsia" w:ascii="宋体" w:hAnsi="宋体"/>
          <w:b/>
          <w:bCs/>
          <w:snapToGrid w:val="0"/>
          <w:color w:val="auto"/>
          <w:kern w:val="0"/>
          <w:sz w:val="24"/>
          <w:szCs w:val="24"/>
          <w:highlight w:val="none"/>
          <w:lang w:val="en-US" w:eastAsia="zh-CN"/>
        </w:rPr>
        <w:t>☒</w:t>
      </w:r>
      <w:r>
        <w:rPr>
          <w:rFonts w:hint="eastAsia" w:ascii="Times New Roman" w:hAnsi="Times New Roman"/>
          <w:color w:val="auto"/>
          <w:spacing w:val="4"/>
          <w:sz w:val="24"/>
          <w:szCs w:val="24"/>
          <w:highlight w:val="none"/>
        </w:rPr>
        <w:t>2000元/天、</w:t>
      </w:r>
      <w:r>
        <w:rPr>
          <w:rFonts w:hint="eastAsia" w:ascii="Times New Roman" w:hAnsi="Times New Roman"/>
          <w:color w:val="auto"/>
          <w:spacing w:val="4"/>
          <w:kern w:val="0"/>
          <w:sz w:val="24"/>
          <w:szCs w:val="24"/>
          <w:highlight w:val="none"/>
          <w:lang w:eastAsia="zh-CN"/>
        </w:rPr>
        <w:t>☑</w:t>
      </w:r>
      <w:r>
        <w:rPr>
          <w:rFonts w:hint="eastAsia" w:ascii="Times New Roman" w:hAnsi="Times New Roman"/>
          <w:color w:val="auto"/>
          <w:spacing w:val="4"/>
          <w:sz w:val="24"/>
          <w:szCs w:val="24"/>
          <w:highlight w:val="none"/>
        </w:rPr>
        <w:t>5000元/天），直至监理人提交新</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或提供工程所需全部分部（子分部）工程质量验收记录及已提供竣工图证明文件（经委托人确认承包人已提供竣工图的相关文件）。</w:t>
      </w:r>
    </w:p>
    <w:p w14:paraId="1DCE95F3">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5.16</w:t>
      </w:r>
      <w:r>
        <w:rPr>
          <w:rFonts w:hint="eastAsia" w:ascii="Times New Roman" w:hAnsi="Times New Roman"/>
          <w:color w:val="auto"/>
          <w:spacing w:val="4"/>
          <w:kern w:val="0"/>
          <w:sz w:val="24"/>
          <w:szCs w:val="24"/>
          <w:highlight w:val="none"/>
        </w:rPr>
        <w:t>监理人提供本项目所需全部分部（子分部）工程质量验收记录（☑地基与基础，☑主体结构，☑建筑装饰装修，☑屋面工程，☑建筑给水、排水及采暖，☑通风与空调，☑建筑电气，☑建筑智能化，☑建筑节能，☑电梯，☑室外设施，☑附属建筑及室外环境，☑室外安装，☑其他</w:t>
      </w:r>
      <w:r>
        <w:rPr>
          <w:rFonts w:hint="eastAsia" w:ascii="Times New Roman" w:hAnsi="Times New Roman"/>
          <w:color w:val="auto"/>
          <w:spacing w:val="4"/>
          <w:kern w:val="0"/>
          <w:sz w:val="24"/>
          <w:szCs w:val="24"/>
          <w:highlight w:val="none"/>
          <w:u w:val="single"/>
        </w:rPr>
        <w:t>（如有）</w:t>
      </w:r>
      <w:r>
        <w:rPr>
          <w:rFonts w:hint="eastAsia" w:ascii="Times New Roman" w:hAnsi="Times New Roman"/>
          <w:color w:val="auto"/>
          <w:spacing w:val="4"/>
          <w:kern w:val="0"/>
          <w:sz w:val="24"/>
          <w:szCs w:val="24"/>
          <w:highlight w:val="none"/>
        </w:rPr>
        <w:t>）及已提供竣工图证明文件（经委托人确认承包人已提供竣工图的相关文件）</w:t>
      </w:r>
      <w:r>
        <w:rPr>
          <w:rFonts w:hint="eastAsia" w:ascii="Times New Roman" w:hAnsi="Times New Roman"/>
          <w:color w:val="auto"/>
          <w:spacing w:val="4"/>
          <w:sz w:val="24"/>
          <w:szCs w:val="24"/>
          <w:highlight w:val="none"/>
        </w:rPr>
        <w:t>后，可以向委托人申请退还</w:t>
      </w:r>
      <w:r>
        <w:rPr>
          <w:rFonts w:ascii="Times New Roman" w:hAnsi="Times New Roman"/>
          <w:color w:val="auto"/>
          <w:spacing w:val="4"/>
          <w:kern w:val="0"/>
          <w:sz w:val="24"/>
          <w:szCs w:val="24"/>
          <w:highlight w:val="none"/>
        </w:rPr>
        <w:t>履约担保</w:t>
      </w:r>
      <w:r>
        <w:rPr>
          <w:rFonts w:hint="eastAsia" w:ascii="Times New Roman" w:hAnsi="Times New Roman"/>
          <w:color w:val="auto"/>
          <w:spacing w:val="4"/>
          <w:sz w:val="24"/>
          <w:szCs w:val="24"/>
          <w:highlight w:val="none"/>
        </w:rPr>
        <w:t>。</w:t>
      </w:r>
    </w:p>
    <w:p w14:paraId="3505FAFD">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 xml:space="preserve">5.17 </w:t>
      </w:r>
      <w:r>
        <w:rPr>
          <w:rFonts w:hint="eastAsia" w:ascii="Times New Roman" w:hAnsi="Times New Roman"/>
          <w:color w:val="auto"/>
          <w:spacing w:val="4"/>
          <w:sz w:val="24"/>
          <w:szCs w:val="24"/>
          <w:highlight w:val="none"/>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07FC24D6">
      <w:pPr>
        <w:topLinePunct/>
        <w:adjustRightInd w:val="0"/>
        <w:snapToGrid w:val="0"/>
        <w:spacing w:line="480" w:lineRule="exact"/>
        <w:ind w:firstLine="498" w:firstLineChars="200"/>
        <w:outlineLvl w:val="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 xml:space="preserve">5.18 </w:t>
      </w:r>
      <w:r>
        <w:rPr>
          <w:rFonts w:hint="eastAsia" w:ascii="Times New Roman" w:hAnsi="Times New Roman"/>
          <w:color w:val="auto"/>
          <w:spacing w:val="4"/>
          <w:sz w:val="24"/>
          <w:szCs w:val="24"/>
          <w:highlight w:val="none"/>
        </w:rPr>
        <w:t>监理人不按上述约定购买保险所产生的后果，由监理人自行承担。</w:t>
      </w:r>
    </w:p>
    <w:p w14:paraId="5BA4476B">
      <w:pPr>
        <w:topLinePunct/>
        <w:adjustRightInd w:val="0"/>
        <w:snapToGrid w:val="0"/>
        <w:spacing w:line="48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sz w:val="24"/>
          <w:szCs w:val="24"/>
          <w:highlight w:val="none"/>
        </w:rPr>
        <w:t>第九条　外部关系的协调</w:t>
      </w:r>
    </w:p>
    <w:p w14:paraId="114F6A06">
      <w:pPr>
        <w:topLinePunct/>
        <w:adjustRightInd w:val="0"/>
        <w:snapToGrid w:val="0"/>
        <w:spacing w:line="480" w:lineRule="exact"/>
        <w:ind w:firstLine="496" w:firstLineChars="200"/>
        <w:outlineLvl w:val="1"/>
        <w:rPr>
          <w:rFonts w:ascii="Times New Roman" w:hAnsi="Times New Roman"/>
          <w:b/>
          <w:bCs/>
          <w:color w:val="auto"/>
          <w:spacing w:val="4"/>
          <w:kern w:val="0"/>
          <w:sz w:val="24"/>
          <w:szCs w:val="24"/>
          <w:highlight w:val="none"/>
        </w:rPr>
      </w:pPr>
      <w:r>
        <w:rPr>
          <w:rFonts w:hint="eastAsia" w:ascii="Times New Roman" w:hAnsi="Times New Roman"/>
          <w:snapToGrid w:val="0"/>
          <w:color w:val="auto"/>
          <w:spacing w:val="4"/>
          <w:kern w:val="0"/>
          <w:sz w:val="24"/>
          <w:szCs w:val="24"/>
          <w:highlight w:val="none"/>
        </w:rPr>
        <w:t>委托人根据需要有权指令监理人协调部分外部关系，委托人（</w:t>
      </w:r>
      <w:r>
        <w:rPr>
          <w:rFonts w:hint="eastAsia" w:ascii="宋体" w:hAnsi="宋体"/>
          <w:b/>
          <w:bCs/>
          <w:snapToGrid w:val="0"/>
          <w:color w:val="auto"/>
          <w:spacing w:val="6"/>
          <w:sz w:val="24"/>
          <w:szCs w:val="24"/>
          <w:highlight w:val="none"/>
        </w:rPr>
        <w:sym w:font="Wingdings 2" w:char="0052"/>
      </w:r>
      <w:r>
        <w:rPr>
          <w:rFonts w:hint="eastAsia" w:ascii="Times New Roman" w:hAnsi="Times New Roman"/>
          <w:snapToGrid w:val="0"/>
          <w:color w:val="auto"/>
          <w:spacing w:val="4"/>
          <w:kern w:val="0"/>
          <w:sz w:val="24"/>
          <w:szCs w:val="24"/>
          <w:highlight w:val="none"/>
        </w:rPr>
        <w:t>或业主单位）对此无需支付任何酬金。</w:t>
      </w:r>
    </w:p>
    <w:p w14:paraId="77BC9CDE">
      <w:pPr>
        <w:topLinePunct/>
        <w:adjustRightInd w:val="0"/>
        <w:snapToGrid w:val="0"/>
        <w:spacing w:line="48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color w:val="auto"/>
          <w:spacing w:val="4"/>
          <w:kern w:val="0"/>
          <w:sz w:val="24"/>
          <w:szCs w:val="24"/>
          <w:highlight w:val="none"/>
        </w:rPr>
        <w:t>第十条　委托人向监理人提供的文件、资料</w:t>
      </w:r>
    </w:p>
    <w:p w14:paraId="2D316C7D">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委托人在本合同生效后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日内向监理人免费提供下述文件、资料：</w:t>
      </w:r>
    </w:p>
    <w:p w14:paraId="6F81EAE7">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）委托人与承包人签订的合同文件</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份；</w:t>
      </w:r>
    </w:p>
    <w:p w14:paraId="3EAF5E08">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）合同图纸和相关的标准图纸及说明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套；</w:t>
      </w:r>
    </w:p>
    <w:p w14:paraId="1C1E709A">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）施工图纸及说明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套；</w:t>
      </w:r>
    </w:p>
    <w:p w14:paraId="1CCFEAFE">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）委托人结合本项目实际编写的技术规范</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套；</w:t>
      </w:r>
    </w:p>
    <w:p w14:paraId="059D5C19">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）监理人完成本合同监理工作所必须的其他文件和资料。</w:t>
      </w:r>
    </w:p>
    <w:p w14:paraId="321B7225">
      <w:pPr>
        <w:topLinePunct/>
        <w:adjustRightInd w:val="0"/>
        <w:snapToGrid w:val="0"/>
        <w:spacing w:line="44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第十一条</w:t>
      </w:r>
      <w:r>
        <w:rPr>
          <w:rFonts w:hint="eastAsia" w:ascii="Times New Roman" w:hAnsi="Times New Roman"/>
          <w:b/>
          <w:color w:val="auto"/>
          <w:spacing w:val="4"/>
          <w:sz w:val="24"/>
          <w:szCs w:val="24"/>
          <w:highlight w:val="none"/>
        </w:rPr>
        <w:t>　委托人书面答复的时间</w:t>
      </w:r>
    </w:p>
    <w:p w14:paraId="3492BC4A">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委托人应在</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日内对监理人书面提交并要求作出决定的事宜作出书面答复。</w:t>
      </w:r>
    </w:p>
    <w:p w14:paraId="621F8645">
      <w:pPr>
        <w:topLinePunct/>
        <w:adjustRightInd w:val="0"/>
        <w:snapToGrid w:val="0"/>
        <w:spacing w:line="44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第十二条 委托人代表及委托人监理代表</w:t>
      </w:r>
    </w:p>
    <w:p w14:paraId="2A256A96">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委托人代表由委托人现场项目部委派；委托人监理代表由委托人另行指定并对委托人现场项目部报告，其工作职责按本合同专用条件部分第</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3</w:t>
      </w: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5</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项所述。</w:t>
      </w:r>
    </w:p>
    <w:p w14:paraId="038E5B99">
      <w:pPr>
        <w:topLinePunct/>
        <w:adjustRightInd w:val="0"/>
        <w:snapToGrid w:val="0"/>
        <w:spacing w:line="44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第十五条 委托人提供的设备设施</w:t>
      </w:r>
    </w:p>
    <w:p w14:paraId="4FA08E6D">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663B04D2">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对监理人自备的设施，双方一致同意不适用本合同</w:t>
      </w:r>
      <w:r>
        <w:rPr>
          <w:rFonts w:hint="eastAsia" w:ascii="Times New Roman" w:hAnsi="Times New Roman"/>
          <w:color w:val="auto"/>
          <w:spacing w:val="4"/>
          <w:sz w:val="24"/>
          <w:szCs w:val="24"/>
          <w:highlight w:val="none"/>
          <w:u w:val="wave"/>
        </w:rPr>
        <w:t>标准条件第十五条</w:t>
      </w:r>
      <w:r>
        <w:rPr>
          <w:rFonts w:hint="eastAsia" w:ascii="Times New Roman" w:hAnsi="Times New Roman"/>
          <w:color w:val="auto"/>
          <w:spacing w:val="4"/>
          <w:sz w:val="24"/>
          <w:szCs w:val="24"/>
          <w:highlight w:val="none"/>
        </w:rPr>
        <w:t>的约定，监理人不得向委托人索取任何经济补偿。</w:t>
      </w:r>
    </w:p>
    <w:p w14:paraId="05166045">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项目监理机构应根据工程项目类别、规模、技术复杂程度、工程项目所在地的环境条件，按本合同的约定，配备满足监理工作需要的常规检测设备和工具。</w:t>
      </w:r>
    </w:p>
    <w:p w14:paraId="5DDBEA2B">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项目监理机构应配备足够实施监理工作的计算机辅助管理。</w:t>
      </w:r>
    </w:p>
    <w:p w14:paraId="7F7B51D9">
      <w:pPr>
        <w:topLinePunct/>
        <w:adjustRightInd w:val="0"/>
        <w:snapToGrid w:val="0"/>
        <w:spacing w:line="44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第十六条 监理人的服务、工作人员</w:t>
      </w:r>
    </w:p>
    <w:p w14:paraId="3DCA7F34">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在监理服务期间，委托人不免费向监理人提供工作人员和服务人员。</w:t>
      </w:r>
    </w:p>
    <w:p w14:paraId="03B783A6">
      <w:pPr>
        <w:topLinePunct/>
        <w:adjustRightInd w:val="0"/>
        <w:snapToGrid w:val="0"/>
        <w:spacing w:line="44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第十七条 监理人的权利</w:t>
      </w:r>
    </w:p>
    <w:p w14:paraId="0527739B">
      <w:pPr>
        <w:topLinePunct/>
        <w:adjustRightInd w:val="0"/>
        <w:snapToGrid w:val="0"/>
        <w:spacing w:line="44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除选择工程分包单位的认可权由委托人行使外，监理人可以行使本合同</w:t>
      </w:r>
      <w:r>
        <w:rPr>
          <w:rFonts w:hint="eastAsia" w:ascii="Times New Roman" w:hAnsi="Times New Roman"/>
          <w:color w:val="auto"/>
          <w:spacing w:val="4"/>
          <w:sz w:val="24"/>
          <w:szCs w:val="24"/>
          <w:highlight w:val="none"/>
          <w:u w:val="wave"/>
        </w:rPr>
        <w:t>标准条件第十七条</w:t>
      </w:r>
      <w:r>
        <w:rPr>
          <w:rFonts w:hint="eastAsia" w:ascii="Times New Roman" w:hAnsi="Times New Roman"/>
          <w:color w:val="auto"/>
          <w:spacing w:val="4"/>
          <w:sz w:val="24"/>
          <w:szCs w:val="24"/>
          <w:highlight w:val="none"/>
        </w:rPr>
        <w:t>约定的其他权利及下列权利：</w:t>
      </w:r>
    </w:p>
    <w:p w14:paraId="20AE6B69">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w:t>
      </w:r>
      <w:r>
        <w:rPr>
          <w:rFonts w:hint="eastAsia" w:ascii="Times New Roman" w:hAnsi="Times New Roman"/>
          <w:snapToGrid w:val="0"/>
          <w:color w:val="auto"/>
          <w:spacing w:val="4"/>
          <w:kern w:val="0"/>
          <w:sz w:val="24"/>
          <w:szCs w:val="24"/>
          <w:highlight w:val="none"/>
        </w:rPr>
        <w:t>工程质量与分项分部工程（含隐蔽工程）质量的检验权。未经监理工程师现场检验确认质量的工程，委托人有权（</w:t>
      </w:r>
      <w:r>
        <w:rPr>
          <w:rFonts w:hint="eastAsia" w:ascii="宋体" w:hAnsi="宋体" w:eastAsia="宋体" w:cs="宋体"/>
          <w:color w:val="auto"/>
          <w:spacing w:val="4"/>
          <w:kern w:val="0"/>
          <w:sz w:val="24"/>
          <w:szCs w:val="24"/>
          <w:highlight w:val="none"/>
          <w:lang w:val="en-US" w:eastAsia="zh-CN" w:bidi="ar"/>
        </w:rPr>
        <w:sym w:font="Wingdings" w:char="00FE"/>
      </w:r>
      <w:r>
        <w:rPr>
          <w:rFonts w:hint="eastAsia" w:ascii="Times New Roman" w:hAnsi="Times New Roman"/>
          <w:snapToGrid w:val="0"/>
          <w:color w:val="auto"/>
          <w:spacing w:val="4"/>
          <w:kern w:val="0"/>
          <w:sz w:val="24"/>
          <w:szCs w:val="24"/>
          <w:highlight w:val="none"/>
        </w:rPr>
        <w:t>通知业主单位）拒绝支付工程款。</w:t>
      </w:r>
    </w:p>
    <w:p w14:paraId="0C39A58A">
      <w:pPr>
        <w:keepNext w:val="0"/>
        <w:keepLines w:val="0"/>
        <w:widowControl w:val="0"/>
        <w:suppressLineNumbers w:val="0"/>
        <w:topLinePunct/>
        <w:adjustRightInd w:val="0"/>
        <w:snapToGrid w:val="0"/>
        <w:spacing w:before="0" w:beforeAutospacing="0" w:after="0" w:afterAutospacing="0" w:line="440" w:lineRule="exact"/>
        <w:ind w:left="0" w:right="0" w:firstLine="496" w:firstLineChars="200"/>
        <w:jc w:val="both"/>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）对完工的分项分部工程的计量权。承包人已完工且要求支付工程款的项目，应首先由监理工程师与承包人共同到现场进行计量。未经监理工程师计量的工程，委托人</w:t>
      </w:r>
      <w:r>
        <w:rPr>
          <w:rFonts w:hint="eastAsia" w:ascii="Times New Roman" w:hAnsi="Times New Roman"/>
          <w:snapToGrid w:val="0"/>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bidi="ar"/>
        </w:rPr>
        <w:sym w:font="Wingdings" w:char="00FE"/>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color w:val="auto"/>
          <w:spacing w:val="4"/>
          <w:sz w:val="24"/>
          <w:szCs w:val="24"/>
          <w:highlight w:val="none"/>
        </w:rPr>
        <w:t>不予支付工程款。</w:t>
      </w:r>
    </w:p>
    <w:p w14:paraId="72A0F5C9">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）工程质量事故的调查权和处理建议权。当工程出现质量事故时，监理工程师应组织质量听证会，结合现场调查的结果，提出调查报告和处理建议。</w:t>
      </w:r>
    </w:p>
    <w:p w14:paraId="3870BCD7">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31201F8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）同意本合同工程任何部分的分包合同；</w:t>
      </w:r>
    </w:p>
    <w:p w14:paraId="0DB07B2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）工程款、材料款以及其他费用的支付；</w:t>
      </w:r>
    </w:p>
    <w:p w14:paraId="6D96C31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）施工进度更改或对工程延期的决定；</w:t>
      </w:r>
    </w:p>
    <w:p w14:paraId="31FDA33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）发布变更指令及签发现场签证；</w:t>
      </w:r>
    </w:p>
    <w:p w14:paraId="4D6FFB8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）确定变更工程和新增工程的单价、费率、价格；</w:t>
      </w:r>
    </w:p>
    <w:p w14:paraId="1E3F2B2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）承包人提出合理化建议或提出采用新工艺、新材料、新技术，涉及重大设计变更或施工方案调整的（这些变更或调整将改变原设计的基本功能或工期或投资等）；</w:t>
      </w:r>
    </w:p>
    <w:p w14:paraId="1DBAEBF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）监理人根据委托人的相关规定（制度、实施细则等）对所本合同工程范围内的技术督导单位、材料设备管理服务单位进行协调管理。</w:t>
      </w:r>
    </w:p>
    <w:p w14:paraId="1BF23C5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）委托人授权监理人行使的其他职权。</w:t>
      </w:r>
    </w:p>
    <w:p w14:paraId="4DE6E4B7">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监理人对工程款支付的审核必须在承包人申报计量后</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日内完成。</w:t>
      </w:r>
    </w:p>
    <w:p w14:paraId="7F77B714">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本合同中约定的监理人的权利应当理解为委托人赋予监理人的职权，监理人必须履行</w:t>
      </w:r>
      <w:r>
        <w:rPr>
          <w:rFonts w:hint="eastAsia" w:ascii="Times New Roman" w:hAnsi="Times New Roman"/>
          <w:color w:val="auto"/>
          <w:spacing w:val="4"/>
          <w:sz w:val="24"/>
          <w:szCs w:val="24"/>
          <w:highlight w:val="none"/>
        </w:rPr>
        <w:t>，委托人另有要求的除外</w:t>
      </w:r>
      <w:r>
        <w:rPr>
          <w:rFonts w:ascii="Times New Roman" w:hAnsi="Times New Roman"/>
          <w:color w:val="auto"/>
          <w:spacing w:val="4"/>
          <w:sz w:val="24"/>
          <w:szCs w:val="24"/>
          <w:highlight w:val="none"/>
        </w:rPr>
        <w:t>。</w:t>
      </w:r>
    </w:p>
    <w:p w14:paraId="1CDCA38A">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监理人对委托人有关人员（包括委托人授权代表）违规干扰其正常监理工作和吃拿卡要等行为，有权向委托人纪检监察部门投诉或举报。</w:t>
      </w:r>
    </w:p>
    <w:p w14:paraId="01ED3154">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第二十五条 监理服务的期限</w:t>
      </w:r>
    </w:p>
    <w:p w14:paraId="16163394">
      <w:pPr>
        <w:topLinePunct/>
        <w:adjustRightInd w:val="0"/>
        <w:snapToGrid w:val="0"/>
        <w:spacing w:line="480" w:lineRule="exact"/>
        <w:ind w:firstLine="496" w:firstLineChars="200"/>
        <w:rPr>
          <w:rFonts w:ascii="Times New Roman" w:hAnsi="Times New Roman" w:cs="宋体"/>
          <w:color w:val="auto"/>
          <w:spacing w:val="4"/>
          <w:kern w:val="0"/>
          <w:sz w:val="24"/>
          <w:szCs w:val="24"/>
          <w:highlight w:val="none"/>
        </w:rPr>
      </w:pPr>
      <w:r>
        <w:rPr>
          <w:rFonts w:hint="eastAsia" w:ascii="Times New Roman" w:hAnsi="Times New Roman" w:cs="宋体"/>
          <w:color w:val="auto"/>
          <w:spacing w:val="4"/>
          <w:kern w:val="0"/>
          <w:sz w:val="24"/>
          <w:szCs w:val="24"/>
          <w:highlight w:val="none"/>
        </w:rPr>
        <w:t>监理服务期自监理人收到中标通知书或参加由委托人组织的第一次进场动员会之日起算，至本项目工程保修期结束且本合同工程结算金额经有权结算终审部门审定之日止。监理服务期包括项目的</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勘察设计阶段（含勘察旁站）</w:t>
      </w:r>
      <w:r>
        <w:rPr>
          <w:rFonts w:hint="default" w:ascii="Times New Roman" w:hAnsi="Times New Roman" w:cs="宋体"/>
          <w:color w:val="auto"/>
          <w:spacing w:val="4"/>
          <w:kern w:val="0"/>
          <w:sz w:val="24"/>
          <w:szCs w:val="24"/>
          <w:highlight w:val="none"/>
        </w:rPr>
        <w:t>（如有）</w:t>
      </w:r>
      <w:r>
        <w:rPr>
          <w:rFonts w:hint="eastAsia" w:ascii="Times New Roman" w:hAnsi="Times New Roman" w:cs="宋体"/>
          <w:color w:val="auto"/>
          <w:spacing w:val="4"/>
          <w:kern w:val="0"/>
          <w:sz w:val="24"/>
          <w:szCs w:val="24"/>
          <w:highlight w:val="none"/>
        </w:rPr>
        <w:t>、施工准备阶段、施工阶段、工程收尾阶段（包括但不限于竣工验收、整改、工程移交、工程结算等）及工程质量保修阶段，监理人须实行全过程监理服务。</w:t>
      </w:r>
    </w:p>
    <w:p w14:paraId="23A887E8">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第二十六条</w:t>
      </w:r>
      <w:r>
        <w:rPr>
          <w:rFonts w:hint="eastAsia" w:ascii="Times New Roman" w:hAnsi="Times New Roman"/>
          <w:color w:val="auto"/>
          <w:spacing w:val="4"/>
          <w:sz w:val="24"/>
          <w:szCs w:val="24"/>
          <w:highlight w:val="none"/>
        </w:rPr>
        <w:t>　</w:t>
      </w:r>
      <w:r>
        <w:rPr>
          <w:rFonts w:hint="eastAsia" w:ascii="Times New Roman" w:hAnsi="Times New Roman"/>
          <w:b/>
          <w:color w:val="auto"/>
          <w:spacing w:val="4"/>
          <w:sz w:val="24"/>
          <w:szCs w:val="24"/>
          <w:highlight w:val="none"/>
        </w:rPr>
        <w:t>监理人的违约责任（一）</w:t>
      </w:r>
    </w:p>
    <w:p w14:paraId="7499FB03">
      <w:pPr>
        <w:topLinePunct/>
        <w:adjustRightInd w:val="0"/>
        <w:snapToGrid w:val="0"/>
        <w:spacing w:line="480" w:lineRule="exact"/>
        <w:ind w:firstLine="498" w:firstLineChars="200"/>
        <w:outlineLvl w:val="2"/>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26.1</w:t>
      </w:r>
      <w:r>
        <w:rPr>
          <w:rFonts w:hint="eastAsia" w:ascii="Times New Roman" w:hAnsi="Times New Roman"/>
          <w:bCs/>
          <w:color w:val="auto"/>
          <w:spacing w:val="4"/>
          <w:sz w:val="24"/>
          <w:szCs w:val="24"/>
          <w:highlight w:val="none"/>
        </w:rPr>
        <w:t>监理人违反本合同的约定，应当按约定向委托人承担相应的违约责任，承担违约责任方式包括但不限于：</w:t>
      </w:r>
    </w:p>
    <w:p w14:paraId="408E763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）书面警告。监理人未履行或未按时履行或未按质履行义务或不执行委托人（含主管人员）的指令时，委托人有权向监理人发出书面警告。监理人必须在书面警告限定的时间内履行义务，否则应承担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2C6D42DA">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）一般违约责任。监理人按本合同约定应当承担一般违约责任时，第一次必须向委托人交纳违约金</w:t>
      </w:r>
      <w:r>
        <w:rPr>
          <w:rFonts w:hint="eastAsia" w:ascii="Times New Roman" w:hAnsi="Times New Roman"/>
          <w:color w:val="auto"/>
          <w:spacing w:val="4"/>
          <w:kern w:val="0"/>
          <w:sz w:val="23"/>
          <w:szCs w:val="23"/>
          <w:highlight w:val="none"/>
        </w:rPr>
        <w:t>（</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1000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2000</w:t>
      </w:r>
      <w:r>
        <w:rPr>
          <w:rFonts w:hint="eastAsia" w:ascii="Times New Roman" w:hAnsi="Times New Roman"/>
          <w:color w:val="auto"/>
          <w:spacing w:val="4"/>
          <w:kern w:val="0"/>
          <w:sz w:val="23"/>
          <w:szCs w:val="23"/>
          <w:highlight w:val="none"/>
        </w:rPr>
        <w:t>元、</w:t>
      </w:r>
      <w:r>
        <w:rPr>
          <w:rFonts w:hint="eastAsia" w:ascii="Times New Roman" w:hAnsi="Times New Roman"/>
          <w:color w:val="auto"/>
          <w:spacing w:val="4"/>
          <w:kern w:val="0"/>
          <w:sz w:val="24"/>
          <w:szCs w:val="24"/>
          <w:highlight w:val="none"/>
        </w:rPr>
        <w:t>☑</w:t>
      </w:r>
      <w:r>
        <w:rPr>
          <w:rFonts w:ascii="Times New Roman" w:hAnsi="Times New Roman"/>
          <w:color w:val="auto"/>
          <w:spacing w:val="4"/>
          <w:kern w:val="0"/>
          <w:sz w:val="23"/>
          <w:szCs w:val="23"/>
          <w:highlight w:val="none"/>
        </w:rPr>
        <w:t>5000</w:t>
      </w:r>
      <w:r>
        <w:rPr>
          <w:rFonts w:hint="eastAsia" w:ascii="Times New Roman" w:hAnsi="Times New Roman"/>
          <w:color w:val="auto"/>
          <w:spacing w:val="4"/>
          <w:kern w:val="0"/>
          <w:sz w:val="23"/>
          <w:szCs w:val="23"/>
          <w:highlight w:val="none"/>
        </w:rPr>
        <w:t>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次；第二次承担同一违约性质的一般违约责任时，监理人应向委托人交纳的违约金为第一次交纳金额的</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倍；第三次承担同一违约性质的一般违约责任时，监理人应向委托人交纳的违约金为第一次交纳金额的</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倍；以此类推，但每次交纳的金额最高不超过第一次交纳金额的</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倍。</w:t>
      </w:r>
    </w:p>
    <w:p w14:paraId="2A5D2CF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）严重违约责任。监理人按本合同约定应当承担严重违约责任时，必须向委托人交纳违约金</w:t>
      </w:r>
      <w:r>
        <w:rPr>
          <w:rFonts w:hint="eastAsia" w:ascii="Times New Roman" w:hAnsi="Times New Roman"/>
          <w:color w:val="auto"/>
          <w:spacing w:val="4"/>
          <w:kern w:val="0"/>
          <w:sz w:val="23"/>
          <w:szCs w:val="23"/>
          <w:highlight w:val="none"/>
        </w:rPr>
        <w:t>（</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5000</w:t>
      </w:r>
      <w:r>
        <w:rPr>
          <w:rFonts w:hint="eastAsia" w:ascii="Times New Roman" w:hAnsi="Times New Roman"/>
          <w:color w:val="auto"/>
          <w:spacing w:val="4"/>
          <w:kern w:val="0"/>
          <w:sz w:val="23"/>
          <w:szCs w:val="23"/>
          <w:highlight w:val="none"/>
        </w:rPr>
        <w:t>元、</w:t>
      </w:r>
      <w:r>
        <w:rPr>
          <w:rFonts w:hint="eastAsia" w:ascii="宋体" w:hAnsi="宋体"/>
          <w:b/>
          <w:bCs/>
          <w:snapToGrid w:val="0"/>
          <w:color w:val="auto"/>
          <w:kern w:val="0"/>
          <w:sz w:val="24"/>
          <w:szCs w:val="24"/>
          <w:highlight w:val="none"/>
          <w:lang w:val="en-US" w:eastAsia="zh-CN"/>
        </w:rPr>
        <w:t>☒</w:t>
      </w:r>
      <w:r>
        <w:rPr>
          <w:rFonts w:ascii="Times New Roman" w:hAnsi="Times New Roman"/>
          <w:color w:val="auto"/>
          <w:spacing w:val="4"/>
          <w:kern w:val="0"/>
          <w:sz w:val="23"/>
          <w:szCs w:val="23"/>
          <w:highlight w:val="none"/>
        </w:rPr>
        <w:t>10000</w:t>
      </w:r>
      <w:r>
        <w:rPr>
          <w:rFonts w:hint="eastAsia" w:ascii="Times New Roman" w:hAnsi="Times New Roman"/>
          <w:color w:val="auto"/>
          <w:spacing w:val="4"/>
          <w:kern w:val="0"/>
          <w:sz w:val="23"/>
          <w:szCs w:val="23"/>
          <w:highlight w:val="none"/>
        </w:rPr>
        <w:t>元、</w:t>
      </w:r>
      <w:r>
        <w:rPr>
          <w:rFonts w:hint="eastAsia" w:ascii="Times New Roman" w:hAnsi="Times New Roman"/>
          <w:color w:val="auto"/>
          <w:spacing w:val="4"/>
          <w:kern w:val="0"/>
          <w:sz w:val="24"/>
          <w:szCs w:val="24"/>
          <w:highlight w:val="none"/>
          <w:lang w:eastAsia="zh-CN"/>
        </w:rPr>
        <w:t>☑</w:t>
      </w:r>
      <w:r>
        <w:rPr>
          <w:rFonts w:ascii="Times New Roman" w:hAnsi="Times New Roman"/>
          <w:color w:val="auto"/>
          <w:spacing w:val="4"/>
          <w:kern w:val="0"/>
          <w:sz w:val="23"/>
          <w:szCs w:val="23"/>
          <w:highlight w:val="none"/>
        </w:rPr>
        <w:t>15000</w:t>
      </w:r>
      <w:r>
        <w:rPr>
          <w:rFonts w:hint="eastAsia" w:ascii="Times New Roman" w:hAnsi="Times New Roman"/>
          <w:color w:val="auto"/>
          <w:spacing w:val="4"/>
          <w:kern w:val="0"/>
          <w:sz w:val="23"/>
          <w:szCs w:val="23"/>
          <w:highlight w:val="none"/>
        </w:rPr>
        <w:t>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w:t>
      </w:r>
    </w:p>
    <w:p w14:paraId="206027A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）部分解除合同。委托人依本合同约定向监理人发出部分解除合同的通知后，本合同部分解除即生效。于此情形下，监理人必须在收到委托人部分解除合同通知之日起</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日内停止被解除部分的工作，</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45C347E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）解除合同。委托人依本合同约定向监理人发出解除合同的通知后，本合同即宣告解除。于此情形下，监理人必须在收到委托人解除合同通知之日起</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日内停止全部工作，</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08BC355C">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勘察阶段</w:t>
      </w:r>
      <w:r>
        <w:rPr>
          <w:rFonts w:hint="default" w:ascii="Times New Roman" w:hAnsi="Times New Roman"/>
          <w:color w:val="auto"/>
          <w:spacing w:val="4"/>
          <w:sz w:val="24"/>
          <w:highlight w:val="none"/>
        </w:rPr>
        <w:t>（如有）</w:t>
      </w:r>
      <w:r>
        <w:rPr>
          <w:rFonts w:hint="eastAsia" w:ascii="Times New Roman" w:hAnsi="Times New Roman" w:cs="宋体"/>
          <w:color w:val="auto"/>
          <w:spacing w:val="4"/>
          <w:kern w:val="0"/>
          <w:sz w:val="24"/>
          <w:szCs w:val="24"/>
          <w:highlight w:val="none"/>
        </w:rPr>
        <w:t>、</w:t>
      </w:r>
      <w:r>
        <w:rPr>
          <w:rFonts w:hint="eastAsia" w:ascii="宋体" w:hAnsi="宋体"/>
          <w:b/>
          <w:bCs/>
          <w:snapToGrid w:val="0"/>
          <w:color w:val="auto"/>
          <w:kern w:val="0"/>
          <w:sz w:val="24"/>
          <w:szCs w:val="24"/>
          <w:highlight w:val="none"/>
          <w:lang w:val="en-US" w:eastAsia="zh-CN"/>
        </w:rPr>
        <w:t>☒</w:t>
      </w:r>
      <w:r>
        <w:rPr>
          <w:rFonts w:hint="eastAsia" w:ascii="Times New Roman" w:hAnsi="Times New Roman" w:cs="宋体"/>
          <w:color w:val="auto"/>
          <w:spacing w:val="4"/>
          <w:kern w:val="0"/>
          <w:sz w:val="24"/>
          <w:szCs w:val="24"/>
          <w:highlight w:val="none"/>
        </w:rPr>
        <w:t>设计阶段</w:t>
      </w:r>
      <w:r>
        <w:rPr>
          <w:rFonts w:hint="default" w:ascii="Times New Roman" w:hAnsi="Times New Roman"/>
          <w:color w:val="auto"/>
          <w:spacing w:val="4"/>
          <w:sz w:val="24"/>
          <w:highlight w:val="none"/>
        </w:rPr>
        <w:t>（如有）</w:t>
      </w:r>
      <w:r>
        <w:rPr>
          <w:rFonts w:hint="eastAsia" w:ascii="Times New Roman" w:hAnsi="Times New Roman" w:cs="宋体"/>
          <w:color w:val="auto"/>
          <w:spacing w:val="4"/>
          <w:kern w:val="0"/>
          <w:sz w:val="24"/>
          <w:szCs w:val="24"/>
          <w:highlight w:val="none"/>
        </w:rPr>
        <w:t>、</w:t>
      </w:r>
      <w:r>
        <w:rPr>
          <w:rFonts w:hint="eastAsia" w:ascii="Times New Roman" w:hAnsi="Times New Roman"/>
          <w:bCs/>
          <w:color w:val="auto"/>
          <w:spacing w:val="4"/>
          <w:sz w:val="24"/>
          <w:szCs w:val="24"/>
          <w:highlight w:val="none"/>
        </w:rPr>
        <w:t>施工准备阶段、施工阶段、施工收尾阶段和质量保修阶段。</w:t>
      </w:r>
    </w:p>
    <w:p w14:paraId="28E951FD">
      <w:pPr>
        <w:topLinePunct/>
        <w:adjustRightInd w:val="0"/>
        <w:snapToGrid w:val="0"/>
        <w:spacing w:line="480" w:lineRule="exact"/>
        <w:ind w:firstLine="498" w:firstLineChars="200"/>
        <w:outlineLvl w:val="2"/>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26.2</w:t>
      </w:r>
      <w:r>
        <w:rPr>
          <w:rFonts w:hint="eastAsia" w:ascii="Times New Roman" w:hAnsi="Times New Roman"/>
          <w:bCs/>
          <w:color w:val="auto"/>
          <w:spacing w:val="4"/>
          <w:sz w:val="24"/>
          <w:szCs w:val="24"/>
          <w:highlight w:val="none"/>
        </w:rPr>
        <w:t>监理人累计承担书面警告达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次的，则另行追加一般违约责任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次；监理人累计承担一般违约责任达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次的，则另行追加严重违约责任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次；监理人累计承担严重违约责任达</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次或者工程进度严重滞后的，委托人有权要求监理人的法定代表人驻场办公，代行项目总监职责，直至委托人满意其监理工作时方可离场。</w:t>
      </w:r>
    </w:p>
    <w:p w14:paraId="7AB844C7">
      <w:pPr>
        <w:keepNext w:val="0"/>
        <w:keepLines w:val="0"/>
        <w:widowControl w:val="0"/>
        <w:suppressLineNumbers w:val="0"/>
        <w:topLinePunct/>
        <w:adjustRightInd w:val="0"/>
        <w:snapToGrid w:val="0"/>
        <w:spacing w:before="0" w:beforeAutospacing="0" w:after="0" w:afterAutospacing="0" w:line="480" w:lineRule="exact"/>
        <w:ind w:left="0" w:right="0" w:firstLine="498" w:firstLineChars="200"/>
        <w:jc w:val="both"/>
        <w:outlineLvl w:val="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26.3</w:t>
      </w:r>
      <w:r>
        <w:rPr>
          <w:rFonts w:hint="eastAsia" w:ascii="Times New Roman" w:hAnsi="Times New Roman"/>
          <w:bCs/>
          <w:snapToGrid w:val="0"/>
          <w:color w:val="auto"/>
          <w:spacing w:val="4"/>
          <w:kern w:val="0"/>
          <w:sz w:val="24"/>
          <w:szCs w:val="24"/>
          <w:highlight w:val="none"/>
        </w:rPr>
        <w:t>当监理人违约需向委托人支付违约金或赔偿金时，委托人将书面通知其保证人交纳，其保证人拒绝交纳的，委托人将</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宋体" w:hAnsi="宋体"/>
          <w:b w:val="0"/>
          <w:bCs w:val="0"/>
          <w:snapToGrid w:val="0"/>
          <w:color w:val="auto"/>
          <w:spacing w:val="6"/>
          <w:sz w:val="24"/>
          <w:szCs w:val="24"/>
          <w:highlight w:val="none"/>
          <w:lang w:val="en-US" w:eastAsia="zh-CN"/>
        </w:rPr>
        <w:t>通知</w:t>
      </w:r>
      <w:r>
        <w:rPr>
          <w:rFonts w:hint="eastAsia"/>
          <w:snapToGrid w:val="0"/>
          <w:color w:val="auto"/>
          <w:sz w:val="24"/>
          <w:szCs w:val="24"/>
          <w:highlight w:val="none"/>
          <w:lang w:eastAsia="zh-CN"/>
        </w:rPr>
        <w:t>业主单位</w:t>
      </w:r>
      <w:r>
        <w:rPr>
          <w:rFonts w:hint="eastAsia" w:ascii="Times New Roman" w:hAnsi="Times New Roman"/>
          <w:snapToGrid w:val="0"/>
          <w:color w:val="auto"/>
          <w:spacing w:val="4"/>
          <w:kern w:val="0"/>
          <w:sz w:val="24"/>
          <w:szCs w:val="24"/>
          <w:highlight w:val="none"/>
        </w:rPr>
        <w:t>）</w:t>
      </w:r>
      <w:r>
        <w:rPr>
          <w:rFonts w:hint="eastAsia" w:ascii="Times New Roman" w:hAnsi="Times New Roman"/>
          <w:bCs/>
          <w:snapToGrid w:val="0"/>
          <w:color w:val="auto"/>
          <w:spacing w:val="4"/>
          <w:kern w:val="0"/>
          <w:sz w:val="24"/>
          <w:szCs w:val="24"/>
          <w:highlight w:val="none"/>
        </w:rPr>
        <w:t>从应支付给监理人的监理酬金中直接扣除，扣除款项计入累计监理酬金进度款，结算时不予退还，监理人不得有异议。同时，委托人保留进一步依法追究监理人及其保证人有关责任的权利。</w:t>
      </w:r>
    </w:p>
    <w:p w14:paraId="211824C8">
      <w:pPr>
        <w:topLinePunct/>
        <w:adjustRightInd w:val="0"/>
        <w:snapToGrid w:val="0"/>
        <w:spacing w:line="480" w:lineRule="exact"/>
        <w:ind w:firstLine="498" w:firstLineChars="200"/>
        <w:outlineLvl w:val="2"/>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w:t>
      </w:r>
      <w:r>
        <w:rPr>
          <w:rFonts w:hint="eastAsia" w:ascii="Times New Roman" w:hAnsi="Times New Roman"/>
          <w:bCs/>
          <w:color w:val="auto"/>
          <w:spacing w:val="4"/>
          <w:sz w:val="24"/>
          <w:szCs w:val="24"/>
          <w:highlight w:val="none"/>
        </w:rPr>
        <w:t>当监理人无正当理由而不履行或没有全面且适当履行其相关承诺及监理义务时，委托人有权书面通知监理人，指明其未能履约的内容和委托人要求其承担违约责任的等级。</w:t>
      </w:r>
    </w:p>
    <w:p w14:paraId="2E67103E">
      <w:pPr>
        <w:topLinePunct/>
        <w:adjustRightInd w:val="0"/>
        <w:snapToGrid w:val="0"/>
        <w:spacing w:line="480" w:lineRule="exact"/>
        <w:ind w:firstLine="498" w:firstLineChars="200"/>
        <w:outlineLvl w:val="3"/>
        <w:rPr>
          <w:rFonts w:ascii="Times New Roman" w:hAnsi="Times New Roman"/>
          <w:b/>
          <w:bCs/>
          <w:color w:val="auto"/>
          <w:spacing w:val="4"/>
          <w:kern w:val="0"/>
          <w:sz w:val="24"/>
          <w:szCs w:val="24"/>
          <w:highlight w:val="none"/>
        </w:rPr>
      </w:pPr>
      <w:r>
        <w:rPr>
          <w:rFonts w:ascii="Times New Roman" w:hAnsi="Times New Roman"/>
          <w:b/>
          <w:bCs/>
          <w:color w:val="auto"/>
          <w:spacing w:val="4"/>
          <w:sz w:val="24"/>
          <w:szCs w:val="24"/>
          <w:highlight w:val="none"/>
        </w:rPr>
        <w:t xml:space="preserve">26.4.1  </w:t>
      </w:r>
      <w:r>
        <w:rPr>
          <w:rFonts w:hint="eastAsia" w:ascii="Times New Roman" w:hAnsi="Times New Roman"/>
          <w:b/>
          <w:bCs/>
          <w:color w:val="auto"/>
          <w:spacing w:val="4"/>
          <w:sz w:val="24"/>
          <w:szCs w:val="24"/>
          <w:highlight w:val="none"/>
        </w:rPr>
        <w:t>监理组织管理方面的违约责任</w:t>
      </w:r>
    </w:p>
    <w:p w14:paraId="5F75BC8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）监理人承诺主动支持委托人的工作。若无正当理由又未提前向委托人报告且未得到委托人同意的，而对委托人的指令和书面通知，公开或变相拒不执行的，属于违约，监理人承担一般违约</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次；监理人因此而再次违约的，每违约一次，监理人承担严重违约责任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次；情节特别严重的，委托人有权单方面部分解除合同或解除合同。同时，监理人还须承担由此造成的一切经济损失。</w:t>
      </w:r>
    </w:p>
    <w:p w14:paraId="31998B8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）监理人不遵守委托人依据本合同专用条件总则第</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款约定所制订的各项制度、规定的，由监理人按所违反制度、规定的有关规定承担违约责任。相应制度、规定没有明确规定的，由委托人参照本条第</w:t>
      </w:r>
      <w:r>
        <w:rPr>
          <w:rFonts w:ascii="Times New Roman" w:hAnsi="Times New Roman"/>
          <w:bCs/>
          <w:color w:val="auto"/>
          <w:spacing w:val="4"/>
          <w:sz w:val="24"/>
          <w:szCs w:val="24"/>
          <w:highlight w:val="none"/>
        </w:rPr>
        <w:t>26.4.1-（1）</w:t>
      </w:r>
      <w:r>
        <w:rPr>
          <w:rFonts w:hint="eastAsia" w:ascii="Times New Roman" w:hAnsi="Times New Roman"/>
          <w:bCs/>
          <w:color w:val="auto"/>
          <w:spacing w:val="4"/>
          <w:sz w:val="24"/>
          <w:szCs w:val="24"/>
          <w:highlight w:val="none"/>
        </w:rPr>
        <w:t>项的约定处理。</w:t>
      </w:r>
    </w:p>
    <w:p w14:paraId="3CF8991F">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）监理人未按承诺建立组织架构、派驻监理人员和投入设备，监理人必须按委托人要求限期整改，并承担相应违约责任。具体约定为：</w:t>
      </w:r>
    </w:p>
    <w:p w14:paraId="5612607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在委托人书面通知监理人进场后</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日内，监理人员未到位或到位后又离开，造成该岗位空缺的，监理人应向委托人书面解释并保证人员如期到位；如果监理人拒不配合，未在委托人提出限期改正的期限内进行整改的，监理人承担严重违约责任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次，于此情形下，委托人有权单方面解除合同，并要求监理人承担由此造成的损失。</w:t>
      </w:r>
    </w:p>
    <w:p w14:paraId="1544FC44">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7F3942B1">
      <w:pPr>
        <w:keepNext w:val="0"/>
        <w:keepLines w:val="0"/>
        <w:widowControl w:val="0"/>
        <w:numPr>
          <w:ilvl w:val="0"/>
          <w:numId w:val="2"/>
        </w:numPr>
        <w:suppressLineNumbers w:val="0"/>
        <w:topLinePunct/>
        <w:adjustRightInd w:val="0"/>
        <w:snapToGrid w:val="0"/>
        <w:spacing w:before="0" w:beforeAutospacing="0" w:after="0" w:afterLines="50" w:afterAutospacing="0" w:line="480" w:lineRule="exact"/>
        <w:ind w:left="0" w:right="0" w:firstLine="480"/>
        <w:jc w:val="both"/>
        <w:rPr>
          <w:rFonts w:ascii="Times New Roman" w:hAnsi="Times New Roman"/>
          <w:bCs/>
          <w:snapToGrid w:val="0"/>
          <w:color w:val="auto"/>
          <w:spacing w:val="4"/>
          <w:sz w:val="24"/>
          <w:highlight w:val="none"/>
        </w:rPr>
      </w:pPr>
      <w:r>
        <w:rPr>
          <w:rFonts w:hint="eastAsia" w:ascii="Times New Roman" w:hAnsi="Times New Roman"/>
          <w:bCs/>
          <w:color w:val="auto"/>
          <w:sz w:val="24"/>
          <w:highlight w:val="none"/>
        </w:rPr>
        <w:t>监理人必须严格按照投标承诺投入监理人员，调换监理人员必须提出书面报告并附上替代人员的所有证明资料，经委托人审核书面同意后才能调换</w:t>
      </w:r>
      <w:r>
        <w:rPr>
          <w:rFonts w:hint="eastAsia" w:ascii="Times New Roman" w:hAnsi="Times New Roman"/>
          <w:bCs/>
          <w:snapToGrid w:val="0"/>
          <w:color w:val="auto"/>
          <w:spacing w:val="4"/>
          <w:sz w:val="24"/>
          <w:highlight w:val="none"/>
        </w:rPr>
        <w:t>，虽经委托人书面同意更换，但监理人仍应按下表的约定承担</w:t>
      </w:r>
      <w:r>
        <w:rPr>
          <w:rFonts w:hint="eastAsia" w:ascii="Times New Roman" w:hAnsi="Times New Roman"/>
          <w:bCs/>
          <w:color w:val="auto"/>
          <w:sz w:val="24"/>
          <w:highlight w:val="none"/>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w:t>
      </w:r>
      <w:r>
        <w:rPr>
          <w:rFonts w:hint="eastAsia" w:ascii="Times New Roman" w:hAnsi="Times New Roman"/>
          <w:bCs/>
          <w:color w:val="auto"/>
          <w:sz w:val="24"/>
          <w:szCs w:val="24"/>
          <w:highlight w:val="none"/>
        </w:rPr>
        <w:t>人将有权</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Times New Roman" w:hAnsi="Times New Roman"/>
          <w:snapToGrid w:val="0"/>
          <w:color w:val="auto"/>
          <w:sz w:val="24"/>
          <w:szCs w:val="24"/>
          <w:highlight w:val="none"/>
          <w:lang w:val="en-US" w:eastAsia="zh-CN"/>
        </w:rPr>
        <w:t>通知</w:t>
      </w:r>
      <w:r>
        <w:rPr>
          <w:rFonts w:hint="eastAsia"/>
          <w:snapToGrid w:val="0"/>
          <w:color w:val="auto"/>
          <w:sz w:val="24"/>
          <w:szCs w:val="24"/>
          <w:highlight w:val="none"/>
          <w:lang w:eastAsia="zh-CN"/>
        </w:rPr>
        <w:t>业主单位</w:t>
      </w:r>
      <w:r>
        <w:rPr>
          <w:rFonts w:hint="eastAsia" w:ascii="Times New Roman" w:hAnsi="Times New Roman"/>
          <w:snapToGrid w:val="0"/>
          <w:color w:val="auto"/>
          <w:spacing w:val="4"/>
          <w:kern w:val="0"/>
          <w:sz w:val="24"/>
          <w:szCs w:val="24"/>
          <w:highlight w:val="none"/>
        </w:rPr>
        <w:t>）</w:t>
      </w:r>
      <w:r>
        <w:rPr>
          <w:rFonts w:hint="eastAsia" w:ascii="Times New Roman" w:hAnsi="Times New Roman"/>
          <w:bCs/>
          <w:color w:val="auto"/>
          <w:sz w:val="24"/>
          <w:szCs w:val="24"/>
          <w:highlight w:val="none"/>
        </w:rPr>
        <w:t>延期支付监理酬金，并由委托人直接聘请，聘请人员所需</w:t>
      </w:r>
      <w:r>
        <w:rPr>
          <w:rFonts w:hint="eastAsia" w:ascii="Times New Roman" w:hAnsi="Times New Roman"/>
          <w:bCs/>
          <w:color w:val="auto"/>
          <w:sz w:val="24"/>
          <w:highlight w:val="none"/>
        </w:rPr>
        <w:t>费用按本合同专用条件第</w:t>
      </w:r>
      <w:r>
        <w:rPr>
          <w:rFonts w:ascii="Times New Roman" w:hAnsi="Times New Roman"/>
          <w:bCs/>
          <w:color w:val="auto"/>
          <w:sz w:val="24"/>
          <w:highlight w:val="none"/>
        </w:rPr>
        <w:t>4.</w:t>
      </w:r>
      <w:r>
        <w:rPr>
          <w:rFonts w:hint="eastAsia" w:ascii="Times New Roman" w:hAnsi="Times New Roman"/>
          <w:bCs/>
          <w:color w:val="auto"/>
          <w:sz w:val="24"/>
          <w:highlight w:val="none"/>
        </w:rPr>
        <w:t>3</w:t>
      </w:r>
      <w:r>
        <w:rPr>
          <w:rFonts w:ascii="Times New Roman" w:hAnsi="Times New Roman"/>
          <w:bCs/>
          <w:color w:val="auto"/>
          <w:sz w:val="24"/>
          <w:highlight w:val="none"/>
        </w:rPr>
        <w:t>.1-（1</w:t>
      </w:r>
      <w:r>
        <w:rPr>
          <w:rFonts w:hint="eastAsia" w:ascii="Times New Roman" w:hAnsi="Times New Roman"/>
          <w:bCs/>
          <w:color w:val="auto"/>
          <w:sz w:val="24"/>
          <w:highlight w:val="none"/>
        </w:rPr>
        <w:t>1</w:t>
      </w:r>
      <w:r>
        <w:rPr>
          <w:rFonts w:ascii="Times New Roman" w:hAnsi="Times New Roman"/>
          <w:bCs/>
          <w:color w:val="auto"/>
          <w:sz w:val="24"/>
          <w:highlight w:val="none"/>
        </w:rPr>
        <w:t>）</w:t>
      </w:r>
      <w:r>
        <w:rPr>
          <w:rFonts w:hint="eastAsia" w:ascii="Times New Roman" w:hAnsi="Times New Roman"/>
          <w:bCs/>
          <w:color w:val="auto"/>
          <w:sz w:val="24"/>
          <w:highlight w:val="none"/>
        </w:rPr>
        <w:t>项的约定执行。</w:t>
      </w:r>
      <w:r>
        <w:rPr>
          <w:rFonts w:hint="eastAsia" w:ascii="Times New Roman" w:hAnsi="Times New Roman"/>
          <w:bCs/>
          <w:snapToGrid w:val="0"/>
          <w:color w:val="auto"/>
          <w:spacing w:val="4"/>
          <w:kern w:val="0"/>
          <w:sz w:val="24"/>
          <w:highlight w:val="none"/>
        </w:rPr>
        <w:t>同时，监理人按下表的约定承担违约责任；情节严重的，委托人有权单方面解除合同。</w:t>
      </w:r>
    </w:p>
    <w:tbl>
      <w:tblPr>
        <w:tblStyle w:val="12"/>
        <w:tblpPr w:leftFromText="180" w:rightFromText="180" w:vertAnchor="text" w:tblpXSpec="center" w:tblpY="1"/>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522"/>
        <w:gridCol w:w="4094"/>
      </w:tblGrid>
      <w:tr w14:paraId="3FBF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4" w:type="dxa"/>
            <w:tcBorders>
              <w:top w:val="single" w:color="auto" w:sz="4" w:space="0"/>
              <w:left w:val="single" w:color="auto" w:sz="4" w:space="0"/>
              <w:bottom w:val="single" w:color="auto" w:sz="4" w:space="0"/>
              <w:right w:val="single" w:color="auto" w:sz="4" w:space="0"/>
            </w:tcBorders>
            <w:vAlign w:val="center"/>
          </w:tcPr>
          <w:p w14:paraId="2D73693F">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序号</w:t>
            </w:r>
          </w:p>
        </w:tc>
        <w:tc>
          <w:tcPr>
            <w:tcW w:w="4522" w:type="dxa"/>
            <w:tcBorders>
              <w:top w:val="single" w:color="auto" w:sz="4" w:space="0"/>
              <w:left w:val="single" w:color="auto" w:sz="4" w:space="0"/>
              <w:bottom w:val="single" w:color="auto" w:sz="4" w:space="0"/>
              <w:right w:val="single" w:color="auto" w:sz="4" w:space="0"/>
            </w:tcBorders>
            <w:vAlign w:val="center"/>
          </w:tcPr>
          <w:p w14:paraId="140D9649">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违约项目</w:t>
            </w:r>
          </w:p>
        </w:tc>
        <w:tc>
          <w:tcPr>
            <w:tcW w:w="4094" w:type="dxa"/>
            <w:tcBorders>
              <w:top w:val="single" w:color="auto" w:sz="4" w:space="0"/>
              <w:left w:val="single" w:color="auto" w:sz="4" w:space="0"/>
              <w:bottom w:val="single" w:color="auto" w:sz="4" w:space="0"/>
              <w:right w:val="single" w:color="auto" w:sz="4" w:space="0"/>
            </w:tcBorders>
            <w:vAlign w:val="center"/>
          </w:tcPr>
          <w:p w14:paraId="46355EF4">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违约金</w:t>
            </w:r>
          </w:p>
        </w:tc>
      </w:tr>
      <w:tr w14:paraId="4DF6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462192AA">
            <w:pPr>
              <w:keepNext/>
              <w:keepLines/>
              <w:suppressLineNumbers w:val="0"/>
              <w:spacing w:before="0" w:beforeAutospacing="0" w:after="0" w:afterAutospacing="0"/>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1</w:t>
            </w:r>
          </w:p>
        </w:tc>
        <w:tc>
          <w:tcPr>
            <w:tcW w:w="4522" w:type="dxa"/>
            <w:tcBorders>
              <w:top w:val="single" w:color="auto" w:sz="4" w:space="0"/>
              <w:left w:val="single" w:color="auto" w:sz="4" w:space="0"/>
              <w:bottom w:val="single" w:color="auto" w:sz="4" w:space="0"/>
              <w:right w:val="single" w:color="auto" w:sz="4" w:space="0"/>
            </w:tcBorders>
            <w:vAlign w:val="center"/>
          </w:tcPr>
          <w:p w14:paraId="51BB3691">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经委托人同意，监理人调换项目总监或总监代表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5F6E8CCA">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项目总监或总监代表：</w:t>
            </w:r>
            <w:r>
              <w:rPr>
                <w:rFonts w:hint="default" w:ascii="Times New Roman" w:hAnsi="Times New Roman"/>
                <w:color w:val="auto"/>
                <w:szCs w:val="21"/>
                <w:highlight w:val="none"/>
              </w:rPr>
              <w:t>10000</w:t>
            </w:r>
            <w:r>
              <w:rPr>
                <w:rFonts w:hint="eastAsia" w:ascii="Times New Roman" w:hAnsi="Times New Roman"/>
                <w:color w:val="auto"/>
                <w:szCs w:val="21"/>
                <w:highlight w:val="none"/>
              </w:rPr>
              <w:t>（元</w:t>
            </w:r>
            <w:r>
              <w:rPr>
                <w:rFonts w:hint="default" w:ascii="Times New Roman" w:hAnsi="Times New Roman"/>
                <w:color w:val="auto"/>
                <w:szCs w:val="21"/>
                <w:highlight w:val="none"/>
              </w:rPr>
              <w:t>/</w:t>
            </w:r>
            <w:r>
              <w:rPr>
                <w:rFonts w:hint="eastAsia" w:ascii="Times New Roman" w:hAnsi="Times New Roman"/>
                <w:color w:val="auto"/>
                <w:szCs w:val="21"/>
                <w:highlight w:val="none"/>
              </w:rPr>
              <w:t>人·次）</w:t>
            </w:r>
          </w:p>
        </w:tc>
      </w:tr>
      <w:tr w14:paraId="24B3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22BF7AFC">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2</w:t>
            </w:r>
          </w:p>
        </w:tc>
        <w:tc>
          <w:tcPr>
            <w:tcW w:w="4522" w:type="dxa"/>
            <w:tcBorders>
              <w:top w:val="single" w:color="auto" w:sz="4" w:space="0"/>
              <w:left w:val="single" w:color="auto" w:sz="4" w:space="0"/>
              <w:bottom w:val="single" w:color="auto" w:sz="4" w:space="0"/>
              <w:right w:val="single" w:color="auto" w:sz="4" w:space="0"/>
            </w:tcBorders>
            <w:vAlign w:val="center"/>
          </w:tcPr>
          <w:p w14:paraId="39B51479">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监理人自行调换或未按照委托人要求及时更换项目总监或总监代表</w:t>
            </w:r>
          </w:p>
        </w:tc>
        <w:tc>
          <w:tcPr>
            <w:tcW w:w="4094" w:type="dxa"/>
            <w:tcBorders>
              <w:top w:val="single" w:color="auto" w:sz="4" w:space="0"/>
              <w:left w:val="single" w:color="auto" w:sz="4" w:space="0"/>
              <w:bottom w:val="single" w:color="auto" w:sz="4" w:space="0"/>
              <w:right w:val="single" w:color="auto" w:sz="4" w:space="0"/>
            </w:tcBorders>
            <w:vAlign w:val="center"/>
          </w:tcPr>
          <w:p w14:paraId="1D8A3A12">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2%</w:t>
            </w:r>
          </w:p>
        </w:tc>
      </w:tr>
      <w:tr w14:paraId="4F0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24" w:type="dxa"/>
            <w:tcBorders>
              <w:top w:val="single" w:color="auto" w:sz="4" w:space="0"/>
              <w:left w:val="single" w:color="auto" w:sz="4" w:space="0"/>
              <w:bottom w:val="single" w:color="auto" w:sz="4" w:space="0"/>
              <w:right w:val="single" w:color="auto" w:sz="4" w:space="0"/>
            </w:tcBorders>
            <w:vAlign w:val="center"/>
          </w:tcPr>
          <w:p w14:paraId="38763D53">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3</w:t>
            </w:r>
          </w:p>
        </w:tc>
        <w:tc>
          <w:tcPr>
            <w:tcW w:w="4522" w:type="dxa"/>
            <w:tcBorders>
              <w:top w:val="single" w:color="auto" w:sz="4" w:space="0"/>
              <w:left w:val="single" w:color="auto" w:sz="4" w:space="0"/>
              <w:bottom w:val="single" w:color="auto" w:sz="4" w:space="0"/>
              <w:right w:val="single" w:color="auto" w:sz="4" w:space="0"/>
            </w:tcBorders>
            <w:vAlign w:val="center"/>
          </w:tcPr>
          <w:p w14:paraId="43E94AC0">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监理人自行调换或未按照委托人要求及时更换专业监理工程师</w:t>
            </w:r>
          </w:p>
        </w:tc>
        <w:tc>
          <w:tcPr>
            <w:tcW w:w="4094" w:type="dxa"/>
            <w:tcBorders>
              <w:top w:val="single" w:color="auto" w:sz="4" w:space="0"/>
              <w:left w:val="single" w:color="auto" w:sz="4" w:space="0"/>
              <w:bottom w:val="single" w:color="auto" w:sz="4" w:space="0"/>
              <w:right w:val="single" w:color="auto" w:sz="4" w:space="0"/>
            </w:tcBorders>
            <w:vAlign w:val="center"/>
          </w:tcPr>
          <w:p w14:paraId="22ECB1A6">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0.5%</w:t>
            </w:r>
          </w:p>
        </w:tc>
      </w:tr>
      <w:tr w14:paraId="2CB5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24" w:type="dxa"/>
            <w:tcBorders>
              <w:top w:val="single" w:color="auto" w:sz="4" w:space="0"/>
              <w:left w:val="single" w:color="auto" w:sz="4" w:space="0"/>
              <w:bottom w:val="single" w:color="auto" w:sz="4" w:space="0"/>
              <w:right w:val="single" w:color="auto" w:sz="4" w:space="0"/>
            </w:tcBorders>
            <w:vAlign w:val="center"/>
          </w:tcPr>
          <w:p w14:paraId="62DE2616">
            <w:pPr>
              <w:keepNext/>
              <w:keepLines/>
              <w:suppressLineNumbers w:val="0"/>
              <w:spacing w:before="340" w:beforeAutospacing="0" w:after="330" w:afterAutospacing="0" w:line="480" w:lineRule="exact"/>
              <w:ind w:left="0" w:right="0"/>
              <w:jc w:val="center"/>
              <w:outlineLvl w:val="0"/>
              <w:rPr>
                <w:rFonts w:hint="default" w:ascii="Times New Roman" w:hAnsi="Times New Roman"/>
                <w:color w:val="auto"/>
                <w:szCs w:val="21"/>
                <w:highlight w:val="none"/>
              </w:rPr>
            </w:pPr>
            <w:r>
              <w:rPr>
                <w:rFonts w:hint="eastAsia" w:ascii="Times New Roman" w:hAnsi="Times New Roman"/>
                <w:color w:val="auto"/>
                <w:szCs w:val="21"/>
                <w:highlight w:val="none"/>
              </w:rPr>
              <w:t>4</w:t>
            </w:r>
          </w:p>
        </w:tc>
        <w:tc>
          <w:tcPr>
            <w:tcW w:w="4522" w:type="dxa"/>
            <w:tcBorders>
              <w:top w:val="single" w:color="auto" w:sz="4" w:space="0"/>
              <w:left w:val="single" w:color="auto" w:sz="4" w:space="0"/>
              <w:bottom w:val="single" w:color="auto" w:sz="4" w:space="0"/>
              <w:right w:val="single" w:color="auto" w:sz="4" w:space="0"/>
            </w:tcBorders>
            <w:vAlign w:val="center"/>
          </w:tcPr>
          <w:p w14:paraId="19172417">
            <w:pPr>
              <w:keepNext w:val="0"/>
              <w:keepLines w:val="0"/>
              <w:suppressLineNumbers w:val="0"/>
              <w:spacing w:before="0" w:beforeAutospacing="0" w:after="0" w:afterAutospacing="0" w:line="480" w:lineRule="exact"/>
              <w:ind w:left="0" w:right="0"/>
              <w:rPr>
                <w:rFonts w:hint="default" w:ascii="Times New Roman" w:hAnsi="Times New Roman"/>
                <w:color w:val="auto"/>
                <w:szCs w:val="21"/>
                <w:highlight w:val="none"/>
              </w:rPr>
            </w:pPr>
            <w:r>
              <w:rPr>
                <w:rFonts w:hint="eastAsia" w:ascii="Times New Roman" w:hAnsi="Times New Roman"/>
                <w:color w:val="auto"/>
                <w:szCs w:val="21"/>
                <w:highlight w:val="none"/>
              </w:rPr>
              <w:t>监理人自行调换或未按照委托人要求及时更换造价工程师</w:t>
            </w:r>
          </w:p>
        </w:tc>
        <w:tc>
          <w:tcPr>
            <w:tcW w:w="4094" w:type="dxa"/>
            <w:tcBorders>
              <w:top w:val="single" w:color="auto" w:sz="4" w:space="0"/>
              <w:left w:val="single" w:color="auto" w:sz="4" w:space="0"/>
              <w:bottom w:val="single" w:color="auto" w:sz="4" w:space="0"/>
              <w:right w:val="single" w:color="auto" w:sz="4" w:space="0"/>
            </w:tcBorders>
            <w:vAlign w:val="center"/>
          </w:tcPr>
          <w:p w14:paraId="0CF2EE32">
            <w:pPr>
              <w:keepNext w:val="0"/>
              <w:keepLines w:val="0"/>
              <w:suppressLineNumbers w:val="0"/>
              <w:spacing w:before="0" w:beforeAutospacing="0" w:after="0" w:afterAutospacing="0" w:line="480" w:lineRule="exact"/>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本合同监理酬金总额的</w:t>
            </w:r>
            <w:r>
              <w:rPr>
                <w:rFonts w:hint="default" w:ascii="Times New Roman" w:hAnsi="Times New Roman"/>
                <w:color w:val="auto"/>
                <w:szCs w:val="21"/>
                <w:highlight w:val="none"/>
              </w:rPr>
              <w:t>0.5%</w:t>
            </w:r>
          </w:p>
        </w:tc>
      </w:tr>
    </w:tbl>
    <w:p w14:paraId="01F53F45">
      <w:pPr>
        <w:topLinePunct/>
        <w:spacing w:before="156" w:beforeLines="50" w:line="480" w:lineRule="exact"/>
        <w:ind w:firstLine="480" w:firstLineChars="200"/>
        <w:rPr>
          <w:rFonts w:ascii="Times New Roman" w:hAnsi="Times New Roman"/>
          <w:color w:val="auto"/>
          <w:szCs w:val="21"/>
          <w:highlight w:val="none"/>
        </w:rPr>
      </w:pPr>
      <w:r>
        <w:rPr>
          <w:rFonts w:hint="eastAsia" w:ascii="Times New Roman" w:hAnsi="Times New Roman" w:cs="宋体"/>
          <w:color w:val="auto"/>
          <w:sz w:val="24"/>
          <w:szCs w:val="24"/>
          <w:highlight w:val="none"/>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1年内，委托人有权拒绝监理人参加委托人后续招标项目的投标。</w:t>
      </w:r>
    </w:p>
    <w:p w14:paraId="2EC9975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）项目总监若需离开施工现场需报委托人批准，在其请假离开的时间段内应书面委托其他驻场监理工程师（需具有相应资质和能力）全权代表其行使职权；否则视为违约，每违约一次，监理人承担一般违约责任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6B67817C">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）其他监理人员需离开施工现场</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日以上需报委托人批准，在其请假离开的时间段内应书面委托其他驻场监理代表全权代表其行使相应职权；否则视为违约，每违约一次，监理人承担一般违约责任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182402A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）委托人将对驻场监理人员进行考勤。除项目总监、总监代表、造价人员、资料员</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类人员以外的其他监理人员每月请假日数累计超过</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日，且请假总人数全月累计超过监理人数的</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，视为违约，监理人承担一般违约责任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235FF5B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1B1C22D5">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9</w:t>
      </w:r>
      <w:r>
        <w:rPr>
          <w:rFonts w:hint="eastAsia" w:ascii="Times New Roman" w:hAnsi="Times New Roman"/>
          <w:bCs/>
          <w:color w:val="auto"/>
          <w:spacing w:val="4"/>
          <w:sz w:val="24"/>
          <w:szCs w:val="24"/>
          <w:highlight w:val="none"/>
        </w:rPr>
        <w:t>）监理人应该定期或不定期组织、主持召开工地例会及各种技术专题会，以及监理大纲、监理规划、监理实施细则和委托人要求必须召开的会议，否则视为违约，每违约一次，监理人承担一般违约责任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383E2B03">
      <w:pPr>
        <w:topLinePunct/>
        <w:adjustRightInd w:val="0"/>
        <w:snapToGrid w:val="0"/>
        <w:spacing w:line="480" w:lineRule="exact"/>
        <w:ind w:firstLine="496" w:firstLineChars="200"/>
        <w:rPr>
          <w:rFonts w:hint="eastAsia"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）如监理人违反本合同协议书第七条、第八条的约定，未在相关信息发生变化时及时将变更情况书面报告委托人的，每确认</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次，监理人承担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00255B82">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11</w:t>
      </w:r>
      <w:r>
        <w:rPr>
          <w:rFonts w:hint="eastAsia" w:ascii="宋体" w:hAnsi="宋体" w:eastAsia="宋体" w:cs="宋体"/>
          <w:bCs/>
          <w:color w:val="auto"/>
          <w:spacing w:val="4"/>
          <w:kern w:val="2"/>
          <w:sz w:val="24"/>
          <w:szCs w:val="24"/>
          <w:highlight w:val="none"/>
          <w:lang w:val="en-US" w:eastAsia="zh-CN" w:bidi="ar"/>
        </w:rPr>
        <w:t>）总监理工程师、总监理工程师代表、安全监理工程师在其他项目兼职的，每违约</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人</w:t>
      </w:r>
      <w:r>
        <w:rPr>
          <w:rFonts w:hint="default" w:ascii="Times New Roman" w:hAnsi="Times New Roman" w:eastAsia="宋体" w:cs="Times New Roman"/>
          <w:bCs/>
          <w:color w:val="auto"/>
          <w:spacing w:val="4"/>
          <w:kern w:val="2"/>
          <w:sz w:val="24"/>
          <w:szCs w:val="24"/>
          <w:highlight w:val="none"/>
          <w:lang w:val="en-US" w:eastAsia="zh-CN" w:bidi="ar"/>
        </w:rPr>
        <w:t>/</w:t>
      </w:r>
      <w:r>
        <w:rPr>
          <w:rFonts w:hint="eastAsia" w:ascii="宋体" w:hAnsi="宋体" w:eastAsia="宋体" w:cs="宋体"/>
          <w:bCs/>
          <w:color w:val="auto"/>
          <w:spacing w:val="4"/>
          <w:kern w:val="2"/>
          <w:sz w:val="24"/>
          <w:szCs w:val="24"/>
          <w:highlight w:val="none"/>
          <w:lang w:val="en-US" w:eastAsia="zh-CN" w:bidi="ar"/>
        </w:rPr>
        <w:t>次，监理人承担</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次一般违约责任。监理人承担违约责任后（如有特殊原因且经委托人书面同意的，监理人可不承担违约责任），仍需按照委托人的指令限期改正，且按照合同专用条款</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w:t>
      </w:r>
      <w:r>
        <w:rPr>
          <w:rFonts w:hint="eastAsia" w:ascii="宋体" w:hAnsi="宋体" w:eastAsia="宋体" w:cs="宋体"/>
          <w:bCs/>
          <w:color w:val="auto"/>
          <w:spacing w:val="4"/>
          <w:kern w:val="2"/>
          <w:sz w:val="24"/>
          <w:szCs w:val="24"/>
          <w:highlight w:val="none"/>
          <w:lang w:val="en-US" w:eastAsia="zh-CN" w:bidi="ar"/>
        </w:rPr>
        <w:t>）款关于未按照委托人要求及时更换监理人员的相关约定承担违约责任。同时前述违约情形与承包人履约评价考核挂钩。</w:t>
      </w:r>
    </w:p>
    <w:p w14:paraId="27E5D9BC">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hint="eastAsia" w:ascii="Times New Roman" w:hAnsi="Times New Roman" w:eastAsia="宋体" w:cs="Times New Roman"/>
          <w:bCs/>
          <w:color w:val="auto"/>
          <w:spacing w:val="4"/>
          <w:kern w:val="2"/>
          <w:sz w:val="24"/>
          <w:szCs w:val="24"/>
          <w:highlight w:val="none"/>
        </w:rPr>
      </w:pP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12</w:t>
      </w:r>
      <w:r>
        <w:rPr>
          <w:rFonts w:hint="eastAsia" w:ascii="宋体" w:hAnsi="宋体" w:eastAsia="宋体" w:cs="宋体"/>
          <w:bCs/>
          <w:color w:val="auto"/>
          <w:spacing w:val="4"/>
          <w:kern w:val="2"/>
          <w:sz w:val="24"/>
          <w:szCs w:val="24"/>
          <w:highlight w:val="none"/>
          <w:lang w:val="en-US" w:eastAsia="zh-CN" w:bidi="ar"/>
        </w:rPr>
        <w:t>）除</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11</w:t>
      </w:r>
      <w:r>
        <w:rPr>
          <w:rFonts w:hint="eastAsia" w:ascii="宋体" w:hAnsi="宋体" w:eastAsia="宋体" w:cs="宋体"/>
          <w:bCs/>
          <w:color w:val="auto"/>
          <w:spacing w:val="4"/>
          <w:kern w:val="2"/>
          <w:sz w:val="24"/>
          <w:szCs w:val="24"/>
          <w:highlight w:val="none"/>
          <w:lang w:val="en-US" w:eastAsia="zh-CN" w:bidi="ar"/>
        </w:rPr>
        <w:t>）款约定的监理人员外，其余监理人员在经委托人同意的前提下可根据工程进度情况分阶段驻场（以招标文件要求或经委托人最新审批同意的项目监理人员分阶段投入要求表为准），但在其驻场阶段不得在其他项目兼职。每违约</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人</w:t>
      </w:r>
      <w:r>
        <w:rPr>
          <w:rFonts w:hint="default" w:ascii="Times New Roman" w:hAnsi="Times New Roman" w:eastAsia="宋体" w:cs="Times New Roman"/>
          <w:bCs/>
          <w:color w:val="auto"/>
          <w:spacing w:val="4"/>
          <w:kern w:val="2"/>
          <w:sz w:val="24"/>
          <w:szCs w:val="24"/>
          <w:highlight w:val="none"/>
          <w:lang w:val="en-US" w:eastAsia="zh-CN" w:bidi="ar"/>
        </w:rPr>
        <w:t>/</w:t>
      </w:r>
      <w:r>
        <w:rPr>
          <w:rFonts w:hint="eastAsia" w:ascii="宋体" w:hAnsi="宋体" w:eastAsia="宋体" w:cs="宋体"/>
          <w:bCs/>
          <w:color w:val="auto"/>
          <w:spacing w:val="4"/>
          <w:kern w:val="2"/>
          <w:sz w:val="24"/>
          <w:szCs w:val="24"/>
          <w:highlight w:val="none"/>
          <w:lang w:val="en-US" w:eastAsia="zh-CN" w:bidi="ar"/>
        </w:rPr>
        <w:t>次，监理人承担</w:t>
      </w:r>
      <w:r>
        <w:rPr>
          <w:rFonts w:hint="default" w:ascii="Times New Roman" w:hAnsi="Times New Roman" w:eastAsia="宋体" w:cs="Times New Roman"/>
          <w:bCs/>
          <w:color w:val="auto"/>
          <w:spacing w:val="4"/>
          <w:kern w:val="2"/>
          <w:sz w:val="24"/>
          <w:szCs w:val="24"/>
          <w:highlight w:val="none"/>
          <w:lang w:val="en-US" w:eastAsia="zh-CN" w:bidi="ar"/>
        </w:rPr>
        <w:t>1</w:t>
      </w:r>
      <w:r>
        <w:rPr>
          <w:rFonts w:hint="eastAsia" w:ascii="宋体" w:hAnsi="宋体" w:eastAsia="宋体" w:cs="宋体"/>
          <w:bCs/>
          <w:color w:val="auto"/>
          <w:spacing w:val="4"/>
          <w:kern w:val="2"/>
          <w:sz w:val="24"/>
          <w:szCs w:val="24"/>
          <w:highlight w:val="none"/>
          <w:lang w:val="en-US" w:eastAsia="zh-CN" w:bidi="ar"/>
        </w:rPr>
        <w:t>次一般违约责任。监理人承担违约责任后（如有特殊原因且经委托人书面同意的，监理人可不承担违约责任），仍需按照委托人的指令限期改正，且按照合同专用条款</w:t>
      </w:r>
      <w:r>
        <w:rPr>
          <w:rFonts w:hint="default" w:ascii="Times New Roman" w:hAnsi="Times New Roman" w:eastAsia="宋体" w:cs="Times New Roman"/>
          <w:bCs/>
          <w:color w:val="auto"/>
          <w:spacing w:val="4"/>
          <w:kern w:val="2"/>
          <w:sz w:val="24"/>
          <w:szCs w:val="24"/>
          <w:highlight w:val="none"/>
          <w:lang w:val="en-US" w:eastAsia="zh-CN" w:bidi="ar"/>
        </w:rPr>
        <w:t>26.4.1</w:t>
      </w:r>
      <w:r>
        <w:rPr>
          <w:rFonts w:hint="eastAsia" w:ascii="宋体" w:hAnsi="宋体" w:eastAsia="宋体" w:cs="宋体"/>
          <w:bCs/>
          <w:color w:val="auto"/>
          <w:spacing w:val="4"/>
          <w:kern w:val="2"/>
          <w:sz w:val="24"/>
          <w:szCs w:val="24"/>
          <w:highlight w:val="none"/>
          <w:lang w:val="en-US" w:eastAsia="zh-CN" w:bidi="ar"/>
        </w:rPr>
        <w:t>（</w:t>
      </w:r>
      <w:r>
        <w:rPr>
          <w:rFonts w:hint="default" w:ascii="Times New Roman" w:hAnsi="Times New Roman" w:eastAsia="宋体" w:cs="Times New Roman"/>
          <w:bCs/>
          <w:color w:val="auto"/>
          <w:spacing w:val="4"/>
          <w:kern w:val="2"/>
          <w:sz w:val="24"/>
          <w:szCs w:val="24"/>
          <w:highlight w:val="none"/>
          <w:lang w:val="en-US" w:eastAsia="zh-CN" w:bidi="ar"/>
        </w:rPr>
        <w:t>4</w:t>
      </w:r>
      <w:r>
        <w:rPr>
          <w:rFonts w:hint="eastAsia" w:ascii="宋体" w:hAnsi="宋体" w:eastAsia="宋体" w:cs="宋体"/>
          <w:bCs/>
          <w:color w:val="auto"/>
          <w:spacing w:val="4"/>
          <w:kern w:val="2"/>
          <w:sz w:val="24"/>
          <w:szCs w:val="24"/>
          <w:highlight w:val="none"/>
          <w:lang w:val="en-US" w:eastAsia="zh-CN" w:bidi="ar"/>
        </w:rPr>
        <w:t>）款关于未按照委托人要求及时更换监理人员的相关约定承担违约责任。同时前述违约情形与承包人履约评价考核挂钩。</w:t>
      </w:r>
    </w:p>
    <w:p w14:paraId="4B24F15A">
      <w:pPr>
        <w:topLinePunct/>
        <w:adjustRightInd w:val="0"/>
        <w:snapToGrid w:val="0"/>
        <w:spacing w:line="480" w:lineRule="exact"/>
        <w:ind w:firstLine="498" w:firstLineChars="200"/>
        <w:outlineLvl w:val="0"/>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26.4.2</w:t>
      </w:r>
      <w:r>
        <w:rPr>
          <w:rFonts w:hint="eastAsia" w:ascii="Times New Roman" w:hAnsi="Times New Roman"/>
          <w:b/>
          <w:bCs/>
          <w:color w:val="auto"/>
          <w:spacing w:val="4"/>
          <w:sz w:val="24"/>
          <w:szCs w:val="24"/>
          <w:highlight w:val="none"/>
        </w:rPr>
        <w:t xml:space="preserve"> 履行监理职责方面的违约责任</w:t>
      </w:r>
    </w:p>
    <w:p w14:paraId="6D1C6F0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）监理人在自己职责范围内对应当作出决定的事项故意拖延或者不作出明确的处理意见，在委托人书面警告后监理人在整改期限内仍不加以改正的，是为违约，监理人承担一般违约责任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次；因此造成损失的，监理人承担赔偿责任。</w:t>
      </w:r>
    </w:p>
    <w:p w14:paraId="4B361B9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689ACA8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）监理人对于承包人未按投标文件所作的承诺投入机械、设备、材料等存在的问题不进行有效检查、督促、处理，且不向委托人报告的，在委托人书面警告并要求限期改正后，拒不限期改正的，承担</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次一般违约责任。</w:t>
      </w:r>
    </w:p>
    <w:p w14:paraId="12B3F09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）监理人对于承包人每次进场材料不进行检查和登记，或者对已进场的材料不按有关规定及时进行抽查、送检的，承担一般违约责任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次；如因此出现不合格材料使用于工程建设并造成质量缺陷的，监理人承担一般违约责任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次；如因此出现质量事故或经济损失达</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w:t>
      </w:r>
      <w:r>
        <w:rPr>
          <w:rFonts w:ascii="Times New Roman" w:hAnsi="Times New Roman"/>
          <w:bCs/>
          <w:color w:val="auto"/>
          <w:spacing w:val="4"/>
          <w:sz w:val="24"/>
          <w:szCs w:val="24"/>
          <w:highlight w:val="none"/>
        </w:rPr>
        <w:t>/</w:t>
      </w:r>
      <w:r>
        <w:rPr>
          <w:rFonts w:hint="eastAsia" w:ascii="Times New Roman" w:hAnsi="Times New Roman"/>
          <w:bCs/>
          <w:color w:val="auto"/>
          <w:spacing w:val="4"/>
          <w:sz w:val="24"/>
          <w:szCs w:val="24"/>
          <w:highlight w:val="none"/>
        </w:rPr>
        <w:t>次以上的，监理人承担严重违约责任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次；如因此造成重大质量安全事故（按国家规定界定）的，委托人有权视情况的严重程度部分解除合同或解除合同，同时，委托人保留追究监理人的其他法律责任的权利。</w:t>
      </w:r>
    </w:p>
    <w:p w14:paraId="24F969E6">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）监理人在编制项目实施细则中，应按监理规范列明需监理人旁站的工序，并应得到委托人的批准。工程</w:t>
      </w:r>
      <w:r>
        <w:rPr>
          <w:rFonts w:hint="eastAsia" w:ascii="宋体" w:hAnsi="宋体"/>
          <w:b/>
          <w:bCs/>
          <w:strike/>
          <w:snapToGrid w:val="0"/>
          <w:color w:val="auto"/>
          <w:spacing w:val="6"/>
          <w:sz w:val="24"/>
          <w:szCs w:val="24"/>
          <w:highlight w:val="none"/>
        </w:rPr>
        <w:sym w:font="Wingdings 2" w:char="0052"/>
      </w:r>
      <w:r>
        <w:rPr>
          <w:rFonts w:hint="eastAsia" w:ascii="Times New Roman" w:hAnsi="Times New Roman"/>
          <w:bCs/>
          <w:strike/>
          <w:color w:val="auto"/>
          <w:spacing w:val="4"/>
          <w:sz w:val="24"/>
          <w:szCs w:val="24"/>
          <w:highlight w:val="none"/>
        </w:rPr>
        <w:t>勘察、</w:t>
      </w:r>
      <w:r>
        <w:rPr>
          <w:rFonts w:hint="eastAsia" w:ascii="Times New Roman" w:hAnsi="Times New Roman"/>
          <w:bCs/>
          <w:color w:val="auto"/>
          <w:spacing w:val="4"/>
          <w:sz w:val="24"/>
          <w:szCs w:val="24"/>
          <w:highlight w:val="none"/>
        </w:rPr>
        <w:t>施工过程中，需要监理人进行旁站监督的，监理人没有到场，或者到场后没有进行监督，或发现质量问题后没有及时处理，且没有向委托人报告，在委托人书面警告并要求限期改正后，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4CD09E32">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）监理人不按本合同专用条件第</w:t>
      </w:r>
      <w:r>
        <w:rPr>
          <w:rFonts w:ascii="Times New Roman" w:hAnsi="Times New Roman"/>
          <w:color w:val="auto"/>
          <w:spacing w:val="4"/>
          <w:sz w:val="24"/>
          <w:szCs w:val="24"/>
          <w:highlight w:val="none"/>
        </w:rPr>
        <w:t>5.17</w:t>
      </w:r>
      <w:r>
        <w:rPr>
          <w:rFonts w:hint="eastAsia" w:ascii="Times New Roman" w:hAnsi="Times New Roman"/>
          <w:bCs/>
          <w:color w:val="auto"/>
          <w:spacing w:val="4"/>
          <w:sz w:val="24"/>
          <w:szCs w:val="24"/>
          <w:highlight w:val="none"/>
        </w:rPr>
        <w:t>款的约定办理有关保险事宜的，在委托人书面警告并要求限期改正后，监理人拒不限期改正的，承担严重违约责任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次，并承担由此产生的一切后果。</w:t>
      </w:r>
    </w:p>
    <w:p w14:paraId="4C0FA5A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次。同时，监理人应赔偿委托人的经济损失。</w:t>
      </w:r>
    </w:p>
    <w:p w14:paraId="5390EF1C">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日）以上的，监理人承担一般违约责任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次；出现关键工期滞后</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日）以上的，监理人承担严重违约责任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次；出现关键线路工期滞后</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日（含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日）以上的，委托人有权部分解除合同或解除合同。</w:t>
      </w:r>
    </w:p>
    <w:p w14:paraId="7164A6C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9</w:t>
      </w:r>
      <w:r>
        <w:rPr>
          <w:rFonts w:hint="eastAsia" w:ascii="Times New Roman" w:hAnsi="Times New Roman"/>
          <w:bCs/>
          <w:color w:val="auto"/>
          <w:spacing w:val="4"/>
          <w:sz w:val="24"/>
          <w:szCs w:val="24"/>
          <w:highlight w:val="none"/>
        </w:rPr>
        <w:t>）对于承包人提交的现场签证资料，监理人没有准确、真实的现场原始记录或不进行现场复核即予签认，致使签认的文件有错误的，监理人应立即纠正，并承担一般违约责任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次；由于该签证错误因此可能给委托人造成</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万元）以上的直接经济损失的，监理人承担严重违约责任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次，如果这种经济损失是由于监理人故意造成的，则按本合同专用条件第</w:t>
      </w:r>
      <w:r>
        <w:rPr>
          <w:rFonts w:ascii="Times New Roman" w:hAnsi="Times New Roman"/>
          <w:bCs/>
          <w:color w:val="auto"/>
          <w:spacing w:val="4"/>
          <w:sz w:val="24"/>
          <w:szCs w:val="24"/>
          <w:highlight w:val="none"/>
        </w:rPr>
        <w:t>26.1-（6）</w:t>
      </w:r>
      <w:r>
        <w:rPr>
          <w:rFonts w:hint="eastAsia" w:ascii="Times New Roman" w:hAnsi="Times New Roman"/>
          <w:bCs/>
          <w:color w:val="auto"/>
          <w:spacing w:val="4"/>
          <w:sz w:val="24"/>
          <w:szCs w:val="24"/>
          <w:highlight w:val="none"/>
        </w:rPr>
        <w:t>项处理。</w:t>
      </w:r>
    </w:p>
    <w:p w14:paraId="550E63D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对于现场签证（含工程数量、单价等）未经过注册造价工程师审核即报送委托人，或者虽经过注册造价工程师审核但未在规定时间内报送委托人的，监理人应限期改正；以上情形累计出现</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次的，监理人承担一般违约责任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2613F59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6E61B5EB">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监理人对承包人提交的施工方案、设计变更等技术文件，应当在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日内予以批复；须转报委托人审批的，监理人应在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日内出具审核意见报委托人。由于监理人未及时批复而影响工程进度或者工程质量的，监理人承担严重违约责任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次；须转报委托人审批的，监理人未在</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日内报委托人或未出具审核意见的，应限期改正，承担一般违约责任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067B5C6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66B9D24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11</w:t>
      </w:r>
      <w:r>
        <w:rPr>
          <w:rFonts w:hint="eastAsia" w:ascii="Times New Roman" w:hAnsi="Times New Roman"/>
          <w:bCs/>
          <w:color w:val="auto"/>
          <w:spacing w:val="4"/>
          <w:sz w:val="24"/>
          <w:szCs w:val="24"/>
          <w:highlight w:val="none"/>
        </w:rPr>
        <w:t>）监理人应当按时对承包人的申请计量事项予以审批，申请计量事项在正常情况下应在</w:t>
      </w:r>
      <w:r>
        <w:rPr>
          <w:rFonts w:ascii="Times New Roman" w:hAnsi="Times New Roman"/>
          <w:b/>
          <w:bCs/>
          <w:color w:val="auto"/>
          <w:spacing w:val="4"/>
          <w:sz w:val="24"/>
          <w:szCs w:val="24"/>
          <w:highlight w:val="none"/>
        </w:rPr>
        <w:t>2</w:t>
      </w:r>
      <w:r>
        <w:rPr>
          <w:rFonts w:hint="eastAsia" w:ascii="Times New Roman" w:hAnsi="Times New Roman"/>
          <w:bCs/>
          <w:color w:val="auto"/>
          <w:spacing w:val="4"/>
          <w:sz w:val="24"/>
          <w:szCs w:val="24"/>
          <w:highlight w:val="none"/>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次；给委托人造成损失的，应当赔偿损失。</w:t>
      </w:r>
    </w:p>
    <w:p w14:paraId="3C06B656">
      <w:pPr>
        <w:topLinePunct/>
        <w:adjustRightInd w:val="0"/>
        <w:snapToGrid w:val="0"/>
        <w:spacing w:line="480" w:lineRule="exact"/>
        <w:ind w:firstLine="480" w:firstLineChars="200"/>
        <w:rPr>
          <w:rFonts w:ascii="Times New Roman" w:hAnsi="Times New Roman"/>
          <w:bCs/>
          <w:color w:val="auto"/>
          <w:spacing w:val="4"/>
          <w:kern w:val="0"/>
          <w:sz w:val="24"/>
          <w:szCs w:val="24"/>
          <w:highlight w:val="none"/>
        </w:rPr>
      </w:pPr>
      <w:r>
        <w:rPr>
          <w:rFonts w:hint="eastAsia" w:ascii="Times New Roman" w:hAnsi="Times New Roman" w:cs="Arial"/>
          <w:bCs/>
          <w:color w:val="auto"/>
          <w:kern w:val="0"/>
          <w:sz w:val="24"/>
          <w:szCs w:val="24"/>
          <w:highlight w:val="none"/>
        </w:rPr>
        <w:t>（</w:t>
      </w:r>
      <w:r>
        <w:rPr>
          <w:rFonts w:ascii="Times New Roman" w:hAnsi="Times New Roman" w:cs="Arial"/>
          <w:bCs/>
          <w:color w:val="auto"/>
          <w:kern w:val="0"/>
          <w:sz w:val="24"/>
          <w:szCs w:val="24"/>
          <w:highlight w:val="none"/>
        </w:rPr>
        <w:t>12</w:t>
      </w:r>
      <w:r>
        <w:rPr>
          <w:rFonts w:hint="eastAsia" w:ascii="Times New Roman" w:hAnsi="Times New Roman" w:cs="Arial"/>
          <w:bCs/>
          <w:color w:val="auto"/>
          <w:kern w:val="0"/>
          <w:sz w:val="24"/>
          <w:szCs w:val="24"/>
          <w:highlight w:val="none"/>
        </w:rPr>
        <w:t>）监理人对于承包人提交的请款报告，不按实际完成的工作量进行审核，或不按本合同要求签署拨款意见的，应限期改正；累计出现达</w:t>
      </w:r>
      <w:r>
        <w:rPr>
          <w:rFonts w:ascii="Times New Roman" w:hAnsi="Times New Roman" w:cs="Arial"/>
          <w:bCs/>
          <w:color w:val="auto"/>
          <w:kern w:val="0"/>
          <w:sz w:val="24"/>
          <w:szCs w:val="24"/>
          <w:highlight w:val="none"/>
        </w:rPr>
        <w:t>2</w:t>
      </w:r>
      <w:r>
        <w:rPr>
          <w:rFonts w:hint="eastAsia" w:ascii="Times New Roman" w:hAnsi="Times New Roman" w:cs="Arial"/>
          <w:bCs/>
          <w:color w:val="auto"/>
          <w:kern w:val="0"/>
          <w:sz w:val="24"/>
          <w:szCs w:val="24"/>
          <w:highlight w:val="none"/>
        </w:rPr>
        <w:t>次的，承担一般违约责任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次；如造成委托人超形象进度、超合同支付工程款达</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万元（含</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万元）以上，或监理人审核的当期支付金额与经过委托人复核的实际应付金额存在正负</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％以上误差的，承担一般违约责任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次，情节严重的，承担严重违约责任</w:t>
      </w:r>
      <w:r>
        <w:rPr>
          <w:rFonts w:ascii="Times New Roman" w:hAnsi="Times New Roman" w:cs="Arial"/>
          <w:bCs/>
          <w:color w:val="auto"/>
          <w:kern w:val="0"/>
          <w:sz w:val="24"/>
          <w:szCs w:val="24"/>
          <w:highlight w:val="none"/>
        </w:rPr>
        <w:t>1</w:t>
      </w:r>
      <w:r>
        <w:rPr>
          <w:rFonts w:hint="eastAsia" w:ascii="Times New Roman" w:hAnsi="Times New Roman" w:cs="Arial"/>
          <w:bCs/>
          <w:color w:val="auto"/>
          <w:kern w:val="0"/>
          <w:sz w:val="24"/>
          <w:szCs w:val="24"/>
          <w:highlight w:val="none"/>
        </w:rPr>
        <w:t>次；若由此给委托人造成</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万元（含</w:t>
      </w:r>
      <w:r>
        <w:rPr>
          <w:rFonts w:ascii="Times New Roman" w:hAnsi="Times New Roman" w:cs="Arial"/>
          <w:bCs/>
          <w:color w:val="auto"/>
          <w:kern w:val="0"/>
          <w:sz w:val="24"/>
          <w:szCs w:val="24"/>
          <w:highlight w:val="none"/>
        </w:rPr>
        <w:t>10</w:t>
      </w:r>
      <w:r>
        <w:rPr>
          <w:rFonts w:hint="eastAsia" w:ascii="Times New Roman" w:hAnsi="Times New Roman" w:cs="Arial"/>
          <w:bCs/>
          <w:color w:val="auto"/>
          <w:kern w:val="0"/>
          <w:sz w:val="24"/>
          <w:szCs w:val="24"/>
          <w:highlight w:val="none"/>
        </w:rPr>
        <w:t>万元）以上损失的，监理人应当赔偿委托人的损失，委托人将视情况部分解除合同或解除合同。</w:t>
      </w:r>
    </w:p>
    <w:p w14:paraId="29FD42EE">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13</w:t>
      </w:r>
      <w:r>
        <w:rPr>
          <w:rFonts w:hint="eastAsia" w:ascii="Times New Roman" w:hAnsi="Times New Roman"/>
          <w:bCs/>
          <w:color w:val="auto"/>
          <w:spacing w:val="4"/>
          <w:sz w:val="24"/>
          <w:szCs w:val="24"/>
          <w:highlight w:val="none"/>
        </w:rPr>
        <w:t>）监理人同时发生本合同专用条件第</w:t>
      </w:r>
      <w:r>
        <w:rPr>
          <w:rFonts w:ascii="Times New Roman" w:hAnsi="Times New Roman"/>
          <w:bCs/>
          <w:color w:val="auto"/>
          <w:spacing w:val="4"/>
          <w:sz w:val="24"/>
          <w:szCs w:val="24"/>
          <w:highlight w:val="none"/>
        </w:rPr>
        <w:t>26.4.2-（9）、（10）、（11）、（12）</w:t>
      </w:r>
      <w:r>
        <w:rPr>
          <w:rFonts w:hint="eastAsia" w:ascii="Times New Roman" w:hAnsi="Times New Roman"/>
          <w:bCs/>
          <w:color w:val="auto"/>
          <w:spacing w:val="4"/>
          <w:sz w:val="24"/>
          <w:szCs w:val="24"/>
          <w:highlight w:val="none"/>
        </w:rPr>
        <w:t>项约定的违约行为且情节严重的，视为监理人和承包人串通作假，委托人有权单方解除合同；因此造成委托人损失的，委托人有权按本合同专用条件第</w:t>
      </w:r>
      <w:r>
        <w:rPr>
          <w:rFonts w:ascii="Times New Roman" w:hAnsi="Times New Roman"/>
          <w:bCs/>
          <w:color w:val="auto"/>
          <w:spacing w:val="4"/>
          <w:sz w:val="24"/>
          <w:szCs w:val="24"/>
          <w:highlight w:val="none"/>
        </w:rPr>
        <w:t>26.1-（6）</w:t>
      </w:r>
      <w:r>
        <w:rPr>
          <w:rFonts w:hint="eastAsia" w:ascii="Times New Roman" w:hAnsi="Times New Roman"/>
          <w:bCs/>
          <w:color w:val="auto"/>
          <w:spacing w:val="4"/>
          <w:sz w:val="24"/>
          <w:szCs w:val="24"/>
          <w:highlight w:val="none"/>
        </w:rPr>
        <w:t>项的约定要求监理人承担赔偿责任。</w:t>
      </w:r>
    </w:p>
    <w:p w14:paraId="42618B4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14</w:t>
      </w:r>
      <w:r>
        <w:rPr>
          <w:rFonts w:hint="eastAsia" w:ascii="Times New Roman" w:hAnsi="Times New Roman"/>
          <w:bCs/>
          <w:color w:val="auto"/>
          <w:spacing w:val="4"/>
          <w:sz w:val="24"/>
          <w:szCs w:val="24"/>
          <w:highlight w:val="none"/>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次；因此而发生安全生产事故，或被上级主管部门通报批评，或被新闻媒体曝光的，监理人承担严重违约责任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次；情节严重的，委托人有权部分解除合同或解除合同；因此而发生重大安全质量事故（按国家及本合同有关规定界定）的，监理人承担赔偿责任，赔偿金为本合同监理酬金的</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w:t>
      </w:r>
    </w:p>
    <w:p w14:paraId="7F71482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15</w:t>
      </w:r>
      <w:r>
        <w:rPr>
          <w:rFonts w:hint="eastAsia" w:ascii="Times New Roman" w:hAnsi="Times New Roman"/>
          <w:bCs/>
          <w:color w:val="auto"/>
          <w:spacing w:val="4"/>
          <w:sz w:val="24"/>
          <w:szCs w:val="24"/>
          <w:highlight w:val="none"/>
        </w:rPr>
        <w:t>）由于下列原因，使本合同工程在投资、工期、质量等方面给委托人造成损失的，监理人承担赔偿责任，但累计赔偿总额不应超过本合同监理酬金总额（除去税金）：</w:t>
      </w:r>
    </w:p>
    <w:p w14:paraId="087E095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）在施工过程中，监理人发出错误指令；</w:t>
      </w:r>
    </w:p>
    <w:p w14:paraId="153D845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）监理人越权审批设计变更；</w:t>
      </w:r>
    </w:p>
    <w:p w14:paraId="76A92DE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）其他因监理人自身失误或失职。</w:t>
      </w:r>
    </w:p>
    <w:p w14:paraId="7189019C">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具体约定为：</w:t>
      </w:r>
    </w:p>
    <w:p w14:paraId="7C7F7654">
      <w:pPr>
        <w:keepNext w:val="0"/>
        <w:keepLines w:val="0"/>
        <w:widowControl w:val="0"/>
        <w:suppressLineNumbers w:val="0"/>
        <w:topLinePunct/>
        <w:adjustRightInd w:val="0"/>
        <w:snapToGrid w:val="0"/>
        <w:spacing w:before="0" w:beforeAutospacing="0" w:after="0" w:afterAutospacing="0" w:line="480" w:lineRule="exact"/>
        <w:ind w:left="0" w:right="0" w:firstLine="496"/>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①</w:t>
      </w:r>
      <w:r>
        <w:rPr>
          <w:rFonts w:hint="eastAsia" w:ascii="Times New Roman" w:hAnsi="Times New Roman"/>
          <w:bCs/>
          <w:snapToGrid w:val="0"/>
          <w:color w:val="auto"/>
          <w:spacing w:val="4"/>
          <w:kern w:val="0"/>
          <w:sz w:val="24"/>
          <w:szCs w:val="24"/>
          <w:highlight w:val="none"/>
        </w:rPr>
        <w:t>由于监理人上述原因致使工程投资额较原计划投资额增加的，委托人将</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根据该增加额双倍扣减与之相应比例的监理酬金；若增加工程投资比例超过原计划投资额的20%时，委托人有权单方解除本合同，并要求监理人赔偿委托人由此遭受的实际损失中的50%。</w:t>
      </w:r>
    </w:p>
    <w:p w14:paraId="150C190B">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②</w:t>
      </w:r>
      <w:r>
        <w:rPr>
          <w:rFonts w:hint="eastAsia" w:ascii="Times New Roman" w:hAnsi="Times New Roman"/>
          <w:bCs/>
          <w:snapToGrid w:val="0"/>
          <w:color w:val="auto"/>
          <w:spacing w:val="4"/>
          <w:kern w:val="0"/>
          <w:sz w:val="24"/>
          <w:szCs w:val="24"/>
          <w:highlight w:val="none"/>
        </w:rPr>
        <w:t>因监理人责任导致工期延误，其中分段工期延误日数占该段总工期的30%时，则委托人有权</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扣除该分段工程监理酬金的60%；分段工期延误日数达到该段总工期的50%时，则委托人有权单方解除本合同。因监理人责任导致工程竣工拖延的，依据拖延的日数，监理人应每日按监理酬金总额的1%向委托人支付违约金。由于监理人责任导致工期延误，致使委托人要承担赔偿第三方责任的，监理人承担赔偿委托人由此遭受的实际损失中的50%。</w:t>
      </w:r>
    </w:p>
    <w:p w14:paraId="2CEAA7F3">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③</w:t>
      </w:r>
      <w:r>
        <w:rPr>
          <w:rFonts w:hint="eastAsia" w:ascii="Times New Roman" w:hAnsi="Times New Roman"/>
          <w:bCs/>
          <w:snapToGrid w:val="0"/>
          <w:color w:val="auto"/>
          <w:spacing w:val="4"/>
          <w:kern w:val="0"/>
          <w:sz w:val="24"/>
          <w:szCs w:val="24"/>
          <w:highlight w:val="none"/>
        </w:rPr>
        <w:t>因监理人责任造成质量事故，需要返工的，监理人承担严重违约责任1次，由委托人</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双倍扣减该部分的监理酬金，同时监理人应赔偿委托人的实际损失；情节严重的，委托人有权单方面解除合同，并有权要求监理人赔偿委托人由此遭受的经济损失。</w:t>
      </w:r>
    </w:p>
    <w:p w14:paraId="3EABC33D">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④</w:t>
      </w:r>
      <w:r>
        <w:rPr>
          <w:rFonts w:hint="eastAsia" w:ascii="Times New Roman" w:hAnsi="Times New Roman"/>
          <w:bCs/>
          <w:snapToGrid w:val="0"/>
          <w:color w:val="auto"/>
          <w:spacing w:val="4"/>
          <w:kern w:val="0"/>
          <w:sz w:val="24"/>
          <w:szCs w:val="24"/>
          <w:highlight w:val="none"/>
        </w:rPr>
        <w:t>因监理人责任导致工程（含各分部、单位及整体工程，下同）质量一次性验收不符合质量目标的，委托人</w:t>
      </w:r>
      <w:r>
        <w:rPr>
          <w:rFonts w:hint="eastAsia" w:ascii="Times New Roman" w:hAnsi="Times New Roman"/>
          <w:snapToGrid w:val="0"/>
          <w:color w:val="auto"/>
          <w:spacing w:val="4"/>
          <w:kern w:val="0"/>
          <w:sz w:val="24"/>
          <w:szCs w:val="24"/>
          <w:highlight w:val="none"/>
        </w:rPr>
        <w:t>（</w:t>
      </w:r>
      <w:r>
        <w:rPr>
          <w:rFonts w:hint="eastAsia" w:ascii="宋体" w:hAnsi="宋体"/>
          <w:b/>
          <w:bCs/>
          <w:snapToGrid w:val="0"/>
          <w:color w:val="auto"/>
          <w:spacing w:val="6"/>
          <w:sz w:val="24"/>
          <w:highlight w:val="none"/>
        </w:rPr>
        <w:sym w:font="Wingdings 2" w:char="0052"/>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按相应工程占总工程的比例扣除监理人监理酬金；若导致工程质量一次性验收不合格而造成委托人的直接损失达100万元以上时，委托人有权单方解除本合同并要求监理人赔偿相应经济损失。</w:t>
      </w:r>
    </w:p>
    <w:p w14:paraId="56108B3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16</w:t>
      </w:r>
      <w:r>
        <w:rPr>
          <w:rFonts w:hint="eastAsia" w:ascii="Times New Roman" w:hAnsi="Times New Roman"/>
          <w:bCs/>
          <w:color w:val="auto"/>
          <w:spacing w:val="4"/>
          <w:sz w:val="24"/>
          <w:szCs w:val="24"/>
          <w:highlight w:val="none"/>
        </w:rPr>
        <w:t>）监理人提供的《监理规划》和相应的《监理实施细则》，经委托人审核认为未能针对本合同工程特点、难点和重点，需要退回修改的，若连续两次修改后仍未能达到委托人要求的，监理人应承担一般违约责任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36C5116F">
      <w:pPr>
        <w:keepNext w:val="0"/>
        <w:keepLines w:val="0"/>
        <w:widowControl w:val="0"/>
        <w:suppressLineNumbers w:val="0"/>
        <w:topLinePunct/>
        <w:adjustRightInd w:val="0"/>
        <w:snapToGrid w:val="0"/>
        <w:spacing w:before="0" w:beforeAutospacing="0" w:after="0" w:afterAutospacing="0" w:line="480" w:lineRule="exact"/>
        <w:ind w:left="0" w:right="0" w:firstLine="496" w:firstLineChars="200"/>
        <w:jc w:val="both"/>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17</w:t>
      </w:r>
      <w:r>
        <w:rPr>
          <w:rFonts w:hint="eastAsia" w:ascii="Times New Roman" w:hAnsi="Times New Roman"/>
          <w:bCs/>
          <w:color w:val="auto"/>
          <w:spacing w:val="4"/>
          <w:sz w:val="24"/>
          <w:szCs w:val="24"/>
          <w:highlight w:val="none"/>
        </w:rPr>
        <w:t>）</w:t>
      </w:r>
      <w:r>
        <w:rPr>
          <w:rFonts w:hint="eastAsia" w:ascii="Times New Roman" w:hAnsi="Times New Roman"/>
          <w:bCs/>
          <w:snapToGrid w:val="0"/>
          <w:color w:val="auto"/>
          <w:spacing w:val="4"/>
          <w:kern w:val="0"/>
          <w:sz w:val="24"/>
          <w:szCs w:val="24"/>
          <w:highlight w:val="none"/>
        </w:rPr>
        <w:t>如果监理人在服务期内未能按要求提供本合同约定的监理服务（包括监理人员缺额、监理深度不足及监理资料不齐等）的，委托人有权</w:t>
      </w:r>
      <w:r>
        <w:rPr>
          <w:rFonts w:hint="eastAsia" w:ascii="Times New Roman" w:hAnsi="Times New Roman"/>
          <w:snapToGrid w:val="0"/>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bidi="ar"/>
        </w:rPr>
        <w:sym w:font="Wingdings" w:char="00FE"/>
      </w:r>
      <w:r>
        <w:rPr>
          <w:rFonts w:hint="eastAsia" w:ascii="Times New Roman" w:hAnsi="Times New Roman"/>
          <w:snapToGrid w:val="0"/>
          <w:color w:val="auto"/>
          <w:spacing w:val="4"/>
          <w:kern w:val="0"/>
          <w:sz w:val="24"/>
          <w:szCs w:val="24"/>
          <w:highlight w:val="none"/>
        </w:rPr>
        <w:t>通知业主单位）</w:t>
      </w:r>
      <w:r>
        <w:rPr>
          <w:rFonts w:hint="eastAsia" w:ascii="Times New Roman" w:hAnsi="Times New Roman"/>
          <w:bCs/>
          <w:snapToGrid w:val="0"/>
          <w:color w:val="auto"/>
          <w:spacing w:val="4"/>
          <w:kern w:val="0"/>
          <w:sz w:val="24"/>
          <w:szCs w:val="24"/>
          <w:highlight w:val="none"/>
        </w:rPr>
        <w:t>酌情扣减监理酬金。</w:t>
      </w:r>
    </w:p>
    <w:p w14:paraId="7EFAF743">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18</w:t>
      </w:r>
      <w:r>
        <w:rPr>
          <w:rFonts w:hint="eastAsia" w:ascii="Times New Roman" w:hAnsi="Times New Roman"/>
          <w:bCs/>
          <w:color w:val="auto"/>
          <w:spacing w:val="4"/>
          <w:sz w:val="24"/>
          <w:szCs w:val="24"/>
          <w:highlight w:val="none"/>
        </w:rPr>
        <w:t>）对于工程施工过程中出现的工程变更，如当月由委托人确定的工程变更的单价较监理人审定的单价的差值大于正负</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以上的情况累计出现</w:t>
      </w:r>
      <w:r>
        <w:rPr>
          <w:rFonts w:ascii="Times New Roman" w:hAnsi="Times New Roman"/>
          <w:bCs/>
          <w:color w:val="auto"/>
          <w:spacing w:val="4"/>
          <w:sz w:val="24"/>
          <w:szCs w:val="24"/>
          <w:highlight w:val="none"/>
        </w:rPr>
        <w:t>8</w:t>
      </w:r>
      <w:r>
        <w:rPr>
          <w:rFonts w:hint="eastAsia" w:ascii="Times New Roman" w:hAnsi="Times New Roman"/>
          <w:bCs/>
          <w:color w:val="auto"/>
          <w:spacing w:val="4"/>
          <w:sz w:val="24"/>
          <w:szCs w:val="24"/>
          <w:highlight w:val="none"/>
        </w:rPr>
        <w:t>宗以上，或由委托人确定的工程变更的总价较监理人审定的总价的差值大于正负</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以上的情况累计出现</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宗以上，监理人承担一般违约责任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29D11FEB">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19</w:t>
      </w:r>
      <w:r>
        <w:rPr>
          <w:rFonts w:hint="eastAsia" w:ascii="Times New Roman" w:hAnsi="Times New Roman"/>
          <w:bCs/>
          <w:color w:val="auto"/>
          <w:spacing w:val="4"/>
          <w:sz w:val="24"/>
          <w:szCs w:val="24"/>
          <w:highlight w:val="none"/>
        </w:rPr>
        <w:t>）因监理人未尽认真审核职责，造成竣工图纸（包括设备移交资料等）与竣工时现场的实际情况不符，导致相关的工程结算出现偏差的，监理人承担一般违约责任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次；如由此可能给委托人造成直接经济损失</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万元（含</w:t>
      </w:r>
      <w:r>
        <w:rPr>
          <w:rFonts w:ascii="Times New Roman" w:hAnsi="Times New Roman"/>
          <w:bCs/>
          <w:color w:val="auto"/>
          <w:spacing w:val="4"/>
          <w:sz w:val="24"/>
          <w:szCs w:val="24"/>
          <w:highlight w:val="none"/>
        </w:rPr>
        <w:t>10</w:t>
      </w:r>
      <w:r>
        <w:rPr>
          <w:rFonts w:hint="eastAsia" w:ascii="Times New Roman" w:hAnsi="Times New Roman"/>
          <w:bCs/>
          <w:color w:val="auto"/>
          <w:spacing w:val="4"/>
          <w:sz w:val="24"/>
          <w:szCs w:val="24"/>
          <w:highlight w:val="none"/>
        </w:rPr>
        <w:t>万元）以上的，监理人承担严重违约责任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次；如该经济损失是监理人故意造成的，则按本合同专用条件第</w:t>
      </w:r>
      <w:r>
        <w:rPr>
          <w:rFonts w:ascii="Times New Roman" w:hAnsi="Times New Roman"/>
          <w:bCs/>
          <w:color w:val="auto"/>
          <w:spacing w:val="4"/>
          <w:sz w:val="24"/>
          <w:szCs w:val="24"/>
          <w:highlight w:val="none"/>
        </w:rPr>
        <w:t>26.1-</w:t>
      </w: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）项执行。</w:t>
      </w:r>
    </w:p>
    <w:p w14:paraId="356D0FBC">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20</w:t>
      </w:r>
      <w:r>
        <w:rPr>
          <w:rFonts w:hint="eastAsia" w:ascii="Times New Roman" w:hAnsi="Times New Roman"/>
          <w:bCs/>
          <w:color w:val="auto"/>
          <w:spacing w:val="4"/>
          <w:sz w:val="24"/>
          <w:szCs w:val="24"/>
          <w:highlight w:val="none"/>
        </w:rPr>
        <w:t>）对于承包人不按合同约定</w:t>
      </w:r>
      <w:r>
        <w:rPr>
          <w:rFonts w:hint="eastAsia" w:ascii="Times New Roman" w:hAnsi="Times New Roman"/>
          <w:color w:val="auto"/>
          <w:spacing w:val="4"/>
          <w:sz w:val="24"/>
          <w:szCs w:val="24"/>
          <w:highlight w:val="none"/>
        </w:rPr>
        <w:t>提交分项工程的结算文件，监理人不按合同约定采取有效措施或未及时向委托人报告的，监理人承担一般违约责任</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次。</w:t>
      </w:r>
    </w:p>
    <w:p w14:paraId="064924DB">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21</w:t>
      </w:r>
      <w:r>
        <w:rPr>
          <w:rFonts w:hint="eastAsia" w:ascii="Times New Roman" w:hAnsi="Times New Roman"/>
          <w:bCs/>
          <w:color w:val="auto"/>
          <w:spacing w:val="4"/>
          <w:sz w:val="24"/>
          <w:szCs w:val="24"/>
          <w:highlight w:val="none"/>
        </w:rPr>
        <w:t>）</w:t>
      </w:r>
      <w:r>
        <w:rPr>
          <w:rFonts w:hint="eastAsia" w:ascii="Times New Roman" w:hAnsi="Times New Roman"/>
          <w:bCs/>
          <w:snapToGrid w:val="0"/>
          <w:color w:val="auto"/>
          <w:spacing w:val="4"/>
          <w:kern w:val="0"/>
          <w:sz w:val="24"/>
          <w:highlight w:val="none"/>
        </w:rPr>
        <w:t>监理人根据合同约定对承包人提交的工程结算书（结算资料）进行审核，如最终由监理人审定的结算金额较由有权终审部门审定的结算金额的偏差率绝对值大于5%，则由监理人按下列计算方法向委托人支付违约金，最多不超过本合同监理酬金总额的10%：</w:t>
      </w:r>
    </w:p>
    <w:p w14:paraId="2A6FA0C5">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违约金=[（〡A－B〡/B）×100%-5%]×C</w:t>
      </w:r>
    </w:p>
    <w:p w14:paraId="42D5F74E">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其中：A-监理人审定的工程结算金额；</w:t>
      </w:r>
    </w:p>
    <w:p w14:paraId="6CA01B72">
      <w:pPr>
        <w:topLinePunct/>
        <w:adjustRightInd w:val="0"/>
        <w:snapToGrid w:val="0"/>
        <w:spacing w:line="480" w:lineRule="exact"/>
        <w:ind w:firstLine="496" w:firstLineChars="200"/>
        <w:rPr>
          <w:rFonts w:ascii="Times New Roman" w:hAnsi="Times New Roman"/>
          <w:bCs/>
          <w:snapToGrid w:val="0"/>
          <w:color w:val="auto"/>
          <w:spacing w:val="4"/>
          <w:kern w:val="0"/>
          <w:sz w:val="24"/>
          <w:highlight w:val="none"/>
        </w:rPr>
      </w:pPr>
      <w:r>
        <w:rPr>
          <w:rFonts w:hint="eastAsia" w:ascii="Times New Roman" w:hAnsi="Times New Roman"/>
          <w:bCs/>
          <w:snapToGrid w:val="0"/>
          <w:color w:val="auto"/>
          <w:spacing w:val="4"/>
          <w:kern w:val="0"/>
          <w:sz w:val="24"/>
          <w:highlight w:val="none"/>
        </w:rPr>
        <w:t>B-有权终审部门审定的工程结算金额；</w:t>
      </w:r>
    </w:p>
    <w:p w14:paraId="16875E40">
      <w:pPr>
        <w:topLinePunct/>
        <w:adjustRightInd w:val="0"/>
        <w:snapToGrid w:val="0"/>
        <w:spacing w:line="480" w:lineRule="exact"/>
        <w:ind w:firstLine="496" w:firstLineChars="200"/>
        <w:rPr>
          <w:rFonts w:ascii="Times New Roman" w:hAnsi="Times New Roman"/>
          <w:bCs/>
          <w:color w:val="auto"/>
          <w:highlight w:val="none"/>
        </w:rPr>
      </w:pPr>
      <w:r>
        <w:rPr>
          <w:rFonts w:hint="eastAsia" w:ascii="Times New Roman" w:hAnsi="Times New Roman"/>
          <w:bCs/>
          <w:snapToGrid w:val="0"/>
          <w:color w:val="auto"/>
          <w:spacing w:val="4"/>
          <w:kern w:val="0"/>
          <w:sz w:val="24"/>
          <w:highlight w:val="none"/>
        </w:rPr>
        <w:t>C-监理合同酬金总额（即按本合同协议书约定的计算方式测算的监理酬金结算总额）。</w:t>
      </w:r>
    </w:p>
    <w:p w14:paraId="79F31192">
      <w:pPr>
        <w:topLinePunct/>
        <w:adjustRightInd w:val="0"/>
        <w:snapToGrid w:val="0"/>
        <w:spacing w:line="480" w:lineRule="exact"/>
        <w:ind w:firstLine="498" w:firstLineChars="200"/>
        <w:outlineLvl w:val="3"/>
        <w:rPr>
          <w:rFonts w:ascii="Times New Roman" w:hAnsi="Times New Roman"/>
          <w:bCs/>
          <w:color w:val="auto"/>
          <w:spacing w:val="4"/>
          <w:kern w:val="0"/>
          <w:sz w:val="24"/>
          <w:szCs w:val="24"/>
          <w:highlight w:val="none"/>
        </w:rPr>
      </w:pPr>
      <w:r>
        <w:rPr>
          <w:rFonts w:ascii="Times New Roman" w:hAnsi="Times New Roman"/>
          <w:b/>
          <w:bCs/>
          <w:color w:val="auto"/>
          <w:spacing w:val="4"/>
          <w:sz w:val="24"/>
          <w:szCs w:val="24"/>
          <w:highlight w:val="none"/>
        </w:rPr>
        <w:t>26.4.3</w:t>
      </w:r>
      <w:r>
        <w:rPr>
          <w:rFonts w:hint="eastAsia" w:ascii="Times New Roman" w:hAnsi="Times New Roman"/>
          <w:b/>
          <w:bCs/>
          <w:color w:val="auto"/>
          <w:spacing w:val="4"/>
          <w:sz w:val="24"/>
          <w:szCs w:val="24"/>
          <w:highlight w:val="none"/>
        </w:rPr>
        <w:t>其他方面的违约责任</w:t>
      </w:r>
    </w:p>
    <w:p w14:paraId="6B7C7717">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）监理人必须加强对监理人员职业操守、廉政建设的培训和教育，本项目监理人员需共同遵守监理人员职业道德守则，并严格遵守以下规定：</w:t>
      </w:r>
    </w:p>
    <w:p w14:paraId="056D70F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）禁止向委托人及承包人推销材料、设备，或以倾向性、排他性变相推销；</w:t>
      </w:r>
    </w:p>
    <w:p w14:paraId="445F74C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）禁止与承包人串通，对不合格材料、产品、工程进行包庇及验收；</w:t>
      </w:r>
    </w:p>
    <w:p w14:paraId="03756C5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）禁止与承包人串通，对材料用量、工程量进行虚假签认；</w:t>
      </w:r>
    </w:p>
    <w:p w14:paraId="4A8E1399">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4</w:t>
      </w:r>
      <w:r>
        <w:rPr>
          <w:rFonts w:hint="eastAsia" w:ascii="Times New Roman" w:hAnsi="Times New Roman"/>
          <w:bCs/>
          <w:color w:val="auto"/>
          <w:spacing w:val="4"/>
          <w:sz w:val="24"/>
          <w:szCs w:val="24"/>
          <w:highlight w:val="none"/>
        </w:rPr>
        <w:t>）禁止与承包人串通，不合理提高施工难度及增加材料用量，以增大施工费用，获取不正当收益；</w:t>
      </w:r>
    </w:p>
    <w:p w14:paraId="67D1289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5</w:t>
      </w:r>
      <w:r>
        <w:rPr>
          <w:rFonts w:hint="eastAsia" w:ascii="Times New Roman" w:hAnsi="Times New Roman"/>
          <w:bCs/>
          <w:color w:val="auto"/>
          <w:spacing w:val="4"/>
          <w:sz w:val="24"/>
          <w:szCs w:val="24"/>
          <w:highlight w:val="none"/>
        </w:rPr>
        <w:t>）禁止接受承包人的请吃送礼或变相受礼；</w:t>
      </w:r>
    </w:p>
    <w:p w14:paraId="18EED1E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6</w:t>
      </w:r>
      <w:r>
        <w:rPr>
          <w:rFonts w:hint="eastAsia" w:ascii="Times New Roman" w:hAnsi="Times New Roman"/>
          <w:bCs/>
          <w:color w:val="auto"/>
          <w:spacing w:val="4"/>
          <w:sz w:val="24"/>
          <w:szCs w:val="24"/>
          <w:highlight w:val="none"/>
        </w:rPr>
        <w:t>）禁止向承包人介绍分包或推销材料、设备等；</w:t>
      </w:r>
    </w:p>
    <w:p w14:paraId="748A92DD">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）禁止故意刁难承包人以谋取私利，损害委托人的合法利益。</w:t>
      </w:r>
    </w:p>
    <w:p w14:paraId="2ED2AFC4">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凡违反以上任一项约定者，一经查实，监理人应立即清退该监理人员，承担严重违约责任</w:t>
      </w:r>
      <w:r>
        <w:rPr>
          <w:rFonts w:ascii="Times New Roman" w:hAnsi="Times New Roman"/>
          <w:bCs/>
          <w:color w:val="auto"/>
          <w:spacing w:val="4"/>
          <w:sz w:val="24"/>
          <w:szCs w:val="24"/>
          <w:highlight w:val="none"/>
        </w:rPr>
        <w:t xml:space="preserve"> 1</w:t>
      </w:r>
      <w:r>
        <w:rPr>
          <w:rFonts w:hint="eastAsia" w:ascii="Times New Roman" w:hAnsi="Times New Roman"/>
          <w:bCs/>
          <w:color w:val="auto"/>
          <w:spacing w:val="4"/>
          <w:sz w:val="24"/>
          <w:szCs w:val="24"/>
          <w:highlight w:val="none"/>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745C19E8">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）监理人违约行为的直接责任人，其行为致使监理人承担严重违约责任（或相当于严重违约责任）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次，或主管人员因其下属的行为致使监理人承担严重违约责任（或相当于严重违约责任）累计次数达到</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Pr>
          <w:rFonts w:ascii="Times New Roman" w:hAnsi="Times New Roman"/>
          <w:bCs/>
          <w:color w:val="auto"/>
          <w:spacing w:val="4"/>
          <w:sz w:val="24"/>
          <w:szCs w:val="24"/>
          <w:highlight w:val="none"/>
        </w:rPr>
        <w:t>7</w:t>
      </w:r>
      <w:r>
        <w:rPr>
          <w:rFonts w:hint="eastAsia" w:ascii="Times New Roman" w:hAnsi="Times New Roman"/>
          <w:bCs/>
          <w:color w:val="auto"/>
          <w:spacing w:val="4"/>
          <w:sz w:val="24"/>
          <w:szCs w:val="24"/>
          <w:highlight w:val="none"/>
        </w:rPr>
        <w:t>日后起算，委托人可认为该岗位已空缺，并按本合同专用条件第</w:t>
      </w:r>
      <w:r>
        <w:rPr>
          <w:rFonts w:ascii="Times New Roman" w:hAnsi="Times New Roman"/>
          <w:bCs/>
          <w:color w:val="auto"/>
          <w:spacing w:val="4"/>
          <w:sz w:val="24"/>
          <w:szCs w:val="24"/>
          <w:highlight w:val="none"/>
        </w:rPr>
        <w:t>26.4.1-（3）</w:t>
      </w:r>
      <w:r>
        <w:rPr>
          <w:rFonts w:hint="eastAsia" w:ascii="Times New Roman" w:hAnsi="Times New Roman"/>
          <w:bCs/>
          <w:color w:val="auto"/>
          <w:spacing w:val="4"/>
          <w:sz w:val="24"/>
          <w:szCs w:val="24"/>
          <w:highlight w:val="none"/>
        </w:rPr>
        <w:t>项的约定处理。</w:t>
      </w:r>
    </w:p>
    <w:p w14:paraId="63702950">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3</w:t>
      </w:r>
      <w:r>
        <w:rPr>
          <w:rFonts w:hint="eastAsia" w:ascii="Times New Roman" w:hAnsi="Times New Roman"/>
          <w:bCs/>
          <w:color w:val="auto"/>
          <w:spacing w:val="4"/>
          <w:sz w:val="24"/>
          <w:szCs w:val="24"/>
          <w:highlight w:val="none"/>
        </w:rPr>
        <w:t>）除上述约定之外，监理人违反合同约定的其他义务的，均构成违约，委托人有权视具体情况给予监理人书面警告并要求限期改正。于此情形下，若监理人拒不限期改正的，承担一般违约责任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次；情节严重的，承担严重违约责任</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次。</w:t>
      </w:r>
    </w:p>
    <w:p w14:paraId="0B79D799">
      <w:pPr>
        <w:topLinePunct/>
        <w:adjustRightInd w:val="0"/>
        <w:snapToGrid w:val="0"/>
        <w:spacing w:line="480" w:lineRule="exact"/>
        <w:ind w:firstLine="498" w:firstLineChars="200"/>
        <w:outlineLvl w:val="0"/>
        <w:rPr>
          <w:rFonts w:ascii="Times New Roman" w:hAnsi="Times New Roman"/>
          <w:b/>
          <w:color w:val="auto"/>
          <w:spacing w:val="4"/>
          <w:kern w:val="0"/>
          <w:sz w:val="24"/>
          <w:szCs w:val="24"/>
          <w:highlight w:val="none"/>
        </w:rPr>
      </w:pPr>
      <w:r>
        <w:rPr>
          <w:rFonts w:ascii="Times New Roman" w:hAnsi="Times New Roman"/>
          <w:b/>
          <w:color w:val="auto"/>
          <w:spacing w:val="4"/>
          <w:sz w:val="24"/>
          <w:szCs w:val="24"/>
          <w:highlight w:val="none"/>
        </w:rPr>
        <w:t xml:space="preserve">26.5  </w:t>
      </w:r>
      <w:r>
        <w:rPr>
          <w:rFonts w:hint="eastAsia" w:ascii="Times New Roman" w:hAnsi="Times New Roman"/>
          <w:b/>
          <w:color w:val="auto"/>
          <w:spacing w:val="4"/>
          <w:sz w:val="24"/>
          <w:szCs w:val="24"/>
          <w:highlight w:val="none"/>
        </w:rPr>
        <w:t>监理人违约责任的认定方式及文件送达程序</w:t>
      </w:r>
    </w:p>
    <w:p w14:paraId="1515AD5E">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26.5.1</w:t>
      </w:r>
      <w:r>
        <w:rPr>
          <w:rFonts w:hint="eastAsia" w:ascii="Times New Roman" w:hAnsi="Times New Roman"/>
          <w:color w:val="auto"/>
          <w:spacing w:val="4"/>
          <w:sz w:val="24"/>
          <w:szCs w:val="24"/>
          <w:highlight w:val="none"/>
        </w:rPr>
        <w:t>认定方式：以委托人发出的通知、通报、会议纪要等书面文件确定的内容为准。</w:t>
      </w:r>
    </w:p>
    <w:p w14:paraId="30F402EF">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26.5.2</w:t>
      </w:r>
      <w:r>
        <w:rPr>
          <w:rFonts w:hint="eastAsia" w:ascii="Times New Roman" w:hAnsi="Times New Roman"/>
          <w:color w:val="auto"/>
          <w:spacing w:val="4"/>
          <w:sz w:val="24"/>
          <w:szCs w:val="24"/>
          <w:highlight w:val="none"/>
        </w:rPr>
        <w:t>送达程序：委托人通过下列方式之一将书面违约处理决定等文书及材料送达监理人：</w:t>
      </w:r>
    </w:p>
    <w:p w14:paraId="21786AFD">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）监理人现场管理机构工作人员签收；</w:t>
      </w:r>
    </w:p>
    <w:p w14:paraId="6E54333E">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）监理人其他工作人员签收；</w:t>
      </w:r>
    </w:p>
    <w:p w14:paraId="7B4E6E1F">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）委托人邮寄送达。</w:t>
      </w:r>
    </w:p>
    <w:p w14:paraId="23C9391E">
      <w:pPr>
        <w:topLinePunct/>
        <w:adjustRightInd w:val="0"/>
        <w:snapToGrid w:val="0"/>
        <w:spacing w:line="480" w:lineRule="exact"/>
        <w:ind w:firstLine="498" w:firstLineChars="200"/>
        <w:rPr>
          <w:rFonts w:ascii="Times New Roman" w:hAnsi="Times New Roman"/>
          <w:color w:val="auto"/>
          <w:spacing w:val="4"/>
          <w:kern w:val="0"/>
          <w:sz w:val="24"/>
          <w:szCs w:val="24"/>
          <w:highlight w:val="none"/>
        </w:rPr>
      </w:pPr>
      <w:r>
        <w:rPr>
          <w:rFonts w:ascii="Times New Roman" w:hAnsi="Times New Roman"/>
          <w:b/>
          <w:color w:val="auto"/>
          <w:spacing w:val="4"/>
          <w:sz w:val="24"/>
          <w:szCs w:val="24"/>
          <w:highlight w:val="none"/>
        </w:rPr>
        <w:t>26.5.3</w:t>
      </w:r>
      <w:r>
        <w:rPr>
          <w:rFonts w:hint="eastAsia" w:ascii="Times New Roman" w:hAnsi="Times New Roman"/>
          <w:color w:val="auto"/>
          <w:spacing w:val="4"/>
          <w:sz w:val="24"/>
          <w:szCs w:val="24"/>
          <w:highlight w:val="none"/>
        </w:rPr>
        <w:t>委托人以书面形式作出的违约处理决定一经送达监理人立即生效。监理人如有足够证据证明不应由其承担违约责任的，应在收到违约处理决定后</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天内以书面形式向委托人提出异议并附上有关证据。委托人在收到监理人的异议后</w:t>
      </w:r>
      <w:r>
        <w:rPr>
          <w:rFonts w:ascii="Times New Roman" w:hAnsi="Times New Roman"/>
          <w:color w:val="auto"/>
          <w:spacing w:val="4"/>
          <w:sz w:val="24"/>
          <w:szCs w:val="24"/>
          <w:highlight w:val="none"/>
        </w:rPr>
        <w:t>15</w:t>
      </w:r>
      <w:r>
        <w:rPr>
          <w:rFonts w:hint="eastAsia" w:ascii="Times New Roman" w:hAnsi="Times New Roman"/>
          <w:color w:val="auto"/>
          <w:spacing w:val="4"/>
          <w:sz w:val="24"/>
          <w:szCs w:val="24"/>
          <w:highlight w:val="none"/>
        </w:rPr>
        <w:t>天内审核完毕，作出书面决定并通知监理人。</w:t>
      </w:r>
    </w:p>
    <w:p w14:paraId="0BB93314">
      <w:pPr>
        <w:topLinePunct/>
        <w:adjustRightInd w:val="0"/>
        <w:snapToGrid w:val="0"/>
        <w:spacing w:line="480" w:lineRule="exact"/>
        <w:ind w:firstLine="498" w:firstLineChars="200"/>
        <w:rPr>
          <w:rFonts w:ascii="Times New Roman" w:hAnsi="Times New Roman" w:cs="宋体"/>
          <w:color w:val="auto"/>
          <w:spacing w:val="4"/>
          <w:sz w:val="24"/>
          <w:szCs w:val="24"/>
          <w:highlight w:val="none"/>
        </w:rPr>
      </w:pPr>
      <w:r>
        <w:rPr>
          <w:rFonts w:ascii="Times New Roman" w:hAnsi="Times New Roman"/>
          <w:b/>
          <w:color w:val="auto"/>
          <w:spacing w:val="4"/>
          <w:sz w:val="24"/>
          <w:szCs w:val="24"/>
          <w:highlight w:val="none"/>
        </w:rPr>
        <w:t>26.5.4</w:t>
      </w:r>
      <w:r>
        <w:rPr>
          <w:rFonts w:hint="eastAsia" w:ascii="Times New Roman" w:hAnsi="Times New Roman"/>
          <w:color w:val="auto"/>
          <w:spacing w:val="4"/>
          <w:sz w:val="24"/>
          <w:szCs w:val="24"/>
          <w:highlight w:val="none"/>
        </w:rPr>
        <w:t>监理人承诺严格按照合同和招投标文件规定履行义务，</w:t>
      </w:r>
      <w:r>
        <w:rPr>
          <w:rFonts w:ascii="Times New Roman" w:hAnsi="Times New Roman" w:cs="宋体"/>
          <w:color w:val="auto"/>
          <w:spacing w:val="4"/>
          <w:sz w:val="24"/>
          <w:szCs w:val="24"/>
          <w:highlight w:val="none"/>
        </w:rPr>
        <w:t>并同意委托人将其履行合同、招投标文件义务的履约情况和不诚信行为（包括但不限于由委托人</w:t>
      </w:r>
      <w:r>
        <w:rPr>
          <w:rFonts w:ascii="Times New Roman" w:hAnsi="Times New Roman"/>
          <w:color w:val="auto"/>
          <w:spacing w:val="4"/>
          <w:kern w:val="0"/>
          <w:sz w:val="24"/>
          <w:szCs w:val="24"/>
          <w:highlight w:val="none"/>
        </w:rPr>
        <w:t>组织的考核、考评通报、</w:t>
      </w:r>
      <w:r>
        <w:rPr>
          <w:rFonts w:ascii="Times New Roman" w:hAnsi="Times New Roman" w:cs="宋体"/>
          <w:color w:val="auto"/>
          <w:spacing w:val="4"/>
          <w:sz w:val="24"/>
          <w:szCs w:val="24"/>
          <w:highlight w:val="none"/>
        </w:rPr>
        <w:t>做出的违约责任处理决定等）在委托人网站和建设项目业主网站及其他媒体上公开披露，由此造成的一切损失和不利后果均由监理人自行承担</w:t>
      </w:r>
      <w:r>
        <w:rPr>
          <w:rFonts w:hint="eastAsia" w:ascii="Times New Roman" w:hAnsi="Times New Roman" w:cs="宋体"/>
          <w:color w:val="auto"/>
          <w:spacing w:val="4"/>
          <w:sz w:val="24"/>
          <w:szCs w:val="24"/>
          <w:highlight w:val="none"/>
        </w:rPr>
        <w:t>。</w:t>
      </w:r>
    </w:p>
    <w:p w14:paraId="0F073CE6">
      <w:pPr>
        <w:topLinePunct/>
        <w:adjustRightInd w:val="0"/>
        <w:snapToGrid w:val="0"/>
        <w:spacing w:line="480" w:lineRule="exact"/>
        <w:ind w:firstLine="498" w:firstLineChars="200"/>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第二十七条 监理人的违约责任（二）</w:t>
      </w:r>
    </w:p>
    <w:p w14:paraId="33191939">
      <w:pPr>
        <w:topLinePunct/>
        <w:adjustRightInd w:val="0"/>
        <w:snapToGrid w:val="0"/>
        <w:spacing w:line="480" w:lineRule="exact"/>
        <w:ind w:firstLine="496" w:firstLineChars="200"/>
        <w:rPr>
          <w:rFonts w:ascii="Times New Roman" w:hAnsi="Times New Roman"/>
          <w:b/>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双方一致同意不适用本合同标准条件第二十七条的约定。对承包人违反合同约定的质量、安全、文明施工等方面的要求，监理人应按照本合同专用条件第</w:t>
      </w:r>
      <w:r>
        <w:rPr>
          <w:rFonts w:ascii="Times New Roman" w:hAnsi="Times New Roman"/>
          <w:color w:val="auto"/>
          <w:spacing w:val="4"/>
          <w:sz w:val="24"/>
          <w:szCs w:val="24"/>
          <w:highlight w:val="none"/>
        </w:rPr>
        <w:t>26.4.2-（7）、（14）</w:t>
      </w:r>
      <w:r>
        <w:rPr>
          <w:rFonts w:hint="eastAsia" w:ascii="Times New Roman" w:hAnsi="Times New Roman"/>
          <w:color w:val="auto"/>
          <w:spacing w:val="4"/>
          <w:sz w:val="24"/>
          <w:szCs w:val="24"/>
          <w:highlight w:val="none"/>
        </w:rPr>
        <w:t>款的有关约定承担违约责任，除非有充分的证据证明监理人严格履行了本合同的责任和义务且上述问题的发生仅为承包人自身原因所致。</w:t>
      </w:r>
    </w:p>
    <w:p w14:paraId="70AB0469">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第二十九条</w:t>
      </w:r>
      <w:r>
        <w:rPr>
          <w:rFonts w:hint="eastAsia" w:ascii="Times New Roman" w:hAnsi="Times New Roman"/>
          <w:color w:val="auto"/>
          <w:spacing w:val="4"/>
          <w:sz w:val="24"/>
          <w:szCs w:val="24"/>
          <w:highlight w:val="none"/>
        </w:rPr>
        <w:t>　</w:t>
      </w:r>
      <w:r>
        <w:rPr>
          <w:rFonts w:hint="eastAsia" w:ascii="Times New Roman" w:hAnsi="Times New Roman"/>
          <w:snapToGrid w:val="0"/>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bidi="ar"/>
          <w:woUserID w:val="1"/>
        </w:rPr>
        <w:t>☒</w:t>
      </w:r>
      <w:r>
        <w:rPr>
          <w:rFonts w:hint="eastAsia" w:ascii="宋体" w:hAnsi="宋体" w:eastAsia="宋体" w:cs="宋体"/>
          <w:b/>
          <w:bCs w:val="0"/>
          <w:color w:val="auto"/>
          <w:kern w:val="2"/>
          <w:sz w:val="24"/>
          <w:szCs w:val="24"/>
          <w:highlight w:val="none"/>
          <w:lang w:val="en-US" w:eastAsia="zh-CN" w:bidi="ar"/>
          <w:woUserID w:val="1"/>
        </w:rPr>
        <w:t>委托人</w:t>
      </w:r>
      <w:r>
        <w:rPr>
          <w:rFonts w:hint="eastAsia" w:ascii="宋体" w:hAnsi="宋体" w:eastAsia="宋体" w:cs="宋体"/>
          <w:color w:val="auto"/>
          <w:kern w:val="2"/>
          <w:sz w:val="24"/>
          <w:szCs w:val="24"/>
          <w:highlight w:val="none"/>
          <w:lang w:val="en-US" w:eastAsia="zh-CN" w:bidi="ar"/>
          <w:woUserID w:val="1"/>
        </w:rPr>
        <w:t>☑</w:t>
      </w:r>
      <w:r>
        <w:rPr>
          <w:rFonts w:hint="eastAsia" w:ascii="宋体" w:hAnsi="宋体"/>
          <w:b/>
          <w:bCs/>
          <w:snapToGrid w:val="0"/>
          <w:color w:val="auto"/>
          <w:spacing w:val="6"/>
          <w:sz w:val="24"/>
          <w:szCs w:val="24"/>
          <w:highlight w:val="none"/>
          <w:lang w:eastAsia="zh-CN"/>
        </w:rPr>
        <w:t>业主单位</w:t>
      </w:r>
      <w:r>
        <w:rPr>
          <w:rFonts w:hint="eastAsia" w:ascii="Times New Roman" w:hAnsi="Times New Roman"/>
          <w:b/>
          <w:snapToGrid w:val="0"/>
          <w:color w:val="auto"/>
          <w:sz w:val="24"/>
          <w:szCs w:val="24"/>
          <w:highlight w:val="none"/>
          <w:lang w:eastAsia="zh-CN"/>
        </w:rPr>
        <w:t>、委托人</w:t>
      </w:r>
      <w:r>
        <w:rPr>
          <w:rFonts w:hint="eastAsia" w:ascii="Times New Roman" w:hAnsi="Times New Roman"/>
          <w:snapToGrid w:val="0"/>
          <w:color w:val="auto"/>
          <w:spacing w:val="4"/>
          <w:kern w:val="0"/>
          <w:sz w:val="24"/>
          <w:szCs w:val="24"/>
          <w:highlight w:val="none"/>
        </w:rPr>
        <w:t>）</w:t>
      </w:r>
      <w:r>
        <w:rPr>
          <w:rFonts w:hint="eastAsia" w:ascii="Times New Roman" w:hAnsi="Times New Roman"/>
          <w:b/>
          <w:color w:val="auto"/>
          <w:spacing w:val="4"/>
          <w:sz w:val="24"/>
          <w:szCs w:val="24"/>
          <w:highlight w:val="none"/>
        </w:rPr>
        <w:t>的违约责任</w:t>
      </w:r>
    </w:p>
    <w:p w14:paraId="2F700CA1">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29.1</w:t>
      </w:r>
      <w:r>
        <w:rPr>
          <w:rFonts w:hint="eastAsia" w:ascii="Times New Roman" w:hAnsi="Times New Roman"/>
          <w:snapToGrid w:val="0"/>
          <w:color w:val="auto"/>
          <w:spacing w:val="4"/>
          <w:kern w:val="0"/>
          <w:sz w:val="24"/>
          <w:szCs w:val="24"/>
          <w:highlight w:val="none"/>
        </w:rPr>
        <w:t xml:space="preserve">  </w:t>
      </w:r>
      <w:r>
        <w:rPr>
          <w:rFonts w:hint="eastAsia" w:ascii="宋体" w:hAnsi="宋体" w:eastAsia="宋体" w:cs="宋体"/>
          <w:color w:val="auto"/>
          <w:kern w:val="2"/>
          <w:sz w:val="24"/>
          <w:szCs w:val="24"/>
          <w:highlight w:val="none"/>
          <w:lang w:val="en-US" w:eastAsia="zh-CN" w:bidi="ar"/>
          <w:woUserID w:val="1"/>
        </w:rPr>
        <w:t>☑</w:t>
      </w:r>
      <w:r>
        <w:rPr>
          <w:rFonts w:hint="eastAsia" w:ascii="宋体" w:hAnsi="宋体" w:eastAsia="宋体" w:cs="宋体"/>
          <w:b/>
          <w:bCs w:val="0"/>
          <w:color w:val="auto"/>
          <w:kern w:val="2"/>
          <w:sz w:val="24"/>
          <w:szCs w:val="24"/>
          <w:highlight w:val="none"/>
          <w:lang w:val="en-US" w:eastAsia="zh-CN" w:bidi="ar"/>
          <w:woUserID w:val="1"/>
        </w:rPr>
        <w:t>委托人、</w:t>
      </w:r>
      <w:r>
        <w:rPr>
          <w:rFonts w:hint="eastAsia" w:ascii="宋体" w:hAnsi="宋体" w:eastAsia="宋体" w:cs="宋体"/>
          <w:color w:val="auto"/>
          <w:kern w:val="2"/>
          <w:sz w:val="24"/>
          <w:szCs w:val="24"/>
          <w:highlight w:val="none"/>
          <w:lang w:val="en-US" w:eastAsia="zh-CN" w:bidi="ar"/>
          <w:woUserID w:val="1"/>
        </w:rPr>
        <w:t>☑</w:t>
      </w:r>
      <w:r>
        <w:rPr>
          <w:rFonts w:hint="eastAsia" w:ascii="宋体" w:hAnsi="宋体" w:eastAsia="宋体" w:cs="宋体"/>
          <w:b/>
          <w:color w:val="auto"/>
          <w:spacing w:val="6"/>
          <w:kern w:val="2"/>
          <w:sz w:val="24"/>
          <w:szCs w:val="24"/>
          <w:highlight w:val="none"/>
          <w:lang w:val="en-US" w:eastAsia="zh-CN" w:bidi="ar"/>
          <w:woUserID w:val="1"/>
        </w:rPr>
        <w:t>业主单位</w:t>
      </w:r>
      <w:r>
        <w:rPr>
          <w:rFonts w:hint="eastAsia" w:ascii="Times New Roman" w:hAnsi="Times New Roman"/>
          <w:snapToGrid w:val="0"/>
          <w:color w:val="auto"/>
          <w:spacing w:val="4"/>
          <w:kern w:val="0"/>
          <w:sz w:val="24"/>
          <w:szCs w:val="24"/>
          <w:highlight w:val="none"/>
        </w:rPr>
        <w:t>不按合同约定支付监理酬金的，除应支付本合同约定的监理酬金外，还应按同期银行活期存款利率给监理人计付拖欠期间的利息。</w:t>
      </w:r>
    </w:p>
    <w:p w14:paraId="3F4BD299">
      <w:pPr>
        <w:topLinePunct/>
        <w:adjustRightInd w:val="0"/>
        <w:snapToGrid w:val="0"/>
        <w:spacing w:line="360" w:lineRule="auto"/>
        <w:ind w:firstLine="498" w:firstLineChars="200"/>
        <w:outlineLvl w:val="0"/>
        <w:rPr>
          <w:rFonts w:ascii="Times New Roman" w:hAnsi="Times New Roman"/>
          <w:snapToGrid w:val="0"/>
          <w:color w:val="auto"/>
          <w:spacing w:val="4"/>
          <w:kern w:val="0"/>
          <w:sz w:val="24"/>
          <w:szCs w:val="24"/>
          <w:highlight w:val="none"/>
        </w:rPr>
      </w:pPr>
      <w:r>
        <w:rPr>
          <w:rFonts w:ascii="Times New Roman" w:hAnsi="Times New Roman"/>
          <w:b/>
          <w:snapToGrid w:val="0"/>
          <w:color w:val="auto"/>
          <w:spacing w:val="4"/>
          <w:kern w:val="0"/>
          <w:sz w:val="24"/>
          <w:szCs w:val="24"/>
          <w:highlight w:val="none"/>
        </w:rPr>
        <w:t>29.2</w:t>
      </w:r>
      <w:r>
        <w:rPr>
          <w:rFonts w:hint="eastAsia" w:ascii="Times New Roman" w:hAnsi="Times New Roman"/>
          <w:b/>
          <w:snapToGrid w:val="0"/>
          <w:color w:val="auto"/>
          <w:spacing w:val="4"/>
          <w:kern w:val="0"/>
          <w:sz w:val="24"/>
          <w:szCs w:val="24"/>
          <w:highlight w:val="none"/>
        </w:rPr>
        <w:t xml:space="preserve">  </w:t>
      </w:r>
      <w:r>
        <w:rPr>
          <w:rFonts w:hint="eastAsia" w:ascii="Times New Roman" w:hAnsi="Times New Roman"/>
          <w:snapToGrid w:val="0"/>
          <w:color w:val="auto"/>
          <w:spacing w:val="4"/>
          <w:kern w:val="0"/>
          <w:sz w:val="24"/>
          <w:szCs w:val="24"/>
          <w:highlight w:val="none"/>
        </w:rPr>
        <w:t>因委托人原因给监理人造成损失的，在监理人能够提交足够证据并经查证属实的情况下，委托人应赔偿其直接经济损失。</w:t>
      </w:r>
    </w:p>
    <w:p w14:paraId="6D870F2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第三十一条 监理工作时间的延长</w:t>
      </w:r>
    </w:p>
    <w:p w14:paraId="20E6D410">
      <w:pPr>
        <w:topLinePunct/>
        <w:adjustRightInd w:val="0"/>
        <w:snapToGrid w:val="0"/>
        <w:spacing w:line="360" w:lineRule="auto"/>
        <w:ind w:firstLine="496" w:firstLineChars="200"/>
        <w:rPr>
          <w:rFonts w:ascii="Times New Roman" w:hAnsi="Times New Roman"/>
          <w:color w:val="auto"/>
          <w:spacing w:val="4"/>
          <w:sz w:val="24"/>
          <w:szCs w:val="24"/>
          <w:highlight w:val="none"/>
        </w:rPr>
      </w:pPr>
      <w:r>
        <w:rPr>
          <w:rFonts w:hint="eastAsia" w:ascii="Times New Roman" w:hAnsi="Times New Roman"/>
          <w:color w:val="auto"/>
          <w:spacing w:val="4"/>
          <w:sz w:val="24"/>
          <w:szCs w:val="24"/>
          <w:highlight w:val="none"/>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6E4CE3C0">
      <w:pPr>
        <w:topLinePunct/>
        <w:adjustRightInd w:val="0"/>
        <w:snapToGrid w:val="0"/>
        <w:spacing w:line="360" w:lineRule="auto"/>
        <w:ind w:firstLine="498" w:firstLineChars="200"/>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第三十二条 监理人无法履约或部分履约</w:t>
      </w:r>
    </w:p>
    <w:p w14:paraId="52F3D724">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二条的约定。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4C049FB8">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第三十三条 工程保修期间的监理责任</w:t>
      </w:r>
    </w:p>
    <w:p w14:paraId="24BD462F">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三条的约定。本合同的有效期一直至本合同工程收尾期间届满且竣工结算完成并同时双方的责任、义务履行完毕时才终止。本合同工程维护期间，监理人仍须承担监理责任。</w:t>
      </w:r>
    </w:p>
    <w:p w14:paraId="5DCB1D02">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第三十四条 合同的解释及合同的修改</w:t>
      </w:r>
    </w:p>
    <w:p w14:paraId="458C9D66">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7EB2E8F7">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本合同的修改（包括服务范围的修改），只能以双方书面同意的方式进行。但由于建设项目施工过程的特殊性，委托人有调整局部服务范围的权利，即部分解除或部分增加服务范围。</w:t>
      </w:r>
    </w:p>
    <w:p w14:paraId="6C360129">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第三十五条 标准条件第三十五条不适用</w:t>
      </w:r>
    </w:p>
    <w:p w14:paraId="0E20B100">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双方一致同意不适用本合同标准条件第三十五条的约定。</w:t>
      </w:r>
    </w:p>
    <w:p w14:paraId="0B5EC3F6">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第三十六条 标准条件第三十六条不适用</w:t>
      </w:r>
    </w:p>
    <w:p w14:paraId="33A08DB8">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双方一致同意不适用本合同标准条件第三十六条的约定。</w:t>
      </w:r>
    </w:p>
    <w:p w14:paraId="57A00188">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第三十七条 监理人未履行监理义务的约定</w:t>
      </w:r>
    </w:p>
    <w:p w14:paraId="4F8D4028">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双方一致同意不适用本合同标准条件第三十七条的约定。当委托人认为监理人无正当理由而又未履行监理义务时，按本合同专用条件第二十六条的约定处理。</w:t>
      </w:r>
    </w:p>
    <w:p w14:paraId="1EF5E1C7">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第三十九条 监理酬金的计算方法、支付时间与金额的约定</w:t>
      </w:r>
    </w:p>
    <w:p w14:paraId="47E965A8">
      <w:pPr>
        <w:topLinePunct/>
        <w:adjustRightInd w:val="0"/>
        <w:snapToGrid w:val="0"/>
        <w:spacing w:line="480" w:lineRule="exact"/>
        <w:ind w:firstLine="496" w:firstLineChars="200"/>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双方一致同意不适用本合同</w:t>
      </w:r>
      <w:r>
        <w:rPr>
          <w:rFonts w:hint="eastAsia" w:ascii="Times New Roman" w:hAnsi="Times New Roman"/>
          <w:bCs/>
          <w:color w:val="auto"/>
          <w:spacing w:val="4"/>
          <w:sz w:val="24"/>
          <w:szCs w:val="24"/>
          <w:highlight w:val="none"/>
          <w:u w:val="wave"/>
        </w:rPr>
        <w:t>标准条件</w:t>
      </w:r>
      <w:r>
        <w:rPr>
          <w:rFonts w:hint="eastAsia" w:ascii="Times New Roman" w:hAnsi="Times New Roman"/>
          <w:bCs/>
          <w:color w:val="auto"/>
          <w:spacing w:val="4"/>
          <w:sz w:val="24"/>
          <w:szCs w:val="24"/>
          <w:highlight w:val="none"/>
        </w:rPr>
        <w:t>第三十九条的约定。监理酬金的计算方法、支付时间与金额按本合同协议书第三条的约定执行。</w:t>
      </w:r>
    </w:p>
    <w:p w14:paraId="37AFD5DF">
      <w:pPr>
        <w:topLinePunct/>
        <w:adjustRightInd w:val="0"/>
        <w:snapToGrid w:val="0"/>
        <w:spacing w:line="480" w:lineRule="exact"/>
        <w:ind w:firstLine="498" w:firstLineChars="200"/>
        <w:outlineLvl w:val="1"/>
        <w:rPr>
          <w:rFonts w:ascii="Times New Roman" w:hAnsi="Times New Roman"/>
          <w:b/>
          <w:bCs/>
          <w:color w:val="auto"/>
          <w:spacing w:val="4"/>
          <w:sz w:val="24"/>
          <w:szCs w:val="24"/>
          <w:highlight w:val="none"/>
        </w:rPr>
      </w:pPr>
      <w:r>
        <w:rPr>
          <w:rFonts w:hint="eastAsia" w:ascii="Times New Roman" w:hAnsi="Times New Roman"/>
          <w:b/>
          <w:bCs/>
          <w:color w:val="auto"/>
          <w:spacing w:val="4"/>
          <w:sz w:val="24"/>
          <w:szCs w:val="24"/>
          <w:highlight w:val="none"/>
        </w:rPr>
        <w:t>第四十条  滞纳金的约定</w:t>
      </w:r>
    </w:p>
    <w:p w14:paraId="6FBB5BB4">
      <w:pPr>
        <w:topLinePunct/>
        <w:adjustRightInd w:val="0"/>
        <w:snapToGrid w:val="0"/>
        <w:spacing w:line="480" w:lineRule="exact"/>
        <w:ind w:firstLine="496" w:firstLineChars="200"/>
        <w:outlineLvl w:val="1"/>
        <w:rPr>
          <w:rFonts w:ascii="Times New Roman" w:hAnsi="Times New Roman"/>
          <w:bCs/>
          <w:color w:val="auto"/>
          <w:spacing w:val="4"/>
          <w:sz w:val="24"/>
          <w:szCs w:val="24"/>
          <w:highlight w:val="none"/>
        </w:rPr>
      </w:pPr>
      <w:r>
        <w:rPr>
          <w:rFonts w:hint="eastAsia" w:ascii="Times New Roman" w:hAnsi="Times New Roman"/>
          <w:bCs/>
          <w:color w:val="auto"/>
          <w:spacing w:val="4"/>
          <w:sz w:val="24"/>
          <w:szCs w:val="24"/>
          <w:highlight w:val="none"/>
        </w:rPr>
        <w:t>双方一致同意不适用本合同标准条件第四十条的约定。当委托人未在约定的支付期限内支付监理酬金时，按本合同专用条件第二十九条的约定处理。</w:t>
      </w:r>
    </w:p>
    <w:p w14:paraId="181ABE32">
      <w:pPr>
        <w:topLinePunct/>
        <w:adjustRightInd w:val="0"/>
        <w:snapToGrid w:val="0"/>
        <w:spacing w:line="480" w:lineRule="exact"/>
        <w:ind w:firstLine="498" w:firstLineChars="200"/>
        <w:outlineLvl w:val="1"/>
        <w:rPr>
          <w:rFonts w:ascii="Times New Roman" w:hAnsi="Times New Roman"/>
          <w:b/>
          <w:color w:val="auto"/>
          <w:spacing w:val="4"/>
          <w:kern w:val="0"/>
          <w:sz w:val="24"/>
          <w:szCs w:val="24"/>
          <w:highlight w:val="none"/>
        </w:rPr>
      </w:pPr>
      <w:r>
        <w:rPr>
          <w:rFonts w:hint="eastAsia" w:ascii="Times New Roman" w:hAnsi="Times New Roman"/>
          <w:b/>
          <w:bCs/>
          <w:color w:val="auto"/>
          <w:spacing w:val="4"/>
          <w:sz w:val="24"/>
          <w:szCs w:val="24"/>
          <w:highlight w:val="none"/>
        </w:rPr>
        <w:t>第四十一条 合同款项支付的币种</w:t>
      </w:r>
    </w:p>
    <w:p w14:paraId="26C44A62">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委托人与监理人双方同意用人民币支付本合同涉及的相关款项。</w:t>
      </w:r>
    </w:p>
    <w:p w14:paraId="13C6C7BC">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color w:val="auto"/>
          <w:spacing w:val="4"/>
          <w:sz w:val="24"/>
          <w:szCs w:val="24"/>
          <w:highlight w:val="none"/>
        </w:rPr>
        <w:t>第四十二条 付款相关票据</w:t>
      </w:r>
    </w:p>
    <w:p w14:paraId="19A66641">
      <w:pPr>
        <w:topLinePunct/>
        <w:adjustRightInd w:val="0"/>
        <w:snapToGrid w:val="0"/>
        <w:spacing w:line="480" w:lineRule="exact"/>
        <w:ind w:firstLine="496" w:firstLineChars="200"/>
        <w:rPr>
          <w:rFonts w:ascii="Times New Roman" w:hAnsi="Times New Roman"/>
          <w:bCs/>
          <w:color w:val="auto"/>
          <w:spacing w:val="4"/>
          <w:kern w:val="0"/>
          <w:sz w:val="24"/>
          <w:szCs w:val="24"/>
          <w:highlight w:val="none"/>
        </w:rPr>
      </w:pPr>
      <w:r>
        <w:rPr>
          <w:rFonts w:hint="eastAsia" w:ascii="Times New Roman" w:hAnsi="Times New Roman"/>
          <w:bCs/>
          <w:color w:val="auto"/>
          <w:spacing w:val="4"/>
          <w:kern w:val="0"/>
          <w:sz w:val="24"/>
          <w:szCs w:val="24"/>
          <w:highlight w:val="none"/>
        </w:rPr>
        <w:t>双方一致同意不适用本合同标准条件第四十二条的约定</w:t>
      </w:r>
      <w:r>
        <w:rPr>
          <w:rFonts w:hint="eastAsia" w:ascii="Times New Roman" w:hAnsi="Times New Roman"/>
          <w:color w:val="auto"/>
          <w:spacing w:val="4"/>
          <w:kern w:val="0"/>
          <w:sz w:val="24"/>
          <w:szCs w:val="24"/>
          <w:highlight w:val="none"/>
        </w:rPr>
        <w:t>。涉及本合同价款支付、发票开具等事项，</w:t>
      </w:r>
      <w:r>
        <w:rPr>
          <w:rFonts w:hint="eastAsia" w:ascii="Times New Roman" w:hAnsi="Times New Roman"/>
          <w:bCs/>
          <w:color w:val="auto"/>
          <w:spacing w:val="4"/>
          <w:sz w:val="24"/>
          <w:szCs w:val="24"/>
          <w:highlight w:val="none"/>
        </w:rPr>
        <w:t>按本合同协议书第3.2.2款的约定处理。</w:t>
      </w:r>
    </w:p>
    <w:p w14:paraId="09911E07">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第四十三条 监理人员外出考察、监造等的费用</w:t>
      </w:r>
    </w:p>
    <w:p w14:paraId="45FFC55B">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双方一致同意不适用本合同标准条件第四十三条的约定。委托的建设工程监理所必要的监理人员出外考察、材料设备复试、设备监造，其费用支出由监理人负责解决。</w:t>
      </w:r>
    </w:p>
    <w:p w14:paraId="120E77F7">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第四十四条 监理范围、监理内容调整的约定</w:t>
      </w:r>
    </w:p>
    <w:p w14:paraId="21CFE0CF">
      <w:pPr>
        <w:topLinePunct/>
        <w:adjustRightInd w:val="0"/>
        <w:snapToGrid w:val="0"/>
        <w:spacing w:line="480" w:lineRule="exact"/>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为了使建设项目施工监理工作更合理、有序地进行，委托人有权</w:t>
      </w:r>
      <w:r>
        <w:rPr>
          <w:rFonts w:hint="eastAsia" w:ascii="Times New Roman" w:hAnsi="Times New Roman"/>
          <w:bCs/>
          <w:color w:val="auto"/>
          <w:spacing w:val="4"/>
          <w:sz w:val="24"/>
          <w:szCs w:val="24"/>
          <w:highlight w:val="none"/>
        </w:rPr>
        <w:t>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w:t>
      </w:r>
      <w:r>
        <w:rPr>
          <w:rFonts w:hint="eastAsia" w:ascii="Times New Roman" w:hAnsi="Times New Roman"/>
          <w:color w:val="auto"/>
          <w:spacing w:val="4"/>
          <w:sz w:val="24"/>
          <w:szCs w:val="24"/>
          <w:highlight w:val="none"/>
        </w:rPr>
        <w:t>监理人必须不折不扣地按照《建设工程监理规范》（</w:t>
      </w:r>
      <w:r>
        <w:rPr>
          <w:rFonts w:ascii="Times New Roman" w:hAnsi="Times New Roman"/>
          <w:color w:val="auto"/>
          <w:spacing w:val="4"/>
          <w:sz w:val="24"/>
          <w:szCs w:val="24"/>
          <w:highlight w:val="none"/>
        </w:rPr>
        <w:t>GB/T 50319-2013</w:t>
      </w:r>
      <w:r>
        <w:rPr>
          <w:rFonts w:hint="eastAsia" w:ascii="Times New Roman" w:hAnsi="Times New Roman"/>
          <w:color w:val="auto"/>
          <w:spacing w:val="4"/>
          <w:sz w:val="24"/>
          <w:szCs w:val="24"/>
          <w:highlight w:val="none"/>
        </w:rPr>
        <w:t>）的规定</w:t>
      </w:r>
      <w:r>
        <w:rPr>
          <w:rFonts w:hint="eastAsia" w:ascii="Times New Roman" w:hAnsi="Times New Roman"/>
          <w:bCs/>
          <w:color w:val="auto"/>
          <w:spacing w:val="4"/>
          <w:sz w:val="24"/>
          <w:szCs w:val="24"/>
          <w:highlight w:val="none"/>
        </w:rPr>
        <w:t>对本合同工程实施全过程监理，不因委托人另行委托了</w:t>
      </w:r>
      <w:r>
        <w:rPr>
          <w:rFonts w:hint="eastAsia" w:ascii="Times New Roman" w:hAnsi="Times New Roman"/>
          <w:color w:val="auto"/>
          <w:spacing w:val="4"/>
          <w:sz w:val="24"/>
          <w:szCs w:val="24"/>
          <w:highlight w:val="none"/>
        </w:rPr>
        <w:t>技术督导等技术管理服务单位而减轻或免除监理人的任何责任及义务，并由其负责技术督导等技术管理服务单位的协调管理工作。</w:t>
      </w:r>
    </w:p>
    <w:p w14:paraId="4772F8A5">
      <w:pPr>
        <w:topLinePunct/>
        <w:adjustRightInd w:val="0"/>
        <w:snapToGrid w:val="0"/>
        <w:spacing w:line="480" w:lineRule="exact"/>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smallCaps/>
          <w:color w:val="auto"/>
          <w:spacing w:val="4"/>
          <w:sz w:val="24"/>
          <w:szCs w:val="24"/>
          <w:highlight w:val="none"/>
        </w:rPr>
        <w:t>第四十九条 争议的解决方式</w:t>
      </w:r>
    </w:p>
    <w:p w14:paraId="26F39303">
      <w:pPr>
        <w:topLinePunct/>
        <w:adjustRightInd w:val="0"/>
        <w:snapToGrid w:val="0"/>
        <w:spacing w:line="480" w:lineRule="exact"/>
        <w:ind w:firstLine="496" w:firstLineChars="200"/>
        <w:rPr>
          <w:rFonts w:ascii="Times New Roman" w:hAnsi="Times New Roman"/>
          <w:bCs/>
          <w:smallCaps/>
          <w:color w:val="auto"/>
          <w:spacing w:val="4"/>
          <w:kern w:val="0"/>
          <w:sz w:val="24"/>
          <w:szCs w:val="24"/>
          <w:highlight w:val="none"/>
        </w:rPr>
      </w:pPr>
      <w:r>
        <w:rPr>
          <w:rFonts w:hint="eastAsia" w:ascii="Times New Roman" w:hAnsi="Times New Roman"/>
          <w:bCs/>
          <w:smallCaps/>
          <w:color w:val="auto"/>
          <w:spacing w:val="4"/>
          <w:sz w:val="24"/>
          <w:szCs w:val="24"/>
          <w:highlight w:val="none"/>
        </w:rPr>
        <w:t>因履行本合同发生或与本合同有关的争议，双方当事人应友好协商解决。如在一周内未能解决，委托人可先行单方面作出处理决定，任何一方均可向委托人住所地人民法院提起诉讼，但诉讼不影响委托人同其他监理单位另行签订监理合同。</w:t>
      </w:r>
    </w:p>
    <w:p w14:paraId="7CE2C0DE">
      <w:pPr>
        <w:pStyle w:val="15"/>
        <w:spacing w:beforeLines="0" w:afterLines="0" w:line="480" w:lineRule="exact"/>
        <w:outlineLvl w:val="0"/>
        <w:rPr>
          <w:rFonts w:eastAsia="宋体"/>
          <w:color w:val="auto"/>
          <w:highlight w:val="none"/>
        </w:rPr>
      </w:pPr>
      <w:r>
        <w:rPr>
          <w:rFonts w:eastAsia="宋体"/>
          <w:color w:val="auto"/>
          <w:sz w:val="44"/>
          <w:szCs w:val="44"/>
          <w:highlight w:val="none"/>
        </w:rPr>
        <w:br w:type="page"/>
      </w:r>
      <w:r>
        <w:rPr>
          <w:rFonts w:hint="eastAsia" w:eastAsia="宋体"/>
          <w:color w:val="auto"/>
          <w:highlight w:val="none"/>
        </w:rPr>
        <w:t>第三篇  标准条件</w:t>
      </w:r>
    </w:p>
    <w:p w14:paraId="073EA10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450665B6">
      <w:pPr>
        <w:topLinePunct/>
        <w:adjustRightInd w:val="0"/>
        <w:snapToGrid w:val="0"/>
        <w:spacing w:line="360" w:lineRule="auto"/>
        <w:ind w:firstLine="578" w:firstLineChars="200"/>
        <w:rPr>
          <w:rFonts w:ascii="Times New Roman" w:hAnsi="Times New Roman"/>
          <w:color w:val="auto"/>
          <w:spacing w:val="4"/>
          <w:kern w:val="0"/>
          <w:sz w:val="28"/>
          <w:szCs w:val="28"/>
          <w:highlight w:val="none"/>
        </w:rPr>
      </w:pPr>
      <w:r>
        <w:rPr>
          <w:rFonts w:hint="eastAsia" w:ascii="Times New Roman" w:hAnsi="Times New Roman"/>
          <w:b/>
          <w:bCs/>
          <w:color w:val="auto"/>
          <w:spacing w:val="4"/>
          <w:sz w:val="28"/>
          <w:szCs w:val="28"/>
          <w:highlight w:val="none"/>
        </w:rPr>
        <w:t>词语定义、适用范围和法规</w:t>
      </w:r>
    </w:p>
    <w:p w14:paraId="1FCB6A73">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第一条</w:t>
      </w:r>
      <w:r>
        <w:rPr>
          <w:rFonts w:hint="eastAsia" w:ascii="Times New Roman" w:hAnsi="Times New Roman"/>
          <w:color w:val="auto"/>
          <w:spacing w:val="4"/>
          <w:sz w:val="24"/>
          <w:szCs w:val="24"/>
          <w:highlight w:val="none"/>
        </w:rPr>
        <w:t>　下列名词和用语，除上下文另有规定外，有如下含义：</w:t>
      </w:r>
    </w:p>
    <w:p w14:paraId="43BA8F0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）“工程”是指委托人委托实施监理的工程。</w:t>
      </w:r>
    </w:p>
    <w:p w14:paraId="4CAF028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）“委托人”是指承担直接投资责任和委托监理业务的一方以及其合法继承人。</w:t>
      </w:r>
    </w:p>
    <w:p w14:paraId="74A4541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）“监理人”是指承担监理业务和监理责任的一方以及其合法继承人。</w:t>
      </w:r>
    </w:p>
    <w:p w14:paraId="6848D29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）“项目监理机构”是指监理人派驻本合同工程现场实施监理业务的组织。</w:t>
      </w:r>
    </w:p>
    <w:p w14:paraId="07BC039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）“总监理工程师”是指经委托人同意，监理人派到项目监理机构全面履行本合同的全权负责人。</w:t>
      </w:r>
    </w:p>
    <w:p w14:paraId="359DE9C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）“承包人”是指除监理人以外，与委托人就工程建设有关事宜签订合同的当事人。</w:t>
      </w:r>
    </w:p>
    <w:p w14:paraId="2E789BF5">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）“工程监理的正常工作”是指双方在专用条件中约定，委托人委托的监理工作范围和内容。</w:t>
      </w:r>
    </w:p>
    <w:p w14:paraId="7059D1D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）“工程监理的附加工作”是指：</w:t>
      </w:r>
    </w:p>
    <w:p w14:paraId="512356C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）委托人委托监理范围以外，通过双方书面协议另外增加的工作内容；</w:t>
      </w:r>
    </w:p>
    <w:p w14:paraId="4F3907E7">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）由于委托人或承包人原因，使监理工作受到阻碍或延误，因增加工作量或持续时间而增加的工作。</w:t>
      </w:r>
    </w:p>
    <w:p w14:paraId="50BE01E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）“工程监理的额外工作”是指正常工作和附加工作以外，根据第三十八条规定监理人必须完成的工作，或非监理人自己的原因而暂停或终止监理业务，其善后工作及恢复监理业务的工作。</w:t>
      </w:r>
    </w:p>
    <w:p w14:paraId="6AD474C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）“日”是指任何一日零时至第二日零时的时间段。</w:t>
      </w:r>
    </w:p>
    <w:p w14:paraId="07BEA50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11</w:t>
      </w:r>
      <w:r>
        <w:rPr>
          <w:rFonts w:hint="eastAsia" w:ascii="Times New Roman" w:hAnsi="Times New Roman"/>
          <w:color w:val="auto"/>
          <w:spacing w:val="4"/>
          <w:sz w:val="24"/>
          <w:szCs w:val="24"/>
          <w:highlight w:val="none"/>
        </w:rPr>
        <w:t>）“月”是指根据公历从一个月份中任何一日开始到下一个月相应日期的前一日的时间段。</w:t>
      </w:r>
    </w:p>
    <w:p w14:paraId="2BC8EED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第二条</w:t>
      </w:r>
      <w:r>
        <w:rPr>
          <w:rFonts w:hint="eastAsia" w:ascii="Times New Roman" w:hAnsi="Times New Roman"/>
          <w:color w:val="auto"/>
          <w:spacing w:val="4"/>
          <w:sz w:val="24"/>
          <w:szCs w:val="24"/>
          <w:highlight w:val="none"/>
        </w:rPr>
        <w:t>　建设工程施工监理合同适用的法律是指国家的法律、行政法规，以及专用条件中议定的部门规章或工程所在地的地方法规、地方规章。</w:t>
      </w:r>
    </w:p>
    <w:p w14:paraId="091ADD5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第三条</w:t>
      </w:r>
      <w:r>
        <w:rPr>
          <w:rFonts w:hint="eastAsia" w:ascii="Times New Roman" w:hAnsi="Times New Roman"/>
          <w:color w:val="auto"/>
          <w:spacing w:val="4"/>
          <w:sz w:val="24"/>
          <w:szCs w:val="24"/>
          <w:highlight w:val="none"/>
        </w:rPr>
        <w:t>　本合同文件使用汉语语言文字书写、解释和说明。如专用条件约定使用两种以上（含两种）语言文字时，汉语应为解释和说明本合同的标准语言文字。</w:t>
      </w:r>
    </w:p>
    <w:p w14:paraId="1E1484D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4ECE377C">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监理人义务</w:t>
      </w:r>
    </w:p>
    <w:p w14:paraId="0202335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第四条</w:t>
      </w:r>
      <w:r>
        <w:rPr>
          <w:rFonts w:hint="eastAsia" w:ascii="Times New Roman" w:hAnsi="Times New Roman"/>
          <w:color w:val="auto"/>
          <w:spacing w:val="4"/>
          <w:sz w:val="24"/>
          <w:szCs w:val="24"/>
          <w:highlight w:val="none"/>
        </w:rPr>
        <w:t>　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p>
    <w:p w14:paraId="75A32A53">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第五条</w:t>
      </w:r>
      <w:r>
        <w:rPr>
          <w:rFonts w:hint="eastAsia" w:ascii="Times New Roman" w:hAnsi="Times New Roman"/>
          <w:color w:val="auto"/>
          <w:spacing w:val="4"/>
          <w:sz w:val="24"/>
          <w:szCs w:val="24"/>
          <w:highlight w:val="none"/>
        </w:rPr>
        <w:t>　监理人在履行本合同的义务期间，应认真、勤奋地工作，为委托人提供与其水平相适应的咨询意见，公正维护各方面的合法权益。</w:t>
      </w:r>
    </w:p>
    <w:p w14:paraId="4DF1B4F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第六条</w:t>
      </w:r>
      <w:r>
        <w:rPr>
          <w:rFonts w:hint="eastAsia" w:ascii="Times New Roman" w:hAnsi="Times New Roman"/>
          <w:color w:val="auto"/>
          <w:spacing w:val="4"/>
          <w:sz w:val="24"/>
          <w:szCs w:val="24"/>
          <w:highlight w:val="none"/>
        </w:rPr>
        <w:t>　监理人使用委托人提供的设施和物品属委托人的财产。在监理工作完成或中止时，应将其设施和剩余的物品按合同约定或委托人要求的时间和方式移交给委托人。</w:t>
      </w:r>
    </w:p>
    <w:p w14:paraId="2393B18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第七条</w:t>
      </w:r>
      <w:r>
        <w:rPr>
          <w:rFonts w:hint="eastAsia" w:ascii="Times New Roman" w:hAnsi="Times New Roman"/>
          <w:color w:val="auto"/>
          <w:spacing w:val="4"/>
          <w:sz w:val="24"/>
          <w:szCs w:val="24"/>
          <w:highlight w:val="none"/>
        </w:rPr>
        <w:t>　在合同期内或合同终止后，未征得有关方同意，不得泄露与本合同工程、本合同业务有关的保密资料。</w:t>
      </w:r>
    </w:p>
    <w:p w14:paraId="274FF4FE">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4AB7C22D">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rPr>
          <w:rFonts w:ascii="Times New Roman" w:hAnsi="Times New Roman"/>
          <w:b/>
          <w:bCs/>
          <w:color w:val="auto"/>
          <w:spacing w:val="4"/>
          <w:kern w:val="0"/>
          <w:sz w:val="24"/>
          <w:szCs w:val="24"/>
          <w:highlight w:val="none"/>
        </w:rPr>
      </w:pPr>
      <w:r>
        <w:rPr>
          <w:rFonts w:hint="eastAsia" w:ascii="Times New Roman" w:hAnsi="Times New Roman"/>
          <w:b/>
          <w:bCs/>
          <w:color w:val="auto"/>
          <w:spacing w:val="4"/>
          <w:sz w:val="24"/>
          <w:szCs w:val="24"/>
          <w:highlight w:val="none"/>
        </w:rPr>
        <w:t>（</w:t>
      </w:r>
      <w:r>
        <w:rPr>
          <w:rFonts w:hint="eastAsia" w:ascii="宋体" w:hAnsi="宋体" w:eastAsia="宋体" w:cs="宋体"/>
          <w:color w:val="auto"/>
          <w:spacing w:val="4"/>
          <w:kern w:val="0"/>
          <w:sz w:val="24"/>
          <w:szCs w:val="24"/>
          <w:highlight w:val="none"/>
          <w:lang w:val="en-US" w:eastAsia="zh-CN" w:bidi="ar"/>
          <w:woUserID w:val="1"/>
        </w:rPr>
        <w:t>☒</w:t>
      </w:r>
      <w:r>
        <w:rPr>
          <w:rFonts w:hint="eastAsia" w:ascii="宋体" w:hAnsi="宋体" w:eastAsia="宋体" w:cs="宋体"/>
          <w:b/>
          <w:color w:val="auto"/>
          <w:spacing w:val="4"/>
          <w:kern w:val="2"/>
          <w:sz w:val="24"/>
          <w:szCs w:val="24"/>
          <w:highlight w:val="none"/>
          <w:lang w:val="en-US" w:eastAsia="zh-CN" w:bidi="ar"/>
          <w:woUserID w:val="1"/>
        </w:rPr>
        <w:t>委托人</w:t>
      </w:r>
      <w:r>
        <w:rPr>
          <w:rFonts w:hint="eastAsia" w:ascii="宋体" w:hAnsi="宋体" w:eastAsia="宋体" w:cs="宋体"/>
          <w:color w:val="auto"/>
          <w:spacing w:val="4"/>
          <w:kern w:val="0"/>
          <w:sz w:val="24"/>
          <w:szCs w:val="24"/>
          <w:highlight w:val="none"/>
          <w:lang w:val="en-US" w:eastAsia="zh-CN" w:bidi="ar"/>
          <w:woUserID w:val="1"/>
        </w:rPr>
        <w:t>☑</w:t>
      </w:r>
      <w:r>
        <w:rPr>
          <w:rFonts w:hint="eastAsia" w:ascii="Times New Roman" w:hAnsi="Times New Roman"/>
          <w:b/>
          <w:bCs/>
          <w:color w:val="auto"/>
          <w:spacing w:val="4"/>
          <w:sz w:val="24"/>
          <w:szCs w:val="24"/>
          <w:highlight w:val="none"/>
        </w:rPr>
        <w:t>业主单位</w:t>
      </w:r>
      <w:r>
        <w:rPr>
          <w:rFonts w:hint="eastAsia" w:ascii="Times New Roman" w:hAnsi="Times New Roman"/>
          <w:bCs/>
          <w:color w:val="auto"/>
          <w:spacing w:val="4"/>
          <w:sz w:val="24"/>
          <w:szCs w:val="24"/>
          <w:highlight w:val="none"/>
        </w:rPr>
        <w:t>）</w:t>
      </w:r>
      <w:r>
        <w:rPr>
          <w:rFonts w:hint="eastAsia" w:ascii="Times New Roman" w:hAnsi="Times New Roman"/>
          <w:b/>
          <w:bCs/>
          <w:color w:val="auto"/>
          <w:spacing w:val="4"/>
          <w:sz w:val="24"/>
          <w:szCs w:val="24"/>
          <w:highlight w:val="none"/>
        </w:rPr>
        <w:t>义务</w:t>
      </w:r>
    </w:p>
    <w:p w14:paraId="21C47A91">
      <w:pPr>
        <w:keepNext w:val="0"/>
        <w:keepLines w:val="0"/>
        <w:widowControl w:val="0"/>
        <w:suppressLineNumbers w:val="0"/>
        <w:topLinePunct/>
        <w:adjustRightInd w:val="0"/>
        <w:snapToGrid w:val="0"/>
        <w:spacing w:before="0" w:beforeAutospacing="0" w:after="0" w:afterAutospacing="0" w:line="360" w:lineRule="auto"/>
        <w:ind w:left="0" w:right="0" w:firstLine="498" w:firstLineChars="200"/>
        <w:jc w:val="both"/>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第八条</w:t>
      </w:r>
      <w:r>
        <w:rPr>
          <w:rFonts w:hint="eastAsia" w:ascii="Times New Roman" w:hAnsi="Times New Roman"/>
          <w:color w:val="auto"/>
          <w:spacing w:val="4"/>
          <w:sz w:val="24"/>
          <w:szCs w:val="24"/>
          <w:highlight w:val="none"/>
        </w:rPr>
        <w:t>　</w:t>
      </w:r>
      <w:r>
        <w:rPr>
          <w:rFonts w:hint="eastAsia" w:ascii="宋体" w:hAnsi="宋体" w:eastAsia="宋体" w:cs="宋体"/>
          <w:color w:val="auto"/>
          <w:spacing w:val="4"/>
          <w:kern w:val="0"/>
          <w:sz w:val="24"/>
          <w:szCs w:val="24"/>
          <w:highlight w:val="none"/>
          <w:lang w:val="en-US" w:eastAsia="zh-CN" w:bidi="ar"/>
          <w:woUserID w:val="1"/>
        </w:rPr>
        <w:t>☒</w:t>
      </w:r>
      <w:r>
        <w:rPr>
          <w:rFonts w:hint="eastAsia" w:ascii="宋体" w:hAnsi="宋体" w:eastAsia="宋体" w:cs="宋体"/>
          <w:color w:val="auto"/>
          <w:spacing w:val="4"/>
          <w:kern w:val="2"/>
          <w:sz w:val="24"/>
          <w:szCs w:val="24"/>
          <w:highlight w:val="none"/>
          <w:lang w:val="en-US" w:eastAsia="zh-CN" w:bidi="ar"/>
          <w:woUserID w:val="1"/>
        </w:rPr>
        <w:t>委托人</w:t>
      </w:r>
      <w:r>
        <w:rPr>
          <w:rFonts w:hint="eastAsia" w:ascii="宋体" w:hAnsi="宋体" w:eastAsia="宋体" w:cs="宋体"/>
          <w:color w:val="auto"/>
          <w:spacing w:val="4"/>
          <w:kern w:val="0"/>
          <w:sz w:val="24"/>
          <w:szCs w:val="24"/>
          <w:highlight w:val="none"/>
          <w:lang w:val="en-US" w:eastAsia="zh-CN" w:bidi="ar"/>
          <w:woUserID w:val="1"/>
        </w:rPr>
        <w:t>☑</w:t>
      </w:r>
      <w:r>
        <w:rPr>
          <w:rFonts w:hint="eastAsia" w:ascii="Times New Roman" w:hAnsi="Times New Roman"/>
          <w:snapToGrid w:val="0"/>
          <w:color w:val="auto"/>
          <w:spacing w:val="4"/>
          <w:kern w:val="0"/>
          <w:sz w:val="24"/>
          <w:szCs w:val="24"/>
          <w:highlight w:val="none"/>
        </w:rPr>
        <w:t>业主单位</w:t>
      </w:r>
      <w:r>
        <w:rPr>
          <w:rFonts w:hint="eastAsia" w:ascii="Times New Roman" w:hAnsi="Times New Roman"/>
          <w:color w:val="auto"/>
          <w:spacing w:val="4"/>
          <w:sz w:val="24"/>
          <w:szCs w:val="24"/>
          <w:highlight w:val="none"/>
        </w:rPr>
        <w:t>在监理人开展监理业务之前应向监理人支付预付款。</w:t>
      </w:r>
    </w:p>
    <w:p w14:paraId="54325A8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第九条</w:t>
      </w:r>
      <w:r>
        <w:rPr>
          <w:rFonts w:hint="eastAsia" w:ascii="Times New Roman" w:hAnsi="Times New Roman"/>
          <w:color w:val="auto"/>
          <w:spacing w:val="4"/>
          <w:sz w:val="24"/>
          <w:szCs w:val="24"/>
          <w:highlight w:val="none"/>
        </w:rPr>
        <w:t>　委托人应当负责工程建设的所有外部关系的协调，为监理工作提供外部条件。根据需要，如将部分或全部协调工作委托监理人承担，则应在专用条件中明确委托的工作和相应的酬金。</w:t>
      </w:r>
    </w:p>
    <w:p w14:paraId="0297B57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第十条</w:t>
      </w:r>
      <w:r>
        <w:rPr>
          <w:rFonts w:hint="eastAsia" w:ascii="Times New Roman" w:hAnsi="Times New Roman"/>
          <w:color w:val="auto"/>
          <w:spacing w:val="4"/>
          <w:sz w:val="24"/>
          <w:szCs w:val="24"/>
          <w:highlight w:val="none"/>
        </w:rPr>
        <w:t>　委托人应当在双方约定的时间内免费向监理人提供与工程有关的为监理工作所需要的工程资料。</w:t>
      </w:r>
    </w:p>
    <w:p w14:paraId="2620DC58">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第十一条</w:t>
      </w:r>
      <w:r>
        <w:rPr>
          <w:rFonts w:hint="eastAsia" w:ascii="Times New Roman" w:hAnsi="Times New Roman"/>
          <w:color w:val="auto"/>
          <w:spacing w:val="4"/>
          <w:sz w:val="24"/>
          <w:szCs w:val="24"/>
          <w:highlight w:val="none"/>
        </w:rPr>
        <w:t>　委托人应当在专用条件约定的时间内就监理人书面提交并要求做出决定的一切事宜作出书面决定。</w:t>
      </w:r>
    </w:p>
    <w:p w14:paraId="7B11AFB5">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第十二条</w:t>
      </w:r>
      <w:r>
        <w:rPr>
          <w:rFonts w:hint="eastAsia" w:ascii="Times New Roman" w:hAnsi="Times New Roman"/>
          <w:color w:val="auto"/>
          <w:spacing w:val="4"/>
          <w:sz w:val="24"/>
          <w:szCs w:val="24"/>
          <w:highlight w:val="none"/>
        </w:rPr>
        <w:t>　委托人应当授权一名熟悉工程情况、能在规定时间内做出决定的常驻代表（在专用条件中约定），负责与监理人联系。更换常驻代表，要提前通知监理人。</w:t>
      </w:r>
    </w:p>
    <w:p w14:paraId="2749E8A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第十三条</w:t>
      </w:r>
      <w:r>
        <w:rPr>
          <w:rFonts w:hint="eastAsia" w:ascii="Times New Roman" w:hAnsi="Times New Roman"/>
          <w:color w:val="auto"/>
          <w:spacing w:val="4"/>
          <w:sz w:val="24"/>
          <w:szCs w:val="24"/>
          <w:highlight w:val="none"/>
        </w:rPr>
        <w:t>　委托人应当将授予监理人的监理权利，以及监理人主要成员的职能分工、监理权限及时书面通知已选定的承包合同的承包人，并在与第三人签订的合同中予以明确。</w:t>
      </w:r>
    </w:p>
    <w:p w14:paraId="79CD2961">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第十四条</w:t>
      </w:r>
      <w:r>
        <w:rPr>
          <w:rFonts w:hint="eastAsia" w:ascii="Times New Roman" w:hAnsi="Times New Roman"/>
          <w:color w:val="auto"/>
          <w:spacing w:val="4"/>
          <w:sz w:val="24"/>
          <w:szCs w:val="24"/>
          <w:highlight w:val="none"/>
        </w:rPr>
        <w:t>　委托人应在不影响监理人开展监理工作的时间内提供如下资料：</w:t>
      </w:r>
    </w:p>
    <w:p w14:paraId="17D4E6E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）与本合同工程合作的原材料、构配件、设备等生产厂家名录。</w:t>
      </w:r>
    </w:p>
    <w:p w14:paraId="7AA1FBE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）提供与本合同工程有关的协作单位、配合单位的名录。</w:t>
      </w:r>
    </w:p>
    <w:p w14:paraId="114DC20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第十五条</w:t>
      </w:r>
      <w:r>
        <w:rPr>
          <w:rFonts w:hint="eastAsia" w:ascii="Times New Roman" w:hAnsi="Times New Roman"/>
          <w:color w:val="auto"/>
          <w:spacing w:val="4"/>
          <w:sz w:val="24"/>
          <w:szCs w:val="24"/>
          <w:highlight w:val="none"/>
        </w:rPr>
        <w:t>　委托人免费向监理人提供办公用房、通讯设施、监理人员工地住房及合同专用条件约定的设施，对监理人自备的设施给予合理的经济补偿（补偿金额</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设施在工程使用时间占折旧年限的比例×设施原值</w:t>
      </w:r>
      <w:r>
        <w:rPr>
          <w:rFonts w:ascii="Times New Roman" w:hAnsi="Times New Roman"/>
          <w:color w:val="auto"/>
          <w:spacing w:val="4"/>
          <w:sz w:val="24"/>
          <w:szCs w:val="24"/>
          <w:highlight w:val="none"/>
        </w:rPr>
        <w:t>+</w:t>
      </w:r>
      <w:r>
        <w:rPr>
          <w:rFonts w:hint="eastAsia" w:ascii="Times New Roman" w:hAnsi="Times New Roman"/>
          <w:color w:val="auto"/>
          <w:spacing w:val="4"/>
          <w:sz w:val="24"/>
          <w:szCs w:val="24"/>
          <w:highlight w:val="none"/>
        </w:rPr>
        <w:t>管理费）。</w:t>
      </w:r>
    </w:p>
    <w:p w14:paraId="43CEA86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第十六条</w:t>
      </w:r>
      <w:r>
        <w:rPr>
          <w:rFonts w:hint="eastAsia" w:ascii="Times New Roman" w:hAnsi="Times New Roman"/>
          <w:color w:val="auto"/>
          <w:spacing w:val="4"/>
          <w:sz w:val="24"/>
          <w:szCs w:val="24"/>
          <w:highlight w:val="none"/>
        </w:rPr>
        <w:t>　根据情况需要，如果双方约定，由委托人免费向监理人提供其他人员，应在监理合同专用条件中予以明确。</w:t>
      </w:r>
    </w:p>
    <w:p w14:paraId="0C867A5B">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3405C29E">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监理人权利</w:t>
      </w:r>
    </w:p>
    <w:p w14:paraId="2AA8E40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第十七条</w:t>
      </w:r>
      <w:r>
        <w:rPr>
          <w:rFonts w:hint="eastAsia" w:ascii="Times New Roman" w:hAnsi="Times New Roman"/>
          <w:color w:val="auto"/>
          <w:spacing w:val="4"/>
          <w:sz w:val="24"/>
          <w:szCs w:val="24"/>
          <w:highlight w:val="none"/>
        </w:rPr>
        <w:t>　监理人在委托人委托的工程范围内，享有以下权利：</w:t>
      </w:r>
    </w:p>
    <w:p w14:paraId="1AC680F1">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）选择工程总承包人的建议权。</w:t>
      </w:r>
    </w:p>
    <w:p w14:paraId="0BA71348">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2</w:t>
      </w:r>
      <w:r>
        <w:rPr>
          <w:rFonts w:hint="eastAsia" w:ascii="Times New Roman" w:hAnsi="Times New Roman"/>
          <w:color w:val="auto"/>
          <w:spacing w:val="4"/>
          <w:sz w:val="24"/>
          <w:szCs w:val="24"/>
          <w:highlight w:val="none"/>
        </w:rPr>
        <w:t>）选择工程分包人的认可权。</w:t>
      </w:r>
    </w:p>
    <w:p w14:paraId="10470595">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3</w:t>
      </w:r>
      <w:r>
        <w:rPr>
          <w:rFonts w:hint="eastAsia" w:ascii="Times New Roman" w:hAnsi="Times New Roman"/>
          <w:color w:val="auto"/>
          <w:spacing w:val="4"/>
          <w:sz w:val="24"/>
          <w:szCs w:val="24"/>
          <w:highlight w:val="none"/>
        </w:rPr>
        <w:t>）对工程建设有关事项包括工程规模、设计标准、规划设计、生产工艺设计和使用功能要求，向委托人的建议权。</w:t>
      </w:r>
    </w:p>
    <w:p w14:paraId="740CC83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4</w:t>
      </w:r>
      <w:r>
        <w:rPr>
          <w:rFonts w:hint="eastAsia" w:ascii="Times New Roman" w:hAnsi="Times New Roman"/>
          <w:color w:val="auto"/>
          <w:spacing w:val="4"/>
          <w:sz w:val="24"/>
          <w:szCs w:val="24"/>
          <w:highlight w:val="none"/>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7D9938E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5</w:t>
      </w:r>
      <w:r>
        <w:rPr>
          <w:rFonts w:hint="eastAsia" w:ascii="Times New Roman" w:hAnsi="Times New Roman"/>
          <w:color w:val="auto"/>
          <w:spacing w:val="4"/>
          <w:sz w:val="24"/>
          <w:szCs w:val="24"/>
          <w:highlight w:val="none"/>
        </w:rPr>
        <w:t>）审批工程施工组织设计和技术方案，按照保质量、保工期和降低成本的原则，向承包人提出建议，并向委托人提出书面报告。</w:t>
      </w:r>
    </w:p>
    <w:p w14:paraId="1306B27D">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6</w:t>
      </w:r>
      <w:r>
        <w:rPr>
          <w:rFonts w:hint="eastAsia" w:ascii="Times New Roman" w:hAnsi="Times New Roman"/>
          <w:color w:val="auto"/>
          <w:spacing w:val="4"/>
          <w:sz w:val="24"/>
          <w:szCs w:val="24"/>
          <w:highlight w:val="none"/>
        </w:rPr>
        <w:t>）主持工程建设有关协作单位的组织协调，重要协调事项应当事先向委托人报告。</w:t>
      </w:r>
    </w:p>
    <w:p w14:paraId="0DF0DBD0">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7</w:t>
      </w:r>
      <w:r>
        <w:rPr>
          <w:rFonts w:hint="eastAsia" w:ascii="Times New Roman" w:hAnsi="Times New Roman"/>
          <w:color w:val="auto"/>
          <w:spacing w:val="4"/>
          <w:sz w:val="24"/>
          <w:szCs w:val="24"/>
          <w:highlight w:val="none"/>
        </w:rPr>
        <w:t>）征得委托人同意，监理人有权发布开工令、停工令、复工令，但应当事先向委托人报告。如在紧急情况下未能事先报告时，则应在</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小时内向委托人做出书面报告。</w:t>
      </w:r>
    </w:p>
    <w:p w14:paraId="4839EA7F">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8</w:t>
      </w:r>
      <w:r>
        <w:rPr>
          <w:rFonts w:hint="eastAsia" w:ascii="Times New Roman" w:hAnsi="Times New Roman"/>
          <w:color w:val="auto"/>
          <w:spacing w:val="4"/>
          <w:sz w:val="24"/>
          <w:szCs w:val="24"/>
          <w:highlight w:val="none"/>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2A42388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9</w:t>
      </w:r>
      <w:r>
        <w:rPr>
          <w:rFonts w:hint="eastAsia" w:ascii="Times New Roman" w:hAnsi="Times New Roman"/>
          <w:color w:val="auto"/>
          <w:spacing w:val="4"/>
          <w:sz w:val="24"/>
          <w:szCs w:val="24"/>
          <w:highlight w:val="none"/>
        </w:rPr>
        <w:t>）工程施工进度的检查、监督权，以及工程实际竣工日期提前或超过工程施工合同规定的竣工期限的签认权。</w:t>
      </w:r>
    </w:p>
    <w:p w14:paraId="1A46B159">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w:t>
      </w:r>
      <w:r>
        <w:rPr>
          <w:rFonts w:ascii="Times New Roman" w:hAnsi="Times New Roman"/>
          <w:color w:val="auto"/>
          <w:spacing w:val="4"/>
          <w:sz w:val="24"/>
          <w:szCs w:val="24"/>
          <w:highlight w:val="none"/>
        </w:rPr>
        <w:t>10</w:t>
      </w:r>
      <w:r>
        <w:rPr>
          <w:rFonts w:hint="eastAsia" w:ascii="Times New Roman" w:hAnsi="Times New Roman"/>
          <w:color w:val="auto"/>
          <w:spacing w:val="4"/>
          <w:sz w:val="24"/>
          <w:szCs w:val="24"/>
          <w:highlight w:val="none"/>
        </w:rPr>
        <w:t>）在工程施工合同约定的工程价格范围内，工程款支付的审核和签认权，以及工程结算的复核确认权与否决权。未经总监理工程师签字确认，委托人不支付工程款。</w:t>
      </w:r>
    </w:p>
    <w:p w14:paraId="3D8157D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第十八条</w:t>
      </w:r>
      <w:r>
        <w:rPr>
          <w:rFonts w:hint="eastAsia" w:ascii="Times New Roman" w:hAnsi="Times New Roman"/>
          <w:color w:val="auto"/>
          <w:spacing w:val="4"/>
          <w:sz w:val="24"/>
          <w:szCs w:val="24"/>
          <w:highlight w:val="none"/>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7940F0B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第十九条</w:t>
      </w:r>
      <w:r>
        <w:rPr>
          <w:rFonts w:hint="eastAsia" w:ascii="Times New Roman" w:hAnsi="Times New Roman"/>
          <w:color w:val="auto"/>
          <w:spacing w:val="4"/>
          <w:sz w:val="24"/>
          <w:szCs w:val="24"/>
          <w:highlight w:val="none"/>
        </w:rPr>
        <w:t>　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p>
    <w:p w14:paraId="3B2413F6">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1D6F80F4">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委托人权利</w:t>
      </w:r>
    </w:p>
    <w:p w14:paraId="27703CAA">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第二十条</w:t>
      </w:r>
      <w:r>
        <w:rPr>
          <w:rFonts w:hint="eastAsia" w:ascii="Times New Roman" w:hAnsi="Times New Roman"/>
          <w:color w:val="auto"/>
          <w:spacing w:val="4"/>
          <w:sz w:val="24"/>
          <w:szCs w:val="24"/>
          <w:highlight w:val="none"/>
        </w:rPr>
        <w:t>　委托人有选定工程总承包人，以及与其订立合同的权利。</w:t>
      </w:r>
    </w:p>
    <w:p w14:paraId="0C12A26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第二十一条</w:t>
      </w:r>
      <w:r>
        <w:rPr>
          <w:rFonts w:hint="eastAsia" w:ascii="Times New Roman" w:hAnsi="Times New Roman"/>
          <w:color w:val="auto"/>
          <w:spacing w:val="4"/>
          <w:sz w:val="24"/>
          <w:szCs w:val="24"/>
          <w:highlight w:val="none"/>
        </w:rPr>
        <w:t>　委托人有对工程规模、设计标准、规划设计、生产工艺设计和设计使用功能要求的认定权，以及对工程设计变更的审批权。</w:t>
      </w:r>
    </w:p>
    <w:p w14:paraId="5CEF8E7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第二十二条</w:t>
      </w:r>
      <w:r>
        <w:rPr>
          <w:rFonts w:hint="eastAsia" w:ascii="Times New Roman" w:hAnsi="Times New Roman"/>
          <w:color w:val="auto"/>
          <w:spacing w:val="4"/>
          <w:sz w:val="24"/>
          <w:szCs w:val="24"/>
          <w:highlight w:val="none"/>
        </w:rPr>
        <w:t>　监理人调换总监理工程师须事先经委托人同意。</w:t>
      </w:r>
    </w:p>
    <w:p w14:paraId="24A56D8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第二十三条</w:t>
      </w:r>
      <w:r>
        <w:rPr>
          <w:rFonts w:hint="eastAsia" w:ascii="Times New Roman" w:hAnsi="Times New Roman"/>
          <w:color w:val="auto"/>
          <w:spacing w:val="4"/>
          <w:sz w:val="24"/>
          <w:szCs w:val="24"/>
          <w:highlight w:val="none"/>
        </w:rPr>
        <w:t>　委托人有权要求监理人提交监理工作月报及监理业务范围内的专项报告。</w:t>
      </w:r>
    </w:p>
    <w:p w14:paraId="6CA34B2A">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第二十四条</w:t>
      </w:r>
      <w:r>
        <w:rPr>
          <w:rFonts w:hint="eastAsia" w:ascii="Times New Roman" w:hAnsi="Times New Roman"/>
          <w:color w:val="auto"/>
          <w:spacing w:val="4"/>
          <w:sz w:val="24"/>
          <w:szCs w:val="24"/>
          <w:highlight w:val="none"/>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79A813F5">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6F4A32A3">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监理人责任</w:t>
      </w:r>
    </w:p>
    <w:p w14:paraId="707CD6D4">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第二十五条</w:t>
      </w:r>
      <w:r>
        <w:rPr>
          <w:rFonts w:hint="eastAsia" w:ascii="Times New Roman" w:hAnsi="Times New Roman"/>
          <w:color w:val="auto"/>
          <w:spacing w:val="4"/>
          <w:sz w:val="24"/>
          <w:szCs w:val="24"/>
          <w:highlight w:val="none"/>
        </w:rPr>
        <w:t>　监理人的责任期即本施工监理合同有效期。在监理过程中，如果因工程建设进度的推迟或延误而超过书面约定的日期，双方应进一步约定相应延长的合同期。</w:t>
      </w:r>
    </w:p>
    <w:p w14:paraId="24BE088A">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第二十六条</w:t>
      </w:r>
      <w:r>
        <w:rPr>
          <w:rFonts w:hint="eastAsia" w:ascii="Times New Roman" w:hAnsi="Times New Roman"/>
          <w:color w:val="auto"/>
          <w:spacing w:val="4"/>
          <w:sz w:val="24"/>
          <w:szCs w:val="24"/>
          <w:highlight w:val="none"/>
        </w:rPr>
        <w:t>　监理人在责任期内，应当履行约定的义务，如果因监理人过失而造成了委托人的经济损失，应当向委托人赔偿。累计赔偿总额（除本合同第二十四条规定以外）不应超过监理酬金总额（除去税金）。</w:t>
      </w:r>
    </w:p>
    <w:p w14:paraId="43FCA9C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第二十七条</w:t>
      </w:r>
      <w:r>
        <w:rPr>
          <w:rFonts w:hint="eastAsia" w:ascii="Times New Roman" w:hAnsi="Times New Roman"/>
          <w:color w:val="auto"/>
          <w:spacing w:val="4"/>
          <w:sz w:val="24"/>
          <w:szCs w:val="24"/>
          <w:highlight w:val="none"/>
        </w:rPr>
        <w:t>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679BDDC2">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第二十八条</w:t>
      </w:r>
      <w:r>
        <w:rPr>
          <w:rFonts w:hint="eastAsia" w:ascii="Times New Roman" w:hAnsi="Times New Roman"/>
          <w:color w:val="auto"/>
          <w:spacing w:val="4"/>
          <w:sz w:val="24"/>
          <w:szCs w:val="24"/>
          <w:highlight w:val="none"/>
        </w:rPr>
        <w:t>　监理人向委托人提出赔偿要求不能成立时，监理人应当补偿由于该索赔所导致委托人的各种费用支出。</w:t>
      </w:r>
    </w:p>
    <w:p w14:paraId="4F3F2D47">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3D5AC965">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委托人责任</w:t>
      </w:r>
    </w:p>
    <w:p w14:paraId="3AF7B881">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第二十九条</w:t>
      </w:r>
      <w:r>
        <w:rPr>
          <w:rFonts w:hint="eastAsia" w:ascii="Times New Roman" w:hAnsi="Times New Roman"/>
          <w:color w:val="auto"/>
          <w:spacing w:val="4"/>
          <w:sz w:val="24"/>
          <w:szCs w:val="24"/>
          <w:highlight w:val="none"/>
        </w:rPr>
        <w:t>　委托人应当履行本合同约定的义务，如有违反则应当承担违约责任，赔偿给监理人造成的经济损失。</w:t>
      </w:r>
    </w:p>
    <w:p w14:paraId="60EDFB9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监理人处理委托业务时，因非监理人原因的事由受到损失的，可以向委托人要求补偿损失。</w:t>
      </w:r>
    </w:p>
    <w:p w14:paraId="6E1AD065">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第三十条</w:t>
      </w:r>
      <w:r>
        <w:rPr>
          <w:rFonts w:hint="eastAsia" w:ascii="Times New Roman" w:hAnsi="Times New Roman"/>
          <w:color w:val="auto"/>
          <w:spacing w:val="4"/>
          <w:sz w:val="24"/>
          <w:szCs w:val="24"/>
          <w:highlight w:val="none"/>
        </w:rPr>
        <w:t>　委托人如果向监理人提出赔偿的要求不能成立，则应当补偿由该索赔所引起的监理人的各种费用支出。</w:t>
      </w:r>
    </w:p>
    <w:p w14:paraId="261FC193">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66479D89">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合同生效、变更与终止</w:t>
      </w:r>
    </w:p>
    <w:p w14:paraId="3F2438A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第三十一条</w:t>
      </w:r>
      <w:r>
        <w:rPr>
          <w:rFonts w:hint="eastAsia" w:ascii="Times New Roman" w:hAnsi="Times New Roman"/>
          <w:color w:val="auto"/>
          <w:spacing w:val="4"/>
          <w:sz w:val="24"/>
          <w:szCs w:val="24"/>
          <w:highlight w:val="none"/>
        </w:rPr>
        <w:t>　由于委托人或承包人的原因使监理工作受到阻碍或延误，以致发生了附加工作或延长了持续时间，则监理人应当将此情况与可能产生的影响及时通知委托人。完成监理业务的时间相应延长，并得到附加工作的酬金。</w:t>
      </w:r>
    </w:p>
    <w:p w14:paraId="7C13DA5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第三十二条</w:t>
      </w:r>
      <w:r>
        <w:rPr>
          <w:rFonts w:hint="eastAsia" w:ascii="Times New Roman" w:hAnsi="Times New Roman"/>
          <w:color w:val="auto"/>
          <w:spacing w:val="4"/>
          <w:sz w:val="24"/>
          <w:szCs w:val="24"/>
          <w:highlight w:val="none"/>
        </w:rPr>
        <w:t>　在本合同签订后，实际情况发生变化，使得监理人不能全部或部分执行监理业务时，监理人应当立即通知委托人。该监理业务的完成时间应予延长。当恢复执行监理业务时，应当增加不超过</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日的时间用于恢复执行监理业务，并按双方约定的数量支付监理酬金。</w:t>
      </w:r>
    </w:p>
    <w:p w14:paraId="05CCA46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第三十三条</w:t>
      </w:r>
      <w:r>
        <w:rPr>
          <w:rFonts w:hint="eastAsia" w:ascii="Times New Roman" w:hAnsi="Times New Roman"/>
          <w:color w:val="auto"/>
          <w:spacing w:val="4"/>
          <w:sz w:val="24"/>
          <w:szCs w:val="24"/>
          <w:highlight w:val="none"/>
        </w:rPr>
        <w:t>　监理人向委托人办理完竣工验收或工程移交手续，承包人和委托人已签订工程维护责任书，监理人收到监理酬金尾款，本合同即终止。维护期间的责任，双方在专用条件中约定。</w:t>
      </w:r>
    </w:p>
    <w:p w14:paraId="27EA506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第三十四条</w:t>
      </w:r>
      <w:r>
        <w:rPr>
          <w:rFonts w:hint="eastAsia" w:ascii="Times New Roman" w:hAnsi="Times New Roman"/>
          <w:color w:val="auto"/>
          <w:spacing w:val="4"/>
          <w:sz w:val="24"/>
          <w:szCs w:val="24"/>
          <w:highlight w:val="none"/>
        </w:rPr>
        <w:t>　当事人一方要求变更或解除合同时，应当在</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日前通知对方，因解除合同使一方遭受损失的，除依法可以免除责任的外，应由责任方负责赔偿。</w:t>
      </w:r>
    </w:p>
    <w:p w14:paraId="52FA22E3">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变更或解除合同的通知或协议必须采取书面形式，协议未达成之前，原合同仍然有效。</w:t>
      </w:r>
    </w:p>
    <w:p w14:paraId="4CD71020">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第三十五条</w:t>
      </w:r>
      <w:r>
        <w:rPr>
          <w:rFonts w:hint="eastAsia" w:ascii="Times New Roman" w:hAnsi="Times New Roman"/>
          <w:color w:val="auto"/>
          <w:spacing w:val="4"/>
          <w:sz w:val="24"/>
          <w:szCs w:val="24"/>
          <w:highlight w:val="none"/>
        </w:rPr>
        <w:t>　监理人在应当获得监理酬金之日起</w:t>
      </w:r>
      <w:r>
        <w:rPr>
          <w:rFonts w:ascii="Times New Roman" w:hAnsi="Times New Roman"/>
          <w:color w:val="auto"/>
          <w:spacing w:val="4"/>
          <w:sz w:val="24"/>
          <w:szCs w:val="24"/>
          <w:highlight w:val="none"/>
        </w:rPr>
        <w:t>30</w:t>
      </w:r>
      <w:r>
        <w:rPr>
          <w:rFonts w:hint="eastAsia" w:ascii="Times New Roman" w:hAnsi="Times New Roman"/>
          <w:color w:val="auto"/>
          <w:spacing w:val="4"/>
          <w:sz w:val="24"/>
          <w:szCs w:val="24"/>
          <w:highlight w:val="none"/>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Times New Roman" w:hAnsi="Times New Roman"/>
          <w:color w:val="auto"/>
          <w:spacing w:val="4"/>
          <w:sz w:val="24"/>
          <w:szCs w:val="24"/>
          <w:highlight w:val="none"/>
        </w:rPr>
        <w:t>14</w:t>
      </w:r>
      <w:r>
        <w:rPr>
          <w:rFonts w:hint="eastAsia" w:ascii="Times New Roman" w:hAnsi="Times New Roman"/>
          <w:color w:val="auto"/>
          <w:spacing w:val="4"/>
          <w:sz w:val="24"/>
          <w:szCs w:val="24"/>
          <w:highlight w:val="none"/>
        </w:rPr>
        <w:t>日内仍未得到委托人答复，可进一步发出终止合同的通知，如果第二份通知发出后</w:t>
      </w:r>
      <w:r>
        <w:rPr>
          <w:rFonts w:ascii="Times New Roman" w:hAnsi="Times New Roman"/>
          <w:color w:val="auto"/>
          <w:spacing w:val="4"/>
          <w:sz w:val="24"/>
          <w:szCs w:val="24"/>
          <w:highlight w:val="none"/>
        </w:rPr>
        <w:t>42</w:t>
      </w:r>
      <w:r>
        <w:rPr>
          <w:rFonts w:hint="eastAsia" w:ascii="Times New Roman" w:hAnsi="Times New Roman"/>
          <w:color w:val="auto"/>
          <w:spacing w:val="4"/>
          <w:sz w:val="24"/>
          <w:szCs w:val="24"/>
          <w:highlight w:val="none"/>
        </w:rPr>
        <w:t>日内仍未得到委托人答复，可终止合同或自行暂停或继续暂停执行全部或部分监理业务。委托人承担违约责任。</w:t>
      </w:r>
    </w:p>
    <w:p w14:paraId="491EE275">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第三十六条</w:t>
      </w:r>
      <w:r>
        <w:rPr>
          <w:rFonts w:hint="eastAsia" w:ascii="Times New Roman" w:hAnsi="Times New Roman"/>
          <w:color w:val="auto"/>
          <w:spacing w:val="4"/>
          <w:sz w:val="24"/>
          <w:szCs w:val="24"/>
          <w:highlight w:val="none"/>
        </w:rPr>
        <w:t>　监理人由于非自己的原因而暂停或终止执行监理业务，其善后工作以及恢复执行监理业务的工作，应当视为额外工作，有权得到额外的酬金。</w:t>
      </w:r>
    </w:p>
    <w:p w14:paraId="2DD0B869">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第三十七条</w:t>
      </w:r>
      <w:r>
        <w:rPr>
          <w:rFonts w:hint="eastAsia" w:ascii="Times New Roman" w:hAnsi="Times New Roman"/>
          <w:color w:val="auto"/>
          <w:spacing w:val="4"/>
          <w:sz w:val="24"/>
          <w:szCs w:val="24"/>
          <w:highlight w:val="none"/>
        </w:rPr>
        <w:t>　当委托人认为监理人无正当理由而又未履行监理义务时，可向监理人发出指明其未履行义务的通知。若委托人发出通知后</w:t>
      </w:r>
      <w:r>
        <w:rPr>
          <w:rFonts w:ascii="Times New Roman" w:hAnsi="Times New Roman"/>
          <w:color w:val="auto"/>
          <w:spacing w:val="4"/>
          <w:sz w:val="24"/>
          <w:szCs w:val="24"/>
          <w:highlight w:val="none"/>
        </w:rPr>
        <w:t>21</w:t>
      </w:r>
      <w:r>
        <w:rPr>
          <w:rFonts w:hint="eastAsia" w:ascii="Times New Roman" w:hAnsi="Times New Roman"/>
          <w:color w:val="auto"/>
          <w:spacing w:val="4"/>
          <w:sz w:val="24"/>
          <w:szCs w:val="24"/>
          <w:highlight w:val="none"/>
        </w:rPr>
        <w:t>日内没有收到答复，可在第一个通知发出后</w:t>
      </w:r>
      <w:r>
        <w:rPr>
          <w:rFonts w:ascii="Times New Roman" w:hAnsi="Times New Roman"/>
          <w:color w:val="auto"/>
          <w:spacing w:val="4"/>
          <w:sz w:val="24"/>
          <w:szCs w:val="24"/>
          <w:highlight w:val="none"/>
        </w:rPr>
        <w:t>35</w:t>
      </w:r>
      <w:r>
        <w:rPr>
          <w:rFonts w:hint="eastAsia" w:ascii="Times New Roman" w:hAnsi="Times New Roman"/>
          <w:color w:val="auto"/>
          <w:spacing w:val="4"/>
          <w:sz w:val="24"/>
          <w:szCs w:val="24"/>
          <w:highlight w:val="none"/>
        </w:rPr>
        <w:t>日内发出终止本合同的通知，合同即行终止。监理人承担违约责任。</w:t>
      </w:r>
    </w:p>
    <w:p w14:paraId="1281133A">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第三十八条</w:t>
      </w:r>
      <w:r>
        <w:rPr>
          <w:rFonts w:hint="eastAsia" w:ascii="Times New Roman" w:hAnsi="Times New Roman"/>
          <w:color w:val="auto"/>
          <w:spacing w:val="4"/>
          <w:sz w:val="24"/>
          <w:szCs w:val="24"/>
          <w:highlight w:val="none"/>
        </w:rPr>
        <w:t>　合同协议的终止并不影响各方应有的权利和应当承担的责任。</w:t>
      </w:r>
    </w:p>
    <w:p w14:paraId="58EE90FD">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09EC9019">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监理酬金</w:t>
      </w:r>
    </w:p>
    <w:p w14:paraId="4218B8D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第三十九条</w:t>
      </w:r>
      <w:r>
        <w:rPr>
          <w:rFonts w:hint="eastAsia" w:ascii="Times New Roman" w:hAnsi="Times New Roman"/>
          <w:color w:val="auto"/>
          <w:spacing w:val="4"/>
          <w:sz w:val="24"/>
          <w:szCs w:val="24"/>
          <w:highlight w:val="none"/>
        </w:rPr>
        <w:t>　正常的监理工作、附加工作和额外工作的酬金，按照监理合同专用条件中第三十九条的方法计算，并按约定的时间和数额支付。</w:t>
      </w:r>
    </w:p>
    <w:p w14:paraId="2B9BFCE3">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第四十条</w:t>
      </w:r>
      <w:r>
        <w:rPr>
          <w:rFonts w:hint="eastAsia" w:ascii="Times New Roman" w:hAnsi="Times New Roman"/>
          <w:color w:val="auto"/>
          <w:spacing w:val="4"/>
          <w:sz w:val="24"/>
          <w:szCs w:val="24"/>
          <w:highlight w:val="none"/>
        </w:rPr>
        <w:t>　如果委托人在规定的支付期限内未支付监理酬金，自规定之日起，还应向监理人支付滞纳金。滞纳金从规定支付期限最后一日起计算。</w:t>
      </w:r>
    </w:p>
    <w:p w14:paraId="6C6C26EF">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第四十一条</w:t>
      </w:r>
      <w:r>
        <w:rPr>
          <w:rFonts w:hint="eastAsia" w:ascii="Times New Roman" w:hAnsi="Times New Roman"/>
          <w:color w:val="auto"/>
          <w:spacing w:val="4"/>
          <w:sz w:val="24"/>
          <w:szCs w:val="24"/>
          <w:highlight w:val="none"/>
        </w:rPr>
        <w:t>　支付监理酬金所采取的货币币种、汇率由合同专用条件约定。</w:t>
      </w:r>
    </w:p>
    <w:p w14:paraId="7CC6CF57">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第四十二条</w:t>
      </w:r>
      <w:r>
        <w:rPr>
          <w:rFonts w:hint="eastAsia" w:ascii="Times New Roman" w:hAnsi="Times New Roman"/>
          <w:color w:val="auto"/>
          <w:spacing w:val="4"/>
          <w:sz w:val="24"/>
          <w:szCs w:val="24"/>
          <w:highlight w:val="none"/>
        </w:rPr>
        <w:t>　如果委托人对监理人提交的支付通知中酬金或部分酬金项目提出异议，应当在收到支付通知书</w:t>
      </w:r>
      <w:r>
        <w:rPr>
          <w:rFonts w:ascii="Times New Roman" w:hAnsi="Times New Roman"/>
          <w:color w:val="auto"/>
          <w:spacing w:val="4"/>
          <w:sz w:val="24"/>
          <w:szCs w:val="24"/>
          <w:highlight w:val="none"/>
        </w:rPr>
        <w:t>24</w:t>
      </w:r>
      <w:r>
        <w:rPr>
          <w:rFonts w:hint="eastAsia" w:ascii="Times New Roman" w:hAnsi="Times New Roman"/>
          <w:color w:val="auto"/>
          <w:spacing w:val="4"/>
          <w:sz w:val="24"/>
          <w:szCs w:val="24"/>
          <w:highlight w:val="none"/>
        </w:rPr>
        <w:t>小时内向监理人发出表示异议的通知，但委托人不得拖延其他无异议酬金项目的支付。</w:t>
      </w:r>
    </w:p>
    <w:p w14:paraId="19E67C48">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4BF4CAFD">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其他</w:t>
      </w:r>
    </w:p>
    <w:p w14:paraId="339E9A41">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第四十三条</w:t>
      </w:r>
      <w:r>
        <w:rPr>
          <w:rFonts w:hint="eastAsia" w:ascii="Times New Roman" w:hAnsi="Times New Roman"/>
          <w:color w:val="auto"/>
          <w:spacing w:val="4"/>
          <w:sz w:val="24"/>
          <w:szCs w:val="24"/>
          <w:highlight w:val="none"/>
        </w:rPr>
        <w:t>　委托的建设工程监理所必要的监理人员出外考察、材料设备复试，其费用支出经委托人同意的，在预算范围内向委托人实报实销。</w:t>
      </w:r>
    </w:p>
    <w:p w14:paraId="6C413BFC">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第四十四条</w:t>
      </w:r>
      <w:r>
        <w:rPr>
          <w:rFonts w:hint="eastAsia" w:ascii="Times New Roman" w:hAnsi="Times New Roman"/>
          <w:color w:val="auto"/>
          <w:spacing w:val="4"/>
          <w:sz w:val="24"/>
          <w:szCs w:val="24"/>
          <w:highlight w:val="none"/>
        </w:rPr>
        <w:t>　在监理业务范围内，如需聘用专家咨询或协助，由监理人聘用的，其费用由监理人承担；由委托人聘用的，其费用由委托人承担。</w:t>
      </w:r>
    </w:p>
    <w:p w14:paraId="4B70A08D">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第四十五条</w:t>
      </w:r>
      <w:r>
        <w:rPr>
          <w:rFonts w:hint="eastAsia" w:ascii="Times New Roman" w:hAnsi="Times New Roman"/>
          <w:color w:val="auto"/>
          <w:spacing w:val="4"/>
          <w:sz w:val="24"/>
          <w:szCs w:val="24"/>
          <w:highlight w:val="none"/>
        </w:rPr>
        <w:t>　监理人在监理工作过程中提出的合理化建议，使委托人得到了经济效益，委托人应按专用条件中的约定给予经济奖励。</w:t>
      </w:r>
    </w:p>
    <w:p w14:paraId="3AB6C81E">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第四十六条</w:t>
      </w:r>
      <w:r>
        <w:rPr>
          <w:rFonts w:hint="eastAsia" w:ascii="Times New Roman" w:hAnsi="Times New Roman"/>
          <w:color w:val="auto"/>
          <w:spacing w:val="4"/>
          <w:sz w:val="24"/>
          <w:szCs w:val="24"/>
          <w:highlight w:val="none"/>
        </w:rPr>
        <w:t>　监理人驻地项目监理机构及其职员不得接受监理工程项目承包人的任何酬金或者经济利益。</w:t>
      </w:r>
    </w:p>
    <w:p w14:paraId="41B49CCC">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监理人不得参与可能与合同规定的与委托人的利益相冲突的任何活动。</w:t>
      </w:r>
    </w:p>
    <w:p w14:paraId="1909E4E6">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第四十七条</w:t>
      </w:r>
      <w:r>
        <w:rPr>
          <w:rFonts w:hint="eastAsia" w:ascii="Times New Roman" w:hAnsi="Times New Roman"/>
          <w:color w:val="auto"/>
          <w:spacing w:val="4"/>
          <w:sz w:val="24"/>
          <w:szCs w:val="24"/>
          <w:highlight w:val="none"/>
        </w:rPr>
        <w:t>　监理人在监理过程中，不得泄露委托人申明的秘密，监理人亦不得泄露设计人、承包人等提供并申明的秘密。</w:t>
      </w:r>
    </w:p>
    <w:p w14:paraId="07A6BF3B">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第四十八条</w:t>
      </w:r>
      <w:r>
        <w:rPr>
          <w:rFonts w:hint="eastAsia" w:ascii="Times New Roman" w:hAnsi="Times New Roman"/>
          <w:color w:val="auto"/>
          <w:spacing w:val="4"/>
          <w:sz w:val="24"/>
          <w:szCs w:val="24"/>
          <w:highlight w:val="none"/>
        </w:rPr>
        <w:t>　监理人对于由其编制的所有文件拥有版权，委托人仅有权为本合同工程使用或复制此类文件。</w:t>
      </w:r>
    </w:p>
    <w:p w14:paraId="3184308F">
      <w:pPr>
        <w:topLinePunct/>
        <w:adjustRightInd w:val="0"/>
        <w:snapToGrid w:val="0"/>
        <w:spacing w:line="360" w:lineRule="auto"/>
        <w:ind w:firstLine="498" w:firstLineChars="200"/>
        <w:rPr>
          <w:rFonts w:ascii="Times New Roman" w:hAnsi="Times New Roman"/>
          <w:b/>
          <w:bCs/>
          <w:color w:val="auto"/>
          <w:spacing w:val="4"/>
          <w:kern w:val="0"/>
          <w:sz w:val="24"/>
          <w:szCs w:val="24"/>
          <w:highlight w:val="none"/>
        </w:rPr>
      </w:pPr>
    </w:p>
    <w:p w14:paraId="015131A4">
      <w:pPr>
        <w:topLinePunct/>
        <w:adjustRightInd w:val="0"/>
        <w:snapToGrid w:val="0"/>
        <w:spacing w:line="360" w:lineRule="auto"/>
        <w:ind w:firstLine="578" w:firstLineChars="200"/>
        <w:rPr>
          <w:rFonts w:ascii="Times New Roman" w:hAnsi="Times New Roman"/>
          <w:b/>
          <w:bCs/>
          <w:color w:val="auto"/>
          <w:spacing w:val="4"/>
          <w:kern w:val="0"/>
          <w:sz w:val="28"/>
          <w:szCs w:val="28"/>
          <w:highlight w:val="none"/>
        </w:rPr>
      </w:pPr>
      <w:r>
        <w:rPr>
          <w:rFonts w:hint="eastAsia" w:ascii="Times New Roman" w:hAnsi="Times New Roman"/>
          <w:b/>
          <w:bCs/>
          <w:color w:val="auto"/>
          <w:spacing w:val="4"/>
          <w:sz w:val="28"/>
          <w:szCs w:val="28"/>
          <w:highlight w:val="none"/>
        </w:rPr>
        <w:t>争议的解决</w:t>
      </w:r>
    </w:p>
    <w:p w14:paraId="494263C1">
      <w:pPr>
        <w:topLinePunct/>
        <w:adjustRightInd w:val="0"/>
        <w:snapToGrid w:val="0"/>
        <w:spacing w:line="360" w:lineRule="auto"/>
        <w:ind w:firstLine="498" w:firstLineChars="200"/>
        <w:outlineLvl w:val="1"/>
        <w:rPr>
          <w:rFonts w:ascii="Times New Roman" w:hAnsi="Times New Roman"/>
          <w:color w:val="auto"/>
          <w:spacing w:val="4"/>
          <w:kern w:val="0"/>
          <w:sz w:val="24"/>
          <w:szCs w:val="24"/>
          <w:highlight w:val="none"/>
        </w:rPr>
      </w:pPr>
      <w:r>
        <w:rPr>
          <w:rFonts w:hint="eastAsia" w:ascii="Times New Roman" w:hAnsi="Times New Roman"/>
          <w:b/>
          <w:bCs/>
          <w:color w:val="auto"/>
          <w:spacing w:val="4"/>
          <w:sz w:val="24"/>
          <w:szCs w:val="24"/>
          <w:highlight w:val="none"/>
        </w:rPr>
        <w:t>第四十九条</w:t>
      </w:r>
      <w:r>
        <w:rPr>
          <w:rFonts w:hint="eastAsia" w:ascii="Times New Roman" w:hAnsi="Times New Roman"/>
          <w:color w:val="auto"/>
          <w:spacing w:val="4"/>
          <w:sz w:val="24"/>
          <w:szCs w:val="24"/>
          <w:highlight w:val="none"/>
        </w:rPr>
        <w:t>　因违反或终止合同而引起的对对方损失和损害的赔偿，双方应当协商解决，如未能达成一致，可提交主管部门协调，如仍未能达成一致时，根据双方约定提交仲裁机关仲裁，或向人民法院起诉。</w:t>
      </w:r>
    </w:p>
    <w:p w14:paraId="02DEF3BF">
      <w:pPr>
        <w:topLinePunct/>
        <w:adjustRightInd w:val="0"/>
        <w:snapToGrid w:val="0"/>
        <w:spacing w:line="360" w:lineRule="auto"/>
        <w:outlineLvl w:val="1"/>
        <w:rPr>
          <w:rFonts w:ascii="Times New Roman" w:hAnsi="Times New Roman"/>
          <w:color w:val="auto"/>
          <w:spacing w:val="4"/>
          <w:kern w:val="0"/>
          <w:sz w:val="24"/>
          <w:szCs w:val="24"/>
          <w:highlight w:val="none"/>
        </w:rPr>
      </w:pPr>
      <w:r>
        <w:rPr>
          <w:rFonts w:hint="eastAsia" w:ascii="Times New Roman" w:hAnsi="Times New Roman"/>
          <w:color w:val="auto"/>
          <w:spacing w:val="4"/>
          <w:sz w:val="24"/>
          <w:szCs w:val="24"/>
          <w:highlight w:val="none"/>
        </w:rPr>
        <w:t>（本页以下无正文）</w:t>
      </w:r>
    </w:p>
    <w:p w14:paraId="32940973">
      <w:pPr>
        <w:pStyle w:val="15"/>
        <w:spacing w:beforeLines="0" w:afterLines="0"/>
        <w:outlineLvl w:val="0"/>
        <w:rPr>
          <w:rFonts w:eastAsia="宋体"/>
          <w:color w:val="auto"/>
          <w:highlight w:val="none"/>
        </w:rPr>
      </w:pPr>
      <w:r>
        <w:rPr>
          <w:rFonts w:eastAsia="宋体"/>
          <w:color w:val="auto"/>
          <w:sz w:val="44"/>
          <w:szCs w:val="44"/>
          <w:highlight w:val="none"/>
        </w:rPr>
        <w:br w:type="page"/>
      </w:r>
      <w:r>
        <w:rPr>
          <w:rFonts w:hint="eastAsia" w:eastAsia="宋体"/>
          <w:color w:val="auto"/>
          <w:highlight w:val="none"/>
        </w:rPr>
        <w:t>第四篇  合同附件</w:t>
      </w:r>
    </w:p>
    <w:p w14:paraId="0E8AA03B">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79E23879">
      <w:pPr>
        <w:topLinePunct/>
        <w:adjustRightInd w:val="0"/>
        <w:snapToGrid w:val="0"/>
        <w:spacing w:line="360" w:lineRule="auto"/>
        <w:ind w:firstLine="498" w:firstLineChars="200"/>
        <w:rPr>
          <w:rFonts w:ascii="Times New Roman" w:hAnsi="Times New Roman"/>
          <w:b/>
          <w:color w:val="auto"/>
          <w:spacing w:val="4"/>
          <w:kern w:val="0"/>
          <w:sz w:val="24"/>
          <w:szCs w:val="24"/>
          <w:highlight w:val="none"/>
        </w:rPr>
      </w:pPr>
    </w:p>
    <w:p w14:paraId="430ACEF4">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：工程建设廉洁协议书</w:t>
      </w:r>
    </w:p>
    <w:p w14:paraId="2DB0ABBC">
      <w:pPr>
        <w:topLinePunct/>
        <w:adjustRightInd w:val="0"/>
        <w:snapToGrid w:val="0"/>
        <w:spacing w:line="360" w:lineRule="auto"/>
        <w:ind w:firstLine="744" w:firstLineChars="300"/>
        <w:rPr>
          <w:rFonts w:ascii="Times New Roman" w:hAnsi="Times New Roman"/>
          <w:bCs/>
          <w:strike/>
          <w:color w:val="auto"/>
          <w:spacing w:val="4"/>
          <w:kern w:val="0"/>
          <w:sz w:val="24"/>
          <w:szCs w:val="24"/>
          <w:highlight w:val="none"/>
        </w:rPr>
      </w:pPr>
      <w:r>
        <w:rPr>
          <w:rFonts w:ascii="Times New Roman" w:hAnsi="Times New Roman"/>
          <w:bCs/>
          <w:color w:val="auto"/>
          <w:spacing w:val="4"/>
          <w:sz w:val="24"/>
          <w:highlight w:val="none"/>
          <w:lang w:bidi="ar"/>
        </w:rPr>
        <w:t>☒</w:t>
      </w:r>
      <w:r>
        <w:rPr>
          <w:rFonts w:hint="eastAsia" w:ascii="Times New Roman" w:hAnsi="Times New Roman"/>
          <w:bCs/>
          <w:strike/>
          <w:color w:val="auto"/>
          <w:spacing w:val="4"/>
          <w:sz w:val="24"/>
          <w:szCs w:val="24"/>
          <w:highlight w:val="none"/>
        </w:rPr>
        <w:t>附件</w:t>
      </w:r>
      <w:r>
        <w:rPr>
          <w:rFonts w:ascii="Times New Roman" w:hAnsi="Times New Roman"/>
          <w:bCs/>
          <w:strike/>
          <w:color w:val="auto"/>
          <w:spacing w:val="4"/>
          <w:sz w:val="24"/>
          <w:szCs w:val="24"/>
          <w:highlight w:val="none"/>
        </w:rPr>
        <w:t>2</w:t>
      </w:r>
      <w:r>
        <w:rPr>
          <w:rFonts w:hint="eastAsia" w:ascii="Times New Roman" w:hAnsi="Times New Roman"/>
          <w:bCs/>
          <w:strike/>
          <w:color w:val="auto"/>
          <w:spacing w:val="4"/>
          <w:sz w:val="24"/>
          <w:szCs w:val="24"/>
          <w:highlight w:val="none"/>
        </w:rPr>
        <w:t>：本项目《建设资金支付协议》</w:t>
      </w:r>
    </w:p>
    <w:p w14:paraId="71223E98">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附件3：各阶段工作成果文件的要求</w:t>
      </w:r>
    </w:p>
    <w:p w14:paraId="2781631F">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附件3</w:t>
      </w:r>
      <w:r>
        <w:rPr>
          <w:rFonts w:ascii="Times New Roman" w:hAnsi="Times New Roman"/>
          <w:bCs/>
          <w:color w:val="auto"/>
          <w:spacing w:val="4"/>
          <w:sz w:val="24"/>
          <w:szCs w:val="24"/>
          <w:highlight w:val="none"/>
        </w:rPr>
        <w:t>-1</w:t>
      </w:r>
      <w:r>
        <w:rPr>
          <w:rFonts w:hint="eastAsia" w:ascii="Times New Roman" w:hAnsi="Times New Roman"/>
          <w:bCs/>
          <w:color w:val="auto"/>
          <w:spacing w:val="4"/>
          <w:kern w:val="0"/>
          <w:sz w:val="24"/>
          <w:szCs w:val="24"/>
          <w:highlight w:val="none"/>
        </w:rPr>
        <w:t>：</w:t>
      </w:r>
      <w:r>
        <w:rPr>
          <w:rFonts w:hint="eastAsia" w:ascii="Times New Roman" w:hAnsi="Times New Roman"/>
          <w:bCs/>
          <w:color w:val="auto"/>
          <w:spacing w:val="4"/>
          <w:sz w:val="24"/>
          <w:szCs w:val="24"/>
          <w:highlight w:val="none"/>
        </w:rPr>
        <w:t>每期驻场监理人员出勤情况表</w:t>
      </w:r>
    </w:p>
    <w:p w14:paraId="4FA36AEA">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附件3</w:t>
      </w:r>
      <w:r>
        <w:rPr>
          <w:rFonts w:ascii="Times New Roman" w:hAnsi="Times New Roman"/>
          <w:bCs/>
          <w:color w:val="auto"/>
          <w:spacing w:val="4"/>
          <w:sz w:val="24"/>
          <w:szCs w:val="24"/>
          <w:highlight w:val="none"/>
        </w:rPr>
        <w:t>-2</w:t>
      </w:r>
      <w:r>
        <w:rPr>
          <w:rFonts w:hint="eastAsia" w:ascii="Times New Roman" w:hAnsi="Times New Roman"/>
          <w:bCs/>
          <w:color w:val="auto"/>
          <w:spacing w:val="4"/>
          <w:kern w:val="0"/>
          <w:sz w:val="24"/>
          <w:szCs w:val="24"/>
          <w:highlight w:val="none"/>
        </w:rPr>
        <w:t>：</w:t>
      </w:r>
      <w:r>
        <w:rPr>
          <w:rFonts w:hint="eastAsia" w:ascii="Times New Roman" w:hAnsi="Times New Roman"/>
          <w:bCs/>
          <w:color w:val="auto"/>
          <w:spacing w:val="4"/>
          <w:sz w:val="24"/>
          <w:szCs w:val="24"/>
          <w:highlight w:val="none"/>
        </w:rPr>
        <w:t>每期监理设备投入情况表</w:t>
      </w:r>
    </w:p>
    <w:p w14:paraId="448EF02A">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附件4：项目监理机构及监理人员</w:t>
      </w:r>
    </w:p>
    <w:p w14:paraId="68F5CB92">
      <w:pPr>
        <w:topLinePunct/>
        <w:adjustRightInd w:val="0"/>
        <w:snapToGrid w:val="0"/>
        <w:spacing w:line="360" w:lineRule="auto"/>
        <w:ind w:firstLine="1612" w:firstLineChars="65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1</w:t>
      </w:r>
      <w:r>
        <w:rPr>
          <w:rFonts w:hint="eastAsia" w:ascii="Times New Roman" w:hAnsi="Times New Roman"/>
          <w:bCs/>
          <w:color w:val="auto"/>
          <w:spacing w:val="4"/>
          <w:sz w:val="24"/>
          <w:szCs w:val="24"/>
          <w:highlight w:val="none"/>
        </w:rPr>
        <w:t>）项目监理机构图</w:t>
      </w:r>
    </w:p>
    <w:p w14:paraId="5634C32B">
      <w:pPr>
        <w:topLinePunct/>
        <w:adjustRightInd w:val="0"/>
        <w:snapToGrid w:val="0"/>
        <w:spacing w:line="360" w:lineRule="auto"/>
        <w:ind w:firstLine="1612" w:firstLineChars="650"/>
        <w:rPr>
          <w:rFonts w:ascii="Times New Roman" w:hAnsi="Times New Roman"/>
          <w:color w:val="auto"/>
          <w:spacing w:val="4"/>
          <w:sz w:val="24"/>
          <w:szCs w:val="24"/>
          <w:highlight w:val="none"/>
        </w:rPr>
      </w:pPr>
      <w:r>
        <w:rPr>
          <w:rFonts w:hint="eastAsia" w:ascii="Times New Roman" w:hAnsi="Times New Roman"/>
          <w:bCs/>
          <w:color w:val="auto"/>
          <w:spacing w:val="4"/>
          <w:sz w:val="24"/>
          <w:szCs w:val="24"/>
          <w:highlight w:val="none"/>
        </w:rPr>
        <w:t>（</w:t>
      </w:r>
      <w:r>
        <w:rPr>
          <w:rFonts w:ascii="Times New Roman" w:hAnsi="Times New Roman"/>
          <w:bCs/>
          <w:color w:val="auto"/>
          <w:spacing w:val="4"/>
          <w:sz w:val="24"/>
          <w:szCs w:val="24"/>
          <w:highlight w:val="none"/>
        </w:rPr>
        <w:t>2</w:t>
      </w:r>
      <w:r>
        <w:rPr>
          <w:rFonts w:hint="eastAsia" w:ascii="Times New Roman" w:hAnsi="Times New Roman"/>
          <w:bCs/>
          <w:color w:val="auto"/>
          <w:spacing w:val="4"/>
          <w:sz w:val="24"/>
          <w:szCs w:val="24"/>
          <w:highlight w:val="none"/>
        </w:rPr>
        <w:t>）</w:t>
      </w:r>
      <w:r>
        <w:rPr>
          <w:rFonts w:hint="eastAsia" w:ascii="Times New Roman" w:hAnsi="Times New Roman"/>
          <w:color w:val="auto"/>
          <w:spacing w:val="4"/>
          <w:sz w:val="24"/>
          <w:szCs w:val="24"/>
          <w:highlight w:val="none"/>
        </w:rPr>
        <w:t>监理人员投入一览表</w:t>
      </w:r>
    </w:p>
    <w:p w14:paraId="68B08026">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附件5：</w:t>
      </w:r>
      <w:r>
        <w:rPr>
          <w:rFonts w:hint="eastAsia" w:ascii="Times New Roman" w:hAnsi="Times New Roman"/>
          <w:color w:val="auto"/>
          <w:spacing w:val="4"/>
          <w:sz w:val="24"/>
          <w:szCs w:val="24"/>
          <w:highlight w:val="none"/>
        </w:rPr>
        <w:t>（</w:t>
      </w:r>
      <w:r>
        <w:rPr>
          <w:rFonts w:hint="eastAsia" w:ascii="Times New Roman" w:hAnsi="Times New Roman"/>
          <w:bCs/>
          <w:color w:val="auto"/>
          <w:spacing w:val="4"/>
          <w:sz w:val="24"/>
          <w:szCs w:val="24"/>
          <w:highlight w:val="none"/>
        </w:rPr>
        <w:t>监理人）</w:t>
      </w:r>
      <w:r>
        <w:rPr>
          <w:rFonts w:hint="eastAsia" w:ascii="Times New Roman" w:hAnsi="Times New Roman"/>
          <w:color w:val="auto"/>
          <w:spacing w:val="4"/>
          <w:sz w:val="24"/>
          <w:szCs w:val="24"/>
          <w:highlight w:val="none"/>
        </w:rPr>
        <w:t>拟用于本项目的通讯、办公、检测设备清单</w:t>
      </w:r>
    </w:p>
    <w:p w14:paraId="4A8617A5">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附件6：监理服务承诺书</w:t>
      </w:r>
    </w:p>
    <w:p w14:paraId="6C5C3D7B">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附件7：监理人履约</w:t>
      </w:r>
      <w:r>
        <w:rPr>
          <w:rFonts w:ascii="Times New Roman" w:hAnsi="Times New Roman"/>
          <w:bCs/>
          <w:color w:val="auto"/>
          <w:spacing w:val="4"/>
          <w:sz w:val="24"/>
          <w:szCs w:val="24"/>
          <w:highlight w:val="none"/>
        </w:rPr>
        <w:t>担保</w:t>
      </w:r>
      <w:r>
        <w:rPr>
          <w:rFonts w:hint="eastAsia" w:ascii="Times New Roman" w:hAnsi="Times New Roman"/>
          <w:bCs/>
          <w:color w:val="auto"/>
          <w:spacing w:val="4"/>
          <w:sz w:val="24"/>
          <w:szCs w:val="24"/>
          <w:highlight w:val="none"/>
        </w:rPr>
        <w:t>（格式）及其承诺书</w:t>
      </w:r>
    </w:p>
    <w:p w14:paraId="387D4C71">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附件8：广州市重点公共建设项目管理办公室工程建设类制度汇编（另册）</w:t>
      </w:r>
    </w:p>
    <w:p w14:paraId="169081DC">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bdr w:val="single" w:color="auto" w:sz="4" w:space="0"/>
        </w:rPr>
      </w:pPr>
      <w:r>
        <w:rPr>
          <w:rFonts w:hint="eastAsia" w:ascii="Times New Roman" w:hAnsi="Times New Roman"/>
          <w:bCs/>
          <w:color w:val="auto"/>
          <w:spacing w:val="4"/>
          <w:sz w:val="24"/>
          <w:szCs w:val="24"/>
          <w:highlight w:val="none"/>
        </w:rPr>
        <w:t>附件9：监理单位安全生产管理目标责任书</w:t>
      </w:r>
    </w:p>
    <w:p w14:paraId="6FF45BA2">
      <w:pPr>
        <w:adjustRightInd w:val="0"/>
        <w:snapToGrid w:val="0"/>
        <w:spacing w:line="360" w:lineRule="auto"/>
        <w:ind w:left="1719" w:leftChars="346" w:hanging="992" w:hangingChars="400"/>
        <w:rPr>
          <w:rFonts w:ascii="Times New Roman" w:hAnsi="Times New Roman"/>
          <w:bCs/>
          <w:color w:val="auto"/>
          <w:spacing w:val="4"/>
          <w:sz w:val="24"/>
          <w:szCs w:val="24"/>
          <w:highlight w:val="none"/>
        </w:rPr>
      </w:pPr>
      <w:r>
        <w:rPr>
          <w:rFonts w:hint="eastAsia" w:ascii="Times New Roman" w:hAnsi="Times New Roman"/>
          <w:bCs/>
          <w:color w:val="auto"/>
          <w:spacing w:val="4"/>
          <w:sz w:val="24"/>
          <w:highlight w:val="none"/>
        </w:rPr>
        <w:t>附件10：</w:t>
      </w:r>
      <w:r>
        <w:rPr>
          <w:rFonts w:hint="eastAsia" w:ascii="Times New Roman" w:hAnsi="Times New Roman"/>
          <w:bCs/>
          <w:color w:val="auto"/>
          <w:spacing w:val="4"/>
          <w:sz w:val="24"/>
          <w:szCs w:val="24"/>
          <w:highlight w:val="none"/>
          <w:lang w:eastAsia="zh-CN"/>
        </w:rPr>
        <w:t>华南理工大学大学城校区研究生宿舍（二期）施工监理</w:t>
      </w:r>
      <w:r>
        <w:rPr>
          <w:rFonts w:hint="eastAsia" w:ascii="Times New Roman" w:hAnsi="Times New Roman"/>
          <w:bCs/>
          <w:color w:val="auto"/>
          <w:spacing w:val="4"/>
          <w:sz w:val="24"/>
          <w:szCs w:val="24"/>
          <w:highlight w:val="none"/>
        </w:rPr>
        <w:t>使用维护管理责任主体转移三方协议（格式）</w:t>
      </w:r>
    </w:p>
    <w:p w14:paraId="0C306BD8">
      <w:pPr>
        <w:adjustRightInd w:val="0"/>
        <w:snapToGrid w:val="0"/>
        <w:spacing w:line="360" w:lineRule="auto"/>
        <w:ind w:left="1719" w:leftChars="346" w:hanging="992" w:hangingChars="400"/>
        <w:rPr>
          <w:rFonts w:ascii="Times New Roman" w:hAnsi="Times New Roman"/>
          <w:bCs/>
          <w:color w:val="auto"/>
          <w:spacing w:val="4"/>
          <w:sz w:val="24"/>
          <w:szCs w:val="24"/>
          <w:highlight w:val="none"/>
        </w:rPr>
      </w:pPr>
      <w:r>
        <w:rPr>
          <w:rFonts w:hint="eastAsia" w:ascii="Times New Roman" w:hAnsi="Times New Roman"/>
          <w:bCs/>
          <w:snapToGrid w:val="0"/>
          <w:color w:val="auto"/>
          <w:spacing w:val="4"/>
          <w:sz w:val="24"/>
          <w:highlight w:val="none"/>
        </w:rPr>
        <w:t>附件11：监理人营业执照及其法定代表人、项目总监理工程师、项目总监理工程师代表的姓名、身份证复印件、职务、职称、联系方式</w:t>
      </w:r>
    </w:p>
    <w:p w14:paraId="3979460D">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附件12：工程质量终身责任承诺书</w:t>
      </w:r>
    </w:p>
    <w:p w14:paraId="374A564C">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r>
        <w:rPr>
          <w:rFonts w:hint="eastAsia" w:ascii="Times New Roman" w:hAnsi="Times New Roman"/>
          <w:bCs/>
          <w:color w:val="auto"/>
          <w:spacing w:val="4"/>
          <w:sz w:val="24"/>
          <w:szCs w:val="24"/>
          <w:highlight w:val="none"/>
        </w:rPr>
        <w:t>附件13：结算审核工作质量情况考评细则</w:t>
      </w:r>
    </w:p>
    <w:p w14:paraId="154CCBEB">
      <w:pPr>
        <w:topLinePunct/>
        <w:adjustRightInd w:val="0"/>
        <w:snapToGrid w:val="0"/>
        <w:spacing w:line="360" w:lineRule="auto"/>
        <w:ind w:firstLine="716" w:firstLineChars="289"/>
        <w:rPr>
          <w:rFonts w:ascii="Times New Roman" w:hAnsi="Times New Roman"/>
          <w:bCs/>
          <w:color w:val="auto"/>
          <w:spacing w:val="4"/>
          <w:kern w:val="0"/>
          <w:sz w:val="24"/>
          <w:szCs w:val="24"/>
          <w:highlight w:val="none"/>
        </w:rPr>
      </w:pPr>
    </w:p>
    <w:p w14:paraId="43AC45F4">
      <w:pPr>
        <w:topLinePunct/>
        <w:adjustRightInd w:val="0"/>
        <w:snapToGrid w:val="0"/>
        <w:spacing w:line="360" w:lineRule="auto"/>
        <w:ind w:firstLine="744" w:firstLineChars="300"/>
        <w:rPr>
          <w:rFonts w:ascii="Times New Roman" w:hAnsi="Times New Roman"/>
          <w:bCs/>
          <w:color w:val="auto"/>
          <w:spacing w:val="4"/>
          <w:kern w:val="0"/>
          <w:sz w:val="24"/>
          <w:szCs w:val="24"/>
          <w:highlight w:val="none"/>
        </w:rPr>
      </w:pPr>
    </w:p>
    <w:p w14:paraId="6FDE6655">
      <w:pPr>
        <w:topLinePunct/>
        <w:adjustRightInd w:val="0"/>
        <w:snapToGrid w:val="0"/>
        <w:spacing w:line="360" w:lineRule="auto"/>
        <w:rPr>
          <w:rFonts w:ascii="Times New Roman" w:hAnsi="Times New Roman"/>
          <w:b/>
          <w:color w:val="auto"/>
          <w:spacing w:val="4"/>
          <w:kern w:val="0"/>
          <w:sz w:val="24"/>
          <w:szCs w:val="24"/>
          <w:highlight w:val="none"/>
        </w:rPr>
      </w:pPr>
    </w:p>
    <w:p w14:paraId="56F96C65">
      <w:pPr>
        <w:topLinePunct/>
        <w:adjustRightInd w:val="0"/>
        <w:snapToGrid w:val="0"/>
        <w:spacing w:line="360" w:lineRule="auto"/>
        <w:rPr>
          <w:rFonts w:ascii="Times New Roman" w:hAnsi="Times New Roman"/>
          <w:b/>
          <w:color w:val="auto"/>
          <w:spacing w:val="4"/>
          <w:kern w:val="0"/>
          <w:sz w:val="24"/>
          <w:szCs w:val="24"/>
          <w:highlight w:val="none"/>
        </w:rPr>
      </w:pPr>
    </w:p>
    <w:p w14:paraId="7B309C26">
      <w:pPr>
        <w:spacing w:line="360" w:lineRule="auto"/>
        <w:outlineLvl w:val="1"/>
        <w:rPr>
          <w:rFonts w:ascii="Times New Roman" w:hAnsi="Times New Roman"/>
          <w:color w:val="auto"/>
          <w:sz w:val="24"/>
          <w:highlight w:val="none"/>
        </w:rPr>
      </w:pPr>
      <w:r>
        <w:rPr>
          <w:rFonts w:ascii="Times New Roman" w:hAnsi="Times New Roman"/>
          <w:b/>
          <w:color w:val="auto"/>
          <w:highlight w:val="none"/>
        </w:rPr>
        <w:br w:type="page"/>
      </w:r>
      <w:r>
        <w:rPr>
          <w:rFonts w:hint="eastAsia" w:ascii="Times New Roman" w:hAnsi="Times New Roman" w:cs="宋体"/>
          <w:b/>
          <w:color w:val="auto"/>
          <w:sz w:val="24"/>
          <w:highlight w:val="none"/>
        </w:rPr>
        <w:t>附件</w:t>
      </w:r>
      <w:r>
        <w:rPr>
          <w:rFonts w:ascii="Times New Roman" w:hAnsi="Times New Roman" w:cs="宋体"/>
          <w:b/>
          <w:color w:val="auto"/>
          <w:sz w:val="24"/>
          <w:highlight w:val="none"/>
        </w:rPr>
        <w:t>1</w:t>
      </w:r>
      <w:r>
        <w:rPr>
          <w:rFonts w:hint="eastAsia" w:ascii="Times New Roman" w:hAnsi="Times New Roman" w:cs="宋体"/>
          <w:b/>
          <w:color w:val="auto"/>
          <w:sz w:val="24"/>
          <w:highlight w:val="none"/>
        </w:rPr>
        <w:t>：工程建设廉洁协议书</w:t>
      </w:r>
    </w:p>
    <w:p w14:paraId="299EC6E0">
      <w:pPr>
        <w:spacing w:line="300" w:lineRule="auto"/>
        <w:jc w:val="center"/>
        <w:rPr>
          <w:rFonts w:ascii="Times New Roman" w:hAnsi="Times New Roman"/>
          <w:color w:val="auto"/>
          <w:sz w:val="32"/>
          <w:szCs w:val="32"/>
          <w:highlight w:val="none"/>
        </w:rPr>
      </w:pPr>
      <w:r>
        <w:rPr>
          <w:rFonts w:hint="eastAsia" w:ascii="Times New Roman" w:hAnsi="Times New Roman"/>
          <w:color w:val="auto"/>
          <w:sz w:val="32"/>
          <w:szCs w:val="32"/>
          <w:highlight w:val="none"/>
        </w:rPr>
        <w:t>工程建设廉洁协议书</w:t>
      </w:r>
    </w:p>
    <w:p w14:paraId="2B83F433">
      <w:pPr>
        <w:adjustRightInd w:val="0"/>
        <w:snapToGrid w:val="0"/>
        <w:spacing w:line="300" w:lineRule="auto"/>
        <w:rPr>
          <w:rFonts w:ascii="Times New Roman" w:hAnsi="Times New Roman"/>
          <w:color w:val="auto"/>
          <w:szCs w:val="21"/>
          <w:highlight w:val="none"/>
        </w:rPr>
      </w:pPr>
    </w:p>
    <w:p w14:paraId="10AD154D">
      <w:pPr>
        <w:adjustRightInd w:val="0"/>
        <w:snapToGrid w:val="0"/>
        <w:spacing w:line="300" w:lineRule="auto"/>
        <w:rPr>
          <w:rFonts w:hint="eastAsia" w:ascii="Times New Roman" w:hAnsi="Times New Roman" w:eastAsia="宋体"/>
          <w:bCs/>
          <w:snapToGrid w:val="0"/>
          <w:color w:val="auto"/>
          <w:sz w:val="24"/>
          <w:highlight w:val="none"/>
          <w:lang w:eastAsia="zh-CN"/>
        </w:rPr>
      </w:pPr>
      <w:r>
        <w:rPr>
          <w:rFonts w:hint="eastAsia" w:ascii="Times New Roman" w:hAnsi="Times New Roman"/>
          <w:bCs/>
          <w:snapToGrid w:val="0"/>
          <w:color w:val="auto"/>
          <w:sz w:val="24"/>
          <w:highlight w:val="none"/>
        </w:rPr>
        <w:t>工程项目名称：</w:t>
      </w:r>
      <w:r>
        <w:rPr>
          <w:rFonts w:hint="eastAsia" w:ascii="Times New Roman" w:hAnsi="Times New Roman"/>
          <w:bCs/>
          <w:snapToGrid w:val="0"/>
          <w:color w:val="auto"/>
          <w:sz w:val="24"/>
          <w:highlight w:val="none"/>
          <w:lang w:eastAsia="zh-CN"/>
        </w:rPr>
        <w:t>华南理工大学大学城校区研究生宿舍（二期）</w:t>
      </w:r>
    </w:p>
    <w:p w14:paraId="24049107">
      <w:pPr>
        <w:adjustRightInd w:val="0"/>
        <w:snapToGrid w:val="0"/>
        <w:spacing w:line="300" w:lineRule="auto"/>
        <w:rPr>
          <w:rFonts w:hint="eastAsia" w:ascii="Times New Roman" w:hAnsi="Times New Roman" w:eastAsia="宋体"/>
          <w:bCs/>
          <w:snapToGrid w:val="0"/>
          <w:color w:val="auto"/>
          <w:sz w:val="24"/>
          <w:highlight w:val="none"/>
          <w:lang w:eastAsia="zh-CN"/>
        </w:rPr>
      </w:pPr>
      <w:r>
        <w:rPr>
          <w:rFonts w:hint="eastAsia" w:ascii="Times New Roman" w:hAnsi="Times New Roman"/>
          <w:bCs/>
          <w:snapToGrid w:val="0"/>
          <w:color w:val="auto"/>
          <w:sz w:val="24"/>
          <w:highlight w:val="none"/>
        </w:rPr>
        <w:t>工程项目地址：</w:t>
      </w:r>
      <w:r>
        <w:rPr>
          <w:rFonts w:hint="eastAsia" w:ascii="Times New Roman" w:hAnsi="Times New Roman"/>
          <w:bCs/>
          <w:snapToGrid w:val="0"/>
          <w:color w:val="auto"/>
          <w:sz w:val="24"/>
          <w:highlight w:val="none"/>
          <w:lang w:eastAsia="zh-CN"/>
        </w:rPr>
        <w:t>项目位于华南理工大学大学城校区</w:t>
      </w:r>
    </w:p>
    <w:p w14:paraId="60C357A4">
      <w:pPr>
        <w:adjustRightInd w:val="0"/>
        <w:snapToGrid w:val="0"/>
        <w:spacing w:line="300" w:lineRule="auto"/>
        <w:rPr>
          <w:rFonts w:ascii="Times New Roman" w:hAnsi="Times New Roman"/>
          <w:bCs/>
          <w:snapToGrid w:val="0"/>
          <w:color w:val="auto"/>
          <w:sz w:val="24"/>
          <w:highlight w:val="none"/>
        </w:rPr>
      </w:pPr>
      <w:r>
        <w:rPr>
          <w:rFonts w:hint="eastAsia" w:ascii="Times New Roman" w:hAnsi="Times New Roman"/>
          <w:bCs/>
          <w:snapToGrid w:val="0"/>
          <w:color w:val="auto"/>
          <w:sz w:val="24"/>
          <w:highlight w:val="none"/>
        </w:rPr>
        <w:t>甲方（委托人）：广州市重点公共建设项目管理中心</w:t>
      </w:r>
    </w:p>
    <w:p w14:paraId="688ABBDE">
      <w:pPr>
        <w:adjustRightInd w:val="0"/>
        <w:snapToGrid w:val="0"/>
        <w:spacing w:line="300" w:lineRule="auto"/>
        <w:rPr>
          <w:rFonts w:ascii="Times New Roman" w:hAnsi="Times New Roman"/>
          <w:bCs/>
          <w:snapToGrid w:val="0"/>
          <w:color w:val="auto"/>
          <w:sz w:val="24"/>
          <w:highlight w:val="none"/>
        </w:rPr>
      </w:pPr>
      <w:r>
        <w:rPr>
          <w:rFonts w:hint="eastAsia" w:ascii="Times New Roman" w:hAnsi="Times New Roman"/>
          <w:bCs/>
          <w:snapToGrid w:val="0"/>
          <w:color w:val="auto"/>
          <w:sz w:val="24"/>
          <w:highlight w:val="none"/>
        </w:rPr>
        <w:t>乙方（监理人）：</w:t>
      </w:r>
    </w:p>
    <w:p w14:paraId="54DCCAB4">
      <w:pPr>
        <w:adjustRightInd w:val="0"/>
        <w:snapToGrid w:val="0"/>
        <w:spacing w:line="300" w:lineRule="auto"/>
        <w:rPr>
          <w:rFonts w:ascii="Times New Roman" w:hAnsi="Times New Roman"/>
          <w:bCs/>
          <w:color w:val="auto"/>
          <w:sz w:val="24"/>
          <w:highlight w:val="none"/>
        </w:rPr>
      </w:pPr>
    </w:p>
    <w:p w14:paraId="6615A7A6">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为切实加强廉洁工程建设，规范甲乙双方的各项建筑活动，预防本工程</w:t>
      </w:r>
      <w:r>
        <w:rPr>
          <w:rFonts w:hint="eastAsia" w:ascii="Times New Roman" w:hAnsi="Times New Roman"/>
          <w:snapToGrid w:val="0"/>
          <w:color w:val="auto"/>
          <w:sz w:val="24"/>
          <w:highlight w:val="none"/>
        </w:rPr>
        <w:t>违法违纪等腐败现象的发生</w:t>
      </w:r>
      <w:r>
        <w:rPr>
          <w:rFonts w:hint="eastAsia" w:ascii="Times New Roman" w:hAnsi="Times New Roman"/>
          <w:color w:val="auto"/>
          <w:sz w:val="24"/>
          <w:highlight w:val="none"/>
        </w:rPr>
        <w:t>，保障工程建设优质、安全和廉洁，根据国家工程建设相关法律法规和廉政建设责任制的规定，特订立协议书。</w:t>
      </w:r>
    </w:p>
    <w:p w14:paraId="3740E63D">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第一条  甲乙双方责任</w:t>
      </w:r>
    </w:p>
    <w:p w14:paraId="58D99BE1">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（一）严格遵守国家有关法律法规和政策规定，以及廉政建设的各项约定。</w:t>
      </w:r>
    </w:p>
    <w:p w14:paraId="7E7425F9">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（二）严格执行建设工程项目承发包合同文件，自觉按合同办事。</w:t>
      </w:r>
    </w:p>
    <w:p w14:paraId="2751C92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1DC3F6A9">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（四）发现对方在建筑活动中存在违规、违纪、违法行为的，有权向其上级主管部门或纪检监察、检察等有关机关举报。</w:t>
      </w:r>
    </w:p>
    <w:p w14:paraId="205F0F9D">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（五）甲乙双方应充分发挥各自职能作用，积极互动形成纵向监督合力，依照本协议书规定，对本工程项目承发包合同履行情况实施监督，及时制止不廉洁行为的发生。</w:t>
      </w:r>
    </w:p>
    <w:p w14:paraId="1238FC00">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第二条  甲方责任</w:t>
      </w:r>
    </w:p>
    <w:p w14:paraId="05504FF3">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（一）甲方领导干部和从事该工程建设的管理人员，在建筑活动中须严格遵守以下廉洁从业规定：</w:t>
      </w:r>
    </w:p>
    <w:p w14:paraId="506FA6BA">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不准向乙方和相关单位或个人索取钱物或接受回扣、礼金、各种有价证券、信用卡和好处费、感谢费以及其它支付凭证等。</w:t>
      </w:r>
    </w:p>
    <w:p w14:paraId="7904FE16">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不准接受可能影响公正执行公务的乙方和相关单位或个人的礼物馈赠、宴请、各种形式俱乐部会员资格、高消费娱乐活动。</w:t>
      </w:r>
    </w:p>
    <w:p w14:paraId="56B7C0B3">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不准在乙方和相关单位报销任何应由甲方或个人负担的费用。</w:t>
      </w:r>
    </w:p>
    <w:p w14:paraId="5C531E6D">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不准要求、暗示或接受乙方和相关单位或个人为自己、配偶、子女、其他亲属朋友及身边工作人员的装修住房、婚丧嫁娶、工作安排、学习培训、经商办企业以及出国（境）、旅游、度假等支付费用。</w:t>
      </w:r>
    </w:p>
    <w:p w14:paraId="7603522C">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不准向乙方介绍配偶、子女、其他亲属朋友及身边工作人员参与同甲方项目工程合同有关的设备、材料、工程分包、劳务等经济活动。</w:t>
      </w:r>
    </w:p>
    <w:p w14:paraId="6B49ACB0">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w:t>
      </w:r>
      <w:r>
        <w:rPr>
          <w:rFonts w:hint="eastAsia" w:ascii="Times New Roman" w:hAnsi="Times New Roman"/>
          <w:color w:val="auto"/>
          <w:sz w:val="24"/>
          <w:highlight w:val="none"/>
        </w:rPr>
        <w:t>不得以任何理由向乙方和相关单位推荐分包单位和要求或暗示乙方购买项目工程合同规定外的材料、设备等。</w:t>
      </w:r>
    </w:p>
    <w:p w14:paraId="216CA2A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（二）合同签订后组织与乙方相关廉洁责任人见面会，进行廉洁工程建设交底，明确廉洁工程建设责任和目标任务、举报方式。</w:t>
      </w:r>
    </w:p>
    <w:p w14:paraId="0C461A85">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（三）加强对合同支付、合同结算等建设管理环节的监督管理，特别是审批效能方面的监察检查，提高建设管理服务水平。</w:t>
      </w:r>
    </w:p>
    <w:p w14:paraId="34F6FF7C">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（四）组织开展图片展览、法制讲座、参观监狱等活动，加强对员工的法律法规、廉洁和职业道德教育。</w:t>
      </w:r>
    </w:p>
    <w:p w14:paraId="12791B5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（五）成立监督工作机构，不定期对合同履行情况开展监督检查，对发现的有关问题，及时协调给予解决。</w:t>
      </w:r>
    </w:p>
    <w:p w14:paraId="0C99CC7F">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第三条  乙方责任</w:t>
      </w:r>
    </w:p>
    <w:p w14:paraId="1D12A0FC">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（一）与甲方保持正常的业务交往，遵守以下规定：</w:t>
      </w:r>
    </w:p>
    <w:p w14:paraId="2B42138B">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不准以任何理由向甲方人员行贿或赠送回扣、礼金、各种有价证券、信用卡和好处费、感谢费及其它支付凭证等。</w:t>
      </w:r>
    </w:p>
    <w:p w14:paraId="1E3E5974">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不准以任何理由为甲方人员组织有可能影响公正执行公务的宴请、各种形式俱乐部及高消费娱乐等活动。</w:t>
      </w:r>
    </w:p>
    <w:p w14:paraId="47BAC647">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不准以任何理由为甲方或其个人报销应由对方或个人支付的费用。</w:t>
      </w:r>
    </w:p>
    <w:p w14:paraId="452CFD26">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w:t>
      </w:r>
      <w:r>
        <w:rPr>
          <w:rFonts w:hint="eastAsia" w:ascii="Times New Roman" w:hAnsi="Times New Roman"/>
          <w:color w:val="auto"/>
          <w:sz w:val="24"/>
          <w:highlight w:val="none"/>
        </w:rPr>
        <w:t>不准暗示或要求为甲方人员及其配偶、子女、其他亲属朋友及身边工作人员的装修住房、婚丧嫁娶、工作安排、学习培训、经商办企业以及出国（境）、旅游、度假提供方便和支付费用。</w:t>
      </w:r>
    </w:p>
    <w:p w14:paraId="3593C825">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不准介绍和安排甲方人员及其配偶、子女、其他亲属朋友及身边工作人员参与同甲方工程项目有关的设备、材料、工程分包、劳务等经济活动。</w:t>
      </w:r>
    </w:p>
    <w:p w14:paraId="62128ECE">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（二）组织项目负责人及相关管理人员层层签订廉洁从业责任状，明确廉洁责任，形成有效的内部监督管理机制。</w:t>
      </w:r>
    </w:p>
    <w:p w14:paraId="36600A1B">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（三）按甲方要求参加廉政座谈、法制讲座、参观监狱等活动，加强对项目负责人及相关管理人员的法律法规、廉洁和职业道德教育，共同筑牢防腐防线。</w:t>
      </w:r>
    </w:p>
    <w:p w14:paraId="5CFA2DE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第四条  违约责任</w:t>
      </w:r>
    </w:p>
    <w:p w14:paraId="1F69FF93">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（一）甲方违约责任</w:t>
      </w:r>
    </w:p>
    <w:p w14:paraId="67577280">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甲方不履行或不完全履行本协议书有关责任义务给乙方造成损失的，在乙方提交足够证据并经查证属实的情况下，甲方赔偿其直接经济损失。</w:t>
      </w:r>
    </w:p>
    <w:p w14:paraId="791EC7C6">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甲方人员出现受贿等严重违法违纪违规行为的，按照管理权限，依据有关法律法规和规定给予党纪、政纪处分或组织处理；涉嫌犯罪的，移交司法机关追究刑事责任。</w:t>
      </w:r>
    </w:p>
    <w:p w14:paraId="24EA1588">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（二）乙方违约责任</w:t>
      </w:r>
    </w:p>
    <w:p w14:paraId="2DAD4E09">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乙方不履行或不完全履行本协议书有关责任义务的，按本工程监理合同规定须承担一次一般违约责任。情节较轻的，可给予书面警告；情节较重的，须承担一次严重违约责任。</w:t>
      </w:r>
    </w:p>
    <w:p w14:paraId="1347FFC9">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乙方出现严重违法违纪违规行为的，按照管理权限，依据有关法律法规和规定给予党纪、政纪处分或组织处理；涉嫌犯罪的，移交司法机关追究刑事责任。</w:t>
      </w:r>
    </w:p>
    <w:p w14:paraId="7715D078">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第五条  甲乙双方监管部门</w:t>
      </w:r>
    </w:p>
    <w:p w14:paraId="62B0BEE3">
      <w:pPr>
        <w:adjustRightInd w:val="0"/>
        <w:snapToGrid w:val="0"/>
        <w:spacing w:line="300" w:lineRule="auto"/>
        <w:ind w:firstLine="480" w:firstLineChars="200"/>
        <w:rPr>
          <w:rFonts w:ascii="Times New Roman" w:hAnsi="Times New Roman"/>
          <w:snapToGrid w:val="0"/>
          <w:color w:val="auto"/>
          <w:kern w:val="0"/>
          <w:sz w:val="24"/>
          <w:highlight w:val="none"/>
        </w:rPr>
      </w:pPr>
      <w:r>
        <w:rPr>
          <w:rFonts w:ascii="Times New Roman" w:hAnsi="Times New Roman"/>
          <w:snapToGrid w:val="0"/>
          <w:color w:val="auto"/>
          <w:kern w:val="0"/>
          <w:sz w:val="24"/>
          <w:highlight w:val="none"/>
        </w:rPr>
        <w:t>1.</w:t>
      </w:r>
      <w:r>
        <w:rPr>
          <w:rFonts w:hint="eastAsia" w:ascii="Times New Roman" w:hAnsi="Times New Roman"/>
          <w:snapToGrid w:val="0"/>
          <w:color w:val="auto"/>
          <w:kern w:val="0"/>
          <w:sz w:val="24"/>
          <w:highlight w:val="none"/>
        </w:rPr>
        <w:t>甲方监督部门：纪检审计室，举报电话</w:t>
      </w:r>
      <w:r>
        <w:rPr>
          <w:rFonts w:ascii="Times New Roman" w:hAnsi="Times New Roman"/>
          <w:snapToGrid w:val="0"/>
          <w:color w:val="auto"/>
          <w:kern w:val="0"/>
          <w:sz w:val="24"/>
          <w:highlight w:val="none"/>
        </w:rPr>
        <w:t>/</w:t>
      </w:r>
      <w:r>
        <w:rPr>
          <w:rFonts w:hint="eastAsia" w:ascii="Times New Roman" w:hAnsi="Times New Roman"/>
          <w:snapToGrid w:val="0"/>
          <w:color w:val="auto"/>
          <w:kern w:val="0"/>
          <w:sz w:val="24"/>
          <w:highlight w:val="none"/>
        </w:rPr>
        <w:t>电子邮箱：</w:t>
      </w:r>
      <w:r>
        <w:rPr>
          <w:rFonts w:ascii="Times New Roman" w:hAnsi="Times New Roman"/>
          <w:snapToGrid w:val="0"/>
          <w:color w:val="auto"/>
          <w:kern w:val="0"/>
          <w:sz w:val="24"/>
          <w:highlight w:val="none"/>
        </w:rPr>
        <w:t>020-22905611/gcpcjj@gz.gov.cn</w:t>
      </w:r>
      <w:r>
        <w:rPr>
          <w:rFonts w:hint="eastAsia" w:ascii="Times New Roman" w:hAnsi="Times New Roman"/>
          <w:snapToGrid w:val="0"/>
          <w:color w:val="auto"/>
          <w:kern w:val="0"/>
          <w:sz w:val="24"/>
          <w:highlight w:val="none"/>
        </w:rPr>
        <w:t>（纪委书记信箱）。</w:t>
      </w:r>
    </w:p>
    <w:p w14:paraId="7D9CD235">
      <w:pPr>
        <w:adjustRightInd w:val="0"/>
        <w:snapToGrid w:val="0"/>
        <w:spacing w:line="30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乙方监督部门：__________，举报电话：__________；廉政责任人：________，职务：_________；上级主管部门：_________________。</w:t>
      </w:r>
    </w:p>
    <w:p w14:paraId="6885A3E4">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第六条  本协议书作为监理合同的附件，与监理合同具有同等法律效力。经双方签字盖章后生效。</w:t>
      </w:r>
    </w:p>
    <w:p w14:paraId="0D2AD92A">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第七条  本协议书有效期为双方签字盖章之日起至所属工程项目合同履行完毕时止。</w:t>
      </w:r>
    </w:p>
    <w:p w14:paraId="58B72CD7">
      <w:pPr>
        <w:adjustRightInd w:val="0"/>
        <w:snapToGrid w:val="0"/>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第八条  未尽事宜，由双方协商解决。</w:t>
      </w:r>
    </w:p>
    <w:p w14:paraId="08C9BDA5">
      <w:pPr>
        <w:adjustRightInd w:val="0"/>
        <w:snapToGrid w:val="0"/>
        <w:spacing w:line="300" w:lineRule="auto"/>
        <w:rPr>
          <w:rFonts w:ascii="Times New Roman" w:hAnsi="Times New Roman"/>
          <w:color w:val="auto"/>
          <w:sz w:val="24"/>
          <w:highlight w:val="none"/>
        </w:rPr>
      </w:pPr>
      <w:r>
        <w:rPr>
          <w:rFonts w:hint="eastAsia" w:ascii="Times New Roman" w:hAnsi="Times New Roman"/>
          <w:color w:val="auto"/>
          <w:sz w:val="24"/>
          <w:highlight w:val="none"/>
        </w:rPr>
        <w:t>（本页以下无正文）</w:t>
      </w:r>
    </w:p>
    <w:p w14:paraId="642F8C6E">
      <w:pPr>
        <w:adjustRightInd w:val="0"/>
        <w:snapToGrid w:val="0"/>
        <w:spacing w:line="300" w:lineRule="auto"/>
        <w:rPr>
          <w:rFonts w:ascii="Times New Roman" w:hAnsi="Times New Roman"/>
          <w:color w:val="auto"/>
          <w:sz w:val="24"/>
          <w:highlight w:val="none"/>
        </w:rPr>
      </w:pPr>
    </w:p>
    <w:p w14:paraId="3331FA38">
      <w:pPr>
        <w:adjustRightInd w:val="0"/>
        <w:snapToGrid w:val="0"/>
        <w:spacing w:line="300" w:lineRule="auto"/>
        <w:rPr>
          <w:rFonts w:ascii="Times New Roman" w:hAnsi="Times New Roman"/>
          <w:color w:val="auto"/>
          <w:sz w:val="24"/>
          <w:highlight w:val="none"/>
        </w:rPr>
      </w:pPr>
    </w:p>
    <w:p w14:paraId="0C2A1EAB">
      <w:pPr>
        <w:adjustRightInd w:val="0"/>
        <w:snapToGrid w:val="0"/>
        <w:spacing w:line="300" w:lineRule="auto"/>
        <w:rPr>
          <w:rFonts w:ascii="Times New Roman" w:hAnsi="Times New Roman"/>
          <w:color w:val="auto"/>
          <w:sz w:val="24"/>
          <w:highlight w:val="none"/>
        </w:rPr>
      </w:pPr>
    </w:p>
    <w:p w14:paraId="1E5C67DE">
      <w:pPr>
        <w:adjustRightInd w:val="0"/>
        <w:snapToGrid w:val="0"/>
        <w:spacing w:line="300" w:lineRule="auto"/>
        <w:ind w:left="3960" w:hanging="3960" w:hangingChars="1650"/>
        <w:rPr>
          <w:rFonts w:ascii="Times New Roman" w:hAnsi="Times New Roman"/>
          <w:color w:val="auto"/>
          <w:sz w:val="24"/>
          <w:highlight w:val="none"/>
        </w:rPr>
      </w:pPr>
      <w:r>
        <w:rPr>
          <w:rFonts w:hint="eastAsia" w:ascii="Times New Roman" w:hAnsi="Times New Roman"/>
          <w:color w:val="auto"/>
          <w:sz w:val="24"/>
          <w:highlight w:val="none"/>
        </w:rPr>
        <w:t>甲方：</w:t>
      </w:r>
      <w:r>
        <w:rPr>
          <w:rFonts w:hint="eastAsia" w:ascii="Times New Roman" w:hAnsi="Times New Roman"/>
          <w:color w:val="auto"/>
          <w:spacing w:val="-10"/>
          <w:sz w:val="24"/>
          <w:highlight w:val="none"/>
        </w:rPr>
        <w:t>广州市重点公共建设项目管理中心</w:t>
      </w:r>
      <w:r>
        <w:rPr>
          <w:rFonts w:hint="eastAsia" w:ascii="Times New Roman" w:hAnsi="Times New Roman"/>
          <w:color w:val="auto"/>
          <w:sz w:val="24"/>
          <w:highlight w:val="none"/>
        </w:rPr>
        <w:t xml:space="preserve">   乙方： </w:t>
      </w:r>
    </w:p>
    <w:p w14:paraId="6CA1C766">
      <w:pPr>
        <w:adjustRightInd w:val="0"/>
        <w:snapToGrid w:val="0"/>
        <w:spacing w:line="300" w:lineRule="auto"/>
        <w:ind w:left="3955" w:leftChars="855" w:hanging="2160" w:hangingChars="900"/>
        <w:rPr>
          <w:rFonts w:ascii="Times New Roman" w:hAnsi="Times New Roman"/>
          <w:color w:val="auto"/>
          <w:sz w:val="24"/>
          <w:highlight w:val="none"/>
        </w:rPr>
      </w:pPr>
      <w:r>
        <w:rPr>
          <w:rFonts w:hint="eastAsia" w:ascii="Times New Roman" w:hAnsi="Times New Roman"/>
          <w:color w:val="auto"/>
          <w:sz w:val="24"/>
          <w:highlight w:val="none"/>
        </w:rPr>
        <w:t>（盖章）                            （盖章）</w:t>
      </w:r>
    </w:p>
    <w:p w14:paraId="71059068">
      <w:pPr>
        <w:adjustRightInd w:val="0"/>
        <w:snapToGrid w:val="0"/>
        <w:spacing w:line="300" w:lineRule="auto"/>
        <w:rPr>
          <w:rFonts w:ascii="Times New Roman" w:hAnsi="Times New Roman"/>
          <w:color w:val="auto"/>
          <w:sz w:val="24"/>
          <w:highlight w:val="none"/>
        </w:rPr>
      </w:pPr>
    </w:p>
    <w:p w14:paraId="7BC5AC59">
      <w:pPr>
        <w:adjustRightInd w:val="0"/>
        <w:snapToGrid w:val="0"/>
        <w:spacing w:line="300" w:lineRule="auto"/>
        <w:rPr>
          <w:rFonts w:ascii="Times New Roman" w:hAnsi="Times New Roman"/>
          <w:color w:val="auto"/>
          <w:sz w:val="24"/>
          <w:highlight w:val="none"/>
        </w:rPr>
      </w:pPr>
      <w:r>
        <w:rPr>
          <w:rFonts w:hint="eastAsia" w:ascii="Times New Roman" w:hAnsi="Times New Roman"/>
          <w:color w:val="auto"/>
          <w:sz w:val="24"/>
          <w:highlight w:val="none"/>
        </w:rPr>
        <w:t>法定代表人：                         法定代表人：</w:t>
      </w:r>
    </w:p>
    <w:p w14:paraId="26D15634">
      <w:pPr>
        <w:tabs>
          <w:tab w:val="left" w:pos="5460"/>
        </w:tabs>
        <w:adjustRightInd w:val="0"/>
        <w:snapToGrid w:val="0"/>
        <w:spacing w:line="300" w:lineRule="auto"/>
        <w:ind w:left="-2" w:leftChars="-1" w:right="11"/>
        <w:rPr>
          <w:rFonts w:ascii="Times New Roman" w:hAnsi="Times New Roman"/>
          <w:color w:val="auto"/>
          <w:sz w:val="24"/>
          <w:highlight w:val="none"/>
        </w:rPr>
      </w:pPr>
    </w:p>
    <w:p w14:paraId="4D0BA51B">
      <w:pPr>
        <w:tabs>
          <w:tab w:val="left" w:pos="5460"/>
        </w:tabs>
        <w:adjustRightInd w:val="0"/>
        <w:snapToGrid w:val="0"/>
        <w:spacing w:line="300" w:lineRule="auto"/>
        <w:ind w:left="-2" w:leftChars="-1" w:right="11"/>
        <w:rPr>
          <w:rFonts w:ascii="Times New Roman" w:hAnsi="Times New Roman"/>
          <w:color w:val="auto"/>
          <w:sz w:val="24"/>
          <w:highlight w:val="none"/>
        </w:rPr>
      </w:pPr>
      <w:r>
        <w:rPr>
          <w:rFonts w:hint="eastAsia" w:ascii="Times New Roman" w:hAnsi="Times New Roman"/>
          <w:color w:val="auto"/>
          <w:sz w:val="24"/>
          <w:highlight w:val="none"/>
        </w:rPr>
        <w:t>委托代理人：                         委托代理人：</w:t>
      </w:r>
    </w:p>
    <w:p w14:paraId="02677358">
      <w:pPr>
        <w:tabs>
          <w:tab w:val="left" w:pos="5460"/>
        </w:tabs>
        <w:adjustRightInd w:val="0"/>
        <w:snapToGrid w:val="0"/>
        <w:spacing w:line="300" w:lineRule="auto"/>
        <w:ind w:left="-2" w:leftChars="-1" w:right="11"/>
        <w:rPr>
          <w:rFonts w:ascii="Times New Roman" w:hAnsi="Times New Roman"/>
          <w:color w:val="auto"/>
          <w:sz w:val="24"/>
          <w:highlight w:val="none"/>
        </w:rPr>
      </w:pPr>
    </w:p>
    <w:p w14:paraId="175F818A">
      <w:pPr>
        <w:tabs>
          <w:tab w:val="left" w:pos="5460"/>
        </w:tabs>
        <w:adjustRightInd w:val="0"/>
        <w:snapToGrid w:val="0"/>
        <w:spacing w:line="300" w:lineRule="auto"/>
        <w:ind w:left="-2" w:leftChars="-1" w:right="11" w:firstLine="360" w:firstLineChars="150"/>
        <w:rPr>
          <w:rFonts w:ascii="Times New Roman" w:hAnsi="Times New Roman"/>
          <w:color w:val="auto"/>
          <w:sz w:val="24"/>
          <w:highlight w:val="none"/>
        </w:rPr>
      </w:pPr>
      <w:r>
        <w:rPr>
          <w:rFonts w:hint="eastAsia" w:ascii="Times New Roman" w:hAnsi="Times New Roman"/>
          <w:color w:val="auto"/>
          <w:sz w:val="24"/>
          <w:highlight w:val="none"/>
        </w:rPr>
        <w:t xml:space="preserve"> 年  月  日</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年  月  日</w:t>
      </w:r>
    </w:p>
    <w:p w14:paraId="2AC5D5E0">
      <w:pPr>
        <w:keepNext w:val="0"/>
        <w:keepLines w:val="0"/>
        <w:widowControl w:val="0"/>
        <w:suppressLineNumbers w:val="0"/>
        <w:spacing w:before="0" w:beforeAutospacing="0" w:after="0" w:afterAutospacing="0" w:line="360" w:lineRule="auto"/>
        <w:ind w:left="0" w:right="0"/>
        <w:jc w:val="both"/>
        <w:outlineLvl w:val="1"/>
        <w:rPr>
          <w:rFonts w:ascii="Times New Roman" w:hAnsi="Times New Roman" w:cs="宋体"/>
          <w:b/>
          <w:strike/>
          <w:color w:val="auto"/>
          <w:sz w:val="24"/>
          <w:highlight w:val="none"/>
        </w:rPr>
      </w:pPr>
      <w:r>
        <w:rPr>
          <w:rFonts w:ascii="Times New Roman" w:hAnsi="Times New Roman"/>
          <w:bCs/>
          <w:color w:val="auto"/>
          <w:highlight w:val="none"/>
        </w:rPr>
        <w:br w:type="page"/>
      </w:r>
      <w:r>
        <w:rPr>
          <w:rFonts w:hint="eastAsia" w:ascii="Times New Roman" w:hAnsi="Times New Roman" w:cs="宋体"/>
          <w:b/>
          <w:strike/>
          <w:color w:val="auto"/>
          <w:sz w:val="24"/>
          <w:highlight w:val="none"/>
        </w:rPr>
        <w:t>附件2：本项目《建设资金支付协议》</w:t>
      </w:r>
      <w:r>
        <w:rPr>
          <w:rFonts w:hint="eastAsia" w:ascii="宋体" w:hAnsi="宋体" w:eastAsia="宋体" w:cs="宋体"/>
          <w:b/>
          <w:bCs w:val="0"/>
          <w:strike/>
          <w:color w:val="auto"/>
          <w:kern w:val="2"/>
          <w:sz w:val="24"/>
          <w:szCs w:val="24"/>
          <w:highlight w:val="none"/>
          <w:lang w:val="en-US" w:eastAsia="zh-CN" w:bidi="ar"/>
        </w:rPr>
        <w:t>（签订合同时附签字盖章文本）</w:t>
      </w:r>
    </w:p>
    <w:p w14:paraId="46364C87">
      <w:pPr>
        <w:topLinePunct/>
        <w:adjustRightInd w:val="0"/>
        <w:snapToGrid w:val="0"/>
        <w:spacing w:before="240" w:line="240" w:lineRule="auto"/>
        <w:jc w:val="center"/>
        <w:rPr>
          <w:color w:val="auto"/>
          <w:szCs w:val="21"/>
          <w:highlight w:val="none"/>
        </w:rPr>
      </w:pPr>
    </w:p>
    <w:p w14:paraId="29BFDAAE">
      <w:pPr>
        <w:topLinePunct/>
        <w:adjustRightInd w:val="0"/>
        <w:snapToGrid w:val="0"/>
        <w:spacing w:before="240" w:line="960" w:lineRule="exact"/>
        <w:jc w:val="center"/>
        <w:rPr>
          <w:color w:val="auto"/>
          <w:szCs w:val="21"/>
          <w:highlight w:val="none"/>
        </w:rPr>
      </w:pPr>
    </w:p>
    <w:p w14:paraId="4984CC62">
      <w:pPr>
        <w:adjustRightInd/>
        <w:snapToGrid/>
        <w:spacing w:line="240" w:lineRule="auto"/>
        <w:jc w:val="left"/>
        <w:outlineLvl w:val="9"/>
        <w:rPr>
          <w:rFonts w:ascii="Times New Roman" w:hAnsi="Times New Roman"/>
          <w:bCs/>
          <w:color w:val="auto"/>
          <w:highlight w:val="none"/>
        </w:rPr>
      </w:pPr>
    </w:p>
    <w:p w14:paraId="23C63C1D">
      <w:pPr>
        <w:adjustRightInd/>
        <w:snapToGrid/>
        <w:spacing w:line="240" w:lineRule="auto"/>
        <w:jc w:val="left"/>
        <w:outlineLvl w:val="9"/>
        <w:rPr>
          <w:rFonts w:ascii="Times New Roman" w:hAnsi="Times New Roman"/>
          <w:bCs/>
          <w:color w:val="auto"/>
          <w:highlight w:val="none"/>
        </w:rPr>
      </w:pPr>
      <w:r>
        <w:rPr>
          <w:rFonts w:ascii="Times New Roman" w:hAnsi="Times New Roman"/>
          <w:bCs/>
          <w:color w:val="auto"/>
          <w:highlight w:val="none"/>
        </w:rPr>
        <w:br w:type="page"/>
      </w:r>
    </w:p>
    <w:p w14:paraId="13867A5B">
      <w:pPr>
        <w:adjustRightInd w:val="0"/>
        <w:snapToGrid w:val="0"/>
        <w:spacing w:line="312" w:lineRule="auto"/>
        <w:jc w:val="left"/>
        <w:outlineLvl w:val="1"/>
        <w:rPr>
          <w:rFonts w:ascii="Times New Roman" w:hAnsi="Times New Roman"/>
          <w:b/>
          <w:color w:val="auto"/>
          <w:highlight w:val="none"/>
        </w:rPr>
      </w:pPr>
      <w:r>
        <w:rPr>
          <w:rFonts w:hint="eastAsia" w:ascii="Times New Roman" w:hAnsi="Times New Roman" w:cs="宋体"/>
          <w:b/>
          <w:color w:val="auto"/>
          <w:highlight w:val="none"/>
        </w:rPr>
        <w:t>附件3：</w:t>
      </w:r>
      <w:r>
        <w:rPr>
          <w:rFonts w:hint="eastAsia" w:ascii="Times New Roman" w:hAnsi="Times New Roman"/>
          <w:b/>
          <w:color w:val="auto"/>
          <w:highlight w:val="none"/>
        </w:rPr>
        <w:t>各阶段工作成果文件的要求</w:t>
      </w:r>
    </w:p>
    <w:tbl>
      <w:tblPr>
        <w:tblStyle w:val="12"/>
        <w:tblW w:w="9244" w:type="dxa"/>
        <w:jc w:val="center"/>
        <w:tblLayout w:type="fixed"/>
        <w:tblCellMar>
          <w:top w:w="0" w:type="dxa"/>
          <w:left w:w="108" w:type="dxa"/>
          <w:bottom w:w="0" w:type="dxa"/>
          <w:right w:w="108" w:type="dxa"/>
        </w:tblCellMar>
      </w:tblPr>
      <w:tblGrid>
        <w:gridCol w:w="739"/>
        <w:gridCol w:w="3827"/>
        <w:gridCol w:w="3686"/>
        <w:gridCol w:w="992"/>
      </w:tblGrid>
      <w:tr w14:paraId="318295BF">
        <w:tblPrEx>
          <w:tblCellMar>
            <w:top w:w="0" w:type="dxa"/>
            <w:left w:w="108" w:type="dxa"/>
            <w:bottom w:w="0" w:type="dxa"/>
            <w:right w:w="108" w:type="dxa"/>
          </w:tblCellMar>
        </w:tblPrEx>
        <w:trPr>
          <w:cantSplit/>
          <w:trHeight w:val="830" w:hRule="atLeast"/>
          <w:tblHeader/>
          <w:jc w:val="center"/>
        </w:trPr>
        <w:tc>
          <w:tcPr>
            <w:tcW w:w="739" w:type="dxa"/>
            <w:tcBorders>
              <w:top w:val="single" w:color="auto" w:sz="12" w:space="0"/>
              <w:left w:val="single" w:color="auto" w:sz="6" w:space="0"/>
              <w:bottom w:val="single" w:color="auto" w:sz="6" w:space="0"/>
              <w:right w:val="single" w:color="auto" w:sz="6" w:space="0"/>
            </w:tcBorders>
            <w:shd w:val="clear" w:color="auto" w:fill="C0C0C0"/>
            <w:vAlign w:val="center"/>
          </w:tcPr>
          <w:p w14:paraId="26F458F2">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序号</w:t>
            </w:r>
          </w:p>
        </w:tc>
        <w:tc>
          <w:tcPr>
            <w:tcW w:w="3827" w:type="dxa"/>
            <w:tcBorders>
              <w:top w:val="single" w:color="auto" w:sz="12" w:space="0"/>
              <w:left w:val="single" w:color="auto" w:sz="6" w:space="0"/>
              <w:bottom w:val="single" w:color="auto" w:sz="6" w:space="0"/>
              <w:right w:val="single" w:color="auto" w:sz="6" w:space="0"/>
            </w:tcBorders>
            <w:shd w:val="clear" w:color="auto" w:fill="C0C0C0"/>
            <w:vAlign w:val="center"/>
          </w:tcPr>
          <w:p w14:paraId="592FA6F7">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工作成果（报告、记录、计划书、审核书等）</w:t>
            </w:r>
          </w:p>
        </w:tc>
        <w:tc>
          <w:tcPr>
            <w:tcW w:w="3686" w:type="dxa"/>
            <w:tcBorders>
              <w:top w:val="single" w:color="auto" w:sz="12" w:space="0"/>
              <w:left w:val="single" w:color="auto" w:sz="6" w:space="0"/>
              <w:bottom w:val="single" w:color="auto" w:sz="6" w:space="0"/>
              <w:right w:val="single" w:color="auto" w:sz="6" w:space="0"/>
            </w:tcBorders>
            <w:shd w:val="clear" w:color="auto" w:fill="C0C0C0"/>
            <w:vAlign w:val="center"/>
          </w:tcPr>
          <w:p w14:paraId="3736F266">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时间要求</w:t>
            </w:r>
          </w:p>
        </w:tc>
        <w:tc>
          <w:tcPr>
            <w:tcW w:w="992" w:type="dxa"/>
            <w:tcBorders>
              <w:top w:val="single" w:color="auto" w:sz="12" w:space="0"/>
              <w:left w:val="single" w:color="auto" w:sz="6" w:space="0"/>
              <w:bottom w:val="single" w:color="auto" w:sz="6" w:space="0"/>
              <w:right w:val="single" w:color="auto" w:sz="6" w:space="0"/>
            </w:tcBorders>
            <w:shd w:val="clear" w:color="auto" w:fill="C0C0C0"/>
            <w:vAlign w:val="center"/>
          </w:tcPr>
          <w:p w14:paraId="76413BDF">
            <w:pPr>
              <w:keepNext w:val="0"/>
              <w:keepLines w:val="0"/>
              <w:suppressLineNumbers w:val="0"/>
              <w:spacing w:before="0" w:beforeAutospacing="0" w:after="0" w:afterAutospacing="0"/>
              <w:ind w:left="0" w:right="0"/>
              <w:jc w:val="center"/>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备注</w:t>
            </w:r>
          </w:p>
        </w:tc>
      </w:tr>
      <w:tr w14:paraId="3FEB1225">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4334246">
            <w:pPr>
              <w:keepNext w:val="0"/>
              <w:keepLines w:val="0"/>
              <w:widowControl w:val="0"/>
              <w:suppressLineNumbers w:val="0"/>
              <w:spacing w:before="0" w:beforeAutospacing="0" w:after="0" w:afterAutospacing="0"/>
              <w:ind w:left="0" w:right="0"/>
              <w:jc w:val="both"/>
              <w:rPr>
                <w:rFonts w:hint="default" w:ascii="Times New Roman" w:hAnsi="Times New Roman"/>
                <w:b/>
                <w:color w:val="auto"/>
                <w:sz w:val="24"/>
                <w:highlight w:val="none"/>
              </w:rPr>
            </w:pPr>
            <w:r>
              <w:rPr>
                <w:rFonts w:hint="eastAsia" w:ascii="Times New Roman" w:hAnsi="宋体"/>
                <w:b/>
                <w:color w:val="auto"/>
                <w:sz w:val="24"/>
                <w:highlight w:val="none"/>
              </w:rPr>
              <w:t>一</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45F2B3C2">
            <w:pPr>
              <w:keepNext w:val="0"/>
              <w:keepLines w:val="0"/>
              <w:suppressLineNumbers w:val="0"/>
              <w:spacing w:before="0" w:beforeAutospacing="0" w:after="0" w:afterAutospacing="0"/>
              <w:ind w:left="0" w:right="0"/>
              <w:rPr>
                <w:rFonts w:hint="eastAsia" w:ascii="Times New Roman" w:hAnsi="Times New Roman" w:eastAsia="宋体"/>
                <w:b/>
                <w:color w:val="auto"/>
                <w:sz w:val="24"/>
                <w:highlight w:val="none"/>
                <w:lang w:eastAsia="zh-CN"/>
              </w:rPr>
            </w:pPr>
            <w:r>
              <w:rPr>
                <w:rFonts w:hint="eastAsia" w:ascii="Times New Roman" w:hAnsi="宋体"/>
                <w:b/>
                <w:color w:val="auto"/>
                <w:sz w:val="24"/>
                <w:highlight w:val="none"/>
              </w:rPr>
              <w:t>设计阶段</w:t>
            </w:r>
            <w:r>
              <w:rPr>
                <w:rFonts w:hint="eastAsia" w:ascii="Times New Roman" w:hAnsi="宋体"/>
                <w:b/>
                <w:color w:val="auto"/>
                <w:sz w:val="24"/>
                <w:highlight w:val="none"/>
                <w:lang w:eastAsia="zh-CN"/>
              </w:rPr>
              <w:t>（如有）</w:t>
            </w:r>
          </w:p>
        </w:tc>
      </w:tr>
      <w:tr w14:paraId="7E0CFC1C">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234484D">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1ACAF8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s="宋体"/>
                <w:color w:val="auto"/>
                <w:sz w:val="18"/>
                <w:szCs w:val="18"/>
                <w:highlight w:val="none"/>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5E1F462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s="宋体"/>
                <w:color w:val="auto"/>
                <w:sz w:val="18"/>
                <w:szCs w:val="18"/>
                <w:highlight w:val="none"/>
              </w:rPr>
              <w:t>签订合同并按委托人要求进场工作</w:t>
            </w:r>
            <w:r>
              <w:rPr>
                <w:rFonts w:hint="eastAsia" w:ascii="Times New Roman" w:hAnsi="Times New Roman" w:cs="宋体"/>
                <w:color w:val="auto"/>
                <w:sz w:val="18"/>
                <w:szCs w:val="18"/>
                <w:highlight w:val="none"/>
              </w:rPr>
              <w:t>10</w:t>
            </w:r>
            <w:r>
              <w:rPr>
                <w:rFonts w:hint="eastAsia" w:ascii="Times New Roman" w:hAnsi="宋体" w:cs="宋体"/>
                <w:color w:val="auto"/>
                <w:sz w:val="18"/>
                <w:szCs w:val="18"/>
                <w:highlight w:val="none"/>
              </w:rPr>
              <w:t>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17DE1F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27AB18F">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3906C8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宋体"/>
                <w:color w:val="auto"/>
                <w:sz w:val="18"/>
                <w:szCs w:val="18"/>
                <w:highlight w:val="none"/>
              </w:rPr>
              <w:t>2.</w:t>
            </w:r>
          </w:p>
        </w:tc>
        <w:tc>
          <w:tcPr>
            <w:tcW w:w="3827" w:type="dxa"/>
            <w:tcBorders>
              <w:top w:val="single" w:color="auto" w:sz="6" w:space="0"/>
              <w:left w:val="single" w:color="auto" w:sz="6" w:space="0"/>
              <w:bottom w:val="single" w:color="auto" w:sz="6" w:space="0"/>
              <w:right w:val="single" w:color="auto" w:sz="6" w:space="0"/>
            </w:tcBorders>
            <w:vAlign w:val="center"/>
          </w:tcPr>
          <w:p w14:paraId="53AB58FF">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宋体" w:cs="宋体"/>
                <w:color w:val="auto"/>
                <w:sz w:val="18"/>
                <w:szCs w:val="18"/>
                <w:highlight w:val="none"/>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7AC4D571">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宋体" w:cs="宋体"/>
                <w:color w:val="auto"/>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B6F757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38C4CA1">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675E3D3">
            <w:pPr>
              <w:keepNext w:val="0"/>
              <w:keepLines w:val="0"/>
              <w:suppressLineNumbers w:val="0"/>
              <w:spacing w:before="0" w:beforeAutospacing="0" w:after="0" w:afterAutospacing="0"/>
              <w:ind w:left="0" w:right="0"/>
              <w:rPr>
                <w:rFonts w:hint="default" w:ascii="Times New Roman" w:hAnsi="Times New Roman"/>
                <w:color w:val="auto"/>
                <w:sz w:val="24"/>
                <w:szCs w:val="24"/>
                <w:highlight w:val="none"/>
              </w:rPr>
            </w:pPr>
            <w:r>
              <w:rPr>
                <w:rFonts w:hint="eastAsia" w:ascii="Times New Roman" w:hAnsi="Times New Roman"/>
                <w:color w:val="auto"/>
                <w:sz w:val="24"/>
                <w:szCs w:val="24"/>
                <w:highlight w:val="none"/>
              </w:rPr>
              <w:t>二</w:t>
            </w:r>
          </w:p>
        </w:tc>
        <w:tc>
          <w:tcPr>
            <w:tcW w:w="3827" w:type="dxa"/>
            <w:tcBorders>
              <w:top w:val="single" w:color="auto" w:sz="6" w:space="0"/>
              <w:left w:val="single" w:color="auto" w:sz="6" w:space="0"/>
              <w:bottom w:val="single" w:color="auto" w:sz="6" w:space="0"/>
              <w:right w:val="single" w:color="auto" w:sz="6" w:space="0"/>
            </w:tcBorders>
            <w:vAlign w:val="center"/>
          </w:tcPr>
          <w:p w14:paraId="7BA94447">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b/>
                <w:color w:val="auto"/>
                <w:sz w:val="24"/>
                <w:highlight w:val="none"/>
              </w:rPr>
              <w:t>工程施工准备阶段</w:t>
            </w:r>
          </w:p>
        </w:tc>
        <w:tc>
          <w:tcPr>
            <w:tcW w:w="3686" w:type="dxa"/>
            <w:tcBorders>
              <w:top w:val="single" w:color="auto" w:sz="6" w:space="0"/>
              <w:left w:val="single" w:color="auto" w:sz="6" w:space="0"/>
              <w:bottom w:val="single" w:color="auto" w:sz="6" w:space="0"/>
              <w:right w:val="single" w:color="auto" w:sz="6" w:space="0"/>
            </w:tcBorders>
            <w:vAlign w:val="center"/>
          </w:tcPr>
          <w:p w14:paraId="5A324D4A">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p>
        </w:tc>
        <w:tc>
          <w:tcPr>
            <w:tcW w:w="992" w:type="dxa"/>
            <w:tcBorders>
              <w:top w:val="single" w:color="auto" w:sz="6" w:space="0"/>
              <w:left w:val="single" w:color="auto" w:sz="6" w:space="0"/>
              <w:bottom w:val="single" w:color="auto" w:sz="6" w:space="0"/>
              <w:right w:val="single" w:color="auto" w:sz="6" w:space="0"/>
            </w:tcBorders>
            <w:vAlign w:val="center"/>
          </w:tcPr>
          <w:p w14:paraId="5149136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938541C">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F5EDDC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1.</w:t>
            </w:r>
          </w:p>
        </w:tc>
        <w:tc>
          <w:tcPr>
            <w:tcW w:w="3827" w:type="dxa"/>
            <w:tcBorders>
              <w:top w:val="single" w:color="auto" w:sz="6" w:space="0"/>
              <w:left w:val="single" w:color="auto" w:sz="6" w:space="0"/>
              <w:bottom w:val="single" w:color="auto" w:sz="6" w:space="0"/>
              <w:right w:val="single" w:color="auto" w:sz="6" w:space="0"/>
            </w:tcBorders>
            <w:vAlign w:val="center"/>
          </w:tcPr>
          <w:p w14:paraId="7AE1BB12">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提交项目总体管理方案及各阶段目标计划</w:t>
            </w:r>
          </w:p>
        </w:tc>
        <w:tc>
          <w:tcPr>
            <w:tcW w:w="3686" w:type="dxa"/>
            <w:tcBorders>
              <w:top w:val="single" w:color="auto" w:sz="6" w:space="0"/>
              <w:left w:val="single" w:color="auto" w:sz="6" w:space="0"/>
              <w:bottom w:val="single" w:color="auto" w:sz="6" w:space="0"/>
              <w:right w:val="single" w:color="auto" w:sz="6" w:space="0"/>
            </w:tcBorders>
            <w:vAlign w:val="center"/>
          </w:tcPr>
          <w:p w14:paraId="6CFBAD87">
            <w:pPr>
              <w:keepNext w:val="0"/>
              <w:keepLines w:val="0"/>
              <w:suppressLineNumbers w:val="0"/>
              <w:spacing w:before="0" w:beforeAutospacing="0" w:after="0" w:afterAutospacing="0"/>
              <w:ind w:left="0" w:right="0"/>
              <w:rPr>
                <w:rFonts w:hint="default"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签订合同并按委托人要求进场工作10天内提交成果文件，获得委托人认可为支付条件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534E87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A963E81">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D76EBF5">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93DB55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kern w:val="0"/>
                <w:sz w:val="18"/>
                <w:szCs w:val="18"/>
                <w:highlight w:val="none"/>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color="auto" w:sz="6" w:space="0"/>
              <w:left w:val="single" w:color="auto" w:sz="6" w:space="0"/>
              <w:bottom w:val="single" w:color="auto" w:sz="6" w:space="0"/>
              <w:right w:val="single" w:color="auto" w:sz="6" w:space="0"/>
            </w:tcBorders>
            <w:vAlign w:val="center"/>
          </w:tcPr>
          <w:p w14:paraId="667651B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kern w:val="0"/>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16622D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4C99DBB">
        <w:tblPrEx>
          <w:tblCellMar>
            <w:top w:w="0" w:type="dxa"/>
            <w:left w:w="108" w:type="dxa"/>
            <w:bottom w:w="0" w:type="dxa"/>
            <w:right w:w="108" w:type="dxa"/>
          </w:tblCellMar>
        </w:tblPrEx>
        <w:trPr>
          <w:cantSplit/>
          <w:trHeight w:val="68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38E8DEC">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632FF9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提交《对（各专业）设计文件的意见及建议》</w:t>
            </w:r>
          </w:p>
        </w:tc>
        <w:tc>
          <w:tcPr>
            <w:tcW w:w="3686" w:type="dxa"/>
            <w:tcBorders>
              <w:top w:val="single" w:color="auto" w:sz="6" w:space="0"/>
              <w:left w:val="single" w:color="auto" w:sz="6" w:space="0"/>
              <w:bottom w:val="single" w:color="auto" w:sz="6" w:space="0"/>
              <w:right w:val="single" w:color="auto" w:sz="6" w:space="0"/>
            </w:tcBorders>
            <w:vAlign w:val="center"/>
          </w:tcPr>
          <w:p w14:paraId="4ACAD23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以对各专业设计文件的意见及建议书的提交并获得委托人认可为支付条件。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3FD13B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ACA0734">
        <w:tblPrEx>
          <w:tblCellMar>
            <w:top w:w="0" w:type="dxa"/>
            <w:left w:w="108" w:type="dxa"/>
            <w:bottom w:w="0" w:type="dxa"/>
            <w:right w:w="108" w:type="dxa"/>
          </w:tblCellMar>
        </w:tblPrEx>
        <w:trPr>
          <w:cantSplit/>
          <w:trHeight w:val="59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F2C545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D9AA99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提交《（各专业）设计技术交底会议纪要》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5FB3614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以《设计技术交底会议纪要》的提交为支付条件。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00FA5C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2348B82">
        <w:tblPrEx>
          <w:tblCellMar>
            <w:top w:w="0" w:type="dxa"/>
            <w:left w:w="108" w:type="dxa"/>
            <w:bottom w:w="0" w:type="dxa"/>
            <w:right w:w="108" w:type="dxa"/>
          </w:tblCellMar>
        </w:tblPrEx>
        <w:trPr>
          <w:cantSplit/>
          <w:trHeight w:val="93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275053E">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88B19E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提交《（各专业）施工图会审记录》</w:t>
            </w:r>
          </w:p>
        </w:tc>
        <w:tc>
          <w:tcPr>
            <w:tcW w:w="3686" w:type="dxa"/>
            <w:tcBorders>
              <w:top w:val="single" w:color="auto" w:sz="6" w:space="0"/>
              <w:left w:val="single" w:color="auto" w:sz="6" w:space="0"/>
              <w:bottom w:val="single" w:color="auto" w:sz="6" w:space="0"/>
              <w:right w:val="single" w:color="auto" w:sz="6" w:space="0"/>
            </w:tcBorders>
            <w:vAlign w:val="center"/>
          </w:tcPr>
          <w:p w14:paraId="598BE15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以各专业的图纸会审记录的全部提交为支付条件，提交时间不迟于（各专业）施工图会审结束后第</w:t>
            </w:r>
            <w:r>
              <w:rPr>
                <w:rFonts w:hint="default" w:ascii="Times New Roman" w:hAnsi="Times New Roman"/>
                <w:color w:val="auto"/>
                <w:sz w:val="18"/>
                <w:szCs w:val="18"/>
                <w:highlight w:val="none"/>
              </w:rPr>
              <w:t>7</w:t>
            </w:r>
            <w:r>
              <w:rPr>
                <w:rFonts w:hint="eastAsia" w:ascii="Times New Roman" w:hAnsi="Times New Roman"/>
                <w:color w:val="auto"/>
                <w:sz w:val="18"/>
                <w:szCs w:val="18"/>
                <w:highlight w:val="none"/>
              </w:rPr>
              <w:t>日。</w:t>
            </w:r>
          </w:p>
        </w:tc>
        <w:tc>
          <w:tcPr>
            <w:tcW w:w="992" w:type="dxa"/>
            <w:tcBorders>
              <w:top w:val="single" w:color="auto" w:sz="6" w:space="0"/>
              <w:left w:val="single" w:color="auto" w:sz="6" w:space="0"/>
              <w:bottom w:val="single" w:color="auto" w:sz="6" w:space="0"/>
              <w:right w:val="single" w:color="auto" w:sz="6" w:space="0"/>
            </w:tcBorders>
            <w:vAlign w:val="center"/>
          </w:tcPr>
          <w:p w14:paraId="12BEA98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F0104E3">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E5F216A">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6AB405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提交《对承包人提交的施工组织设计方案的审查报告》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28DE1E7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监理人的审查报告的提交时间不迟于承包人提交施工组织设计方案后第</w:t>
            </w:r>
            <w:r>
              <w:rPr>
                <w:rFonts w:hint="default" w:ascii="Times New Roman" w:hAnsi="Times New Roman"/>
                <w:color w:val="auto"/>
                <w:sz w:val="18"/>
                <w:szCs w:val="18"/>
                <w:highlight w:val="none"/>
              </w:rPr>
              <w:t>14</w:t>
            </w:r>
            <w:r>
              <w:rPr>
                <w:rFonts w:hint="eastAsia" w:ascii="Times New Roman" w:hAnsi="Times New Roman"/>
                <w:color w:val="auto"/>
                <w:sz w:val="18"/>
                <w:szCs w:val="18"/>
                <w:highlight w:val="none"/>
              </w:rPr>
              <w:t>日；以承包人提交的施工组织设计方案获得委托人认可为支付条件。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15CFAEB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2BEBBA5">
        <w:tblPrEx>
          <w:tblCellMar>
            <w:top w:w="0" w:type="dxa"/>
            <w:left w:w="108" w:type="dxa"/>
            <w:bottom w:w="0" w:type="dxa"/>
            <w:right w:w="108" w:type="dxa"/>
          </w:tblCellMar>
        </w:tblPrEx>
        <w:trPr>
          <w:cantSplit/>
          <w:trHeight w:val="1077"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253FC60">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492651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提交《对承包人提交的质量管理体系、环境管理体系及安全管理体系的检查审核报告》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37C9955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以各承包人之质量管理体系、环境管理体系及安全管理体系满足相关合同条件中的要求且获得委托人认可为最终支付条件。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3FB00F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2C86F1C">
        <w:tblPrEx>
          <w:tblCellMar>
            <w:top w:w="0" w:type="dxa"/>
            <w:left w:w="108" w:type="dxa"/>
            <w:bottom w:w="0" w:type="dxa"/>
            <w:right w:w="108" w:type="dxa"/>
          </w:tblCellMar>
        </w:tblPrEx>
        <w:trPr>
          <w:cantSplit/>
          <w:trHeight w:val="61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43DC226">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DFB4D8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提交《对承包人的资格（资质）报审表》的审核的报告</w:t>
            </w:r>
          </w:p>
        </w:tc>
        <w:tc>
          <w:tcPr>
            <w:tcW w:w="3686" w:type="dxa"/>
            <w:tcBorders>
              <w:top w:val="single" w:color="auto" w:sz="6" w:space="0"/>
              <w:left w:val="single" w:color="auto" w:sz="6" w:space="0"/>
              <w:bottom w:val="single" w:color="auto" w:sz="6" w:space="0"/>
              <w:right w:val="single" w:color="auto" w:sz="6" w:space="0"/>
            </w:tcBorders>
            <w:vAlign w:val="center"/>
          </w:tcPr>
          <w:p w14:paraId="5B810E3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以报告提交并获得委托人认可为支付条件。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5D93FA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F8824F9">
        <w:tblPrEx>
          <w:tblCellMar>
            <w:top w:w="0" w:type="dxa"/>
            <w:left w:w="108" w:type="dxa"/>
            <w:bottom w:w="0" w:type="dxa"/>
            <w:right w:w="108" w:type="dxa"/>
          </w:tblCellMar>
        </w:tblPrEx>
        <w:trPr>
          <w:cantSplit/>
          <w:trHeight w:val="61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5F9AE4D">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722F42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1C8FBC6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234787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4040C24">
        <w:tblPrEx>
          <w:tblCellMar>
            <w:top w:w="0" w:type="dxa"/>
            <w:left w:w="108" w:type="dxa"/>
            <w:bottom w:w="0" w:type="dxa"/>
            <w:right w:w="108" w:type="dxa"/>
          </w:tblCellMar>
        </w:tblPrEx>
        <w:trPr>
          <w:cantSplit/>
          <w:trHeight w:val="656"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286FB13">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354CAB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提交经过批核的《工程开工报审表》</w:t>
            </w:r>
          </w:p>
        </w:tc>
        <w:tc>
          <w:tcPr>
            <w:tcW w:w="3686" w:type="dxa"/>
            <w:tcBorders>
              <w:top w:val="single" w:color="auto" w:sz="6" w:space="0"/>
              <w:left w:val="single" w:color="auto" w:sz="6" w:space="0"/>
              <w:bottom w:val="single" w:color="auto" w:sz="6" w:space="0"/>
              <w:right w:val="single" w:color="auto" w:sz="6" w:space="0"/>
            </w:tcBorders>
            <w:vAlign w:val="center"/>
          </w:tcPr>
          <w:p w14:paraId="23ED76A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以施工许可证已发出且报审表获得委托人认可为支付条件。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086B99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13652E5">
        <w:tblPrEx>
          <w:tblCellMar>
            <w:top w:w="0" w:type="dxa"/>
            <w:left w:w="108" w:type="dxa"/>
            <w:bottom w:w="0" w:type="dxa"/>
            <w:right w:w="108" w:type="dxa"/>
          </w:tblCellMar>
        </w:tblPrEx>
        <w:trPr>
          <w:cantSplit/>
          <w:trHeight w:val="55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973D5A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EFC62A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提交首次工地会议的会议记录</w:t>
            </w:r>
          </w:p>
        </w:tc>
        <w:tc>
          <w:tcPr>
            <w:tcW w:w="3686" w:type="dxa"/>
            <w:tcBorders>
              <w:top w:val="single" w:color="auto" w:sz="6" w:space="0"/>
              <w:left w:val="single" w:color="auto" w:sz="6" w:space="0"/>
              <w:bottom w:val="single" w:color="auto" w:sz="6" w:space="0"/>
              <w:right w:val="single" w:color="auto" w:sz="6" w:space="0"/>
            </w:tcBorders>
            <w:vAlign w:val="center"/>
          </w:tcPr>
          <w:p w14:paraId="1132D98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以首次工地会议记录的提交为支付条件。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46AA6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D67213F">
        <w:tblPrEx>
          <w:tblCellMar>
            <w:top w:w="0" w:type="dxa"/>
            <w:left w:w="108" w:type="dxa"/>
            <w:bottom w:w="0" w:type="dxa"/>
            <w:right w:w="108" w:type="dxa"/>
          </w:tblCellMar>
        </w:tblPrEx>
        <w:trPr>
          <w:cantSplit/>
          <w:trHeight w:val="894"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E14717F">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B40FD3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提交《监理规划报告》</w:t>
            </w:r>
          </w:p>
        </w:tc>
        <w:tc>
          <w:tcPr>
            <w:tcW w:w="3686" w:type="dxa"/>
            <w:tcBorders>
              <w:top w:val="single" w:color="auto" w:sz="6" w:space="0"/>
              <w:left w:val="single" w:color="auto" w:sz="6" w:space="0"/>
              <w:bottom w:val="single" w:color="auto" w:sz="6" w:space="0"/>
              <w:right w:val="single" w:color="auto" w:sz="6" w:space="0"/>
            </w:tcBorders>
            <w:vAlign w:val="center"/>
          </w:tcPr>
          <w:p w14:paraId="48E3F8D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以《监理规划报告》满足本合同文件内的相关要求且获委托人认可为支付条件。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6DD78B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312AFFA">
        <w:tblPrEx>
          <w:tblCellMar>
            <w:top w:w="0" w:type="dxa"/>
            <w:left w:w="108" w:type="dxa"/>
            <w:bottom w:w="0" w:type="dxa"/>
            <w:right w:w="108" w:type="dxa"/>
          </w:tblCellMar>
        </w:tblPrEx>
        <w:trPr>
          <w:cantSplit/>
          <w:trHeight w:val="920"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AC4F75D">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248ED4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42A01A0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以《监理实施细则》满足本合同文件内的相关要求且获委托人认可为支付条件。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5E0D04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924E812">
        <w:tblPrEx>
          <w:tblCellMar>
            <w:top w:w="0" w:type="dxa"/>
            <w:left w:w="108" w:type="dxa"/>
            <w:bottom w:w="0" w:type="dxa"/>
            <w:right w:w="108" w:type="dxa"/>
          </w:tblCellMar>
        </w:tblPrEx>
        <w:trPr>
          <w:cantSplit/>
          <w:trHeight w:val="227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FD7355A">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0549F7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color="auto" w:sz="6" w:space="0"/>
              <w:left w:val="single" w:color="auto" w:sz="6" w:space="0"/>
              <w:bottom w:val="single" w:color="auto" w:sz="6" w:space="0"/>
              <w:right w:val="single" w:color="auto" w:sz="6" w:space="0"/>
            </w:tcBorders>
            <w:vAlign w:val="center"/>
          </w:tcPr>
          <w:p w14:paraId="5589742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以各工作程序的所有附件表格获得委托人认可为支付条件。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3F5FD4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428840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9D8834D">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三</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6CED7AE3">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工程施工阶段</w:t>
            </w:r>
          </w:p>
        </w:tc>
      </w:tr>
      <w:tr w14:paraId="2491087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EA8A2B5">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32B83A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提交《对承包人提交的施工组织设计方案变更的审查报告》</w:t>
            </w:r>
          </w:p>
        </w:tc>
        <w:tc>
          <w:tcPr>
            <w:tcW w:w="3686" w:type="dxa"/>
            <w:tcBorders>
              <w:top w:val="single" w:color="auto" w:sz="6" w:space="0"/>
              <w:left w:val="single" w:color="auto" w:sz="6" w:space="0"/>
              <w:bottom w:val="single" w:color="auto" w:sz="6" w:space="0"/>
              <w:right w:val="single" w:color="auto" w:sz="6" w:space="0"/>
            </w:tcBorders>
            <w:vAlign w:val="center"/>
          </w:tcPr>
          <w:p w14:paraId="5CACDFA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09E1292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091F6E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BC61775">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091F4DB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提交对承包人提交的《进场施工测量成果报验申请表》的审核报告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52A3D32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以承包人放线测量成果获得委托人认可要求为支付条件。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9BF563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899092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0381C4B">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BE9FE4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提交《到货验收报告》</w:t>
            </w:r>
          </w:p>
        </w:tc>
        <w:tc>
          <w:tcPr>
            <w:tcW w:w="3686" w:type="dxa"/>
            <w:tcBorders>
              <w:top w:val="single" w:color="auto" w:sz="6" w:space="0"/>
              <w:left w:val="single" w:color="auto" w:sz="6" w:space="0"/>
              <w:bottom w:val="single" w:color="auto" w:sz="6" w:space="0"/>
              <w:right w:val="single" w:color="auto" w:sz="6" w:space="0"/>
            </w:tcBorders>
            <w:vAlign w:val="center"/>
          </w:tcPr>
          <w:p w14:paraId="0A504DA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以当期进场到货之验收报告均已提交为支付要件</w:t>
            </w:r>
          </w:p>
        </w:tc>
        <w:tc>
          <w:tcPr>
            <w:tcW w:w="992" w:type="dxa"/>
            <w:tcBorders>
              <w:top w:val="single" w:color="auto" w:sz="6" w:space="0"/>
              <w:left w:val="single" w:color="auto" w:sz="6" w:space="0"/>
              <w:bottom w:val="single" w:color="auto" w:sz="6" w:space="0"/>
              <w:right w:val="single" w:color="auto" w:sz="6" w:space="0"/>
            </w:tcBorders>
            <w:vAlign w:val="center"/>
          </w:tcPr>
          <w:p w14:paraId="69AF714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CD28F8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CE035E6">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14A3EB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《旁站监理记录》；《监理日记》；</w:t>
            </w:r>
          </w:p>
        </w:tc>
        <w:tc>
          <w:tcPr>
            <w:tcW w:w="3686" w:type="dxa"/>
            <w:tcBorders>
              <w:top w:val="single" w:color="auto" w:sz="6" w:space="0"/>
              <w:left w:val="single" w:color="auto" w:sz="6" w:space="0"/>
              <w:bottom w:val="single" w:color="auto" w:sz="6" w:space="0"/>
              <w:right w:val="single" w:color="auto" w:sz="6" w:space="0"/>
            </w:tcBorders>
            <w:vAlign w:val="center"/>
          </w:tcPr>
          <w:p w14:paraId="0EE2CA7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以当期需要实施旁站监理的关键部位、关键工序的相关记录文件的提交及监理日记的完整性为支付条件。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CC921C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39A8B92">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A39FC54">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472177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批核由承包人提交的《隐蔽工程报验申请表》</w:t>
            </w:r>
          </w:p>
        </w:tc>
        <w:tc>
          <w:tcPr>
            <w:tcW w:w="3686" w:type="dxa"/>
            <w:tcBorders>
              <w:top w:val="single" w:color="auto" w:sz="6" w:space="0"/>
              <w:left w:val="single" w:color="auto" w:sz="6" w:space="0"/>
              <w:bottom w:val="single" w:color="auto" w:sz="6" w:space="0"/>
              <w:right w:val="single" w:color="auto" w:sz="6" w:space="0"/>
            </w:tcBorders>
            <w:vAlign w:val="center"/>
          </w:tcPr>
          <w:p w14:paraId="2D861CD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5D9ABD2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412E8A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3611F82">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04188DC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批核由承包人提交的《分项工程质量验评记录》</w:t>
            </w:r>
          </w:p>
        </w:tc>
        <w:tc>
          <w:tcPr>
            <w:tcW w:w="3686" w:type="dxa"/>
            <w:tcBorders>
              <w:top w:val="single" w:color="auto" w:sz="6" w:space="0"/>
              <w:left w:val="single" w:color="auto" w:sz="6" w:space="0"/>
              <w:bottom w:val="single" w:color="auto" w:sz="6" w:space="0"/>
              <w:right w:val="single" w:color="auto" w:sz="6" w:space="0"/>
            </w:tcBorders>
            <w:vAlign w:val="center"/>
          </w:tcPr>
          <w:p w14:paraId="57C08D6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以当期相关验评记录经委托检查认可为支付标准</w:t>
            </w:r>
          </w:p>
        </w:tc>
        <w:tc>
          <w:tcPr>
            <w:tcW w:w="992" w:type="dxa"/>
            <w:tcBorders>
              <w:top w:val="single" w:color="auto" w:sz="6" w:space="0"/>
              <w:left w:val="single" w:color="auto" w:sz="6" w:space="0"/>
              <w:bottom w:val="single" w:color="auto" w:sz="6" w:space="0"/>
              <w:right w:val="single" w:color="auto" w:sz="6" w:space="0"/>
            </w:tcBorders>
            <w:vAlign w:val="center"/>
          </w:tcPr>
          <w:p w14:paraId="42AFAFB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32487B12">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494F819">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A52BCC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提交《月度施工质量检查报告》</w:t>
            </w:r>
          </w:p>
        </w:tc>
        <w:tc>
          <w:tcPr>
            <w:tcW w:w="3686" w:type="dxa"/>
            <w:tcBorders>
              <w:top w:val="single" w:color="auto" w:sz="6" w:space="0"/>
              <w:left w:val="single" w:color="auto" w:sz="6" w:space="0"/>
              <w:bottom w:val="single" w:color="auto" w:sz="6" w:space="0"/>
              <w:right w:val="single" w:color="auto" w:sz="6" w:space="0"/>
            </w:tcBorders>
            <w:vAlign w:val="center"/>
          </w:tcPr>
          <w:p w14:paraId="34DE8D8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以提交的《月度施工质量检查报告》获的委托人认可为支付条件。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CDED56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DDCB00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9A24FE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E6E917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按月提交工程款支付建议报告（连资金支付计划）</w:t>
            </w:r>
          </w:p>
        </w:tc>
        <w:tc>
          <w:tcPr>
            <w:tcW w:w="3686" w:type="dxa"/>
            <w:tcBorders>
              <w:top w:val="single" w:color="auto" w:sz="6" w:space="0"/>
              <w:left w:val="single" w:color="auto" w:sz="6" w:space="0"/>
              <w:bottom w:val="single" w:color="auto" w:sz="6" w:space="0"/>
              <w:right w:val="single" w:color="auto" w:sz="6" w:space="0"/>
            </w:tcBorders>
            <w:vAlign w:val="center"/>
          </w:tcPr>
          <w:p w14:paraId="062CF69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当月之支付报告获得委托人认可为支付条件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7ABD5C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B855487">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BF7A895">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386EBE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按月提交《当月造价风险分析报告》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14CCE78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344FC1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8DDB5E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3024AB5">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A79B9D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提交《月度工程变更造价统计表》</w:t>
            </w:r>
          </w:p>
        </w:tc>
        <w:tc>
          <w:tcPr>
            <w:tcW w:w="3686" w:type="dxa"/>
            <w:tcBorders>
              <w:top w:val="single" w:color="auto" w:sz="6" w:space="0"/>
              <w:left w:val="single" w:color="auto" w:sz="6" w:space="0"/>
              <w:bottom w:val="single" w:color="auto" w:sz="6" w:space="0"/>
              <w:right w:val="single" w:color="auto" w:sz="6" w:space="0"/>
            </w:tcBorders>
            <w:vAlign w:val="center"/>
          </w:tcPr>
          <w:p w14:paraId="6280952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发生变更后，如当月经委托人确定的工程变更的总价变更金额较监理人的确定的总价金额存在</w:t>
            </w:r>
            <w:r>
              <w:rPr>
                <w:rFonts w:hint="default" w:ascii="Times New Roman" w:hAnsi="Times New Roman"/>
                <w:color w:val="auto"/>
                <w:sz w:val="18"/>
                <w:szCs w:val="18"/>
                <w:highlight w:val="none"/>
              </w:rPr>
              <w:t>10%</w:t>
            </w:r>
            <w:r>
              <w:rPr>
                <w:rFonts w:hint="eastAsia" w:ascii="Times New Roman" w:hAnsi="Times New Roman"/>
                <w:color w:val="auto"/>
                <w:sz w:val="18"/>
                <w:szCs w:val="18"/>
                <w:highlight w:val="none"/>
              </w:rPr>
              <w:t>以上的差异的情况累计出现</w:t>
            </w:r>
            <w:r>
              <w:rPr>
                <w:rFonts w:hint="default" w:ascii="Times New Roman" w:hAnsi="Times New Roman"/>
                <w:color w:val="auto"/>
                <w:sz w:val="18"/>
                <w:szCs w:val="18"/>
                <w:highlight w:val="none"/>
              </w:rPr>
              <w:t>3</w:t>
            </w:r>
            <w:r>
              <w:rPr>
                <w:rFonts w:hint="eastAsia" w:ascii="Times New Roman" w:hAnsi="Times New Roman"/>
                <w:color w:val="auto"/>
                <w:sz w:val="18"/>
                <w:szCs w:val="18"/>
                <w:highlight w:val="none"/>
              </w:rPr>
              <w:t>宗以上，视作监理人对完成合同约定工作的承诺的违反。扣除当月该项工作的监理酬金。</w:t>
            </w:r>
          </w:p>
        </w:tc>
        <w:tc>
          <w:tcPr>
            <w:tcW w:w="992" w:type="dxa"/>
            <w:tcBorders>
              <w:top w:val="single" w:color="auto" w:sz="6" w:space="0"/>
              <w:left w:val="single" w:color="auto" w:sz="6" w:space="0"/>
              <w:bottom w:val="single" w:color="auto" w:sz="6" w:space="0"/>
              <w:right w:val="single" w:color="auto" w:sz="6" w:space="0"/>
            </w:tcBorders>
            <w:vAlign w:val="center"/>
          </w:tcPr>
          <w:p w14:paraId="1DCD2F1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09DBB78">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7846504">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04A911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提交分部工程结算审核意见书（包括相关结算资料）。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2810BD2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当期无发生，直接按分摊酬金金额支付；如在提交分项结算期限之前监理人未能履行积极督促的义务则扣除当月该项工作的酬金。</w:t>
            </w:r>
          </w:p>
        </w:tc>
        <w:tc>
          <w:tcPr>
            <w:tcW w:w="992" w:type="dxa"/>
            <w:tcBorders>
              <w:top w:val="single" w:color="auto" w:sz="6" w:space="0"/>
              <w:left w:val="single" w:color="auto" w:sz="6" w:space="0"/>
              <w:bottom w:val="single" w:color="auto" w:sz="6" w:space="0"/>
              <w:right w:val="single" w:color="auto" w:sz="6" w:space="0"/>
            </w:tcBorders>
            <w:vAlign w:val="center"/>
          </w:tcPr>
          <w:p w14:paraId="0EDEF97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7CE593C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7E4A55CE">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E852357">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按月提交《进度控制方案》</w:t>
            </w:r>
          </w:p>
        </w:tc>
        <w:tc>
          <w:tcPr>
            <w:tcW w:w="3686" w:type="dxa"/>
            <w:tcBorders>
              <w:top w:val="single" w:color="auto" w:sz="6" w:space="0"/>
              <w:left w:val="single" w:color="auto" w:sz="6" w:space="0"/>
              <w:bottom w:val="single" w:color="auto" w:sz="6" w:space="0"/>
              <w:right w:val="single" w:color="auto" w:sz="6" w:space="0"/>
            </w:tcBorders>
            <w:vAlign w:val="center"/>
          </w:tcPr>
          <w:p w14:paraId="763458E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当月进度控制方案获得委托人认可后支付。</w:t>
            </w:r>
          </w:p>
        </w:tc>
        <w:tc>
          <w:tcPr>
            <w:tcW w:w="992" w:type="dxa"/>
            <w:tcBorders>
              <w:top w:val="single" w:color="auto" w:sz="6" w:space="0"/>
              <w:left w:val="single" w:color="auto" w:sz="6" w:space="0"/>
              <w:bottom w:val="single" w:color="auto" w:sz="6" w:space="0"/>
              <w:right w:val="single" w:color="auto" w:sz="6" w:space="0"/>
            </w:tcBorders>
            <w:vAlign w:val="center"/>
          </w:tcPr>
          <w:p w14:paraId="6A5BFEF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7280FA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3D5CF4A">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1D97FC0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按月提交《进度风险分析报告》</w:t>
            </w:r>
          </w:p>
        </w:tc>
        <w:tc>
          <w:tcPr>
            <w:tcW w:w="3686" w:type="dxa"/>
            <w:tcBorders>
              <w:top w:val="single" w:color="auto" w:sz="6" w:space="0"/>
              <w:left w:val="single" w:color="auto" w:sz="6" w:space="0"/>
              <w:bottom w:val="single" w:color="auto" w:sz="6" w:space="0"/>
              <w:right w:val="single" w:color="auto" w:sz="6" w:space="0"/>
            </w:tcBorders>
            <w:vAlign w:val="center"/>
          </w:tcPr>
          <w:p w14:paraId="60D9739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以当月之报告获得委托人认可为支付条件。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6ECB9E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29F7CD2">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7DE3D22">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405AE38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提交《安全监理实施细则》</w:t>
            </w:r>
          </w:p>
        </w:tc>
        <w:tc>
          <w:tcPr>
            <w:tcW w:w="3686" w:type="dxa"/>
            <w:tcBorders>
              <w:top w:val="single" w:color="auto" w:sz="6" w:space="0"/>
              <w:left w:val="single" w:color="auto" w:sz="6" w:space="0"/>
              <w:bottom w:val="single" w:color="auto" w:sz="6" w:space="0"/>
              <w:right w:val="single" w:color="auto" w:sz="6" w:space="0"/>
            </w:tcBorders>
            <w:vAlign w:val="center"/>
          </w:tcPr>
          <w:p w14:paraId="4BA0DCA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以提交的《安全监理实施细则》且获得委托人认可为支付条件。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81798E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BDF1F51">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266F98C">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69316C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对承包人编制的机电设备安装、调试、验收计划的审核报告</w:t>
            </w:r>
          </w:p>
        </w:tc>
        <w:tc>
          <w:tcPr>
            <w:tcW w:w="3686" w:type="dxa"/>
            <w:tcBorders>
              <w:top w:val="single" w:color="auto" w:sz="6" w:space="0"/>
              <w:left w:val="single" w:color="auto" w:sz="6" w:space="0"/>
              <w:bottom w:val="single" w:color="auto" w:sz="6" w:space="0"/>
              <w:right w:val="single" w:color="auto" w:sz="6" w:space="0"/>
            </w:tcBorders>
            <w:vAlign w:val="center"/>
          </w:tcPr>
          <w:p w14:paraId="191BD17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0857453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518BC6F">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9B2F786">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FB43925">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审核承包人提交的工程材料设备使用计划。</w:t>
            </w:r>
          </w:p>
        </w:tc>
        <w:tc>
          <w:tcPr>
            <w:tcW w:w="3686" w:type="dxa"/>
            <w:tcBorders>
              <w:top w:val="single" w:color="auto" w:sz="6" w:space="0"/>
              <w:left w:val="single" w:color="auto" w:sz="6" w:space="0"/>
              <w:bottom w:val="single" w:color="auto" w:sz="6" w:space="0"/>
              <w:right w:val="single" w:color="auto" w:sz="6" w:space="0"/>
            </w:tcBorders>
            <w:vAlign w:val="center"/>
          </w:tcPr>
          <w:p w14:paraId="5940939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委托人根据实际情况检查认可后且当月未有发生因该类材料设备引起的质量问题支付。</w:t>
            </w:r>
          </w:p>
        </w:tc>
        <w:tc>
          <w:tcPr>
            <w:tcW w:w="992" w:type="dxa"/>
            <w:tcBorders>
              <w:top w:val="single" w:color="auto" w:sz="6" w:space="0"/>
              <w:left w:val="single" w:color="auto" w:sz="6" w:space="0"/>
              <w:bottom w:val="single" w:color="auto" w:sz="6" w:space="0"/>
              <w:right w:val="single" w:color="auto" w:sz="6" w:space="0"/>
            </w:tcBorders>
            <w:vAlign w:val="center"/>
          </w:tcPr>
          <w:p w14:paraId="7C5C6BC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A168EE5">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3AFF7E9">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8EA259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提交设备监造规划；设备制造的生产计划及工艺方案；设备制造的检验计划和检验要求；设备监造工作总结报告</w:t>
            </w:r>
          </w:p>
        </w:tc>
        <w:tc>
          <w:tcPr>
            <w:tcW w:w="3686" w:type="dxa"/>
            <w:tcBorders>
              <w:top w:val="single" w:color="auto" w:sz="6" w:space="0"/>
              <w:left w:val="single" w:color="auto" w:sz="6" w:space="0"/>
              <w:bottom w:val="single" w:color="auto" w:sz="6" w:space="0"/>
              <w:right w:val="single" w:color="auto" w:sz="6" w:space="0"/>
            </w:tcBorders>
            <w:vAlign w:val="center"/>
          </w:tcPr>
          <w:p w14:paraId="53F84E9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以监造规划、生产计划、设备检验计划和检验要求获得委托人认可为支付条件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624F7D8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4F7344E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2CC29EB">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C96DD3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提交《项目合同体系保证体系手册》</w:t>
            </w:r>
          </w:p>
        </w:tc>
        <w:tc>
          <w:tcPr>
            <w:tcW w:w="3686" w:type="dxa"/>
            <w:tcBorders>
              <w:top w:val="single" w:color="auto" w:sz="6" w:space="0"/>
              <w:left w:val="single" w:color="auto" w:sz="6" w:space="0"/>
              <w:bottom w:val="single" w:color="auto" w:sz="6" w:space="0"/>
              <w:right w:val="single" w:color="auto" w:sz="6" w:space="0"/>
            </w:tcBorders>
            <w:vAlign w:val="center"/>
          </w:tcPr>
          <w:p w14:paraId="0FB5022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以提交的《项目合同体系保证体系手册》获得委托人认可为支付条件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A77972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5D8DAFE6">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A1E905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6DBDD3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提交经过审核的由</w:t>
            </w:r>
            <w:r>
              <w:rPr>
                <w:rFonts w:hint="eastAsia" w:ascii="Times New Roman" w:hAnsi="Times New Roman"/>
                <w:color w:val="auto"/>
                <w:highlight w:val="none"/>
              </w:rPr>
              <w:t>承包人</w:t>
            </w:r>
            <w:r>
              <w:rPr>
                <w:rFonts w:hint="eastAsia" w:ascii="Times New Roman" w:hAnsi="Times New Roman"/>
                <w:color w:val="auto"/>
                <w:sz w:val="18"/>
                <w:szCs w:val="18"/>
                <w:highlight w:val="none"/>
              </w:rPr>
              <w:t>提出的费用索赔申请</w:t>
            </w:r>
          </w:p>
        </w:tc>
        <w:tc>
          <w:tcPr>
            <w:tcW w:w="3686" w:type="dxa"/>
            <w:tcBorders>
              <w:top w:val="single" w:color="auto" w:sz="6" w:space="0"/>
              <w:left w:val="single" w:color="auto" w:sz="6" w:space="0"/>
              <w:bottom w:val="single" w:color="auto" w:sz="6" w:space="0"/>
              <w:right w:val="single" w:color="auto" w:sz="6" w:space="0"/>
            </w:tcBorders>
            <w:vAlign w:val="center"/>
          </w:tcPr>
          <w:p w14:paraId="1880BC7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如当月经三方（监理人、委托人及承包人）最终认定的索赔费用总金额与监理人提交的原审定金额存在</w:t>
            </w:r>
            <w:r>
              <w:rPr>
                <w:rFonts w:hint="default" w:ascii="Times New Roman" w:hAnsi="Times New Roman"/>
                <w:color w:val="auto"/>
                <w:sz w:val="18"/>
                <w:szCs w:val="18"/>
                <w:highlight w:val="none"/>
              </w:rPr>
              <w:t>10%</w:t>
            </w:r>
            <w:r>
              <w:rPr>
                <w:rFonts w:hint="eastAsia" w:ascii="Times New Roman" w:hAnsi="Times New Roman"/>
                <w:color w:val="auto"/>
                <w:sz w:val="18"/>
                <w:szCs w:val="18"/>
                <w:highlight w:val="none"/>
              </w:rPr>
              <w:t>以上的差异的情况出现一宗以上的情况，则应承担违约责任。以提交相关成果文件并获得委托人认可为支付条件。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40C8322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20E6F41B">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C22A784">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73E7D0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提交《合同争议调解方案》</w:t>
            </w:r>
          </w:p>
        </w:tc>
        <w:tc>
          <w:tcPr>
            <w:tcW w:w="3686" w:type="dxa"/>
            <w:tcBorders>
              <w:top w:val="single" w:color="auto" w:sz="6" w:space="0"/>
              <w:left w:val="single" w:color="auto" w:sz="6" w:space="0"/>
              <w:bottom w:val="single" w:color="auto" w:sz="6" w:space="0"/>
              <w:right w:val="single" w:color="auto" w:sz="6" w:space="0"/>
            </w:tcBorders>
            <w:vAlign w:val="center"/>
          </w:tcPr>
          <w:p w14:paraId="46BF988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以提交相关成果文件并获得委托人认可为支付条件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5EA8D2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BD700A4">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A4CDAD9">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B027F1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提交《合同解除（终止）处理方案书》</w:t>
            </w:r>
          </w:p>
        </w:tc>
        <w:tc>
          <w:tcPr>
            <w:tcW w:w="3686" w:type="dxa"/>
            <w:tcBorders>
              <w:top w:val="single" w:color="auto" w:sz="6" w:space="0"/>
              <w:left w:val="single" w:color="auto" w:sz="6" w:space="0"/>
              <w:bottom w:val="single" w:color="auto" w:sz="6" w:space="0"/>
              <w:right w:val="single" w:color="auto" w:sz="6" w:space="0"/>
            </w:tcBorders>
            <w:vAlign w:val="center"/>
          </w:tcPr>
          <w:p w14:paraId="237C3A4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以所涉及合同关系方的合同款项、材料、设备等各类钱款、费用得到正式确认且合同关系亦已正式解除为支付条件。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467D26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F0702E0">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22FD266">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366E6E2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提交监理月报</w:t>
            </w:r>
          </w:p>
        </w:tc>
        <w:tc>
          <w:tcPr>
            <w:tcW w:w="3686" w:type="dxa"/>
            <w:tcBorders>
              <w:top w:val="single" w:color="auto" w:sz="6" w:space="0"/>
              <w:left w:val="single" w:color="auto" w:sz="6" w:space="0"/>
              <w:bottom w:val="single" w:color="auto" w:sz="6" w:space="0"/>
              <w:right w:val="single" w:color="auto" w:sz="6" w:space="0"/>
            </w:tcBorders>
            <w:vAlign w:val="center"/>
          </w:tcPr>
          <w:p w14:paraId="41CD43F0">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以当月监理月报提交且经委托人认可为支付条件。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EE7F7F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31EB5B9">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BA30E19">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5EDE329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提交例会的会议纪要；</w:t>
            </w:r>
          </w:p>
        </w:tc>
        <w:tc>
          <w:tcPr>
            <w:tcW w:w="3686" w:type="dxa"/>
            <w:tcBorders>
              <w:top w:val="single" w:color="auto" w:sz="6" w:space="0"/>
              <w:left w:val="single" w:color="auto" w:sz="6" w:space="0"/>
              <w:bottom w:val="single" w:color="auto" w:sz="6" w:space="0"/>
              <w:right w:val="single" w:color="auto" w:sz="6" w:space="0"/>
            </w:tcBorders>
            <w:vAlign w:val="center"/>
          </w:tcPr>
          <w:p w14:paraId="022B5A3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以当月例会的召开符合委托人相关细则要求、例会的实际效果及会议纪要经委托人认可为为支付条件。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B1FC71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F844B9A">
        <w:tblPrEx>
          <w:tblCellMar>
            <w:top w:w="0" w:type="dxa"/>
            <w:left w:w="108" w:type="dxa"/>
            <w:bottom w:w="0" w:type="dxa"/>
            <w:right w:w="108" w:type="dxa"/>
          </w:tblCellMar>
        </w:tblPrEx>
        <w:trPr>
          <w:cantSplit/>
          <w:trHeight w:val="71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20E40241">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default" w:ascii="Times New Roman" w:hAnsi="Times New Roman"/>
                <w:b/>
                <w:color w:val="auto"/>
                <w:sz w:val="28"/>
                <w:szCs w:val="28"/>
                <w:highlight w:val="none"/>
              </w:rPr>
              <w:t>四</w:t>
            </w:r>
          </w:p>
        </w:tc>
        <w:tc>
          <w:tcPr>
            <w:tcW w:w="8505" w:type="dxa"/>
            <w:gridSpan w:val="3"/>
            <w:tcBorders>
              <w:top w:val="single" w:color="auto" w:sz="6" w:space="0"/>
              <w:left w:val="single" w:color="auto" w:sz="6" w:space="0"/>
              <w:bottom w:val="single" w:color="auto" w:sz="6" w:space="0"/>
              <w:right w:val="single" w:color="auto" w:sz="6" w:space="0"/>
            </w:tcBorders>
            <w:vAlign w:val="center"/>
          </w:tcPr>
          <w:p w14:paraId="77D04940">
            <w:pPr>
              <w:keepNext w:val="0"/>
              <w:keepLines w:val="0"/>
              <w:suppressLineNumbers w:val="0"/>
              <w:spacing w:before="0" w:beforeAutospacing="0" w:after="0" w:afterAutospacing="0"/>
              <w:ind w:left="0" w:right="0"/>
              <w:rPr>
                <w:rFonts w:hint="default" w:ascii="Times New Roman" w:hAnsi="Times New Roman"/>
                <w:b/>
                <w:color w:val="auto"/>
                <w:sz w:val="28"/>
                <w:szCs w:val="28"/>
                <w:highlight w:val="none"/>
              </w:rPr>
            </w:pPr>
            <w:r>
              <w:rPr>
                <w:rFonts w:hint="eastAsia" w:ascii="Times New Roman" w:hAnsi="Times New Roman"/>
                <w:b/>
                <w:color w:val="auto"/>
                <w:sz w:val="28"/>
                <w:szCs w:val="28"/>
                <w:highlight w:val="none"/>
              </w:rPr>
              <w:t>收尾阶段</w:t>
            </w:r>
          </w:p>
        </w:tc>
      </w:tr>
      <w:tr w14:paraId="547ECDD0">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1A397D96">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E22473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提交《工程结束阶段监理工作计划》及《工程竣工结算计划》</w:t>
            </w:r>
          </w:p>
        </w:tc>
        <w:tc>
          <w:tcPr>
            <w:tcW w:w="3686" w:type="dxa"/>
            <w:tcBorders>
              <w:top w:val="single" w:color="auto" w:sz="6" w:space="0"/>
              <w:left w:val="single" w:color="auto" w:sz="6" w:space="0"/>
              <w:bottom w:val="single" w:color="auto" w:sz="6" w:space="0"/>
              <w:right w:val="single" w:color="auto" w:sz="6" w:space="0"/>
            </w:tcBorders>
            <w:vAlign w:val="center"/>
          </w:tcPr>
          <w:p w14:paraId="20742DAE">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2BBC86C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66578910">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370EE298">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73E3D19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对竣工图纸（包括设备移交资料等）复核确认</w:t>
            </w:r>
          </w:p>
        </w:tc>
        <w:tc>
          <w:tcPr>
            <w:tcW w:w="3686" w:type="dxa"/>
            <w:tcBorders>
              <w:top w:val="single" w:color="auto" w:sz="6" w:space="0"/>
              <w:left w:val="single" w:color="auto" w:sz="6" w:space="0"/>
              <w:bottom w:val="single" w:color="auto" w:sz="6" w:space="0"/>
              <w:right w:val="single" w:color="auto" w:sz="6" w:space="0"/>
            </w:tcBorders>
            <w:vAlign w:val="center"/>
          </w:tcPr>
          <w:p w14:paraId="54416EAB">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0D8A16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311BD33">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67A6C18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7C59E54">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提交工程《工程质量评估报告》</w:t>
            </w:r>
          </w:p>
        </w:tc>
        <w:tc>
          <w:tcPr>
            <w:tcW w:w="3686" w:type="dxa"/>
            <w:tcBorders>
              <w:top w:val="single" w:color="auto" w:sz="6" w:space="0"/>
              <w:left w:val="single" w:color="auto" w:sz="6" w:space="0"/>
              <w:bottom w:val="single" w:color="auto" w:sz="6" w:space="0"/>
              <w:right w:val="single" w:color="auto" w:sz="6" w:space="0"/>
            </w:tcBorders>
            <w:vAlign w:val="center"/>
          </w:tcPr>
          <w:p w14:paraId="38732F9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011DC7B1">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E316FD4">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53D46173">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6628F5B9">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提交完整、真实准确的项目竣工资料和工程结算资料</w:t>
            </w:r>
          </w:p>
        </w:tc>
        <w:tc>
          <w:tcPr>
            <w:tcW w:w="3686" w:type="dxa"/>
            <w:tcBorders>
              <w:top w:val="single" w:color="auto" w:sz="6" w:space="0"/>
              <w:left w:val="single" w:color="auto" w:sz="6" w:space="0"/>
              <w:bottom w:val="single" w:color="auto" w:sz="6" w:space="0"/>
              <w:right w:val="single" w:color="auto" w:sz="6" w:space="0"/>
            </w:tcBorders>
            <w:vAlign w:val="center"/>
          </w:tcPr>
          <w:p w14:paraId="3B54366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7E75401F">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D101711">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AC18393">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0C2E5F33">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按分项提交《竣工结算审核意见书》</w:t>
            </w:r>
          </w:p>
        </w:tc>
        <w:tc>
          <w:tcPr>
            <w:tcW w:w="3686" w:type="dxa"/>
            <w:tcBorders>
              <w:top w:val="single" w:color="auto" w:sz="6" w:space="0"/>
              <w:left w:val="single" w:color="auto" w:sz="6" w:space="0"/>
              <w:bottom w:val="single" w:color="auto" w:sz="6" w:space="0"/>
              <w:right w:val="single" w:color="auto" w:sz="6" w:space="0"/>
            </w:tcBorders>
            <w:vAlign w:val="center"/>
          </w:tcPr>
          <w:p w14:paraId="09BB0FF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5B27FCF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1821521A">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0FF73FC1">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C587668">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配合有关部门的结算审核工作，向委托人提出解决工程结算争议的合理建议</w:t>
            </w:r>
          </w:p>
        </w:tc>
        <w:tc>
          <w:tcPr>
            <w:tcW w:w="3686" w:type="dxa"/>
            <w:tcBorders>
              <w:top w:val="single" w:color="auto" w:sz="6" w:space="0"/>
              <w:left w:val="single" w:color="auto" w:sz="6" w:space="0"/>
              <w:bottom w:val="single" w:color="auto" w:sz="6" w:space="0"/>
              <w:right w:val="single" w:color="auto" w:sz="6" w:space="0"/>
            </w:tcBorders>
            <w:vAlign w:val="center"/>
          </w:tcPr>
          <w:p w14:paraId="6DC9131D">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FAD75CC">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r w14:paraId="012F2DF3">
        <w:tblPrEx>
          <w:tblCellMar>
            <w:top w:w="0" w:type="dxa"/>
            <w:left w:w="108" w:type="dxa"/>
            <w:bottom w:w="0" w:type="dxa"/>
            <w:right w:w="108" w:type="dxa"/>
          </w:tblCellMar>
        </w:tblPrEx>
        <w:trPr>
          <w:cantSplit/>
          <w:trHeight w:val="739" w:hRule="atLeast"/>
          <w:jc w:val="center"/>
        </w:trPr>
        <w:tc>
          <w:tcPr>
            <w:tcW w:w="739" w:type="dxa"/>
            <w:tcBorders>
              <w:top w:val="single" w:color="auto" w:sz="6" w:space="0"/>
              <w:left w:val="single" w:color="auto" w:sz="6" w:space="0"/>
              <w:bottom w:val="single" w:color="auto" w:sz="6" w:space="0"/>
              <w:right w:val="single" w:color="auto" w:sz="6" w:space="0"/>
            </w:tcBorders>
            <w:vAlign w:val="center"/>
          </w:tcPr>
          <w:p w14:paraId="4F563F4E">
            <w:pPr>
              <w:keepNext w:val="0"/>
              <w:keepLines w:val="0"/>
              <w:numPr>
                <w:ilvl w:val="0"/>
                <w:numId w:val="3"/>
              </w:numPr>
              <w:suppressLineNumbers w:val="0"/>
              <w:spacing w:before="0" w:beforeAutospacing="0" w:after="0" w:afterAutospacing="0"/>
              <w:ind w:left="420" w:right="0"/>
              <w:rPr>
                <w:rFonts w:hint="default" w:ascii="Times New Roman" w:hAnsi="Times New Roman"/>
                <w:color w:val="auto"/>
                <w:sz w:val="18"/>
                <w:szCs w:val="18"/>
                <w:highlight w:val="none"/>
              </w:rPr>
            </w:pPr>
          </w:p>
        </w:tc>
        <w:tc>
          <w:tcPr>
            <w:tcW w:w="3827" w:type="dxa"/>
            <w:tcBorders>
              <w:top w:val="single" w:color="auto" w:sz="6" w:space="0"/>
              <w:left w:val="single" w:color="auto" w:sz="6" w:space="0"/>
              <w:bottom w:val="single" w:color="auto" w:sz="6" w:space="0"/>
              <w:right w:val="single" w:color="auto" w:sz="6" w:space="0"/>
            </w:tcBorders>
            <w:vAlign w:val="center"/>
          </w:tcPr>
          <w:p w14:paraId="2B3D9E72">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提交《项目工程监理工作总结》</w:t>
            </w:r>
          </w:p>
        </w:tc>
        <w:tc>
          <w:tcPr>
            <w:tcW w:w="3686" w:type="dxa"/>
            <w:tcBorders>
              <w:top w:val="single" w:color="auto" w:sz="6" w:space="0"/>
              <w:left w:val="single" w:color="auto" w:sz="6" w:space="0"/>
              <w:bottom w:val="single" w:color="auto" w:sz="6" w:space="0"/>
              <w:right w:val="single" w:color="auto" w:sz="6" w:space="0"/>
            </w:tcBorders>
            <w:vAlign w:val="center"/>
          </w:tcPr>
          <w:p w14:paraId="6E3AE5BA">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r>
              <w:rPr>
                <w:rFonts w:hint="eastAsia" w:ascii="Times New Roman" w:hAnsi="Times New Roman"/>
                <w:color w:val="auto"/>
                <w:sz w:val="18"/>
                <w:szCs w:val="18"/>
                <w:highlight w:val="none"/>
              </w:rPr>
              <w:t>以获得委托人认可为支付条件</w:t>
            </w:r>
          </w:p>
        </w:tc>
        <w:tc>
          <w:tcPr>
            <w:tcW w:w="992" w:type="dxa"/>
            <w:tcBorders>
              <w:top w:val="single" w:color="auto" w:sz="6" w:space="0"/>
              <w:left w:val="single" w:color="auto" w:sz="6" w:space="0"/>
              <w:bottom w:val="single" w:color="auto" w:sz="6" w:space="0"/>
              <w:right w:val="single" w:color="auto" w:sz="6" w:space="0"/>
            </w:tcBorders>
            <w:vAlign w:val="center"/>
          </w:tcPr>
          <w:p w14:paraId="31C8F586">
            <w:pPr>
              <w:keepNext w:val="0"/>
              <w:keepLines w:val="0"/>
              <w:suppressLineNumbers w:val="0"/>
              <w:spacing w:before="0" w:beforeAutospacing="0" w:after="0" w:afterAutospacing="0"/>
              <w:ind w:left="0" w:right="0"/>
              <w:rPr>
                <w:rFonts w:hint="default" w:ascii="Times New Roman" w:hAnsi="Times New Roman"/>
                <w:color w:val="auto"/>
                <w:sz w:val="18"/>
                <w:szCs w:val="18"/>
                <w:highlight w:val="none"/>
              </w:rPr>
            </w:pPr>
          </w:p>
        </w:tc>
      </w:tr>
    </w:tbl>
    <w:p w14:paraId="728C27AE">
      <w:pPr>
        <w:spacing w:line="360" w:lineRule="auto"/>
        <w:ind w:firstLine="498" w:firstLineChars="200"/>
        <w:rPr>
          <w:rFonts w:ascii="Times New Roman" w:hAnsi="Times New Roman" w:cs="宋体"/>
          <w:b/>
          <w:snapToGrid w:val="0"/>
          <w:color w:val="auto"/>
          <w:spacing w:val="4"/>
          <w:sz w:val="24"/>
          <w:highlight w:val="none"/>
        </w:rPr>
      </w:pPr>
    </w:p>
    <w:p w14:paraId="65CF0485">
      <w:pPr>
        <w:spacing w:line="360" w:lineRule="auto"/>
        <w:ind w:firstLine="498" w:firstLineChars="200"/>
        <w:rPr>
          <w:rFonts w:ascii="Times New Roman" w:hAnsi="Times New Roman" w:cs="宋体"/>
          <w:b/>
          <w:snapToGrid w:val="0"/>
          <w:color w:val="auto"/>
          <w:spacing w:val="4"/>
          <w:sz w:val="24"/>
          <w:highlight w:val="none"/>
        </w:rPr>
      </w:pPr>
    </w:p>
    <w:p w14:paraId="45F7A5B4">
      <w:pPr>
        <w:spacing w:line="360" w:lineRule="auto"/>
        <w:ind w:firstLine="498" w:firstLineChars="200"/>
        <w:rPr>
          <w:rFonts w:ascii="Times New Roman" w:hAnsi="Times New Roman" w:cs="宋体"/>
          <w:b/>
          <w:snapToGrid w:val="0"/>
          <w:color w:val="auto"/>
          <w:spacing w:val="4"/>
          <w:sz w:val="24"/>
          <w:highlight w:val="none"/>
        </w:rPr>
      </w:pPr>
    </w:p>
    <w:p w14:paraId="692BEE2F">
      <w:pPr>
        <w:spacing w:line="360" w:lineRule="auto"/>
        <w:ind w:firstLine="498" w:firstLineChars="200"/>
        <w:rPr>
          <w:rFonts w:ascii="Times New Roman" w:hAnsi="Times New Roman" w:cs="宋体"/>
          <w:b/>
          <w:snapToGrid w:val="0"/>
          <w:color w:val="auto"/>
          <w:spacing w:val="4"/>
          <w:sz w:val="24"/>
          <w:highlight w:val="none"/>
        </w:rPr>
      </w:pPr>
    </w:p>
    <w:p w14:paraId="1E893A11">
      <w:pPr>
        <w:spacing w:line="360" w:lineRule="auto"/>
        <w:ind w:firstLine="498" w:firstLineChars="200"/>
        <w:rPr>
          <w:rFonts w:ascii="Times New Roman" w:hAnsi="Times New Roman" w:cs="宋体"/>
          <w:b/>
          <w:snapToGrid w:val="0"/>
          <w:color w:val="auto"/>
          <w:spacing w:val="4"/>
          <w:sz w:val="24"/>
          <w:highlight w:val="none"/>
        </w:rPr>
      </w:pPr>
    </w:p>
    <w:p w14:paraId="1AA36A56">
      <w:pPr>
        <w:spacing w:line="360" w:lineRule="auto"/>
        <w:rPr>
          <w:rFonts w:ascii="Times New Roman" w:hAnsi="Times New Roman"/>
          <w:b/>
          <w:color w:val="auto"/>
          <w:sz w:val="24"/>
          <w:highlight w:val="none"/>
        </w:rPr>
      </w:pPr>
      <w:r>
        <w:rPr>
          <w:rFonts w:ascii="Times New Roman" w:hAnsi="Times New Roman" w:cs="宋体"/>
          <w:b/>
          <w:snapToGrid w:val="0"/>
          <w:color w:val="auto"/>
          <w:spacing w:val="4"/>
          <w:sz w:val="24"/>
          <w:highlight w:val="none"/>
        </w:rPr>
        <w:br w:type="page"/>
      </w:r>
      <w:r>
        <w:rPr>
          <w:rFonts w:hint="eastAsia" w:ascii="Times New Roman" w:hAnsi="Times New Roman" w:cs="宋体"/>
          <w:b/>
          <w:snapToGrid w:val="0"/>
          <w:color w:val="auto"/>
          <w:spacing w:val="4"/>
          <w:sz w:val="24"/>
          <w:highlight w:val="none"/>
        </w:rPr>
        <w:t>附件3</w:t>
      </w:r>
      <w:r>
        <w:rPr>
          <w:rFonts w:ascii="Times New Roman" w:hAnsi="Times New Roman" w:cs="宋体"/>
          <w:b/>
          <w:snapToGrid w:val="0"/>
          <w:color w:val="auto"/>
          <w:spacing w:val="4"/>
          <w:sz w:val="24"/>
          <w:highlight w:val="none"/>
        </w:rPr>
        <w:t>-1</w:t>
      </w:r>
      <w:r>
        <w:rPr>
          <w:rFonts w:hint="eastAsia" w:ascii="Times New Roman" w:hAnsi="Times New Roman" w:cs="宋体"/>
          <w:b/>
          <w:snapToGrid w:val="0"/>
          <w:color w:val="auto"/>
          <w:spacing w:val="4"/>
          <w:sz w:val="24"/>
          <w:highlight w:val="none"/>
        </w:rPr>
        <w:t>：</w:t>
      </w:r>
    </w:p>
    <w:p w14:paraId="035A1199">
      <w:pPr>
        <w:spacing w:line="360" w:lineRule="auto"/>
        <w:ind w:firstLine="482"/>
        <w:jc w:val="center"/>
        <w:rPr>
          <w:rFonts w:ascii="Times New Roman" w:hAnsi="Times New Roman"/>
          <w:b/>
          <w:color w:val="auto"/>
          <w:sz w:val="24"/>
          <w:highlight w:val="none"/>
        </w:rPr>
      </w:pPr>
      <w:r>
        <w:rPr>
          <w:rFonts w:hint="eastAsia" w:ascii="Times New Roman" w:hAnsi="Times New Roman"/>
          <w:b/>
          <w:color w:val="auto"/>
          <w:sz w:val="24"/>
          <w:highlight w:val="none"/>
        </w:rPr>
        <w:t>每期驻场监理人员出勤情况表</w:t>
      </w:r>
    </w:p>
    <w:p w14:paraId="56A6853C">
      <w:pPr>
        <w:spacing w:line="360" w:lineRule="auto"/>
        <w:ind w:firstLine="482"/>
        <w:jc w:val="center"/>
        <w:rPr>
          <w:rFonts w:ascii="Times New Roman" w:hAnsi="Times New Roman"/>
          <w:b/>
          <w:color w:val="auto"/>
          <w:sz w:val="24"/>
          <w:highlight w:val="none"/>
        </w:rPr>
      </w:pPr>
      <w:r>
        <w:rPr>
          <w:rFonts w:hint="eastAsia" w:ascii="Times New Roman" w:hAnsi="Times New Roman"/>
          <w:b/>
          <w:color w:val="auto"/>
          <w:sz w:val="24"/>
          <w:highlight w:val="none"/>
        </w:rPr>
        <w:t>（</w:t>
      </w:r>
      <w:r>
        <w:rPr>
          <w:rFonts w:ascii="Times New Roman" w:hAnsi="Times New Roman"/>
          <w:b/>
          <w:color w:val="auto"/>
          <w:sz w:val="24"/>
          <w:highlight w:val="none"/>
        </w:rPr>
        <w:t>20</w:t>
      </w:r>
      <w:r>
        <w:rPr>
          <w:rFonts w:hint="eastAsia" w:ascii="Times New Roman" w:hAnsi="Times New Roman"/>
          <w:b/>
          <w:color w:val="auto"/>
          <w:sz w:val="24"/>
          <w:highlight w:val="none"/>
        </w:rPr>
        <w:t>_</w:t>
      </w:r>
      <w:r>
        <w:rPr>
          <w:rFonts w:hint="eastAsia" w:ascii="Times New Roman" w:hAnsi="Times New Roman"/>
          <w:color w:val="auto"/>
          <w:sz w:val="24"/>
          <w:highlight w:val="none"/>
          <w:u w:val="single"/>
        </w:rPr>
        <w:t xml:space="preserve"> </w:t>
      </w:r>
      <w:r>
        <w:rPr>
          <w:rFonts w:hint="eastAsia" w:ascii="Times New Roman" w:hAnsi="Times New Roman"/>
          <w:b/>
          <w:color w:val="auto"/>
          <w:sz w:val="24"/>
          <w:highlight w:val="none"/>
        </w:rPr>
        <w:t>年_</w:t>
      </w:r>
      <w:r>
        <w:rPr>
          <w:rFonts w:hint="eastAsia" w:ascii="Times New Roman" w:hAnsi="Times New Roman"/>
          <w:color w:val="auto"/>
          <w:sz w:val="24"/>
          <w:highlight w:val="none"/>
          <w:u w:val="single"/>
        </w:rPr>
        <w:t xml:space="preserve"> </w:t>
      </w:r>
      <w:r>
        <w:rPr>
          <w:rFonts w:hint="eastAsia" w:ascii="Times New Roman" w:hAnsi="Times New Roman"/>
          <w:b/>
          <w:color w:val="auto"/>
          <w:sz w:val="24"/>
          <w:highlight w:val="none"/>
        </w:rPr>
        <w:t>月份）</w:t>
      </w:r>
    </w:p>
    <w:tbl>
      <w:tblPr>
        <w:tblStyle w:val="1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664"/>
        <w:gridCol w:w="1276"/>
        <w:gridCol w:w="1417"/>
        <w:gridCol w:w="1675"/>
        <w:gridCol w:w="1335"/>
        <w:gridCol w:w="1152"/>
      </w:tblGrid>
      <w:tr w14:paraId="24EA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3B265EBB">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序号</w:t>
            </w:r>
          </w:p>
        </w:tc>
        <w:tc>
          <w:tcPr>
            <w:tcW w:w="1664" w:type="dxa"/>
            <w:vAlign w:val="center"/>
          </w:tcPr>
          <w:p w14:paraId="46711134">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岗位</w:t>
            </w:r>
            <w:r>
              <w:rPr>
                <w:rFonts w:hint="default" w:ascii="Times New Roman" w:hAnsi="Times New Roman"/>
                <w:b/>
                <w:color w:val="auto"/>
                <w:szCs w:val="21"/>
                <w:highlight w:val="none"/>
              </w:rPr>
              <w:t>/</w:t>
            </w:r>
            <w:r>
              <w:rPr>
                <w:rFonts w:hint="eastAsia" w:ascii="Times New Roman" w:hAnsi="Times New Roman"/>
                <w:b/>
                <w:color w:val="auto"/>
                <w:szCs w:val="21"/>
                <w:highlight w:val="none"/>
              </w:rPr>
              <w:t>专业</w:t>
            </w:r>
          </w:p>
        </w:tc>
        <w:tc>
          <w:tcPr>
            <w:tcW w:w="1276" w:type="dxa"/>
            <w:vAlign w:val="center"/>
          </w:tcPr>
          <w:p w14:paraId="5B79DEA1">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姓名</w:t>
            </w:r>
          </w:p>
        </w:tc>
        <w:tc>
          <w:tcPr>
            <w:tcW w:w="1417" w:type="dxa"/>
            <w:vAlign w:val="center"/>
          </w:tcPr>
          <w:p w14:paraId="490406F8">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电话</w:t>
            </w:r>
          </w:p>
        </w:tc>
        <w:tc>
          <w:tcPr>
            <w:tcW w:w="1675" w:type="dxa"/>
            <w:vAlign w:val="center"/>
          </w:tcPr>
          <w:p w14:paraId="4390DA52">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计划出勤天数（天）</w:t>
            </w:r>
          </w:p>
        </w:tc>
        <w:tc>
          <w:tcPr>
            <w:tcW w:w="1335" w:type="dxa"/>
            <w:vAlign w:val="center"/>
          </w:tcPr>
          <w:p w14:paraId="769641A8">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实际出勤天数（天）</w:t>
            </w:r>
          </w:p>
        </w:tc>
        <w:tc>
          <w:tcPr>
            <w:tcW w:w="1152" w:type="dxa"/>
            <w:vAlign w:val="center"/>
          </w:tcPr>
          <w:p w14:paraId="4CAC3276">
            <w:pPr>
              <w:keepNext w:val="0"/>
              <w:keepLines w:val="0"/>
              <w:suppressLineNumbers w:val="0"/>
              <w:spacing w:before="0" w:beforeAutospacing="0" w:after="0" w:afterAutospacing="0"/>
              <w:ind w:left="0" w:right="0"/>
              <w:jc w:val="center"/>
              <w:rPr>
                <w:rFonts w:hint="default" w:ascii="Times New Roman" w:hAnsi="Times New Roman"/>
                <w:b/>
                <w:color w:val="auto"/>
                <w:szCs w:val="21"/>
                <w:highlight w:val="none"/>
              </w:rPr>
            </w:pPr>
            <w:r>
              <w:rPr>
                <w:rFonts w:hint="eastAsia" w:ascii="Times New Roman" w:hAnsi="Times New Roman"/>
                <w:b/>
                <w:color w:val="auto"/>
                <w:szCs w:val="21"/>
                <w:highlight w:val="none"/>
              </w:rPr>
              <w:t>备注</w:t>
            </w:r>
          </w:p>
        </w:tc>
      </w:tr>
      <w:tr w14:paraId="37CB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446493E2">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一</w:t>
            </w:r>
          </w:p>
        </w:tc>
        <w:tc>
          <w:tcPr>
            <w:tcW w:w="1664" w:type="dxa"/>
            <w:vAlign w:val="center"/>
          </w:tcPr>
          <w:p w14:paraId="6F1CE0F4">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项目总协调人（如有）</w:t>
            </w:r>
          </w:p>
        </w:tc>
        <w:tc>
          <w:tcPr>
            <w:tcW w:w="1276" w:type="dxa"/>
            <w:vAlign w:val="center"/>
          </w:tcPr>
          <w:p w14:paraId="14C8A8B4">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3301A89D">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54B81000">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684AAF5D">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7DE2245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17A0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1D117A2B">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二</w:t>
            </w:r>
          </w:p>
        </w:tc>
        <w:tc>
          <w:tcPr>
            <w:tcW w:w="1664" w:type="dxa"/>
            <w:vAlign w:val="center"/>
          </w:tcPr>
          <w:p w14:paraId="23E68704">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总监理工程师</w:t>
            </w:r>
          </w:p>
        </w:tc>
        <w:tc>
          <w:tcPr>
            <w:tcW w:w="1276" w:type="dxa"/>
            <w:vAlign w:val="center"/>
          </w:tcPr>
          <w:p w14:paraId="28767E02">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085E82A5">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24F48F8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2381D1E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63F809B4">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42F1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28EB9A5">
            <w:pPr>
              <w:keepNext/>
              <w:keepLines/>
              <w:suppressLineNumbers w:val="0"/>
              <w:spacing w:before="340" w:beforeAutospacing="0" w:after="330" w:afterAutospacing="0" w:line="578" w:lineRule="auto"/>
              <w:ind w:left="0" w:right="0"/>
              <w:jc w:val="center"/>
              <w:outlineLvl w:val="0"/>
              <w:rPr>
                <w:rFonts w:hint="default" w:ascii="Times New Roman" w:hAnsi="Times New Roman"/>
                <w:strike/>
                <w:color w:val="auto"/>
                <w:szCs w:val="21"/>
                <w:highlight w:val="none"/>
              </w:rPr>
            </w:pPr>
          </w:p>
        </w:tc>
        <w:tc>
          <w:tcPr>
            <w:tcW w:w="1664" w:type="dxa"/>
            <w:vAlign w:val="center"/>
          </w:tcPr>
          <w:p w14:paraId="4E42500F">
            <w:pPr>
              <w:keepNext w:val="0"/>
              <w:keepLines w:val="0"/>
              <w:suppressLineNumbers w:val="0"/>
              <w:spacing w:before="0" w:beforeAutospacing="0" w:after="0" w:afterAutospacing="0"/>
              <w:ind w:left="0" w:right="0"/>
              <w:jc w:val="center"/>
              <w:rPr>
                <w:rFonts w:hint="default" w:ascii="Times New Roman" w:hAnsi="Times New Roman"/>
                <w:strike/>
                <w:color w:val="auto"/>
                <w:szCs w:val="21"/>
                <w:highlight w:val="none"/>
              </w:rPr>
            </w:pPr>
            <w:r>
              <w:rPr>
                <w:rFonts w:hint="eastAsia" w:ascii="Times New Roman" w:hAnsi="Times New Roman"/>
                <w:color w:val="auto"/>
                <w:szCs w:val="21"/>
                <w:highlight w:val="none"/>
              </w:rPr>
              <w:t>总监代表</w:t>
            </w:r>
          </w:p>
        </w:tc>
        <w:tc>
          <w:tcPr>
            <w:tcW w:w="1276" w:type="dxa"/>
            <w:vAlign w:val="center"/>
          </w:tcPr>
          <w:p w14:paraId="5049AE5D">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417" w:type="dxa"/>
            <w:vAlign w:val="center"/>
          </w:tcPr>
          <w:p w14:paraId="504FCD5B">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675" w:type="dxa"/>
            <w:vAlign w:val="center"/>
          </w:tcPr>
          <w:p w14:paraId="695B7F8E">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335" w:type="dxa"/>
            <w:vAlign w:val="center"/>
          </w:tcPr>
          <w:p w14:paraId="49CE1BDC">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c>
          <w:tcPr>
            <w:tcW w:w="1152" w:type="dxa"/>
            <w:vAlign w:val="center"/>
          </w:tcPr>
          <w:p w14:paraId="4ED39C20">
            <w:pPr>
              <w:keepNext/>
              <w:keepLines/>
              <w:suppressLineNumbers w:val="0"/>
              <w:spacing w:before="340" w:beforeAutospacing="0" w:after="330" w:afterAutospacing="0" w:line="578" w:lineRule="auto"/>
              <w:ind w:left="0" w:right="0"/>
              <w:jc w:val="center"/>
              <w:outlineLvl w:val="0"/>
              <w:rPr>
                <w:rFonts w:hint="default" w:ascii="Times New Roman" w:hAnsi="Times New Roman"/>
                <w:b/>
                <w:strike/>
                <w:color w:val="auto"/>
                <w:szCs w:val="21"/>
                <w:highlight w:val="none"/>
              </w:rPr>
            </w:pPr>
          </w:p>
        </w:tc>
      </w:tr>
      <w:tr w14:paraId="09D2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76CB3411">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olor w:val="auto"/>
                <w:szCs w:val="21"/>
                <w:highlight w:val="none"/>
              </w:rPr>
              <w:t>三</w:t>
            </w:r>
          </w:p>
        </w:tc>
        <w:tc>
          <w:tcPr>
            <w:tcW w:w="1664" w:type="dxa"/>
            <w:vAlign w:val="center"/>
          </w:tcPr>
          <w:p w14:paraId="782A3991">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r>
              <w:rPr>
                <w:rFonts w:hint="eastAsia" w:ascii="Times New Roman" w:hAnsi="Times New Roman" w:cs="仿宋"/>
                <w:color w:val="auto"/>
                <w:spacing w:val="-10"/>
                <w:szCs w:val="21"/>
                <w:highlight w:val="none"/>
              </w:rPr>
              <w:t>专业人员</w:t>
            </w:r>
          </w:p>
        </w:tc>
        <w:tc>
          <w:tcPr>
            <w:tcW w:w="1276" w:type="dxa"/>
            <w:vAlign w:val="center"/>
          </w:tcPr>
          <w:p w14:paraId="038FAA83">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22EB9DDC">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69EA2C58">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1C4F099C">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32B2C95A">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r w14:paraId="3EDD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6" w:type="dxa"/>
            <w:vAlign w:val="center"/>
          </w:tcPr>
          <w:p w14:paraId="0E71DF10">
            <w:pPr>
              <w:keepNext w:val="0"/>
              <w:keepLines w:val="0"/>
              <w:suppressLineNumbers w:val="0"/>
              <w:spacing w:before="0" w:beforeAutospacing="0" w:after="0" w:afterAutospacing="0"/>
              <w:ind w:left="0" w:right="0"/>
              <w:jc w:val="center"/>
              <w:rPr>
                <w:rFonts w:hint="default" w:ascii="Times New Roman" w:hAnsi="Times New Roman"/>
                <w:color w:val="auto"/>
                <w:szCs w:val="21"/>
                <w:highlight w:val="none"/>
              </w:rPr>
            </w:pPr>
          </w:p>
        </w:tc>
        <w:tc>
          <w:tcPr>
            <w:tcW w:w="1664" w:type="dxa"/>
            <w:vAlign w:val="center"/>
          </w:tcPr>
          <w:p w14:paraId="7095DE3B">
            <w:pPr>
              <w:keepNext w:val="0"/>
              <w:keepLines w:val="0"/>
              <w:suppressLineNumbers w:val="0"/>
              <w:spacing w:before="0" w:beforeAutospacing="0" w:after="0" w:afterAutospacing="0"/>
              <w:ind w:left="0" w:right="0"/>
              <w:jc w:val="center"/>
              <w:rPr>
                <w:rFonts w:hint="default" w:ascii="Times New Roman" w:hAnsi="Times New Roman" w:cs="仿宋"/>
                <w:color w:val="auto"/>
                <w:spacing w:val="-10"/>
                <w:szCs w:val="21"/>
                <w:highlight w:val="none"/>
              </w:rPr>
            </w:pPr>
            <w:r>
              <w:rPr>
                <w:rFonts w:hint="default" w:ascii="Times New Roman" w:hAnsi="Times New Roman"/>
                <w:color w:val="auto"/>
                <w:szCs w:val="21"/>
                <w:highlight w:val="none"/>
              </w:rPr>
              <w:t>......</w:t>
            </w:r>
          </w:p>
        </w:tc>
        <w:tc>
          <w:tcPr>
            <w:tcW w:w="1276" w:type="dxa"/>
            <w:vAlign w:val="center"/>
          </w:tcPr>
          <w:p w14:paraId="40610260">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417" w:type="dxa"/>
            <w:vAlign w:val="center"/>
          </w:tcPr>
          <w:p w14:paraId="265D757B">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675" w:type="dxa"/>
            <w:vAlign w:val="center"/>
          </w:tcPr>
          <w:p w14:paraId="335CD0D1">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335" w:type="dxa"/>
            <w:vAlign w:val="center"/>
          </w:tcPr>
          <w:p w14:paraId="24F88EE7">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c>
          <w:tcPr>
            <w:tcW w:w="1152" w:type="dxa"/>
            <w:vAlign w:val="center"/>
          </w:tcPr>
          <w:p w14:paraId="51F49C6F">
            <w:pPr>
              <w:keepNext/>
              <w:keepLines/>
              <w:suppressLineNumbers w:val="0"/>
              <w:spacing w:before="340" w:beforeAutospacing="0" w:after="330" w:afterAutospacing="0" w:line="578" w:lineRule="auto"/>
              <w:ind w:left="0" w:right="0"/>
              <w:jc w:val="center"/>
              <w:outlineLvl w:val="0"/>
              <w:rPr>
                <w:rFonts w:hint="default" w:ascii="Times New Roman" w:hAnsi="Times New Roman"/>
                <w:b/>
                <w:color w:val="auto"/>
                <w:szCs w:val="21"/>
                <w:highlight w:val="none"/>
              </w:rPr>
            </w:pPr>
          </w:p>
        </w:tc>
      </w:tr>
    </w:tbl>
    <w:p w14:paraId="4BDBF7E7">
      <w:pPr>
        <w:rPr>
          <w:rFonts w:ascii="Times New Roman" w:hAnsi="Times New Roman"/>
          <w:color w:val="auto"/>
          <w:highlight w:val="none"/>
        </w:rPr>
      </w:pPr>
    </w:p>
    <w:p w14:paraId="67F65C81">
      <w:pPr>
        <w:spacing w:line="360" w:lineRule="auto"/>
        <w:ind w:firstLine="480" w:firstLineChars="200"/>
        <w:rPr>
          <w:rFonts w:cs="宋体"/>
          <w:b/>
          <w:snapToGrid w:val="0"/>
          <w:color w:val="auto"/>
          <w:spacing w:val="4"/>
          <w:sz w:val="24"/>
          <w:highlight w:val="none"/>
        </w:rPr>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imes New Roman" w:hAnsi="Times New Roman"/>
          <w:color w:val="auto"/>
          <w:sz w:val="24"/>
          <w:highlight w:val="none"/>
        </w:rPr>
        <w:t>注：由监理人根据各阶段实际投入人员出勤情况填报，后附由委托人确认的出勤证明材料。</w:t>
      </w:r>
    </w:p>
    <w:p w14:paraId="5C517D68">
      <w:pPr>
        <w:spacing w:line="360" w:lineRule="auto"/>
        <w:rPr>
          <w:rFonts w:ascii="Times New Roman" w:hAnsi="Times New Roman"/>
          <w:b/>
          <w:color w:val="auto"/>
          <w:sz w:val="24"/>
          <w:highlight w:val="none"/>
        </w:rPr>
      </w:pPr>
      <w:r>
        <w:rPr>
          <w:rFonts w:hint="eastAsia" w:ascii="Times New Roman" w:hAnsi="Times New Roman" w:cs="宋体"/>
          <w:b/>
          <w:snapToGrid w:val="0"/>
          <w:color w:val="auto"/>
          <w:spacing w:val="4"/>
          <w:sz w:val="24"/>
          <w:highlight w:val="none"/>
        </w:rPr>
        <w:t>附件3</w:t>
      </w:r>
      <w:r>
        <w:rPr>
          <w:rFonts w:ascii="Times New Roman" w:hAnsi="Times New Roman" w:cs="宋体"/>
          <w:b/>
          <w:snapToGrid w:val="0"/>
          <w:color w:val="auto"/>
          <w:spacing w:val="4"/>
          <w:sz w:val="24"/>
          <w:highlight w:val="none"/>
        </w:rPr>
        <w:t>-2</w:t>
      </w:r>
      <w:r>
        <w:rPr>
          <w:rFonts w:hint="eastAsia" w:ascii="Times New Roman" w:hAnsi="Times New Roman" w:cs="宋体"/>
          <w:b/>
          <w:snapToGrid w:val="0"/>
          <w:color w:val="auto"/>
          <w:spacing w:val="4"/>
          <w:sz w:val="24"/>
          <w:highlight w:val="none"/>
        </w:rPr>
        <w:t>：</w:t>
      </w:r>
    </w:p>
    <w:p w14:paraId="281374C0">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每期监理设备投入情况表</w:t>
      </w:r>
    </w:p>
    <w:tbl>
      <w:tblPr>
        <w:tblStyle w:val="12"/>
        <w:tblW w:w="13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73"/>
        <w:gridCol w:w="850"/>
        <w:gridCol w:w="714"/>
        <w:gridCol w:w="850"/>
        <w:gridCol w:w="992"/>
        <w:gridCol w:w="916"/>
        <w:gridCol w:w="1177"/>
        <w:gridCol w:w="751"/>
        <w:gridCol w:w="751"/>
        <w:gridCol w:w="750"/>
        <w:gridCol w:w="751"/>
        <w:gridCol w:w="751"/>
        <w:gridCol w:w="1701"/>
      </w:tblGrid>
      <w:tr w14:paraId="1957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restart"/>
            <w:vAlign w:val="center"/>
          </w:tcPr>
          <w:p w14:paraId="030BE29F">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eastAsia" w:ascii="Times New Roman" w:hAnsi="Times New Roman"/>
                <w:color w:val="auto"/>
                <w:sz w:val="24"/>
                <w:highlight w:val="none"/>
              </w:rPr>
              <w:t>序号</w:t>
            </w:r>
          </w:p>
        </w:tc>
        <w:tc>
          <w:tcPr>
            <w:tcW w:w="6095" w:type="dxa"/>
            <w:gridSpan w:val="6"/>
            <w:vAlign w:val="center"/>
          </w:tcPr>
          <w:p w14:paraId="6388B31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当期应投入设备</w:t>
            </w:r>
          </w:p>
        </w:tc>
        <w:tc>
          <w:tcPr>
            <w:tcW w:w="4931" w:type="dxa"/>
            <w:gridSpan w:val="6"/>
            <w:vAlign w:val="center"/>
          </w:tcPr>
          <w:p w14:paraId="0DAAA39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实际投入设备</w:t>
            </w:r>
          </w:p>
        </w:tc>
        <w:tc>
          <w:tcPr>
            <w:tcW w:w="1701" w:type="dxa"/>
            <w:vMerge w:val="restart"/>
            <w:vAlign w:val="center"/>
          </w:tcPr>
          <w:p w14:paraId="36C88A0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备注</w:t>
            </w:r>
          </w:p>
        </w:tc>
      </w:tr>
      <w:tr w14:paraId="6973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Merge w:val="continue"/>
            <w:vAlign w:val="center"/>
          </w:tcPr>
          <w:p w14:paraId="55B5605E">
            <w:pPr>
              <w:keepNext/>
              <w:keepLines/>
              <w:suppressLineNumbers w:val="0"/>
              <w:spacing w:before="340" w:beforeAutospacing="0" w:after="330" w:afterAutospacing="0" w:line="440" w:lineRule="exact"/>
              <w:ind w:left="0" w:right="0"/>
              <w:outlineLvl w:val="0"/>
              <w:rPr>
                <w:rFonts w:hint="default" w:ascii="Times New Roman" w:hAnsi="Times New Roman"/>
                <w:color w:val="auto"/>
                <w:sz w:val="24"/>
                <w:highlight w:val="none"/>
              </w:rPr>
            </w:pPr>
          </w:p>
        </w:tc>
        <w:tc>
          <w:tcPr>
            <w:tcW w:w="1773" w:type="dxa"/>
            <w:vAlign w:val="center"/>
          </w:tcPr>
          <w:p w14:paraId="2581B3D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仪器设备</w:t>
            </w:r>
          </w:p>
          <w:p w14:paraId="758B7EF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名称</w:t>
            </w:r>
          </w:p>
        </w:tc>
        <w:tc>
          <w:tcPr>
            <w:tcW w:w="850" w:type="dxa"/>
            <w:vAlign w:val="center"/>
          </w:tcPr>
          <w:p w14:paraId="7778CBB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型号</w:t>
            </w:r>
          </w:p>
          <w:p w14:paraId="3D473C4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规格</w:t>
            </w:r>
          </w:p>
        </w:tc>
        <w:tc>
          <w:tcPr>
            <w:tcW w:w="714" w:type="dxa"/>
            <w:vAlign w:val="center"/>
          </w:tcPr>
          <w:p w14:paraId="1228C03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数量</w:t>
            </w:r>
          </w:p>
        </w:tc>
        <w:tc>
          <w:tcPr>
            <w:tcW w:w="850" w:type="dxa"/>
            <w:vAlign w:val="center"/>
          </w:tcPr>
          <w:p w14:paraId="16E6CF6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国别</w:t>
            </w:r>
          </w:p>
          <w:p w14:paraId="01F886B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产地</w:t>
            </w:r>
          </w:p>
        </w:tc>
        <w:tc>
          <w:tcPr>
            <w:tcW w:w="992" w:type="dxa"/>
            <w:vAlign w:val="center"/>
          </w:tcPr>
          <w:p w14:paraId="4EB821D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制造</w:t>
            </w:r>
          </w:p>
          <w:p w14:paraId="2F3F0C6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年份</w:t>
            </w:r>
          </w:p>
        </w:tc>
        <w:tc>
          <w:tcPr>
            <w:tcW w:w="916" w:type="dxa"/>
            <w:vAlign w:val="center"/>
          </w:tcPr>
          <w:p w14:paraId="74A52BF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用途</w:t>
            </w:r>
          </w:p>
        </w:tc>
        <w:tc>
          <w:tcPr>
            <w:tcW w:w="1177" w:type="dxa"/>
            <w:vAlign w:val="center"/>
          </w:tcPr>
          <w:p w14:paraId="68E6A14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仪器设备</w:t>
            </w:r>
          </w:p>
          <w:p w14:paraId="76B2DDE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名称</w:t>
            </w:r>
          </w:p>
        </w:tc>
        <w:tc>
          <w:tcPr>
            <w:tcW w:w="751" w:type="dxa"/>
            <w:vAlign w:val="center"/>
          </w:tcPr>
          <w:p w14:paraId="46554E5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型号</w:t>
            </w:r>
          </w:p>
          <w:p w14:paraId="3FB5B7A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规格</w:t>
            </w:r>
          </w:p>
        </w:tc>
        <w:tc>
          <w:tcPr>
            <w:tcW w:w="751" w:type="dxa"/>
            <w:vAlign w:val="center"/>
          </w:tcPr>
          <w:p w14:paraId="6EBD843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数量</w:t>
            </w:r>
          </w:p>
        </w:tc>
        <w:tc>
          <w:tcPr>
            <w:tcW w:w="750" w:type="dxa"/>
            <w:vAlign w:val="center"/>
          </w:tcPr>
          <w:p w14:paraId="63B482D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国别</w:t>
            </w:r>
          </w:p>
          <w:p w14:paraId="3F38B1C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产地</w:t>
            </w:r>
          </w:p>
        </w:tc>
        <w:tc>
          <w:tcPr>
            <w:tcW w:w="751" w:type="dxa"/>
            <w:vAlign w:val="center"/>
          </w:tcPr>
          <w:p w14:paraId="53CF60F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制造</w:t>
            </w:r>
          </w:p>
          <w:p w14:paraId="517D7D5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年份</w:t>
            </w:r>
          </w:p>
        </w:tc>
        <w:tc>
          <w:tcPr>
            <w:tcW w:w="751" w:type="dxa"/>
            <w:vAlign w:val="center"/>
          </w:tcPr>
          <w:p w14:paraId="549982E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r>
              <w:rPr>
                <w:rFonts w:hint="eastAsia" w:ascii="Times New Roman" w:hAnsi="Times New Roman"/>
                <w:color w:val="auto"/>
                <w:sz w:val="24"/>
                <w:highlight w:val="none"/>
              </w:rPr>
              <w:t>用途</w:t>
            </w:r>
          </w:p>
        </w:tc>
        <w:tc>
          <w:tcPr>
            <w:tcW w:w="1701" w:type="dxa"/>
            <w:vMerge w:val="continue"/>
            <w:vAlign w:val="center"/>
          </w:tcPr>
          <w:p w14:paraId="3735E3A2">
            <w:pPr>
              <w:keepNext/>
              <w:keepLines/>
              <w:suppressLineNumbers w:val="0"/>
              <w:spacing w:before="340" w:beforeAutospacing="0" w:after="330" w:afterAutospacing="0" w:line="440" w:lineRule="exact"/>
              <w:ind w:left="0" w:right="0"/>
              <w:jc w:val="center"/>
              <w:outlineLvl w:val="0"/>
              <w:rPr>
                <w:rFonts w:hint="default" w:ascii="Times New Roman" w:hAnsi="Times New Roman"/>
                <w:color w:val="auto"/>
                <w:sz w:val="24"/>
                <w:highlight w:val="none"/>
              </w:rPr>
            </w:pPr>
          </w:p>
        </w:tc>
      </w:tr>
      <w:tr w14:paraId="14A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1" w:type="dxa"/>
            <w:vAlign w:val="center"/>
          </w:tcPr>
          <w:p w14:paraId="67F8C056">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1</w:t>
            </w:r>
          </w:p>
        </w:tc>
        <w:tc>
          <w:tcPr>
            <w:tcW w:w="1773" w:type="dxa"/>
            <w:vAlign w:val="center"/>
          </w:tcPr>
          <w:p w14:paraId="5A9E2E8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3610A7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6A3D578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2FCA93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540A8E5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62C4278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7D2B3AA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BF0BDC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1AF14A2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2A7AE85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252AE72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0145DD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1057AB8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18AA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1" w:type="dxa"/>
            <w:vAlign w:val="center"/>
          </w:tcPr>
          <w:p w14:paraId="7E0A80B0">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2</w:t>
            </w:r>
          </w:p>
        </w:tc>
        <w:tc>
          <w:tcPr>
            <w:tcW w:w="1773" w:type="dxa"/>
            <w:vAlign w:val="center"/>
          </w:tcPr>
          <w:p w14:paraId="7C2F8DF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FBB08B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25E7B73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12F6B2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103EAC5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1A7D98F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09EBA13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6F31223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C477E5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4131596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77FEA4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4D4BF1B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00EE039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43FD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91" w:type="dxa"/>
            <w:vAlign w:val="center"/>
          </w:tcPr>
          <w:p w14:paraId="11888E45">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3</w:t>
            </w:r>
          </w:p>
        </w:tc>
        <w:tc>
          <w:tcPr>
            <w:tcW w:w="1773" w:type="dxa"/>
            <w:vAlign w:val="center"/>
          </w:tcPr>
          <w:p w14:paraId="4DC9A19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1F37CD01">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1F982CD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3634A5F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7FA4989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78367C7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6ECEF4B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4304B1A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89F7FE4">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4C842A9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6AC77FB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635CBB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30DE3B2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5EBF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vAlign w:val="center"/>
          </w:tcPr>
          <w:p w14:paraId="6ADB2AEA">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4</w:t>
            </w:r>
          </w:p>
        </w:tc>
        <w:tc>
          <w:tcPr>
            <w:tcW w:w="1773" w:type="dxa"/>
            <w:vAlign w:val="center"/>
          </w:tcPr>
          <w:p w14:paraId="09C5E93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56DF8AC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299F121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345700AF">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2379E2B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3A34ECF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1EB69EF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4F0D99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0F0FDFD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1D7D4415">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1AE0622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C7788C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273C72F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66DE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91" w:type="dxa"/>
            <w:vAlign w:val="center"/>
          </w:tcPr>
          <w:p w14:paraId="631BDB09">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eastAsia" w:ascii="Times New Roman" w:hAnsi="Times New Roman"/>
                <w:color w:val="auto"/>
                <w:sz w:val="24"/>
                <w:highlight w:val="none"/>
              </w:rPr>
              <w:t>5</w:t>
            </w:r>
          </w:p>
        </w:tc>
        <w:tc>
          <w:tcPr>
            <w:tcW w:w="1773" w:type="dxa"/>
            <w:vAlign w:val="center"/>
          </w:tcPr>
          <w:p w14:paraId="2F20F89A">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B2CFD87">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1881A1D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841122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5E2DF3C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0FCCEAC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2BF65EA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74BE8E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5C177E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42293479">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29E1945D">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8266AB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1C66857B">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r w14:paraId="08B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91" w:type="dxa"/>
            <w:vAlign w:val="center"/>
          </w:tcPr>
          <w:p w14:paraId="012C4667">
            <w:pPr>
              <w:keepNext w:val="0"/>
              <w:keepLines w:val="0"/>
              <w:suppressLineNumbers w:val="0"/>
              <w:spacing w:before="0" w:beforeAutospacing="0" w:after="0" w:afterAutospacing="0" w:line="440" w:lineRule="exact"/>
              <w:ind w:left="0" w:right="0"/>
              <w:rPr>
                <w:rFonts w:hint="default" w:ascii="Times New Roman" w:hAnsi="Times New Roman"/>
                <w:color w:val="auto"/>
                <w:sz w:val="24"/>
                <w:highlight w:val="none"/>
              </w:rPr>
            </w:pPr>
            <w:r>
              <w:rPr>
                <w:rFonts w:hint="default" w:ascii="Times New Roman" w:hAnsi="Times New Roman"/>
                <w:color w:val="auto"/>
                <w:sz w:val="24"/>
                <w:highlight w:val="none"/>
              </w:rPr>
              <w:t>......</w:t>
            </w:r>
          </w:p>
        </w:tc>
        <w:tc>
          <w:tcPr>
            <w:tcW w:w="1773" w:type="dxa"/>
            <w:vAlign w:val="center"/>
          </w:tcPr>
          <w:p w14:paraId="4BE9BEFE">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726507B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14" w:type="dxa"/>
            <w:vAlign w:val="center"/>
          </w:tcPr>
          <w:p w14:paraId="22BF0D3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850" w:type="dxa"/>
            <w:vAlign w:val="center"/>
          </w:tcPr>
          <w:p w14:paraId="4190DF9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92" w:type="dxa"/>
            <w:vAlign w:val="center"/>
          </w:tcPr>
          <w:p w14:paraId="74D6E93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916" w:type="dxa"/>
            <w:vAlign w:val="center"/>
          </w:tcPr>
          <w:p w14:paraId="0733830C">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177" w:type="dxa"/>
            <w:vAlign w:val="center"/>
          </w:tcPr>
          <w:p w14:paraId="33266E63">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3F322C18">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74AB7246">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0" w:type="dxa"/>
            <w:vAlign w:val="center"/>
          </w:tcPr>
          <w:p w14:paraId="3FFF119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52F6CB4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751" w:type="dxa"/>
            <w:vAlign w:val="center"/>
          </w:tcPr>
          <w:p w14:paraId="6AAB2CB2">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c>
          <w:tcPr>
            <w:tcW w:w="1701" w:type="dxa"/>
            <w:vAlign w:val="center"/>
          </w:tcPr>
          <w:p w14:paraId="77F6EDC0">
            <w:pPr>
              <w:keepNext w:val="0"/>
              <w:keepLines w:val="0"/>
              <w:suppressLineNumbers w:val="0"/>
              <w:spacing w:before="0" w:beforeAutospacing="0" w:after="0" w:afterAutospacing="0" w:line="440" w:lineRule="exact"/>
              <w:ind w:left="0" w:right="0"/>
              <w:jc w:val="center"/>
              <w:rPr>
                <w:rFonts w:hint="default" w:ascii="Times New Roman" w:hAnsi="Times New Roman"/>
                <w:color w:val="auto"/>
                <w:sz w:val="24"/>
                <w:highlight w:val="none"/>
              </w:rPr>
            </w:pPr>
          </w:p>
        </w:tc>
      </w:tr>
    </w:tbl>
    <w:p w14:paraId="4E38D5B6">
      <w:pPr>
        <w:rPr>
          <w:color w:val="auto"/>
          <w:highlight w:val="none"/>
        </w:rPr>
        <w:sectPr>
          <w:pgSz w:w="16838" w:h="11906" w:orient="landscape"/>
          <w:pgMar w:top="1797" w:right="1134" w:bottom="1797" w:left="1440" w:header="709" w:footer="709" w:gutter="0"/>
          <w:pgBorders>
            <w:top w:val="none" w:sz="0" w:space="0"/>
            <w:left w:val="none" w:sz="0" w:space="0"/>
            <w:bottom w:val="none" w:sz="0" w:space="0"/>
            <w:right w:val="none" w:sz="0" w:space="0"/>
          </w:pgBorders>
          <w:pgNumType w:fmt="decimal"/>
          <w:cols w:space="720" w:num="1"/>
          <w:docGrid w:type="linesAndChars" w:linePitch="377" w:charSpace="0"/>
        </w:sectPr>
      </w:pPr>
    </w:p>
    <w:p w14:paraId="4AC84DCE">
      <w:pPr>
        <w:pStyle w:val="18"/>
        <w:spacing w:beforeLines="0" w:afterLines="0"/>
        <w:outlineLvl w:val="1"/>
        <w:rPr>
          <w:rFonts w:ascii="Times New Roman" w:hAnsi="Times New Roman" w:eastAsia="宋体"/>
          <w:color w:val="auto"/>
          <w:highlight w:val="none"/>
        </w:rPr>
      </w:pPr>
      <w:r>
        <w:rPr>
          <w:rFonts w:hint="eastAsia" w:ascii="Times New Roman" w:hAnsi="Times New Roman" w:eastAsia="宋体" w:cs="宋体"/>
          <w:color w:val="auto"/>
          <w:kern w:val="2"/>
          <w:highlight w:val="none"/>
        </w:rPr>
        <w:t>附件4</w:t>
      </w:r>
      <w:r>
        <w:rPr>
          <w:rFonts w:hint="eastAsia" w:ascii="Times New Roman" w:hAnsi="Times New Roman" w:eastAsia="宋体"/>
          <w:color w:val="auto"/>
          <w:kern w:val="2"/>
          <w:highlight w:val="none"/>
        </w:rPr>
        <w:t>：项目监理机构及监理人员</w:t>
      </w:r>
    </w:p>
    <w:p w14:paraId="1FD8BE97">
      <w:pPr>
        <w:topLinePunct/>
        <w:adjustRightInd w:val="0"/>
        <w:snapToGrid w:val="0"/>
        <w:spacing w:line="360" w:lineRule="auto"/>
        <w:ind w:firstLine="496"/>
        <w:rPr>
          <w:rFonts w:ascii="Times New Roman" w:hAnsi="Times New Roman"/>
          <w:color w:val="auto"/>
          <w:spacing w:val="4"/>
          <w:sz w:val="24"/>
          <w:szCs w:val="24"/>
          <w:highlight w:val="none"/>
        </w:rPr>
      </w:pPr>
    </w:p>
    <w:p w14:paraId="62748466">
      <w:pPr>
        <w:topLinePunct/>
        <w:adjustRightInd w:val="0"/>
        <w:snapToGrid w:val="0"/>
        <w:spacing w:line="360" w:lineRule="auto"/>
        <w:rPr>
          <w:rFonts w:ascii="Times New Roman" w:hAnsi="Times New Roman"/>
          <w:b/>
          <w:color w:val="auto"/>
          <w:spacing w:val="4"/>
          <w:kern w:val="0"/>
          <w:sz w:val="28"/>
          <w:szCs w:val="28"/>
          <w:highlight w:val="none"/>
        </w:rPr>
      </w:pPr>
      <w:r>
        <w:rPr>
          <w:rFonts w:hint="eastAsia" w:ascii="Times New Roman" w:hAnsi="Times New Roman"/>
          <w:b/>
          <w:color w:val="auto"/>
          <w:spacing w:val="4"/>
          <w:sz w:val="28"/>
          <w:szCs w:val="28"/>
          <w:highlight w:val="none"/>
        </w:rPr>
        <w:t>（一）项目监理机构图</w:t>
      </w:r>
    </w:p>
    <w:p w14:paraId="2264565D">
      <w:pPr>
        <w:topLinePunct/>
        <w:adjustRightInd w:val="0"/>
        <w:snapToGrid w:val="0"/>
        <w:spacing w:line="360" w:lineRule="auto"/>
        <w:rPr>
          <w:rFonts w:ascii="Times New Roman" w:hAnsi="Times New Roman"/>
          <w:color w:val="auto"/>
          <w:spacing w:val="4"/>
          <w:kern w:val="0"/>
          <w:sz w:val="24"/>
          <w:szCs w:val="24"/>
          <w:highlight w:val="none"/>
        </w:rPr>
      </w:pPr>
    </w:p>
    <w:p w14:paraId="0B166990">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72B069A5">
      <w:pPr>
        <w:topLinePunct/>
        <w:adjustRightInd w:val="0"/>
        <w:snapToGrid w:val="0"/>
        <w:spacing w:line="360" w:lineRule="auto"/>
        <w:rPr>
          <w:rFonts w:ascii="Times New Roman" w:hAnsi="Times New Roman"/>
          <w:b/>
          <w:color w:val="auto"/>
          <w:spacing w:val="4"/>
          <w:sz w:val="28"/>
          <w:szCs w:val="28"/>
          <w:highlight w:val="none"/>
        </w:rPr>
      </w:pPr>
      <w:r>
        <w:rPr>
          <w:rFonts w:hint="eastAsia" w:ascii="Times New Roman" w:hAnsi="Times New Roman"/>
          <w:b/>
          <w:color w:val="auto"/>
          <w:spacing w:val="4"/>
          <w:sz w:val="28"/>
          <w:szCs w:val="28"/>
          <w:highlight w:val="none"/>
        </w:rPr>
        <w:t>（二）监理人员投入一览表</w:t>
      </w:r>
    </w:p>
    <w:p w14:paraId="11EF329E">
      <w:pPr>
        <w:topLinePunct/>
        <w:adjustRightInd w:val="0"/>
        <w:snapToGrid w:val="0"/>
        <w:spacing w:line="360" w:lineRule="auto"/>
        <w:ind w:firstLine="578"/>
        <w:rPr>
          <w:rFonts w:ascii="Times New Roman" w:hAnsi="Times New Roman"/>
          <w:b/>
          <w:color w:val="auto"/>
          <w:spacing w:val="4"/>
          <w:sz w:val="28"/>
          <w:szCs w:val="28"/>
          <w:highlight w:val="none"/>
        </w:rPr>
      </w:pPr>
    </w:p>
    <w:p w14:paraId="613370C4">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33320C09">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2F95FFD8">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545F986E">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74090EA0">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4871F88C">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01955404">
      <w:pPr>
        <w:topLinePunct/>
        <w:adjustRightInd w:val="0"/>
        <w:snapToGrid w:val="0"/>
        <w:spacing w:line="360" w:lineRule="auto"/>
        <w:ind w:firstLine="578" w:firstLineChars="200"/>
        <w:rPr>
          <w:rFonts w:ascii="Times New Roman" w:hAnsi="Times New Roman"/>
          <w:b/>
          <w:color w:val="auto"/>
          <w:spacing w:val="4"/>
          <w:kern w:val="0"/>
          <w:sz w:val="28"/>
          <w:szCs w:val="28"/>
          <w:highlight w:val="none"/>
        </w:rPr>
      </w:pPr>
    </w:p>
    <w:p w14:paraId="37B7B3D3">
      <w:pPr>
        <w:pStyle w:val="18"/>
        <w:spacing w:beforeLines="0" w:afterLines="0"/>
        <w:outlineLvl w:val="1"/>
        <w:rPr>
          <w:rFonts w:ascii="Times New Roman" w:hAnsi="Times New Roman" w:eastAsia="宋体"/>
          <w:color w:val="auto"/>
          <w:kern w:val="2"/>
          <w:highlight w:val="none"/>
        </w:rPr>
      </w:pPr>
      <w:r>
        <w:rPr>
          <w:rFonts w:ascii="Times New Roman" w:hAnsi="Times New Roman" w:eastAsia="宋体"/>
          <w:bCs/>
          <w:color w:val="auto"/>
          <w:highlight w:val="none"/>
        </w:rPr>
        <w:br w:type="page"/>
      </w:r>
      <w:r>
        <w:rPr>
          <w:rFonts w:hint="eastAsia" w:ascii="Times New Roman" w:hAnsi="Times New Roman" w:eastAsia="宋体"/>
          <w:color w:val="auto"/>
          <w:kern w:val="2"/>
          <w:highlight w:val="none"/>
        </w:rPr>
        <w:t>附件5：（监理人）拟投入本项目的通讯、办公、检测设备清单</w:t>
      </w:r>
    </w:p>
    <w:p w14:paraId="367E9566">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51D61321">
      <w:pPr>
        <w:pStyle w:val="18"/>
        <w:spacing w:beforeLines="0" w:afterLines="0"/>
        <w:outlineLvl w:val="1"/>
        <w:rPr>
          <w:rFonts w:ascii="Times New Roman" w:hAnsi="Times New Roman" w:eastAsia="宋体"/>
          <w:color w:val="auto"/>
          <w:kern w:val="2"/>
          <w:highlight w:val="none"/>
        </w:rPr>
      </w:pPr>
      <w:r>
        <w:rPr>
          <w:rFonts w:ascii="Times New Roman" w:hAnsi="Times New Roman" w:eastAsia="宋体"/>
          <w:b w:val="0"/>
          <w:color w:val="auto"/>
          <w:kern w:val="2"/>
          <w:sz w:val="36"/>
          <w:szCs w:val="36"/>
          <w:highlight w:val="none"/>
        </w:rPr>
        <w:br w:type="page"/>
      </w:r>
      <w:r>
        <w:rPr>
          <w:rFonts w:hint="eastAsia" w:ascii="Times New Roman" w:hAnsi="Times New Roman" w:eastAsia="宋体"/>
          <w:color w:val="auto"/>
          <w:kern w:val="2"/>
          <w:highlight w:val="none"/>
        </w:rPr>
        <w:t>附件6：监理服务承诺书</w:t>
      </w:r>
    </w:p>
    <w:p w14:paraId="579BF206">
      <w:pPr>
        <w:topLinePunct/>
        <w:adjustRightInd w:val="0"/>
        <w:snapToGrid w:val="0"/>
        <w:spacing w:line="360" w:lineRule="auto"/>
        <w:rPr>
          <w:rFonts w:ascii="Times New Roman" w:hAnsi="Times New Roman"/>
          <w:color w:val="auto"/>
          <w:spacing w:val="4"/>
          <w:kern w:val="0"/>
          <w:sz w:val="24"/>
          <w:szCs w:val="24"/>
          <w:highlight w:val="none"/>
        </w:rPr>
      </w:pPr>
    </w:p>
    <w:p w14:paraId="11D46C41">
      <w:pPr>
        <w:pageBreakBefore/>
        <w:outlineLvl w:val="1"/>
        <w:rPr>
          <w:rFonts w:ascii="Times New Roman" w:hAnsi="Times New Roman"/>
          <w:b/>
          <w:snapToGrid w:val="0"/>
          <w:color w:val="auto"/>
          <w:spacing w:val="4"/>
          <w:sz w:val="24"/>
          <w:highlight w:val="none"/>
        </w:rPr>
      </w:pPr>
      <w:r>
        <w:rPr>
          <w:rFonts w:hint="eastAsia" w:ascii="Times New Roman" w:hAnsi="Times New Roman"/>
          <w:b/>
          <w:snapToGrid w:val="0"/>
          <w:color w:val="auto"/>
          <w:spacing w:val="4"/>
          <w:sz w:val="24"/>
          <w:highlight w:val="none"/>
        </w:rPr>
        <w:t>附件7：监理人履约</w:t>
      </w:r>
      <w:r>
        <w:rPr>
          <w:rFonts w:ascii="Times New Roman" w:hAnsi="Times New Roman"/>
          <w:b/>
          <w:snapToGrid w:val="0"/>
          <w:color w:val="auto"/>
          <w:spacing w:val="4"/>
          <w:sz w:val="24"/>
          <w:highlight w:val="none"/>
        </w:rPr>
        <w:t>担保</w:t>
      </w:r>
      <w:r>
        <w:rPr>
          <w:rFonts w:hint="eastAsia" w:ascii="Times New Roman" w:hAnsi="Times New Roman"/>
          <w:b/>
          <w:snapToGrid w:val="0"/>
          <w:color w:val="auto"/>
          <w:spacing w:val="4"/>
          <w:sz w:val="24"/>
          <w:highlight w:val="none"/>
        </w:rPr>
        <w:t>（格式）及其承诺书</w:t>
      </w:r>
    </w:p>
    <w:p w14:paraId="7710A0EA">
      <w:pPr>
        <w:pStyle w:val="16"/>
        <w:spacing w:before="240" w:line="300" w:lineRule="auto"/>
        <w:ind w:firstLine="496"/>
        <w:rPr>
          <w:rFonts w:ascii="Times New Roman" w:hAnsi="Times New Roman" w:eastAsia="宋体"/>
          <w:color w:val="auto"/>
          <w:sz w:val="28"/>
          <w:highlight w:val="none"/>
        </w:rPr>
      </w:pPr>
      <w:r>
        <w:rPr>
          <w:rFonts w:hint="eastAsia" w:ascii="Times New Roman" w:hAnsi="Times New Roman" w:eastAsia="宋体"/>
          <w:color w:val="auto"/>
          <w:kern w:val="2"/>
          <w:sz w:val="28"/>
          <w:highlight w:val="none"/>
        </w:rPr>
        <w:t>履约</w:t>
      </w:r>
      <w:r>
        <w:rPr>
          <w:rFonts w:ascii="Times New Roman" w:hAnsi="Times New Roman" w:eastAsia="宋体"/>
          <w:color w:val="auto"/>
          <w:kern w:val="2"/>
          <w:sz w:val="28"/>
          <w:highlight w:val="none"/>
        </w:rPr>
        <w:t>担保</w:t>
      </w:r>
      <w:r>
        <w:rPr>
          <w:rFonts w:hint="eastAsia" w:ascii="Times New Roman" w:hAnsi="Times New Roman" w:eastAsia="宋体"/>
          <w:color w:val="auto"/>
          <w:kern w:val="2"/>
          <w:sz w:val="28"/>
          <w:highlight w:val="none"/>
        </w:rPr>
        <w:t>（格式）</w:t>
      </w:r>
    </w:p>
    <w:p w14:paraId="2BEE667A">
      <w:pPr>
        <w:adjustRightInd w:val="0"/>
        <w:snapToGrid w:val="0"/>
        <w:spacing w:line="300" w:lineRule="auto"/>
        <w:jc w:val="center"/>
        <w:rPr>
          <w:rFonts w:ascii="Times New Roman" w:hAnsi="Times New Roman"/>
          <w:b/>
          <w:snapToGrid w:val="0"/>
          <w:color w:val="auto"/>
          <w:szCs w:val="21"/>
          <w:highlight w:val="none"/>
        </w:rPr>
      </w:pPr>
      <w:r>
        <w:rPr>
          <w:rFonts w:hint="eastAsia" w:ascii="Times New Roman" w:hAnsi="Times New Roman"/>
          <w:b/>
          <w:snapToGrid w:val="0"/>
          <w:color w:val="auto"/>
          <w:szCs w:val="21"/>
          <w:highlight w:val="none"/>
        </w:rPr>
        <w:t>编号</w:t>
      </w:r>
    </w:p>
    <w:p w14:paraId="3A1FBCEA">
      <w:pPr>
        <w:adjustRightInd w:val="0"/>
        <w:snapToGrid w:val="0"/>
        <w:spacing w:line="300" w:lineRule="auto"/>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广州市重点公共建设项目管理中心：</w:t>
      </w:r>
    </w:p>
    <w:p w14:paraId="7FAFC6B8">
      <w:pPr>
        <w:adjustRightInd w:val="0"/>
        <w:snapToGrid w:val="0"/>
        <w:spacing w:line="300" w:lineRule="auto"/>
        <w:ind w:firstLine="496" w:firstLineChars="200"/>
        <w:rPr>
          <w:rFonts w:ascii="Times New Roman" w:hAnsi="Times New Roman" w:cs="宋体"/>
          <w:b/>
          <w:snapToGrid w:val="0"/>
          <w:color w:val="auto"/>
          <w:sz w:val="24"/>
          <w:highlight w:val="none"/>
          <w:lang w:val="zh-CN"/>
        </w:rPr>
      </w:pPr>
      <w:r>
        <w:rPr>
          <w:rFonts w:hint="eastAsia" w:ascii="Times New Roman" w:hAnsi="Times New Roman"/>
          <w:snapToGrid w:val="0"/>
          <w:color w:val="auto"/>
          <w:spacing w:val="4"/>
          <w:sz w:val="24"/>
          <w:szCs w:val="24"/>
          <w:highlight w:val="none"/>
        </w:rPr>
        <w:t>鉴于_____________（以下称监理人）已与贵中心订立合同编号为___________的《________________监理合同》（以下简称合同）。</w:t>
      </w:r>
      <w:r>
        <w:rPr>
          <w:rFonts w:ascii="Times New Roman" w:hAnsi="Times New Roman"/>
          <w:snapToGrid w:val="0"/>
          <w:color w:val="auto"/>
          <w:spacing w:val="4"/>
          <w:sz w:val="24"/>
          <w:szCs w:val="24"/>
          <w:highlight w:val="none"/>
        </w:rPr>
        <w:t>我方同意为监理人担保，以担保金额人民币________________元（¥_______）向贵中心提供不可撤销的连带责任保证</w:t>
      </w:r>
      <w:r>
        <w:rPr>
          <w:rFonts w:hint="eastAsia" w:ascii="Times New Roman" w:hAnsi="Times New Roman"/>
          <w:snapToGrid w:val="0"/>
          <w:color w:val="auto"/>
          <w:spacing w:val="4"/>
          <w:sz w:val="24"/>
          <w:szCs w:val="24"/>
          <w:highlight w:val="none"/>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2539A883">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承诺如下：</w:t>
      </w:r>
    </w:p>
    <w:p w14:paraId="5A517AA8">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ascii="Times New Roman" w:hAnsi="Times New Roman"/>
          <w:snapToGrid w:val="0"/>
          <w:color w:val="auto"/>
          <w:sz w:val="24"/>
          <w:highlight w:val="none"/>
          <w:lang w:val="zh-CN"/>
        </w:rPr>
        <w:t>1</w:t>
      </w:r>
      <w:r>
        <w:rPr>
          <w:rFonts w:hint="eastAsia" w:ascii="Times New Roman" w:hAnsi="Times New Roman" w:cs="宋体"/>
          <w:snapToGrid w:val="0"/>
          <w:color w:val="auto"/>
          <w:sz w:val="24"/>
          <w:highlight w:val="none"/>
          <w:lang w:val="zh-CN"/>
        </w:rPr>
        <w:t>．监理人在履行合同中，由于资金、技术、质量或非不可抗力及违约等原因需向贵中心支付违约金或赔偿金时，在贵中心</w:t>
      </w:r>
      <w:r>
        <w:rPr>
          <w:rFonts w:hint="eastAsia" w:ascii="Times New Roman" w:hAnsi="Times New Roman"/>
          <w:color w:val="auto"/>
          <w:sz w:val="24"/>
          <w:highlight w:val="none"/>
        </w:rPr>
        <w:t>以书面索赔通知纸质原件形式提出要求得到上述金额内的任何付款时（需提供本</w:t>
      </w:r>
      <w:r>
        <w:rPr>
          <w:rFonts w:ascii="Times New Roman" w:hAnsi="Times New Roman"/>
          <w:color w:val="auto"/>
          <w:sz w:val="24"/>
          <w:highlight w:val="none"/>
        </w:rPr>
        <w:t>担保</w:t>
      </w:r>
      <w:r>
        <w:rPr>
          <w:rFonts w:hint="eastAsia" w:ascii="Times New Roman" w:hAnsi="Times New Roman"/>
          <w:color w:val="auto"/>
          <w:sz w:val="24"/>
          <w:highlight w:val="none"/>
        </w:rPr>
        <w:t>正本原件供我</w:t>
      </w:r>
      <w:r>
        <w:rPr>
          <w:rFonts w:ascii="Times New Roman" w:hAnsi="Times New Roman"/>
          <w:snapToGrid w:val="0"/>
          <w:color w:val="auto"/>
          <w:spacing w:val="4"/>
          <w:sz w:val="24"/>
          <w:szCs w:val="24"/>
          <w:highlight w:val="none"/>
        </w:rPr>
        <w:t>方</w:t>
      </w:r>
      <w:r>
        <w:rPr>
          <w:rFonts w:hint="eastAsia" w:ascii="Times New Roman" w:hAnsi="Times New Roman"/>
          <w:color w:val="auto"/>
          <w:sz w:val="24"/>
          <w:highlight w:val="none"/>
        </w:rPr>
        <w:t>核对），我</w:t>
      </w:r>
      <w:r>
        <w:rPr>
          <w:rFonts w:ascii="Times New Roman" w:hAnsi="Times New Roman"/>
          <w:snapToGrid w:val="0"/>
          <w:color w:val="auto"/>
          <w:spacing w:val="4"/>
          <w:sz w:val="24"/>
          <w:szCs w:val="24"/>
          <w:highlight w:val="none"/>
        </w:rPr>
        <w:t>方</w:t>
      </w:r>
      <w:r>
        <w:rPr>
          <w:rFonts w:hint="eastAsia" w:ascii="Times New Roman" w:hAnsi="Times New Roman"/>
          <w:color w:val="auto"/>
          <w:sz w:val="24"/>
          <w:highlight w:val="none"/>
        </w:rPr>
        <w:t>在</w:t>
      </w:r>
      <w:r>
        <w:rPr>
          <w:rFonts w:ascii="Times New Roman" w:hAnsi="Times New Roman"/>
          <w:color w:val="auto"/>
          <w:sz w:val="24"/>
          <w:highlight w:val="none"/>
        </w:rPr>
        <w:t>7</w:t>
      </w:r>
      <w:r>
        <w:rPr>
          <w:rFonts w:hint="eastAsia" w:ascii="Times New Roman" w:hAnsi="Times New Roman"/>
          <w:color w:val="auto"/>
          <w:sz w:val="24"/>
          <w:highlight w:val="none"/>
        </w:rPr>
        <w:t>个工作日内予以支付累计不超过上述担保金额的款项</w:t>
      </w:r>
      <w:r>
        <w:rPr>
          <w:rFonts w:hint="eastAsia" w:ascii="Times New Roman" w:hAnsi="Times New Roman" w:cs="宋体"/>
          <w:snapToGrid w:val="0"/>
          <w:color w:val="auto"/>
          <w:sz w:val="24"/>
          <w:highlight w:val="none"/>
          <w:lang w:val="zh-CN"/>
        </w:rPr>
        <w:t>，不挑剔、不争辩，也不要求贵中心出具证明或说明背景、理由。</w:t>
      </w:r>
    </w:p>
    <w:p w14:paraId="6503B0E2">
      <w:pPr>
        <w:autoSpaceDE w:val="0"/>
        <w:autoSpaceDN w:val="0"/>
        <w:adjustRightInd w:val="0"/>
        <w:snapToGrid w:val="0"/>
        <w:spacing w:line="300" w:lineRule="auto"/>
        <w:ind w:firstLine="480"/>
        <w:rPr>
          <w:rFonts w:ascii="Times New Roman" w:hAnsi="Times New Roman" w:cs="宋体"/>
          <w:snapToGrid w:val="0"/>
          <w:color w:val="auto"/>
          <w:sz w:val="24"/>
          <w:highlight w:val="none"/>
          <w:lang w:val="zh-CN"/>
        </w:rPr>
      </w:pPr>
      <w:r>
        <w:rPr>
          <w:rFonts w:ascii="Times New Roman" w:hAnsi="Times New Roman"/>
          <w:snapToGrid w:val="0"/>
          <w:color w:val="auto"/>
          <w:sz w:val="24"/>
          <w:highlight w:val="none"/>
          <w:lang w:val="zh-CN"/>
        </w:rPr>
        <w:t>2</w:t>
      </w: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放弃贵中心应先向监理人要求赔偿上述金额然后再向我</w:t>
      </w:r>
      <w:r>
        <w:rPr>
          <w:rFonts w:ascii="Times New Roman" w:hAnsi="Times New Roman"/>
          <w:snapToGrid w:val="0"/>
          <w:color w:val="auto"/>
          <w:spacing w:val="4"/>
          <w:sz w:val="24"/>
          <w:szCs w:val="24"/>
          <w:highlight w:val="none"/>
        </w:rPr>
        <w:t>方</w:t>
      </w:r>
      <w:r>
        <w:rPr>
          <w:rFonts w:hint="eastAsia" w:ascii="Times New Roman" w:hAnsi="Times New Roman" w:cs="宋体"/>
          <w:snapToGrid w:val="0"/>
          <w:color w:val="auto"/>
          <w:sz w:val="24"/>
          <w:highlight w:val="none"/>
          <w:lang w:val="zh-CN"/>
        </w:rPr>
        <w:t>提出要求的权利。</w:t>
      </w:r>
    </w:p>
    <w:p w14:paraId="0B99C61E">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ascii="Times New Roman" w:hAnsi="Times New Roman"/>
          <w:snapToGrid w:val="0"/>
          <w:color w:val="auto"/>
          <w:sz w:val="24"/>
          <w:highlight w:val="none"/>
          <w:lang w:val="zh-CN"/>
        </w:rPr>
        <w:t>3</w:t>
      </w:r>
      <w:r>
        <w:rPr>
          <w:rFonts w:hint="eastAsia" w:ascii="Times New Roman" w:hAnsi="Times New Roman" w:cs="宋体"/>
          <w:snapToGrid w:val="0"/>
          <w:color w:val="auto"/>
          <w:sz w:val="24"/>
          <w:highlight w:val="none"/>
          <w:lang w:val="zh-CN"/>
        </w:rPr>
        <w:t>．我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进一步同意，在贵中心和监理人之间的合同条件、合同项下的服务或合同发生变化、补充或修改，在不加重我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担保责任的情况下，我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承担本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的责任也不改变。有关上述变化、补充和修改也无须通知我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w:t>
      </w:r>
    </w:p>
    <w:p w14:paraId="550DFF21">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ascii="Times New Roman" w:hAnsi="Times New Roman"/>
          <w:snapToGrid w:val="0"/>
          <w:color w:val="auto"/>
          <w:spacing w:val="4"/>
          <w:sz w:val="24"/>
          <w:szCs w:val="24"/>
          <w:highlight w:val="none"/>
        </w:rPr>
        <w:t>4</w:t>
      </w: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有效期间为：自本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签署之日起至监理人提供工程所需全部分部（子分部）工程质量验收记录及已提供竣工图证明文件（经贵中心确认承包人已提供竣工图的相关文件）止，但最迟不超过</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p>
    <w:p w14:paraId="1CBF7807">
      <w:pPr>
        <w:autoSpaceDE w:val="0"/>
        <w:autoSpaceDN w:val="0"/>
        <w:adjustRightInd w:val="0"/>
        <w:snapToGrid w:val="0"/>
        <w:spacing w:line="300" w:lineRule="auto"/>
        <w:ind w:firstLine="482"/>
        <w:rPr>
          <w:rFonts w:ascii="Times New Roman" w:hAnsi="Times New Roman"/>
          <w:snapToGrid w:val="0"/>
          <w:color w:val="auto"/>
          <w:spacing w:val="4"/>
          <w:sz w:val="24"/>
          <w:szCs w:val="24"/>
          <w:highlight w:val="none"/>
        </w:rPr>
      </w:pPr>
      <w:r>
        <w:rPr>
          <w:rFonts w:ascii="Times New Roman" w:hAnsi="Times New Roman"/>
          <w:snapToGrid w:val="0"/>
          <w:color w:val="auto"/>
          <w:spacing w:val="4"/>
          <w:sz w:val="24"/>
          <w:szCs w:val="24"/>
          <w:highlight w:val="none"/>
        </w:rPr>
        <w:t xml:space="preserve">5. </w:t>
      </w: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适用中华人民共和国法律，任何与本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有关的争议均需提交工程项目所在地人民法院提起诉讼。</w:t>
      </w:r>
    </w:p>
    <w:p w14:paraId="2DB79EDE">
      <w:pPr>
        <w:autoSpaceDE w:val="0"/>
        <w:autoSpaceDN w:val="0"/>
        <w:adjustRightInd w:val="0"/>
        <w:snapToGrid w:val="0"/>
        <w:spacing w:line="300" w:lineRule="auto"/>
        <w:ind w:firstLine="480"/>
        <w:rPr>
          <w:rFonts w:ascii="Times New Roman" w:hAnsi="Times New Roman"/>
          <w:snapToGrid w:val="0"/>
          <w:color w:val="auto"/>
          <w:spacing w:val="4"/>
          <w:sz w:val="24"/>
          <w:szCs w:val="24"/>
          <w:highlight w:val="none"/>
        </w:rPr>
      </w:pPr>
      <w:r>
        <w:rPr>
          <w:rFonts w:hint="eastAsia" w:ascii="Times New Roman" w:hAnsi="Times New Roman"/>
          <w:snapToGrid w:val="0"/>
          <w:color w:val="auto"/>
          <w:spacing w:val="4"/>
          <w:sz w:val="24"/>
          <w:szCs w:val="24"/>
          <w:highlight w:val="none"/>
        </w:rPr>
        <w:t>本</w:t>
      </w:r>
      <w:r>
        <w:rPr>
          <w:rFonts w:ascii="Times New Roman" w:hAnsi="Times New Roman"/>
          <w:snapToGrid w:val="0"/>
          <w:color w:val="auto"/>
          <w:spacing w:val="4"/>
          <w:sz w:val="24"/>
          <w:szCs w:val="24"/>
          <w:highlight w:val="none"/>
        </w:rPr>
        <w:t>担保</w:t>
      </w:r>
      <w:r>
        <w:rPr>
          <w:rFonts w:hint="eastAsia" w:ascii="Times New Roman" w:hAnsi="Times New Roman"/>
          <w:snapToGrid w:val="0"/>
          <w:color w:val="auto"/>
          <w:spacing w:val="4"/>
          <w:sz w:val="24"/>
          <w:szCs w:val="24"/>
          <w:highlight w:val="none"/>
        </w:rPr>
        <w:t>自我</w:t>
      </w:r>
      <w:r>
        <w:rPr>
          <w:rFonts w:ascii="Times New Roman" w:hAnsi="Times New Roman"/>
          <w:snapToGrid w:val="0"/>
          <w:color w:val="auto"/>
          <w:spacing w:val="4"/>
          <w:sz w:val="24"/>
          <w:szCs w:val="24"/>
          <w:highlight w:val="none"/>
        </w:rPr>
        <w:t>方</w:t>
      </w:r>
      <w:r>
        <w:rPr>
          <w:rFonts w:hint="eastAsia" w:ascii="Times New Roman" w:hAnsi="Times New Roman"/>
          <w:snapToGrid w:val="0"/>
          <w:color w:val="auto"/>
          <w:spacing w:val="4"/>
          <w:sz w:val="24"/>
          <w:szCs w:val="24"/>
          <w:highlight w:val="none"/>
        </w:rPr>
        <w:t>负责人（或委托代理人）签字并加盖公章之日起生效。</w:t>
      </w:r>
    </w:p>
    <w:p w14:paraId="38B58824">
      <w:pPr>
        <w:autoSpaceDE w:val="0"/>
        <w:autoSpaceDN w:val="0"/>
        <w:adjustRightInd w:val="0"/>
        <w:snapToGrid w:val="0"/>
        <w:spacing w:line="300" w:lineRule="auto"/>
        <w:ind w:firstLine="4298" w:firstLineChars="1791"/>
        <w:rPr>
          <w:rFonts w:ascii="Times New Roman" w:hAnsi="Times New Roman" w:cs="宋体"/>
          <w:snapToGrid w:val="0"/>
          <w:color w:val="auto"/>
          <w:sz w:val="24"/>
          <w:highlight w:val="none"/>
          <w:lang w:val="zh-CN"/>
        </w:rPr>
      </w:pPr>
      <w:r>
        <w:rPr>
          <w:rFonts w:ascii="Times New Roman" w:hAnsi="Times New Roman" w:cs="宋体"/>
          <w:snapToGrid w:val="0"/>
          <w:color w:val="auto"/>
          <w:sz w:val="24"/>
          <w:highlight w:val="none"/>
        </w:rPr>
        <w:t>保证</w:t>
      </w:r>
      <w:r>
        <w:rPr>
          <w:rFonts w:hint="eastAsia" w:ascii="Times New Roman" w:hAnsi="Times New Roman" w:cs="宋体"/>
          <w:snapToGrid w:val="0"/>
          <w:color w:val="auto"/>
          <w:sz w:val="24"/>
          <w:highlight w:val="none"/>
          <w:lang w:val="zh-CN"/>
        </w:rPr>
        <w:t>人：                 （盖章）</w:t>
      </w:r>
    </w:p>
    <w:p w14:paraId="2F342DF9">
      <w:pPr>
        <w:autoSpaceDE w:val="0"/>
        <w:autoSpaceDN w:val="0"/>
        <w:adjustRightInd w:val="0"/>
        <w:snapToGrid w:val="0"/>
        <w:spacing w:line="300" w:lineRule="auto"/>
        <w:ind w:firstLine="4301" w:firstLineChars="1854"/>
        <w:rPr>
          <w:rFonts w:ascii="Times New Roman" w:hAnsi="Times New Roman" w:cs="宋体"/>
          <w:snapToGrid w:val="0"/>
          <w:color w:val="auto"/>
          <w:sz w:val="24"/>
          <w:highlight w:val="none"/>
          <w:lang w:val="zh-CN"/>
        </w:rPr>
      </w:pPr>
      <w:r>
        <w:rPr>
          <w:rFonts w:hint="eastAsia" w:ascii="Times New Roman" w:hAnsi="Times New Roman" w:cs="宋体"/>
          <w:snapToGrid w:val="0"/>
          <w:color w:val="auto"/>
          <w:spacing w:val="-4"/>
          <w:sz w:val="24"/>
          <w:highlight w:val="none"/>
          <w:lang w:val="zh-CN"/>
        </w:rPr>
        <w:t>负责人</w:t>
      </w:r>
      <w:r>
        <w:rPr>
          <w:rFonts w:hint="eastAsia" w:ascii="Times New Roman" w:hAnsi="Times New Roman" w:cs="宋体"/>
          <w:snapToGrid w:val="0"/>
          <w:color w:val="auto"/>
          <w:sz w:val="24"/>
          <w:highlight w:val="none"/>
          <w:lang w:val="zh-CN"/>
        </w:rPr>
        <w:t>（或委托代理人）：</w:t>
      </w:r>
    </w:p>
    <w:p w14:paraId="1D7E160E">
      <w:pPr>
        <w:autoSpaceDE w:val="0"/>
        <w:autoSpaceDN w:val="0"/>
        <w:adjustRightInd w:val="0"/>
        <w:snapToGrid w:val="0"/>
        <w:spacing w:line="300" w:lineRule="auto"/>
        <w:ind w:firstLine="4300" w:firstLineChars="1792"/>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地址：</w:t>
      </w:r>
    </w:p>
    <w:p w14:paraId="36E7430F">
      <w:pPr>
        <w:autoSpaceDE w:val="0"/>
        <w:autoSpaceDN w:val="0"/>
        <w:adjustRightInd w:val="0"/>
        <w:snapToGrid w:val="0"/>
        <w:spacing w:line="300" w:lineRule="auto"/>
        <w:ind w:firstLine="4300" w:firstLineChars="1792"/>
        <w:rPr>
          <w:rFonts w:ascii="Times New Roman" w:hAnsi="Times New Roman" w:cs="宋体"/>
          <w:snapToGrid w:val="0"/>
          <w:color w:val="auto"/>
          <w:sz w:val="24"/>
          <w:highlight w:val="none"/>
          <w:lang w:val="zh-CN"/>
        </w:rPr>
      </w:pPr>
      <w:r>
        <w:rPr>
          <w:rFonts w:hint="eastAsia" w:ascii="Times New Roman" w:hAnsi="Times New Roman" w:cs="宋体"/>
          <w:snapToGrid w:val="0"/>
          <w:color w:val="auto"/>
          <w:sz w:val="24"/>
          <w:highlight w:val="none"/>
          <w:lang w:val="zh-CN"/>
        </w:rPr>
        <w:t>邮政编码：</w:t>
      </w:r>
    </w:p>
    <w:p w14:paraId="1CE13C7E">
      <w:pPr>
        <w:adjustRightInd w:val="0"/>
        <w:snapToGrid w:val="0"/>
        <w:spacing w:line="300" w:lineRule="auto"/>
        <w:ind w:firstLine="4320" w:firstLineChars="1800"/>
        <w:rPr>
          <w:rFonts w:ascii="Times New Roman" w:hAnsi="Times New Roman"/>
          <w:color w:val="auto"/>
          <w:sz w:val="44"/>
          <w:szCs w:val="44"/>
          <w:highlight w:val="none"/>
        </w:rPr>
      </w:pPr>
      <w:r>
        <w:rPr>
          <w:rFonts w:hint="eastAsia" w:ascii="Times New Roman" w:hAnsi="Times New Roman" w:cs="宋体"/>
          <w:snapToGrid w:val="0"/>
          <w:color w:val="auto"/>
          <w:sz w:val="24"/>
          <w:highlight w:val="none"/>
          <w:lang w:val="zh-CN"/>
        </w:rPr>
        <w:t>联系电话：</w:t>
      </w:r>
    </w:p>
    <w:p w14:paraId="61430663">
      <w:pPr>
        <w:adjustRightInd w:val="0"/>
        <w:snapToGrid w:val="0"/>
        <w:spacing w:line="300" w:lineRule="auto"/>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 xml:space="preserve">                                    日期：</w:t>
      </w:r>
    </w:p>
    <w:p w14:paraId="6A241CFF">
      <w:pPr>
        <w:adjustRightInd w:val="0"/>
        <w:snapToGrid w:val="0"/>
        <w:spacing w:line="360" w:lineRule="auto"/>
        <w:jc w:val="center"/>
        <w:outlineLvl w:val="1"/>
        <w:rPr>
          <w:rFonts w:hint="eastAsia" w:ascii="Times New Roman" w:hAnsi="Times New Roman"/>
          <w:b/>
          <w:snapToGrid w:val="0"/>
          <w:color w:val="auto"/>
          <w:sz w:val="44"/>
          <w:szCs w:val="44"/>
          <w:highlight w:val="none"/>
        </w:rPr>
      </w:pPr>
    </w:p>
    <w:p w14:paraId="265D5674">
      <w:pPr>
        <w:adjustRightInd w:val="0"/>
        <w:snapToGrid w:val="0"/>
        <w:spacing w:line="360" w:lineRule="auto"/>
        <w:jc w:val="center"/>
        <w:outlineLvl w:val="1"/>
        <w:rPr>
          <w:rFonts w:ascii="Times New Roman" w:hAnsi="Times New Roman"/>
          <w:b/>
          <w:snapToGrid w:val="0"/>
          <w:color w:val="auto"/>
          <w:sz w:val="44"/>
          <w:szCs w:val="44"/>
          <w:highlight w:val="none"/>
        </w:rPr>
      </w:pPr>
      <w:r>
        <w:rPr>
          <w:rFonts w:hint="eastAsia" w:ascii="Times New Roman" w:hAnsi="Times New Roman"/>
          <w:b/>
          <w:snapToGrid w:val="0"/>
          <w:color w:val="auto"/>
          <w:sz w:val="44"/>
          <w:szCs w:val="44"/>
          <w:highlight w:val="none"/>
        </w:rPr>
        <w:t>承 诺 书</w:t>
      </w:r>
    </w:p>
    <w:p w14:paraId="5F34E351">
      <w:pPr>
        <w:autoSpaceDE w:val="0"/>
        <w:autoSpaceDN w:val="0"/>
        <w:adjustRightInd w:val="0"/>
        <w:snapToGrid w:val="0"/>
        <w:spacing w:line="360" w:lineRule="auto"/>
        <w:ind w:firstLine="480"/>
        <w:rPr>
          <w:rFonts w:ascii="Times New Roman" w:hAnsi="Times New Roman" w:cs="宋体"/>
          <w:snapToGrid w:val="0"/>
          <w:color w:val="auto"/>
          <w:sz w:val="24"/>
          <w:szCs w:val="21"/>
          <w:highlight w:val="none"/>
          <w:lang w:val="zh-CN"/>
        </w:rPr>
      </w:pPr>
    </w:p>
    <w:p w14:paraId="5304E2A5">
      <w:pPr>
        <w:autoSpaceDE w:val="0"/>
        <w:autoSpaceDN w:val="0"/>
        <w:adjustRightInd w:val="0"/>
        <w:snapToGrid w:val="0"/>
        <w:spacing w:line="360" w:lineRule="auto"/>
        <w:rPr>
          <w:rFonts w:ascii="Times New Roman" w:hAnsi="Times New Roman" w:cs="宋体"/>
          <w:b/>
          <w:snapToGrid w:val="0"/>
          <w:color w:val="auto"/>
          <w:sz w:val="24"/>
          <w:szCs w:val="21"/>
          <w:highlight w:val="none"/>
          <w:lang w:val="zh-CN"/>
        </w:rPr>
      </w:pPr>
      <w:r>
        <w:rPr>
          <w:rFonts w:hint="eastAsia" w:ascii="Times New Roman" w:hAnsi="Times New Roman" w:cs="宋体"/>
          <w:b/>
          <w:snapToGrid w:val="0"/>
          <w:color w:val="auto"/>
          <w:sz w:val="24"/>
          <w:szCs w:val="21"/>
          <w:highlight w:val="none"/>
          <w:lang w:val="zh-CN"/>
        </w:rPr>
        <w:t>广州市重点公共建设项目管理中心：</w:t>
      </w:r>
    </w:p>
    <w:p w14:paraId="1D226676">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我司已于</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r>
        <w:rPr>
          <w:rFonts w:hint="eastAsia" w:ascii="Times New Roman" w:hAnsi="Times New Roman" w:cs="宋体"/>
          <w:snapToGrid w:val="0"/>
          <w:color w:val="auto"/>
          <w:sz w:val="24"/>
          <w:szCs w:val="21"/>
          <w:highlight w:val="none"/>
          <w:lang w:val="zh-CN"/>
        </w:rPr>
        <w:t>向贵中心提交了___________的履约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最长有效期至</w:t>
      </w:r>
      <w:r>
        <w:rPr>
          <w:rFonts w:hint="eastAsia" w:ascii="Times New Roman" w:hAnsi="Times New Roman"/>
          <w:snapToGrid w:val="0"/>
          <w:color w:val="auto"/>
          <w:spacing w:val="-4"/>
          <w:sz w:val="24"/>
          <w:szCs w:val="24"/>
          <w:highlight w:val="none"/>
          <w:u w:val="single"/>
        </w:rPr>
        <w:t xml:space="preserve">     </w:t>
      </w:r>
      <w:r>
        <w:rPr>
          <w:rFonts w:hint="eastAsia" w:ascii="Times New Roman" w:hAnsi="Times New Roman"/>
          <w:snapToGrid w:val="0"/>
          <w:color w:val="auto"/>
          <w:spacing w:val="4"/>
          <w:sz w:val="24"/>
          <w:szCs w:val="24"/>
          <w:highlight w:val="none"/>
        </w:rPr>
        <w:t>年___月___日</w:t>
      </w:r>
      <w:r>
        <w:rPr>
          <w:rFonts w:hint="eastAsia" w:ascii="Times New Roman" w:hAnsi="Times New Roman" w:cs="宋体"/>
          <w:snapToGrid w:val="0"/>
          <w:color w:val="auto"/>
          <w:sz w:val="24"/>
          <w:szCs w:val="21"/>
          <w:highlight w:val="none"/>
          <w:lang w:val="zh-CN"/>
        </w:rPr>
        <w:t>。</w:t>
      </w:r>
    </w:p>
    <w:p w14:paraId="3A8032CF">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如在履约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最长有效期届满时</w:t>
      </w:r>
      <w:r>
        <w:rPr>
          <w:rFonts w:hint="eastAsia" w:ascii="Times New Roman" w:hAnsi="Times New Roman" w:cs="宋体"/>
          <w:snapToGrid w:val="0"/>
          <w:color w:val="auto"/>
          <w:spacing w:val="4"/>
          <w:sz w:val="24"/>
          <w:highlight w:val="none"/>
          <w:lang w:val="zh-CN"/>
        </w:rPr>
        <w:t>未提供工程所需全部分部（子分部）工程质量验收记录及已提供竣工图证明文件（经贵中心确认承包人已提供竣工图的相关文件）的</w:t>
      </w:r>
      <w:r>
        <w:rPr>
          <w:rFonts w:hint="eastAsia" w:ascii="Times New Roman" w:hAnsi="Times New Roman" w:cs="宋体"/>
          <w:snapToGrid w:val="0"/>
          <w:color w:val="auto"/>
          <w:sz w:val="24"/>
          <w:szCs w:val="21"/>
          <w:highlight w:val="none"/>
          <w:lang w:val="zh-CN"/>
        </w:rPr>
        <w:t>，我司将在履约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最长有效期届满三天前按原</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格式提交新的履约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，否则，贵中心有权暂停支付余下的合同价款，直至我司提交新的履约</w:t>
      </w:r>
      <w:r>
        <w:rPr>
          <w:rFonts w:ascii="Times New Roman" w:hAnsi="Times New Roman" w:cs="宋体"/>
          <w:snapToGrid w:val="0"/>
          <w:color w:val="auto"/>
          <w:sz w:val="24"/>
          <w:szCs w:val="21"/>
          <w:highlight w:val="none"/>
        </w:rPr>
        <w:t>担保</w:t>
      </w:r>
      <w:r>
        <w:rPr>
          <w:rFonts w:hint="eastAsia" w:ascii="Times New Roman" w:hAnsi="Times New Roman" w:cs="宋体"/>
          <w:snapToGrid w:val="0"/>
          <w:color w:val="auto"/>
          <w:sz w:val="24"/>
          <w:szCs w:val="21"/>
          <w:highlight w:val="none"/>
          <w:lang w:val="zh-CN"/>
        </w:rPr>
        <w:t>或提供本项目所需全部分部（子分部）工程质量验收记录及已提供竣工图证明文件（经贵中心确认承包人已提供竣工图的相关文件）。</w:t>
      </w:r>
    </w:p>
    <w:p w14:paraId="43E6207F">
      <w:pPr>
        <w:autoSpaceDE w:val="0"/>
        <w:autoSpaceDN w:val="0"/>
        <w:adjustRightInd w:val="0"/>
        <w:snapToGrid w:val="0"/>
        <w:spacing w:line="360" w:lineRule="auto"/>
        <w:ind w:firstLine="482"/>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特此承诺。</w:t>
      </w:r>
    </w:p>
    <w:p w14:paraId="702005A8">
      <w:pPr>
        <w:autoSpaceDE w:val="0"/>
        <w:autoSpaceDN w:val="0"/>
        <w:adjustRightInd w:val="0"/>
        <w:snapToGrid w:val="0"/>
        <w:spacing w:line="360" w:lineRule="auto"/>
        <w:rPr>
          <w:rFonts w:ascii="Times New Roman" w:hAnsi="Times New Roman" w:cs="宋体"/>
          <w:snapToGrid w:val="0"/>
          <w:color w:val="auto"/>
          <w:sz w:val="24"/>
          <w:szCs w:val="21"/>
          <w:highlight w:val="none"/>
          <w:lang w:val="zh-CN"/>
        </w:rPr>
      </w:pPr>
    </w:p>
    <w:p w14:paraId="025D3BD8">
      <w:pPr>
        <w:autoSpaceDE w:val="0"/>
        <w:autoSpaceDN w:val="0"/>
        <w:adjustRightInd w:val="0"/>
        <w:snapToGrid w:val="0"/>
        <w:spacing w:line="360" w:lineRule="auto"/>
        <w:rPr>
          <w:rFonts w:ascii="Times New Roman" w:hAnsi="Times New Roman" w:cs="宋体"/>
          <w:snapToGrid w:val="0"/>
          <w:color w:val="auto"/>
          <w:sz w:val="24"/>
          <w:szCs w:val="21"/>
          <w:highlight w:val="none"/>
          <w:lang w:val="zh-CN"/>
        </w:rPr>
      </w:pPr>
    </w:p>
    <w:p w14:paraId="2C1CDB30">
      <w:pPr>
        <w:wordWrap w:val="0"/>
        <w:autoSpaceDE w:val="0"/>
        <w:autoSpaceDN w:val="0"/>
        <w:adjustRightInd w:val="0"/>
        <w:snapToGrid w:val="0"/>
        <w:spacing w:line="360" w:lineRule="auto"/>
        <w:jc w:val="right"/>
        <w:rPr>
          <w:rFonts w:ascii="Times New Roman" w:hAnsi="Times New Roman" w:cs="宋体"/>
          <w:b/>
          <w:snapToGrid w:val="0"/>
          <w:color w:val="auto"/>
          <w:sz w:val="24"/>
          <w:szCs w:val="21"/>
          <w:highlight w:val="none"/>
          <w:lang w:val="zh-CN"/>
        </w:rPr>
      </w:pPr>
      <w:r>
        <w:rPr>
          <w:rFonts w:hint="eastAsia" w:ascii="Times New Roman" w:hAnsi="Times New Roman" w:cs="宋体"/>
          <w:b/>
          <w:snapToGrid w:val="0"/>
          <w:color w:val="auto"/>
          <w:sz w:val="24"/>
          <w:szCs w:val="21"/>
          <w:highlight w:val="none"/>
          <w:lang w:val="zh-CN"/>
        </w:rPr>
        <w:t xml:space="preserve">承诺人：                   </w:t>
      </w:r>
    </w:p>
    <w:p w14:paraId="1BDF4B3B">
      <w:pPr>
        <w:autoSpaceDE w:val="0"/>
        <w:autoSpaceDN w:val="0"/>
        <w:adjustRightInd w:val="0"/>
        <w:snapToGrid w:val="0"/>
        <w:spacing w:line="360" w:lineRule="auto"/>
        <w:ind w:right="480" w:firstLine="6840" w:firstLineChars="285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（盖章）</w:t>
      </w:r>
    </w:p>
    <w:p w14:paraId="56EEFDE3">
      <w:pPr>
        <w:autoSpaceDE w:val="0"/>
        <w:autoSpaceDN w:val="0"/>
        <w:adjustRightInd w:val="0"/>
        <w:snapToGrid w:val="0"/>
        <w:spacing w:line="360" w:lineRule="auto"/>
        <w:ind w:right="480" w:firstLine="6360" w:firstLineChars="2650"/>
        <w:rPr>
          <w:rFonts w:ascii="Times New Roman" w:hAnsi="Times New Roman" w:cs="宋体"/>
          <w:snapToGrid w:val="0"/>
          <w:color w:val="auto"/>
          <w:sz w:val="24"/>
          <w:szCs w:val="21"/>
          <w:highlight w:val="none"/>
          <w:lang w:val="zh-CN"/>
        </w:rPr>
      </w:pPr>
    </w:p>
    <w:p w14:paraId="2662AE0B">
      <w:pPr>
        <w:adjustRightInd w:val="0"/>
        <w:snapToGrid w:val="0"/>
        <w:spacing w:line="360" w:lineRule="auto"/>
        <w:ind w:firstLine="6120" w:firstLineChars="2550"/>
        <w:rPr>
          <w:rFonts w:ascii="Times New Roman" w:hAnsi="Times New Roman"/>
          <w:color w:val="auto"/>
          <w:highlight w:val="none"/>
        </w:rPr>
      </w:pPr>
      <w:r>
        <w:rPr>
          <w:rFonts w:ascii="Times New Roman" w:hAnsi="Times New Roman"/>
          <w:snapToGrid w:val="0"/>
          <w:color w:val="auto"/>
          <w:sz w:val="24"/>
          <w:highlight w:val="none"/>
        </w:rPr>
        <w:t>______</w:t>
      </w:r>
      <w:r>
        <w:rPr>
          <w:rFonts w:hint="eastAsia" w:ascii="Times New Roman" w:hAnsi="Times New Roman"/>
          <w:snapToGrid w:val="0"/>
          <w:color w:val="auto"/>
          <w:sz w:val="24"/>
          <w:highlight w:val="none"/>
        </w:rPr>
        <w:t>年</w:t>
      </w:r>
      <w:r>
        <w:rPr>
          <w:rFonts w:ascii="Times New Roman" w:hAnsi="Times New Roman"/>
          <w:snapToGrid w:val="0"/>
          <w:color w:val="auto"/>
          <w:sz w:val="24"/>
          <w:highlight w:val="none"/>
        </w:rPr>
        <w:t>___</w:t>
      </w:r>
      <w:r>
        <w:rPr>
          <w:rFonts w:hint="eastAsia" w:ascii="Times New Roman" w:hAnsi="Times New Roman"/>
          <w:snapToGrid w:val="0"/>
          <w:color w:val="auto"/>
          <w:sz w:val="24"/>
          <w:highlight w:val="none"/>
        </w:rPr>
        <w:t>月</w:t>
      </w:r>
      <w:r>
        <w:rPr>
          <w:rFonts w:ascii="Times New Roman" w:hAnsi="Times New Roman"/>
          <w:snapToGrid w:val="0"/>
          <w:color w:val="auto"/>
          <w:sz w:val="24"/>
          <w:highlight w:val="none"/>
        </w:rPr>
        <w:t>___</w:t>
      </w:r>
      <w:r>
        <w:rPr>
          <w:rFonts w:hint="eastAsia" w:ascii="Times New Roman" w:hAnsi="Times New Roman" w:cs="宋体"/>
          <w:snapToGrid w:val="0"/>
          <w:color w:val="auto"/>
          <w:sz w:val="24"/>
          <w:szCs w:val="21"/>
          <w:highlight w:val="none"/>
          <w:lang w:val="zh-CN"/>
        </w:rPr>
        <w:t>日</w:t>
      </w:r>
    </w:p>
    <w:p w14:paraId="0E84A330">
      <w:pPr>
        <w:pStyle w:val="18"/>
        <w:spacing w:beforeLines="0" w:afterLines="0"/>
        <w:outlineLvl w:val="9"/>
        <w:rPr>
          <w:rFonts w:ascii="Times New Roman" w:hAnsi="Times New Roman" w:eastAsia="宋体"/>
          <w:color w:val="auto"/>
          <w:highlight w:val="none"/>
        </w:rPr>
      </w:pPr>
    </w:p>
    <w:p w14:paraId="6C1F95F6">
      <w:pPr>
        <w:pStyle w:val="18"/>
        <w:spacing w:beforeLines="0" w:afterLines="0"/>
        <w:outlineLvl w:val="9"/>
        <w:rPr>
          <w:rFonts w:ascii="Times New Roman" w:hAnsi="Times New Roman" w:eastAsia="宋体"/>
          <w:color w:val="auto"/>
          <w:highlight w:val="none"/>
        </w:rPr>
      </w:pPr>
    </w:p>
    <w:p w14:paraId="68E02412">
      <w:pPr>
        <w:pStyle w:val="18"/>
        <w:spacing w:beforeLines="0" w:afterLines="0"/>
        <w:outlineLvl w:val="9"/>
        <w:rPr>
          <w:rFonts w:ascii="Times New Roman" w:hAnsi="Times New Roman" w:eastAsia="宋体"/>
          <w:color w:val="auto"/>
          <w:highlight w:val="none"/>
        </w:rPr>
      </w:pPr>
    </w:p>
    <w:p w14:paraId="324DB017">
      <w:pPr>
        <w:pStyle w:val="18"/>
        <w:spacing w:beforeLines="0" w:afterLines="0"/>
        <w:outlineLvl w:val="9"/>
        <w:rPr>
          <w:rFonts w:ascii="Times New Roman" w:hAnsi="Times New Roman" w:eastAsia="宋体"/>
          <w:color w:val="auto"/>
          <w:highlight w:val="none"/>
        </w:rPr>
      </w:pPr>
    </w:p>
    <w:p w14:paraId="69C43582">
      <w:pPr>
        <w:pStyle w:val="18"/>
        <w:spacing w:beforeLines="0" w:afterLines="0"/>
        <w:outlineLvl w:val="9"/>
        <w:rPr>
          <w:rFonts w:ascii="Times New Roman" w:hAnsi="Times New Roman" w:eastAsia="宋体"/>
          <w:color w:val="auto"/>
          <w:highlight w:val="none"/>
        </w:rPr>
      </w:pPr>
    </w:p>
    <w:p w14:paraId="6F2E1029">
      <w:pPr>
        <w:pStyle w:val="18"/>
        <w:spacing w:beforeLines="0" w:afterLines="0"/>
        <w:outlineLvl w:val="9"/>
        <w:rPr>
          <w:rFonts w:ascii="Times New Roman" w:hAnsi="Times New Roman" w:eastAsia="宋体"/>
          <w:color w:val="auto"/>
          <w:highlight w:val="none"/>
        </w:rPr>
      </w:pPr>
    </w:p>
    <w:p w14:paraId="09CD3461">
      <w:pPr>
        <w:pStyle w:val="18"/>
        <w:spacing w:beforeLines="0" w:afterLines="0"/>
        <w:outlineLvl w:val="9"/>
        <w:rPr>
          <w:rFonts w:ascii="Times New Roman" w:hAnsi="Times New Roman" w:eastAsia="宋体"/>
          <w:color w:val="auto"/>
          <w:highlight w:val="none"/>
        </w:rPr>
      </w:pPr>
    </w:p>
    <w:p w14:paraId="54068190">
      <w:pPr>
        <w:pStyle w:val="18"/>
        <w:spacing w:beforeLines="0" w:afterLines="0"/>
        <w:outlineLvl w:val="9"/>
        <w:rPr>
          <w:rFonts w:ascii="Times New Roman" w:hAnsi="Times New Roman" w:eastAsia="宋体"/>
          <w:color w:val="auto"/>
          <w:highlight w:val="none"/>
        </w:rPr>
      </w:pPr>
    </w:p>
    <w:p w14:paraId="55C659A8">
      <w:pPr>
        <w:pStyle w:val="18"/>
        <w:spacing w:beforeLines="0" w:afterLines="0"/>
        <w:outlineLvl w:val="9"/>
        <w:rPr>
          <w:rFonts w:ascii="Times New Roman" w:hAnsi="Times New Roman" w:eastAsia="宋体"/>
          <w:color w:val="auto"/>
          <w:highlight w:val="none"/>
        </w:rPr>
      </w:pPr>
    </w:p>
    <w:p w14:paraId="12E35E6C">
      <w:pPr>
        <w:pStyle w:val="18"/>
        <w:spacing w:beforeLines="0" w:afterLines="0"/>
        <w:outlineLvl w:val="1"/>
        <w:rPr>
          <w:rFonts w:ascii="Times New Roman" w:hAnsi="Times New Roman" w:eastAsia="宋体"/>
          <w:color w:val="auto"/>
          <w:highlight w:val="none"/>
        </w:rPr>
      </w:pPr>
      <w:r>
        <w:rPr>
          <w:rFonts w:ascii="Times New Roman" w:hAnsi="Times New Roman" w:eastAsia="宋体"/>
          <w:color w:val="auto"/>
          <w:kern w:val="2"/>
          <w:highlight w:val="none"/>
        </w:rPr>
        <w:br w:type="page"/>
      </w:r>
      <w:r>
        <w:rPr>
          <w:rFonts w:hint="eastAsia" w:ascii="Times New Roman" w:hAnsi="Times New Roman" w:eastAsia="宋体"/>
          <w:color w:val="auto"/>
          <w:kern w:val="2"/>
          <w:highlight w:val="none"/>
        </w:rPr>
        <w:t>附件8：广州市重点公共建设项目管理办公室工程建设类制度汇编（另册）</w:t>
      </w:r>
    </w:p>
    <w:p w14:paraId="203C8BB3">
      <w:pPr>
        <w:rPr>
          <w:rFonts w:ascii="Times New Roman" w:hAnsi="Times New Roman"/>
          <w:b/>
          <w:color w:val="auto"/>
          <w:sz w:val="24"/>
          <w:highlight w:val="none"/>
        </w:rPr>
      </w:pPr>
    </w:p>
    <w:p w14:paraId="23F563DE">
      <w:pPr>
        <w:outlineLvl w:val="1"/>
        <w:rPr>
          <w:rFonts w:ascii="Times New Roman" w:hAnsi="Times New Roman"/>
          <w:b/>
          <w:color w:val="auto"/>
          <w:sz w:val="24"/>
          <w:highlight w:val="none"/>
        </w:rPr>
      </w:pPr>
      <w:r>
        <w:rPr>
          <w:rFonts w:hint="eastAsia" w:ascii="Times New Roman" w:hAnsi="Times New Roman"/>
          <w:b/>
          <w:color w:val="auto"/>
          <w:sz w:val="24"/>
          <w:highlight w:val="none"/>
        </w:rPr>
        <w:t>附件9：监理单位安全生产管理目标责任书</w:t>
      </w:r>
    </w:p>
    <w:p w14:paraId="2FD4697A">
      <w:pPr>
        <w:rPr>
          <w:rFonts w:ascii="Times New Roman" w:hAnsi="Times New Roman"/>
          <w:color w:val="auto"/>
          <w:sz w:val="48"/>
          <w:szCs w:val="48"/>
          <w:highlight w:val="none"/>
        </w:rPr>
      </w:pPr>
    </w:p>
    <w:p w14:paraId="5A120993">
      <w:pPr>
        <w:jc w:val="center"/>
        <w:rPr>
          <w:rFonts w:ascii="Times New Roman" w:hAnsi="Times New Roman"/>
          <w:color w:val="auto"/>
          <w:sz w:val="48"/>
          <w:szCs w:val="48"/>
          <w:highlight w:val="none"/>
        </w:rPr>
      </w:pPr>
    </w:p>
    <w:p w14:paraId="398A12FA">
      <w:pPr>
        <w:jc w:val="center"/>
        <w:rPr>
          <w:rFonts w:ascii="Times New Roman" w:hAnsi="Times New Roman"/>
          <w:color w:val="auto"/>
          <w:sz w:val="48"/>
          <w:szCs w:val="48"/>
          <w:highlight w:val="none"/>
        </w:rPr>
      </w:pPr>
    </w:p>
    <w:p w14:paraId="746F3726">
      <w:pPr>
        <w:jc w:val="center"/>
        <w:rPr>
          <w:rFonts w:ascii="Times New Roman" w:hAnsi="Times New Roman"/>
          <w:color w:val="auto"/>
          <w:sz w:val="48"/>
          <w:szCs w:val="48"/>
          <w:highlight w:val="none"/>
        </w:rPr>
      </w:pPr>
      <w:r>
        <w:rPr>
          <w:rFonts w:hint="eastAsia" w:ascii="Times New Roman" w:hAnsi="Times New Roman"/>
          <w:color w:val="auto"/>
          <w:sz w:val="48"/>
          <w:szCs w:val="48"/>
          <w:highlight w:val="none"/>
        </w:rPr>
        <w:t>广州市重点公共建设项目管理中心</w:t>
      </w:r>
    </w:p>
    <w:p w14:paraId="75350145">
      <w:pPr>
        <w:jc w:val="center"/>
        <w:rPr>
          <w:rFonts w:ascii="Times New Roman" w:hAnsi="Times New Roman"/>
          <w:color w:val="auto"/>
          <w:sz w:val="48"/>
          <w:szCs w:val="48"/>
          <w:highlight w:val="none"/>
        </w:rPr>
      </w:pPr>
    </w:p>
    <w:p w14:paraId="1704A6DD">
      <w:pPr>
        <w:jc w:val="center"/>
        <w:rPr>
          <w:rFonts w:ascii="Times New Roman" w:hAnsi="Times New Roman"/>
          <w:b/>
          <w:color w:val="auto"/>
          <w:sz w:val="52"/>
          <w:szCs w:val="52"/>
          <w:highlight w:val="none"/>
        </w:rPr>
      </w:pPr>
      <w:r>
        <w:rPr>
          <w:rFonts w:hint="eastAsia" w:ascii="Times New Roman" w:hAnsi="Times New Roman"/>
          <w:b/>
          <w:color w:val="auto"/>
          <w:sz w:val="52"/>
          <w:szCs w:val="52"/>
          <w:highlight w:val="none"/>
        </w:rPr>
        <w:t>监理单位安全生产管理目标责任书</w:t>
      </w:r>
    </w:p>
    <w:p w14:paraId="52D072AD">
      <w:pPr>
        <w:rPr>
          <w:rFonts w:ascii="Times New Roman" w:hAnsi="Times New Roman"/>
          <w:color w:val="auto"/>
          <w:highlight w:val="none"/>
        </w:rPr>
      </w:pPr>
    </w:p>
    <w:p w14:paraId="3C540ABC">
      <w:pPr>
        <w:rPr>
          <w:rFonts w:ascii="Times New Roman" w:hAnsi="Times New Roman"/>
          <w:color w:val="auto"/>
          <w:highlight w:val="none"/>
        </w:rPr>
      </w:pPr>
    </w:p>
    <w:p w14:paraId="12C6FE75">
      <w:pPr>
        <w:rPr>
          <w:rFonts w:ascii="Times New Roman" w:hAnsi="Times New Roman"/>
          <w:color w:val="auto"/>
          <w:highlight w:val="none"/>
        </w:rPr>
      </w:pPr>
    </w:p>
    <w:p w14:paraId="250DD56B">
      <w:pPr>
        <w:rPr>
          <w:rFonts w:ascii="Times New Roman" w:hAnsi="Times New Roman"/>
          <w:color w:val="auto"/>
          <w:sz w:val="36"/>
          <w:szCs w:val="36"/>
          <w:highlight w:val="none"/>
        </w:rPr>
      </w:pPr>
    </w:p>
    <w:p w14:paraId="7E7E363B">
      <w:pPr>
        <w:rPr>
          <w:rFonts w:ascii="Times New Roman" w:hAnsi="Times New Roman"/>
          <w:color w:val="auto"/>
          <w:sz w:val="36"/>
          <w:szCs w:val="36"/>
          <w:highlight w:val="none"/>
        </w:rPr>
      </w:pPr>
    </w:p>
    <w:p w14:paraId="3813D666">
      <w:pPr>
        <w:rPr>
          <w:rFonts w:ascii="Times New Roman" w:hAnsi="Times New Roman"/>
          <w:color w:val="auto"/>
          <w:sz w:val="36"/>
          <w:szCs w:val="36"/>
          <w:highlight w:val="none"/>
        </w:rPr>
      </w:pPr>
    </w:p>
    <w:p w14:paraId="43E5769A">
      <w:pPr>
        <w:rPr>
          <w:rFonts w:ascii="Times New Roman" w:hAnsi="Times New Roman"/>
          <w:color w:val="auto"/>
          <w:sz w:val="32"/>
          <w:szCs w:val="32"/>
          <w:highlight w:val="none"/>
        </w:rPr>
      </w:pPr>
      <w:r>
        <w:rPr>
          <w:rFonts w:hint="eastAsia" w:ascii="Times New Roman" w:hAnsi="Times New Roman"/>
          <w:color w:val="auto"/>
          <w:sz w:val="32"/>
          <w:szCs w:val="32"/>
          <w:highlight w:val="none"/>
        </w:rPr>
        <w:t>年    度：</w:t>
      </w:r>
    </w:p>
    <w:p w14:paraId="767D9B39">
      <w:pPr>
        <w:spacing w:line="360" w:lineRule="auto"/>
        <w:rPr>
          <w:rFonts w:ascii="Times New Roman" w:hAnsi="Times New Roman"/>
          <w:color w:val="auto"/>
          <w:sz w:val="32"/>
          <w:szCs w:val="32"/>
          <w:highlight w:val="none"/>
        </w:rPr>
      </w:pPr>
    </w:p>
    <w:p w14:paraId="0D80E585">
      <w:pPr>
        <w:spacing w:line="360" w:lineRule="auto"/>
        <w:rPr>
          <w:rFonts w:ascii="Times New Roman" w:hAnsi="Times New Roman"/>
          <w:color w:val="auto"/>
          <w:sz w:val="32"/>
          <w:szCs w:val="32"/>
          <w:highlight w:val="none"/>
        </w:rPr>
      </w:pPr>
      <w:r>
        <w:rPr>
          <w:rFonts w:hint="eastAsia" w:ascii="Times New Roman" w:hAnsi="Times New Roman"/>
          <w:color w:val="auto"/>
          <w:sz w:val="32"/>
          <w:szCs w:val="32"/>
          <w:highlight w:val="none"/>
        </w:rPr>
        <w:t>项目名称：</w:t>
      </w:r>
    </w:p>
    <w:p w14:paraId="6530C35E">
      <w:pPr>
        <w:ind w:left="1440" w:hanging="1440" w:hangingChars="450"/>
        <w:rPr>
          <w:rFonts w:ascii="Times New Roman" w:hAnsi="Times New Roman"/>
          <w:color w:val="auto"/>
          <w:sz w:val="32"/>
          <w:szCs w:val="32"/>
          <w:highlight w:val="none"/>
        </w:rPr>
      </w:pPr>
    </w:p>
    <w:p w14:paraId="7A462913">
      <w:pPr>
        <w:ind w:left="1440" w:hanging="1440" w:hangingChars="450"/>
        <w:rPr>
          <w:rFonts w:ascii="Times New Roman" w:hAnsi="Times New Roman"/>
          <w:color w:val="auto"/>
          <w:sz w:val="32"/>
          <w:szCs w:val="32"/>
          <w:highlight w:val="none"/>
        </w:rPr>
      </w:pPr>
      <w:r>
        <w:rPr>
          <w:rFonts w:hint="eastAsia" w:ascii="Times New Roman" w:hAnsi="Times New Roman"/>
          <w:color w:val="auto"/>
          <w:sz w:val="32"/>
          <w:szCs w:val="32"/>
          <w:highlight w:val="none"/>
        </w:rPr>
        <w:t>监理单位：</w:t>
      </w:r>
    </w:p>
    <w:p w14:paraId="00FAA52C">
      <w:pPr>
        <w:jc w:val="center"/>
        <w:rPr>
          <w:rFonts w:ascii="Times New Roman" w:hAnsi="Times New Roman"/>
          <w:b/>
          <w:color w:val="auto"/>
          <w:sz w:val="44"/>
          <w:szCs w:val="44"/>
          <w:highlight w:val="none"/>
        </w:rPr>
      </w:pPr>
      <w:r>
        <w:rPr>
          <w:rFonts w:ascii="Times New Roman" w:hAnsi="Times New Roman"/>
          <w:b/>
          <w:color w:val="auto"/>
          <w:sz w:val="32"/>
          <w:szCs w:val="32"/>
          <w:highlight w:val="none"/>
        </w:rPr>
        <w:br w:type="page"/>
      </w:r>
      <w:r>
        <w:rPr>
          <w:rFonts w:hint="eastAsia" w:ascii="Times New Roman" w:hAnsi="Times New Roman"/>
          <w:b/>
          <w:color w:val="auto"/>
          <w:sz w:val="44"/>
          <w:szCs w:val="44"/>
          <w:highlight w:val="none"/>
        </w:rPr>
        <w:t>广州市重点公共建设项目管理中心</w:t>
      </w:r>
    </w:p>
    <w:p w14:paraId="6146BB78">
      <w:pPr>
        <w:jc w:val="center"/>
        <w:rPr>
          <w:rFonts w:ascii="Times New Roman" w:hAnsi="Times New Roman"/>
          <w:b/>
          <w:color w:val="auto"/>
          <w:sz w:val="44"/>
          <w:szCs w:val="44"/>
          <w:highlight w:val="none"/>
        </w:rPr>
      </w:pPr>
      <w:r>
        <w:rPr>
          <w:rFonts w:hint="eastAsia" w:ascii="Times New Roman" w:hAnsi="Times New Roman"/>
          <w:b/>
          <w:color w:val="auto"/>
          <w:sz w:val="44"/>
          <w:szCs w:val="44"/>
          <w:highlight w:val="none"/>
        </w:rPr>
        <w:t>监理单位安全生产管理目标责任书</w:t>
      </w:r>
    </w:p>
    <w:p w14:paraId="0C5142DE">
      <w:pPr>
        <w:ind w:firstLine="640" w:firstLineChars="200"/>
        <w:rPr>
          <w:rFonts w:ascii="Times New Roman" w:hAnsi="Times New Roman"/>
          <w:color w:val="auto"/>
          <w:sz w:val="32"/>
          <w:szCs w:val="32"/>
          <w:highlight w:val="none"/>
        </w:rPr>
      </w:pPr>
    </w:p>
    <w:p w14:paraId="7825E569">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1C711FE7">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本责任书由监理单位法定代表人向市重点项目管理中心法定代表人签订。</w:t>
      </w:r>
    </w:p>
    <w:p w14:paraId="1AB2EA17">
      <w:pPr>
        <w:spacing w:line="360" w:lineRule="auto"/>
        <w:ind w:firstLine="480" w:firstLineChars="20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一、责任目标</w:t>
      </w:r>
    </w:p>
    <w:p w14:paraId="2262DB90">
      <w:pPr>
        <w:spacing w:line="360" w:lineRule="auto"/>
        <w:ind w:firstLine="480" w:firstLineChars="200"/>
        <w:rPr>
          <w:rFonts w:ascii="Times New Roman" w:hAnsi="Times New Roman" w:cs="宋体"/>
          <w:snapToGrid w:val="0"/>
          <w:color w:val="auto"/>
          <w:sz w:val="24"/>
          <w:szCs w:val="21"/>
          <w:highlight w:val="none"/>
          <w:lang w:val="zh-CN"/>
        </w:rPr>
      </w:pPr>
      <w:r>
        <w:rPr>
          <w:rFonts w:hint="eastAsia" w:ascii="Times New Roman" w:hAnsi="Times New Roman" w:cs="宋体"/>
          <w:snapToGrid w:val="0"/>
          <w:color w:val="auto"/>
          <w:sz w:val="24"/>
          <w:szCs w:val="21"/>
          <w:highlight w:val="none"/>
          <w:lang w:val="zh-CN"/>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04966BD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目标二：确保</w:t>
      </w:r>
    </w:p>
    <w:p w14:paraId="2414F281">
      <w:pPr>
        <w:spacing w:line="360" w:lineRule="auto"/>
        <w:ind w:firstLine="482" w:firstLineChars="200"/>
        <w:rPr>
          <w:rFonts w:ascii="Times New Roman" w:hAnsi="Times New Roman"/>
          <w:color w:val="auto"/>
          <w:sz w:val="24"/>
          <w:highlight w:val="none"/>
        </w:rPr>
      </w:pPr>
      <w:r>
        <w:rPr>
          <w:rFonts w:hint="eastAsia" w:ascii="宋体" w:hAnsi="宋体"/>
          <w:b/>
          <w:bCs/>
          <w:snapToGrid w:val="0"/>
          <w:color w:val="auto"/>
          <w:kern w:val="0"/>
          <w:sz w:val="24"/>
          <w:szCs w:val="24"/>
          <w:highlight w:val="none"/>
          <w:lang w:eastAsia="zh-CN"/>
        </w:rPr>
        <w:t>☒</w:t>
      </w:r>
      <w:r>
        <w:rPr>
          <w:rFonts w:hint="eastAsia" w:ascii="Times New Roman" w:hAnsi="Times New Roman"/>
          <w:color w:val="auto"/>
          <w:sz w:val="24"/>
          <w:highlight w:val="none"/>
        </w:rPr>
        <w:t>广州市安全文明样板工地。</w:t>
      </w:r>
    </w:p>
    <w:p w14:paraId="0207CF09">
      <w:pPr>
        <w:spacing w:line="360" w:lineRule="auto"/>
        <w:ind w:firstLine="482" w:firstLineChars="200"/>
        <w:rPr>
          <w:rFonts w:hint="eastAsia" w:ascii="Times New Roman" w:hAnsi="Times New Roman"/>
          <w:color w:val="auto"/>
          <w:sz w:val="24"/>
          <w:highlight w:val="none"/>
        </w:rPr>
      </w:pPr>
      <w:r>
        <w:rPr>
          <w:rFonts w:hint="eastAsia" w:ascii="宋体" w:hAnsi="宋体"/>
          <w:b/>
          <w:bCs/>
          <w:snapToGrid w:val="0"/>
          <w:color w:val="auto"/>
          <w:kern w:val="0"/>
          <w:sz w:val="24"/>
          <w:szCs w:val="24"/>
          <w:highlight w:val="none"/>
          <w:lang w:eastAsia="zh-CN"/>
        </w:rPr>
        <w:t>☒</w:t>
      </w:r>
      <w:r>
        <w:rPr>
          <w:rFonts w:hint="eastAsia" w:ascii="Times New Roman" w:hAnsi="Times New Roman" w:cs="Times New Roman"/>
          <w:b w:val="0"/>
          <w:bCs w:val="0"/>
          <w:color w:val="auto"/>
          <w:sz w:val="24"/>
          <w:szCs w:val="22"/>
          <w:highlight w:val="none"/>
          <w:lang w:eastAsia="zh-CN"/>
        </w:rPr>
        <w:t>获评</w:t>
      </w:r>
      <w:r>
        <w:rPr>
          <w:rFonts w:hint="eastAsia" w:ascii="Times New Roman" w:hAnsi="Times New Roman"/>
          <w:color w:val="auto"/>
          <w:sz w:val="24"/>
          <w:highlight w:val="none"/>
        </w:rPr>
        <w:t>广东省安全文明样板工地。</w:t>
      </w:r>
    </w:p>
    <w:p w14:paraId="3471E822">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确保广东省安全生产文明施工示范工地</w:t>
      </w:r>
    </w:p>
    <w:p w14:paraId="2A05D76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目标三：督促确保及时支付工人工资，不出现劳资纠纷或群体维稳事件。</w:t>
      </w:r>
    </w:p>
    <w:p w14:paraId="56862E6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二、责任单位和责任人</w:t>
      </w:r>
    </w:p>
    <w:p w14:paraId="77555F3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监理单位法定代表人依法对本单位安全生产工作全面负责，项目总监对工程项目的安全施工监理工作负责。</w:t>
      </w:r>
    </w:p>
    <w:p w14:paraId="7F5D3ECE">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三、责任事项</w:t>
      </w:r>
    </w:p>
    <w:p w14:paraId="7D3FE54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（一）监理单位是安全生产的主体责任单位之一，要切实履行全国人大及其常委会、国务院、住建部、广东省、广州市等颁布的法律、法规、部门规章、地方性法规规定之安全生产义务。</w:t>
      </w:r>
    </w:p>
    <w:p w14:paraId="48441FB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（二）监理单位要认真做好《_______________监理合同》中明确的安全与环境控制工作并履行职责。认真做到安全事故处理“四不放过”（</w:t>
      </w:r>
      <w:r>
        <w:rPr>
          <w:rFonts w:ascii="Times New Roman" w:hAnsi="Times New Roman"/>
          <w:color w:val="auto"/>
          <w:sz w:val="24"/>
          <w:highlight w:val="none"/>
        </w:rPr>
        <w:t>事故原因未查清不放过；事故责任人未受到处理不放过；事故责任人和广大群众没有受到教育不放过；事故没有制订切实可行的整改措施不放过</w:t>
      </w:r>
      <w:r>
        <w:rPr>
          <w:rFonts w:hint="eastAsia" w:ascii="Times New Roman" w:hAnsi="Times New Roman"/>
          <w:color w:val="auto"/>
          <w:sz w:val="24"/>
          <w:highlight w:val="none"/>
        </w:rPr>
        <w:t>）；认真做到重大危险源、重大隐患要有预测、有预警、有预案；认真做到要生产就必须安全，不安全就不能生产。</w:t>
      </w:r>
    </w:p>
    <w:p w14:paraId="6F4A82EA">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四、落实责任的组织架构和措施</w:t>
      </w:r>
    </w:p>
    <w:p w14:paraId="1DCD713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（一）监理单位要设立在法定代表人指导下，以项目总监为主的安全生产管理组织架构，保证安全生产责任制度的落实。</w:t>
      </w:r>
    </w:p>
    <w:p w14:paraId="3C8CAC1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（二）监理单位要按合同约定确保项目总监和专职安全管理人员到岗履职，并由单位法定代表人与其签署安全责任授权书。</w:t>
      </w:r>
    </w:p>
    <w:p w14:paraId="30157485">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（三）监理单位要确保项目总监依据《建筑工程项目总监理工程师质量安全责任六项规定》（建市〔</w:t>
      </w:r>
      <w:r>
        <w:rPr>
          <w:rFonts w:ascii="Times New Roman" w:hAnsi="Times New Roman"/>
          <w:color w:val="auto"/>
          <w:sz w:val="24"/>
          <w:highlight w:val="none"/>
        </w:rPr>
        <w:t>2015</w:t>
      </w:r>
      <w:r>
        <w:rPr>
          <w:rFonts w:hint="eastAsia" w:ascii="Times New Roman" w:hAnsi="Times New Roman"/>
          <w:color w:val="auto"/>
          <w:sz w:val="24"/>
          <w:highlight w:val="none"/>
        </w:rPr>
        <w:t>〕</w:t>
      </w:r>
      <w:r>
        <w:rPr>
          <w:rFonts w:ascii="Times New Roman" w:hAnsi="Times New Roman"/>
          <w:color w:val="auto"/>
          <w:sz w:val="24"/>
          <w:highlight w:val="none"/>
        </w:rPr>
        <w:t>35</w:t>
      </w:r>
      <w:r>
        <w:rPr>
          <w:rFonts w:hint="eastAsia" w:ascii="Times New Roman" w:hAnsi="Times New Roman"/>
          <w:color w:val="auto"/>
          <w:sz w:val="24"/>
          <w:highlight w:val="none"/>
        </w:rPr>
        <w:t>号）的要求落实安全责任。</w:t>
      </w:r>
    </w:p>
    <w:p w14:paraId="19ADC25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（四）监理单位要按《关于印发</w:t>
      </w:r>
      <w:r>
        <w:rPr>
          <w:rFonts w:ascii="Times New Roman" w:hAnsi="Times New Roman"/>
          <w:color w:val="auto"/>
          <w:sz w:val="24"/>
          <w:highlight w:val="none"/>
        </w:rPr>
        <w:t>&lt;</w:t>
      </w:r>
      <w:r>
        <w:rPr>
          <w:rFonts w:hint="eastAsia" w:ascii="Times New Roman" w:hAnsi="Times New Roman"/>
          <w:color w:val="auto"/>
          <w:sz w:val="24"/>
          <w:highlight w:val="none"/>
        </w:rPr>
        <w:t>广东省建设厅建筑工程安全防护、文明施工措施费用管理办法</w:t>
      </w:r>
      <w:r>
        <w:rPr>
          <w:rFonts w:ascii="Times New Roman" w:hAnsi="Times New Roman"/>
          <w:color w:val="auto"/>
          <w:sz w:val="24"/>
          <w:highlight w:val="none"/>
        </w:rPr>
        <w:t>&gt;</w:t>
      </w:r>
      <w:r>
        <w:rPr>
          <w:rFonts w:hint="eastAsia" w:ascii="Times New Roman" w:hAnsi="Times New Roman"/>
          <w:color w:val="auto"/>
          <w:sz w:val="24"/>
          <w:highlight w:val="none"/>
        </w:rPr>
        <w:t>的通知》（粤建管字〔</w:t>
      </w:r>
      <w:r>
        <w:rPr>
          <w:rFonts w:ascii="Times New Roman" w:hAnsi="Times New Roman"/>
          <w:color w:val="auto"/>
          <w:sz w:val="24"/>
          <w:highlight w:val="none"/>
        </w:rPr>
        <w:t>2007</w:t>
      </w:r>
      <w:r>
        <w:rPr>
          <w:rFonts w:hint="eastAsia" w:ascii="Times New Roman" w:hAnsi="Times New Roman"/>
          <w:color w:val="auto"/>
          <w:sz w:val="24"/>
          <w:highlight w:val="none"/>
        </w:rPr>
        <w:t>〕</w:t>
      </w:r>
      <w:r>
        <w:rPr>
          <w:rFonts w:ascii="Times New Roman" w:hAnsi="Times New Roman"/>
          <w:color w:val="auto"/>
          <w:sz w:val="24"/>
          <w:highlight w:val="none"/>
        </w:rPr>
        <w:t>39</w:t>
      </w:r>
      <w:r>
        <w:rPr>
          <w:rFonts w:hint="eastAsia" w:ascii="Times New Roman" w:hAnsi="Times New Roman"/>
          <w:color w:val="auto"/>
          <w:sz w:val="24"/>
          <w:highlight w:val="none"/>
        </w:rPr>
        <w:t>号）、《关于印发广州市建筑工程安全生产措施费管理办法的通知》（穗建筑［</w:t>
      </w:r>
      <w:r>
        <w:rPr>
          <w:rFonts w:ascii="Times New Roman" w:hAnsi="Times New Roman"/>
          <w:color w:val="auto"/>
          <w:sz w:val="24"/>
          <w:highlight w:val="none"/>
        </w:rPr>
        <w:t>2003</w:t>
      </w:r>
      <w:r>
        <w:rPr>
          <w:rFonts w:hint="eastAsia" w:ascii="Times New Roman" w:hAnsi="Times New Roman"/>
          <w:color w:val="auto"/>
          <w:sz w:val="24"/>
          <w:highlight w:val="none"/>
        </w:rPr>
        <w:t>］</w:t>
      </w:r>
      <w:r>
        <w:rPr>
          <w:rFonts w:ascii="Times New Roman" w:hAnsi="Times New Roman"/>
          <w:color w:val="auto"/>
          <w:sz w:val="24"/>
          <w:highlight w:val="none"/>
        </w:rPr>
        <w:t>106</w:t>
      </w:r>
      <w:r>
        <w:rPr>
          <w:rFonts w:hint="eastAsia" w:ascii="Times New Roman" w:hAnsi="Times New Roman"/>
          <w:color w:val="auto"/>
          <w:sz w:val="24"/>
          <w:highlight w:val="none"/>
        </w:rPr>
        <w:t>号）的要求督促措施费足额用于安全防护和安全措施，不得挪作他用。</w:t>
      </w:r>
    </w:p>
    <w:p w14:paraId="52DDDBA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（五）监理单位要督促承包人必须按《广东省建设工程领域工人工资支付专用账户管理办法》（ 粤人社规〔2018〕14号）、《广州市建设领域工人工资支付分账管理实施细则》（穗建规字〔2020〕37号）执行，切实将工人工资支付专用账户的资金用于发放工人工资，不得挪作他用。</w:t>
      </w:r>
    </w:p>
    <w:p w14:paraId="4CB416F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五、责任追究</w:t>
      </w:r>
    </w:p>
    <w:p w14:paraId="68514C1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（一）如工程未能实现承诺的“责任目标”时，当属严重失责行为，按照以下违约处理：</w:t>
      </w:r>
    </w:p>
    <w:p w14:paraId="060AD24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1、“目标一”未能实现时，除按国家、省、市有关规定处罚外，按合同监理单位承担严重违约责任</w:t>
      </w:r>
      <w:r>
        <w:rPr>
          <w:rFonts w:ascii="Times New Roman" w:hAnsi="Times New Roman"/>
          <w:color w:val="auto"/>
          <w:sz w:val="24"/>
          <w:highlight w:val="none"/>
        </w:rPr>
        <w:t>1</w:t>
      </w:r>
      <w:r>
        <w:rPr>
          <w:rFonts w:hint="eastAsia" w:ascii="Times New Roman" w:hAnsi="Times New Roman"/>
          <w:color w:val="auto"/>
          <w:sz w:val="24"/>
          <w:highlight w:val="none"/>
        </w:rPr>
        <w:t>次；情节严重的，委托人有权部分解除合同或解除合同；因此而发生重大安全质量事故（按国家及本合同有关规定界定）的，监理单位承担赔偿责任，赔偿金为本合同监理酬金的</w:t>
      </w:r>
      <w:r>
        <w:rPr>
          <w:rFonts w:ascii="Times New Roman" w:hAnsi="Times New Roman"/>
          <w:color w:val="auto"/>
          <w:sz w:val="24"/>
          <w:highlight w:val="none"/>
        </w:rPr>
        <w:t>1%</w:t>
      </w:r>
      <w:r>
        <w:rPr>
          <w:rFonts w:hint="eastAsia" w:ascii="Times New Roman" w:hAnsi="Times New Roman"/>
          <w:color w:val="auto"/>
          <w:sz w:val="24"/>
          <w:highlight w:val="none"/>
        </w:rPr>
        <w:t>～</w:t>
      </w:r>
      <w:r>
        <w:rPr>
          <w:rFonts w:ascii="Times New Roman" w:hAnsi="Times New Roman"/>
          <w:color w:val="auto"/>
          <w:sz w:val="24"/>
          <w:highlight w:val="none"/>
        </w:rPr>
        <w:t>5%</w:t>
      </w:r>
      <w:r>
        <w:rPr>
          <w:rFonts w:hint="eastAsia" w:ascii="Times New Roman" w:hAnsi="Times New Roman"/>
          <w:color w:val="auto"/>
          <w:sz w:val="24"/>
          <w:highlight w:val="none"/>
        </w:rPr>
        <w:t>。</w:t>
      </w:r>
    </w:p>
    <w:p w14:paraId="74CF2508">
      <w:pPr>
        <w:spacing w:line="360" w:lineRule="auto"/>
        <w:ind w:firstLine="482" w:firstLineChars="200"/>
        <w:rPr>
          <w:rFonts w:ascii="Times New Roman" w:hAnsi="Times New Roman"/>
          <w:color w:val="auto"/>
          <w:sz w:val="24"/>
          <w:highlight w:val="none"/>
        </w:rPr>
      </w:pPr>
      <w:r>
        <w:rPr>
          <w:rFonts w:hint="eastAsia" w:ascii="宋体" w:hAnsi="宋体" w:eastAsia="宋体" w:cs="宋体"/>
          <w:b/>
          <w:color w:val="auto"/>
          <w:sz w:val="24"/>
          <w:highlight w:val="none"/>
          <w:lang w:bidi="ar"/>
        </w:rPr>
        <w:t>☑</w:t>
      </w:r>
      <w:r>
        <w:rPr>
          <w:rFonts w:hint="eastAsia" w:ascii="Times New Roman" w:hAnsi="Times New Roman"/>
          <w:color w:val="auto"/>
          <w:sz w:val="24"/>
          <w:highlight w:val="none"/>
        </w:rPr>
        <w:t>2、“目标二”未能实现时，参照合同约定的“严重违约”条款对单位处以违约金。</w:t>
      </w:r>
    </w:p>
    <w:p w14:paraId="73F26F4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（二）在责任期内，市重点项目管理中心检查发现有违本书“三、责任事项”中约定的法律法规、合同、制度的规定时，属失责行为，按照相应条款进行处罚。</w:t>
      </w:r>
    </w:p>
    <w:p w14:paraId="4C6AB95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六、其他事项</w:t>
      </w:r>
    </w:p>
    <w:p w14:paraId="6A5F5CB4">
      <w:pPr>
        <w:numPr>
          <w:ilvl w:val="0"/>
          <w:numId w:val="4"/>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市重点项目管理中心将全力支持与促成“责任目标”的实现，与此同时，将严格督促监理方承担安全责任，发现失责时，必按本责任书的条文予以处罚。</w:t>
      </w:r>
    </w:p>
    <w:p w14:paraId="359B41AF">
      <w:pPr>
        <w:numPr>
          <w:ilvl w:val="0"/>
          <w:numId w:val="4"/>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本责任书之责任期限由签订之日起至该项目取得《建设工程施工安全评价书》日期为止。</w:t>
      </w:r>
    </w:p>
    <w:p w14:paraId="42787554">
      <w:pPr>
        <w:numPr>
          <w:ilvl w:val="0"/>
          <w:numId w:val="4"/>
        </w:numPr>
        <w:tabs>
          <w:tab w:val="left" w:pos="360"/>
          <w:tab w:val="left" w:pos="855"/>
        </w:tabs>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本责任书作为监理合同附件。如签订人离任，安全责任则由继任人承担。</w:t>
      </w:r>
    </w:p>
    <w:p w14:paraId="773CA3F7">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（本页以下无正文）</w:t>
      </w:r>
    </w:p>
    <w:p w14:paraId="0067F90D">
      <w:pPr>
        <w:spacing w:line="360" w:lineRule="auto"/>
        <w:rPr>
          <w:rFonts w:ascii="Times New Roman" w:hAnsi="Times New Roman"/>
          <w:color w:val="auto"/>
          <w:sz w:val="24"/>
          <w:highlight w:val="none"/>
        </w:rPr>
      </w:pPr>
    </w:p>
    <w:p w14:paraId="232BB15D">
      <w:pPr>
        <w:tabs>
          <w:tab w:val="left" w:pos="6300"/>
        </w:tabs>
        <w:spacing w:line="360" w:lineRule="auto"/>
        <w:rPr>
          <w:rFonts w:ascii="Times New Roman" w:hAnsi="Times New Roman"/>
          <w:color w:val="auto"/>
          <w:sz w:val="24"/>
          <w:highlight w:val="none"/>
        </w:rPr>
      </w:pPr>
      <w:r>
        <w:rPr>
          <w:rFonts w:hint="eastAsia" w:ascii="Times New Roman" w:hAnsi="Times New Roman"/>
          <w:color w:val="auto"/>
          <w:sz w:val="24"/>
          <w:highlight w:val="none"/>
        </w:rPr>
        <w:t>广州市重点公共建设项目管理中心（章）：     ________________（章）：</w:t>
      </w:r>
    </w:p>
    <w:p w14:paraId="746FD2B1">
      <w:pPr>
        <w:spacing w:line="360" w:lineRule="auto"/>
        <w:rPr>
          <w:rFonts w:ascii="Times New Roman" w:hAnsi="Times New Roman"/>
          <w:color w:val="auto"/>
          <w:sz w:val="24"/>
          <w:highlight w:val="none"/>
        </w:rPr>
      </w:pPr>
    </w:p>
    <w:p w14:paraId="640630C1">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法定代表人签名：                           法定代表人签名：</w:t>
      </w:r>
    </w:p>
    <w:p w14:paraId="0958DB94">
      <w:pPr>
        <w:spacing w:line="360" w:lineRule="auto"/>
        <w:rPr>
          <w:rFonts w:ascii="Times New Roman" w:hAnsi="Times New Roman"/>
          <w:color w:val="auto"/>
          <w:sz w:val="24"/>
          <w:highlight w:val="none"/>
        </w:rPr>
      </w:pPr>
    </w:p>
    <w:p w14:paraId="6FCB7715">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签订时间：     年  月  日</w:t>
      </w:r>
    </w:p>
    <w:p w14:paraId="236E9BB7">
      <w:pPr>
        <w:pStyle w:val="18"/>
        <w:spacing w:beforeLines="0" w:afterLines="0"/>
        <w:outlineLvl w:val="9"/>
        <w:rPr>
          <w:rFonts w:ascii="Times New Roman" w:hAnsi="Times New Roman" w:eastAsia="宋体"/>
          <w:color w:val="auto"/>
          <w:kern w:val="2"/>
          <w:highlight w:val="none"/>
        </w:rPr>
      </w:pPr>
    </w:p>
    <w:p w14:paraId="789A309A">
      <w:pPr>
        <w:pStyle w:val="18"/>
        <w:spacing w:beforeLines="0" w:afterLines="0"/>
        <w:outlineLvl w:val="1"/>
        <w:rPr>
          <w:rFonts w:ascii="Times New Roman" w:hAnsi="Times New Roman" w:eastAsia="宋体"/>
          <w:color w:val="auto"/>
          <w:highlight w:val="none"/>
        </w:rPr>
      </w:pPr>
      <w:r>
        <w:rPr>
          <w:rFonts w:ascii="Times New Roman" w:hAnsi="Times New Roman" w:eastAsia="宋体"/>
          <w:color w:val="auto"/>
          <w:kern w:val="2"/>
          <w:highlight w:val="none"/>
        </w:rPr>
        <w:br w:type="page"/>
      </w:r>
      <w:r>
        <w:rPr>
          <w:rFonts w:hint="eastAsia" w:ascii="Times New Roman" w:hAnsi="Times New Roman" w:eastAsia="宋体"/>
          <w:color w:val="auto"/>
          <w:kern w:val="2"/>
          <w:highlight w:val="none"/>
        </w:rPr>
        <w:t>附件10：</w:t>
      </w:r>
      <w:r>
        <w:rPr>
          <w:rFonts w:hint="eastAsia" w:ascii="Times New Roman" w:hAnsi="Times New Roman" w:eastAsia="宋体"/>
          <w:color w:val="auto"/>
          <w:spacing w:val="0"/>
          <w:kern w:val="2"/>
          <w:highlight w:val="none"/>
        </w:rPr>
        <w:t>__________________使用维护管理责任主体转移三方协议（格式）</w:t>
      </w:r>
    </w:p>
    <w:p w14:paraId="580AF8D4">
      <w:pPr>
        <w:adjustRightInd w:val="0"/>
        <w:snapToGrid w:val="0"/>
        <w:spacing w:line="300" w:lineRule="auto"/>
        <w:jc w:val="center"/>
        <w:rPr>
          <w:rFonts w:ascii="Times New Roman" w:hAnsi="Times New Roman"/>
          <w:b/>
          <w:snapToGrid w:val="0"/>
          <w:color w:val="auto"/>
          <w:sz w:val="48"/>
          <w:szCs w:val="48"/>
          <w:highlight w:val="none"/>
        </w:rPr>
      </w:pPr>
    </w:p>
    <w:p w14:paraId="22CA1B0B">
      <w:pPr>
        <w:adjustRightInd w:val="0"/>
        <w:snapToGrid w:val="0"/>
        <w:spacing w:line="300" w:lineRule="auto"/>
        <w:jc w:val="center"/>
        <w:rPr>
          <w:rFonts w:ascii="Times New Roman" w:hAnsi="Times New Roman"/>
          <w:b/>
          <w:snapToGrid w:val="0"/>
          <w:color w:val="auto"/>
          <w:spacing w:val="-30"/>
          <w:sz w:val="44"/>
          <w:szCs w:val="44"/>
          <w:highlight w:val="none"/>
        </w:rPr>
      </w:pPr>
      <w:r>
        <w:rPr>
          <w:rFonts w:hint="eastAsia" w:ascii="Times New Roman" w:hAnsi="Times New Roman"/>
          <w:b/>
          <w:snapToGrid w:val="0"/>
          <w:color w:val="auto"/>
          <w:spacing w:val="-30"/>
          <w:sz w:val="44"/>
          <w:szCs w:val="44"/>
          <w:highlight w:val="none"/>
        </w:rPr>
        <w:t>___________________________项目</w:t>
      </w:r>
    </w:p>
    <w:p w14:paraId="2CA64002">
      <w:pPr>
        <w:adjustRightInd w:val="0"/>
        <w:snapToGrid w:val="0"/>
        <w:spacing w:line="300" w:lineRule="auto"/>
        <w:jc w:val="center"/>
        <w:rPr>
          <w:rFonts w:ascii="Times New Roman" w:hAnsi="Times New Roman"/>
          <w:b/>
          <w:snapToGrid w:val="0"/>
          <w:color w:val="auto"/>
          <w:sz w:val="44"/>
          <w:szCs w:val="44"/>
          <w:highlight w:val="none"/>
        </w:rPr>
      </w:pPr>
      <w:r>
        <w:rPr>
          <w:rFonts w:hint="eastAsia" w:ascii="Times New Roman" w:hAnsi="Times New Roman"/>
          <w:b/>
          <w:snapToGrid w:val="0"/>
          <w:color w:val="auto"/>
          <w:sz w:val="44"/>
          <w:szCs w:val="44"/>
          <w:highlight w:val="none"/>
        </w:rPr>
        <w:t>使用维护管理责任主体转移三方协议</w:t>
      </w:r>
    </w:p>
    <w:p w14:paraId="5975768E">
      <w:pPr>
        <w:adjustRightInd w:val="0"/>
        <w:snapToGrid w:val="0"/>
        <w:spacing w:line="360" w:lineRule="auto"/>
        <w:jc w:val="center"/>
        <w:rPr>
          <w:rFonts w:ascii="Times New Roman" w:hAnsi="Times New Roman"/>
          <w:b/>
          <w:snapToGrid w:val="0"/>
          <w:color w:val="auto"/>
          <w:sz w:val="28"/>
          <w:szCs w:val="28"/>
          <w:highlight w:val="none"/>
        </w:rPr>
      </w:pPr>
      <w:r>
        <w:rPr>
          <w:rFonts w:hint="eastAsia" w:ascii="Times New Roman" w:hAnsi="Times New Roman"/>
          <w:b/>
          <w:snapToGrid w:val="0"/>
          <w:color w:val="auto"/>
          <w:sz w:val="28"/>
          <w:szCs w:val="28"/>
          <w:highlight w:val="none"/>
        </w:rPr>
        <w:t>编号：</w:t>
      </w:r>
    </w:p>
    <w:p w14:paraId="2218C945">
      <w:pPr>
        <w:autoSpaceDE w:val="0"/>
        <w:autoSpaceDN w:val="0"/>
        <w:adjustRightInd w:val="0"/>
        <w:snapToGrid w:val="0"/>
        <w:spacing w:line="360" w:lineRule="auto"/>
        <w:rPr>
          <w:rFonts w:ascii="Times New Roman" w:hAnsi="Times New Roman" w:cs="AdobeSongStd-Light"/>
          <w:snapToGrid w:val="0"/>
          <w:color w:val="auto"/>
          <w:sz w:val="24"/>
          <w:highlight w:val="none"/>
        </w:rPr>
      </w:pPr>
    </w:p>
    <w:p w14:paraId="19CA33AB">
      <w:pPr>
        <w:autoSpaceDE w:val="0"/>
        <w:autoSpaceDN w:val="0"/>
        <w:adjustRightInd w:val="0"/>
        <w:snapToGrid w:val="0"/>
        <w:spacing w:line="360" w:lineRule="auto"/>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甲方（委托人）</w:t>
      </w:r>
      <w:r>
        <w:rPr>
          <w:rFonts w:hint="eastAsia" w:ascii="Times New Roman" w:hAnsi="Times New Roman" w:cs="AdobeSongStd-Light"/>
          <w:snapToGrid w:val="0"/>
          <w:color w:val="auto"/>
          <w:sz w:val="24"/>
          <w:highlight w:val="none"/>
        </w:rPr>
        <w:t>：广州市重点公共建设项目管理中心</w:t>
      </w:r>
    </w:p>
    <w:p w14:paraId="11E58208">
      <w:pPr>
        <w:autoSpaceDE w:val="0"/>
        <w:autoSpaceDN w:val="0"/>
        <w:adjustRightInd w:val="0"/>
        <w:snapToGrid w:val="0"/>
        <w:spacing w:line="360" w:lineRule="auto"/>
        <w:rPr>
          <w:rFonts w:ascii="Times New Roman" w:hAnsi="Times New Roman" w:cs="AdobeSongStd-Light"/>
          <w:b/>
          <w:snapToGrid w:val="0"/>
          <w:color w:val="auto"/>
          <w:sz w:val="24"/>
          <w:highlight w:val="none"/>
        </w:rPr>
      </w:pPr>
      <w:r>
        <w:rPr>
          <w:rFonts w:hint="eastAsia" w:ascii="Times New Roman" w:hAnsi="Times New Roman" w:cs="AdobeSongStd-Light"/>
          <w:b/>
          <w:snapToGrid w:val="0"/>
          <w:color w:val="auto"/>
          <w:sz w:val="24"/>
          <w:highlight w:val="none"/>
        </w:rPr>
        <w:t>乙方（监理人）：</w:t>
      </w:r>
      <w:r>
        <w:rPr>
          <w:rFonts w:hint="eastAsia" w:ascii="Times New Roman" w:hAnsi="Times New Roman" w:cs="AdobeSongStd-Light"/>
          <w:snapToGrid w:val="0"/>
          <w:color w:val="auto"/>
          <w:sz w:val="24"/>
          <w:highlight w:val="none"/>
        </w:rPr>
        <w:t xml:space="preserve"> </w:t>
      </w:r>
    </w:p>
    <w:p w14:paraId="30673EF3">
      <w:pPr>
        <w:autoSpaceDE w:val="0"/>
        <w:autoSpaceDN w:val="0"/>
        <w:adjustRightInd w:val="0"/>
        <w:snapToGrid w:val="0"/>
        <w:spacing w:line="360" w:lineRule="auto"/>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丙方（受让方）</w:t>
      </w:r>
      <w:r>
        <w:rPr>
          <w:rFonts w:hint="eastAsia" w:ascii="Times New Roman" w:hAnsi="Times New Roman" w:cs="AdobeSongStd-Light"/>
          <w:snapToGrid w:val="0"/>
          <w:color w:val="auto"/>
          <w:sz w:val="24"/>
          <w:highlight w:val="none"/>
        </w:rPr>
        <w:t xml:space="preserve">： </w:t>
      </w:r>
    </w:p>
    <w:p w14:paraId="6A72AA0F">
      <w:pPr>
        <w:autoSpaceDE w:val="0"/>
        <w:autoSpaceDN w:val="0"/>
        <w:adjustRightInd w:val="0"/>
        <w:snapToGrid w:val="0"/>
        <w:spacing w:line="360" w:lineRule="auto"/>
        <w:rPr>
          <w:rFonts w:ascii="Times New Roman" w:hAnsi="Times New Roman" w:cs="AdobeSongStd-Light"/>
          <w:snapToGrid w:val="0"/>
          <w:color w:val="auto"/>
          <w:sz w:val="24"/>
          <w:highlight w:val="none"/>
        </w:rPr>
      </w:pPr>
    </w:p>
    <w:p w14:paraId="0C4C1A4B">
      <w:pPr>
        <w:autoSpaceDE w:val="0"/>
        <w:autoSpaceDN w:val="0"/>
        <w:adjustRightInd w:val="0"/>
        <w:snapToGrid w:val="0"/>
        <w:spacing w:line="360" w:lineRule="auto"/>
        <w:ind w:firstLine="482" w:firstLineChars="200"/>
        <w:rPr>
          <w:rFonts w:ascii="Times New Roman" w:hAnsi="Times New Roman" w:cs="AdobeSongStd-Light"/>
          <w:b/>
          <w:snapToGrid w:val="0"/>
          <w:color w:val="auto"/>
          <w:sz w:val="24"/>
          <w:highlight w:val="none"/>
        </w:rPr>
      </w:pPr>
      <w:r>
        <w:rPr>
          <w:rFonts w:hint="eastAsia" w:ascii="Times New Roman" w:hAnsi="Times New Roman" w:cs="AdobeSongStd-Light"/>
          <w:b/>
          <w:snapToGrid w:val="0"/>
          <w:color w:val="auto"/>
          <w:sz w:val="24"/>
          <w:highlight w:val="none"/>
        </w:rPr>
        <w:t>鉴于：</w:t>
      </w:r>
    </w:p>
    <w:p w14:paraId="1624DE56">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s="AdobeSongStd-Light"/>
          <w:snapToGrid w:val="0"/>
          <w:color w:val="auto"/>
          <w:sz w:val="24"/>
          <w:highlight w:val="none"/>
        </w:rPr>
        <w:t>、甲、乙双方于</w:t>
      </w:r>
      <w:r>
        <w:rPr>
          <w:rFonts w:ascii="Times New Roman" w:hAnsi="Times New Roman" w:cs="AdobeSongStd-Light"/>
          <w:snapToGrid w:val="0"/>
          <w:color w:val="auto"/>
          <w:sz w:val="24"/>
          <w:highlight w:val="none"/>
        </w:rPr>
        <w:t>20__</w:t>
      </w:r>
      <w:r>
        <w:rPr>
          <w:rFonts w:hint="eastAsia" w:ascii="Times New Roman" w:hAnsi="Times New Roman" w:cs="AdobeSongStd-Light"/>
          <w:snapToGrid w:val="0"/>
          <w:color w:val="auto"/>
          <w:sz w:val="24"/>
          <w:highlight w:val="none"/>
        </w:rPr>
        <w:t>年</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月</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日签订了《</w:t>
      </w:r>
      <w:r>
        <w:rPr>
          <w:rFonts w:ascii="Times New Roman" w:hAnsi="Times New Roman" w:cs="AdobeSongStd-Light"/>
          <w:snapToGrid w:val="0"/>
          <w:color w:val="auto"/>
          <w:sz w:val="24"/>
          <w:highlight w:val="none"/>
        </w:rPr>
        <w:t>_________</w:t>
      </w:r>
      <w:r>
        <w:rPr>
          <w:rFonts w:hint="eastAsia" w:ascii="Times New Roman" w:hAnsi="Times New Roman"/>
          <w:snapToGrid w:val="0"/>
          <w:color w:val="auto"/>
          <w:sz w:val="24"/>
          <w:highlight w:val="none"/>
        </w:rPr>
        <w:t>监理</w:t>
      </w:r>
      <w:r>
        <w:rPr>
          <w:rFonts w:hint="eastAsia" w:ascii="Times New Roman" w:hAnsi="Times New Roman" w:cs="AdobeSongStd-Light"/>
          <w:snapToGrid w:val="0"/>
          <w:color w:val="auto"/>
          <w:sz w:val="24"/>
          <w:highlight w:val="none"/>
        </w:rPr>
        <w:t>合同》（合同编号：</w:t>
      </w:r>
      <w:r>
        <w:rPr>
          <w:rFonts w:ascii="Times New Roman" w:hAnsi="Times New Roman" w:cs="AdobeSongStd-Light"/>
          <w:snapToGrid w:val="0"/>
          <w:color w:val="auto"/>
          <w:sz w:val="24"/>
          <w:highlight w:val="none"/>
        </w:rPr>
        <w:t>_________</w:t>
      </w:r>
      <w:r>
        <w:rPr>
          <w:rFonts w:hint="eastAsia" w:ascii="Times New Roman" w:hAnsi="Times New Roman" w:cs="AdobeSongStd-Light"/>
          <w:snapToGrid w:val="0"/>
          <w:color w:val="auto"/>
          <w:sz w:val="24"/>
          <w:highlight w:val="none"/>
        </w:rPr>
        <w:t>，以下简称“原合同”），约定乙方为___________</w:t>
      </w:r>
      <w:r>
        <w:rPr>
          <w:rFonts w:hint="eastAsia" w:ascii="Times New Roman" w:hAnsi="Times New Roman"/>
          <w:snapToGrid w:val="0"/>
          <w:color w:val="auto"/>
          <w:sz w:val="24"/>
          <w:highlight w:val="none"/>
          <w:u w:val="single"/>
        </w:rPr>
        <w:t>项目</w:t>
      </w:r>
      <w:r>
        <w:rPr>
          <w:rFonts w:hint="eastAsia" w:ascii="Times New Roman" w:hAnsi="Times New Roman" w:cs="AdobeSongStd-Light"/>
          <w:snapToGrid w:val="0"/>
          <w:color w:val="auto"/>
          <w:sz w:val="24"/>
          <w:highlight w:val="none"/>
        </w:rPr>
        <w:t>（以下简称“本项目”）提供监理服务，本项目于</w:t>
      </w:r>
      <w:r>
        <w:rPr>
          <w:rFonts w:ascii="Times New Roman" w:hAnsi="Times New Roman" w:cs="AdobeSongStd-Light"/>
          <w:snapToGrid w:val="0"/>
          <w:color w:val="auto"/>
          <w:sz w:val="24"/>
          <w:highlight w:val="none"/>
        </w:rPr>
        <w:t>20__</w:t>
      </w:r>
      <w:r>
        <w:rPr>
          <w:rFonts w:hint="eastAsia" w:ascii="Times New Roman" w:hAnsi="Times New Roman" w:cs="AdobeSongStd-Light"/>
          <w:snapToGrid w:val="0"/>
          <w:color w:val="auto"/>
          <w:sz w:val="24"/>
          <w:highlight w:val="none"/>
        </w:rPr>
        <w:t>年</w:t>
      </w:r>
      <w:r>
        <w:rPr>
          <w:rFonts w:ascii="Times New Roman" w:hAnsi="Times New Roman" w:cs="AdobeSongStd-Light"/>
          <w:snapToGrid w:val="0"/>
          <w:color w:val="auto"/>
          <w:sz w:val="24"/>
          <w:highlight w:val="none"/>
        </w:rPr>
        <w:t>__</w:t>
      </w:r>
      <w:r>
        <w:rPr>
          <w:rFonts w:hint="eastAsia" w:ascii="Times New Roman" w:hAnsi="Times New Roman" w:cs="AdobeSongStd-Light"/>
          <w:snapToGrid w:val="0"/>
          <w:color w:val="auto"/>
          <w:sz w:val="24"/>
          <w:highlight w:val="none"/>
        </w:rPr>
        <w:t>月通过竣工验收。工程通过竣工验收后，乙方按照原合同约定履行工程质量保修阶段的监理义务。</w:t>
      </w:r>
    </w:p>
    <w:p w14:paraId="0F29ACEA">
      <w:pPr>
        <w:adjustRightInd w:val="0"/>
        <w:snapToGrid w:val="0"/>
        <w:spacing w:line="360" w:lineRule="auto"/>
        <w:ind w:firstLine="480" w:firstLineChars="200"/>
        <w:rPr>
          <w:rFonts w:ascii="Times New Roman" w:hAnsi="Times New Roman" w:cs="AdobeSongStd-Light"/>
          <w:snapToGrid w:val="0"/>
          <w:color w:val="auto"/>
          <w:sz w:val="24"/>
          <w:highlight w:val="none"/>
        </w:rPr>
      </w:pPr>
      <w:r>
        <w:rPr>
          <w:rFonts w:ascii="Times New Roman" w:hAnsi="Times New Roman" w:cs="AdobeSongStd-Light"/>
          <w:snapToGrid w:val="0"/>
          <w:color w:val="auto"/>
          <w:sz w:val="24"/>
          <w:highlight w:val="none"/>
        </w:rPr>
        <w:t>2</w:t>
      </w:r>
      <w:r>
        <w:rPr>
          <w:rFonts w:hint="eastAsia" w:ascii="Times New Roman" w:hAnsi="Times New Roman" w:cs="AdobeSongStd-Light"/>
          <w:snapToGrid w:val="0"/>
          <w:color w:val="auto"/>
          <w:sz w:val="24"/>
          <w:highlight w:val="none"/>
        </w:rPr>
        <w:t>、甲、丙双</w:t>
      </w:r>
      <w:r>
        <w:rPr>
          <w:rFonts w:hint="eastAsia" w:ascii="Times New Roman" w:hAnsi="Times New Roman"/>
          <w:color w:val="auto"/>
          <w:sz w:val="24"/>
          <w:highlight w:val="none"/>
        </w:rPr>
        <w:t>方已经签订《________________项目</w:t>
      </w:r>
      <w:r>
        <w:rPr>
          <w:rFonts w:hint="eastAsia" w:ascii="Times New Roman" w:hAnsi="Times New Roman" w:cs="AdobeSongStd-Light"/>
          <w:snapToGrid w:val="0"/>
          <w:color w:val="auto"/>
          <w:spacing w:val="4"/>
          <w:sz w:val="24"/>
          <w:highlight w:val="none"/>
        </w:rPr>
        <w:t>移交协议书</w:t>
      </w:r>
      <w:r>
        <w:rPr>
          <w:rFonts w:hint="eastAsia" w:ascii="Times New Roman" w:hAnsi="Times New Roman"/>
          <w:color w:val="auto"/>
          <w:sz w:val="24"/>
          <w:highlight w:val="none"/>
        </w:rPr>
        <w:t>》</w:t>
      </w:r>
      <w:r>
        <w:rPr>
          <w:rFonts w:hint="eastAsia" w:ascii="Times New Roman" w:hAnsi="Times New Roman"/>
          <w:snapToGrid w:val="0"/>
          <w:color w:val="auto"/>
          <w:sz w:val="24"/>
          <w:highlight w:val="none"/>
        </w:rPr>
        <w:t>（以下简称“移交协议书”）</w:t>
      </w:r>
      <w:r>
        <w:rPr>
          <w:rFonts w:hint="eastAsia" w:ascii="Times New Roman" w:hAnsi="Times New Roman"/>
          <w:color w:val="auto"/>
          <w:sz w:val="24"/>
          <w:highlight w:val="none"/>
        </w:rPr>
        <w:t>，约定从</w:t>
      </w:r>
      <w:r>
        <w:rPr>
          <w:rFonts w:ascii="Times New Roman" w:hAnsi="Times New Roman"/>
          <w:color w:val="auto"/>
          <w:sz w:val="24"/>
          <w:highlight w:val="none"/>
        </w:rPr>
        <w:t>20__</w:t>
      </w:r>
      <w:r>
        <w:rPr>
          <w:rFonts w:hint="eastAsia" w:ascii="Times New Roman" w:hAnsi="Times New Roman"/>
          <w:color w:val="auto"/>
          <w:sz w:val="24"/>
          <w:highlight w:val="none"/>
        </w:rPr>
        <w:t>年</w:t>
      </w:r>
      <w:r>
        <w:rPr>
          <w:rFonts w:ascii="Times New Roman" w:hAnsi="Times New Roman"/>
          <w:color w:val="auto"/>
          <w:sz w:val="24"/>
          <w:highlight w:val="none"/>
        </w:rPr>
        <w:t>__</w:t>
      </w:r>
      <w:r>
        <w:rPr>
          <w:rFonts w:hint="eastAsia" w:ascii="Times New Roman" w:hAnsi="Times New Roman"/>
          <w:color w:val="auto"/>
          <w:sz w:val="24"/>
          <w:highlight w:val="none"/>
        </w:rPr>
        <w:t>月</w:t>
      </w:r>
      <w:r>
        <w:rPr>
          <w:rFonts w:ascii="Times New Roman" w:hAnsi="Times New Roman"/>
          <w:color w:val="auto"/>
          <w:sz w:val="24"/>
          <w:highlight w:val="none"/>
        </w:rPr>
        <w:t>__</w:t>
      </w:r>
      <w:r>
        <w:rPr>
          <w:rFonts w:hint="eastAsia" w:ascii="Times New Roman" w:hAnsi="Times New Roman"/>
          <w:color w:val="auto"/>
          <w:sz w:val="24"/>
          <w:highlight w:val="none"/>
        </w:rPr>
        <w:t>日起，甲方正式将______________</w:t>
      </w:r>
      <w:r>
        <w:rPr>
          <w:rFonts w:hint="eastAsia" w:ascii="Times New Roman" w:hAnsi="Times New Roman" w:cs="AdobeSongStd-Light"/>
          <w:snapToGrid w:val="0"/>
          <w:color w:val="auto"/>
          <w:sz w:val="24"/>
          <w:highlight w:val="none"/>
        </w:rPr>
        <w:t>项目</w:t>
      </w:r>
      <w:r>
        <w:rPr>
          <w:rFonts w:hint="eastAsia" w:ascii="Times New Roman" w:hAnsi="Times New Roman"/>
          <w:color w:val="auto"/>
          <w:sz w:val="24"/>
          <w:highlight w:val="none"/>
        </w:rPr>
        <w:t>移交给丙方</w:t>
      </w:r>
      <w:r>
        <w:rPr>
          <w:rFonts w:ascii="Times New Roman" w:hAnsi="Times New Roman"/>
          <w:color w:val="auto"/>
          <w:sz w:val="24"/>
          <w:highlight w:val="none"/>
        </w:rPr>
        <w:t>使用</w:t>
      </w:r>
      <w:r>
        <w:rPr>
          <w:rFonts w:hint="eastAsia" w:ascii="Times New Roman" w:hAnsi="Times New Roman"/>
          <w:color w:val="auto"/>
          <w:sz w:val="24"/>
          <w:highlight w:val="none"/>
        </w:rPr>
        <w:t>管理。</w:t>
      </w:r>
      <w:r>
        <w:rPr>
          <w:rFonts w:hint="eastAsia" w:ascii="Times New Roman" w:hAnsi="Times New Roman" w:cs="AdobeSongStd-Light"/>
          <w:snapToGrid w:val="0"/>
          <w:color w:val="auto"/>
          <w:sz w:val="24"/>
          <w:highlight w:val="none"/>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等约定享有和履行工程质量保修阶段监理服务相关的权利和义务。</w:t>
      </w:r>
    </w:p>
    <w:p w14:paraId="26F97D7D">
      <w:pPr>
        <w:autoSpaceDE w:val="0"/>
        <w:autoSpaceDN w:val="0"/>
        <w:adjustRightInd w:val="0"/>
        <w:snapToGrid w:val="0"/>
        <w:spacing w:line="360" w:lineRule="auto"/>
        <w:ind w:firstLine="480" w:firstLineChars="200"/>
        <w:rPr>
          <w:rFonts w:ascii="Times New Roman" w:hAnsi="Times New Roman" w:cs="AdobeSongStd-Light"/>
          <w:snapToGrid w:val="0"/>
          <w:color w:val="auto"/>
          <w:sz w:val="24"/>
          <w:highlight w:val="none"/>
        </w:rPr>
      </w:pPr>
      <w:r>
        <w:rPr>
          <w:rFonts w:ascii="Times New Roman" w:hAnsi="Times New Roman" w:cs="AdobeSongStd-Light"/>
          <w:snapToGrid w:val="0"/>
          <w:color w:val="auto"/>
          <w:sz w:val="24"/>
          <w:highlight w:val="none"/>
        </w:rPr>
        <w:t>3</w:t>
      </w:r>
      <w:r>
        <w:rPr>
          <w:rFonts w:hint="eastAsia" w:ascii="Times New Roman" w:hAnsi="Times New Roman" w:cs="AdobeSongStd-Light"/>
          <w:snapToGrid w:val="0"/>
          <w:color w:val="auto"/>
          <w:sz w:val="24"/>
          <w:highlight w:val="none"/>
        </w:rPr>
        <w:t>、甲、乙、丙三方经协商，就</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项下的工程质量保修阶段监理服务事宜达成一致，签订协议如下：</w:t>
      </w:r>
    </w:p>
    <w:p w14:paraId="1560E3D6">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第一条  </w:t>
      </w:r>
      <w:r>
        <w:rPr>
          <w:rFonts w:hint="eastAsia" w:ascii="Times New Roman" w:hAnsi="Times New Roman" w:cs="AdobeSongStd-Light"/>
          <w:snapToGrid w:val="0"/>
          <w:color w:val="auto"/>
          <w:sz w:val="24"/>
          <w:highlight w:val="none"/>
        </w:rPr>
        <w:t>甲、乙、丙三方一致同意，自本协议签订之日起甲方将其在</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项下有关工程质量保修阶段监理服务事宜所涉的权利和义务一并转让给丙方，丙方予以受让；即自本协议签订之日起，由乙、丙双方各自享有和履行</w:t>
      </w:r>
      <w:r>
        <w:rPr>
          <w:rFonts w:hint="eastAsia" w:ascii="Times New Roman" w:hAnsi="Times New Roman"/>
          <w:snapToGrid w:val="0"/>
          <w:color w:val="auto"/>
          <w:sz w:val="24"/>
          <w:highlight w:val="none"/>
        </w:rPr>
        <w:t>原合同</w:t>
      </w:r>
      <w:r>
        <w:rPr>
          <w:rFonts w:hint="eastAsia" w:ascii="Times New Roman" w:hAnsi="Times New Roman" w:cs="AdobeSongStd-Light"/>
          <w:snapToGrid w:val="0"/>
          <w:color w:val="auto"/>
          <w:sz w:val="24"/>
          <w:highlight w:val="none"/>
        </w:rPr>
        <w:t>项下的工程质量保修阶段监理服务相关的权利和义务。</w:t>
      </w:r>
    </w:p>
    <w:p w14:paraId="554016F7">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第二条  </w:t>
      </w:r>
      <w:r>
        <w:rPr>
          <w:rFonts w:hint="eastAsia" w:ascii="Times New Roman" w:hAnsi="Times New Roman" w:cs="AdobeSongStd-Light"/>
          <w:snapToGrid w:val="0"/>
          <w:color w:val="auto"/>
          <w:sz w:val="24"/>
          <w:highlight w:val="none"/>
        </w:rPr>
        <w:t>乙方不能履行原合同及本协议项下的监理义务的，丙方有权另行委托监理单位，新监理单位承继原监理单位的责任、义务，由此发生的监理费用在原合同工程质量保修阶段的监理酬金中抵扣。</w:t>
      </w:r>
    </w:p>
    <w:p w14:paraId="289770CB">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第三条  </w:t>
      </w:r>
      <w:r>
        <w:rPr>
          <w:rFonts w:hint="eastAsia" w:ascii="Times New Roman" w:hAnsi="Times New Roman" w:cs="AdobeSongStd-Light"/>
          <w:snapToGrid w:val="0"/>
          <w:color w:val="auto"/>
          <w:sz w:val="24"/>
          <w:highlight w:val="none"/>
        </w:rPr>
        <w:t>甲、乙、丙三方一致同意，原合同约定的工程质量保修阶段的监理酬金具体办理程序为：由乙方按原合同（含补充协议）相关约定向丙方提交申请支付资料和发票，丙方按相关约定办理拨款手续。</w:t>
      </w:r>
    </w:p>
    <w:p w14:paraId="7DC6C4E9">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第四条  </w:t>
      </w:r>
      <w:r>
        <w:rPr>
          <w:rFonts w:hint="eastAsia" w:ascii="Times New Roman" w:hAnsi="Times New Roman"/>
          <w:snapToGrid w:val="0"/>
          <w:color w:val="auto"/>
          <w:sz w:val="24"/>
          <w:highlight w:val="none"/>
        </w:rPr>
        <w:t>本协议与原合同具有同等的法律效力。本协议没有约定的事项，仍按原合同的约定执行；但当原合同的约定与本协议不相一致时，以本协议为准。</w:t>
      </w:r>
    </w:p>
    <w:p w14:paraId="4E341D62">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第五条  </w:t>
      </w:r>
      <w:r>
        <w:rPr>
          <w:rFonts w:hint="eastAsia" w:ascii="Times New Roman" w:hAnsi="Times New Roman" w:cs="AdobeSongStd-Light"/>
          <w:snapToGrid w:val="0"/>
          <w:color w:val="auto"/>
          <w:sz w:val="24"/>
          <w:highlight w:val="none"/>
        </w:rPr>
        <w:t>本协议</w:t>
      </w:r>
      <w:r>
        <w:rPr>
          <w:rFonts w:hint="eastAsia" w:ascii="Times New Roman" w:hAnsi="Times New Roman"/>
          <w:snapToGrid w:val="0"/>
          <w:color w:val="auto"/>
          <w:sz w:val="24"/>
          <w:highlight w:val="none"/>
        </w:rPr>
        <w:t>若有其他</w:t>
      </w:r>
      <w:r>
        <w:rPr>
          <w:rFonts w:hint="eastAsia" w:ascii="Times New Roman" w:hAnsi="Times New Roman" w:cs="AdobeSongStd-Light"/>
          <w:snapToGrid w:val="0"/>
          <w:color w:val="auto"/>
          <w:sz w:val="24"/>
          <w:highlight w:val="none"/>
        </w:rPr>
        <w:t>未尽事宜，</w:t>
      </w:r>
      <w:r>
        <w:rPr>
          <w:rFonts w:hint="eastAsia" w:ascii="Times New Roman" w:hAnsi="Times New Roman"/>
          <w:snapToGrid w:val="0"/>
          <w:color w:val="auto"/>
          <w:sz w:val="24"/>
          <w:highlight w:val="none"/>
        </w:rPr>
        <w:t>由甲、乙、丙三方另行商议签订补充协议。</w:t>
      </w:r>
    </w:p>
    <w:p w14:paraId="58DF3C41">
      <w:pPr>
        <w:tabs>
          <w:tab w:val="left" w:pos="632"/>
          <w:tab w:val="left" w:pos="9240"/>
        </w:tabs>
        <w:adjustRightInd w:val="0"/>
        <w:snapToGrid w:val="0"/>
        <w:spacing w:line="360" w:lineRule="auto"/>
        <w:ind w:right="-31" w:rightChars="-15" w:firstLine="482" w:firstLineChars="200"/>
        <w:rPr>
          <w:rFonts w:ascii="Times New Roman" w:hAnsi="Times New Roman"/>
          <w:snapToGrid w:val="0"/>
          <w:color w:val="auto"/>
          <w:sz w:val="24"/>
          <w:highlight w:val="none"/>
        </w:rPr>
      </w:pPr>
      <w:r>
        <w:rPr>
          <w:rFonts w:hint="eastAsia" w:ascii="Times New Roman" w:hAnsi="Times New Roman" w:cs="AdobeSongStd-Light"/>
          <w:b/>
          <w:snapToGrid w:val="0"/>
          <w:color w:val="auto"/>
          <w:sz w:val="24"/>
          <w:highlight w:val="none"/>
        </w:rPr>
        <w:t xml:space="preserve">第六条  </w:t>
      </w:r>
      <w:r>
        <w:rPr>
          <w:rFonts w:hint="eastAsia" w:ascii="Times New Roman" w:hAnsi="Times New Roman"/>
          <w:snapToGrid w:val="0"/>
          <w:color w:val="auto"/>
          <w:sz w:val="24"/>
          <w:highlight w:val="none"/>
        </w:rPr>
        <w:t>甲、乙、丙三方如因本协议发生争议，可先行协商解决；若协商不成，提交甲方住所地人民法院诉讼解决。</w:t>
      </w:r>
    </w:p>
    <w:p w14:paraId="36EF8227">
      <w:pPr>
        <w:autoSpaceDE w:val="0"/>
        <w:autoSpaceDN w:val="0"/>
        <w:adjustRightInd w:val="0"/>
        <w:snapToGrid w:val="0"/>
        <w:spacing w:line="360" w:lineRule="auto"/>
        <w:ind w:firstLine="482" w:firstLineChars="200"/>
        <w:rPr>
          <w:rFonts w:ascii="Times New Roman" w:hAnsi="Times New Roman" w:cs="AdobeSongStd-Light"/>
          <w:snapToGrid w:val="0"/>
          <w:color w:val="auto"/>
          <w:sz w:val="24"/>
          <w:highlight w:val="none"/>
        </w:rPr>
      </w:pPr>
      <w:r>
        <w:rPr>
          <w:rFonts w:hint="eastAsia" w:ascii="Times New Roman" w:hAnsi="Times New Roman" w:cs="AdobeSongStd-Light"/>
          <w:b/>
          <w:snapToGrid w:val="0"/>
          <w:color w:val="auto"/>
          <w:sz w:val="24"/>
          <w:highlight w:val="none"/>
        </w:rPr>
        <w:t xml:space="preserve">第七条  </w:t>
      </w:r>
      <w:r>
        <w:rPr>
          <w:rFonts w:hint="eastAsia" w:ascii="Times New Roman" w:hAnsi="Times New Roman" w:cs="AdobeSongStd-Light"/>
          <w:snapToGrid w:val="0"/>
          <w:color w:val="auto"/>
          <w:sz w:val="24"/>
          <w:highlight w:val="none"/>
        </w:rPr>
        <w:t>本协议自</w:t>
      </w:r>
      <w:r>
        <w:rPr>
          <w:rFonts w:hint="eastAsia" w:ascii="Times New Roman" w:hAnsi="Times New Roman"/>
          <w:snapToGrid w:val="0"/>
          <w:color w:val="auto"/>
          <w:sz w:val="24"/>
          <w:highlight w:val="none"/>
        </w:rPr>
        <w:t>甲、乙、丙三方签字盖章之日起生效。</w:t>
      </w:r>
      <w:r>
        <w:rPr>
          <w:rFonts w:hint="eastAsia" w:ascii="Times New Roman" w:hAnsi="Times New Roman" w:cs="AdobeSongStd-Light"/>
          <w:snapToGrid w:val="0"/>
          <w:color w:val="auto"/>
          <w:sz w:val="24"/>
          <w:highlight w:val="none"/>
        </w:rPr>
        <w:t>本协议一式十份，</w:t>
      </w:r>
      <w:r>
        <w:rPr>
          <w:rFonts w:hint="eastAsia" w:ascii="Times New Roman" w:hAnsi="Times New Roman"/>
          <w:snapToGrid w:val="0"/>
          <w:color w:val="auto"/>
          <w:sz w:val="24"/>
          <w:highlight w:val="none"/>
        </w:rPr>
        <w:t>甲方执</w:t>
      </w:r>
      <w:r>
        <w:rPr>
          <w:rFonts w:hint="eastAsia" w:ascii="Times New Roman" w:hAnsi="Times New Roman" w:cs="AdobeSongStd-Light"/>
          <w:snapToGrid w:val="0"/>
          <w:color w:val="auto"/>
          <w:sz w:val="24"/>
          <w:highlight w:val="none"/>
        </w:rPr>
        <w:t>六</w:t>
      </w:r>
      <w:r>
        <w:rPr>
          <w:rFonts w:hint="eastAsia" w:ascii="Times New Roman" w:hAnsi="Times New Roman"/>
          <w:snapToGrid w:val="0"/>
          <w:color w:val="auto"/>
          <w:sz w:val="24"/>
          <w:highlight w:val="none"/>
        </w:rPr>
        <w:t>份，乙方、丙方各执</w:t>
      </w:r>
      <w:r>
        <w:rPr>
          <w:rFonts w:hint="eastAsia" w:ascii="Times New Roman" w:hAnsi="Times New Roman" w:cs="AdobeSongStd-Light"/>
          <w:snapToGrid w:val="0"/>
          <w:color w:val="auto"/>
          <w:sz w:val="24"/>
          <w:highlight w:val="none"/>
        </w:rPr>
        <w:t>两</w:t>
      </w:r>
      <w:r>
        <w:rPr>
          <w:rFonts w:hint="eastAsia" w:ascii="Times New Roman" w:hAnsi="Times New Roman"/>
          <w:snapToGrid w:val="0"/>
          <w:color w:val="auto"/>
          <w:sz w:val="24"/>
          <w:highlight w:val="none"/>
        </w:rPr>
        <w:t>份</w:t>
      </w:r>
      <w:r>
        <w:rPr>
          <w:rFonts w:hint="eastAsia" w:ascii="Times New Roman" w:hAnsi="Times New Roman" w:cs="AdobeSongStd-Light"/>
          <w:snapToGrid w:val="0"/>
          <w:color w:val="auto"/>
          <w:sz w:val="24"/>
          <w:highlight w:val="none"/>
        </w:rPr>
        <w:t>，同具法律效力。</w:t>
      </w:r>
    </w:p>
    <w:p w14:paraId="364FD852">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（本页以下无正文）</w:t>
      </w:r>
    </w:p>
    <w:p w14:paraId="1AC06A9A">
      <w:pPr>
        <w:adjustRightInd w:val="0"/>
        <w:snapToGrid w:val="0"/>
        <w:spacing w:line="360" w:lineRule="auto"/>
        <w:ind w:right="11"/>
        <w:rPr>
          <w:rFonts w:ascii="Times New Roman" w:hAnsi="Times New Roman"/>
          <w:snapToGrid w:val="0"/>
          <w:color w:val="auto"/>
          <w:sz w:val="24"/>
          <w:highlight w:val="none"/>
        </w:rPr>
      </w:pPr>
    </w:p>
    <w:p w14:paraId="662DFF00">
      <w:pPr>
        <w:adjustRightInd w:val="0"/>
        <w:snapToGrid w:val="0"/>
        <w:spacing w:line="360" w:lineRule="auto"/>
        <w:ind w:right="11"/>
        <w:rPr>
          <w:rFonts w:ascii="Times New Roman" w:hAnsi="Times New Roman"/>
          <w:snapToGrid w:val="0"/>
          <w:color w:val="auto"/>
          <w:sz w:val="24"/>
          <w:highlight w:val="none"/>
        </w:rPr>
      </w:pPr>
    </w:p>
    <w:p w14:paraId="65C6E3EF">
      <w:pPr>
        <w:adjustRightInd w:val="0"/>
        <w:snapToGrid w:val="0"/>
        <w:spacing w:line="360" w:lineRule="auto"/>
        <w:ind w:right="11"/>
        <w:rPr>
          <w:rFonts w:ascii="Times New Roman" w:hAnsi="Times New Roman"/>
          <w:snapToGrid w:val="0"/>
          <w:color w:val="auto"/>
          <w:sz w:val="24"/>
          <w:highlight w:val="none"/>
        </w:rPr>
      </w:pPr>
    </w:p>
    <w:p w14:paraId="5B681A53">
      <w:pPr>
        <w:adjustRightInd w:val="0"/>
        <w:snapToGrid w:val="0"/>
        <w:spacing w:line="360" w:lineRule="auto"/>
        <w:ind w:right="11"/>
        <w:rPr>
          <w:rFonts w:ascii="Times New Roman" w:hAnsi="Times New Roman"/>
          <w:snapToGrid w:val="0"/>
          <w:color w:val="auto"/>
          <w:sz w:val="24"/>
          <w:highlight w:val="none"/>
        </w:rPr>
      </w:pPr>
    </w:p>
    <w:p w14:paraId="000BC1D7">
      <w:pPr>
        <w:adjustRightInd w:val="0"/>
        <w:snapToGrid w:val="0"/>
        <w:spacing w:line="360" w:lineRule="auto"/>
        <w:ind w:right="11"/>
        <w:rPr>
          <w:rFonts w:ascii="Times New Roman" w:hAnsi="Times New Roman"/>
          <w:snapToGrid w:val="0"/>
          <w:color w:val="auto"/>
          <w:sz w:val="24"/>
          <w:highlight w:val="none"/>
        </w:rPr>
      </w:pPr>
    </w:p>
    <w:p w14:paraId="25522BD9">
      <w:pPr>
        <w:adjustRightInd w:val="0"/>
        <w:snapToGrid w:val="0"/>
        <w:spacing w:line="360" w:lineRule="auto"/>
        <w:ind w:right="11"/>
        <w:rPr>
          <w:rFonts w:ascii="Times New Roman" w:hAnsi="Times New Roman"/>
          <w:snapToGrid w:val="0"/>
          <w:color w:val="auto"/>
          <w:sz w:val="24"/>
          <w:highlight w:val="none"/>
        </w:rPr>
      </w:pPr>
    </w:p>
    <w:p w14:paraId="7AD0525D">
      <w:pPr>
        <w:adjustRightInd w:val="0"/>
        <w:snapToGrid w:val="0"/>
        <w:spacing w:line="360" w:lineRule="auto"/>
        <w:ind w:right="11"/>
        <w:rPr>
          <w:rFonts w:ascii="Times New Roman" w:hAnsi="Times New Roman"/>
          <w:snapToGrid w:val="0"/>
          <w:color w:val="auto"/>
          <w:sz w:val="24"/>
          <w:highlight w:val="none"/>
        </w:rPr>
      </w:pPr>
    </w:p>
    <w:p w14:paraId="3A228B61">
      <w:pPr>
        <w:adjustRightInd w:val="0"/>
        <w:snapToGrid w:val="0"/>
        <w:spacing w:line="360" w:lineRule="auto"/>
        <w:ind w:right="11"/>
        <w:rPr>
          <w:rFonts w:ascii="Times New Roman" w:hAnsi="Times New Roman"/>
          <w:snapToGrid w:val="0"/>
          <w:color w:val="auto"/>
          <w:sz w:val="24"/>
          <w:highlight w:val="none"/>
        </w:rPr>
      </w:pPr>
    </w:p>
    <w:p w14:paraId="63CCBA3E">
      <w:pPr>
        <w:adjustRightInd w:val="0"/>
        <w:snapToGrid w:val="0"/>
        <w:spacing w:line="360" w:lineRule="auto"/>
        <w:ind w:right="11"/>
        <w:rPr>
          <w:rFonts w:ascii="Times New Roman" w:hAnsi="Times New Roman"/>
          <w:snapToGrid w:val="0"/>
          <w:color w:val="auto"/>
          <w:sz w:val="24"/>
          <w:highlight w:val="none"/>
        </w:rPr>
      </w:pPr>
    </w:p>
    <w:p w14:paraId="3B62A8FA">
      <w:pPr>
        <w:adjustRightInd w:val="0"/>
        <w:snapToGrid w:val="0"/>
        <w:spacing w:line="360" w:lineRule="auto"/>
        <w:ind w:right="11"/>
        <w:rPr>
          <w:rFonts w:ascii="Times New Roman" w:hAnsi="Times New Roman"/>
          <w:snapToGrid w:val="0"/>
          <w:color w:val="auto"/>
          <w:sz w:val="24"/>
          <w:highlight w:val="none"/>
        </w:rPr>
      </w:pPr>
    </w:p>
    <w:p w14:paraId="0E4CCEFE">
      <w:pPr>
        <w:adjustRightInd w:val="0"/>
        <w:snapToGrid w:val="0"/>
        <w:spacing w:line="360" w:lineRule="auto"/>
        <w:ind w:right="11"/>
        <w:rPr>
          <w:rFonts w:ascii="Times New Roman" w:hAnsi="Times New Roman"/>
          <w:snapToGrid w:val="0"/>
          <w:color w:val="auto"/>
          <w:sz w:val="24"/>
          <w:highlight w:val="none"/>
        </w:rPr>
      </w:pPr>
    </w:p>
    <w:p w14:paraId="5C5D2B8B">
      <w:pPr>
        <w:adjustRightInd w:val="0"/>
        <w:snapToGrid w:val="0"/>
        <w:spacing w:line="360" w:lineRule="auto"/>
        <w:ind w:right="11"/>
        <w:rPr>
          <w:rFonts w:ascii="Times New Roman" w:hAnsi="Times New Roman"/>
          <w:snapToGrid w:val="0"/>
          <w:color w:val="auto"/>
          <w:sz w:val="24"/>
          <w:highlight w:val="none"/>
        </w:rPr>
      </w:pPr>
    </w:p>
    <w:p w14:paraId="39052483">
      <w:pPr>
        <w:adjustRightInd w:val="0"/>
        <w:snapToGrid w:val="0"/>
        <w:spacing w:line="360" w:lineRule="auto"/>
        <w:ind w:right="11"/>
        <w:rPr>
          <w:rFonts w:ascii="Times New Roman" w:hAnsi="Times New Roman"/>
          <w:snapToGrid w:val="0"/>
          <w:color w:val="auto"/>
          <w:sz w:val="24"/>
          <w:highlight w:val="none"/>
        </w:rPr>
      </w:pPr>
    </w:p>
    <w:p w14:paraId="0742E864">
      <w:pPr>
        <w:adjustRightInd w:val="0"/>
        <w:snapToGrid w:val="0"/>
        <w:spacing w:line="360" w:lineRule="auto"/>
        <w:ind w:right="11"/>
        <w:rPr>
          <w:rFonts w:ascii="Times New Roman" w:hAnsi="Times New Roman"/>
          <w:snapToGrid w:val="0"/>
          <w:color w:val="auto"/>
          <w:sz w:val="24"/>
          <w:highlight w:val="none"/>
        </w:rPr>
      </w:pPr>
    </w:p>
    <w:p w14:paraId="3C297A8A">
      <w:pPr>
        <w:adjustRightInd w:val="0"/>
        <w:snapToGrid w:val="0"/>
        <w:spacing w:line="360" w:lineRule="auto"/>
        <w:ind w:right="11"/>
        <w:rPr>
          <w:rFonts w:ascii="Times New Roman" w:hAnsi="Times New Roman"/>
          <w:snapToGrid w:val="0"/>
          <w:color w:val="auto"/>
          <w:sz w:val="24"/>
          <w:highlight w:val="none"/>
        </w:rPr>
      </w:pPr>
    </w:p>
    <w:p w14:paraId="0236F48F">
      <w:pPr>
        <w:adjustRightInd w:val="0"/>
        <w:snapToGrid w:val="0"/>
        <w:spacing w:line="360" w:lineRule="auto"/>
        <w:ind w:right="11"/>
        <w:rPr>
          <w:rFonts w:ascii="Times New Roman" w:hAnsi="Times New Roman"/>
          <w:snapToGrid w:val="0"/>
          <w:color w:val="auto"/>
          <w:sz w:val="24"/>
          <w:highlight w:val="none"/>
        </w:rPr>
      </w:pPr>
    </w:p>
    <w:p w14:paraId="3A1029C8">
      <w:pPr>
        <w:adjustRightInd w:val="0"/>
        <w:snapToGrid w:val="0"/>
        <w:spacing w:line="360" w:lineRule="auto"/>
        <w:ind w:right="11"/>
        <w:rPr>
          <w:rFonts w:ascii="Times New Roman" w:hAnsi="Times New Roman"/>
          <w:snapToGrid w:val="0"/>
          <w:color w:val="auto"/>
          <w:sz w:val="24"/>
          <w:highlight w:val="none"/>
        </w:rPr>
      </w:pPr>
    </w:p>
    <w:p w14:paraId="6C29EBD4">
      <w:pPr>
        <w:adjustRightInd w:val="0"/>
        <w:snapToGrid w:val="0"/>
        <w:spacing w:line="360" w:lineRule="auto"/>
        <w:ind w:right="11"/>
        <w:rPr>
          <w:rFonts w:ascii="Times New Roman" w:hAnsi="Times New Roman"/>
          <w:snapToGrid w:val="0"/>
          <w:color w:val="auto"/>
          <w:sz w:val="24"/>
          <w:highlight w:val="none"/>
        </w:rPr>
      </w:pPr>
    </w:p>
    <w:p w14:paraId="61AE470B">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（本页无正文）</w:t>
      </w:r>
    </w:p>
    <w:p w14:paraId="688BCF2D">
      <w:pPr>
        <w:adjustRightInd w:val="0"/>
        <w:snapToGrid w:val="0"/>
        <w:spacing w:line="360" w:lineRule="auto"/>
        <w:ind w:right="11"/>
        <w:rPr>
          <w:rFonts w:ascii="Times New Roman" w:hAnsi="Times New Roman"/>
          <w:snapToGrid w:val="0"/>
          <w:color w:val="auto"/>
          <w:sz w:val="24"/>
          <w:highlight w:val="none"/>
        </w:rPr>
      </w:pPr>
    </w:p>
    <w:p w14:paraId="4E5576F1">
      <w:pPr>
        <w:adjustRightInd w:val="0"/>
        <w:snapToGrid w:val="0"/>
        <w:spacing w:line="360" w:lineRule="auto"/>
        <w:ind w:right="11"/>
        <w:rPr>
          <w:rFonts w:ascii="Times New Roman" w:hAnsi="Times New Roman"/>
          <w:snapToGrid w:val="0"/>
          <w:color w:val="auto"/>
          <w:spacing w:val="-20"/>
          <w:sz w:val="24"/>
          <w:highlight w:val="none"/>
        </w:rPr>
      </w:pPr>
      <w:r>
        <w:rPr>
          <w:rFonts w:hint="eastAsia" w:ascii="Times New Roman" w:hAnsi="Times New Roman" w:cs="AdobeSongStd-Light"/>
          <w:snapToGrid w:val="0"/>
          <w:color w:val="auto"/>
          <w:sz w:val="24"/>
          <w:highlight w:val="none"/>
        </w:rPr>
        <w:t>甲方：</w:t>
      </w:r>
      <w:r>
        <w:rPr>
          <w:rFonts w:hint="eastAsia" w:ascii="Times New Roman" w:hAnsi="Times New Roman" w:cs="AdobeSongStd-Light"/>
          <w:snapToGrid w:val="0"/>
          <w:color w:val="auto"/>
          <w:spacing w:val="-10"/>
          <w:sz w:val="24"/>
          <w:highlight w:val="none"/>
        </w:rPr>
        <w:t>广州市重点公共建设项目管理中心</w:t>
      </w:r>
      <w:r>
        <w:rPr>
          <w:rFonts w:hint="eastAsia" w:ascii="Times New Roman" w:hAnsi="Times New Roman" w:cs="AdobeSongStd-Light"/>
          <w:snapToGrid w:val="0"/>
          <w:color w:val="auto"/>
          <w:sz w:val="24"/>
          <w:highlight w:val="none"/>
        </w:rPr>
        <w:t xml:space="preserve">  乙方：</w:t>
      </w:r>
    </w:p>
    <w:p w14:paraId="52216BC3">
      <w:pPr>
        <w:adjustRightInd w:val="0"/>
        <w:snapToGrid w:val="0"/>
        <w:spacing w:line="360" w:lineRule="auto"/>
        <w:ind w:right="11" w:firstLine="1920" w:firstLineChars="80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（盖章）                               （盖章）</w:t>
      </w:r>
    </w:p>
    <w:p w14:paraId="4B06B686">
      <w:pPr>
        <w:adjustRightInd w:val="0"/>
        <w:snapToGrid w:val="0"/>
        <w:spacing w:line="360" w:lineRule="auto"/>
        <w:ind w:right="11" w:firstLine="1920" w:firstLineChars="800"/>
        <w:rPr>
          <w:rFonts w:ascii="Times New Roman" w:hAnsi="Times New Roman"/>
          <w:snapToGrid w:val="0"/>
          <w:color w:val="auto"/>
          <w:sz w:val="24"/>
          <w:highlight w:val="none"/>
        </w:rPr>
      </w:pPr>
    </w:p>
    <w:p w14:paraId="2A7FA9C4">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签约代表：                          签约代表：</w:t>
      </w:r>
    </w:p>
    <w:p w14:paraId="0E2B6AE8">
      <w:pPr>
        <w:adjustRightInd w:val="0"/>
        <w:snapToGrid w:val="0"/>
        <w:spacing w:line="360" w:lineRule="auto"/>
        <w:ind w:right="11"/>
        <w:rPr>
          <w:rFonts w:ascii="Times New Roman" w:hAnsi="Times New Roman"/>
          <w:snapToGrid w:val="0"/>
          <w:color w:val="auto"/>
          <w:sz w:val="24"/>
          <w:highlight w:val="none"/>
        </w:rPr>
      </w:pPr>
    </w:p>
    <w:p w14:paraId="3A23B650">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地址：</w:t>
      </w:r>
      <w:r>
        <w:rPr>
          <w:rFonts w:hint="eastAsia" w:ascii="Times New Roman" w:hAnsi="Times New Roman" w:cs="AdobeSongStd-Light"/>
          <w:snapToGrid w:val="0"/>
          <w:color w:val="auto"/>
          <w:spacing w:val="-10"/>
          <w:sz w:val="24"/>
          <w:highlight w:val="none"/>
        </w:rPr>
        <w:t>广州大学城内环东星运路</w:t>
      </w:r>
      <w:r>
        <w:rPr>
          <w:rFonts w:ascii="Times New Roman" w:hAnsi="Times New Roman" w:cs="AdobeSongStd-Light"/>
          <w:snapToGrid w:val="0"/>
          <w:color w:val="auto"/>
          <w:spacing w:val="-10"/>
          <w:sz w:val="24"/>
          <w:highlight w:val="none"/>
        </w:rPr>
        <w:t>1</w:t>
      </w:r>
      <w:r>
        <w:rPr>
          <w:rFonts w:hint="eastAsia" w:ascii="Times New Roman" w:hAnsi="Times New Roman" w:cs="AdobeSongStd-Light"/>
          <w:snapToGrid w:val="0"/>
          <w:color w:val="auto"/>
          <w:spacing w:val="-10"/>
          <w:sz w:val="24"/>
          <w:highlight w:val="none"/>
        </w:rPr>
        <w:t>号</w:t>
      </w:r>
      <w:r>
        <w:rPr>
          <w:rFonts w:hint="eastAsia" w:ascii="Times New Roman" w:hAnsi="Times New Roman"/>
          <w:snapToGrid w:val="0"/>
          <w:color w:val="auto"/>
          <w:sz w:val="24"/>
          <w:highlight w:val="none"/>
        </w:rPr>
        <w:t xml:space="preserve">      地址：</w:t>
      </w:r>
    </w:p>
    <w:p w14:paraId="49C93971">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邮政编码：</w:t>
      </w:r>
      <w:r>
        <w:rPr>
          <w:rFonts w:ascii="Times New Roman" w:hAnsi="Times New Roman"/>
          <w:snapToGrid w:val="0"/>
          <w:color w:val="auto"/>
          <w:sz w:val="24"/>
          <w:highlight w:val="none"/>
        </w:rPr>
        <w:t xml:space="preserve">510006                    </w:t>
      </w:r>
      <w:r>
        <w:rPr>
          <w:rFonts w:hint="eastAsia" w:ascii="Times New Roman" w:hAnsi="Times New Roman"/>
          <w:snapToGrid w:val="0"/>
          <w:color w:val="auto"/>
          <w:sz w:val="24"/>
          <w:highlight w:val="none"/>
        </w:rPr>
        <w:t>邮政编码：</w:t>
      </w:r>
    </w:p>
    <w:p w14:paraId="49272B62">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 xml:space="preserve">电话：             </w:t>
      </w:r>
      <w:r>
        <w:rPr>
          <w:rFonts w:ascii="Times New Roman" w:hAnsi="Times New Roman"/>
          <w:snapToGrid w:val="0"/>
          <w:color w:val="auto"/>
          <w:sz w:val="24"/>
          <w:highlight w:val="none"/>
        </w:rPr>
        <w:t xml:space="preserve">                 </w:t>
      </w:r>
      <w:r>
        <w:rPr>
          <w:rFonts w:hint="eastAsia" w:ascii="Times New Roman" w:hAnsi="Times New Roman"/>
          <w:snapToGrid w:val="0"/>
          <w:color w:val="auto"/>
          <w:sz w:val="24"/>
          <w:highlight w:val="none"/>
        </w:rPr>
        <w:t>电话：</w:t>
      </w:r>
    </w:p>
    <w:p w14:paraId="733E9E9A">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 xml:space="preserve">传真：            </w:t>
      </w:r>
      <w:r>
        <w:rPr>
          <w:rFonts w:ascii="Times New Roman" w:hAnsi="Times New Roman"/>
          <w:snapToGrid w:val="0"/>
          <w:color w:val="auto"/>
          <w:sz w:val="24"/>
          <w:highlight w:val="none"/>
        </w:rPr>
        <w:t xml:space="preserve">                  </w:t>
      </w:r>
      <w:r>
        <w:rPr>
          <w:rFonts w:hint="eastAsia" w:ascii="Times New Roman" w:hAnsi="Times New Roman"/>
          <w:snapToGrid w:val="0"/>
          <w:color w:val="auto"/>
          <w:sz w:val="24"/>
          <w:highlight w:val="none"/>
        </w:rPr>
        <w:t>传真：</w:t>
      </w:r>
    </w:p>
    <w:p w14:paraId="2D9040D9">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日期：  年  月  日                  日期：  年  月  日</w:t>
      </w:r>
    </w:p>
    <w:p w14:paraId="545D73EF">
      <w:pPr>
        <w:adjustRightInd w:val="0"/>
        <w:snapToGrid w:val="0"/>
        <w:spacing w:line="360" w:lineRule="auto"/>
        <w:ind w:right="11"/>
        <w:rPr>
          <w:rFonts w:ascii="Times New Roman" w:hAnsi="Times New Roman"/>
          <w:snapToGrid w:val="0"/>
          <w:color w:val="auto"/>
          <w:sz w:val="24"/>
          <w:highlight w:val="none"/>
        </w:rPr>
      </w:pPr>
    </w:p>
    <w:p w14:paraId="13EDA469">
      <w:pPr>
        <w:adjustRightInd w:val="0"/>
        <w:snapToGrid w:val="0"/>
        <w:spacing w:line="360" w:lineRule="auto"/>
        <w:ind w:right="11"/>
        <w:rPr>
          <w:rFonts w:ascii="Times New Roman" w:hAnsi="Times New Roman"/>
          <w:snapToGrid w:val="0"/>
          <w:color w:val="auto"/>
          <w:sz w:val="24"/>
          <w:highlight w:val="none"/>
        </w:rPr>
      </w:pPr>
    </w:p>
    <w:p w14:paraId="564EAFCE">
      <w:pPr>
        <w:adjustRightInd w:val="0"/>
        <w:snapToGrid w:val="0"/>
        <w:spacing w:line="360" w:lineRule="auto"/>
        <w:ind w:right="11"/>
        <w:rPr>
          <w:rFonts w:ascii="Times New Roman" w:hAnsi="Times New Roman"/>
          <w:snapToGrid w:val="0"/>
          <w:color w:val="auto"/>
          <w:spacing w:val="-20"/>
          <w:sz w:val="24"/>
          <w:highlight w:val="none"/>
        </w:rPr>
      </w:pPr>
      <w:r>
        <w:rPr>
          <w:rFonts w:hint="eastAsia" w:ascii="Times New Roman" w:hAnsi="Times New Roman"/>
          <w:snapToGrid w:val="0"/>
          <w:color w:val="auto"/>
          <w:sz w:val="24"/>
          <w:highlight w:val="none"/>
        </w:rPr>
        <w:t xml:space="preserve">丙方： </w:t>
      </w:r>
    </w:p>
    <w:p w14:paraId="0D40C207">
      <w:pPr>
        <w:adjustRightInd w:val="0"/>
        <w:snapToGrid w:val="0"/>
        <w:spacing w:line="360" w:lineRule="auto"/>
        <w:ind w:right="11" w:firstLine="840" w:firstLineChars="35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（盖章）</w:t>
      </w:r>
    </w:p>
    <w:p w14:paraId="5D7EB643">
      <w:pPr>
        <w:adjustRightInd w:val="0"/>
        <w:snapToGrid w:val="0"/>
        <w:spacing w:line="360" w:lineRule="auto"/>
        <w:ind w:right="11" w:firstLine="1920" w:firstLineChars="800"/>
        <w:rPr>
          <w:rFonts w:ascii="Times New Roman" w:hAnsi="Times New Roman"/>
          <w:snapToGrid w:val="0"/>
          <w:color w:val="auto"/>
          <w:sz w:val="24"/>
          <w:highlight w:val="none"/>
        </w:rPr>
      </w:pPr>
    </w:p>
    <w:p w14:paraId="053DC53A">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签约代表：</w:t>
      </w:r>
    </w:p>
    <w:p w14:paraId="4D8E8610">
      <w:pPr>
        <w:adjustRightInd w:val="0"/>
        <w:snapToGrid w:val="0"/>
        <w:spacing w:line="360" w:lineRule="auto"/>
        <w:ind w:right="11"/>
        <w:rPr>
          <w:rFonts w:ascii="Times New Roman" w:hAnsi="Times New Roman"/>
          <w:snapToGrid w:val="0"/>
          <w:color w:val="auto"/>
          <w:sz w:val="24"/>
          <w:highlight w:val="none"/>
        </w:rPr>
      </w:pPr>
    </w:p>
    <w:p w14:paraId="37308D1C">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地址：</w:t>
      </w:r>
    </w:p>
    <w:p w14:paraId="184EC724">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邮政编码：</w:t>
      </w:r>
    </w:p>
    <w:p w14:paraId="74365221">
      <w:pPr>
        <w:adjustRightInd w:val="0"/>
        <w:snapToGrid w:val="0"/>
        <w:spacing w:line="360" w:lineRule="auto"/>
        <w:ind w:right="11"/>
        <w:rPr>
          <w:rFonts w:ascii="Times New Roman" w:hAnsi="Times New Roman"/>
          <w:snapToGrid w:val="0"/>
          <w:color w:val="auto"/>
          <w:sz w:val="24"/>
          <w:highlight w:val="none"/>
        </w:rPr>
      </w:pPr>
      <w:r>
        <w:rPr>
          <w:rFonts w:hint="eastAsia" w:ascii="Times New Roman" w:hAnsi="Times New Roman"/>
          <w:snapToGrid w:val="0"/>
          <w:color w:val="auto"/>
          <w:sz w:val="24"/>
          <w:highlight w:val="none"/>
        </w:rPr>
        <w:t>电话：</w:t>
      </w:r>
    </w:p>
    <w:p w14:paraId="0AE94B75">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r>
        <w:rPr>
          <w:rFonts w:hint="eastAsia" w:ascii="Times New Roman" w:hAnsi="Times New Roman"/>
          <w:snapToGrid w:val="0"/>
          <w:color w:val="auto"/>
          <w:sz w:val="24"/>
          <w:highlight w:val="none"/>
        </w:rPr>
        <w:t>传真：</w:t>
      </w:r>
    </w:p>
    <w:p w14:paraId="2F05A0E1">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r>
        <w:rPr>
          <w:rFonts w:hint="eastAsia" w:ascii="Times New Roman" w:hAnsi="Times New Roman"/>
          <w:snapToGrid w:val="0"/>
          <w:color w:val="auto"/>
          <w:sz w:val="24"/>
          <w:highlight w:val="none"/>
        </w:rPr>
        <w:t>日期：  年  月  日</w:t>
      </w:r>
    </w:p>
    <w:p w14:paraId="48381BBB">
      <w:pPr>
        <w:tabs>
          <w:tab w:val="left" w:pos="632"/>
          <w:tab w:val="left" w:pos="9240"/>
        </w:tabs>
        <w:adjustRightInd w:val="0"/>
        <w:snapToGrid w:val="0"/>
        <w:spacing w:line="360" w:lineRule="auto"/>
        <w:ind w:right="-31" w:rightChars="-15"/>
        <w:rPr>
          <w:rFonts w:ascii="Times New Roman" w:hAnsi="Times New Roman"/>
          <w:snapToGrid w:val="0"/>
          <w:color w:val="auto"/>
          <w:sz w:val="24"/>
          <w:highlight w:val="none"/>
        </w:rPr>
      </w:pPr>
    </w:p>
    <w:p w14:paraId="4EB82527">
      <w:pPr>
        <w:jc w:val="center"/>
        <w:rPr>
          <w:rFonts w:ascii="Times New Roman" w:hAnsi="Times New Roman"/>
          <w:snapToGrid w:val="0"/>
          <w:color w:val="auto"/>
          <w:sz w:val="24"/>
          <w:highlight w:val="none"/>
        </w:rPr>
      </w:pPr>
    </w:p>
    <w:p w14:paraId="34A53D27">
      <w:pPr>
        <w:pStyle w:val="18"/>
        <w:spacing w:beforeLines="0" w:afterLines="0"/>
        <w:jc w:val="center"/>
        <w:outlineLvl w:val="9"/>
        <w:rPr>
          <w:rFonts w:ascii="Times New Roman" w:hAnsi="Times New Roman" w:eastAsia="宋体" w:cs="Arial"/>
          <w:color w:val="auto"/>
          <w:highlight w:val="none"/>
        </w:rPr>
      </w:pPr>
      <w:r>
        <w:rPr>
          <w:rFonts w:hint="eastAsia" w:ascii="Times New Roman" w:hAnsi="Times New Roman" w:eastAsia="宋体" w:cs="Arial"/>
          <w:b w:val="0"/>
          <w:color w:val="auto"/>
          <w:spacing w:val="0"/>
          <w:kern w:val="2"/>
          <w:szCs w:val="20"/>
          <w:highlight w:val="none"/>
        </w:rPr>
        <w:t>本协议签订于广东省广州市番禺区。</w:t>
      </w:r>
    </w:p>
    <w:p w14:paraId="1E79231A">
      <w:pPr>
        <w:pStyle w:val="18"/>
        <w:spacing w:beforeLines="0" w:afterLines="0"/>
        <w:outlineLvl w:val="9"/>
        <w:rPr>
          <w:rFonts w:ascii="Times New Roman" w:hAnsi="Times New Roman" w:eastAsia="宋体" w:cs="Arial"/>
          <w:color w:val="auto"/>
          <w:highlight w:val="none"/>
        </w:rPr>
      </w:pPr>
    </w:p>
    <w:p w14:paraId="22F4445F">
      <w:pPr>
        <w:topLinePunct/>
        <w:adjustRightInd w:val="0"/>
        <w:snapToGrid w:val="0"/>
        <w:spacing w:line="360" w:lineRule="auto"/>
        <w:outlineLvl w:val="1"/>
        <w:rPr>
          <w:rFonts w:ascii="Times New Roman" w:hAnsi="Times New Roman"/>
          <w:color w:val="auto"/>
          <w:spacing w:val="4"/>
          <w:sz w:val="24"/>
          <w:szCs w:val="24"/>
          <w:highlight w:val="none"/>
        </w:rPr>
      </w:pPr>
      <w:r>
        <w:rPr>
          <w:rFonts w:ascii="Times New Roman" w:hAnsi="Times New Roman"/>
          <w:color w:val="auto"/>
          <w:spacing w:val="4"/>
          <w:kern w:val="0"/>
          <w:sz w:val="24"/>
          <w:szCs w:val="24"/>
          <w:highlight w:val="none"/>
        </w:rPr>
        <w:br w:type="page"/>
      </w:r>
      <w:r>
        <w:rPr>
          <w:rFonts w:hint="eastAsia" w:ascii="Times New Roman" w:hAnsi="Times New Roman"/>
          <w:color w:val="auto"/>
          <w:spacing w:val="4"/>
          <w:sz w:val="24"/>
          <w:szCs w:val="24"/>
          <w:highlight w:val="none"/>
        </w:rPr>
        <w:t>附件</w:t>
      </w:r>
      <w:r>
        <w:rPr>
          <w:rFonts w:ascii="Times New Roman" w:hAnsi="Times New Roman"/>
          <w:color w:val="auto"/>
          <w:spacing w:val="4"/>
          <w:sz w:val="24"/>
          <w:szCs w:val="24"/>
          <w:highlight w:val="none"/>
        </w:rPr>
        <w:t>1</w:t>
      </w:r>
      <w:r>
        <w:rPr>
          <w:rFonts w:hint="eastAsia" w:ascii="Times New Roman" w:hAnsi="Times New Roman"/>
          <w:color w:val="auto"/>
          <w:spacing w:val="4"/>
          <w:sz w:val="24"/>
          <w:szCs w:val="24"/>
          <w:highlight w:val="none"/>
        </w:rPr>
        <w:t>1：监理人营业执照及其法定代表人、项目总监理工程师、</w:t>
      </w:r>
      <w:r>
        <w:rPr>
          <w:rFonts w:hint="eastAsia" w:ascii="Times New Roman" w:hAnsi="Times New Roman"/>
          <w:bCs/>
          <w:color w:val="auto"/>
          <w:spacing w:val="-4"/>
          <w:sz w:val="24"/>
          <w:szCs w:val="24"/>
          <w:highlight w:val="none"/>
        </w:rPr>
        <w:t>项目总监理工程师代表</w:t>
      </w:r>
      <w:r>
        <w:rPr>
          <w:rFonts w:hint="eastAsia" w:ascii="Times New Roman" w:hAnsi="Times New Roman"/>
          <w:color w:val="auto"/>
          <w:spacing w:val="4"/>
          <w:sz w:val="24"/>
          <w:szCs w:val="24"/>
          <w:highlight w:val="none"/>
        </w:rPr>
        <w:t>的姓名、身份证复印件、职务、职称、联系方式</w:t>
      </w:r>
    </w:p>
    <w:p w14:paraId="183D663E">
      <w:pPr>
        <w:topLinePunct/>
        <w:adjustRightInd w:val="0"/>
        <w:snapToGrid w:val="0"/>
        <w:spacing w:line="360" w:lineRule="auto"/>
        <w:ind w:firstLine="496" w:firstLineChars="200"/>
        <w:rPr>
          <w:rFonts w:ascii="Times New Roman" w:hAnsi="Times New Roman"/>
          <w:color w:val="auto"/>
          <w:spacing w:val="4"/>
          <w:kern w:val="0"/>
          <w:sz w:val="24"/>
          <w:szCs w:val="24"/>
          <w:highlight w:val="none"/>
        </w:rPr>
      </w:pPr>
    </w:p>
    <w:p w14:paraId="31FD1124">
      <w:pPr>
        <w:spacing w:line="360" w:lineRule="auto"/>
        <w:jc w:val="center"/>
        <w:rPr>
          <w:rFonts w:ascii="宋体" w:hAnsi="宋体"/>
          <w:b/>
          <w:bCs/>
          <w:color w:val="auto"/>
          <w:sz w:val="24"/>
          <w:highlight w:val="none"/>
        </w:rPr>
      </w:pPr>
      <w:r>
        <w:rPr>
          <w:rFonts w:hint="eastAsia" w:ascii="宋体" w:hAnsi="宋体"/>
          <w:b/>
          <w:bCs/>
          <w:color w:val="auto"/>
          <w:sz w:val="24"/>
          <w:highlight w:val="none"/>
        </w:rPr>
        <w:t>监理人营业执照</w:t>
      </w:r>
    </w:p>
    <w:tbl>
      <w:tblPr>
        <w:tblStyle w:val="12"/>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15DB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39C91BF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法定代表人</w:t>
            </w:r>
          </w:p>
        </w:tc>
      </w:tr>
      <w:tr w14:paraId="3EE2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0E8E170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法定代表人的姓名</w:t>
            </w:r>
          </w:p>
        </w:tc>
        <w:tc>
          <w:tcPr>
            <w:tcW w:w="4278" w:type="dxa"/>
            <w:tcBorders>
              <w:top w:val="single" w:color="auto" w:sz="4" w:space="0"/>
              <w:left w:val="single" w:color="auto" w:sz="4" w:space="0"/>
              <w:bottom w:val="single" w:color="auto" w:sz="4" w:space="0"/>
              <w:right w:val="single" w:color="auto" w:sz="4" w:space="0"/>
            </w:tcBorders>
            <w:vAlign w:val="center"/>
          </w:tcPr>
          <w:p w14:paraId="2B16D30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4253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661670E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097AE80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1BDE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7497C6DC">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26AF489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1945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76E2BF6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34ADE040">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D02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2F7316A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7AE4C1C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A8E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18AB934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626FF146">
      <w:pPr>
        <w:rPr>
          <w:rFonts w:ascii="Times New Roman" w:hAnsi="Times New Roman"/>
          <w:color w:val="auto"/>
          <w:sz w:val="28"/>
          <w:szCs w:val="28"/>
          <w:highlight w:val="none"/>
        </w:rPr>
      </w:pPr>
    </w:p>
    <w:p w14:paraId="02DE4CBB">
      <w:pPr>
        <w:rPr>
          <w:rFonts w:ascii="Times New Roman" w:hAnsi="Times New Roman"/>
          <w:color w:val="auto"/>
          <w:sz w:val="28"/>
          <w:szCs w:val="28"/>
          <w:highlight w:val="none"/>
        </w:rPr>
      </w:pPr>
      <w:r>
        <w:rPr>
          <w:rFonts w:ascii="Times New Roman" w:hAnsi="Times New Roman"/>
          <w:color w:val="auto"/>
          <w:sz w:val="28"/>
          <w:szCs w:val="28"/>
          <w:highlight w:val="none"/>
        </w:rPr>
        <w:br w:type="page"/>
      </w:r>
    </w:p>
    <w:tbl>
      <w:tblPr>
        <w:tblStyle w:val="12"/>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0FFC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50C3301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项目总监理工程师</w:t>
            </w:r>
          </w:p>
        </w:tc>
      </w:tr>
      <w:tr w14:paraId="5406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4C1AADD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项目总监理工程师的姓名</w:t>
            </w:r>
          </w:p>
        </w:tc>
        <w:tc>
          <w:tcPr>
            <w:tcW w:w="4278" w:type="dxa"/>
            <w:tcBorders>
              <w:top w:val="single" w:color="auto" w:sz="4" w:space="0"/>
              <w:left w:val="single" w:color="auto" w:sz="4" w:space="0"/>
              <w:bottom w:val="single" w:color="auto" w:sz="4" w:space="0"/>
              <w:right w:val="single" w:color="auto" w:sz="4" w:space="0"/>
            </w:tcBorders>
            <w:vAlign w:val="center"/>
          </w:tcPr>
          <w:p w14:paraId="31336062">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3766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32514D5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0FB422B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F47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334AD95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03086A4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356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3A402A1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7B3421C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5995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47E98374">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5CB073A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4A8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3501115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0C6FCF7E">
      <w:pPr>
        <w:rPr>
          <w:rFonts w:ascii="Times New Roman" w:hAnsi="Times New Roman"/>
          <w:color w:val="auto"/>
          <w:sz w:val="28"/>
          <w:szCs w:val="28"/>
          <w:highlight w:val="none"/>
        </w:rPr>
      </w:pPr>
    </w:p>
    <w:tbl>
      <w:tblPr>
        <w:tblStyle w:val="12"/>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8"/>
      </w:tblGrid>
      <w:tr w14:paraId="2002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56" w:type="dxa"/>
            <w:gridSpan w:val="2"/>
            <w:tcBorders>
              <w:top w:val="single" w:color="auto" w:sz="4" w:space="0"/>
              <w:left w:val="single" w:color="auto" w:sz="4" w:space="0"/>
              <w:bottom w:val="single" w:color="auto" w:sz="4" w:space="0"/>
              <w:right w:val="single" w:color="auto" w:sz="4" w:space="0"/>
            </w:tcBorders>
            <w:vAlign w:val="center"/>
          </w:tcPr>
          <w:p w14:paraId="3C1E3649">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b/>
                <w:bCs/>
                <w:color w:val="auto"/>
                <w:sz w:val="24"/>
                <w:highlight w:val="none"/>
              </w:rPr>
              <w:t>项目总监理工程师代表</w:t>
            </w:r>
          </w:p>
        </w:tc>
      </w:tr>
      <w:tr w14:paraId="377E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78" w:type="dxa"/>
            <w:tcBorders>
              <w:top w:val="single" w:color="auto" w:sz="4" w:space="0"/>
              <w:left w:val="single" w:color="auto" w:sz="4" w:space="0"/>
              <w:bottom w:val="single" w:color="auto" w:sz="4" w:space="0"/>
              <w:right w:val="single" w:color="auto" w:sz="4" w:space="0"/>
            </w:tcBorders>
            <w:vAlign w:val="center"/>
          </w:tcPr>
          <w:p w14:paraId="76A019FC">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项目总监理工程师代表的姓名</w:t>
            </w:r>
          </w:p>
        </w:tc>
        <w:tc>
          <w:tcPr>
            <w:tcW w:w="4278" w:type="dxa"/>
            <w:tcBorders>
              <w:top w:val="single" w:color="auto" w:sz="4" w:space="0"/>
              <w:left w:val="single" w:color="auto" w:sz="4" w:space="0"/>
              <w:bottom w:val="single" w:color="auto" w:sz="4" w:space="0"/>
              <w:right w:val="single" w:color="auto" w:sz="4" w:space="0"/>
            </w:tcBorders>
            <w:vAlign w:val="center"/>
          </w:tcPr>
          <w:p w14:paraId="514A9AEF">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7D81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78" w:type="dxa"/>
            <w:tcBorders>
              <w:top w:val="single" w:color="auto" w:sz="4" w:space="0"/>
              <w:left w:val="single" w:color="auto" w:sz="4" w:space="0"/>
              <w:bottom w:val="single" w:color="auto" w:sz="4" w:space="0"/>
              <w:right w:val="single" w:color="auto" w:sz="4" w:space="0"/>
            </w:tcBorders>
            <w:vAlign w:val="center"/>
          </w:tcPr>
          <w:p w14:paraId="69FAAFA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身份证号码</w:t>
            </w:r>
          </w:p>
        </w:tc>
        <w:tc>
          <w:tcPr>
            <w:tcW w:w="4278" w:type="dxa"/>
            <w:tcBorders>
              <w:top w:val="single" w:color="auto" w:sz="4" w:space="0"/>
              <w:left w:val="single" w:color="auto" w:sz="4" w:space="0"/>
              <w:bottom w:val="single" w:color="auto" w:sz="4" w:space="0"/>
              <w:right w:val="single" w:color="auto" w:sz="4" w:space="0"/>
            </w:tcBorders>
            <w:vAlign w:val="center"/>
          </w:tcPr>
          <w:p w14:paraId="6993AE7A">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860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278" w:type="dxa"/>
            <w:tcBorders>
              <w:top w:val="single" w:color="auto" w:sz="4" w:space="0"/>
              <w:left w:val="single" w:color="auto" w:sz="4" w:space="0"/>
              <w:bottom w:val="single" w:color="auto" w:sz="4" w:space="0"/>
              <w:right w:val="single" w:color="auto" w:sz="4" w:space="0"/>
            </w:tcBorders>
            <w:vAlign w:val="center"/>
          </w:tcPr>
          <w:p w14:paraId="0810F8D1">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职务</w:t>
            </w:r>
          </w:p>
        </w:tc>
        <w:tc>
          <w:tcPr>
            <w:tcW w:w="4278" w:type="dxa"/>
            <w:tcBorders>
              <w:top w:val="single" w:color="auto" w:sz="4" w:space="0"/>
              <w:left w:val="single" w:color="auto" w:sz="4" w:space="0"/>
              <w:bottom w:val="single" w:color="auto" w:sz="4" w:space="0"/>
              <w:right w:val="single" w:color="auto" w:sz="4" w:space="0"/>
            </w:tcBorders>
            <w:vAlign w:val="center"/>
          </w:tcPr>
          <w:p w14:paraId="52E288F5">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6D7D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278" w:type="dxa"/>
            <w:tcBorders>
              <w:top w:val="single" w:color="auto" w:sz="4" w:space="0"/>
              <w:left w:val="single" w:color="auto" w:sz="4" w:space="0"/>
              <w:bottom w:val="single" w:color="auto" w:sz="4" w:space="0"/>
              <w:right w:val="single" w:color="auto" w:sz="4" w:space="0"/>
            </w:tcBorders>
            <w:vAlign w:val="center"/>
          </w:tcPr>
          <w:p w14:paraId="73534B3E">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职称</w:t>
            </w:r>
          </w:p>
        </w:tc>
        <w:tc>
          <w:tcPr>
            <w:tcW w:w="4278" w:type="dxa"/>
            <w:tcBorders>
              <w:top w:val="single" w:color="auto" w:sz="4" w:space="0"/>
              <w:left w:val="single" w:color="auto" w:sz="4" w:space="0"/>
              <w:bottom w:val="single" w:color="auto" w:sz="4" w:space="0"/>
              <w:right w:val="single" w:color="auto" w:sz="4" w:space="0"/>
            </w:tcBorders>
            <w:vAlign w:val="center"/>
          </w:tcPr>
          <w:p w14:paraId="1F3F9506">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3B52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78" w:type="dxa"/>
            <w:tcBorders>
              <w:top w:val="single" w:color="auto" w:sz="4" w:space="0"/>
              <w:left w:val="single" w:color="auto" w:sz="4" w:space="0"/>
              <w:bottom w:val="single" w:color="auto" w:sz="4" w:space="0"/>
              <w:right w:val="single" w:color="auto" w:sz="4" w:space="0"/>
            </w:tcBorders>
            <w:vAlign w:val="center"/>
          </w:tcPr>
          <w:p w14:paraId="6570171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联系方式</w:t>
            </w:r>
          </w:p>
        </w:tc>
        <w:tc>
          <w:tcPr>
            <w:tcW w:w="4278" w:type="dxa"/>
            <w:tcBorders>
              <w:top w:val="single" w:color="auto" w:sz="4" w:space="0"/>
              <w:left w:val="single" w:color="auto" w:sz="4" w:space="0"/>
              <w:bottom w:val="single" w:color="auto" w:sz="4" w:space="0"/>
              <w:right w:val="single" w:color="auto" w:sz="4" w:space="0"/>
            </w:tcBorders>
            <w:vAlign w:val="center"/>
          </w:tcPr>
          <w:p w14:paraId="3BEC6D1D">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p>
        </w:tc>
      </w:tr>
      <w:tr w14:paraId="037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8556" w:type="dxa"/>
            <w:gridSpan w:val="2"/>
            <w:tcBorders>
              <w:top w:val="single" w:color="auto" w:sz="4" w:space="0"/>
              <w:left w:val="single" w:color="auto" w:sz="4" w:space="0"/>
              <w:bottom w:val="single" w:color="auto" w:sz="4" w:space="0"/>
              <w:right w:val="single" w:color="auto" w:sz="4" w:space="0"/>
            </w:tcBorders>
          </w:tcPr>
          <w:p w14:paraId="0AE98663">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rPr>
            </w:pPr>
            <w:r>
              <w:rPr>
                <w:rFonts w:hint="eastAsia" w:ascii="宋体" w:hAnsi="宋体"/>
                <w:color w:val="auto"/>
                <w:sz w:val="24"/>
                <w:highlight w:val="none"/>
              </w:rPr>
              <w:t>身份证复印件</w:t>
            </w:r>
          </w:p>
        </w:tc>
      </w:tr>
    </w:tbl>
    <w:p w14:paraId="009A7CE9">
      <w:pPr>
        <w:topLinePunct/>
        <w:adjustRightInd w:val="0"/>
        <w:snapToGrid w:val="0"/>
        <w:spacing w:line="360" w:lineRule="auto"/>
        <w:rPr>
          <w:rFonts w:ascii="Times New Roman" w:hAnsi="Times New Roman"/>
          <w:color w:val="auto"/>
          <w:spacing w:val="4"/>
          <w:kern w:val="0"/>
          <w:sz w:val="24"/>
          <w:szCs w:val="24"/>
          <w:highlight w:val="none"/>
        </w:rPr>
      </w:pPr>
    </w:p>
    <w:p w14:paraId="17AEB13D">
      <w:pPr>
        <w:pStyle w:val="18"/>
        <w:spacing w:beforeLines="0" w:afterLines="0"/>
        <w:outlineLvl w:val="1"/>
        <w:rPr>
          <w:rFonts w:ascii="Times New Roman" w:hAnsi="Times New Roman" w:eastAsia="宋体"/>
          <w:color w:val="auto"/>
          <w:highlight w:val="none"/>
        </w:rPr>
      </w:pPr>
      <w:r>
        <w:rPr>
          <w:rFonts w:ascii="Times New Roman" w:hAnsi="Times New Roman" w:eastAsia="宋体"/>
          <w:dstrike/>
          <w:color w:val="auto"/>
          <w:kern w:val="2"/>
          <w:highlight w:val="none"/>
        </w:rPr>
        <w:br w:type="page"/>
      </w:r>
      <w:r>
        <w:rPr>
          <w:rFonts w:hint="eastAsia" w:ascii="Times New Roman" w:hAnsi="Times New Roman" w:eastAsia="宋体"/>
          <w:color w:val="auto"/>
          <w:kern w:val="2"/>
          <w:highlight w:val="none"/>
        </w:rPr>
        <w:t>附件12：工程质量终身责任承诺书</w:t>
      </w:r>
    </w:p>
    <w:p w14:paraId="3415CFD1">
      <w:pPr>
        <w:spacing w:line="360" w:lineRule="auto"/>
        <w:rPr>
          <w:rFonts w:ascii="Times New Roman" w:hAnsi="Times New Roman"/>
          <w:bCs/>
          <w:snapToGrid w:val="0"/>
          <w:color w:val="auto"/>
          <w:sz w:val="24"/>
          <w:highlight w:val="none"/>
        </w:rPr>
      </w:pPr>
    </w:p>
    <w:p w14:paraId="4FF82DC0">
      <w:pPr>
        <w:spacing w:before="312" w:beforeLines="100" w:after="312" w:afterLines="100"/>
        <w:jc w:val="center"/>
        <w:rPr>
          <w:rFonts w:ascii="Times New Roman" w:hAnsi="Times New Roman"/>
          <w:b/>
          <w:color w:val="auto"/>
          <w:sz w:val="44"/>
          <w:szCs w:val="44"/>
          <w:highlight w:val="none"/>
        </w:rPr>
      </w:pPr>
      <w:r>
        <w:rPr>
          <w:rFonts w:hint="eastAsia" w:ascii="Times New Roman" w:hAnsi="Times New Roman"/>
          <w:b/>
          <w:color w:val="auto"/>
          <w:sz w:val="44"/>
          <w:szCs w:val="44"/>
          <w:highlight w:val="none"/>
        </w:rPr>
        <w:t>法定代表人授权书</w:t>
      </w:r>
    </w:p>
    <w:p w14:paraId="0233A7F2">
      <w:pPr>
        <w:spacing w:before="468" w:beforeLines="150" w:line="360" w:lineRule="auto"/>
        <w:ind w:firstLine="560" w:firstLineChars="200"/>
        <w:rPr>
          <w:rFonts w:ascii="Times New Roman" w:hAnsi="Times New Roman"/>
          <w:color w:val="auto"/>
          <w:sz w:val="28"/>
          <w:highlight w:val="none"/>
        </w:rPr>
      </w:pPr>
      <w:r>
        <w:rPr>
          <w:rFonts w:hint="eastAsia" w:ascii="Times New Roman" w:hAnsi="Times New Roman"/>
          <w:color w:val="auto"/>
          <w:sz w:val="28"/>
          <w:highlight w:val="none"/>
        </w:rPr>
        <w:t>兹授权我单位_________担任___________工程项目的监理项目负责人，对该工程项目的监理工作实施组织管理，依据国家有关法律法规及标准规范履行职责，并依法对设计使用年限内的工程质量承担相应终身责任。</w:t>
      </w:r>
    </w:p>
    <w:p w14:paraId="650929F6">
      <w:pPr>
        <w:spacing w:line="360" w:lineRule="auto"/>
        <w:ind w:firstLine="560" w:firstLineChars="200"/>
        <w:rPr>
          <w:rFonts w:ascii="Times New Roman" w:hAnsi="Times New Roman"/>
          <w:color w:val="auto"/>
          <w:sz w:val="28"/>
          <w:highlight w:val="none"/>
        </w:rPr>
      </w:pPr>
      <w:r>
        <w:rPr>
          <w:rFonts w:hint="eastAsia" w:ascii="Times New Roman" w:hAnsi="Times New Roman"/>
          <w:color w:val="auto"/>
          <w:sz w:val="28"/>
          <w:highlight w:val="none"/>
        </w:rPr>
        <w:t>本授权书自授权之日起生效。</w:t>
      </w:r>
    </w:p>
    <w:p w14:paraId="3D9B9F93">
      <w:pPr>
        <w:spacing w:line="360" w:lineRule="auto"/>
        <w:ind w:firstLine="560" w:firstLineChars="200"/>
        <w:rPr>
          <w:rFonts w:ascii="Times New Roman" w:hAnsi="Times New Roman"/>
          <w:color w:val="auto"/>
          <w:sz w:val="28"/>
          <w:highlight w:val="none"/>
        </w:rPr>
      </w:pPr>
    </w:p>
    <w:tbl>
      <w:tblPr>
        <w:tblStyle w:val="12"/>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92"/>
        <w:gridCol w:w="2100"/>
        <w:gridCol w:w="3365"/>
      </w:tblGrid>
      <w:tr w14:paraId="5AFE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5F8C5867">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b/>
                <w:bCs/>
                <w:color w:val="auto"/>
                <w:sz w:val="28"/>
                <w:highlight w:val="none"/>
              </w:rPr>
              <w:t>被授权人基本情况</w:t>
            </w:r>
          </w:p>
        </w:tc>
      </w:tr>
      <w:tr w14:paraId="41F8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40B04786">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姓名</w:t>
            </w:r>
          </w:p>
        </w:tc>
        <w:tc>
          <w:tcPr>
            <w:tcW w:w="2192" w:type="dxa"/>
          </w:tcPr>
          <w:p w14:paraId="5316085B">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p>
        </w:tc>
        <w:tc>
          <w:tcPr>
            <w:tcW w:w="2100" w:type="dxa"/>
          </w:tcPr>
          <w:p w14:paraId="0ABA7DFE">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身份证号</w:t>
            </w:r>
          </w:p>
        </w:tc>
        <w:tc>
          <w:tcPr>
            <w:tcW w:w="3365" w:type="dxa"/>
          </w:tcPr>
          <w:p w14:paraId="3BAEF1D8">
            <w:pPr>
              <w:keepNext w:val="0"/>
              <w:keepLines w:val="0"/>
              <w:suppressLineNumbers w:val="0"/>
              <w:spacing w:before="0" w:beforeAutospacing="0" w:after="0" w:afterAutospacing="0" w:line="360" w:lineRule="auto"/>
              <w:ind w:left="0" w:right="0"/>
              <w:rPr>
                <w:rFonts w:hint="default" w:ascii="Times New Roman" w:hAnsi="Times New Roman"/>
                <w:color w:val="auto"/>
                <w:sz w:val="28"/>
                <w:highlight w:val="none"/>
              </w:rPr>
            </w:pPr>
          </w:p>
        </w:tc>
      </w:tr>
      <w:tr w14:paraId="52E4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0E913A90">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注册执业资格</w:t>
            </w:r>
          </w:p>
        </w:tc>
        <w:tc>
          <w:tcPr>
            <w:tcW w:w="2192" w:type="dxa"/>
          </w:tcPr>
          <w:p w14:paraId="0C77630D">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p>
        </w:tc>
        <w:tc>
          <w:tcPr>
            <w:tcW w:w="2100" w:type="dxa"/>
          </w:tcPr>
          <w:p w14:paraId="1081FA8E">
            <w:pPr>
              <w:keepNext w:val="0"/>
              <w:keepLines w:val="0"/>
              <w:suppressLineNumbers w:val="0"/>
              <w:spacing w:before="0" w:beforeAutospacing="0" w:after="0" w:afterAutospacing="0" w:line="360" w:lineRule="auto"/>
              <w:ind w:left="0" w:right="0"/>
              <w:jc w:val="center"/>
              <w:rPr>
                <w:rFonts w:hint="default" w:ascii="Times New Roman" w:hAnsi="Times New Roman"/>
                <w:color w:val="auto"/>
                <w:sz w:val="28"/>
                <w:highlight w:val="none"/>
              </w:rPr>
            </w:pPr>
            <w:r>
              <w:rPr>
                <w:rFonts w:hint="eastAsia" w:ascii="Times New Roman" w:hAnsi="Times New Roman"/>
                <w:color w:val="auto"/>
                <w:sz w:val="28"/>
                <w:highlight w:val="none"/>
              </w:rPr>
              <w:t>注册执业证号</w:t>
            </w:r>
          </w:p>
        </w:tc>
        <w:tc>
          <w:tcPr>
            <w:tcW w:w="3365" w:type="dxa"/>
          </w:tcPr>
          <w:p w14:paraId="7A5534F6">
            <w:pPr>
              <w:keepNext w:val="0"/>
              <w:keepLines w:val="0"/>
              <w:suppressLineNumbers w:val="0"/>
              <w:spacing w:before="0" w:beforeAutospacing="0" w:after="0" w:afterAutospacing="0" w:line="360" w:lineRule="auto"/>
              <w:ind w:left="0" w:right="0"/>
              <w:rPr>
                <w:rFonts w:hint="default" w:ascii="Times New Roman" w:hAnsi="Times New Roman"/>
                <w:color w:val="auto"/>
                <w:sz w:val="28"/>
                <w:highlight w:val="none"/>
              </w:rPr>
            </w:pPr>
          </w:p>
        </w:tc>
      </w:tr>
      <w:tr w14:paraId="5EE4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4"/>
          </w:tcPr>
          <w:p w14:paraId="18B5494C">
            <w:pPr>
              <w:keepNext w:val="0"/>
              <w:keepLines w:val="0"/>
              <w:suppressLineNumbers w:val="0"/>
              <w:spacing w:before="0" w:beforeAutospacing="0" w:after="0" w:afterAutospacing="0" w:line="360" w:lineRule="auto"/>
              <w:ind w:left="0" w:right="0" w:firstLine="4480" w:firstLineChars="1600"/>
              <w:rPr>
                <w:rFonts w:hint="default" w:ascii="Times New Roman" w:hAnsi="Times New Roman"/>
                <w:color w:val="auto"/>
                <w:sz w:val="28"/>
                <w:highlight w:val="none"/>
              </w:rPr>
            </w:pPr>
            <w:r>
              <w:rPr>
                <w:rFonts w:hint="eastAsia" w:ascii="Times New Roman" w:hAnsi="Times New Roman"/>
                <w:color w:val="auto"/>
                <w:sz w:val="28"/>
                <w:highlight w:val="none"/>
              </w:rPr>
              <w:t>被授权人签字：</w:t>
            </w:r>
          </w:p>
        </w:tc>
      </w:tr>
    </w:tbl>
    <w:p w14:paraId="0A87B439">
      <w:pPr>
        <w:spacing w:line="360" w:lineRule="auto"/>
        <w:ind w:firstLine="560" w:firstLineChars="200"/>
        <w:rPr>
          <w:rFonts w:ascii="Times New Roman" w:hAnsi="Times New Roman"/>
          <w:color w:val="auto"/>
          <w:sz w:val="28"/>
          <w:highlight w:val="none"/>
        </w:rPr>
      </w:pPr>
    </w:p>
    <w:p w14:paraId="08A03B2A">
      <w:pPr>
        <w:spacing w:line="360" w:lineRule="auto"/>
        <w:ind w:firstLine="2737" w:firstLineChars="850"/>
        <w:rPr>
          <w:rFonts w:ascii="Times New Roman" w:hAnsi="Times New Roman"/>
          <w:color w:val="auto"/>
          <w:sz w:val="28"/>
          <w:highlight w:val="none"/>
          <w:u w:val="single"/>
        </w:rPr>
      </w:pPr>
      <w:r>
        <w:rPr>
          <w:rFonts w:hint="eastAsia" w:ascii="Times New Roman" w:hAnsi="Times New Roman"/>
          <w:color w:val="auto"/>
          <w:spacing w:val="21"/>
          <w:sz w:val="28"/>
          <w:highlight w:val="none"/>
        </w:rPr>
        <w:t>授权单位（盖章）</w:t>
      </w:r>
      <w:r>
        <w:rPr>
          <w:rFonts w:hint="eastAsia" w:ascii="Times New Roman" w:hAnsi="Times New Roman"/>
          <w:color w:val="auto"/>
          <w:sz w:val="28"/>
          <w:highlight w:val="none"/>
        </w:rPr>
        <w:t>：</w:t>
      </w:r>
    </w:p>
    <w:p w14:paraId="6FB53237">
      <w:pPr>
        <w:spacing w:line="360" w:lineRule="auto"/>
        <w:ind w:firstLine="2800" w:firstLineChars="1000"/>
        <w:rPr>
          <w:rFonts w:ascii="Times New Roman" w:hAnsi="Times New Roman"/>
          <w:color w:val="auto"/>
          <w:sz w:val="28"/>
          <w:highlight w:val="none"/>
          <w:u w:val="single"/>
        </w:rPr>
      </w:pPr>
      <w:r>
        <w:rPr>
          <w:rFonts w:hint="eastAsia" w:ascii="Times New Roman" w:hAnsi="Times New Roman"/>
          <w:color w:val="auto"/>
          <w:sz w:val="28"/>
          <w:highlight w:val="none"/>
        </w:rPr>
        <w:t>法定代表人（签字）：</w:t>
      </w:r>
    </w:p>
    <w:p w14:paraId="7EEF0C6E">
      <w:pPr>
        <w:spacing w:line="360" w:lineRule="auto"/>
        <w:ind w:firstLine="2898" w:firstLineChars="900"/>
        <w:rPr>
          <w:rFonts w:ascii="Times New Roman" w:hAnsi="Times New Roman"/>
          <w:b/>
          <w:color w:val="auto"/>
          <w:sz w:val="44"/>
          <w:szCs w:val="44"/>
          <w:highlight w:val="none"/>
        </w:rPr>
      </w:pPr>
      <w:r>
        <w:rPr>
          <w:rFonts w:hint="eastAsia" w:ascii="Times New Roman" w:hAnsi="Times New Roman"/>
          <w:color w:val="auto"/>
          <w:spacing w:val="21"/>
          <w:sz w:val="28"/>
          <w:highlight w:val="none"/>
        </w:rPr>
        <w:t xml:space="preserve">授权日期：     </w:t>
      </w:r>
      <w:r>
        <w:rPr>
          <w:rFonts w:hint="eastAsia" w:ascii="Times New Roman" w:hAnsi="Times New Roman"/>
          <w:color w:val="auto"/>
          <w:sz w:val="28"/>
          <w:highlight w:val="none"/>
        </w:rPr>
        <w:t>年  月  日</w:t>
      </w:r>
    </w:p>
    <w:p w14:paraId="2D64591E">
      <w:pPr>
        <w:spacing w:before="312" w:beforeLines="100" w:after="312" w:afterLines="100" w:line="360" w:lineRule="auto"/>
        <w:jc w:val="center"/>
        <w:rPr>
          <w:rFonts w:ascii="Times New Roman" w:hAnsi="Times New Roman"/>
          <w:b/>
          <w:color w:val="auto"/>
          <w:sz w:val="44"/>
          <w:szCs w:val="44"/>
          <w:highlight w:val="none"/>
        </w:rPr>
      </w:pPr>
    </w:p>
    <w:p w14:paraId="3F92F0B0">
      <w:pPr>
        <w:spacing w:before="312" w:beforeLines="100" w:after="312" w:afterLines="100" w:line="360" w:lineRule="auto"/>
        <w:jc w:val="center"/>
        <w:rPr>
          <w:rFonts w:ascii="Times New Roman" w:hAnsi="Times New Roman"/>
          <w:b/>
          <w:color w:val="auto"/>
          <w:sz w:val="44"/>
          <w:szCs w:val="44"/>
          <w:highlight w:val="none"/>
        </w:rPr>
      </w:pPr>
      <w:r>
        <w:rPr>
          <w:rFonts w:ascii="Times New Roman" w:hAnsi="Times New Roman"/>
          <w:b/>
          <w:color w:val="auto"/>
          <w:sz w:val="44"/>
          <w:szCs w:val="44"/>
          <w:highlight w:val="none"/>
        </w:rPr>
        <w:br w:type="page"/>
      </w:r>
      <w:r>
        <w:rPr>
          <w:rFonts w:hint="eastAsia" w:ascii="Times New Roman" w:hAnsi="Times New Roman"/>
          <w:b/>
          <w:color w:val="auto"/>
          <w:sz w:val="44"/>
          <w:szCs w:val="44"/>
          <w:highlight w:val="none"/>
        </w:rPr>
        <w:t>工程质量终身责任承诺书</w:t>
      </w:r>
    </w:p>
    <w:p w14:paraId="181D3C55">
      <w:pPr>
        <w:spacing w:before="468" w:beforeLines="150" w:line="360" w:lineRule="auto"/>
        <w:ind w:firstLine="560" w:firstLineChars="200"/>
        <w:jc w:val="left"/>
        <w:rPr>
          <w:rFonts w:ascii="Times New Roman" w:hAnsi="Times New Roman"/>
          <w:color w:val="auto"/>
          <w:sz w:val="28"/>
          <w:szCs w:val="28"/>
          <w:highlight w:val="none"/>
        </w:rPr>
      </w:pPr>
      <w:r>
        <w:rPr>
          <w:rFonts w:hint="eastAsia" w:ascii="Times New Roman" w:hAnsi="Times New Roman"/>
          <w:color w:val="auto"/>
          <w:sz w:val="28"/>
          <w:szCs w:val="28"/>
          <w:highlight w:val="none"/>
        </w:rPr>
        <w:t>本人受______________（法定代表人_______）授权，担任_________________</w:t>
      </w:r>
      <w:r>
        <w:rPr>
          <w:rFonts w:hint="eastAsia" w:ascii="Times New Roman" w:hAnsi="Times New Roman"/>
          <w:color w:val="auto"/>
          <w:sz w:val="28"/>
          <w:highlight w:val="none"/>
        </w:rPr>
        <w:t>工程项目的监理项目</w:t>
      </w:r>
      <w:r>
        <w:rPr>
          <w:rFonts w:hint="eastAsia" w:ascii="Times New Roman" w:hAnsi="Times New Roman"/>
          <w:color w:val="auto"/>
          <w:sz w:val="28"/>
          <w:szCs w:val="28"/>
          <w:highlight w:val="none"/>
        </w:rPr>
        <w:t>负责人，对该工程项目的监理工作实施组织管理。本人承诺严格依据国家有关法律法规及标准规范履行职责，并对设计使用年限内的工程质量承担相应终身责任。</w:t>
      </w:r>
    </w:p>
    <w:p w14:paraId="25D46FB6">
      <w:pPr>
        <w:spacing w:line="360" w:lineRule="auto"/>
        <w:ind w:firstLine="560" w:firstLineChars="200"/>
        <w:rPr>
          <w:rFonts w:ascii="Times New Roman" w:hAnsi="Times New Roman"/>
          <w:color w:val="auto"/>
          <w:sz w:val="28"/>
          <w:szCs w:val="28"/>
          <w:highlight w:val="none"/>
        </w:rPr>
      </w:pPr>
    </w:p>
    <w:p w14:paraId="146155FF">
      <w:pPr>
        <w:spacing w:line="360" w:lineRule="auto"/>
        <w:ind w:firstLine="560" w:firstLineChars="200"/>
        <w:rPr>
          <w:rFonts w:ascii="Times New Roman" w:hAnsi="Times New Roman"/>
          <w:color w:val="auto"/>
          <w:sz w:val="28"/>
          <w:szCs w:val="28"/>
          <w:highlight w:val="none"/>
        </w:rPr>
      </w:pPr>
    </w:p>
    <w:p w14:paraId="5F135B22">
      <w:pPr>
        <w:spacing w:line="360" w:lineRule="auto"/>
        <w:ind w:firstLine="975" w:firstLineChars="287"/>
        <w:rPr>
          <w:rFonts w:ascii="Times New Roman" w:hAnsi="Times New Roman"/>
          <w:color w:val="auto"/>
          <w:spacing w:val="30"/>
          <w:sz w:val="28"/>
          <w:szCs w:val="28"/>
          <w:highlight w:val="none"/>
        </w:rPr>
      </w:pPr>
    </w:p>
    <w:p w14:paraId="7B98EADD">
      <w:pPr>
        <w:spacing w:line="360" w:lineRule="auto"/>
        <w:ind w:firstLine="3060" w:firstLineChars="900"/>
        <w:rPr>
          <w:rFonts w:ascii="Times New Roman" w:hAnsi="Times New Roman"/>
          <w:color w:val="auto"/>
          <w:sz w:val="28"/>
          <w:szCs w:val="28"/>
          <w:highlight w:val="none"/>
          <w:u w:val="single"/>
        </w:rPr>
      </w:pPr>
      <w:r>
        <w:rPr>
          <w:rFonts w:hint="eastAsia" w:ascii="Times New Roman" w:hAnsi="Times New Roman"/>
          <w:color w:val="auto"/>
          <w:spacing w:val="30"/>
          <w:sz w:val="28"/>
          <w:szCs w:val="28"/>
          <w:highlight w:val="none"/>
        </w:rPr>
        <w:t>承诺人签字</w:t>
      </w:r>
      <w:r>
        <w:rPr>
          <w:rFonts w:hint="eastAsia" w:ascii="Times New Roman" w:hAnsi="Times New Roman"/>
          <w:color w:val="auto"/>
          <w:sz w:val="28"/>
          <w:szCs w:val="28"/>
          <w:highlight w:val="none"/>
        </w:rPr>
        <w:t>：</w:t>
      </w:r>
      <w:r>
        <w:rPr>
          <w:rFonts w:hint="eastAsia" w:ascii="Times New Roman" w:hAnsi="Times New Roman"/>
          <w:color w:val="auto"/>
          <w:sz w:val="28"/>
          <w:szCs w:val="28"/>
          <w:highlight w:val="none"/>
          <w:u w:val="single"/>
        </w:rPr>
        <w:t xml:space="preserve">               </w:t>
      </w:r>
    </w:p>
    <w:p w14:paraId="7EDC373A">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w:t>
      </w:r>
      <w:r>
        <w:rPr>
          <w:rFonts w:hint="eastAsia" w:ascii="Times New Roman" w:hAnsi="Times New Roman"/>
          <w:color w:val="auto"/>
          <w:spacing w:val="28"/>
          <w:sz w:val="28"/>
          <w:szCs w:val="28"/>
          <w:highlight w:val="none"/>
        </w:rPr>
        <w:t>身份证号</w:t>
      </w:r>
      <w:r>
        <w:rPr>
          <w:rFonts w:hint="eastAsia" w:ascii="Times New Roman" w:hAnsi="Times New Roman"/>
          <w:color w:val="auto"/>
          <w:sz w:val="28"/>
          <w:szCs w:val="28"/>
          <w:highlight w:val="none"/>
        </w:rPr>
        <w:t>：_________________</w:t>
      </w:r>
    </w:p>
    <w:p w14:paraId="328F4A32">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注册执业资格：_______________</w:t>
      </w:r>
    </w:p>
    <w:p w14:paraId="1A913518">
      <w:pPr>
        <w:spacing w:line="360" w:lineRule="auto"/>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 xml:space="preserve">                  注册执业证号：_______________</w:t>
      </w:r>
    </w:p>
    <w:p w14:paraId="3FFA05F8">
      <w:pPr>
        <w:spacing w:line="360" w:lineRule="auto"/>
        <w:ind w:firstLine="560" w:firstLineChars="200"/>
        <w:jc w:val="left"/>
        <w:rPr>
          <w:rFonts w:ascii="Times New Roman" w:hAnsi="Times New Roman"/>
          <w:bCs/>
          <w:snapToGrid w:val="0"/>
          <w:color w:val="auto"/>
          <w:kern w:val="0"/>
          <w:sz w:val="24"/>
          <w:highlight w:val="none"/>
        </w:rPr>
      </w:pPr>
      <w:r>
        <w:rPr>
          <w:rFonts w:hint="eastAsia" w:ascii="Times New Roman" w:hAnsi="Times New Roman"/>
          <w:color w:val="auto"/>
          <w:sz w:val="28"/>
          <w:szCs w:val="28"/>
          <w:highlight w:val="none"/>
        </w:rPr>
        <w:t xml:space="preserve">                  </w:t>
      </w:r>
      <w:r>
        <w:rPr>
          <w:rFonts w:hint="eastAsia" w:ascii="Times New Roman" w:hAnsi="Times New Roman"/>
          <w:color w:val="auto"/>
          <w:spacing w:val="28"/>
          <w:sz w:val="28"/>
          <w:szCs w:val="28"/>
          <w:highlight w:val="none"/>
        </w:rPr>
        <w:t>签字日期</w:t>
      </w:r>
      <w:r>
        <w:rPr>
          <w:rFonts w:hint="eastAsia" w:ascii="Times New Roman" w:hAnsi="Times New Roman"/>
          <w:color w:val="auto"/>
          <w:sz w:val="28"/>
          <w:szCs w:val="28"/>
          <w:highlight w:val="none"/>
        </w:rPr>
        <w:t>：</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年</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月</w:t>
      </w:r>
      <w:r>
        <w:rPr>
          <w:rFonts w:hint="eastAsia" w:ascii="Times New Roman" w:hAnsi="Times New Roman"/>
          <w:color w:val="auto"/>
          <w:sz w:val="28"/>
          <w:highlight w:val="none"/>
          <w:u w:val="single"/>
        </w:rPr>
        <w:t xml:space="preserve">   </w:t>
      </w:r>
      <w:r>
        <w:rPr>
          <w:rFonts w:hint="eastAsia" w:ascii="Times New Roman" w:hAnsi="Times New Roman"/>
          <w:color w:val="auto"/>
          <w:sz w:val="28"/>
          <w:highlight w:val="none"/>
        </w:rPr>
        <w:t>日</w:t>
      </w:r>
    </w:p>
    <w:p w14:paraId="740DC22A">
      <w:pPr>
        <w:rPr>
          <w:rFonts w:ascii="Times New Roman" w:hAnsi="Times New Roman"/>
          <w:color w:val="auto"/>
          <w:sz w:val="24"/>
          <w:szCs w:val="24"/>
          <w:highlight w:val="none"/>
        </w:rPr>
      </w:pPr>
    </w:p>
    <w:p w14:paraId="7881372F">
      <w:pPr>
        <w:spacing w:line="440" w:lineRule="exact"/>
        <w:rPr>
          <w:rFonts w:ascii="Times New Roman" w:hAnsi="Times New Roman"/>
          <w:b/>
          <w:snapToGrid w:val="0"/>
          <w:color w:val="auto"/>
          <w:spacing w:val="4"/>
          <w:sz w:val="24"/>
          <w:szCs w:val="24"/>
          <w:highlight w:val="none"/>
        </w:rPr>
      </w:pPr>
    </w:p>
    <w:p w14:paraId="10FD0258">
      <w:pPr>
        <w:spacing w:line="440" w:lineRule="exact"/>
        <w:rPr>
          <w:rFonts w:ascii="Times New Roman" w:hAnsi="Times New Roman"/>
          <w:b/>
          <w:snapToGrid w:val="0"/>
          <w:color w:val="auto"/>
          <w:spacing w:val="4"/>
          <w:sz w:val="24"/>
          <w:szCs w:val="24"/>
          <w:highlight w:val="none"/>
        </w:rPr>
      </w:pPr>
    </w:p>
    <w:p w14:paraId="4EAC200D">
      <w:pPr>
        <w:spacing w:line="440" w:lineRule="exact"/>
        <w:rPr>
          <w:rFonts w:ascii="Times New Roman" w:hAnsi="Times New Roman"/>
          <w:b/>
          <w:snapToGrid w:val="0"/>
          <w:color w:val="auto"/>
          <w:spacing w:val="4"/>
          <w:sz w:val="24"/>
          <w:szCs w:val="24"/>
          <w:highlight w:val="none"/>
        </w:rPr>
      </w:pPr>
    </w:p>
    <w:p w14:paraId="06C472C7">
      <w:pPr>
        <w:spacing w:line="440" w:lineRule="exact"/>
        <w:rPr>
          <w:rFonts w:ascii="Times New Roman" w:hAnsi="Times New Roman"/>
          <w:b/>
          <w:snapToGrid w:val="0"/>
          <w:color w:val="auto"/>
          <w:spacing w:val="4"/>
          <w:sz w:val="24"/>
          <w:szCs w:val="24"/>
          <w:highlight w:val="none"/>
        </w:rPr>
      </w:pPr>
    </w:p>
    <w:p w14:paraId="41CACB4F">
      <w:pPr>
        <w:spacing w:line="440" w:lineRule="exact"/>
        <w:rPr>
          <w:rFonts w:ascii="Times New Roman" w:hAnsi="Times New Roman"/>
          <w:b/>
          <w:snapToGrid w:val="0"/>
          <w:color w:val="auto"/>
          <w:spacing w:val="4"/>
          <w:sz w:val="24"/>
          <w:szCs w:val="24"/>
          <w:highlight w:val="none"/>
        </w:rPr>
      </w:pPr>
    </w:p>
    <w:p w14:paraId="6A6B13D9">
      <w:pPr>
        <w:spacing w:line="440" w:lineRule="exact"/>
        <w:rPr>
          <w:rFonts w:ascii="Times New Roman" w:hAnsi="Times New Roman"/>
          <w:b/>
          <w:snapToGrid w:val="0"/>
          <w:color w:val="auto"/>
          <w:spacing w:val="4"/>
          <w:sz w:val="24"/>
          <w:szCs w:val="24"/>
          <w:highlight w:val="none"/>
        </w:rPr>
      </w:pPr>
    </w:p>
    <w:p w14:paraId="55BB3C29">
      <w:pPr>
        <w:spacing w:line="440" w:lineRule="exact"/>
        <w:rPr>
          <w:rFonts w:ascii="Times New Roman" w:hAnsi="Times New Roman"/>
          <w:b/>
          <w:snapToGrid w:val="0"/>
          <w:color w:val="auto"/>
          <w:spacing w:val="4"/>
          <w:sz w:val="24"/>
          <w:szCs w:val="24"/>
          <w:highlight w:val="none"/>
        </w:rPr>
      </w:pPr>
    </w:p>
    <w:p w14:paraId="6C726C88">
      <w:pPr>
        <w:spacing w:line="440" w:lineRule="exact"/>
        <w:rPr>
          <w:rFonts w:ascii="Times New Roman" w:hAnsi="Times New Roman"/>
          <w:b/>
          <w:snapToGrid w:val="0"/>
          <w:color w:val="auto"/>
          <w:spacing w:val="4"/>
          <w:sz w:val="24"/>
          <w:szCs w:val="24"/>
          <w:highlight w:val="none"/>
        </w:rPr>
      </w:pPr>
    </w:p>
    <w:p w14:paraId="4642C406">
      <w:pPr>
        <w:spacing w:line="440" w:lineRule="exact"/>
        <w:rPr>
          <w:rFonts w:ascii="Times New Roman" w:hAnsi="Times New Roman"/>
          <w:b/>
          <w:snapToGrid w:val="0"/>
          <w:color w:val="auto"/>
          <w:spacing w:val="4"/>
          <w:sz w:val="24"/>
          <w:szCs w:val="24"/>
          <w:highlight w:val="none"/>
        </w:rPr>
      </w:pPr>
    </w:p>
    <w:p w14:paraId="7441C49C">
      <w:pPr>
        <w:rPr>
          <w:rFonts w:ascii="Times New Roman" w:hAnsi="Times New Roman"/>
          <w:b/>
          <w:snapToGrid w:val="0"/>
          <w:color w:val="auto"/>
          <w:spacing w:val="4"/>
          <w:sz w:val="24"/>
          <w:szCs w:val="24"/>
          <w:highlight w:val="none"/>
        </w:rPr>
      </w:pPr>
      <w:r>
        <w:rPr>
          <w:rFonts w:ascii="Times New Roman" w:hAnsi="Times New Roman"/>
          <w:b/>
          <w:snapToGrid w:val="0"/>
          <w:color w:val="auto"/>
          <w:spacing w:val="4"/>
          <w:sz w:val="24"/>
          <w:szCs w:val="24"/>
          <w:highlight w:val="none"/>
        </w:rPr>
        <w:br w:type="page"/>
      </w:r>
    </w:p>
    <w:p w14:paraId="0F2B3BD7">
      <w:pPr>
        <w:spacing w:line="440" w:lineRule="exact"/>
        <w:outlineLvl w:val="1"/>
        <w:rPr>
          <w:rFonts w:ascii="Times New Roman" w:hAnsi="Times New Roman"/>
          <w:b/>
          <w:snapToGrid w:val="0"/>
          <w:color w:val="auto"/>
          <w:spacing w:val="4"/>
          <w:sz w:val="24"/>
          <w:szCs w:val="24"/>
          <w:highlight w:val="none"/>
        </w:rPr>
      </w:pPr>
      <w:r>
        <w:rPr>
          <w:rFonts w:hint="eastAsia" w:ascii="Times New Roman" w:hAnsi="Times New Roman"/>
          <w:b/>
          <w:snapToGrid w:val="0"/>
          <w:color w:val="auto"/>
          <w:spacing w:val="4"/>
          <w:sz w:val="24"/>
          <w:szCs w:val="24"/>
          <w:highlight w:val="none"/>
        </w:rPr>
        <w:t>附件13：结算审核工作质量情况考评细则</w:t>
      </w:r>
    </w:p>
    <w:p w14:paraId="22E97117">
      <w:pPr>
        <w:spacing w:line="200" w:lineRule="exact"/>
        <w:rPr>
          <w:rFonts w:ascii="Times New Roman" w:hAnsi="Times New Roman"/>
          <w:color w:val="auto"/>
          <w:highlight w:val="none"/>
        </w:rPr>
      </w:pPr>
    </w:p>
    <w:tbl>
      <w:tblPr>
        <w:tblStyle w:val="12"/>
        <w:tblW w:w="9229" w:type="dxa"/>
        <w:jc w:val="center"/>
        <w:tblLayout w:type="fixed"/>
        <w:tblCellMar>
          <w:top w:w="0" w:type="dxa"/>
          <w:left w:w="108" w:type="dxa"/>
          <w:bottom w:w="0" w:type="dxa"/>
          <w:right w:w="108" w:type="dxa"/>
        </w:tblCellMar>
      </w:tblPr>
      <w:tblGrid>
        <w:gridCol w:w="724"/>
        <w:gridCol w:w="3402"/>
        <w:gridCol w:w="236"/>
        <w:gridCol w:w="1327"/>
        <w:gridCol w:w="138"/>
        <w:gridCol w:w="709"/>
        <w:gridCol w:w="850"/>
        <w:gridCol w:w="993"/>
        <w:gridCol w:w="850"/>
      </w:tblGrid>
      <w:tr w14:paraId="5681D5D1">
        <w:tblPrEx>
          <w:tblCellMar>
            <w:top w:w="0" w:type="dxa"/>
            <w:left w:w="108" w:type="dxa"/>
            <w:bottom w:w="0" w:type="dxa"/>
            <w:right w:w="108" w:type="dxa"/>
          </w:tblCellMar>
        </w:tblPrEx>
        <w:trPr>
          <w:trHeight w:val="90" w:hRule="atLeast"/>
          <w:jc w:val="center"/>
        </w:trPr>
        <w:tc>
          <w:tcPr>
            <w:tcW w:w="9229" w:type="dxa"/>
            <w:gridSpan w:val="9"/>
            <w:tcBorders>
              <w:top w:val="nil"/>
              <w:left w:val="nil"/>
              <w:bottom w:val="nil"/>
              <w:right w:val="nil"/>
            </w:tcBorders>
            <w:vAlign w:val="center"/>
          </w:tcPr>
          <w:p w14:paraId="523267F9">
            <w:pPr>
              <w:keepNext w:val="0"/>
              <w:keepLines w:val="0"/>
              <w:suppressLineNumbers w:val="0"/>
              <w:spacing w:before="0" w:beforeAutospacing="0" w:after="0" w:afterAutospacing="0"/>
              <w:ind w:left="0" w:right="0"/>
              <w:jc w:val="center"/>
              <w:rPr>
                <w:rFonts w:hint="default" w:ascii="Times New Roman" w:hAnsi="Times New Roman" w:cs="宋体"/>
                <w:b/>
                <w:bCs/>
                <w:color w:val="auto"/>
                <w:sz w:val="24"/>
                <w:szCs w:val="24"/>
                <w:highlight w:val="none"/>
              </w:rPr>
            </w:pPr>
            <w:r>
              <w:rPr>
                <w:rFonts w:hint="eastAsia" w:ascii="Times New Roman" w:hAnsi="Times New Roman" w:cs="宋体"/>
                <w:b/>
                <w:bCs/>
                <w:color w:val="auto"/>
                <w:sz w:val="24"/>
                <w:szCs w:val="24"/>
                <w:highlight w:val="none"/>
              </w:rPr>
              <w:t>结算审核工作质量情况考评细则</w:t>
            </w:r>
          </w:p>
        </w:tc>
      </w:tr>
      <w:tr w14:paraId="5BE99547">
        <w:tblPrEx>
          <w:tblCellMar>
            <w:top w:w="0" w:type="dxa"/>
            <w:left w:w="108" w:type="dxa"/>
            <w:bottom w:w="0" w:type="dxa"/>
            <w:right w:w="108" w:type="dxa"/>
          </w:tblCellMar>
        </w:tblPrEx>
        <w:trPr>
          <w:trHeight w:val="270" w:hRule="atLeast"/>
          <w:jc w:val="center"/>
        </w:trPr>
        <w:tc>
          <w:tcPr>
            <w:tcW w:w="4126" w:type="dxa"/>
            <w:gridSpan w:val="2"/>
            <w:tcBorders>
              <w:top w:val="nil"/>
              <w:left w:val="nil"/>
              <w:bottom w:val="single" w:color="auto" w:sz="4" w:space="0"/>
              <w:right w:val="nil"/>
            </w:tcBorders>
            <w:noWrap/>
            <w:vAlign w:val="center"/>
          </w:tcPr>
          <w:p w14:paraId="6C6A0E34">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项目名称：</w:t>
            </w:r>
          </w:p>
        </w:tc>
        <w:tc>
          <w:tcPr>
            <w:tcW w:w="2410" w:type="dxa"/>
            <w:gridSpan w:val="4"/>
            <w:tcBorders>
              <w:top w:val="nil"/>
              <w:left w:val="nil"/>
              <w:bottom w:val="single" w:color="auto" w:sz="4" w:space="0"/>
              <w:right w:val="nil"/>
            </w:tcBorders>
            <w:noWrap/>
            <w:vAlign w:val="center"/>
          </w:tcPr>
          <w:p w14:paraId="5A373462">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监理人：</w:t>
            </w:r>
          </w:p>
        </w:tc>
        <w:tc>
          <w:tcPr>
            <w:tcW w:w="2693" w:type="dxa"/>
            <w:gridSpan w:val="3"/>
            <w:tcBorders>
              <w:top w:val="nil"/>
              <w:left w:val="nil"/>
              <w:bottom w:val="nil"/>
              <w:right w:val="nil"/>
            </w:tcBorders>
            <w:noWrap/>
            <w:vAlign w:val="center"/>
          </w:tcPr>
          <w:p w14:paraId="37DB6D66">
            <w:pPr>
              <w:keepNext w:val="0"/>
              <w:keepLines w:val="0"/>
              <w:suppressLineNumbers w:val="0"/>
              <w:spacing w:before="0" w:beforeAutospacing="0" w:after="0" w:afterAutospacing="0"/>
              <w:ind w:left="0" w:right="0"/>
              <w:rPr>
                <w:rFonts w:hint="default" w:ascii="Times New Roman" w:hAnsi="Times New Roman" w:cs="宋体"/>
                <w:color w:val="auto"/>
                <w:sz w:val="24"/>
                <w:szCs w:val="24"/>
                <w:highlight w:val="none"/>
              </w:rPr>
            </w:pPr>
            <w:r>
              <w:rPr>
                <w:rFonts w:hint="eastAsia" w:ascii="Times New Roman" w:hAnsi="Times New Roman" w:cs="宋体"/>
                <w:color w:val="auto"/>
                <w:sz w:val="24"/>
                <w:szCs w:val="24"/>
                <w:highlight w:val="none"/>
              </w:rPr>
              <w:t>考评日期：</w:t>
            </w:r>
          </w:p>
        </w:tc>
      </w:tr>
      <w:tr w14:paraId="6FFE7CD8">
        <w:tblPrEx>
          <w:tblCellMar>
            <w:top w:w="0" w:type="dxa"/>
            <w:left w:w="108" w:type="dxa"/>
            <w:bottom w:w="0" w:type="dxa"/>
            <w:right w:w="108" w:type="dxa"/>
          </w:tblCellMar>
        </w:tblPrEx>
        <w:trPr>
          <w:trHeight w:val="495" w:hRule="atLeast"/>
          <w:jc w:val="center"/>
        </w:trPr>
        <w:tc>
          <w:tcPr>
            <w:tcW w:w="724" w:type="dxa"/>
            <w:vMerge w:val="restart"/>
            <w:tcBorders>
              <w:top w:val="nil"/>
              <w:left w:val="single" w:color="auto" w:sz="4" w:space="0"/>
              <w:bottom w:val="single" w:color="auto" w:sz="4" w:space="0"/>
              <w:right w:val="single" w:color="auto" w:sz="4" w:space="0"/>
            </w:tcBorders>
            <w:shd w:val="clear" w:color="000000" w:fill="FFFFFF"/>
            <w:noWrap/>
            <w:vAlign w:val="center"/>
          </w:tcPr>
          <w:p w14:paraId="28873F75">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3402"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760D1594">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考评分项</w:t>
            </w:r>
          </w:p>
        </w:tc>
        <w:tc>
          <w:tcPr>
            <w:tcW w:w="1701" w:type="dxa"/>
            <w:gridSpan w:val="3"/>
            <w:vMerge w:val="restart"/>
            <w:tcBorders>
              <w:top w:val="nil"/>
              <w:left w:val="single" w:color="auto" w:sz="4" w:space="0"/>
              <w:bottom w:val="single" w:color="000000" w:sz="4" w:space="0"/>
              <w:right w:val="single" w:color="auto" w:sz="4" w:space="0"/>
            </w:tcBorders>
            <w:shd w:val="clear" w:color="000000" w:fill="FFFFFF"/>
            <w:vAlign w:val="center"/>
          </w:tcPr>
          <w:p w14:paraId="44EF1F63">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考评标准</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1CC04B58">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分值标准</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23909E31">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监理人自评分</w:t>
            </w:r>
          </w:p>
        </w:tc>
        <w:tc>
          <w:tcPr>
            <w:tcW w:w="99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42BFBF64">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委托人复核情况评价</w:t>
            </w:r>
          </w:p>
        </w:tc>
        <w:tc>
          <w:tcPr>
            <w:tcW w:w="85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511F438C">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备注</w:t>
            </w:r>
          </w:p>
        </w:tc>
      </w:tr>
      <w:tr w14:paraId="01A80A97">
        <w:tblPrEx>
          <w:tblCellMar>
            <w:top w:w="0" w:type="dxa"/>
            <w:left w:w="108" w:type="dxa"/>
            <w:bottom w:w="0" w:type="dxa"/>
            <w:right w:w="108" w:type="dxa"/>
          </w:tblCellMar>
        </w:tblPrEx>
        <w:trPr>
          <w:trHeight w:val="495" w:hRule="atLeast"/>
          <w:jc w:val="center"/>
        </w:trPr>
        <w:tc>
          <w:tcPr>
            <w:tcW w:w="724" w:type="dxa"/>
            <w:vMerge w:val="continue"/>
            <w:tcBorders>
              <w:top w:val="nil"/>
              <w:left w:val="single" w:color="auto" w:sz="4" w:space="0"/>
              <w:bottom w:val="single" w:color="auto" w:sz="4" w:space="0"/>
              <w:right w:val="single" w:color="auto" w:sz="4" w:space="0"/>
            </w:tcBorders>
            <w:vAlign w:val="center"/>
          </w:tcPr>
          <w:p w14:paraId="2461AED6">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726AF31F">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c>
          <w:tcPr>
            <w:tcW w:w="1701" w:type="dxa"/>
            <w:gridSpan w:val="3"/>
            <w:vMerge w:val="continue"/>
            <w:tcBorders>
              <w:top w:val="nil"/>
              <w:left w:val="single" w:color="auto" w:sz="4" w:space="0"/>
              <w:bottom w:val="single" w:color="000000" w:sz="4" w:space="0"/>
              <w:right w:val="single" w:color="auto" w:sz="4" w:space="0"/>
            </w:tcBorders>
            <w:vAlign w:val="center"/>
          </w:tcPr>
          <w:p w14:paraId="66D74A43">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64AB6749">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705091FF">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14:paraId="272B9D1A">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1FC08D1A">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r>
      <w:tr w14:paraId="3289D234">
        <w:tblPrEx>
          <w:tblCellMar>
            <w:top w:w="0" w:type="dxa"/>
            <w:left w:w="108" w:type="dxa"/>
            <w:bottom w:w="0" w:type="dxa"/>
            <w:right w:w="108" w:type="dxa"/>
          </w:tblCellMar>
        </w:tblPrEx>
        <w:trPr>
          <w:trHeight w:val="270" w:hRule="atLeast"/>
          <w:jc w:val="center"/>
        </w:trPr>
        <w:tc>
          <w:tcPr>
            <w:tcW w:w="724" w:type="dxa"/>
            <w:tcBorders>
              <w:top w:val="nil"/>
              <w:left w:val="single" w:color="auto" w:sz="4" w:space="0"/>
              <w:bottom w:val="single" w:color="auto" w:sz="4" w:space="0"/>
              <w:right w:val="single" w:color="auto" w:sz="4" w:space="0"/>
            </w:tcBorders>
            <w:shd w:val="clear" w:color="000000" w:fill="FFFFFF"/>
            <w:noWrap/>
            <w:vAlign w:val="center"/>
          </w:tcPr>
          <w:p w14:paraId="54290423">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一</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06FA3099">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承包人提交的竣工图纸（包括设备移交资料等）与现场的实际竣工情况不一致。</w:t>
            </w:r>
          </w:p>
        </w:tc>
        <w:tc>
          <w:tcPr>
            <w:tcW w:w="1701" w:type="dxa"/>
            <w:gridSpan w:val="3"/>
            <w:tcBorders>
              <w:top w:val="nil"/>
              <w:left w:val="nil"/>
              <w:bottom w:val="single" w:color="auto" w:sz="4" w:space="0"/>
              <w:right w:val="single" w:color="auto" w:sz="4" w:space="0"/>
            </w:tcBorders>
            <w:shd w:val="clear" w:color="000000" w:fill="FFFFFF"/>
            <w:vAlign w:val="center"/>
          </w:tcPr>
          <w:p w14:paraId="02FFA84E">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r>
              <w:rPr>
                <w:rFonts w:hint="eastAsia" w:ascii="Times New Roman" w:hAnsi="Times New Roman" w:cs="宋体"/>
                <w:color w:val="auto"/>
                <w:szCs w:val="21"/>
                <w:highlight w:val="none"/>
              </w:rPr>
              <w:t>每发现一处不一致情况扣</w:t>
            </w:r>
            <w:r>
              <w:rPr>
                <w:rFonts w:hint="default" w:ascii="Times New Roman" w:hAnsi="Times New Roman" w:cs="宋体"/>
                <w:color w:val="auto"/>
                <w:szCs w:val="21"/>
                <w:highlight w:val="none"/>
              </w:rPr>
              <w:t>2</w:t>
            </w:r>
            <w:r>
              <w:rPr>
                <w:rFonts w:hint="eastAsia" w:ascii="Times New Roman" w:hAnsi="Times New Roman" w:cs="宋体"/>
                <w:color w:val="auto"/>
                <w:szCs w:val="21"/>
                <w:highlight w:val="none"/>
              </w:rPr>
              <w:t>分。</w:t>
            </w:r>
          </w:p>
        </w:tc>
        <w:tc>
          <w:tcPr>
            <w:tcW w:w="709" w:type="dxa"/>
            <w:tcBorders>
              <w:top w:val="nil"/>
              <w:left w:val="nil"/>
              <w:bottom w:val="single" w:color="auto" w:sz="4" w:space="0"/>
              <w:right w:val="nil"/>
            </w:tcBorders>
            <w:shd w:val="clear" w:color="000000" w:fill="FFFFFF"/>
            <w:vAlign w:val="center"/>
          </w:tcPr>
          <w:p w14:paraId="48661061">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20</w:t>
            </w:r>
          </w:p>
        </w:tc>
        <w:tc>
          <w:tcPr>
            <w:tcW w:w="850" w:type="dxa"/>
            <w:tcBorders>
              <w:top w:val="nil"/>
              <w:left w:val="single" w:color="auto" w:sz="4" w:space="0"/>
              <w:bottom w:val="single" w:color="auto" w:sz="4" w:space="0"/>
              <w:right w:val="nil"/>
            </w:tcBorders>
            <w:shd w:val="clear" w:color="000000" w:fill="FFFFFF"/>
            <w:vAlign w:val="center"/>
          </w:tcPr>
          <w:p w14:paraId="3CCC369E">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797CB7D4">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noWrap/>
            <w:vAlign w:val="center"/>
          </w:tcPr>
          <w:p w14:paraId="1DD16E05">
            <w:pPr>
              <w:keepNext w:val="0"/>
              <w:keepLines w:val="0"/>
              <w:suppressLineNumbers w:val="0"/>
              <w:spacing w:before="0" w:beforeAutospacing="0" w:after="0" w:afterAutospacing="0"/>
              <w:ind w:left="0" w:right="0"/>
              <w:rPr>
                <w:rFonts w:hint="default" w:ascii="Times New Roman" w:hAnsi="Times New Roman" w:cs="宋体"/>
                <w:b/>
                <w:bCs/>
                <w:color w:val="auto"/>
                <w:szCs w:val="21"/>
                <w:highlight w:val="none"/>
              </w:rPr>
            </w:pPr>
          </w:p>
        </w:tc>
      </w:tr>
      <w:tr w14:paraId="41A57CEC">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51E3F4B7">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二</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00C758A6">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工程结算资料不齐备，经委托人或有权审核部门审核后被退回的。</w:t>
            </w:r>
          </w:p>
        </w:tc>
        <w:tc>
          <w:tcPr>
            <w:tcW w:w="1701" w:type="dxa"/>
            <w:gridSpan w:val="3"/>
            <w:tcBorders>
              <w:top w:val="nil"/>
              <w:left w:val="nil"/>
              <w:bottom w:val="single" w:color="auto" w:sz="4" w:space="0"/>
              <w:right w:val="single" w:color="auto" w:sz="4" w:space="0"/>
            </w:tcBorders>
            <w:shd w:val="clear" w:color="000000" w:fill="FFFFFF"/>
            <w:vAlign w:val="center"/>
          </w:tcPr>
          <w:p w14:paraId="62075F3E">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每退回一次扣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w:t>
            </w:r>
          </w:p>
        </w:tc>
        <w:tc>
          <w:tcPr>
            <w:tcW w:w="709" w:type="dxa"/>
            <w:tcBorders>
              <w:top w:val="nil"/>
              <w:left w:val="nil"/>
              <w:bottom w:val="single" w:color="auto" w:sz="4" w:space="0"/>
              <w:right w:val="nil"/>
            </w:tcBorders>
            <w:shd w:val="clear" w:color="000000" w:fill="FFFFFF"/>
            <w:vAlign w:val="center"/>
          </w:tcPr>
          <w:p w14:paraId="09CEEF3C">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25</w:t>
            </w:r>
          </w:p>
        </w:tc>
        <w:tc>
          <w:tcPr>
            <w:tcW w:w="850" w:type="dxa"/>
            <w:tcBorders>
              <w:top w:val="nil"/>
              <w:left w:val="single" w:color="auto" w:sz="4" w:space="0"/>
              <w:bottom w:val="single" w:color="auto" w:sz="4" w:space="0"/>
              <w:right w:val="nil"/>
            </w:tcBorders>
            <w:shd w:val="clear" w:color="000000" w:fill="FFFFFF"/>
            <w:vAlign w:val="center"/>
          </w:tcPr>
          <w:p w14:paraId="5BF5BDE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28835AE2">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5EA1D514">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1587AE00">
        <w:tblPrEx>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5CC652B9">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三</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6DAA816A">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对委托人指令拒绝响应或不及时响应，且在委托人要求的时间节点前未完成本项目工程竣工结算审核工作。</w:t>
            </w:r>
          </w:p>
        </w:tc>
        <w:tc>
          <w:tcPr>
            <w:tcW w:w="1701" w:type="dxa"/>
            <w:gridSpan w:val="3"/>
            <w:tcBorders>
              <w:top w:val="nil"/>
              <w:left w:val="nil"/>
              <w:bottom w:val="single" w:color="auto" w:sz="4" w:space="0"/>
              <w:right w:val="single" w:color="auto" w:sz="4" w:space="0"/>
            </w:tcBorders>
            <w:shd w:val="clear" w:color="000000" w:fill="FFFFFF"/>
            <w:vAlign w:val="center"/>
          </w:tcPr>
          <w:p w14:paraId="08E86903">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对委托人指令每拒绝响应或不及时响应一次扣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分，每延迟一个日历天扣</w:t>
            </w:r>
            <w:r>
              <w:rPr>
                <w:rFonts w:hint="default" w:ascii="Times New Roman" w:hAnsi="Times New Roman" w:cs="宋体"/>
                <w:color w:val="auto"/>
                <w:szCs w:val="21"/>
                <w:highlight w:val="none"/>
              </w:rPr>
              <w:t>1</w:t>
            </w:r>
            <w:r>
              <w:rPr>
                <w:rFonts w:hint="eastAsia" w:ascii="Times New Roman" w:hAnsi="Times New Roman" w:cs="宋体"/>
                <w:color w:val="auto"/>
                <w:szCs w:val="21"/>
                <w:highlight w:val="none"/>
              </w:rPr>
              <w:t>分，不封顶。</w:t>
            </w:r>
          </w:p>
        </w:tc>
        <w:tc>
          <w:tcPr>
            <w:tcW w:w="709" w:type="dxa"/>
            <w:tcBorders>
              <w:top w:val="nil"/>
              <w:left w:val="nil"/>
              <w:bottom w:val="single" w:color="auto" w:sz="4" w:space="0"/>
              <w:right w:val="nil"/>
            </w:tcBorders>
            <w:shd w:val="clear" w:color="000000" w:fill="FFFFFF"/>
            <w:vAlign w:val="center"/>
          </w:tcPr>
          <w:p w14:paraId="7DAC0107">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default" w:ascii="Times New Roman" w:hAnsi="Times New Roman" w:cs="宋体"/>
                <w:b/>
                <w:bCs/>
                <w:color w:val="auto"/>
                <w:szCs w:val="21"/>
                <w:highlight w:val="none"/>
              </w:rPr>
              <w:t>25</w:t>
            </w:r>
            <w:r>
              <w:rPr>
                <w:rFonts w:hint="eastAsia" w:ascii="Times New Roman" w:hAnsi="Times New Roman" w:cs="宋体"/>
                <w:b/>
                <w:bCs/>
                <w:color w:val="auto"/>
                <w:szCs w:val="21"/>
                <w:highlight w:val="none"/>
              </w:rPr>
              <w:t>　</w:t>
            </w:r>
          </w:p>
        </w:tc>
        <w:tc>
          <w:tcPr>
            <w:tcW w:w="850" w:type="dxa"/>
            <w:tcBorders>
              <w:top w:val="nil"/>
              <w:left w:val="single" w:color="auto" w:sz="4" w:space="0"/>
              <w:bottom w:val="single" w:color="auto" w:sz="4" w:space="0"/>
              <w:right w:val="nil"/>
            </w:tcBorders>
            <w:shd w:val="clear" w:color="000000" w:fill="FFFFFF"/>
            <w:vAlign w:val="center"/>
          </w:tcPr>
          <w:p w14:paraId="37FADD4E">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6567B2A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2EC000A0">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7B012210">
        <w:tblPrEx>
          <w:tblCellMar>
            <w:top w:w="0" w:type="dxa"/>
            <w:left w:w="108" w:type="dxa"/>
            <w:bottom w:w="0" w:type="dxa"/>
            <w:right w:w="108" w:type="dxa"/>
          </w:tblCellMar>
        </w:tblPrEx>
        <w:trPr>
          <w:trHeight w:val="93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140BAF3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四</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3F310D82">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b/>
                <w:bCs/>
                <w:color w:val="auto"/>
                <w:szCs w:val="21"/>
                <w:highlight w:val="none"/>
              </w:rPr>
              <w:t>结算审核工作不专业，结果不准确；工程结算资料出现计价错误、计价无依据或增项、漏项等情况。</w:t>
            </w:r>
          </w:p>
        </w:tc>
        <w:tc>
          <w:tcPr>
            <w:tcW w:w="1701" w:type="dxa"/>
            <w:gridSpan w:val="3"/>
            <w:tcBorders>
              <w:top w:val="nil"/>
              <w:left w:val="single" w:color="auto" w:sz="4" w:space="0"/>
              <w:bottom w:val="single" w:color="auto" w:sz="4" w:space="0"/>
              <w:right w:val="single" w:color="auto" w:sz="4" w:space="0"/>
            </w:tcBorders>
            <w:shd w:val="clear" w:color="000000" w:fill="FFFFFF"/>
            <w:vAlign w:val="center"/>
          </w:tcPr>
          <w:p w14:paraId="2EE34419">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每发生一处错漏情况扣</w:t>
            </w:r>
            <w:r>
              <w:rPr>
                <w:rFonts w:hint="default" w:ascii="Times New Roman" w:hAnsi="Times New Roman" w:cs="宋体"/>
                <w:color w:val="auto"/>
                <w:szCs w:val="21"/>
                <w:highlight w:val="none"/>
              </w:rPr>
              <w:t>5</w:t>
            </w:r>
            <w:r>
              <w:rPr>
                <w:rFonts w:hint="eastAsia" w:ascii="Times New Roman" w:hAnsi="Times New Roman" w:cs="宋体"/>
                <w:color w:val="auto"/>
                <w:szCs w:val="21"/>
                <w:highlight w:val="none"/>
              </w:rPr>
              <w:t>分，不封顶。若监理人审核的结算金额与后续审核部门审核结算金额差值大于5%的，本项不得分。</w:t>
            </w:r>
          </w:p>
        </w:tc>
        <w:tc>
          <w:tcPr>
            <w:tcW w:w="709" w:type="dxa"/>
            <w:tcBorders>
              <w:top w:val="nil"/>
              <w:left w:val="nil"/>
              <w:bottom w:val="single" w:color="auto" w:sz="4" w:space="0"/>
              <w:right w:val="nil"/>
            </w:tcBorders>
            <w:shd w:val="clear" w:color="000000" w:fill="FFFFFF"/>
            <w:vAlign w:val="center"/>
          </w:tcPr>
          <w:p w14:paraId="5C726887">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default" w:ascii="Times New Roman" w:hAnsi="Times New Roman" w:cs="宋体"/>
                <w:b/>
                <w:bCs/>
                <w:color w:val="auto"/>
                <w:szCs w:val="21"/>
                <w:highlight w:val="none"/>
              </w:rPr>
              <w:t>30</w:t>
            </w:r>
          </w:p>
        </w:tc>
        <w:tc>
          <w:tcPr>
            <w:tcW w:w="850" w:type="dxa"/>
            <w:tcBorders>
              <w:top w:val="nil"/>
              <w:left w:val="single" w:color="auto" w:sz="4" w:space="0"/>
              <w:bottom w:val="single" w:color="auto" w:sz="4" w:space="0"/>
              <w:right w:val="nil"/>
            </w:tcBorders>
            <w:shd w:val="clear" w:color="000000" w:fill="FFFFFF"/>
            <w:vAlign w:val="center"/>
          </w:tcPr>
          <w:p w14:paraId="3700B64D">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993" w:type="dxa"/>
            <w:tcBorders>
              <w:top w:val="nil"/>
              <w:left w:val="single" w:color="auto" w:sz="4" w:space="0"/>
              <w:bottom w:val="single" w:color="auto" w:sz="4" w:space="0"/>
              <w:right w:val="nil"/>
            </w:tcBorders>
            <w:shd w:val="clear" w:color="000000" w:fill="FFFFFF"/>
            <w:vAlign w:val="center"/>
          </w:tcPr>
          <w:p w14:paraId="0888CE9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single" w:color="auto" w:sz="4" w:space="0"/>
              <w:bottom w:val="single" w:color="auto" w:sz="4" w:space="0"/>
              <w:right w:val="single" w:color="auto" w:sz="4" w:space="0"/>
            </w:tcBorders>
            <w:shd w:val="clear" w:color="000000" w:fill="FFFFFF"/>
            <w:vAlign w:val="center"/>
          </w:tcPr>
          <w:p w14:paraId="508E622A">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p>
        </w:tc>
      </w:tr>
      <w:tr w14:paraId="67FABBCA">
        <w:tblPrEx>
          <w:tblCellMar>
            <w:top w:w="0" w:type="dxa"/>
            <w:left w:w="108" w:type="dxa"/>
            <w:bottom w:w="0" w:type="dxa"/>
            <w:right w:w="108" w:type="dxa"/>
          </w:tblCellMar>
        </w:tblPrEx>
        <w:trPr>
          <w:trHeight w:val="616"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68EDDF73">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402" w:type="dxa"/>
            <w:tcBorders>
              <w:top w:val="single" w:color="auto" w:sz="4" w:space="0"/>
              <w:left w:val="nil"/>
              <w:bottom w:val="single" w:color="auto" w:sz="4" w:space="0"/>
              <w:right w:val="single" w:color="auto" w:sz="4" w:space="0"/>
            </w:tcBorders>
            <w:shd w:val="clear" w:color="000000" w:fill="FFFFFF"/>
            <w:vAlign w:val="center"/>
          </w:tcPr>
          <w:p w14:paraId="5E5C0A2F">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监理人自评分总分</w:t>
            </w:r>
          </w:p>
        </w:tc>
        <w:tc>
          <w:tcPr>
            <w:tcW w:w="4253"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14:paraId="7ACBAAFF">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nil"/>
              <w:bottom w:val="single" w:color="auto" w:sz="4" w:space="0"/>
              <w:right w:val="single" w:color="auto" w:sz="4" w:space="0"/>
            </w:tcBorders>
            <w:shd w:val="clear" w:color="000000" w:fill="FFFFFF"/>
            <w:vAlign w:val="center"/>
          </w:tcPr>
          <w:p w14:paraId="056384C2">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r>
      <w:tr w14:paraId="7B296BB2">
        <w:tblPrEx>
          <w:tblCellMar>
            <w:top w:w="0" w:type="dxa"/>
            <w:left w:w="108" w:type="dxa"/>
            <w:bottom w:w="0" w:type="dxa"/>
            <w:right w:w="108" w:type="dxa"/>
          </w:tblCellMar>
        </w:tblPrEx>
        <w:trPr>
          <w:trHeight w:val="720" w:hRule="atLeast"/>
          <w:jc w:val="center"/>
        </w:trPr>
        <w:tc>
          <w:tcPr>
            <w:tcW w:w="724" w:type="dxa"/>
            <w:tcBorders>
              <w:top w:val="nil"/>
              <w:left w:val="single" w:color="auto" w:sz="4" w:space="0"/>
              <w:bottom w:val="single" w:color="auto" w:sz="4" w:space="0"/>
              <w:right w:val="single" w:color="auto" w:sz="4" w:space="0"/>
            </w:tcBorders>
            <w:shd w:val="clear" w:color="000000" w:fill="FFFFFF"/>
            <w:vAlign w:val="center"/>
          </w:tcPr>
          <w:p w14:paraId="1616188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402" w:type="dxa"/>
            <w:tcBorders>
              <w:top w:val="single" w:color="auto" w:sz="4" w:space="0"/>
              <w:left w:val="nil"/>
              <w:bottom w:val="single" w:color="auto" w:sz="4" w:space="0"/>
              <w:right w:val="single" w:color="000000" w:sz="4" w:space="0"/>
            </w:tcBorders>
            <w:shd w:val="clear" w:color="000000" w:fill="FFFFFF"/>
            <w:vAlign w:val="center"/>
          </w:tcPr>
          <w:p w14:paraId="0EDCE681">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结算审核工作质量最终总得分</w:t>
            </w:r>
          </w:p>
        </w:tc>
        <w:tc>
          <w:tcPr>
            <w:tcW w:w="4253" w:type="dxa"/>
            <w:gridSpan w:val="6"/>
            <w:tcBorders>
              <w:top w:val="single" w:color="auto" w:sz="4" w:space="0"/>
              <w:left w:val="nil"/>
              <w:bottom w:val="single" w:color="auto" w:sz="4" w:space="0"/>
              <w:right w:val="single" w:color="000000" w:sz="4" w:space="0"/>
            </w:tcBorders>
            <w:shd w:val="clear" w:color="000000" w:fill="FFFFFF"/>
            <w:vAlign w:val="center"/>
          </w:tcPr>
          <w:p w14:paraId="440B8A7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850" w:type="dxa"/>
            <w:tcBorders>
              <w:top w:val="nil"/>
              <w:left w:val="nil"/>
              <w:bottom w:val="single" w:color="auto" w:sz="4" w:space="0"/>
              <w:right w:val="single" w:color="auto" w:sz="4" w:space="0"/>
            </w:tcBorders>
            <w:shd w:val="clear" w:color="000000" w:fill="FFFFFF"/>
            <w:vAlign w:val="center"/>
          </w:tcPr>
          <w:p w14:paraId="79DCBBE8">
            <w:pPr>
              <w:keepNext w:val="0"/>
              <w:keepLines w:val="0"/>
              <w:suppressLineNumbers w:val="0"/>
              <w:spacing w:before="0" w:beforeAutospacing="0" w:after="0" w:afterAutospacing="0"/>
              <w:ind w:left="0" w:right="0"/>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以委托人复核得分为最终得分。</w:t>
            </w:r>
          </w:p>
        </w:tc>
      </w:tr>
      <w:tr w14:paraId="3B63E813">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6D6730C0">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监理人确认（盖章）</w:t>
            </w:r>
          </w:p>
        </w:tc>
        <w:tc>
          <w:tcPr>
            <w:tcW w:w="5103" w:type="dxa"/>
            <w:gridSpan w:val="7"/>
            <w:tcBorders>
              <w:top w:val="single" w:color="auto" w:sz="4" w:space="0"/>
              <w:left w:val="nil"/>
              <w:bottom w:val="single" w:color="auto" w:sz="4" w:space="0"/>
              <w:right w:val="single" w:color="000000" w:sz="4" w:space="0"/>
            </w:tcBorders>
            <w:shd w:val="clear" w:color="000000" w:fill="FFFFFF"/>
            <w:vAlign w:val="center"/>
          </w:tcPr>
          <w:p w14:paraId="3D11A084">
            <w:pPr>
              <w:keepNext w:val="0"/>
              <w:keepLines w:val="0"/>
              <w:suppressLineNumbers w:val="0"/>
              <w:spacing w:before="0" w:beforeAutospacing="0" w:after="0" w:afterAutospacing="0"/>
              <w:ind w:left="0" w:right="0"/>
              <w:jc w:val="center"/>
              <w:rPr>
                <w:rFonts w:hint="default" w:ascii="Times New Roman" w:hAnsi="Times New Roman" w:cs="宋体"/>
                <w:b/>
                <w:bCs/>
                <w:color w:val="auto"/>
                <w:szCs w:val="21"/>
                <w:highlight w:val="none"/>
              </w:rPr>
            </w:pPr>
            <w:r>
              <w:rPr>
                <w:rFonts w:hint="eastAsia" w:ascii="Times New Roman" w:hAnsi="Times New Roman" w:cs="宋体"/>
                <w:b/>
                <w:bCs/>
                <w:color w:val="auto"/>
                <w:szCs w:val="21"/>
                <w:highlight w:val="none"/>
              </w:rPr>
              <w:t>　</w:t>
            </w:r>
          </w:p>
        </w:tc>
      </w:tr>
      <w:tr w14:paraId="786E3AE2">
        <w:tblPrEx>
          <w:tblCellMar>
            <w:top w:w="0" w:type="dxa"/>
            <w:left w:w="108" w:type="dxa"/>
            <w:bottom w:w="0" w:type="dxa"/>
            <w:right w:w="108" w:type="dxa"/>
          </w:tblCellMar>
        </w:tblPrEx>
        <w:trPr>
          <w:trHeight w:val="615" w:hRule="atLeast"/>
          <w:jc w:val="center"/>
        </w:trPr>
        <w:tc>
          <w:tcPr>
            <w:tcW w:w="412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281425">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委托人确认（盖章）</w:t>
            </w:r>
          </w:p>
        </w:tc>
        <w:tc>
          <w:tcPr>
            <w:tcW w:w="236" w:type="dxa"/>
            <w:tcBorders>
              <w:top w:val="nil"/>
              <w:left w:val="nil"/>
              <w:bottom w:val="single" w:color="auto" w:sz="4" w:space="0"/>
              <w:right w:val="nil"/>
            </w:tcBorders>
            <w:shd w:val="clear" w:color="000000" w:fill="FFFFFF"/>
            <w:vAlign w:val="center"/>
          </w:tcPr>
          <w:p w14:paraId="3A4BAF26">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1327" w:type="dxa"/>
            <w:tcBorders>
              <w:top w:val="nil"/>
              <w:left w:val="nil"/>
              <w:bottom w:val="single" w:color="auto" w:sz="4" w:space="0"/>
              <w:right w:val="nil"/>
            </w:tcBorders>
            <w:shd w:val="clear" w:color="000000" w:fill="FFFFFF"/>
            <w:vAlign w:val="center"/>
          </w:tcPr>
          <w:p w14:paraId="06586144">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c>
          <w:tcPr>
            <w:tcW w:w="3540" w:type="dxa"/>
            <w:gridSpan w:val="5"/>
            <w:tcBorders>
              <w:top w:val="single" w:color="auto" w:sz="4" w:space="0"/>
              <w:left w:val="nil"/>
              <w:bottom w:val="single" w:color="auto" w:sz="4" w:space="0"/>
              <w:right w:val="single" w:color="000000" w:sz="4" w:space="0"/>
            </w:tcBorders>
            <w:shd w:val="clear" w:color="000000" w:fill="FFFFFF"/>
            <w:vAlign w:val="center"/>
          </w:tcPr>
          <w:p w14:paraId="3882249A">
            <w:pPr>
              <w:keepNext w:val="0"/>
              <w:keepLines w:val="0"/>
              <w:suppressLineNumbers w:val="0"/>
              <w:spacing w:before="0" w:beforeAutospacing="0" w:after="0" w:afterAutospacing="0"/>
              <w:ind w:left="0" w:right="0"/>
              <w:jc w:val="center"/>
              <w:rPr>
                <w:rFonts w:hint="default" w:ascii="Times New Roman" w:hAnsi="Times New Roman" w:cs="宋体"/>
                <w:color w:val="auto"/>
                <w:szCs w:val="21"/>
                <w:highlight w:val="none"/>
              </w:rPr>
            </w:pPr>
            <w:r>
              <w:rPr>
                <w:rFonts w:hint="eastAsia" w:ascii="Times New Roman" w:hAnsi="Times New Roman" w:cs="宋体"/>
                <w:color w:val="auto"/>
                <w:szCs w:val="21"/>
                <w:highlight w:val="none"/>
              </w:rPr>
              <w:t>　</w:t>
            </w:r>
          </w:p>
        </w:tc>
      </w:tr>
      <w:tr w14:paraId="353519DC">
        <w:tblPrEx>
          <w:tblCellMar>
            <w:top w:w="0" w:type="dxa"/>
            <w:left w:w="108" w:type="dxa"/>
            <w:bottom w:w="0" w:type="dxa"/>
            <w:right w:w="108" w:type="dxa"/>
          </w:tblCellMar>
        </w:tblPrEx>
        <w:trPr>
          <w:trHeight w:val="638" w:hRule="atLeast"/>
          <w:jc w:val="center"/>
        </w:trPr>
        <w:tc>
          <w:tcPr>
            <w:tcW w:w="9229" w:type="dxa"/>
            <w:gridSpan w:val="9"/>
            <w:tcBorders>
              <w:top w:val="single" w:color="auto" w:sz="4" w:space="0"/>
              <w:left w:val="nil"/>
              <w:right w:val="nil"/>
            </w:tcBorders>
            <w:shd w:val="clear" w:color="000000" w:fill="FFFFFF"/>
            <w:vAlign w:val="center"/>
          </w:tcPr>
          <w:p w14:paraId="0EFBBDCE">
            <w:pPr>
              <w:keepNext w:val="0"/>
              <w:keepLines w:val="0"/>
              <w:suppressLineNumbers w:val="0"/>
              <w:spacing w:before="0" w:beforeAutospacing="0" w:after="0" w:afterAutospacing="0"/>
              <w:ind w:left="0" w:right="0"/>
              <w:rPr>
                <w:rFonts w:hint="default" w:ascii="Times New Roman" w:hAnsi="Times New Roman"/>
                <w:color w:val="auto"/>
                <w:highlight w:val="none"/>
              </w:rPr>
            </w:pPr>
            <w:r>
              <w:rPr>
                <w:rFonts w:hint="eastAsia" w:ascii="Times New Roman" w:hAnsi="Times New Roman" w:cs="宋体"/>
                <w:color w:val="auto"/>
                <w:sz w:val="24"/>
                <w:szCs w:val="24"/>
                <w:highlight w:val="none"/>
              </w:rPr>
              <w:t>注：满分为</w:t>
            </w:r>
            <w:r>
              <w:rPr>
                <w:rFonts w:hint="default" w:ascii="Times New Roman" w:hAnsi="Times New Roman" w:cs="宋体"/>
                <w:color w:val="auto"/>
                <w:sz w:val="24"/>
                <w:szCs w:val="24"/>
                <w:highlight w:val="none"/>
              </w:rPr>
              <w:t>100</w:t>
            </w:r>
            <w:r>
              <w:rPr>
                <w:rFonts w:hint="eastAsia" w:ascii="Times New Roman" w:hAnsi="Times New Roman" w:cs="宋体"/>
                <w:color w:val="auto"/>
                <w:sz w:val="24"/>
                <w:szCs w:val="24"/>
                <w:highlight w:val="none"/>
              </w:rPr>
              <w:t>分，按照各考评分项，根据监理人竣工结算审核工作完成程度给予打分。</w:t>
            </w:r>
          </w:p>
        </w:tc>
      </w:tr>
    </w:tbl>
    <w:p w14:paraId="51571771">
      <w:pPr>
        <w:rPr>
          <w:color w:val="auto"/>
          <w:highlight w:val="none"/>
        </w:rPr>
      </w:pPr>
    </w:p>
    <w:bookmarkEnd w:id="5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dobeSongStd-Light">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0300">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CD13">
    <w:pPr>
      <w:tabs>
        <w:tab w:val="center" w:pos="4320"/>
        <w:tab w:val="right" w:pos="8306"/>
      </w:tabs>
      <w:snapToGrid w:val="0"/>
      <w:rPr>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F3D2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CAF3D2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9AFE">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00397">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200397">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D0C4">
    <w:pPr>
      <w:snapToGrid w:val="0"/>
      <w:jc w:val="center"/>
      <w:rPr>
        <w:kern w:val="0"/>
        <w:sz w:val="18"/>
        <w:szCs w:val="18"/>
      </w:rPr>
    </w:pPr>
    <w:r>
      <w:rPr>
        <w:kern w:val="0"/>
        <w:sz w:val="18"/>
        <w:szCs w:val="18"/>
      </w:rPr>
      <w:t xml:space="preserve"> PAGE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F01C">
    <w:pPr>
      <w:snapToGrid w:val="0"/>
      <w:jc w:val="left"/>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A01331">
                          <w:pPr>
                            <w:snapToGrid w:val="0"/>
                            <w:jc w:val="left"/>
                            <w:rPr>
                              <w:rFonts w:hint="eastAsia"/>
                              <w:kern w:val="0"/>
                              <w:sz w:val="18"/>
                              <w:szCs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1A01331">
                    <w:pPr>
                      <w:snapToGrid w:val="0"/>
                      <w:jc w:val="left"/>
                      <w:rPr>
                        <w:rFonts w:hint="eastAsia"/>
                        <w:kern w:val="0"/>
                        <w:sz w:val="18"/>
                        <w:szCs w:val="18"/>
                      </w:rPr>
                    </w:pPr>
                  </w:p>
                </w:txbxContent>
              </v:textbox>
            </v:shape>
          </w:pict>
        </mc:Fallback>
      </mc:AlternateContent>
    </w:r>
  </w:p>
  <w:p w14:paraId="6C6A1130">
    <w:pPr>
      <w:snapToGrid w:val="0"/>
      <w:jc w:val="left"/>
      <w:rPr>
        <w:kern w:val="0"/>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EA18">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41AC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9D749">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C59D749">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B7F8">
    <w:pPr>
      <w:pStyle w:val="9"/>
      <w:ind w:left="420"/>
      <w:jc w:val="right"/>
      <w:rPr>
        <w:rFonts w:hint="eastAsia"/>
        <w:b/>
        <w:bCs/>
        <w:sz w:val="24"/>
        <w:szCs w:val="24"/>
      </w:rPr>
    </w:pPr>
  </w:p>
  <w:p w14:paraId="3DCD11F6">
    <w:pPr>
      <w:pStyle w:val="9"/>
      <w:ind w:left="420"/>
      <w:jc w:val="right"/>
      <w:rPr>
        <w:rFonts w:hint="eastAsia"/>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378F">
    <w:pPr>
      <w:pStyle w:val="7"/>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C84">
    <w:pPr>
      <w:pBdr>
        <w:bottom w:val="none" w:color="auto" w:sz="0" w:space="1"/>
      </w:pBdr>
      <w:tabs>
        <w:tab w:val="center" w:pos="4153"/>
        <w:tab w:val="right" w:pos="8306"/>
      </w:tabs>
      <w:snapToGrid w:val="0"/>
      <w:jc w:val="both"/>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9F79">
    <w:pPr>
      <w:snapToGrid w:val="0"/>
      <w:jc w:val="center"/>
      <w:rPr>
        <w:kern w:val="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CA11">
    <w:pPr>
      <w:framePr w:wrap="around" w:vAnchor="text" w:hAnchor="margin" w:xAlign="right" w:y="1"/>
      <w:snapToGrid w:val="0"/>
      <w:jc w:val="left"/>
      <w:rPr>
        <w:kern w:val="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3EB8">
    <w:pPr>
      <w:snapToGrid w:val="0"/>
      <w:jc w:val="center"/>
      <w:rPr>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9E6FD"/>
    <w:multiLevelType w:val="singleLevel"/>
    <w:tmpl w:val="FEF9E6FD"/>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bullet"/>
      <w:lvlText w:val=""/>
      <w:lvlJc w:val="left"/>
      <w:rPr>
        <w:rFonts w:hint="default" w:ascii="Wingdings" w:hAnsi="Wingdings"/>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singleLevel"/>
    <w:tmpl w:val="00000004"/>
    <w:lvl w:ilvl="0" w:tentative="0">
      <w:start w:val="4"/>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ind w:left="96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40E1D"/>
    <w:rsid w:val="0DF5276F"/>
    <w:rsid w:val="0EF40E1D"/>
    <w:rsid w:val="15FD3A1F"/>
    <w:rsid w:val="1B080D9A"/>
    <w:rsid w:val="1F6F7569"/>
    <w:rsid w:val="236470EF"/>
    <w:rsid w:val="2BF873DB"/>
    <w:rsid w:val="2C1335F7"/>
    <w:rsid w:val="33923933"/>
    <w:rsid w:val="373F1AC6"/>
    <w:rsid w:val="3B8060CF"/>
    <w:rsid w:val="3C7F3B76"/>
    <w:rsid w:val="3E3EEBB6"/>
    <w:rsid w:val="3ED3E46B"/>
    <w:rsid w:val="3F2F9579"/>
    <w:rsid w:val="3FD6884E"/>
    <w:rsid w:val="432A549E"/>
    <w:rsid w:val="4B986A12"/>
    <w:rsid w:val="4DFA5A36"/>
    <w:rsid w:val="53072EA1"/>
    <w:rsid w:val="535FEE59"/>
    <w:rsid w:val="553D25CC"/>
    <w:rsid w:val="55FB5E03"/>
    <w:rsid w:val="577C4FAB"/>
    <w:rsid w:val="577DD052"/>
    <w:rsid w:val="57C780B9"/>
    <w:rsid w:val="59B68DE9"/>
    <w:rsid w:val="5DB37248"/>
    <w:rsid w:val="5DFFC2BA"/>
    <w:rsid w:val="5E5F771B"/>
    <w:rsid w:val="5EAF8A09"/>
    <w:rsid w:val="5EC99924"/>
    <w:rsid w:val="61AF7558"/>
    <w:rsid w:val="676B13A2"/>
    <w:rsid w:val="677F241D"/>
    <w:rsid w:val="686F425A"/>
    <w:rsid w:val="6EFEBD1D"/>
    <w:rsid w:val="6FDD97CB"/>
    <w:rsid w:val="6FFF6447"/>
    <w:rsid w:val="73FF8A8D"/>
    <w:rsid w:val="75FF06B6"/>
    <w:rsid w:val="766A113A"/>
    <w:rsid w:val="77EF6DBF"/>
    <w:rsid w:val="77EFADE1"/>
    <w:rsid w:val="7974E0E4"/>
    <w:rsid w:val="7975F550"/>
    <w:rsid w:val="79AD6E64"/>
    <w:rsid w:val="79ED10DD"/>
    <w:rsid w:val="7BE7B0BC"/>
    <w:rsid w:val="7BFF0285"/>
    <w:rsid w:val="7DEFE13D"/>
    <w:rsid w:val="7DFF1313"/>
    <w:rsid w:val="7E08049B"/>
    <w:rsid w:val="7E57E65C"/>
    <w:rsid w:val="7EAFFA3E"/>
    <w:rsid w:val="7ED839C6"/>
    <w:rsid w:val="7FCDC32C"/>
    <w:rsid w:val="7FEE0A33"/>
    <w:rsid w:val="977FAD61"/>
    <w:rsid w:val="9FFFF030"/>
    <w:rsid w:val="AFF68C13"/>
    <w:rsid w:val="B0DD315E"/>
    <w:rsid w:val="B25E7556"/>
    <w:rsid w:val="BAFB9658"/>
    <w:rsid w:val="BB7F8485"/>
    <w:rsid w:val="BBFC553E"/>
    <w:rsid w:val="BDBB2257"/>
    <w:rsid w:val="BDFEBFB4"/>
    <w:rsid w:val="BEB4AAAF"/>
    <w:rsid w:val="BF7F6423"/>
    <w:rsid w:val="BFF6146B"/>
    <w:rsid w:val="BFFD2DF3"/>
    <w:rsid w:val="C2B3219B"/>
    <w:rsid w:val="CC7FEC4F"/>
    <w:rsid w:val="CE7FE1DA"/>
    <w:rsid w:val="CF5707CD"/>
    <w:rsid w:val="CFF79D56"/>
    <w:rsid w:val="D3CBF17F"/>
    <w:rsid w:val="D3DDCC37"/>
    <w:rsid w:val="D77D4345"/>
    <w:rsid w:val="DB77EB90"/>
    <w:rsid w:val="DC97E7D5"/>
    <w:rsid w:val="DECA8DC0"/>
    <w:rsid w:val="DF6F3745"/>
    <w:rsid w:val="E7D73B02"/>
    <w:rsid w:val="E9FB8C01"/>
    <w:rsid w:val="EBD733DC"/>
    <w:rsid w:val="EBE46490"/>
    <w:rsid w:val="EEFFF80E"/>
    <w:rsid w:val="EF63B0BD"/>
    <w:rsid w:val="F45789FA"/>
    <w:rsid w:val="F6F78131"/>
    <w:rsid w:val="F76F7DB3"/>
    <w:rsid w:val="FBFE0490"/>
    <w:rsid w:val="FBFE4177"/>
    <w:rsid w:val="FDBCBD5E"/>
    <w:rsid w:val="FE3F3B31"/>
    <w:rsid w:val="FEBEF43B"/>
    <w:rsid w:val="FFB3F3C9"/>
    <w:rsid w:val="FFBF3AAF"/>
    <w:rsid w:val="FFBF4BC2"/>
    <w:rsid w:val="FFEB7B4B"/>
    <w:rsid w:val="FFED68C6"/>
    <w:rsid w:val="FFF2B04F"/>
    <w:rsid w:val="FFFFAA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paragraph" w:styleId="3">
    <w:name w:val="heading 3"/>
    <w:basedOn w:val="1"/>
    <w:next w:val="1"/>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line="360" w:lineRule="auto"/>
      <w:ind w:firstLine="602" w:firstLineChars="200"/>
    </w:pPr>
    <w:rPr>
      <w:rFonts w:ascii="宋体" w:hAnsi="宋体" w:eastAsia="宋体" w:cs="宋体"/>
      <w:snapToGrid w:val="0"/>
      <w:color w:val="000000"/>
      <w:kern w:val="0"/>
      <w:sz w:val="24"/>
      <w:szCs w:val="24"/>
      <w:lang w:eastAsia="en-US"/>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style>
  <w:style w:type="paragraph" w:styleId="9">
    <w:name w:val="Body Text Indent 3"/>
    <w:basedOn w:val="1"/>
    <w:qFormat/>
    <w:uiPriority w:val="0"/>
    <w:pPr>
      <w:spacing w:after="120"/>
      <w:ind w:left="200" w:leftChars="200"/>
    </w:pPr>
    <w:rPr>
      <w:kern w:val="0"/>
      <w:sz w:val="16"/>
      <w:szCs w:val="16"/>
    </w:rPr>
  </w:style>
  <w:style w:type="paragraph" w:styleId="10">
    <w:name w:val="Normal (Web)"/>
    <w:basedOn w:val="1"/>
    <w:qFormat/>
    <w:uiPriority w:val="0"/>
    <w:pPr>
      <w:jc w:val="left"/>
    </w:pPr>
    <w:rPr>
      <w:rFonts w:ascii="微软雅黑" w:hAnsi="微软雅黑" w:eastAsia="微软雅黑"/>
      <w:kern w:val="0"/>
      <w:sz w:val="20"/>
      <w:szCs w:val="20"/>
    </w:rPr>
  </w:style>
  <w:style w:type="paragraph" w:styleId="11">
    <w:name w:val="Body Text First Indent"/>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character" w:styleId="14">
    <w:name w:val="Hyperlink"/>
    <w:qFormat/>
    <w:uiPriority w:val="0"/>
    <w:rPr>
      <w:rFonts w:hint="default" w:ascii="Calibri" w:hAnsi="Calibri" w:eastAsia="宋体" w:cs="Calibri"/>
      <w:color w:val="0000FF"/>
      <w:u w:val="single"/>
    </w:rPr>
  </w:style>
  <w:style w:type="paragraph" w:customStyle="1" w:styleId="15">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16">
    <w:name w:val="正题"/>
    <w:basedOn w:val="17"/>
    <w:next w:val="17"/>
    <w:qFormat/>
    <w:uiPriority w:val="0"/>
    <w:pPr>
      <w:ind w:firstLine="0" w:firstLineChars="0"/>
      <w:jc w:val="center"/>
    </w:pPr>
    <w:rPr>
      <w:rFonts w:ascii="Calibri" w:hAnsi="Calibri" w:eastAsia="黑体" w:cs="Times New Roman"/>
      <w:b/>
      <w:sz w:val="36"/>
      <w:szCs w:val="36"/>
    </w:rPr>
  </w:style>
  <w:style w:type="paragraph" w:customStyle="1" w:styleId="17">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8">
    <w:name w:val="章节三"/>
    <w:basedOn w:val="17"/>
    <w:next w:val="17"/>
    <w:qFormat/>
    <w:uiPriority w:val="0"/>
    <w:pPr>
      <w:spacing w:beforeLines="50" w:afterLines="50" w:line="240" w:lineRule="auto"/>
      <w:ind w:firstLine="0" w:firstLineChars="0"/>
      <w:jc w:val="left"/>
      <w:outlineLvl w:val="2"/>
    </w:pPr>
    <w:rPr>
      <w:rFonts w:ascii="黑体" w:hAnsi="宋体" w:eastAsia="黑体" w:cs="Times New Roman"/>
      <w:b/>
    </w:rPr>
  </w:style>
  <w:style w:type="paragraph" w:customStyle="1" w:styleId="19">
    <w:name w:val="自定义3级"/>
    <w:basedOn w:val="3"/>
    <w:qFormat/>
    <w:uiPriority w:val="0"/>
    <w:pPr>
      <w:spacing w:before="0" w:after="0" w:line="360" w:lineRule="auto"/>
    </w:pPr>
    <w:rPr>
      <w:rFonts w:cs="Times New Roman"/>
      <w:color w:val="auto"/>
      <w:sz w:val="30"/>
      <w:lang w:eastAsia="zh-Hans"/>
    </w:rPr>
  </w:style>
  <w:style w:type="paragraph" w:customStyle="1" w:styleId="20">
    <w:name w:val="列出段落1"/>
    <w:basedOn w:val="1"/>
    <w:qFormat/>
    <w:uiPriority w:val="0"/>
    <w:pPr>
      <w:ind w:firstLine="420" w:firstLineChars="200"/>
    </w:pPr>
    <w:rPr>
      <w:rFonts w:cs="Calibri"/>
      <w:szCs w:val="21"/>
    </w:rPr>
  </w:style>
  <w:style w:type="paragraph" w:customStyle="1" w:styleId="21">
    <w:name w:val="自定表格内容"/>
    <w:basedOn w:val="5"/>
    <w:qFormat/>
    <w:uiPriority w:val="0"/>
    <w:pPr>
      <w:spacing w:after="0" w:line="360" w:lineRule="auto"/>
    </w:pPr>
    <w:rPr>
      <w:sz w:val="21"/>
    </w:rPr>
  </w:style>
  <w:style w:type="paragraph" w:customStyle="1" w:styleId="22">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4">
    <w:name w:val="List Paragraph"/>
    <w:basedOn w:val="1"/>
    <w:qFormat/>
    <w:uiPriority w:val="0"/>
    <w:pPr>
      <w:ind w:firstLine="420" w:firstLineChars="200"/>
    </w:pPr>
    <w:rPr>
      <w:rFonts w:ascii="Times New Roman" w:hAnsi="Times New Roman"/>
    </w:rPr>
  </w:style>
  <w:style w:type="character" w:customStyle="1" w:styleId="25">
    <w:name w:val="font11"/>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46</TotalTime>
  <Pages>208</Pages>
  <Words>15509</Words>
  <Characters>16454</Characters>
  <DocSecurity>0</DocSecurity>
  <Lines>1</Lines>
  <Paragraphs>1</Paragraphs>
  <ScaleCrop>false</ScaleCrop>
  <LinksUpToDate>false</LinksUpToDate>
  <CharactersWithSpaces>16767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2025-08-30T10:18:00Z</dcterms:created>
  <dcterms:modified xsi:type="dcterms:W3CDTF">2025-09-22T06:46:26Z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0BD3EB1714744BB298F6FDDBEA40B828_13</vt:lpwstr>
  </property>
  <property fmtid="{D5CDD505-2E9C-101B-9397-08002B2CF9AE}" pid="4" name="KSOTemplateDocerSaveRecord">
    <vt:lpwstr>eyJoZGlkIjoiOTM4Mzc5NjE1NWI2M2E4ODc4Mjk5MDcxYjVmYTM5MzYiLCJ1c2VySWQiOiIxNjAxMzk4MzU5In0=</vt:lpwstr>
  </property>
</Properties>
</file>