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42A42">
      <w:pPr>
        <w:wordWrap/>
        <w:ind w:left="0" w:leftChars="0" w:right="0" w:rightChars="0" w:firstLine="0" w:firstLineChars="0"/>
        <w:jc w:val="center"/>
        <w:rPr>
          <w:rFonts w:hint="eastAsia" w:ascii="宋体" w:hAnsi="宋体" w:eastAsia="宋体" w:cs="宋体"/>
          <w:b w:val="0"/>
          <w:color w:val="auto"/>
          <w:sz w:val="48"/>
          <w:szCs w:val="48"/>
          <w:highlight w:val="none"/>
        </w:rPr>
      </w:pPr>
      <w:bookmarkStart w:id="0" w:name="_Toc152045511"/>
      <w:bookmarkStart w:id="1" w:name="_Toc152042287"/>
      <w:bookmarkStart w:id="2" w:name="_Toc144974479"/>
    </w:p>
    <w:p w14:paraId="21E50C28">
      <w:pPr>
        <w:spacing w:line="360" w:lineRule="auto"/>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eastAsia="zh-CN"/>
        </w:rPr>
        <w:t>中共广州市天河区委党校及区人民武装部独立营院建设项目（周边道路建设工程）</w:t>
      </w:r>
      <w:r>
        <w:rPr>
          <w:rFonts w:hint="eastAsia" w:ascii="宋体" w:hAnsi="宋体" w:eastAsia="宋体" w:cs="宋体"/>
          <w:b/>
          <w:color w:val="auto"/>
          <w:sz w:val="48"/>
          <w:szCs w:val="48"/>
          <w:highlight w:val="none"/>
          <w:lang w:val="en-US" w:eastAsia="zh-CN"/>
        </w:rPr>
        <w:t>监理</w:t>
      </w:r>
    </w:p>
    <w:p w14:paraId="09183818">
      <w:pPr>
        <w:wordWrap/>
        <w:jc w:val="center"/>
        <w:rPr>
          <w:rFonts w:hint="eastAsia" w:ascii="宋体" w:hAnsi="宋体" w:eastAsia="宋体" w:cs="宋体"/>
          <w:color w:val="auto"/>
          <w:sz w:val="48"/>
          <w:szCs w:val="48"/>
          <w:highlight w:val="none"/>
        </w:rPr>
      </w:pPr>
    </w:p>
    <w:p w14:paraId="411506F5">
      <w:pPr>
        <w:wordWrap/>
        <w:jc w:val="center"/>
        <w:rPr>
          <w:rFonts w:hint="eastAsia" w:ascii="宋体" w:hAnsi="宋体" w:eastAsia="宋体" w:cs="宋体"/>
          <w:color w:val="auto"/>
          <w:sz w:val="48"/>
          <w:szCs w:val="48"/>
          <w:highlight w:val="none"/>
        </w:rPr>
      </w:pPr>
    </w:p>
    <w:p w14:paraId="34FE7321">
      <w:pPr>
        <w:wordWrap/>
        <w:jc w:val="center"/>
        <w:rPr>
          <w:rFonts w:hint="eastAsia" w:ascii="宋体" w:hAnsi="宋体" w:eastAsia="宋体" w:cs="宋体"/>
          <w:color w:val="auto"/>
          <w:sz w:val="48"/>
          <w:szCs w:val="48"/>
          <w:highlight w:val="none"/>
        </w:rPr>
      </w:pPr>
    </w:p>
    <w:p w14:paraId="63CA0934">
      <w:pPr>
        <w:wordWrap/>
        <w:jc w:val="center"/>
        <w:rPr>
          <w:rFonts w:hint="eastAsia" w:ascii="宋体" w:hAnsi="宋体" w:eastAsia="宋体" w:cs="宋体"/>
          <w:color w:val="auto"/>
          <w:sz w:val="48"/>
          <w:szCs w:val="48"/>
          <w:highlight w:val="none"/>
        </w:rPr>
      </w:pPr>
    </w:p>
    <w:p w14:paraId="5B1A0996">
      <w:pPr>
        <w:wordWrap w:val="0"/>
        <w:jc w:val="center"/>
        <w:rPr>
          <w:rFonts w:hint="eastAsia" w:ascii="宋体" w:hAnsi="宋体" w:eastAsia="宋体" w:cs="宋体"/>
          <w:color w:val="auto"/>
          <w:sz w:val="84"/>
          <w:szCs w:val="84"/>
          <w:highlight w:val="none"/>
        </w:rPr>
      </w:pPr>
      <w:r>
        <w:rPr>
          <w:rFonts w:hint="eastAsia" w:ascii="宋体" w:hAnsi="宋体" w:eastAsia="宋体" w:cs="宋体"/>
          <w:b/>
          <w:bCs/>
          <w:color w:val="auto"/>
          <w:sz w:val="84"/>
          <w:szCs w:val="84"/>
          <w:highlight w:val="none"/>
          <w:lang w:bidi="ar"/>
        </w:rPr>
        <w:t>招 标 文 件</w:t>
      </w:r>
    </w:p>
    <w:p w14:paraId="005013C5">
      <w:pPr>
        <w:wordWrap/>
        <w:jc w:val="center"/>
        <w:rPr>
          <w:rFonts w:hint="eastAsia" w:ascii="宋体" w:hAnsi="宋体" w:eastAsia="宋体" w:cs="宋体"/>
          <w:color w:val="auto"/>
          <w:sz w:val="48"/>
          <w:szCs w:val="48"/>
          <w:highlight w:val="none"/>
        </w:rPr>
      </w:pPr>
    </w:p>
    <w:p w14:paraId="05BCA494">
      <w:pPr>
        <w:wordWrap/>
        <w:jc w:val="center"/>
        <w:rPr>
          <w:rFonts w:hint="eastAsia" w:ascii="宋体" w:hAnsi="宋体" w:eastAsia="宋体" w:cs="宋体"/>
          <w:color w:val="auto"/>
          <w:sz w:val="48"/>
          <w:szCs w:val="48"/>
          <w:highlight w:val="none"/>
        </w:rPr>
      </w:pPr>
    </w:p>
    <w:p w14:paraId="4AAC542B">
      <w:pPr>
        <w:wordWrap/>
        <w:jc w:val="center"/>
        <w:rPr>
          <w:rFonts w:hint="eastAsia" w:ascii="宋体" w:hAnsi="宋体" w:eastAsia="宋体" w:cs="宋体"/>
          <w:color w:val="auto"/>
          <w:sz w:val="48"/>
          <w:szCs w:val="48"/>
          <w:highlight w:val="none"/>
        </w:rPr>
      </w:pPr>
    </w:p>
    <w:p w14:paraId="33903A9B">
      <w:pPr>
        <w:wordWrap/>
        <w:jc w:val="center"/>
        <w:rPr>
          <w:rFonts w:hint="eastAsia" w:ascii="宋体" w:hAnsi="宋体" w:eastAsia="宋体" w:cs="宋体"/>
          <w:color w:val="auto"/>
          <w:sz w:val="48"/>
          <w:szCs w:val="48"/>
          <w:highlight w:val="none"/>
        </w:rPr>
      </w:pPr>
    </w:p>
    <w:p w14:paraId="64746D43">
      <w:pPr>
        <w:wordWrap/>
        <w:jc w:val="center"/>
        <w:rPr>
          <w:rFonts w:hint="eastAsia" w:ascii="宋体" w:hAnsi="宋体" w:eastAsia="宋体" w:cs="宋体"/>
          <w:color w:val="auto"/>
          <w:sz w:val="48"/>
          <w:szCs w:val="48"/>
          <w:highlight w:val="none"/>
        </w:rPr>
      </w:pPr>
    </w:p>
    <w:p w14:paraId="2C1496B9">
      <w:pPr>
        <w:wordWrap/>
        <w:jc w:val="center"/>
        <w:rPr>
          <w:rFonts w:hint="eastAsia" w:ascii="宋体" w:hAnsi="宋体" w:eastAsia="宋体" w:cs="宋体"/>
          <w:color w:val="auto"/>
          <w:sz w:val="48"/>
          <w:szCs w:val="48"/>
          <w:highlight w:val="none"/>
        </w:rPr>
      </w:pPr>
    </w:p>
    <w:p w14:paraId="7A1DA67C">
      <w:pPr>
        <w:wordWrap/>
        <w:jc w:val="center"/>
        <w:rPr>
          <w:rFonts w:hint="eastAsia" w:ascii="宋体" w:hAnsi="宋体" w:eastAsia="宋体" w:cs="宋体"/>
          <w:color w:val="auto"/>
          <w:sz w:val="48"/>
          <w:szCs w:val="48"/>
          <w:highlight w:val="none"/>
        </w:rPr>
      </w:pPr>
    </w:p>
    <w:p w14:paraId="63FB624E">
      <w:pPr>
        <w:wordWrap/>
        <w:jc w:val="center"/>
        <w:rPr>
          <w:rFonts w:hint="eastAsia" w:ascii="宋体" w:hAnsi="宋体" w:eastAsia="宋体" w:cs="宋体"/>
          <w:color w:val="auto"/>
          <w:sz w:val="48"/>
          <w:szCs w:val="48"/>
          <w:highlight w:val="none"/>
        </w:rPr>
      </w:pPr>
    </w:p>
    <w:p w14:paraId="4AF08CD4">
      <w:pPr>
        <w:wordWrap w:val="0"/>
        <w:spacing w:line="360" w:lineRule="auto"/>
        <w:ind w:left="420" w:leftChars="200" w:firstLine="855" w:firstLineChars="266"/>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bidi="ar"/>
        </w:rPr>
        <w:t>招   标   人：</w:t>
      </w:r>
      <w:r>
        <w:rPr>
          <w:rFonts w:hint="eastAsia" w:ascii="宋体" w:hAnsi="宋体" w:eastAsia="宋体" w:cs="宋体"/>
          <w:b/>
          <w:color w:val="auto"/>
          <w:sz w:val="32"/>
          <w:szCs w:val="32"/>
          <w:highlight w:val="none"/>
          <w:lang w:eastAsia="zh-CN" w:bidi="ar"/>
        </w:rPr>
        <w:t>广州市天河区建设工程项目代建局</w:t>
      </w:r>
    </w:p>
    <w:p w14:paraId="351CC28B">
      <w:pPr>
        <w:wordWrap w:val="0"/>
        <w:spacing w:line="360" w:lineRule="auto"/>
        <w:ind w:left="420" w:leftChars="200" w:firstLine="855" w:firstLineChars="266"/>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bidi="ar"/>
        </w:rPr>
        <w:t>招标代理机构：</w:t>
      </w:r>
      <w:r>
        <w:rPr>
          <w:rFonts w:hint="eastAsia" w:ascii="宋体" w:hAnsi="宋体" w:eastAsia="宋体" w:cs="宋体"/>
          <w:b/>
          <w:color w:val="auto"/>
          <w:sz w:val="32"/>
          <w:szCs w:val="32"/>
          <w:highlight w:val="none"/>
          <w:lang w:eastAsia="zh-CN"/>
        </w:rPr>
        <w:t>广州高新工程顾问有限公司</w:t>
      </w:r>
    </w:p>
    <w:p w14:paraId="07CFAA1C">
      <w:pPr>
        <w:wordWrap w:val="0"/>
        <w:spacing w:line="360" w:lineRule="auto"/>
        <w:ind w:left="420" w:leftChars="200" w:firstLine="855" w:firstLineChars="266"/>
        <w:jc w:val="left"/>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日        期：</w:t>
      </w:r>
      <w:r>
        <w:rPr>
          <w:rFonts w:hint="eastAsia" w:ascii="宋体" w:hAnsi="宋体" w:eastAsia="宋体" w:cs="宋体"/>
          <w:b/>
          <w:color w:val="auto"/>
          <w:sz w:val="32"/>
          <w:szCs w:val="32"/>
          <w:highlight w:val="none"/>
          <w:u w:val="single"/>
          <w:lang w:bidi="ar"/>
        </w:rPr>
        <w:t>2025</w:t>
      </w:r>
      <w:r>
        <w:rPr>
          <w:rFonts w:hint="eastAsia" w:ascii="宋体" w:hAnsi="宋体" w:eastAsia="宋体" w:cs="宋体"/>
          <w:b/>
          <w:color w:val="auto"/>
          <w:sz w:val="32"/>
          <w:szCs w:val="32"/>
          <w:highlight w:val="none"/>
          <w:lang w:bidi="ar"/>
        </w:rPr>
        <w:t>年</w:t>
      </w:r>
      <w:r>
        <w:rPr>
          <w:rFonts w:hint="eastAsia" w:ascii="宋体" w:hAnsi="宋体" w:eastAsia="宋体" w:cs="宋体"/>
          <w:b/>
          <w:color w:val="auto"/>
          <w:sz w:val="32"/>
          <w:szCs w:val="32"/>
          <w:highlight w:val="none"/>
          <w:u w:val="single"/>
          <w:lang w:val="en-US" w:eastAsia="zh-CN" w:bidi="ar"/>
        </w:rPr>
        <w:t>9</w:t>
      </w:r>
      <w:r>
        <w:rPr>
          <w:rFonts w:hint="eastAsia" w:ascii="宋体" w:hAnsi="宋体" w:eastAsia="宋体" w:cs="宋体"/>
          <w:b/>
          <w:color w:val="auto"/>
          <w:sz w:val="32"/>
          <w:szCs w:val="32"/>
          <w:highlight w:val="none"/>
          <w:lang w:bidi="ar"/>
        </w:rPr>
        <w:t>月</w:t>
      </w:r>
    </w:p>
    <w:p w14:paraId="1A6EA1DA">
      <w:pPr>
        <w:wordWrap w:val="0"/>
        <w:spacing w:line="360" w:lineRule="auto"/>
        <w:ind w:left="420" w:leftChars="200" w:firstLine="855" w:firstLineChars="266"/>
        <w:jc w:val="left"/>
        <w:rPr>
          <w:rFonts w:hint="eastAsia" w:ascii="宋体" w:hAnsi="宋体" w:eastAsia="宋体" w:cs="宋体"/>
          <w:b/>
          <w:color w:val="auto"/>
          <w:sz w:val="32"/>
          <w:szCs w:val="32"/>
          <w:highlight w:val="none"/>
        </w:rPr>
      </w:pPr>
    </w:p>
    <w:p w14:paraId="4BEA77FE">
      <w:pPr>
        <w:wordWrap w:val="0"/>
        <w:spacing w:line="600" w:lineRule="exact"/>
        <w:jc w:val="center"/>
        <w:rPr>
          <w:rFonts w:hint="eastAsia" w:ascii="宋体" w:hAnsi="宋体" w:eastAsia="宋体" w:cs="宋体"/>
          <w:b/>
          <w:color w:val="auto"/>
          <w:highlight w:val="none"/>
          <w:lang w:val="zh-CN"/>
        </w:rPr>
        <w:sectPr>
          <w:pgSz w:w="11907" w:h="16839"/>
          <w:pgMar w:top="1440" w:right="1080" w:bottom="1440" w:left="1080" w:header="720" w:footer="720" w:gutter="0"/>
          <w:cols w:space="720" w:num="1"/>
          <w:docGrid w:linePitch="285" w:charSpace="0"/>
        </w:sectPr>
      </w:pPr>
      <w:bookmarkStart w:id="3" w:name="_Toc154922225"/>
      <w:bookmarkStart w:id="4" w:name="_Toc154921241"/>
    </w:p>
    <w:bookmarkEnd w:id="3"/>
    <w:bookmarkEnd w:id="4"/>
    <w:p w14:paraId="2587929A">
      <w:pPr>
        <w:wordWrap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40"/>
          <w:szCs w:val="40"/>
          <w:highlight w:val="none"/>
          <w:lang w:val="zh-CN"/>
        </w:rPr>
        <w:t>目  录</w:t>
      </w:r>
    </w:p>
    <w:p w14:paraId="5D0FD936">
      <w:pPr>
        <w:tabs>
          <w:tab w:val="right" w:leader="dot" w:pos="8630"/>
        </w:tabs>
        <w:wordWrap w:val="0"/>
        <w:jc w:val="center"/>
        <w:rPr>
          <w:rFonts w:hint="eastAsia" w:ascii="宋体" w:hAnsi="宋体" w:eastAsia="宋体" w:cs="宋体"/>
          <w:color w:val="auto"/>
          <w:highlight w:val="none"/>
        </w:rPr>
      </w:pPr>
    </w:p>
    <w:p w14:paraId="440CE075">
      <w:pPr>
        <w:tabs>
          <w:tab w:val="right" w:leader="dot" w:pos="9063"/>
        </w:tabs>
        <w:wordWrap w:val="0"/>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"_Toc59200677"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第一卷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_Toc59200677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0BBB4D">
      <w:pPr>
        <w:tabs>
          <w:tab w:val="right" w:leader="dot" w:pos="9063"/>
        </w:tabs>
        <w:wordWrap w:val="0"/>
        <w:spacing w:line="560" w:lineRule="exact"/>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"_Toc59200678"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_Toc59200678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61D47CD">
      <w:pPr>
        <w:tabs>
          <w:tab w:val="right" w:leader="dot" w:pos="9063"/>
        </w:tabs>
        <w:wordWrap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"投标人须知" </w:instrText>
      </w:r>
      <w:r>
        <w:rPr>
          <w:rFonts w:hint="eastAsia" w:ascii="宋体" w:hAnsi="宋体" w:eastAsia="宋体" w:cs="宋体"/>
          <w:color w:val="auto"/>
          <w:sz w:val="24"/>
          <w:szCs w:val="24"/>
          <w:highlight w:val="none"/>
          <w:u w:val="none"/>
        </w:rPr>
        <w:fldChar w:fldCharType="separate"/>
      </w:r>
      <w:r>
        <w:rPr>
          <w:rStyle w:val="30"/>
          <w:rFonts w:hint="eastAsia" w:ascii="宋体" w:hAnsi="宋体" w:eastAsia="宋体" w:cs="宋体"/>
          <w:color w:val="auto"/>
          <w:sz w:val="24"/>
          <w:szCs w:val="24"/>
          <w:highlight w:val="none"/>
        </w:rPr>
        <w:t>第二章 投标人须知</w:t>
      </w:r>
      <w:r>
        <w:rPr>
          <w:rStyle w:val="30"/>
          <w:rFonts w:hint="eastAsia" w:ascii="宋体" w:hAnsi="宋体" w:eastAsia="宋体" w:cs="宋体"/>
          <w:color w:val="auto"/>
          <w:sz w:val="24"/>
          <w:szCs w:val="24"/>
          <w:highlight w:val="none"/>
        </w:rPr>
        <w:tab/>
      </w:r>
      <w:r>
        <w:rPr>
          <w:rStyle w:val="30"/>
          <w:rFonts w:hint="eastAsia" w:ascii="宋体" w:hAnsi="宋体" w:eastAsia="宋体" w:cs="宋体"/>
          <w:color w:val="auto"/>
          <w:sz w:val="24"/>
          <w:szCs w:val="24"/>
          <w:highlight w:val="none"/>
        </w:rPr>
        <w:fldChar w:fldCharType="begin"/>
      </w:r>
      <w:r>
        <w:rPr>
          <w:rStyle w:val="30"/>
          <w:rFonts w:hint="eastAsia" w:ascii="宋体" w:hAnsi="宋体" w:eastAsia="宋体" w:cs="宋体"/>
          <w:color w:val="auto"/>
          <w:sz w:val="24"/>
          <w:szCs w:val="24"/>
          <w:highlight w:val="none"/>
        </w:rPr>
        <w:instrText xml:space="preserve"> PAGEREF _Toc59200679 \h </w:instrText>
      </w:r>
      <w:r>
        <w:rPr>
          <w:rStyle w:val="30"/>
          <w:rFonts w:hint="eastAsia" w:ascii="宋体" w:hAnsi="宋体" w:eastAsia="宋体" w:cs="宋体"/>
          <w:color w:val="auto"/>
          <w:sz w:val="24"/>
          <w:szCs w:val="24"/>
          <w:highlight w:val="none"/>
        </w:rPr>
        <w:fldChar w:fldCharType="separate"/>
      </w:r>
      <w:r>
        <w:rPr>
          <w:rStyle w:val="30"/>
          <w:rFonts w:hint="eastAsia" w:ascii="宋体" w:hAnsi="宋体" w:eastAsia="宋体" w:cs="宋体"/>
          <w:color w:val="auto"/>
          <w:sz w:val="24"/>
          <w:szCs w:val="24"/>
          <w:highlight w:val="none"/>
        </w:rPr>
        <w:t>3</w:t>
      </w:r>
      <w:r>
        <w:rPr>
          <w:rStyle w:val="30"/>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u w:val="none"/>
        </w:rPr>
        <w:fldChar w:fldCharType="end"/>
      </w:r>
    </w:p>
    <w:p w14:paraId="2C583A3F">
      <w:pPr>
        <w:tabs>
          <w:tab w:val="right" w:leader="dot" w:pos="9063"/>
        </w:tabs>
        <w:wordWrap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"评标办法（综合评估法）" </w:instrText>
      </w:r>
      <w:r>
        <w:rPr>
          <w:rFonts w:hint="eastAsia" w:ascii="宋体" w:hAnsi="宋体" w:eastAsia="宋体" w:cs="宋体"/>
          <w:color w:val="auto"/>
          <w:sz w:val="24"/>
          <w:szCs w:val="24"/>
          <w:highlight w:val="none"/>
          <w:u w:val="none"/>
        </w:rPr>
        <w:fldChar w:fldCharType="separate"/>
      </w:r>
      <w:r>
        <w:rPr>
          <w:rStyle w:val="30"/>
          <w:rFonts w:hint="eastAsia" w:ascii="宋体" w:hAnsi="宋体" w:eastAsia="宋体" w:cs="宋体"/>
          <w:color w:val="auto"/>
          <w:sz w:val="24"/>
          <w:szCs w:val="24"/>
          <w:highlight w:val="none"/>
        </w:rPr>
        <w:t>第三章 评标办法（综合评估法）</w:t>
      </w:r>
      <w:r>
        <w:rPr>
          <w:rStyle w:val="30"/>
          <w:rFonts w:hint="eastAsia" w:ascii="宋体" w:hAnsi="宋体" w:eastAsia="宋体" w:cs="宋体"/>
          <w:color w:val="auto"/>
          <w:sz w:val="24"/>
          <w:szCs w:val="24"/>
          <w:highlight w:val="none"/>
        </w:rPr>
        <w:tab/>
      </w:r>
      <w:r>
        <w:rPr>
          <w:rStyle w:val="30"/>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lang w:val="en-US" w:eastAsia="zh-CN"/>
        </w:rPr>
        <w:t>2</w:t>
      </w:r>
    </w:p>
    <w:p w14:paraId="4FBF5442">
      <w:pPr>
        <w:tabs>
          <w:tab w:val="right" w:leader="dot" w:pos="9063"/>
        </w:tabs>
        <w:wordWrap w:val="0"/>
        <w:spacing w:line="560" w:lineRule="exact"/>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"_Toc59200694"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第四章 合同条款及格式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_Toc59200694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A104BDA">
      <w:pPr>
        <w:tabs>
          <w:tab w:val="right" w:leader="dot" w:pos="9063"/>
        </w:tabs>
        <w:wordWrap w:val="0"/>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"_Toc59200695"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第二卷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_Toc59200695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E3AEF44">
      <w:pPr>
        <w:tabs>
          <w:tab w:val="right" w:leader="dot" w:pos="9063"/>
        </w:tabs>
        <w:wordWrap w:val="0"/>
        <w:spacing w:line="560" w:lineRule="exact"/>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"_Toc59200696"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第五章 委托人要求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_Toc59200696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F9F453">
      <w:pPr>
        <w:tabs>
          <w:tab w:val="right" w:leader="dot" w:pos="9063"/>
        </w:tabs>
        <w:wordWrap w:val="0"/>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"_Toc59200707"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第三卷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_Toc59200707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1EC7DB">
      <w:pPr>
        <w:tabs>
          <w:tab w:val="right" w:leader="dot" w:pos="9063"/>
        </w:tabs>
        <w:wordWrap w:val="0"/>
        <w:spacing w:line="560" w:lineRule="exact"/>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"_Toc59200708"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_Toc59200708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E5DCC7">
      <w:pPr>
        <w:tabs>
          <w:tab w:val="right" w:leader="dot" w:pos="8640"/>
        </w:tabs>
        <w:wordWrap w:val="0"/>
        <w:spacing w:line="560" w:lineRule="exact"/>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end"/>
      </w:r>
    </w:p>
    <w:p w14:paraId="015364F6">
      <w:pPr>
        <w:wordWrap w:val="0"/>
        <w:spacing w:before="340" w:after="330"/>
        <w:jc w:val="center"/>
        <w:outlineLvl w:val="0"/>
        <w:rPr>
          <w:rFonts w:hint="eastAsia" w:ascii="宋体" w:hAnsi="宋体" w:eastAsia="宋体" w:cs="宋体"/>
          <w:b/>
          <w:color w:val="auto"/>
          <w:kern w:val="44"/>
          <w:sz w:val="44"/>
          <w:szCs w:val="20"/>
          <w:highlight w:val="none"/>
        </w:rPr>
      </w:pPr>
      <w:bookmarkStart w:id="5" w:name="_Toc511557024"/>
      <w:bookmarkStart w:id="6" w:name="_Toc526786482"/>
      <w:bookmarkStart w:id="7" w:name="_Toc21021"/>
      <w:r>
        <w:rPr>
          <w:rFonts w:hint="eastAsia" w:ascii="宋体" w:hAnsi="宋体" w:eastAsia="宋体" w:cs="宋体"/>
          <w:b/>
          <w:color w:val="auto"/>
          <w:kern w:val="44"/>
          <w:sz w:val="44"/>
          <w:szCs w:val="20"/>
          <w:highlight w:val="none"/>
        </w:rPr>
        <w:br w:type="page"/>
      </w:r>
      <w:bookmarkStart w:id="8" w:name="_Toc59200677"/>
      <w:r>
        <w:rPr>
          <w:rFonts w:hint="eastAsia" w:ascii="宋体" w:hAnsi="宋体" w:eastAsia="宋体" w:cs="宋体"/>
          <w:b/>
          <w:color w:val="auto"/>
          <w:kern w:val="44"/>
          <w:sz w:val="44"/>
          <w:szCs w:val="20"/>
          <w:highlight w:val="none"/>
        </w:rPr>
        <w:t>第</w:t>
      </w:r>
      <w:bookmarkEnd w:id="0"/>
      <w:bookmarkEnd w:id="1"/>
      <w:bookmarkEnd w:id="2"/>
      <w:bookmarkEnd w:id="5"/>
      <w:r>
        <w:rPr>
          <w:rFonts w:hint="eastAsia" w:ascii="宋体" w:hAnsi="宋体" w:eastAsia="宋体" w:cs="宋体"/>
          <w:b/>
          <w:color w:val="auto"/>
          <w:kern w:val="44"/>
          <w:sz w:val="44"/>
          <w:szCs w:val="20"/>
          <w:highlight w:val="none"/>
        </w:rPr>
        <w:t>一卷</w:t>
      </w:r>
      <w:bookmarkEnd w:id="6"/>
      <w:bookmarkEnd w:id="7"/>
      <w:bookmarkEnd w:id="8"/>
    </w:p>
    <w:p w14:paraId="7754DA5A">
      <w:pPr>
        <w:wordWrap w:val="0"/>
        <w:spacing w:before="340" w:after="330"/>
        <w:jc w:val="center"/>
        <w:outlineLvl w:val="0"/>
        <w:rPr>
          <w:rFonts w:hint="eastAsia" w:ascii="宋体" w:hAnsi="宋体" w:eastAsia="宋体" w:cs="宋体"/>
          <w:b/>
          <w:color w:val="auto"/>
          <w:kern w:val="44"/>
          <w:sz w:val="44"/>
          <w:szCs w:val="20"/>
          <w:highlight w:val="none"/>
        </w:rPr>
      </w:pPr>
      <w:bookmarkStart w:id="9" w:name="_Toc153"/>
      <w:bookmarkStart w:id="10" w:name="_Toc526786483"/>
      <w:bookmarkStart w:id="11" w:name="_Toc59200678"/>
      <w:r>
        <w:rPr>
          <w:rFonts w:hint="eastAsia" w:ascii="宋体" w:hAnsi="宋体" w:eastAsia="宋体" w:cs="宋体"/>
          <w:b/>
          <w:color w:val="auto"/>
          <w:kern w:val="44"/>
          <w:sz w:val="44"/>
          <w:szCs w:val="20"/>
          <w:highlight w:val="none"/>
        </w:rPr>
        <w:t>第一章 招标公告</w:t>
      </w:r>
      <w:bookmarkEnd w:id="9"/>
      <w:bookmarkEnd w:id="10"/>
      <w:bookmarkEnd w:id="11"/>
    </w:p>
    <w:p w14:paraId="0D499640">
      <w:pPr>
        <w:wordWrap w:val="0"/>
        <w:spacing w:line="480" w:lineRule="auto"/>
        <w:jc w:val="center"/>
        <w:rPr>
          <w:rFonts w:hint="eastAsia" w:ascii="宋体" w:hAnsi="宋体" w:eastAsia="宋体" w:cs="宋体"/>
          <w:color w:val="auto"/>
          <w:highlight w:val="none"/>
        </w:rPr>
      </w:pPr>
      <w:r>
        <w:rPr>
          <w:rFonts w:hint="eastAsia" w:ascii="宋体" w:hAnsi="宋体" w:eastAsia="宋体" w:cs="宋体"/>
          <w:b/>
          <w:color w:val="auto"/>
          <w:sz w:val="32"/>
          <w:highlight w:val="none"/>
        </w:rPr>
        <w:t>（另册）</w:t>
      </w:r>
    </w:p>
    <w:p w14:paraId="5B15D550">
      <w:pPr>
        <w:wordWrap w:val="0"/>
        <w:spacing w:before="340" w:after="330"/>
        <w:jc w:val="center"/>
        <w:outlineLvl w:val="0"/>
        <w:rPr>
          <w:rFonts w:hint="eastAsia" w:ascii="宋体" w:hAnsi="宋体" w:eastAsia="宋体" w:cs="宋体"/>
          <w:b/>
          <w:color w:val="auto"/>
          <w:kern w:val="44"/>
          <w:sz w:val="44"/>
          <w:szCs w:val="20"/>
          <w:highlight w:val="none"/>
        </w:rPr>
      </w:pPr>
      <w:bookmarkStart w:id="12" w:name="_Toc384308185"/>
      <w:bookmarkEnd w:id="12"/>
      <w:bookmarkStart w:id="13" w:name="_Toc17972"/>
      <w:bookmarkEnd w:id="13"/>
      <w:bookmarkStart w:id="14" w:name="_Toc384308205"/>
      <w:bookmarkEnd w:id="14"/>
      <w:bookmarkStart w:id="15" w:name="_Toc361508563"/>
      <w:bookmarkEnd w:id="15"/>
      <w:bookmarkStart w:id="16" w:name="_Toc384308188"/>
      <w:bookmarkEnd w:id="16"/>
      <w:bookmarkStart w:id="17" w:name="_Toc152042301"/>
      <w:bookmarkEnd w:id="17"/>
      <w:bookmarkStart w:id="18" w:name="_Toc30817"/>
      <w:bookmarkEnd w:id="18"/>
      <w:bookmarkStart w:id="19" w:name="_Toc19794"/>
      <w:bookmarkEnd w:id="19"/>
      <w:bookmarkStart w:id="20" w:name="_Toc152045513"/>
      <w:bookmarkEnd w:id="20"/>
      <w:bookmarkStart w:id="21" w:name="_Toc352691456"/>
      <w:bookmarkEnd w:id="21"/>
      <w:bookmarkStart w:id="22" w:name="_Toc152042288"/>
      <w:bookmarkEnd w:id="22"/>
      <w:bookmarkStart w:id="23" w:name="_Toc369531498"/>
      <w:bookmarkEnd w:id="23"/>
      <w:bookmarkStart w:id="24" w:name="_Toc152045512"/>
      <w:bookmarkEnd w:id="24"/>
      <w:bookmarkStart w:id="25" w:name="_Toc352691469"/>
      <w:bookmarkEnd w:id="25"/>
      <w:bookmarkStart w:id="26" w:name="_Toc14865"/>
      <w:bookmarkEnd w:id="26"/>
      <w:bookmarkStart w:id="27" w:name="_Toc247513934"/>
      <w:bookmarkEnd w:id="27"/>
      <w:bookmarkStart w:id="28" w:name="_Toc247527535"/>
      <w:bookmarkEnd w:id="28"/>
      <w:bookmarkStart w:id="29" w:name="_Toc300834943"/>
      <w:bookmarkEnd w:id="29"/>
      <w:bookmarkStart w:id="30" w:name="_Toc352691455"/>
      <w:bookmarkEnd w:id="30"/>
      <w:bookmarkStart w:id="31" w:name="_Toc10785"/>
      <w:bookmarkEnd w:id="31"/>
      <w:bookmarkStart w:id="32" w:name="_Toc352691453"/>
      <w:bookmarkEnd w:id="32"/>
      <w:bookmarkStart w:id="33" w:name="_Toc152045525"/>
      <w:bookmarkEnd w:id="33"/>
      <w:bookmarkStart w:id="34" w:name="_Toc144974480"/>
      <w:bookmarkEnd w:id="34"/>
      <w:bookmarkStart w:id="35" w:name="_Toc384308187"/>
      <w:bookmarkEnd w:id="35"/>
      <w:bookmarkStart w:id="36" w:name="_Toc300834929"/>
      <w:bookmarkEnd w:id="36"/>
      <w:bookmarkStart w:id="37" w:name="_Toc247527536"/>
      <w:bookmarkEnd w:id="37"/>
      <w:bookmarkStart w:id="38" w:name="_Toc300834930"/>
      <w:bookmarkEnd w:id="38"/>
      <w:bookmarkStart w:id="39" w:name="_Toc384308203"/>
      <w:bookmarkEnd w:id="39"/>
      <w:bookmarkStart w:id="40" w:name="_Toc369531509"/>
      <w:bookmarkEnd w:id="40"/>
      <w:bookmarkStart w:id="41" w:name="_Toc152042289"/>
      <w:bookmarkEnd w:id="41"/>
      <w:bookmarkStart w:id="42" w:name="_Toc369531497"/>
      <w:bookmarkEnd w:id="42"/>
      <w:bookmarkStart w:id="43" w:name="_Toc300834927"/>
      <w:bookmarkEnd w:id="43"/>
      <w:bookmarkStart w:id="44" w:name="_Toc247527549"/>
      <w:bookmarkEnd w:id="44"/>
      <w:bookmarkStart w:id="45" w:name="_Toc152045523"/>
      <w:bookmarkEnd w:id="45"/>
      <w:bookmarkStart w:id="46" w:name="_Toc361508580"/>
      <w:bookmarkEnd w:id="46"/>
      <w:bookmarkStart w:id="47" w:name="_Toc361508562"/>
      <w:bookmarkEnd w:id="47"/>
      <w:bookmarkStart w:id="48" w:name="_Toc300834941"/>
      <w:bookmarkEnd w:id="48"/>
      <w:bookmarkStart w:id="49" w:name="_Toc247513948"/>
      <w:bookmarkEnd w:id="49"/>
      <w:bookmarkStart w:id="50" w:name="_Toc369531495"/>
      <w:bookmarkEnd w:id="50"/>
      <w:bookmarkStart w:id="51" w:name="_Toc247513946"/>
      <w:bookmarkEnd w:id="51"/>
      <w:bookmarkStart w:id="52" w:name="_Toc144974493"/>
      <w:bookmarkEnd w:id="52"/>
      <w:bookmarkStart w:id="53" w:name="_Toc361508578"/>
      <w:bookmarkEnd w:id="53"/>
      <w:bookmarkStart w:id="54" w:name="_Toc144974481"/>
      <w:bookmarkEnd w:id="54"/>
      <w:bookmarkStart w:id="55" w:name="_Toc144974491"/>
      <w:bookmarkEnd w:id="55"/>
      <w:bookmarkStart w:id="56" w:name="_Toc152042299"/>
      <w:bookmarkEnd w:id="56"/>
      <w:bookmarkStart w:id="57" w:name="_Toc369531511"/>
      <w:bookmarkEnd w:id="57"/>
      <w:bookmarkStart w:id="58" w:name="_Toc247527547"/>
      <w:bookmarkEnd w:id="58"/>
      <w:bookmarkStart w:id="59" w:name="_Toc247513935"/>
      <w:bookmarkEnd w:id="59"/>
      <w:bookmarkStart w:id="60" w:name="_Toc352691467"/>
      <w:bookmarkEnd w:id="60"/>
      <w:bookmarkStart w:id="61" w:name="_Toc361508560"/>
      <w:bookmarkEnd w:id="61"/>
      <w:bookmarkStart w:id="62" w:name="_Toc59200679"/>
      <w:bookmarkStart w:id="63" w:name="_Toc526786484"/>
      <w:bookmarkStart w:id="64" w:name="_Toc18055"/>
      <w:r>
        <w:rPr>
          <w:rFonts w:hint="eastAsia" w:ascii="宋体" w:hAnsi="宋体" w:eastAsia="宋体" w:cs="宋体"/>
          <w:b/>
          <w:color w:val="auto"/>
          <w:kern w:val="44"/>
          <w:sz w:val="44"/>
          <w:szCs w:val="20"/>
          <w:highlight w:val="none"/>
        </w:rPr>
        <w:br w:type="page"/>
      </w:r>
      <w:r>
        <w:rPr>
          <w:rFonts w:hint="eastAsia" w:ascii="宋体" w:hAnsi="宋体" w:eastAsia="宋体" w:cs="宋体"/>
          <w:b/>
          <w:color w:val="auto"/>
          <w:kern w:val="44"/>
          <w:sz w:val="44"/>
          <w:szCs w:val="20"/>
          <w:highlight w:val="none"/>
        </w:rPr>
        <w:t>第二章 投标人须知</w:t>
      </w:r>
      <w:bookmarkEnd w:id="62"/>
      <w:bookmarkEnd w:id="63"/>
      <w:bookmarkEnd w:id="64"/>
      <w:bookmarkStart w:id="65" w:name="投标人须知"/>
      <w:bookmarkEnd w:id="65"/>
    </w:p>
    <w:p w14:paraId="6FA54383">
      <w:pPr>
        <w:wordWrap w:val="0"/>
        <w:jc w:val="center"/>
        <w:outlineLvl w:val="1"/>
        <w:rPr>
          <w:rFonts w:hint="eastAsia" w:ascii="宋体" w:hAnsi="宋体" w:eastAsia="宋体" w:cs="宋体"/>
          <w:b/>
          <w:color w:val="auto"/>
          <w:sz w:val="32"/>
          <w:szCs w:val="20"/>
          <w:highlight w:val="none"/>
        </w:rPr>
      </w:pPr>
      <w:bookmarkStart w:id="66" w:name="_Toc526786485"/>
      <w:bookmarkStart w:id="67" w:name="_Toc59200680"/>
      <w:bookmarkStart w:id="68" w:name="_Toc31679"/>
      <w:bookmarkStart w:id="69" w:name="_Toc12876"/>
      <w:r>
        <w:rPr>
          <w:rFonts w:hint="eastAsia" w:ascii="宋体" w:hAnsi="宋体" w:eastAsia="宋体" w:cs="宋体"/>
          <w:b/>
          <w:color w:val="auto"/>
          <w:sz w:val="32"/>
          <w:szCs w:val="20"/>
          <w:highlight w:val="none"/>
        </w:rPr>
        <w:t>投标人须知前附表</w:t>
      </w:r>
      <w:bookmarkEnd w:id="66"/>
      <w:bookmarkEnd w:id="67"/>
      <w:bookmarkEnd w:id="68"/>
      <w:bookmarkEnd w:id="69"/>
    </w:p>
    <w:tbl>
      <w:tblPr>
        <w:tblStyle w:val="25"/>
        <w:tblW w:w="946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2976"/>
        <w:gridCol w:w="5386"/>
      </w:tblGrid>
      <w:tr w14:paraId="49BDB3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1101" w:type="dxa"/>
            <w:tcBorders>
              <w:top w:val="single" w:color="auto" w:sz="4" w:space="0"/>
            </w:tcBorders>
            <w:vAlign w:val="center"/>
          </w:tcPr>
          <w:p w14:paraId="321BF68C">
            <w:pPr>
              <w:wordWrap w:val="0"/>
              <w:snapToGrid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976" w:type="dxa"/>
            <w:tcBorders>
              <w:top w:val="single" w:color="auto" w:sz="4" w:space="0"/>
            </w:tcBorders>
            <w:vAlign w:val="center"/>
          </w:tcPr>
          <w:p w14:paraId="75CE195F">
            <w:pPr>
              <w:wordWrap w:val="0"/>
              <w:snapToGrid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5386" w:type="dxa"/>
            <w:tcBorders>
              <w:top w:val="single" w:color="auto" w:sz="4" w:space="0"/>
            </w:tcBorders>
            <w:vAlign w:val="center"/>
          </w:tcPr>
          <w:p w14:paraId="7EB03A68">
            <w:pPr>
              <w:wordWrap w:val="0"/>
              <w:snapToGrid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14:paraId="570575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0D972CA4">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2976" w:type="dxa"/>
            <w:vAlign w:val="center"/>
          </w:tcPr>
          <w:p w14:paraId="7B983CFB">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5386" w:type="dxa"/>
            <w:vAlign w:val="center"/>
          </w:tcPr>
          <w:p w14:paraId="1A686C3C">
            <w:pPr>
              <w:wordWrap w:val="0"/>
              <w:snapToGrid w:val="0"/>
              <w:spacing w:line="276" w:lineRule="auto"/>
              <w:ind w:left="630" w:hanging="630" w:hangingChars="3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lang w:eastAsia="zh-CN"/>
              </w:rPr>
              <w:t>广州市天河区建设工程项目代建局</w:t>
            </w:r>
          </w:p>
          <w:p w14:paraId="330D07CC">
            <w:pPr>
              <w:wordWrap w:val="0"/>
              <w:snapToGrid w:val="0"/>
              <w:spacing w:line="276"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lang w:eastAsia="zh-CN"/>
              </w:rPr>
              <w:t>广州市天河区黄埔大道中300号17楼</w:t>
            </w:r>
          </w:p>
          <w:p w14:paraId="15F0FA53">
            <w:pPr>
              <w:wordWrap w:val="0"/>
              <w:snapToGrid w:val="0"/>
              <w:spacing w:line="276"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lang w:eastAsia="zh-CN"/>
              </w:rPr>
              <w:t>吴工、李工</w:t>
            </w:r>
          </w:p>
          <w:p w14:paraId="58BFF421">
            <w:pPr>
              <w:wordWrap w:val="0"/>
              <w:snapToGrid w:val="0"/>
              <w:spacing w:line="276"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020-</w:t>
            </w:r>
            <w:r>
              <w:rPr>
                <w:rFonts w:hint="eastAsia" w:ascii="宋体" w:hAnsi="宋体" w:eastAsia="宋体" w:cs="宋体"/>
                <w:color w:val="auto"/>
                <w:szCs w:val="21"/>
                <w:highlight w:val="none"/>
                <w:u w:val="single"/>
                <w:lang w:eastAsia="zh-CN"/>
              </w:rPr>
              <w:t>38085259</w:t>
            </w:r>
          </w:p>
        </w:tc>
      </w:tr>
      <w:tr w14:paraId="32BB22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0782FF79">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w:t>
            </w:r>
          </w:p>
        </w:tc>
        <w:tc>
          <w:tcPr>
            <w:tcW w:w="2976" w:type="dxa"/>
            <w:vAlign w:val="center"/>
          </w:tcPr>
          <w:p w14:paraId="478F8BB0">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p>
        </w:tc>
        <w:tc>
          <w:tcPr>
            <w:tcW w:w="5386" w:type="dxa"/>
            <w:vAlign w:val="center"/>
          </w:tcPr>
          <w:p w14:paraId="68EECAC2">
            <w:pPr>
              <w:wordWrap w:val="0"/>
              <w:snapToGrid w:val="0"/>
              <w:spacing w:line="276"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lang w:eastAsia="zh-CN"/>
              </w:rPr>
              <w:t>广州高新工程顾问有限公司</w:t>
            </w:r>
          </w:p>
          <w:p w14:paraId="2BE55CEE">
            <w:pPr>
              <w:wordWrap w:val="0"/>
              <w:snapToGrid w:val="0"/>
              <w:spacing w:line="276"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lang w:eastAsia="zh-CN"/>
              </w:rPr>
              <w:t>广州市天河区华观路1933号A1栋503</w:t>
            </w:r>
          </w:p>
          <w:p w14:paraId="192AD1E2">
            <w:pPr>
              <w:wordWrap w:val="0"/>
              <w:snapToGrid w:val="0"/>
              <w:spacing w:line="276"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lang w:eastAsia="zh-CN"/>
              </w:rPr>
              <w:t>张工、刘工</w:t>
            </w:r>
          </w:p>
          <w:p w14:paraId="1AC28027">
            <w:pPr>
              <w:wordWrap w:val="0"/>
              <w:snapToGrid w:val="0"/>
              <w:spacing w:line="276"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lang w:eastAsia="zh-CN"/>
              </w:rPr>
              <w:t>020-85530825-628</w:t>
            </w:r>
          </w:p>
        </w:tc>
      </w:tr>
      <w:tr w14:paraId="055B51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02FE2C8">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2976" w:type="dxa"/>
            <w:vAlign w:val="center"/>
          </w:tcPr>
          <w:p w14:paraId="581BE8BF">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招标项目名称</w:t>
            </w:r>
          </w:p>
        </w:tc>
        <w:tc>
          <w:tcPr>
            <w:tcW w:w="5386" w:type="dxa"/>
            <w:vAlign w:val="center"/>
          </w:tcPr>
          <w:p w14:paraId="41BCDC46">
            <w:pPr>
              <w:wordWrap w:val="0"/>
              <w:snapToGrid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中共广州市天河区委党校及区人民武装部独立营院建设项目（周边道路建设工程）</w:t>
            </w:r>
            <w:r>
              <w:rPr>
                <w:rFonts w:hint="eastAsia" w:ascii="宋体" w:hAnsi="宋体" w:eastAsia="宋体" w:cs="宋体"/>
                <w:color w:val="auto"/>
                <w:szCs w:val="21"/>
                <w:highlight w:val="none"/>
              </w:rPr>
              <w:t>监理</w:t>
            </w:r>
          </w:p>
        </w:tc>
      </w:tr>
      <w:tr w14:paraId="7EA1C8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1B4167F2">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w:t>
            </w:r>
          </w:p>
        </w:tc>
        <w:tc>
          <w:tcPr>
            <w:tcW w:w="2976" w:type="dxa"/>
            <w:vAlign w:val="center"/>
          </w:tcPr>
          <w:p w14:paraId="373D6AEF">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项目建设地点</w:t>
            </w:r>
          </w:p>
        </w:tc>
        <w:tc>
          <w:tcPr>
            <w:tcW w:w="5386" w:type="dxa"/>
            <w:vAlign w:val="center"/>
          </w:tcPr>
          <w:p w14:paraId="4A3C1942">
            <w:pPr>
              <w:wordWrap w:val="0"/>
              <w:snapToGrid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6A8149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1FA5FEAC">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w:t>
            </w:r>
          </w:p>
        </w:tc>
        <w:tc>
          <w:tcPr>
            <w:tcW w:w="2976" w:type="dxa"/>
            <w:vAlign w:val="center"/>
          </w:tcPr>
          <w:p w14:paraId="3E27C68E">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项目建设规模</w:t>
            </w:r>
          </w:p>
        </w:tc>
        <w:tc>
          <w:tcPr>
            <w:tcW w:w="5386" w:type="dxa"/>
          </w:tcPr>
          <w:p w14:paraId="16F906A9">
            <w:pPr>
              <w:wordWrap w:val="0"/>
              <w:snapToGrid w:val="0"/>
              <w:spacing w:line="276" w:lineRule="auto"/>
              <w:ind w:right="10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1B9F94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7CE9BD3F">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1.1.7</w:t>
            </w:r>
          </w:p>
        </w:tc>
        <w:tc>
          <w:tcPr>
            <w:tcW w:w="2976" w:type="dxa"/>
            <w:vAlign w:val="center"/>
          </w:tcPr>
          <w:p w14:paraId="2E0E0902">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工程项目施工预计开工日期和建设周期</w:t>
            </w:r>
          </w:p>
        </w:tc>
        <w:tc>
          <w:tcPr>
            <w:tcW w:w="5386" w:type="dxa"/>
            <w:vAlign w:val="center"/>
          </w:tcPr>
          <w:p w14:paraId="6B7C5396">
            <w:pPr>
              <w:wordWrap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工程施工预计开工日期：2025年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日，具体施工工期以本项目施工招标时约定的工期为准。</w:t>
            </w:r>
          </w:p>
        </w:tc>
      </w:tr>
      <w:tr w14:paraId="32DD04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419B1DC">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1.1.8</w:t>
            </w:r>
          </w:p>
        </w:tc>
        <w:tc>
          <w:tcPr>
            <w:tcW w:w="2976" w:type="dxa"/>
            <w:vAlign w:val="center"/>
          </w:tcPr>
          <w:p w14:paraId="78C91C49">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建筑安装工程费/工程概算</w:t>
            </w:r>
          </w:p>
        </w:tc>
        <w:tc>
          <w:tcPr>
            <w:tcW w:w="5386" w:type="dxa"/>
            <w:vAlign w:val="center"/>
          </w:tcPr>
          <w:p w14:paraId="564F14C7">
            <w:pPr>
              <w:wordWrap w:val="0"/>
              <w:snapToGrid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68B88B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6408B696">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p>
        </w:tc>
        <w:tc>
          <w:tcPr>
            <w:tcW w:w="2976" w:type="dxa"/>
            <w:vAlign w:val="center"/>
          </w:tcPr>
          <w:p w14:paraId="3D51879D">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资金来源及比例</w:t>
            </w:r>
          </w:p>
        </w:tc>
        <w:tc>
          <w:tcPr>
            <w:tcW w:w="5386" w:type="dxa"/>
            <w:vAlign w:val="center"/>
          </w:tcPr>
          <w:p w14:paraId="7BCC53D2">
            <w:pPr>
              <w:wordWrap w:val="0"/>
              <w:snapToGrid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0626BE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0ACED8ED">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976" w:type="dxa"/>
            <w:vAlign w:val="center"/>
          </w:tcPr>
          <w:p w14:paraId="3C64A5C2">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资金落实情况</w:t>
            </w:r>
          </w:p>
        </w:tc>
        <w:tc>
          <w:tcPr>
            <w:tcW w:w="5386" w:type="dxa"/>
            <w:vAlign w:val="center"/>
          </w:tcPr>
          <w:p w14:paraId="7C37DD03">
            <w:pPr>
              <w:wordWrap w:val="0"/>
              <w:snapToGrid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14:paraId="46A8E9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176B7710">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2976" w:type="dxa"/>
            <w:vAlign w:val="center"/>
          </w:tcPr>
          <w:p w14:paraId="10C3551E">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5386" w:type="dxa"/>
          </w:tcPr>
          <w:p w14:paraId="30A50B22">
            <w:pPr>
              <w:wordWrap w:val="0"/>
              <w:snapToGrid w:val="0"/>
              <w:spacing w:line="276" w:lineRule="auto"/>
              <w:ind w:right="10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0FB8A5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91D2346">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w:t>
            </w:r>
          </w:p>
        </w:tc>
        <w:tc>
          <w:tcPr>
            <w:tcW w:w="2976" w:type="dxa"/>
            <w:vAlign w:val="center"/>
          </w:tcPr>
          <w:p w14:paraId="4DDF262C">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监理服务期限</w:t>
            </w:r>
          </w:p>
        </w:tc>
        <w:tc>
          <w:tcPr>
            <w:tcW w:w="5386" w:type="dxa"/>
          </w:tcPr>
          <w:p w14:paraId="04C8357D">
            <w:pPr>
              <w:wordWrap w:val="0"/>
              <w:snapToGrid w:val="0"/>
              <w:spacing w:line="276" w:lineRule="auto"/>
              <w:ind w:right="10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46E7EE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39A55BA2">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w:t>
            </w:r>
          </w:p>
        </w:tc>
        <w:tc>
          <w:tcPr>
            <w:tcW w:w="2976" w:type="dxa"/>
            <w:vAlign w:val="center"/>
          </w:tcPr>
          <w:p w14:paraId="17B916BE">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5386" w:type="dxa"/>
            <w:vAlign w:val="center"/>
          </w:tcPr>
          <w:p w14:paraId="32AA360A">
            <w:pPr>
              <w:wordWrap w:val="0"/>
              <w:snapToGrid w:val="0"/>
              <w:spacing w:line="276" w:lineRule="auto"/>
              <w:rPr>
                <w:rFonts w:hint="eastAsia" w:ascii="宋体" w:hAnsi="宋体" w:eastAsia="宋体" w:cs="宋体"/>
                <w:color w:val="auto"/>
                <w:szCs w:val="21"/>
                <w:highlight w:val="none"/>
                <w:u w:val="single"/>
              </w:rPr>
            </w:pPr>
            <w:bookmarkStart w:id="70" w:name="_Hlk149494434"/>
            <w:r>
              <w:rPr>
                <w:rFonts w:hint="eastAsia" w:ascii="宋体" w:hAnsi="宋体" w:eastAsia="宋体" w:cs="宋体"/>
                <w:color w:val="auto"/>
                <w:szCs w:val="21"/>
                <w:highlight w:val="none"/>
                <w:u w:val="single"/>
              </w:rPr>
              <w:t>工程质量达到工程施工质量验收规范合格标准及国家现行相关专业有关施工质量验收规范标准，一次验收合格，与施工单位承诺的质量目标一致；设计质量须满足国家相关规范和合同要求。</w:t>
            </w:r>
            <w:bookmarkEnd w:id="70"/>
          </w:p>
        </w:tc>
      </w:tr>
      <w:tr w14:paraId="10830A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4AAC1E89">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p>
        </w:tc>
        <w:tc>
          <w:tcPr>
            <w:tcW w:w="2976" w:type="dxa"/>
            <w:vAlign w:val="center"/>
          </w:tcPr>
          <w:p w14:paraId="481C4F53">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投标人资质条件、能力、信誉</w:t>
            </w:r>
          </w:p>
        </w:tc>
        <w:tc>
          <w:tcPr>
            <w:tcW w:w="5386" w:type="dxa"/>
            <w:vAlign w:val="center"/>
          </w:tcPr>
          <w:p w14:paraId="643997D7">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6AD793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0E469DDC">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p>
        </w:tc>
        <w:tc>
          <w:tcPr>
            <w:tcW w:w="2976" w:type="dxa"/>
            <w:vAlign w:val="center"/>
          </w:tcPr>
          <w:p w14:paraId="4622B526">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是否接受联合体投标</w:t>
            </w:r>
          </w:p>
        </w:tc>
        <w:tc>
          <w:tcPr>
            <w:tcW w:w="5386" w:type="dxa"/>
            <w:vAlign w:val="center"/>
          </w:tcPr>
          <w:p w14:paraId="3C8C3D6F">
            <w:pPr>
              <w:wordWrap w:val="0"/>
              <w:snapToGrid w:val="0"/>
              <w:spacing w:line="276" w:lineRule="auto"/>
              <w:ind w:right="-238"/>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position w:val="3"/>
                <w:szCs w:val="21"/>
                <w:highlight w:val="none"/>
              </w:rPr>
              <w:t>不接受</w:t>
            </w:r>
          </w:p>
          <w:p w14:paraId="6B1DA1DD">
            <w:pPr>
              <w:wordWrap w:val="0"/>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□接受，应满足下列要求：</w:t>
            </w:r>
            <w:r>
              <w:rPr>
                <w:rFonts w:hint="eastAsia" w:ascii="宋体" w:hAnsi="宋体" w:eastAsia="宋体" w:cs="宋体"/>
                <w:color w:val="auto"/>
                <w:szCs w:val="21"/>
                <w:highlight w:val="none"/>
                <w:u w:val="single"/>
              </w:rPr>
              <w:t xml:space="preserve">  / </w:t>
            </w:r>
          </w:p>
        </w:tc>
      </w:tr>
      <w:tr w14:paraId="3CF31F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6B4709CF">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w:t>
            </w:r>
          </w:p>
        </w:tc>
        <w:tc>
          <w:tcPr>
            <w:tcW w:w="2976" w:type="dxa"/>
            <w:vAlign w:val="center"/>
          </w:tcPr>
          <w:p w14:paraId="1F503C51">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投标人不得存在的其他情形</w:t>
            </w:r>
          </w:p>
        </w:tc>
        <w:tc>
          <w:tcPr>
            <w:tcW w:w="5386" w:type="dxa"/>
            <w:vAlign w:val="center"/>
          </w:tcPr>
          <w:p w14:paraId="6426BB7A">
            <w:pPr>
              <w:wordWrap w:val="0"/>
              <w:topLinePunct/>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p>
        </w:tc>
      </w:tr>
      <w:tr w14:paraId="1BF662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5FFAB62">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2976" w:type="dxa"/>
            <w:vAlign w:val="center"/>
          </w:tcPr>
          <w:p w14:paraId="4C5EA49E">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5386" w:type="dxa"/>
            <w:vAlign w:val="center"/>
          </w:tcPr>
          <w:p w14:paraId="65DE2F51">
            <w:pPr>
              <w:wordWrap w:val="0"/>
              <w:topLinePunct/>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rPr>
              <w:t>招标人不集中组织，由投标人自行踏勘；自</w:t>
            </w:r>
            <w:r>
              <w:rPr>
                <w:rFonts w:hint="eastAsia" w:ascii="宋体" w:hAnsi="宋体" w:eastAsia="宋体" w:cs="宋体"/>
                <w:color w:val="auto"/>
                <w:szCs w:val="21"/>
                <w:highlight w:val="none"/>
                <w:u w:val="single"/>
              </w:rPr>
              <w:t>招标公告发布之日起</w:t>
            </w:r>
            <w:r>
              <w:rPr>
                <w:rFonts w:hint="eastAsia" w:ascii="宋体" w:hAnsi="宋体" w:eastAsia="宋体" w:cs="宋体"/>
                <w:color w:val="auto"/>
                <w:szCs w:val="21"/>
                <w:highlight w:val="none"/>
              </w:rPr>
              <w:t>具备现场踏勘条件；现场详细地点：</w:t>
            </w:r>
            <w:r>
              <w:rPr>
                <w:rFonts w:hint="eastAsia" w:ascii="宋体" w:hAnsi="宋体" w:eastAsia="宋体" w:cs="宋体"/>
                <w:color w:val="auto"/>
                <w:szCs w:val="21"/>
                <w:highlight w:val="none"/>
                <w:u w:val="single"/>
              </w:rPr>
              <w:t>详见招标公告。</w:t>
            </w:r>
          </w:p>
          <w:p w14:paraId="17CA222D">
            <w:pPr>
              <w:wordWrap w:val="0"/>
              <w:topLinePunct/>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□组织，踏勘时间：/</w:t>
            </w:r>
          </w:p>
          <w:p w14:paraId="408DD377">
            <w:pPr>
              <w:wordWrap w:val="0"/>
              <w:topLinePunct/>
              <w:snapToGrid w:val="0"/>
              <w:spacing w:line="276"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踏勘集中地点：/</w:t>
            </w:r>
          </w:p>
        </w:tc>
      </w:tr>
      <w:tr w14:paraId="0436E8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61F8D63">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w:t>
            </w:r>
          </w:p>
        </w:tc>
        <w:tc>
          <w:tcPr>
            <w:tcW w:w="2976" w:type="dxa"/>
            <w:vAlign w:val="center"/>
          </w:tcPr>
          <w:p w14:paraId="13800368">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投标预备会</w:t>
            </w:r>
          </w:p>
        </w:tc>
        <w:tc>
          <w:tcPr>
            <w:tcW w:w="5386" w:type="dxa"/>
            <w:vAlign w:val="center"/>
          </w:tcPr>
          <w:p w14:paraId="310F6A99">
            <w:pPr>
              <w:wordWrap w:val="0"/>
              <w:topLinePunct/>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rPr>
              <w:t>不召开</w:t>
            </w:r>
          </w:p>
          <w:p w14:paraId="377943CD">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□召开，召开时间：</w:t>
            </w:r>
            <w:r>
              <w:rPr>
                <w:rFonts w:hint="eastAsia" w:ascii="宋体" w:hAnsi="宋体" w:eastAsia="宋体" w:cs="宋体"/>
                <w:color w:val="auto"/>
                <w:szCs w:val="21"/>
                <w:highlight w:val="none"/>
                <w:u w:val="single"/>
              </w:rPr>
              <w:t xml:space="preserve"> / </w:t>
            </w:r>
          </w:p>
          <w:p w14:paraId="422AEF9B">
            <w:pPr>
              <w:wordWrap w:val="0"/>
              <w:snapToGrid w:val="0"/>
              <w:spacing w:line="276"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召开地点：</w:t>
            </w:r>
            <w:r>
              <w:rPr>
                <w:rFonts w:hint="eastAsia" w:ascii="宋体" w:hAnsi="宋体" w:eastAsia="宋体" w:cs="宋体"/>
                <w:color w:val="auto"/>
                <w:szCs w:val="21"/>
                <w:highlight w:val="none"/>
                <w:u w:val="single"/>
              </w:rPr>
              <w:t xml:space="preserve"> / </w:t>
            </w:r>
          </w:p>
        </w:tc>
      </w:tr>
      <w:tr w14:paraId="485AA8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Merge w:val="restart"/>
            <w:vAlign w:val="center"/>
          </w:tcPr>
          <w:p w14:paraId="49908B80">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w:t>
            </w:r>
          </w:p>
        </w:tc>
        <w:tc>
          <w:tcPr>
            <w:tcW w:w="2976" w:type="dxa"/>
            <w:vMerge w:val="restart"/>
            <w:vAlign w:val="center"/>
          </w:tcPr>
          <w:p w14:paraId="49449B32">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投标人在投标预备会前提出问题</w:t>
            </w:r>
          </w:p>
        </w:tc>
        <w:tc>
          <w:tcPr>
            <w:tcW w:w="5386" w:type="dxa"/>
            <w:vAlign w:val="center"/>
          </w:tcPr>
          <w:p w14:paraId="6802A401">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rPr>
              <w:t xml:space="preserve"> / </w:t>
            </w:r>
          </w:p>
        </w:tc>
      </w:tr>
      <w:tr w14:paraId="0E28D8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Merge w:val="continue"/>
            <w:vAlign w:val="center"/>
          </w:tcPr>
          <w:p w14:paraId="58F3DE08">
            <w:pPr>
              <w:wordWrap w:val="0"/>
              <w:snapToGrid w:val="0"/>
              <w:spacing w:line="276" w:lineRule="auto"/>
              <w:jc w:val="center"/>
              <w:rPr>
                <w:rFonts w:hint="eastAsia" w:ascii="宋体" w:hAnsi="宋体" w:eastAsia="宋体" w:cs="宋体"/>
                <w:color w:val="auto"/>
                <w:szCs w:val="21"/>
                <w:highlight w:val="none"/>
              </w:rPr>
            </w:pPr>
          </w:p>
        </w:tc>
        <w:tc>
          <w:tcPr>
            <w:tcW w:w="2976" w:type="dxa"/>
            <w:vMerge w:val="continue"/>
            <w:vAlign w:val="center"/>
          </w:tcPr>
          <w:p w14:paraId="1E99BE83">
            <w:pPr>
              <w:wordWrap w:val="0"/>
              <w:snapToGrid w:val="0"/>
              <w:spacing w:line="276" w:lineRule="auto"/>
              <w:jc w:val="center"/>
              <w:rPr>
                <w:rFonts w:hint="eastAsia" w:ascii="宋体" w:hAnsi="宋体" w:eastAsia="宋体" w:cs="宋体"/>
                <w:color w:val="auto"/>
                <w:szCs w:val="21"/>
                <w:highlight w:val="none"/>
              </w:rPr>
            </w:pPr>
          </w:p>
        </w:tc>
        <w:tc>
          <w:tcPr>
            <w:tcW w:w="5386" w:type="dxa"/>
            <w:vAlign w:val="center"/>
          </w:tcPr>
          <w:p w14:paraId="0B2E66C2">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u w:val="single"/>
              </w:rPr>
              <w:t xml:space="preserve"> / </w:t>
            </w:r>
          </w:p>
        </w:tc>
      </w:tr>
      <w:tr w14:paraId="170585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00D212A">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1.10.3</w:t>
            </w:r>
          </w:p>
        </w:tc>
        <w:tc>
          <w:tcPr>
            <w:tcW w:w="2976" w:type="dxa"/>
            <w:vAlign w:val="center"/>
          </w:tcPr>
          <w:p w14:paraId="22BE2A91">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招标文件澄清发出的形式</w:t>
            </w:r>
          </w:p>
        </w:tc>
        <w:tc>
          <w:tcPr>
            <w:tcW w:w="5386" w:type="dxa"/>
            <w:vAlign w:val="center"/>
          </w:tcPr>
          <w:p w14:paraId="7473BC23">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（此为投标预备会的答疑澄清）</w:t>
            </w:r>
          </w:p>
        </w:tc>
      </w:tr>
      <w:tr w14:paraId="09D71E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49D1D527">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1.12.1</w:t>
            </w:r>
          </w:p>
        </w:tc>
        <w:tc>
          <w:tcPr>
            <w:tcW w:w="2976" w:type="dxa"/>
            <w:vAlign w:val="center"/>
          </w:tcPr>
          <w:p w14:paraId="11EB048D">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实质性要求和条件</w:t>
            </w:r>
          </w:p>
        </w:tc>
        <w:tc>
          <w:tcPr>
            <w:tcW w:w="5386" w:type="dxa"/>
            <w:vAlign w:val="center"/>
          </w:tcPr>
          <w:p w14:paraId="001A3E5D">
            <w:pPr>
              <w:wordWrap w:val="0"/>
              <w:topLinePunct/>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p>
        </w:tc>
      </w:tr>
      <w:tr w14:paraId="37ADAA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1CBBB382">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1.12.3</w:t>
            </w:r>
          </w:p>
        </w:tc>
        <w:tc>
          <w:tcPr>
            <w:tcW w:w="2976" w:type="dxa"/>
            <w:vAlign w:val="center"/>
          </w:tcPr>
          <w:p w14:paraId="67E2517D">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w:t>
            </w:r>
          </w:p>
        </w:tc>
        <w:tc>
          <w:tcPr>
            <w:tcW w:w="5386" w:type="dxa"/>
          </w:tcPr>
          <w:p w14:paraId="705D201B">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rPr>
              <w:t>不允许</w:t>
            </w:r>
          </w:p>
          <w:p w14:paraId="3FA59F59">
            <w:pPr>
              <w:wordWrap w:val="0"/>
              <w:topLinePunct/>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□允许，偏差范围：</w:t>
            </w:r>
            <w:r>
              <w:rPr>
                <w:rFonts w:hint="eastAsia" w:ascii="宋体" w:hAnsi="宋体" w:eastAsia="宋体" w:cs="宋体"/>
                <w:color w:val="auto"/>
                <w:szCs w:val="21"/>
                <w:highlight w:val="none"/>
                <w:u w:val="single"/>
              </w:rPr>
              <w:t>/</w:t>
            </w:r>
          </w:p>
          <w:p w14:paraId="4FDEF6C4">
            <w:pPr>
              <w:wordWrap w:val="0"/>
              <w:topLinePunct/>
              <w:snapToGrid w:val="0"/>
              <w:spacing w:line="276" w:lineRule="auto"/>
              <w:ind w:firstLine="917" w:firstLineChars="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偏差幅度：</w:t>
            </w:r>
            <w:r>
              <w:rPr>
                <w:rFonts w:hint="eastAsia" w:ascii="宋体" w:hAnsi="宋体" w:eastAsia="宋体" w:cs="宋体"/>
                <w:color w:val="auto"/>
                <w:szCs w:val="21"/>
                <w:highlight w:val="none"/>
                <w:u w:val="single"/>
              </w:rPr>
              <w:t>/</w:t>
            </w:r>
          </w:p>
        </w:tc>
      </w:tr>
      <w:tr w14:paraId="106BF0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1C70D12D">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976" w:type="dxa"/>
            <w:vAlign w:val="center"/>
          </w:tcPr>
          <w:p w14:paraId="2F156532">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构成招标文件的其他资料</w:t>
            </w:r>
          </w:p>
        </w:tc>
        <w:tc>
          <w:tcPr>
            <w:tcW w:w="5386" w:type="dxa"/>
            <w:vAlign w:val="center"/>
          </w:tcPr>
          <w:p w14:paraId="62D7EB54">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6FA87C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17EC8EF6">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2976" w:type="dxa"/>
            <w:vAlign w:val="center"/>
          </w:tcPr>
          <w:p w14:paraId="69352052">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招标答疑</w:t>
            </w:r>
          </w:p>
        </w:tc>
        <w:tc>
          <w:tcPr>
            <w:tcW w:w="5386" w:type="dxa"/>
            <w:vAlign w:val="center"/>
          </w:tcPr>
          <w:p w14:paraId="2E116CA5">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疑问提交时间：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时前；</w:t>
            </w:r>
          </w:p>
          <w:p w14:paraId="6D81B195">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形式：投标人的疑问通过</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网站提交。</w:t>
            </w:r>
          </w:p>
          <w:p w14:paraId="677787FA">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具体要求：按照</w:t>
            </w:r>
            <w:r>
              <w:rPr>
                <w:rFonts w:hint="eastAsia" w:ascii="宋体" w:hAnsi="宋体" w:eastAsia="宋体" w:cs="宋体"/>
                <w:color w:val="auto"/>
                <w:szCs w:val="21"/>
                <w:highlight w:val="none"/>
                <w:u w:val="single"/>
              </w:rPr>
              <w:t>广州交易集团有限公司（广州公共资源交易中心）网站</w:t>
            </w:r>
            <w:r>
              <w:rPr>
                <w:rFonts w:hint="eastAsia" w:ascii="宋体" w:hAnsi="宋体" w:eastAsia="宋体" w:cs="宋体"/>
                <w:color w:val="auto"/>
                <w:szCs w:val="21"/>
                <w:highlight w:val="none"/>
              </w:rPr>
              <w:t>关于全流程电子化项目的相关指南进行操作，提问一律不得署名。</w:t>
            </w:r>
          </w:p>
        </w:tc>
      </w:tr>
      <w:tr w14:paraId="56B199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72A0F9F5">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2976" w:type="dxa"/>
            <w:vAlign w:val="center"/>
          </w:tcPr>
          <w:p w14:paraId="24A21FC5">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招标文件的澄清和修改</w:t>
            </w:r>
          </w:p>
        </w:tc>
        <w:tc>
          <w:tcPr>
            <w:tcW w:w="5386" w:type="dxa"/>
            <w:vAlign w:val="center"/>
          </w:tcPr>
          <w:p w14:paraId="7AA99477">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招标文件的修改期限：在投标截止时间</w:t>
            </w:r>
            <w:r>
              <w:rPr>
                <w:rFonts w:hint="eastAsia" w:ascii="宋体" w:hAnsi="宋体" w:eastAsia="宋体" w:cs="宋体"/>
                <w:color w:val="auto"/>
                <w:szCs w:val="21"/>
                <w:highlight w:val="none"/>
                <w:u w:val="single"/>
              </w:rPr>
              <w:t xml:space="preserve"> 15 </w:t>
            </w:r>
            <w:r>
              <w:rPr>
                <w:rFonts w:hint="eastAsia" w:ascii="宋体" w:hAnsi="宋体" w:eastAsia="宋体" w:cs="宋体"/>
                <w:color w:val="auto"/>
                <w:szCs w:val="21"/>
                <w:highlight w:val="none"/>
              </w:rPr>
              <w:t>天前</w:t>
            </w:r>
          </w:p>
        </w:tc>
      </w:tr>
      <w:tr w14:paraId="413278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7F3C2365">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w:t>
            </w:r>
          </w:p>
        </w:tc>
        <w:tc>
          <w:tcPr>
            <w:tcW w:w="2976" w:type="dxa"/>
            <w:vAlign w:val="center"/>
          </w:tcPr>
          <w:p w14:paraId="4126CF08">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构成投标文件的其他资料</w:t>
            </w:r>
          </w:p>
        </w:tc>
        <w:tc>
          <w:tcPr>
            <w:tcW w:w="5386" w:type="dxa"/>
            <w:vAlign w:val="center"/>
          </w:tcPr>
          <w:p w14:paraId="08E12AC5">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满足本项目评审要求需提交的证明资料。</w:t>
            </w:r>
          </w:p>
        </w:tc>
      </w:tr>
      <w:tr w14:paraId="23AD0F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483CCB74">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2976" w:type="dxa"/>
            <w:vAlign w:val="center"/>
          </w:tcPr>
          <w:p w14:paraId="5F55F98E">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增值税税金的计算方法</w:t>
            </w:r>
          </w:p>
        </w:tc>
        <w:tc>
          <w:tcPr>
            <w:tcW w:w="5386" w:type="dxa"/>
            <w:vAlign w:val="center"/>
          </w:tcPr>
          <w:p w14:paraId="0053A351">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u w:val="single"/>
                <w:lang w:eastAsia="zh-CN"/>
              </w:rPr>
              <w:t>按国家税务机关的规定执行。</w:t>
            </w:r>
          </w:p>
        </w:tc>
      </w:tr>
      <w:tr w14:paraId="4C066A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412646A7">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w:t>
            </w:r>
          </w:p>
        </w:tc>
        <w:tc>
          <w:tcPr>
            <w:tcW w:w="2976" w:type="dxa"/>
            <w:vAlign w:val="center"/>
          </w:tcPr>
          <w:p w14:paraId="747144FD">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报价方式</w:t>
            </w:r>
          </w:p>
        </w:tc>
        <w:tc>
          <w:tcPr>
            <w:tcW w:w="5386" w:type="dxa"/>
            <w:vAlign w:val="center"/>
          </w:tcPr>
          <w:p w14:paraId="38709353">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本招标项目监理服务费采用固定总价报价方式报价（以元为单位，保留小数点后二位，小数点后第三位及第三位数后做舍弃）。</w:t>
            </w:r>
          </w:p>
          <w:p w14:paraId="51D0A2E7">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结算方式：</w:t>
            </w:r>
            <w:r>
              <w:rPr>
                <w:rFonts w:hint="eastAsia" w:ascii="宋体" w:hAnsi="宋体" w:eastAsia="宋体" w:cs="宋体"/>
                <w:color w:val="auto"/>
                <w:szCs w:val="21"/>
                <w:highlight w:val="none"/>
                <w:u w:val="single"/>
              </w:rPr>
              <w:t>按合同约定执行。</w:t>
            </w:r>
          </w:p>
        </w:tc>
      </w:tr>
      <w:tr w14:paraId="042FD6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2D2746DC">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w:t>
            </w:r>
          </w:p>
        </w:tc>
        <w:tc>
          <w:tcPr>
            <w:tcW w:w="2976" w:type="dxa"/>
            <w:vAlign w:val="center"/>
          </w:tcPr>
          <w:p w14:paraId="56D63A71">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5386" w:type="dxa"/>
            <w:vAlign w:val="center"/>
          </w:tcPr>
          <w:p w14:paraId="738CD6B1">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p w14:paraId="7D1535BD">
            <w:pPr>
              <w:tabs>
                <w:tab w:val="left" w:pos="7513"/>
              </w:tabs>
              <w:wordWrap w:val="0"/>
              <w:spacing w:line="276" w:lineRule="auto"/>
              <w:rPr>
                <w:rFonts w:hint="eastAsia" w:ascii="宋体" w:hAnsi="宋体" w:eastAsia="宋体" w:cs="宋体"/>
                <w:color w:val="auto"/>
                <w:szCs w:val="21"/>
                <w:highlight w:val="none"/>
                <w:u w:val="single"/>
                <w:lang w:bidi="ar"/>
              </w:rPr>
            </w:pP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rPr>
              <w:t>有，最高投标限价：</w:t>
            </w:r>
            <w:r>
              <w:rPr>
                <w:rFonts w:hint="eastAsia" w:ascii="宋体" w:hAnsi="宋体" w:eastAsia="宋体" w:cs="宋体"/>
                <w:b/>
                <w:bCs/>
                <w:color w:val="auto"/>
                <w:szCs w:val="21"/>
                <w:highlight w:val="none"/>
                <w:u w:val="single"/>
                <w:lang w:val="en-US" w:eastAsia="zh-CN"/>
              </w:rPr>
              <w:t>37.80704</w:t>
            </w:r>
            <w:r>
              <w:rPr>
                <w:rFonts w:hint="eastAsia" w:ascii="宋体" w:hAnsi="宋体" w:eastAsia="宋体" w:cs="宋体"/>
                <w:b/>
                <w:color w:val="auto"/>
                <w:szCs w:val="21"/>
                <w:highlight w:val="none"/>
                <w:lang w:bidi="ar"/>
              </w:rPr>
              <w:t>万元（即招标控制价）</w:t>
            </w:r>
          </w:p>
          <w:p w14:paraId="31BB942A">
            <w:pPr>
              <w:wordWrap w:val="0"/>
              <w:spacing w:line="276" w:lineRule="auto"/>
              <w:rPr>
                <w:rFonts w:hint="eastAsia" w:ascii="宋体" w:hAnsi="宋体" w:eastAsia="宋体" w:cs="宋体"/>
                <w:color w:val="auto"/>
                <w:szCs w:val="21"/>
                <w:highlight w:val="none"/>
                <w:u w:val="single"/>
                <w:lang w:bidi="ar"/>
              </w:rPr>
            </w:pPr>
            <w:r>
              <w:rPr>
                <w:rFonts w:hint="eastAsia" w:ascii="宋体" w:hAnsi="宋体" w:eastAsia="宋体" w:cs="宋体"/>
                <w:b/>
                <w:bCs/>
                <w:snapToGrid w:val="0"/>
                <w:color w:val="auto"/>
                <w:spacing w:val="4"/>
                <w:kern w:val="0"/>
                <w:szCs w:val="21"/>
                <w:highlight w:val="none"/>
                <w:u w:val="single"/>
              </w:rPr>
              <w:t>注：投标报价不得超过最高投标限价。</w:t>
            </w:r>
          </w:p>
        </w:tc>
      </w:tr>
      <w:tr w14:paraId="11D24C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3A4555D4">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3.2.5</w:t>
            </w:r>
          </w:p>
        </w:tc>
        <w:tc>
          <w:tcPr>
            <w:tcW w:w="2976" w:type="dxa"/>
            <w:vAlign w:val="center"/>
          </w:tcPr>
          <w:p w14:paraId="10FA719F">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投标报价的其他要求</w:t>
            </w:r>
          </w:p>
        </w:tc>
        <w:tc>
          <w:tcPr>
            <w:tcW w:w="5386" w:type="dxa"/>
            <w:vAlign w:val="center"/>
          </w:tcPr>
          <w:p w14:paraId="7E98961F">
            <w:pPr>
              <w:wordWrap w:val="0"/>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投标报价超过本项目最高投标限价的投标文件将被否决其投标。</w:t>
            </w:r>
          </w:p>
          <w:p w14:paraId="021CE9E7">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投标人必须详细审阅全部招标文件及招标相关资料,充分考虑职责和义务,全面地理解招标文件对投标报价的要求,并按招标人提出的条件及内容进行报价。</w:t>
            </w:r>
          </w:p>
        </w:tc>
      </w:tr>
      <w:tr w14:paraId="60BC0F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4BCAD554">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2976" w:type="dxa"/>
            <w:vAlign w:val="center"/>
          </w:tcPr>
          <w:p w14:paraId="3F66C84A">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386" w:type="dxa"/>
            <w:vAlign w:val="center"/>
          </w:tcPr>
          <w:p w14:paraId="651E9160">
            <w:pPr>
              <w:wordWrap w:val="0"/>
              <w:snapToGrid w:val="0"/>
              <w:spacing w:line="276" w:lineRule="auto"/>
              <w:rPr>
                <w:rFonts w:hint="eastAsia" w:ascii="宋体" w:hAnsi="宋体" w:eastAsia="宋体" w:cs="宋体"/>
                <w:color w:val="auto"/>
                <w:szCs w:val="21"/>
                <w:highlight w:val="none"/>
              </w:rPr>
            </w:pPr>
            <w:bookmarkStart w:id="71" w:name="_Toc1789"/>
            <w:bookmarkStart w:id="72" w:name="_Toc300834946"/>
            <w:bookmarkStart w:id="73" w:name="_Toc369531512"/>
            <w:bookmarkStart w:id="74" w:name="_Toc352691470"/>
            <w:bookmarkStart w:id="75" w:name="_Toc361508582"/>
            <w:bookmarkStart w:id="76" w:name="_Toc384308207"/>
            <w:r>
              <w:rPr>
                <w:rFonts w:hint="eastAsia" w:ascii="宋体" w:hAnsi="宋体" w:eastAsia="宋体" w:cs="宋体"/>
                <w:b/>
                <w:color w:val="auto"/>
                <w:szCs w:val="21"/>
                <w:highlight w:val="none"/>
                <w:u w:val="single"/>
              </w:rPr>
              <w:t>90</w:t>
            </w:r>
            <w:r>
              <w:rPr>
                <w:rFonts w:hint="eastAsia" w:ascii="宋体" w:hAnsi="宋体" w:eastAsia="宋体" w:cs="宋体"/>
                <w:color w:val="auto"/>
                <w:szCs w:val="21"/>
                <w:highlight w:val="none"/>
              </w:rPr>
              <w:t>日历天（从投标截止之日计起）</w:t>
            </w:r>
          </w:p>
          <w:bookmarkEnd w:id="71"/>
          <w:bookmarkEnd w:id="72"/>
          <w:bookmarkEnd w:id="73"/>
          <w:bookmarkEnd w:id="74"/>
          <w:bookmarkEnd w:id="75"/>
          <w:bookmarkEnd w:id="76"/>
        </w:tc>
      </w:tr>
      <w:tr w14:paraId="5A3B80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29AD81D8">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976" w:type="dxa"/>
            <w:vAlign w:val="center"/>
          </w:tcPr>
          <w:p w14:paraId="005B0B59">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5386" w:type="dxa"/>
            <w:vAlign w:val="center"/>
          </w:tcPr>
          <w:p w14:paraId="3FCEFA92">
            <w:pPr>
              <w:wordWrap w:val="0"/>
              <w:topLinePunct/>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是否要求投标人递交投标保证金：</w:t>
            </w:r>
          </w:p>
          <w:p w14:paraId="2C01148F">
            <w:pPr>
              <w:wordWrap w:val="0"/>
              <w:topLinePunct/>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rPr>
              <w:t>要求，投标保证金的金额：</w:t>
            </w:r>
          </w:p>
          <w:p w14:paraId="18299AAC">
            <w:pPr>
              <w:wordWrap w:val="0"/>
              <w:topLinePunct/>
              <w:spacing w:line="276"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投标保证金的形式：</w:t>
            </w:r>
          </w:p>
          <w:p w14:paraId="0E11C191">
            <w:pPr>
              <w:wordWrap w:val="0"/>
              <w:topLinePunct/>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☑不要求</w:t>
            </w:r>
          </w:p>
        </w:tc>
      </w:tr>
      <w:tr w14:paraId="13B7CC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37B57299">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3.4.4</w:t>
            </w:r>
          </w:p>
        </w:tc>
        <w:tc>
          <w:tcPr>
            <w:tcW w:w="2976" w:type="dxa"/>
            <w:vAlign w:val="center"/>
          </w:tcPr>
          <w:p w14:paraId="46FA17A5">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其他可以不予退还投标保证金的情形</w:t>
            </w:r>
          </w:p>
        </w:tc>
        <w:tc>
          <w:tcPr>
            <w:tcW w:w="5386" w:type="dxa"/>
            <w:vAlign w:val="center"/>
          </w:tcPr>
          <w:p w14:paraId="0369FA66">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70E9D2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0D24CCF6">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2976" w:type="dxa"/>
            <w:vAlign w:val="center"/>
          </w:tcPr>
          <w:p w14:paraId="57D7B4EF">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资格审查资料的特殊要求</w:t>
            </w:r>
          </w:p>
        </w:tc>
        <w:tc>
          <w:tcPr>
            <w:tcW w:w="5386" w:type="dxa"/>
            <w:vAlign w:val="center"/>
          </w:tcPr>
          <w:p w14:paraId="09451E2D">
            <w:pPr>
              <w:wordWrap w:val="0"/>
              <w:topLinePunct/>
              <w:snapToGrid w:val="0"/>
              <w:spacing w:line="276" w:lineRule="auto"/>
              <w:rPr>
                <w:rFonts w:hint="eastAsia" w:ascii="宋体" w:hAnsi="宋体" w:eastAsia="宋体" w:cs="宋体"/>
                <w:color w:val="auto"/>
                <w:spacing w:val="-1"/>
                <w:szCs w:val="21"/>
                <w:highlight w:val="none"/>
              </w:rPr>
            </w:pP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pacing w:val="-1"/>
                <w:szCs w:val="21"/>
                <w:highlight w:val="none"/>
              </w:rPr>
              <w:t>无</w:t>
            </w:r>
          </w:p>
          <w:p w14:paraId="30CE2EE5">
            <w:pPr>
              <w:wordWrap w:val="0"/>
              <w:topLinePunct/>
              <w:snapToGrid w:val="0"/>
              <w:spacing w:line="276" w:lineRule="auto"/>
              <w:rPr>
                <w:rFonts w:hint="eastAsia" w:ascii="宋体" w:hAnsi="宋体" w:eastAsia="宋体" w:cs="宋体"/>
                <w:color w:val="auto"/>
                <w:spacing w:val="-1"/>
                <w:szCs w:val="21"/>
                <w:highlight w:val="none"/>
              </w:rPr>
            </w:pPr>
            <w:r>
              <w:rPr>
                <w:rFonts w:hint="eastAsia" w:ascii="宋体" w:hAnsi="宋体" w:eastAsia="宋体" w:cs="宋体"/>
                <w:color w:val="auto"/>
                <w:spacing w:val="-1"/>
                <w:szCs w:val="21"/>
                <w:highlight w:val="none"/>
              </w:rPr>
              <w:t>□有，具体要求：</w:t>
            </w:r>
          </w:p>
        </w:tc>
      </w:tr>
      <w:tr w14:paraId="794722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3260144C">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w:t>
            </w:r>
          </w:p>
        </w:tc>
        <w:tc>
          <w:tcPr>
            <w:tcW w:w="2976" w:type="dxa"/>
            <w:vAlign w:val="center"/>
          </w:tcPr>
          <w:p w14:paraId="2AF77C34">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近年完成的类似项目情况的时间要求</w:t>
            </w:r>
          </w:p>
        </w:tc>
        <w:tc>
          <w:tcPr>
            <w:tcW w:w="5386" w:type="dxa"/>
            <w:vAlign w:val="center"/>
          </w:tcPr>
          <w:p w14:paraId="7364B380">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日至今</w:t>
            </w:r>
          </w:p>
        </w:tc>
      </w:tr>
      <w:tr w14:paraId="6E91B8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695427CB">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w:t>
            </w:r>
          </w:p>
        </w:tc>
        <w:tc>
          <w:tcPr>
            <w:tcW w:w="2976" w:type="dxa"/>
            <w:vAlign w:val="center"/>
          </w:tcPr>
          <w:p w14:paraId="5C877A2D">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是否允许递交备选投标方案</w:t>
            </w:r>
          </w:p>
        </w:tc>
        <w:tc>
          <w:tcPr>
            <w:tcW w:w="5386" w:type="dxa"/>
            <w:vAlign w:val="center"/>
          </w:tcPr>
          <w:p w14:paraId="5466EB9C">
            <w:pPr>
              <w:wordWrap w:val="0"/>
              <w:topLinePunct/>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rPr>
              <w:t>不允许</w:t>
            </w:r>
          </w:p>
          <w:p w14:paraId="0B69A2A8">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w:t>
            </w:r>
          </w:p>
        </w:tc>
      </w:tr>
      <w:tr w14:paraId="6B8943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661C5915">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w:t>
            </w:r>
          </w:p>
        </w:tc>
        <w:tc>
          <w:tcPr>
            <w:tcW w:w="2976" w:type="dxa"/>
            <w:vAlign w:val="center"/>
          </w:tcPr>
          <w:p w14:paraId="68927223">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投标文件签字或盖章要求</w:t>
            </w:r>
          </w:p>
        </w:tc>
        <w:tc>
          <w:tcPr>
            <w:tcW w:w="5386" w:type="dxa"/>
            <w:vAlign w:val="center"/>
          </w:tcPr>
          <w:p w14:paraId="55319E0D">
            <w:pPr>
              <w:wordWrap w:val="0"/>
              <w:topLinePunct/>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文件格式规定需个人签字的，应签字或签章后扫描上传（可靠的电子签名与手写签名或者盖章具有同等的法律效力）。投标文件格式规定盖单位公章的页面必须盖单位公章或电子公章（公章与电子公章具有相同法律效力）。</w:t>
            </w:r>
          </w:p>
        </w:tc>
      </w:tr>
      <w:tr w14:paraId="4511B6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469FE2F9">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w:t>
            </w:r>
          </w:p>
        </w:tc>
        <w:tc>
          <w:tcPr>
            <w:tcW w:w="2976" w:type="dxa"/>
            <w:vAlign w:val="center"/>
          </w:tcPr>
          <w:p w14:paraId="7ED357DA">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5386" w:type="dxa"/>
            <w:vAlign w:val="center"/>
          </w:tcPr>
          <w:p w14:paraId="0CDE3E89">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分（北京时间）。</w:t>
            </w:r>
          </w:p>
        </w:tc>
      </w:tr>
      <w:tr w14:paraId="3768B0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15769702">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976" w:type="dxa"/>
            <w:vAlign w:val="center"/>
          </w:tcPr>
          <w:p w14:paraId="018BF44F">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开标时间和地点</w:t>
            </w:r>
          </w:p>
        </w:tc>
        <w:tc>
          <w:tcPr>
            <w:tcW w:w="5386" w:type="dxa"/>
            <w:vAlign w:val="center"/>
          </w:tcPr>
          <w:p w14:paraId="5EF8B440">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1.开标时间：同投标截止时间</w:t>
            </w:r>
          </w:p>
          <w:p w14:paraId="0627EA9A">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2.开标地点：广州交易集团有限公司（广州公共资源交易中心）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开标室</w:t>
            </w:r>
          </w:p>
          <w:p w14:paraId="445FB6EA">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3.（选择性条款）递交投标文件备用光盘时间：____年____月____日____时____分至____年____月____日____时____分；递交地点：____。</w:t>
            </w:r>
          </w:p>
          <w:p w14:paraId="26F905DA">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4.（选择性条款）提交投标文件光盘备用</w:t>
            </w:r>
          </w:p>
          <w:p w14:paraId="3A6243AD">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66CB28A0">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5.补救方案</w:t>
            </w:r>
          </w:p>
          <w:p w14:paraId="1AE267BB">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7AB23018">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（2）评标时突发情况的补救方案：若遇不可抗力发生（指网络瘫痪、服务器损坏、交易系统故障短期无法恢复等因素），由评标委员会开启投标人递交的全部投标文件光盘，并按光盘内容进行评审。</w:t>
            </w:r>
          </w:p>
          <w:p w14:paraId="20EC0DA5">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（3）除发生上述情况外，开标评标均以投标人通过交易平台网上递交的电子投标文件为准。</w:t>
            </w:r>
          </w:p>
          <w:p w14:paraId="1AD42F69">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6.开标时，投标人代表有权参加现场开标或在线开标，也可以自主决定不参加开标，投标人选择参加在线开标的，具体按照交易平台相关指南进行操作。</w:t>
            </w:r>
          </w:p>
          <w:p w14:paraId="0DE22316">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7.上述时间及地点是否有改变，请密切留意补充公告或招标答疑纪要的相关信息。</w:t>
            </w:r>
          </w:p>
        </w:tc>
      </w:tr>
      <w:tr w14:paraId="6D59B1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3CA8D7A">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p>
        </w:tc>
        <w:tc>
          <w:tcPr>
            <w:tcW w:w="2976" w:type="dxa"/>
            <w:vAlign w:val="center"/>
          </w:tcPr>
          <w:p w14:paraId="1CA2601B">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评标委员会的组建</w:t>
            </w:r>
          </w:p>
        </w:tc>
        <w:tc>
          <w:tcPr>
            <w:tcW w:w="5386" w:type="dxa"/>
            <w:vAlign w:val="center"/>
          </w:tcPr>
          <w:p w14:paraId="70F8575F">
            <w:pPr>
              <w:wordWrap w:val="0"/>
              <w:snapToGrid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评标委员会构成：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w:t>
            </w:r>
          </w:p>
          <w:p w14:paraId="6ACFE7EF">
            <w:pPr>
              <w:wordWrap w:val="0"/>
              <w:snapToGrid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其中招标人代表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w:t>
            </w:r>
          </w:p>
          <w:p w14:paraId="1C4DBD09">
            <w:pPr>
              <w:wordWrap w:val="0"/>
              <w:snapToGrid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评标专家确定方式：</w:t>
            </w:r>
            <w:r>
              <w:rPr>
                <w:rFonts w:hint="eastAsia" w:ascii="宋体" w:hAnsi="宋体" w:eastAsia="宋体" w:cs="宋体"/>
                <w:color w:val="auto"/>
                <w:szCs w:val="21"/>
                <w:highlight w:val="none"/>
                <w:u w:val="single"/>
              </w:rPr>
              <w:t>由广东省综合评标评审专家库中随机抽取</w:t>
            </w:r>
            <w:r>
              <w:rPr>
                <w:rFonts w:hint="eastAsia" w:ascii="宋体" w:hAnsi="宋体" w:eastAsia="宋体" w:cs="宋体"/>
                <w:color w:val="auto"/>
                <w:szCs w:val="21"/>
                <w:highlight w:val="none"/>
              </w:rPr>
              <w:t>。</w:t>
            </w:r>
          </w:p>
        </w:tc>
      </w:tr>
      <w:tr w14:paraId="60121E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2C1A105B">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2976" w:type="dxa"/>
            <w:vAlign w:val="center"/>
          </w:tcPr>
          <w:p w14:paraId="7EF24986">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定标委员会的组建</w:t>
            </w:r>
          </w:p>
        </w:tc>
        <w:tc>
          <w:tcPr>
            <w:tcW w:w="5386" w:type="dxa"/>
            <w:vAlign w:val="center"/>
          </w:tcPr>
          <w:p w14:paraId="2FFB8B0C">
            <w:pPr>
              <w:wordWrap w:val="0"/>
              <w:snapToGrid w:val="0"/>
              <w:spacing w:line="276"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p>
        </w:tc>
      </w:tr>
      <w:tr w14:paraId="01F29D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2508B8C9">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6.3.2</w:t>
            </w:r>
          </w:p>
        </w:tc>
        <w:tc>
          <w:tcPr>
            <w:tcW w:w="2976" w:type="dxa"/>
            <w:vAlign w:val="center"/>
          </w:tcPr>
          <w:p w14:paraId="5AA5C0AC">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评标委员会推荐中标候选人的人数</w:t>
            </w:r>
          </w:p>
        </w:tc>
        <w:tc>
          <w:tcPr>
            <w:tcW w:w="5386" w:type="dxa"/>
            <w:vAlign w:val="center"/>
          </w:tcPr>
          <w:p w14:paraId="23DD7588">
            <w:pPr>
              <w:tabs>
                <w:tab w:val="left" w:pos="7513"/>
              </w:tabs>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3名</w:t>
            </w:r>
          </w:p>
        </w:tc>
      </w:tr>
      <w:tr w14:paraId="083548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3868419">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7.1</w:t>
            </w:r>
          </w:p>
        </w:tc>
        <w:tc>
          <w:tcPr>
            <w:tcW w:w="2976" w:type="dxa"/>
            <w:vAlign w:val="center"/>
          </w:tcPr>
          <w:p w14:paraId="6A869E9B">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中标候选人公示媒介及期限</w:t>
            </w:r>
          </w:p>
        </w:tc>
        <w:tc>
          <w:tcPr>
            <w:tcW w:w="5386" w:type="dxa"/>
            <w:vAlign w:val="center"/>
          </w:tcPr>
          <w:p w14:paraId="497F83E3">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公示媒介：</w:t>
            </w:r>
            <w:r>
              <w:rPr>
                <w:rFonts w:hint="eastAsia" w:ascii="宋体" w:hAnsi="宋体" w:eastAsia="宋体" w:cs="宋体"/>
                <w:color w:val="auto"/>
                <w:szCs w:val="21"/>
                <w:highlight w:val="none"/>
                <w:u w:val="single"/>
              </w:rPr>
              <w:t>中国招标投标公共服务平台、广东省招标投标监管网、广州交易集团有限公司（广州公共资源交易中心）网站</w:t>
            </w:r>
          </w:p>
          <w:p w14:paraId="3BF384AA">
            <w:pPr>
              <w:wordWrap w:val="0"/>
              <w:snapToGrid w:val="0"/>
              <w:spacing w:line="276" w:lineRule="auto"/>
              <w:ind w:right="106"/>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公示期限：</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日，公示结束日为工作日。</w:t>
            </w:r>
          </w:p>
        </w:tc>
      </w:tr>
      <w:tr w14:paraId="63EDAB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7F2B08B3">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7.4</w:t>
            </w:r>
          </w:p>
        </w:tc>
        <w:tc>
          <w:tcPr>
            <w:tcW w:w="2976" w:type="dxa"/>
            <w:vAlign w:val="center"/>
          </w:tcPr>
          <w:p w14:paraId="30F9AFB1">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是否授权评标委员会确定中标人</w:t>
            </w:r>
          </w:p>
        </w:tc>
        <w:tc>
          <w:tcPr>
            <w:tcW w:w="5386" w:type="dxa"/>
            <w:vAlign w:val="center"/>
          </w:tcPr>
          <w:p w14:paraId="75D5EC18">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w:t>
            </w:r>
          </w:p>
          <w:p w14:paraId="5044368D">
            <w:pPr>
              <w:wordWrap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rPr>
              <w:t>否</w:t>
            </w:r>
          </w:p>
        </w:tc>
      </w:tr>
      <w:tr w14:paraId="0F0B17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2FE74C06">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7.6.1</w:t>
            </w:r>
          </w:p>
        </w:tc>
        <w:tc>
          <w:tcPr>
            <w:tcW w:w="2976" w:type="dxa"/>
            <w:vAlign w:val="center"/>
          </w:tcPr>
          <w:p w14:paraId="575C5CFE">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5386" w:type="dxa"/>
            <w:vAlign w:val="center"/>
          </w:tcPr>
          <w:p w14:paraId="0D685BCF">
            <w:pPr>
              <w:wordWrap w:val="0"/>
              <w:topLinePunct/>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是否要求中标人提交履约保证金：</w:t>
            </w:r>
          </w:p>
          <w:p w14:paraId="7796DE60">
            <w:pPr>
              <w:wordWrap w:val="0"/>
              <w:topLinePunct/>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□要求，履约保证金的形式：</w:t>
            </w:r>
            <w:r>
              <w:rPr>
                <w:rFonts w:hint="eastAsia" w:ascii="宋体" w:hAnsi="宋体" w:eastAsia="宋体" w:cs="宋体"/>
                <w:color w:val="auto"/>
                <w:szCs w:val="21"/>
                <w:highlight w:val="none"/>
                <w:u w:val="single"/>
              </w:rPr>
              <w:t xml:space="preserve">    </w:t>
            </w:r>
          </w:p>
          <w:p w14:paraId="71DE0255">
            <w:pPr>
              <w:wordWrap w:val="0"/>
              <w:spacing w:line="276" w:lineRule="auto"/>
              <w:ind w:left="2730" w:leftChars="400" w:hanging="1890" w:hanging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履约保证金的金额：</w:t>
            </w:r>
            <w:r>
              <w:rPr>
                <w:rFonts w:hint="eastAsia" w:ascii="宋体" w:hAnsi="宋体" w:eastAsia="宋体" w:cs="宋体"/>
                <w:color w:val="auto"/>
                <w:szCs w:val="21"/>
                <w:highlight w:val="none"/>
                <w:u w:val="single"/>
              </w:rPr>
              <w:t xml:space="preserve">     </w:t>
            </w:r>
          </w:p>
          <w:p w14:paraId="6D0C61A6">
            <w:pPr>
              <w:wordWrap w:val="0"/>
              <w:topLinePunct/>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rPr>
              <w:t>不要求</w:t>
            </w:r>
          </w:p>
        </w:tc>
      </w:tr>
      <w:tr w14:paraId="09C8E2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378C2094">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976" w:type="dxa"/>
            <w:vAlign w:val="center"/>
          </w:tcPr>
          <w:p w14:paraId="15CAA6C9">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是否采用电子招标投标</w:t>
            </w:r>
          </w:p>
        </w:tc>
        <w:tc>
          <w:tcPr>
            <w:tcW w:w="5386" w:type="dxa"/>
            <w:vAlign w:val="center"/>
          </w:tcPr>
          <w:p w14:paraId="1A6D1868">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p w14:paraId="3904D76A">
            <w:pPr>
              <w:wordWrap w:val="0"/>
              <w:spacing w:line="276" w:lineRule="auto"/>
              <w:ind w:left="2099" w:leftChars="3" w:hanging="2093" w:hangingChars="997"/>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rPr>
              <w:t>是，采用全流程电子招标投标。</w:t>
            </w:r>
          </w:p>
        </w:tc>
      </w:tr>
      <w:tr w14:paraId="01D056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7AA3AFDC">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8362" w:type="dxa"/>
            <w:gridSpan w:val="2"/>
            <w:vAlign w:val="center"/>
          </w:tcPr>
          <w:p w14:paraId="749E8E91">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需要补充的其他内容</w:t>
            </w:r>
          </w:p>
        </w:tc>
      </w:tr>
      <w:tr w14:paraId="71B606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17FE7FDF">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w:t>
            </w:r>
          </w:p>
        </w:tc>
        <w:tc>
          <w:tcPr>
            <w:tcW w:w="2976" w:type="dxa"/>
            <w:vAlign w:val="center"/>
          </w:tcPr>
          <w:p w14:paraId="197C544C">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5386" w:type="dxa"/>
            <w:vAlign w:val="center"/>
          </w:tcPr>
          <w:p w14:paraId="12F23A5F">
            <w:pPr>
              <w:wordWrap w:val="0"/>
              <w:snapToGrid w:val="0"/>
              <w:spacing w:line="276" w:lineRule="auto"/>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u w:val="single"/>
              </w:rPr>
              <w:t>本项目中标通知书发出后，中标单位须将投标文件打印一正三副，送至招标人指定地方。</w:t>
            </w:r>
          </w:p>
        </w:tc>
      </w:tr>
      <w:tr w14:paraId="238B29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62AC7AEF">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2976" w:type="dxa"/>
            <w:vAlign w:val="center"/>
          </w:tcPr>
          <w:p w14:paraId="0DF50DD3">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特别提示</w:t>
            </w:r>
          </w:p>
        </w:tc>
        <w:tc>
          <w:tcPr>
            <w:tcW w:w="5386" w:type="dxa"/>
            <w:vAlign w:val="center"/>
          </w:tcPr>
          <w:p w14:paraId="031C94B6">
            <w:pPr>
              <w:wordWrap w:val="0"/>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投标人在本项目招标人的工程项目中存在下列行为的，将被拒绝二年内参与我单位后续工程投标。（注：拒绝投标时限自招标人发出通知之日起计）：</w:t>
            </w:r>
          </w:p>
          <w:p w14:paraId="71BE9B26">
            <w:pPr>
              <w:wordWrap w:val="0"/>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1.将中标工程转包或者违法分包的；</w:t>
            </w:r>
          </w:p>
          <w:p w14:paraId="6FCEE42D">
            <w:pPr>
              <w:wordWrap w:val="0"/>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2.在中标工程中不执行质量、安全生产相关规定的，造成质量或安全事故的；</w:t>
            </w:r>
          </w:p>
          <w:p w14:paraId="79FB6EAC">
            <w:pPr>
              <w:wordWrap w:val="0"/>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3.存在围标或串标情形的；</w:t>
            </w:r>
          </w:p>
          <w:p w14:paraId="0D2019D1">
            <w:pPr>
              <w:wordWrap w:val="0"/>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4.存在弄虚作假骗取中标情形的；。</w:t>
            </w:r>
          </w:p>
        </w:tc>
      </w:tr>
      <w:tr w14:paraId="6E6CF6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tcBorders>
              <w:bottom w:val="single" w:color="auto" w:sz="4" w:space="0"/>
            </w:tcBorders>
            <w:vAlign w:val="center"/>
          </w:tcPr>
          <w:p w14:paraId="5DDB643E">
            <w:pPr>
              <w:wordWrap w:val="0"/>
              <w:snapToGrid w:val="0"/>
              <w:spacing w:line="276"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11.3</w:t>
            </w:r>
          </w:p>
        </w:tc>
        <w:tc>
          <w:tcPr>
            <w:tcW w:w="2976" w:type="dxa"/>
            <w:tcBorders>
              <w:bottom w:val="single" w:color="auto" w:sz="4" w:space="0"/>
            </w:tcBorders>
            <w:vAlign w:val="center"/>
          </w:tcPr>
          <w:p w14:paraId="462590E1">
            <w:pPr>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投标报价得分评审优惠政策</w:t>
            </w:r>
          </w:p>
        </w:tc>
        <w:tc>
          <w:tcPr>
            <w:tcW w:w="5386" w:type="dxa"/>
            <w:tcBorders>
              <w:bottom w:val="single" w:color="auto" w:sz="4" w:space="0"/>
            </w:tcBorders>
            <w:vAlign w:val="center"/>
          </w:tcPr>
          <w:p w14:paraId="5CC5122B">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经济标评审优惠政策</w:t>
            </w:r>
          </w:p>
          <w:p w14:paraId="1CC218AA">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☑本招标项目执行经济标评审优惠政策</w:t>
            </w:r>
          </w:p>
          <w:p w14:paraId="219DE4B0">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□本招标项目不执行经济标评审优惠政策</w:t>
            </w:r>
          </w:p>
          <w:p w14:paraId="552F673F">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招标项目执行经济标评审优惠政策，投标人应根据自身情况提供《中小企业声明函》（如有）或由省级以上监狱管理局、戒毒管理局（含新疆生产建设兵团）出具的属于监狱企业的证明文件（如有）或需提供《残疾人福利性单位声明函》（如有）。</w:t>
            </w:r>
          </w:p>
          <w:p w14:paraId="70CF603C">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1.根据《广东省政府采购促进中小企业发展实施细则（试行）》要求，对符合《政府采购促进中小企业发展管理办法》的</w:t>
            </w:r>
            <w:r>
              <w:rPr>
                <w:rFonts w:hint="eastAsia" w:ascii="宋体" w:hAnsi="宋体" w:eastAsia="宋体" w:cs="宋体"/>
                <w:b/>
                <w:bCs/>
                <w:color w:val="auto"/>
                <w:sz w:val="21"/>
                <w:szCs w:val="21"/>
                <w:highlight w:val="none"/>
              </w:rPr>
              <w:t>小微企业投标人，给予相应的价格评审优惠。</w:t>
            </w:r>
          </w:p>
          <w:p w14:paraId="13480834">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招标项目评标计算价格分（即投标报价得分）时，对小微企业投标的，在采用原报价进行评分的基础上增加其价格得分的5%作为其价格分。若原报价已满分，仍可突破满分上限继续享受加分优惠，以实际计算结果作为最终价格分。</w:t>
            </w:r>
          </w:p>
          <w:p w14:paraId="645C2F1C">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应按《政府采购促进中小企业发展管理办法》规定出具《中小企业声明函》（格式详见第六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79B6BD3C">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4.小微企业划分标准按照《工业和信息化部 国家统计局 国家发展和改革委员会 财政部关于印发中小企业划型标准规定的通知》（工信部联企业〔2011〕300号）执行。</w:t>
            </w:r>
            <w:r>
              <w:rPr>
                <w:rFonts w:hint="eastAsia" w:ascii="宋体" w:hAnsi="宋体" w:eastAsia="宋体" w:cs="宋体"/>
                <w:b/>
                <w:bCs/>
                <w:color w:val="auto"/>
                <w:sz w:val="21"/>
                <w:szCs w:val="21"/>
                <w:highlight w:val="none"/>
              </w:rPr>
              <w:t>本招标项目属于其他未列明行业</w:t>
            </w:r>
            <w:r>
              <w:rPr>
                <w:rFonts w:hint="eastAsia" w:ascii="宋体" w:hAnsi="宋体" w:eastAsia="宋体" w:cs="宋体"/>
                <w:color w:val="auto"/>
                <w:sz w:val="21"/>
                <w:szCs w:val="21"/>
                <w:highlight w:val="none"/>
              </w:rPr>
              <w:t>，从业人员300人以下的为中小微型企业。其中，从业人员100人及以上的为中型企业；从业人员10人及以上的为小型企业；从业人员10人以下的为微型企业。</w:t>
            </w:r>
          </w:p>
          <w:p w14:paraId="36F4F7FF">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注：（1）小微企业，是指在中华人民共和国境内依法设立，依据国务院批准的中小企业划分标准确定的小型企业和微型企业，但与大企业的负责人为同一人，或者与大企业存在直接控股、管理关系的除外。</w:t>
            </w:r>
          </w:p>
          <w:p w14:paraId="2243A993">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（2）事业单位、社会组织等非企业主体不享受中小企业扶持政策。</w:t>
            </w:r>
          </w:p>
          <w:p w14:paraId="3AE499FD">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（3）公示期间如有异议、投诉的，被异议、投诉单位需提供注册登记所在地的县级以上人民政府中小企业主管部门认定函。</w:t>
            </w:r>
          </w:p>
          <w:p w14:paraId="62FFECEB">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（4）规定享受扶持政策获得承包合同的，小微企业不得将合同分包给大中型企业，中型企业不得将合同分包给大型企业。</w:t>
            </w:r>
          </w:p>
          <w:p w14:paraId="53B46A83">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w:t>
            </w:r>
          </w:p>
          <w:p w14:paraId="30D9AE43">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（6）根据《财政部 民政部 中国残疾人联合会关于促进残疾人就业政府采购政策的通知》（财库〔2017〕141号）规定，残疾人福利性单位视同小型、微型企业，需提供《残疾人福利性单位声明函》，经评审满足要求后，可享受上述加分优惠，否则不得享受上述加分优惠。</w:t>
            </w:r>
          </w:p>
          <w:p w14:paraId="3FE3B507">
            <w:pPr>
              <w:wordWrap w:val="0"/>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（7）监狱企业或残疾人福利性单位属于小型、微型企业的，不重复享受政策。</w:t>
            </w:r>
          </w:p>
        </w:tc>
      </w:tr>
    </w:tbl>
    <w:p w14:paraId="26A23010">
      <w:pPr>
        <w:widowControl/>
        <w:wordWrap w:val="0"/>
        <w:jc w:val="left"/>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br w:type="page"/>
      </w:r>
    </w:p>
    <w:p w14:paraId="5EABCF54">
      <w:pPr>
        <w:wordWrap w:val="0"/>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投标须知修改表</w:t>
      </w:r>
    </w:p>
    <w:p w14:paraId="003DA934">
      <w:pPr>
        <w:pStyle w:val="23"/>
        <w:pageBreakBefore w:val="0"/>
        <w:widowControl w:val="0"/>
        <w:pBdr>
          <w:bottom w:val="single" w:color="auto" w:sz="6" w:space="1"/>
        </w:pBdr>
        <w:kinsoku/>
        <w:wordWrap w:val="0"/>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本投标须知使用GZJTZB2025-2招标文件范本的投标须知通用条款，与该通用条款不同之处，均在本表中列明，并以现文为准，原文不再有效。</w:t>
      </w:r>
      <w:r>
        <w:rPr>
          <w:rFonts w:hint="eastAsia" w:ascii="宋体" w:hAnsi="宋体" w:eastAsia="宋体" w:cs="宋体"/>
          <w:bCs/>
          <w:color w:val="auto"/>
          <w:sz w:val="24"/>
          <w:szCs w:val="24"/>
          <w:highlight w:val="none"/>
        </w:rPr>
        <w:t>（注：招标人按《投标须知修改表》修改的内容对应修改通用条款，属于删除的采用“</w:t>
      </w:r>
      <w:r>
        <w:rPr>
          <w:rFonts w:hint="eastAsia" w:ascii="宋体" w:hAnsi="宋体" w:eastAsia="宋体" w:cs="宋体"/>
          <w:bCs/>
          <w:strike/>
          <w:color w:val="auto"/>
          <w:sz w:val="24"/>
          <w:szCs w:val="24"/>
          <w:highlight w:val="none"/>
        </w:rPr>
        <w:t xml:space="preserve">   </w:t>
      </w:r>
      <w:r>
        <w:rPr>
          <w:rFonts w:hint="eastAsia" w:ascii="宋体" w:hAnsi="宋体" w:eastAsia="宋体" w:cs="宋体"/>
          <w:bCs/>
          <w:color w:val="auto"/>
          <w:sz w:val="24"/>
          <w:szCs w:val="24"/>
          <w:highlight w:val="none"/>
        </w:rPr>
        <w:t>”表示，如“</w:t>
      </w:r>
      <w:r>
        <w:rPr>
          <w:rFonts w:hint="eastAsia" w:ascii="宋体" w:hAnsi="宋体" w:eastAsia="宋体" w:cs="宋体"/>
          <w:bCs/>
          <w:strike/>
          <w:color w:val="auto"/>
          <w:sz w:val="24"/>
          <w:szCs w:val="24"/>
          <w:highlight w:val="none"/>
        </w:rPr>
        <w:t>删除</w:t>
      </w:r>
      <w:r>
        <w:rPr>
          <w:rFonts w:hint="eastAsia" w:ascii="宋体" w:hAnsi="宋体" w:eastAsia="宋体" w:cs="宋体"/>
          <w:bCs/>
          <w:color w:val="auto"/>
          <w:sz w:val="24"/>
          <w:szCs w:val="24"/>
          <w:highlight w:val="none"/>
        </w:rPr>
        <w:t>”；属于新增、修改的内容，用</w:t>
      </w:r>
      <w:r>
        <w:rPr>
          <w:rFonts w:hint="eastAsia" w:ascii="宋体" w:hAnsi="宋体" w:eastAsia="宋体" w:cs="宋体"/>
          <w:b/>
          <w:color w:val="auto"/>
          <w:sz w:val="24"/>
          <w:szCs w:val="24"/>
          <w:highlight w:val="none"/>
        </w:rPr>
        <w:t>黑色加粗</w:t>
      </w:r>
      <w:r>
        <w:rPr>
          <w:rFonts w:hint="eastAsia" w:ascii="宋体" w:hAnsi="宋体" w:eastAsia="宋体" w:cs="宋体"/>
          <w:bCs/>
          <w:color w:val="auto"/>
          <w:sz w:val="24"/>
          <w:szCs w:val="24"/>
          <w:highlight w:val="none"/>
        </w:rPr>
        <w:t>字体显示,并加注下划线，如“</w:t>
      </w:r>
      <w:r>
        <w:rPr>
          <w:rFonts w:hint="eastAsia" w:ascii="宋体" w:hAnsi="宋体" w:eastAsia="宋体" w:cs="宋体"/>
          <w:b/>
          <w:color w:val="auto"/>
          <w:sz w:val="24"/>
          <w:szCs w:val="24"/>
          <w:highlight w:val="none"/>
          <w:u w:val="single"/>
        </w:rPr>
        <w:t>新增修改</w:t>
      </w:r>
      <w:r>
        <w:rPr>
          <w:rFonts w:hint="eastAsia" w:ascii="宋体" w:hAnsi="宋体" w:eastAsia="宋体" w:cs="宋体"/>
          <w:bCs/>
          <w:color w:val="auto"/>
          <w:sz w:val="24"/>
          <w:szCs w:val="24"/>
          <w:highlight w:val="none"/>
        </w:rPr>
        <w:t>”。）</w:t>
      </w:r>
    </w:p>
    <w:p w14:paraId="38DA565E">
      <w:pPr>
        <w:spacing w:line="360" w:lineRule="auto"/>
        <w:ind w:firstLine="426" w:firstLineChars="17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条款号：2.2.3</w:t>
      </w:r>
      <w:r>
        <w:rPr>
          <w:rFonts w:hint="eastAsia" w:ascii="宋体" w:hAnsi="宋体" w:eastAsia="宋体" w:cs="宋体"/>
          <w:b/>
          <w:bCs/>
          <w:color w:val="auto"/>
          <w:sz w:val="24"/>
          <w:szCs w:val="24"/>
          <w:highlight w:val="none"/>
          <w:lang w:eastAsia="zh-CN"/>
        </w:rPr>
        <w:t>、2.2.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xml:space="preserve">       修改类型：修改</w:t>
      </w:r>
    </w:p>
    <w:p w14:paraId="2C5452AD">
      <w:pPr>
        <w:wordWrap w:val="0"/>
        <w:autoSpaceDE w:val="0"/>
        <w:autoSpaceDN w:val="0"/>
        <w:spacing w:line="360" w:lineRule="auto"/>
        <w:ind w:firstLine="482" w:firstLineChars="200"/>
        <w:rPr>
          <w:rFonts w:hint="eastAsia" w:ascii="宋体" w:hAnsi="宋体" w:eastAsia="宋体" w:cs="宋体"/>
          <w:color w:val="auto"/>
          <w:spacing w:val="-2"/>
          <w:kern w:val="0"/>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spacing w:val="-2"/>
          <w:kern w:val="0"/>
          <w:sz w:val="24"/>
          <w:szCs w:val="24"/>
          <w:highlight w:val="none"/>
        </w:rPr>
        <w:t>2.2.3招标答疑会会议纪要将在提交投标文件截止时间15日前在广州交易集团有限公司（广州公共资源交易中心）网站“项目答疑纪要”专区公开发布。答疑纪要一经在广州交易集团有限公司（广州公共资源交易中心）网站发布，视作已发放给所有投标人。澄清发出的时间距本章第4.2.1项规定的投标截止时间不足15日的，并且澄清内容可能影响投标文件编制的，将相应延长投标截止时间。</w:t>
      </w:r>
    </w:p>
    <w:p w14:paraId="6A231962">
      <w:pPr>
        <w:spacing w:line="360" w:lineRule="auto"/>
        <w:ind w:firstLine="417" w:firstLineChars="177"/>
        <w:rPr>
          <w:rFonts w:hint="eastAsia" w:ascii="宋体" w:hAnsi="宋体" w:eastAsia="宋体" w:cs="宋体"/>
          <w:b/>
          <w:bCs/>
          <w:color w:val="auto"/>
          <w:sz w:val="24"/>
          <w:szCs w:val="24"/>
          <w:highlight w:val="none"/>
          <w:u w:val="single"/>
        </w:rPr>
      </w:pPr>
      <w:r>
        <w:rPr>
          <w:rFonts w:hint="eastAsia" w:ascii="宋体" w:hAnsi="宋体" w:eastAsia="宋体" w:cs="宋体"/>
          <w:color w:val="auto"/>
          <w:spacing w:val="-2"/>
          <w:kern w:val="0"/>
          <w:sz w:val="24"/>
          <w:szCs w:val="24"/>
          <w:highlight w:val="none"/>
        </w:rPr>
        <w:t>2.2.4招标答疑会会议纪要是招标文件的组成部分，对投标人起约束作用。若招标答疑会会议纪要与招标文件有矛盾时，以广州交易集团有限公司（广州公共资源交易中心）网站最后发布的答疑纪要为准。</w:t>
      </w:r>
    </w:p>
    <w:p w14:paraId="0F67F355">
      <w:pPr>
        <w:wordWrap w:val="0"/>
        <w:autoSpaceDE w:val="0"/>
        <w:autoSpaceDN w:val="0"/>
        <w:spacing w:line="360" w:lineRule="auto"/>
        <w:ind w:firstLine="482" w:firstLineChars="200"/>
        <w:rPr>
          <w:rFonts w:hint="eastAsia" w:ascii="宋体" w:hAnsi="宋体" w:eastAsia="宋体" w:cs="宋体"/>
          <w:color w:val="auto"/>
          <w:spacing w:val="-2"/>
          <w:kern w:val="0"/>
          <w:sz w:val="24"/>
          <w:szCs w:val="24"/>
          <w:highlight w:val="none"/>
        </w:rPr>
      </w:pPr>
      <w:r>
        <w:rPr>
          <w:rFonts w:hint="eastAsia" w:ascii="宋体" w:hAnsi="宋体" w:eastAsia="宋体" w:cs="宋体"/>
          <w:b/>
          <w:bCs/>
          <w:color w:val="auto"/>
          <w:sz w:val="24"/>
          <w:szCs w:val="24"/>
          <w:highlight w:val="none"/>
        </w:rPr>
        <w:t>现文：</w:t>
      </w:r>
      <w:r>
        <w:rPr>
          <w:rFonts w:hint="eastAsia" w:ascii="宋体" w:hAnsi="宋体" w:eastAsia="宋体" w:cs="宋体"/>
          <w:color w:val="auto"/>
          <w:spacing w:val="-2"/>
          <w:kern w:val="0"/>
          <w:sz w:val="24"/>
          <w:szCs w:val="24"/>
          <w:highlight w:val="none"/>
        </w:rPr>
        <w:t>2.2.3</w:t>
      </w:r>
      <w:r>
        <w:rPr>
          <w:rFonts w:hint="eastAsia" w:ascii="宋体" w:hAnsi="宋体" w:eastAsia="宋体" w:cs="宋体"/>
          <w:b/>
          <w:bCs/>
          <w:color w:val="auto"/>
          <w:sz w:val="24"/>
          <w:szCs w:val="24"/>
          <w:highlight w:val="none"/>
          <w:u w:val="single"/>
        </w:rPr>
        <w:t>招标答疑纪要</w:t>
      </w:r>
      <w:r>
        <w:rPr>
          <w:rFonts w:hint="eastAsia" w:ascii="宋体" w:hAnsi="宋体" w:eastAsia="宋体" w:cs="宋体"/>
          <w:strike/>
          <w:dstrike w:val="0"/>
          <w:color w:val="auto"/>
          <w:spacing w:val="-2"/>
          <w:kern w:val="0"/>
          <w:sz w:val="24"/>
          <w:szCs w:val="24"/>
          <w:highlight w:val="none"/>
        </w:rPr>
        <w:t>招标答疑会会议纪要</w:t>
      </w:r>
      <w:r>
        <w:rPr>
          <w:rFonts w:hint="eastAsia" w:ascii="宋体" w:hAnsi="宋体" w:eastAsia="宋体" w:cs="宋体"/>
          <w:color w:val="auto"/>
          <w:spacing w:val="-2"/>
          <w:kern w:val="0"/>
          <w:sz w:val="24"/>
          <w:szCs w:val="24"/>
          <w:highlight w:val="none"/>
        </w:rPr>
        <w:t>将在提交投标文件截止时间15日前在广州交易集团有限公司（广州公共资源交易中心）网站“项目答疑纪要”专区公开发布。答疑纪要一经在广州交易集团有限公司（广州公共资源交易中心）网站发布，视作已发放给所有投标人。澄清发出的时间距本章第4.2.1项规定的投标截止时间不足15日的，并且澄清内容可能影响投标文件编制的，将相应延长投标截止时间。</w:t>
      </w:r>
    </w:p>
    <w:p w14:paraId="06A2E66E">
      <w:pPr>
        <w:pBdr>
          <w:bottom w:val="single" w:color="auto" w:sz="6" w:space="1"/>
        </w:pBdr>
        <w:spacing w:line="360" w:lineRule="auto"/>
        <w:ind w:firstLine="417" w:firstLineChars="177"/>
        <w:rPr>
          <w:rFonts w:hint="eastAsia" w:ascii="宋体" w:hAnsi="宋体" w:eastAsia="宋体" w:cs="宋体"/>
          <w:b/>
          <w:bCs/>
          <w:color w:val="auto"/>
          <w:sz w:val="24"/>
          <w:szCs w:val="24"/>
          <w:highlight w:val="none"/>
          <w:u w:val="single"/>
        </w:rPr>
      </w:pPr>
      <w:r>
        <w:rPr>
          <w:rFonts w:hint="eastAsia" w:ascii="宋体" w:hAnsi="宋体" w:eastAsia="宋体" w:cs="宋体"/>
          <w:color w:val="auto"/>
          <w:spacing w:val="-2"/>
          <w:kern w:val="0"/>
          <w:sz w:val="24"/>
          <w:szCs w:val="24"/>
          <w:highlight w:val="none"/>
        </w:rPr>
        <w:t>2.2.4</w:t>
      </w:r>
      <w:r>
        <w:rPr>
          <w:rFonts w:hint="eastAsia" w:ascii="宋体" w:hAnsi="宋体" w:eastAsia="宋体" w:cs="宋体"/>
          <w:b/>
          <w:bCs/>
          <w:color w:val="auto"/>
          <w:sz w:val="24"/>
          <w:szCs w:val="24"/>
          <w:highlight w:val="none"/>
          <w:u w:val="single"/>
        </w:rPr>
        <w:t>招标答疑纪要</w:t>
      </w:r>
      <w:r>
        <w:rPr>
          <w:rFonts w:hint="eastAsia" w:ascii="宋体" w:hAnsi="宋体" w:eastAsia="宋体" w:cs="宋体"/>
          <w:strike/>
          <w:dstrike w:val="0"/>
          <w:color w:val="auto"/>
          <w:spacing w:val="-2"/>
          <w:kern w:val="0"/>
          <w:sz w:val="24"/>
          <w:szCs w:val="24"/>
          <w:highlight w:val="none"/>
        </w:rPr>
        <w:t>招标答疑会会议纪要</w:t>
      </w:r>
      <w:r>
        <w:rPr>
          <w:rFonts w:hint="eastAsia" w:ascii="宋体" w:hAnsi="宋体" w:eastAsia="宋体" w:cs="宋体"/>
          <w:color w:val="auto"/>
          <w:spacing w:val="-2"/>
          <w:kern w:val="0"/>
          <w:sz w:val="24"/>
          <w:szCs w:val="24"/>
          <w:highlight w:val="none"/>
        </w:rPr>
        <w:t>是招标文件的组成部分，对投标人起约束作用。若招标答疑会会议纪要与招标文件有矛盾时，以广州交易集团有限公司（广州公共资源交易中心）网站最后发布的答疑纪要为准。</w:t>
      </w:r>
    </w:p>
    <w:p w14:paraId="00A1C935">
      <w:pPr>
        <w:pageBreakBefore w:val="0"/>
        <w:widowControl w:val="0"/>
        <w:kinsoku w:val="0"/>
        <w:wordWrap/>
        <w:overflowPunct w:val="0"/>
        <w:topLinePunct w:val="0"/>
        <w:autoSpaceDE w:val="0"/>
        <w:autoSpaceDN w:val="0"/>
        <w:bidi w:val="0"/>
        <w:adjustRightInd/>
        <w:snapToGrid/>
        <w:spacing w:beforeLines="0" w:afterLines="0" w:line="360" w:lineRule="auto"/>
        <w:ind w:left="522"/>
        <w:jc w:val="both"/>
        <w:textAlignment w:val="auto"/>
        <w:rPr>
          <w:rFonts w:hint="eastAsia" w:ascii="宋体" w:hAnsi="宋体" w:eastAsia="宋体" w:cs="宋体"/>
          <w:color w:val="auto"/>
          <w:spacing w:val="50"/>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条款号：3</w:t>
      </w:r>
      <w:r>
        <w:rPr>
          <w:rFonts w:hint="eastAsia" w:ascii="宋体" w:hAnsi="宋体" w:eastAsia="宋体" w:cs="宋体"/>
          <w:color w:val="auto"/>
          <w:spacing w:val="-3"/>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1.1</w:t>
      </w:r>
      <w:r>
        <w:rPr>
          <w:rFonts w:hint="eastAsia" w:ascii="宋体" w:hAnsi="宋体" w:eastAsia="宋体" w:cs="宋体"/>
          <w:color w:val="auto"/>
          <w:spacing w:val="50"/>
          <w:sz w:val="24"/>
          <w:szCs w:val="24"/>
          <w:highlight w:val="none"/>
          <w:lang w:val="en-US" w:eastAsia="zh-CN" w:bidi="ar-SA"/>
        </w:rPr>
        <w:t xml:space="preserve">         </w:t>
      </w:r>
      <w:r>
        <w:rPr>
          <w:rFonts w:hint="eastAsia" w:ascii="宋体" w:hAnsi="宋体" w:eastAsia="宋体" w:cs="宋体"/>
          <w:color w:val="auto"/>
          <w:sz w:val="24"/>
          <w:szCs w:val="24"/>
          <w:highlight w:val="none"/>
        </w:rPr>
        <w:t>修改类型：修改</w:t>
      </w:r>
    </w:p>
    <w:p w14:paraId="39A9A2EE">
      <w:pPr>
        <w:pageBreakBefore w:val="0"/>
        <w:widowControl w:val="0"/>
        <w:kinsoku w:val="0"/>
        <w:wordWrap/>
        <w:overflowPunct w:val="0"/>
        <w:topLinePunct w:val="0"/>
        <w:autoSpaceDE w:val="0"/>
        <w:autoSpaceDN w:val="0"/>
        <w:bidi w:val="0"/>
        <w:adjustRightInd/>
        <w:snapToGrid/>
        <w:spacing w:beforeLines="0" w:afterLines="0" w:line="360" w:lineRule="auto"/>
        <w:ind w:left="522"/>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原文：3.1.1</w:t>
      </w:r>
      <w:r>
        <w:rPr>
          <w:rFonts w:hint="eastAsia" w:ascii="宋体" w:hAnsi="宋体" w:eastAsia="宋体" w:cs="宋体"/>
          <w:color w:val="auto"/>
          <w:sz w:val="24"/>
          <w:szCs w:val="24"/>
          <w:highlight w:val="none"/>
        </w:rPr>
        <w:t>投标文件应包括下列内容</w:t>
      </w:r>
      <w:r>
        <w:rPr>
          <w:rFonts w:hint="eastAsia" w:ascii="宋体" w:hAnsi="宋体" w:eastAsia="宋体" w:cs="宋体"/>
          <w:color w:val="auto"/>
          <w:sz w:val="24"/>
          <w:szCs w:val="24"/>
          <w:highlight w:val="none"/>
          <w:lang w:val="en-US" w:eastAsia="zh-CN" w:bidi="ar-SA"/>
        </w:rPr>
        <w:t>：</w:t>
      </w:r>
    </w:p>
    <w:p w14:paraId="759A6E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2CBC10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或授权委托书；</w:t>
      </w:r>
    </w:p>
    <w:p w14:paraId="51B4772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联合体协议书；</w:t>
      </w:r>
    </w:p>
    <w:p w14:paraId="50A56F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w:t>
      </w:r>
    </w:p>
    <w:p w14:paraId="447A6B2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）监理报酬清单；</w:t>
      </w:r>
    </w:p>
    <w:p w14:paraId="7680FD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）资格审查资料；</w:t>
      </w:r>
    </w:p>
    <w:p w14:paraId="29F62F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）监理大纲；</w:t>
      </w:r>
    </w:p>
    <w:p w14:paraId="637730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）投标人须知前附表规定的其他资料。</w:t>
      </w:r>
    </w:p>
    <w:p w14:paraId="07E08EC4">
      <w:pPr>
        <w:pageBreakBefore w:val="0"/>
        <w:widowControl w:val="0"/>
        <w:kinsoku w:val="0"/>
        <w:wordWrap/>
        <w:overflowPunct w:val="0"/>
        <w:topLinePunct w:val="0"/>
        <w:autoSpaceDE w:val="0"/>
        <w:autoSpaceDN w:val="0"/>
        <w:bidi w:val="0"/>
        <w:adjustRightInd/>
        <w:snapToGrid/>
        <w:spacing w:beforeLines="0" w:afterLines="0" w:line="360" w:lineRule="auto"/>
        <w:ind w:left="52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投标人在评标过程中作出的符合法律法规和招标文件规定的澄清确认，构成投标文件的组成部分</w:t>
      </w:r>
      <w:r>
        <w:rPr>
          <w:rFonts w:hint="eastAsia" w:ascii="宋体" w:hAnsi="宋体" w:eastAsia="宋体" w:cs="宋体"/>
          <w:color w:val="auto"/>
          <w:sz w:val="24"/>
          <w:szCs w:val="24"/>
          <w:highlight w:val="none"/>
          <w:lang w:val="en-US" w:eastAsia="zh-CN" w:bidi="ar-SA"/>
        </w:rPr>
        <w:t>。</w:t>
      </w:r>
    </w:p>
    <w:p w14:paraId="78F1A0E3">
      <w:pPr>
        <w:pageBreakBefore w:val="0"/>
        <w:widowControl w:val="0"/>
        <w:kinsoku w:val="0"/>
        <w:wordWrap/>
        <w:overflowPunct w:val="0"/>
        <w:topLinePunct w:val="0"/>
        <w:autoSpaceDE w:val="0"/>
        <w:autoSpaceDN w:val="0"/>
        <w:bidi w:val="0"/>
        <w:adjustRightInd/>
        <w:snapToGrid/>
        <w:spacing w:beforeLines="0" w:afterLines="0" w:line="360" w:lineRule="auto"/>
        <w:ind w:left="522"/>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现文：</w:t>
      </w:r>
      <w:r>
        <w:rPr>
          <w:rFonts w:hint="eastAsia" w:ascii="宋体" w:hAnsi="宋体" w:eastAsia="宋体" w:cs="宋体"/>
          <w:color w:val="auto"/>
          <w:sz w:val="24"/>
          <w:szCs w:val="24"/>
          <w:highlight w:val="none"/>
          <w:lang w:val="en-US" w:eastAsia="zh-CN" w:bidi="ar-SA"/>
        </w:rPr>
        <w:t>3.1.1</w:t>
      </w:r>
      <w:r>
        <w:rPr>
          <w:rFonts w:hint="eastAsia" w:ascii="宋体" w:hAnsi="宋体" w:eastAsia="宋体" w:cs="宋体"/>
          <w:color w:val="auto"/>
          <w:sz w:val="24"/>
          <w:szCs w:val="24"/>
          <w:highlight w:val="none"/>
        </w:rPr>
        <w:t>投标文件应包括下列内容</w:t>
      </w:r>
      <w:r>
        <w:rPr>
          <w:rFonts w:hint="eastAsia" w:ascii="宋体" w:hAnsi="宋体" w:eastAsia="宋体" w:cs="宋体"/>
          <w:color w:val="auto"/>
          <w:sz w:val="24"/>
          <w:szCs w:val="24"/>
          <w:highlight w:val="none"/>
          <w:lang w:val="en-US" w:eastAsia="zh-CN" w:bidi="ar-SA"/>
        </w:rPr>
        <w:t>：</w:t>
      </w:r>
    </w:p>
    <w:p w14:paraId="44C235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5145A4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或授权委托书；</w:t>
      </w:r>
    </w:p>
    <w:p w14:paraId="6CDEBAD9">
      <w:pPr>
        <w:spacing w:line="360" w:lineRule="auto"/>
        <w:ind w:firstLine="480" w:firstLineChars="200"/>
        <w:rPr>
          <w:rFonts w:hint="eastAsia" w:ascii="宋体" w:hAnsi="宋体" w:eastAsia="宋体" w:cs="宋体"/>
          <w:strike/>
          <w:color w:val="auto"/>
          <w:sz w:val="24"/>
          <w:szCs w:val="24"/>
          <w:highlight w:val="none"/>
          <w:lang w:eastAsia="zh-CN"/>
        </w:rPr>
      </w:pPr>
      <w:r>
        <w:rPr>
          <w:rFonts w:hint="eastAsia" w:ascii="宋体" w:hAnsi="宋体" w:eastAsia="宋体" w:cs="宋体"/>
          <w:strike/>
          <w:color w:val="auto"/>
          <w:sz w:val="24"/>
          <w:szCs w:val="24"/>
          <w:highlight w:val="none"/>
        </w:rPr>
        <w:t>（3）</w:t>
      </w:r>
      <w:r>
        <w:rPr>
          <w:rFonts w:hint="eastAsia" w:ascii="宋体" w:hAnsi="宋体" w:eastAsia="宋体" w:cs="宋体"/>
          <w:strike/>
          <w:color w:val="auto"/>
          <w:sz w:val="24"/>
          <w:szCs w:val="24"/>
          <w:highlight w:val="none"/>
          <w:lang w:eastAsia="zh-CN"/>
        </w:rPr>
        <w:t>联合体协议书；</w:t>
      </w:r>
    </w:p>
    <w:p w14:paraId="54E14620">
      <w:pPr>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lang w:eastAsia="zh-CN"/>
        </w:rPr>
        <w:t>（</w:t>
      </w:r>
      <w:r>
        <w:rPr>
          <w:rFonts w:hint="eastAsia" w:ascii="宋体" w:hAnsi="宋体" w:eastAsia="宋体" w:cs="宋体"/>
          <w:strike/>
          <w:color w:val="auto"/>
          <w:sz w:val="24"/>
          <w:szCs w:val="24"/>
          <w:highlight w:val="none"/>
          <w:lang w:val="en-US" w:eastAsia="zh-CN"/>
        </w:rPr>
        <w:t>4）</w:t>
      </w:r>
      <w:r>
        <w:rPr>
          <w:rFonts w:hint="eastAsia" w:ascii="宋体" w:hAnsi="宋体" w:eastAsia="宋体" w:cs="宋体"/>
          <w:strike/>
          <w:color w:val="auto"/>
          <w:sz w:val="24"/>
          <w:szCs w:val="24"/>
          <w:highlight w:val="none"/>
        </w:rPr>
        <w:t>投标保证金</w:t>
      </w:r>
      <w:r>
        <w:rPr>
          <w:rFonts w:hint="eastAsia" w:ascii="宋体" w:hAnsi="宋体" w:eastAsia="宋体" w:cs="宋体"/>
          <w:strike/>
          <w:color w:val="auto"/>
          <w:sz w:val="24"/>
          <w:szCs w:val="24"/>
          <w:highlight w:val="none"/>
          <w:lang w:eastAsia="zh-CN"/>
        </w:rPr>
        <w:t>（如有）</w:t>
      </w:r>
      <w:r>
        <w:rPr>
          <w:rFonts w:hint="eastAsia" w:ascii="宋体" w:hAnsi="宋体" w:eastAsia="宋体" w:cs="宋体"/>
          <w:strike/>
          <w:color w:val="auto"/>
          <w:sz w:val="24"/>
          <w:szCs w:val="24"/>
          <w:highlight w:val="none"/>
        </w:rPr>
        <w:t>；</w:t>
      </w:r>
    </w:p>
    <w:p w14:paraId="0FCD45B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）监理报酬清单；</w:t>
      </w:r>
    </w:p>
    <w:p w14:paraId="2D62B8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）资格审查资料；</w:t>
      </w:r>
    </w:p>
    <w:p w14:paraId="771490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）监理大纲；</w:t>
      </w:r>
    </w:p>
    <w:p w14:paraId="2D2409E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）投标人须知前附表规定的其他资料。</w:t>
      </w:r>
    </w:p>
    <w:p w14:paraId="015BF986">
      <w:pPr>
        <w:pBdr>
          <w:bottom w:val="single" w:color="auto" w:sz="6" w:space="1"/>
        </w:pBdr>
        <w:spacing w:beforeLines="0" w:afterLines="0"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投标人在评标过程中作出的符合法律法规和招标文件规定的澄清确认，构成投标文件的组成部分</w:t>
      </w:r>
      <w:r>
        <w:rPr>
          <w:rFonts w:hint="eastAsia" w:ascii="宋体" w:hAnsi="宋体" w:eastAsia="宋体" w:cs="宋体"/>
          <w:color w:val="auto"/>
          <w:sz w:val="24"/>
          <w:szCs w:val="24"/>
          <w:highlight w:val="none"/>
          <w:lang w:val="en-US" w:eastAsia="zh-CN" w:bidi="ar-SA"/>
        </w:rPr>
        <w:t>。</w:t>
      </w:r>
    </w:p>
    <w:p w14:paraId="672EC295">
      <w:pPr>
        <w:spacing w:line="360" w:lineRule="auto"/>
        <w:ind w:firstLine="426" w:firstLineChars="17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eastAsia="宋体" w:cs="宋体"/>
          <w:b/>
          <w:bCs/>
          <w:color w:val="auto"/>
          <w:sz w:val="24"/>
          <w:szCs w:val="24"/>
          <w:highlight w:val="none"/>
          <w:lang w:val="en-US" w:eastAsia="zh-CN"/>
        </w:rPr>
        <w:t>3.3.3</w:t>
      </w:r>
      <w:r>
        <w:rPr>
          <w:rFonts w:hint="eastAsia" w:ascii="宋体" w:hAnsi="宋体" w:eastAsia="宋体" w:cs="宋体"/>
          <w:b/>
          <w:bCs/>
          <w:color w:val="auto"/>
          <w:sz w:val="24"/>
          <w:szCs w:val="24"/>
          <w:highlight w:val="none"/>
        </w:rPr>
        <w:t xml:space="preserve">         修改类型：修改</w:t>
      </w:r>
    </w:p>
    <w:p w14:paraId="1A98B913">
      <w:pPr>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kern w:val="0"/>
          <w:sz w:val="24"/>
          <w:szCs w:val="24"/>
          <w:highlight w:val="none"/>
        </w:rPr>
        <w:t>3.3.3</w:t>
      </w:r>
      <w:r>
        <w:rPr>
          <w:rFonts w:hint="eastAsia" w:ascii="宋体" w:hAnsi="宋体" w:eastAsia="宋体" w:cs="宋体"/>
          <w:color w:val="auto"/>
          <w:sz w:val="24"/>
          <w:szCs w:val="24"/>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255D0D38">
      <w:pPr>
        <w:pBdr>
          <w:bottom w:val="single" w:color="auto" w:sz="6" w:space="1"/>
        </w:pBdr>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现文：</w:t>
      </w:r>
      <w:r>
        <w:rPr>
          <w:rFonts w:hint="eastAsia" w:ascii="宋体" w:hAnsi="宋体" w:eastAsia="宋体" w:cs="宋体"/>
          <w:color w:val="auto"/>
          <w:kern w:val="0"/>
          <w:sz w:val="24"/>
          <w:szCs w:val="24"/>
          <w:highlight w:val="none"/>
        </w:rPr>
        <w:t>3.3.3</w:t>
      </w:r>
      <w:r>
        <w:rPr>
          <w:rFonts w:hint="eastAsia" w:ascii="宋体" w:hAnsi="宋体" w:eastAsia="宋体" w:cs="宋体"/>
          <w:color w:val="auto"/>
          <w:sz w:val="24"/>
          <w:szCs w:val="24"/>
          <w:highlight w:val="none"/>
        </w:rPr>
        <w:t>出现特殊情况需要延长投标有效期的，招标人以书面形式通知所有投标人延长投标有效期。投标人应予以书面答复，同意延长的</w:t>
      </w:r>
      <w:r>
        <w:rPr>
          <w:rFonts w:hint="eastAsia" w:ascii="宋体" w:hAnsi="宋体" w:eastAsia="宋体" w:cs="宋体"/>
          <w:strike/>
          <w:dstrike w:val="0"/>
          <w:color w:val="auto"/>
          <w:sz w:val="24"/>
          <w:szCs w:val="24"/>
          <w:highlight w:val="none"/>
        </w:rPr>
        <w:t>，应相应延长其投标保证金的有效期，但</w:t>
      </w:r>
      <w:r>
        <w:rPr>
          <w:rFonts w:hint="eastAsia" w:ascii="宋体" w:hAnsi="宋体" w:eastAsia="宋体" w:cs="宋体"/>
          <w:color w:val="auto"/>
          <w:sz w:val="24"/>
          <w:szCs w:val="24"/>
          <w:highlight w:val="none"/>
        </w:rPr>
        <w:t>不得要求或被允许修改其投标文件；投标人拒绝延长的，其投标失效</w:t>
      </w:r>
      <w:r>
        <w:rPr>
          <w:rFonts w:hint="eastAsia" w:ascii="宋体" w:hAnsi="宋体" w:eastAsia="宋体" w:cs="宋体"/>
          <w:strike/>
          <w:dstrike w:val="0"/>
          <w:color w:val="auto"/>
          <w:sz w:val="24"/>
          <w:szCs w:val="24"/>
          <w:highlight w:val="none"/>
        </w:rPr>
        <w:t>，但投标人有权收回其投标保证金及以现金或者支票形式递交的投标保证金的银行同期存款利息</w:t>
      </w:r>
      <w:r>
        <w:rPr>
          <w:rFonts w:hint="eastAsia" w:ascii="宋体" w:hAnsi="宋体" w:eastAsia="宋体" w:cs="宋体"/>
          <w:color w:val="auto"/>
          <w:sz w:val="24"/>
          <w:szCs w:val="24"/>
          <w:highlight w:val="none"/>
        </w:rPr>
        <w:t>。</w:t>
      </w:r>
    </w:p>
    <w:p w14:paraId="744E6B21">
      <w:pPr>
        <w:spacing w:line="360" w:lineRule="auto"/>
        <w:ind w:firstLine="426" w:firstLineChars="17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eastAsia="宋体" w:cs="宋体"/>
          <w:b/>
          <w:bCs/>
          <w:color w:val="auto"/>
          <w:sz w:val="24"/>
          <w:szCs w:val="24"/>
          <w:highlight w:val="none"/>
          <w:lang w:val="en-US" w:eastAsia="zh-CN"/>
        </w:rPr>
        <w:t>3.4</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修改类型：修改</w:t>
      </w:r>
    </w:p>
    <w:p w14:paraId="5BDB2E18">
      <w:pPr>
        <w:spacing w:line="360" w:lineRule="auto"/>
        <w:ind w:firstLine="426" w:firstLineChars="177"/>
        <w:rPr>
          <w:rFonts w:hint="eastAsia" w:ascii="宋体" w:hAnsi="宋体" w:eastAsia="宋体" w:cs="宋体"/>
          <w:color w:val="auto"/>
          <w:spacing w:val="-2"/>
          <w:kern w:val="0"/>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spacing w:val="-2"/>
          <w:kern w:val="0"/>
          <w:sz w:val="24"/>
          <w:szCs w:val="24"/>
          <w:highlight w:val="none"/>
        </w:rPr>
        <w:t>3.4投标保证金</w:t>
      </w:r>
    </w:p>
    <w:p w14:paraId="0533E3C8">
      <w:pPr>
        <w:spacing w:line="360" w:lineRule="auto"/>
        <w:ind w:firstLine="424" w:firstLineChars="177"/>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3.4.1投标人应按投标人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1656F7AB">
      <w:pPr>
        <w:spacing w:line="360" w:lineRule="auto"/>
        <w:ind w:firstLine="424" w:firstLineChars="177"/>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3.4.2投标人不按本章第3.4.1项要求提交投标保证金的，评标委员会将否决其投标。未按招标文件要求提交符合免予提供投标保证金相关证明材料，且未提交投标保证金的投标人，视为未按要求提供投标保证金。</w:t>
      </w:r>
    </w:p>
    <w:p w14:paraId="0D8E6C2C">
      <w:pPr>
        <w:spacing w:line="360" w:lineRule="auto"/>
        <w:ind w:firstLine="424" w:firstLineChars="177"/>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3.4.3中标候选人以外的投标人的投标保证金将尽快退还，最迟不超过中标通知书发出之日起五日内；中标人和其他中标候选人的投标保证金，在书面合同订立之日起五日内予以退还。投标保证金以现金或者支票形式递交的，还应退还银行同期存款利息。</w:t>
      </w:r>
    </w:p>
    <w:p w14:paraId="567D8C12">
      <w:pPr>
        <w:spacing w:line="360" w:lineRule="auto"/>
        <w:ind w:firstLine="424" w:firstLineChars="177"/>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3.4.4在提交投标文件截止时间后到招标文件规定的投标有效期终止之前，投标人不得撤销其投标文件，否则招标人可以不退还投标保证金。</w:t>
      </w:r>
    </w:p>
    <w:p w14:paraId="2EBE1D29">
      <w:pPr>
        <w:spacing w:line="360" w:lineRule="auto"/>
        <w:ind w:firstLine="424" w:firstLineChars="177"/>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3.4.5有下列情形之一的，投标保证金将不予退还：</w:t>
      </w:r>
    </w:p>
    <w:p w14:paraId="7BEA2F3C">
      <w:pPr>
        <w:spacing w:line="360" w:lineRule="auto"/>
        <w:ind w:firstLine="424" w:firstLineChars="177"/>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（1）投标人在提交投标文件截止时间后到招标文件规定的投标有效期终止之前撤销投标文件；</w:t>
      </w:r>
    </w:p>
    <w:p w14:paraId="2324D6A8">
      <w:pPr>
        <w:spacing w:line="360" w:lineRule="auto"/>
        <w:ind w:firstLine="424" w:firstLineChars="177"/>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（2）中标人在收到中标通知书后，无正当理由不与招标人订立合同，在签订合同时向招标人提出附加条件，或者不按照招标文件要求提交履约保证金；</w:t>
      </w:r>
    </w:p>
    <w:p w14:paraId="53E3465F">
      <w:pPr>
        <w:spacing w:line="360" w:lineRule="auto"/>
        <w:ind w:firstLine="424" w:firstLineChars="177"/>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（3）发生投标人须知前附表规定的其他可以不予退还投标保证金的情形。</w:t>
      </w:r>
    </w:p>
    <w:p w14:paraId="0B22F1CE">
      <w:pPr>
        <w:spacing w:line="360" w:lineRule="auto"/>
        <w:ind w:firstLine="424" w:firstLineChars="177"/>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3.4.6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69A5A6B0">
      <w:pPr>
        <w:spacing w:line="360" w:lineRule="auto"/>
        <w:ind w:firstLine="426" w:firstLineChars="177"/>
        <w:rPr>
          <w:rFonts w:hint="eastAsia" w:ascii="宋体" w:hAnsi="宋体" w:eastAsia="宋体" w:cs="宋体"/>
          <w:b/>
          <w:bCs/>
          <w:color w:val="auto"/>
          <w:spacing w:val="-2"/>
          <w:kern w:val="0"/>
          <w:sz w:val="24"/>
          <w:szCs w:val="24"/>
          <w:highlight w:val="none"/>
          <w:u w:val="single"/>
        </w:rPr>
      </w:pPr>
      <w:r>
        <w:rPr>
          <w:rFonts w:hint="eastAsia" w:ascii="宋体" w:hAnsi="宋体" w:eastAsia="宋体" w:cs="宋体"/>
          <w:b/>
          <w:bCs/>
          <w:color w:val="auto"/>
          <w:sz w:val="24"/>
          <w:szCs w:val="24"/>
          <w:highlight w:val="none"/>
        </w:rPr>
        <w:t>现文：</w:t>
      </w:r>
      <w:r>
        <w:rPr>
          <w:rFonts w:hint="eastAsia" w:ascii="宋体" w:hAnsi="宋体" w:eastAsia="宋体" w:cs="宋体"/>
          <w:color w:val="auto"/>
          <w:spacing w:val="-2"/>
          <w:kern w:val="0"/>
          <w:sz w:val="24"/>
          <w:szCs w:val="24"/>
          <w:highlight w:val="none"/>
        </w:rPr>
        <w:t>3.4 投标保证金</w:t>
      </w:r>
      <w:r>
        <w:rPr>
          <w:rFonts w:hint="eastAsia" w:ascii="宋体" w:hAnsi="宋体" w:eastAsia="宋体" w:cs="宋体"/>
          <w:b/>
          <w:bCs/>
          <w:color w:val="auto"/>
          <w:spacing w:val="-2"/>
          <w:kern w:val="0"/>
          <w:sz w:val="24"/>
          <w:szCs w:val="24"/>
          <w:highlight w:val="none"/>
          <w:u w:val="single"/>
        </w:rPr>
        <w:t>（本项目不适用）</w:t>
      </w:r>
    </w:p>
    <w:p w14:paraId="231D554D">
      <w:pPr>
        <w:spacing w:line="360" w:lineRule="auto"/>
        <w:ind w:firstLine="424" w:firstLineChars="177"/>
        <w:rPr>
          <w:rFonts w:hint="eastAsia" w:ascii="宋体" w:hAnsi="宋体" w:eastAsia="宋体" w:cs="宋体"/>
          <w:b w:val="0"/>
          <w:bCs w:val="0"/>
          <w:strike/>
          <w:dstrike w:val="0"/>
          <w:color w:val="auto"/>
          <w:sz w:val="24"/>
          <w:szCs w:val="24"/>
          <w:highlight w:val="none"/>
          <w:u w:val="none"/>
        </w:rPr>
      </w:pPr>
      <w:r>
        <w:rPr>
          <w:rFonts w:hint="eastAsia" w:ascii="宋体" w:hAnsi="宋体" w:eastAsia="宋体" w:cs="宋体"/>
          <w:b w:val="0"/>
          <w:bCs w:val="0"/>
          <w:strike/>
          <w:dstrike w:val="0"/>
          <w:color w:val="auto"/>
          <w:sz w:val="24"/>
          <w:szCs w:val="24"/>
          <w:highlight w:val="none"/>
          <w:u w:val="none"/>
        </w:rPr>
        <w:t>3.4.1投标人应按投标人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105C6858">
      <w:pPr>
        <w:spacing w:line="360" w:lineRule="auto"/>
        <w:ind w:firstLine="424" w:firstLineChars="177"/>
        <w:rPr>
          <w:rFonts w:hint="eastAsia" w:ascii="宋体" w:hAnsi="宋体" w:eastAsia="宋体" w:cs="宋体"/>
          <w:b w:val="0"/>
          <w:bCs w:val="0"/>
          <w:strike/>
          <w:dstrike w:val="0"/>
          <w:color w:val="auto"/>
          <w:sz w:val="24"/>
          <w:szCs w:val="24"/>
          <w:highlight w:val="none"/>
          <w:u w:val="none"/>
        </w:rPr>
      </w:pPr>
      <w:r>
        <w:rPr>
          <w:rFonts w:hint="eastAsia" w:ascii="宋体" w:hAnsi="宋体" w:eastAsia="宋体" w:cs="宋体"/>
          <w:b w:val="0"/>
          <w:bCs w:val="0"/>
          <w:strike/>
          <w:dstrike w:val="0"/>
          <w:color w:val="auto"/>
          <w:sz w:val="24"/>
          <w:szCs w:val="24"/>
          <w:highlight w:val="none"/>
          <w:u w:val="none"/>
        </w:rPr>
        <w:t>3.4.2投标人不按本章第3.4.1项要求提交投标保证金的，评标委员会将否决其投标。未按招标文件要求提交符合免予提供投标保证金相关证明材料，且未提交投标保证金的投标人，视为未按要求提供投标保证金。</w:t>
      </w:r>
    </w:p>
    <w:p w14:paraId="43B9396B">
      <w:pPr>
        <w:spacing w:line="360" w:lineRule="auto"/>
        <w:ind w:firstLine="424" w:firstLineChars="177"/>
        <w:rPr>
          <w:rFonts w:hint="eastAsia" w:ascii="宋体" w:hAnsi="宋体" w:eastAsia="宋体" w:cs="宋体"/>
          <w:b w:val="0"/>
          <w:bCs w:val="0"/>
          <w:strike/>
          <w:dstrike w:val="0"/>
          <w:color w:val="auto"/>
          <w:sz w:val="24"/>
          <w:szCs w:val="24"/>
          <w:highlight w:val="none"/>
          <w:u w:val="none"/>
        </w:rPr>
      </w:pPr>
      <w:r>
        <w:rPr>
          <w:rFonts w:hint="eastAsia" w:ascii="宋体" w:hAnsi="宋体" w:eastAsia="宋体" w:cs="宋体"/>
          <w:b w:val="0"/>
          <w:bCs w:val="0"/>
          <w:strike/>
          <w:dstrike w:val="0"/>
          <w:color w:val="auto"/>
          <w:sz w:val="24"/>
          <w:szCs w:val="24"/>
          <w:highlight w:val="none"/>
          <w:u w:val="none"/>
        </w:rPr>
        <w:t>3.4.3中标候选人以外的投标人的投标保证金将尽快退还，最迟不超过中标通知书发出之日起五日内；中标人和其他中标候选人的投标保证金，在书面合同订立之日起五日内予以退还。投标保证金以现金或者支票形式递交的，还应退还银行同期存款利息。</w:t>
      </w:r>
    </w:p>
    <w:p w14:paraId="1ACF1B8A">
      <w:pPr>
        <w:spacing w:line="360" w:lineRule="auto"/>
        <w:ind w:firstLine="424" w:firstLineChars="177"/>
        <w:rPr>
          <w:rFonts w:hint="eastAsia" w:ascii="宋体" w:hAnsi="宋体" w:eastAsia="宋体" w:cs="宋体"/>
          <w:b w:val="0"/>
          <w:bCs w:val="0"/>
          <w:strike/>
          <w:dstrike w:val="0"/>
          <w:color w:val="auto"/>
          <w:sz w:val="24"/>
          <w:szCs w:val="24"/>
          <w:highlight w:val="none"/>
          <w:u w:val="none"/>
        </w:rPr>
      </w:pPr>
      <w:r>
        <w:rPr>
          <w:rFonts w:hint="eastAsia" w:ascii="宋体" w:hAnsi="宋体" w:eastAsia="宋体" w:cs="宋体"/>
          <w:b w:val="0"/>
          <w:bCs w:val="0"/>
          <w:strike/>
          <w:dstrike w:val="0"/>
          <w:color w:val="auto"/>
          <w:sz w:val="24"/>
          <w:szCs w:val="24"/>
          <w:highlight w:val="none"/>
          <w:u w:val="none"/>
        </w:rPr>
        <w:t>3.4.4在提交投标文件截止时间后到招标文件规定的投标有效期终止之前，投标人不得撤销其投标文件，否则招标人可以不退还投标保证金。</w:t>
      </w:r>
    </w:p>
    <w:p w14:paraId="7A506387">
      <w:pPr>
        <w:spacing w:line="360" w:lineRule="auto"/>
        <w:ind w:firstLine="424" w:firstLineChars="177"/>
        <w:rPr>
          <w:rFonts w:hint="eastAsia" w:ascii="宋体" w:hAnsi="宋体" w:eastAsia="宋体" w:cs="宋体"/>
          <w:b w:val="0"/>
          <w:bCs w:val="0"/>
          <w:strike/>
          <w:dstrike w:val="0"/>
          <w:color w:val="auto"/>
          <w:sz w:val="24"/>
          <w:szCs w:val="24"/>
          <w:highlight w:val="none"/>
          <w:u w:val="none"/>
        </w:rPr>
      </w:pPr>
      <w:r>
        <w:rPr>
          <w:rFonts w:hint="eastAsia" w:ascii="宋体" w:hAnsi="宋体" w:eastAsia="宋体" w:cs="宋体"/>
          <w:b w:val="0"/>
          <w:bCs w:val="0"/>
          <w:strike/>
          <w:dstrike w:val="0"/>
          <w:color w:val="auto"/>
          <w:sz w:val="24"/>
          <w:szCs w:val="24"/>
          <w:highlight w:val="none"/>
          <w:u w:val="none"/>
        </w:rPr>
        <w:t>3.4.5有下列情形之一的，投标保证金将不予退还：</w:t>
      </w:r>
    </w:p>
    <w:p w14:paraId="397C504A">
      <w:pPr>
        <w:spacing w:line="360" w:lineRule="auto"/>
        <w:ind w:firstLine="424" w:firstLineChars="177"/>
        <w:rPr>
          <w:rFonts w:hint="eastAsia" w:ascii="宋体" w:hAnsi="宋体" w:eastAsia="宋体" w:cs="宋体"/>
          <w:b w:val="0"/>
          <w:bCs w:val="0"/>
          <w:strike/>
          <w:dstrike w:val="0"/>
          <w:color w:val="auto"/>
          <w:sz w:val="24"/>
          <w:szCs w:val="24"/>
          <w:highlight w:val="none"/>
          <w:u w:val="none"/>
        </w:rPr>
      </w:pPr>
      <w:r>
        <w:rPr>
          <w:rFonts w:hint="eastAsia" w:ascii="宋体" w:hAnsi="宋体" w:eastAsia="宋体" w:cs="宋体"/>
          <w:b w:val="0"/>
          <w:bCs w:val="0"/>
          <w:strike/>
          <w:dstrike w:val="0"/>
          <w:color w:val="auto"/>
          <w:sz w:val="24"/>
          <w:szCs w:val="24"/>
          <w:highlight w:val="none"/>
          <w:u w:val="none"/>
        </w:rPr>
        <w:t>（1）投标人在提交投标文件截止时间后到招标文件规定的投标有效期终止之前撤销投标文件；</w:t>
      </w:r>
    </w:p>
    <w:p w14:paraId="23A60306">
      <w:pPr>
        <w:spacing w:line="360" w:lineRule="auto"/>
        <w:ind w:firstLine="424" w:firstLineChars="177"/>
        <w:rPr>
          <w:rFonts w:hint="eastAsia" w:ascii="宋体" w:hAnsi="宋体" w:eastAsia="宋体" w:cs="宋体"/>
          <w:b w:val="0"/>
          <w:bCs w:val="0"/>
          <w:strike/>
          <w:dstrike w:val="0"/>
          <w:color w:val="auto"/>
          <w:sz w:val="24"/>
          <w:szCs w:val="24"/>
          <w:highlight w:val="none"/>
          <w:u w:val="none"/>
        </w:rPr>
      </w:pPr>
      <w:r>
        <w:rPr>
          <w:rFonts w:hint="eastAsia" w:ascii="宋体" w:hAnsi="宋体" w:eastAsia="宋体" w:cs="宋体"/>
          <w:b w:val="0"/>
          <w:bCs w:val="0"/>
          <w:strike/>
          <w:dstrike w:val="0"/>
          <w:color w:val="auto"/>
          <w:sz w:val="24"/>
          <w:szCs w:val="24"/>
          <w:highlight w:val="none"/>
          <w:u w:val="none"/>
        </w:rPr>
        <w:t>（2）中标人在收到中标通知书后，无正当理由不与招标人订立合同，在签订合同时向招标人提出附加条件，或者不按照招标文件要求提交履约保证金；</w:t>
      </w:r>
    </w:p>
    <w:p w14:paraId="1B8D3AD3">
      <w:pPr>
        <w:spacing w:line="360" w:lineRule="auto"/>
        <w:ind w:firstLine="424" w:firstLineChars="177"/>
        <w:rPr>
          <w:rFonts w:hint="eastAsia" w:ascii="宋体" w:hAnsi="宋体" w:eastAsia="宋体" w:cs="宋体"/>
          <w:b w:val="0"/>
          <w:bCs w:val="0"/>
          <w:strike/>
          <w:dstrike w:val="0"/>
          <w:color w:val="auto"/>
          <w:sz w:val="24"/>
          <w:szCs w:val="24"/>
          <w:highlight w:val="none"/>
          <w:u w:val="none"/>
        </w:rPr>
      </w:pPr>
      <w:r>
        <w:rPr>
          <w:rFonts w:hint="eastAsia" w:ascii="宋体" w:hAnsi="宋体" w:eastAsia="宋体" w:cs="宋体"/>
          <w:b w:val="0"/>
          <w:bCs w:val="0"/>
          <w:strike/>
          <w:dstrike w:val="0"/>
          <w:color w:val="auto"/>
          <w:sz w:val="24"/>
          <w:szCs w:val="24"/>
          <w:highlight w:val="none"/>
          <w:u w:val="none"/>
        </w:rPr>
        <w:t>（3）发生投标人须知前附表规定的其他可以不予退还投标保证金的情形。</w:t>
      </w:r>
    </w:p>
    <w:p w14:paraId="5A62E7C7">
      <w:pPr>
        <w:pageBreakBefore w:val="0"/>
        <w:widowControl w:val="0"/>
        <w:pBdr>
          <w:bottom w:val="single" w:color="auto" w:sz="6" w:space="1"/>
        </w:pBd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3.4.6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1071906A">
      <w:pPr>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条款号：3.5.1至3.5.4         修改类型：修改</w:t>
      </w:r>
    </w:p>
    <w:p w14:paraId="53F880E1">
      <w:pPr>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sz w:val="24"/>
          <w:szCs w:val="24"/>
          <w:highlight w:val="none"/>
        </w:rPr>
        <w:t>3.5.1“投标人基本情况表”应附投标人营业执照和组织机构代码证的扫描件（按照“三证合一”或“五证合一”登记制度进行登记的，可仅提供营业执照扫描件）、投标人监理资质证书副本等材料的扫描件。</w:t>
      </w:r>
    </w:p>
    <w:p w14:paraId="7F751026">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3.5.2“近年完成的类似监理项目情况表”应附中标通知书和（或）合同协议书、委托人出具的证明文件；具体时间要求见投标人须知前附表，每张表格只填写一个项目，并标明序号。</w:t>
      </w:r>
    </w:p>
    <w:p w14:paraId="48F98EE5">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拟委任的主要人员汇总表”应填报满足本章第1.4.1项规定的总监理工程师和其他主要人员的相关信息。“主要人员简历表”中总监理工程师应附身份证、学历证、职称证、注册监理工程师执业证书和社保缴费证明，管理过的项目业绩须附合同协议书（如有）；其他主要人员应附身份证、学历证、职称证、有关证书和社保缴费证明（如有）。（注：以上人员社保要求：具有离投标截止时间最近的至少1个月在本单位缴纳的社保证明文件，由招标人自行确定。）</w:t>
      </w:r>
    </w:p>
    <w:p w14:paraId="6E131423">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3.5.4投标人须知前附表规定接受联合体投标的，本章第3.5.1项至第3.5.3项规定的表格和资料应包括联合体各方相关情况。</w:t>
      </w:r>
    </w:p>
    <w:p w14:paraId="70385596">
      <w:pPr>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现文：</w:t>
      </w:r>
      <w:r>
        <w:rPr>
          <w:rFonts w:hint="eastAsia" w:ascii="宋体" w:hAnsi="宋体" w:eastAsia="宋体" w:cs="宋体"/>
          <w:color w:val="auto"/>
          <w:sz w:val="24"/>
          <w:szCs w:val="24"/>
          <w:highlight w:val="none"/>
        </w:rPr>
        <w:t>3.5.1“投标人基本情况表”应附投标人营业执照和组织机构代码证的扫描件（按照“三证合一”或“五证合一”登记制度进行登记的，可仅提供营业执照扫描件）、投标人监理资质证书副本等材料的扫描件。</w:t>
      </w:r>
    </w:p>
    <w:p w14:paraId="3C385DF1">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w:t>
      </w:r>
      <w:r>
        <w:rPr>
          <w:rFonts w:hint="eastAsia" w:ascii="宋体" w:hAnsi="宋体" w:eastAsia="宋体" w:cs="宋体"/>
          <w:color w:val="auto"/>
          <w:sz w:val="24"/>
          <w:szCs w:val="24"/>
          <w:highlight w:val="none"/>
          <w:u w:val="single"/>
        </w:rPr>
        <w:t>如有合格业绩要求，</w:t>
      </w:r>
      <w:r>
        <w:rPr>
          <w:rFonts w:hint="eastAsia" w:ascii="宋体" w:hAnsi="宋体" w:eastAsia="宋体" w:cs="宋体"/>
          <w:color w:val="auto"/>
          <w:sz w:val="24"/>
          <w:szCs w:val="24"/>
          <w:highlight w:val="none"/>
        </w:rPr>
        <w:t>“近年完成的类似监理项目情况表”</w:t>
      </w:r>
      <w:r>
        <w:rPr>
          <w:rFonts w:hint="eastAsia" w:ascii="宋体" w:hAnsi="宋体" w:eastAsia="宋体" w:cs="宋体"/>
          <w:color w:val="auto"/>
          <w:sz w:val="24"/>
          <w:szCs w:val="24"/>
          <w:highlight w:val="none"/>
          <w:u w:val="single"/>
        </w:rPr>
        <w:t>应按公告要求附相关资料</w:t>
      </w:r>
      <w:r>
        <w:rPr>
          <w:rFonts w:hint="eastAsia" w:ascii="宋体" w:hAnsi="宋体" w:eastAsia="宋体" w:cs="宋体"/>
          <w:color w:val="auto"/>
          <w:sz w:val="24"/>
          <w:szCs w:val="24"/>
          <w:highlight w:val="none"/>
        </w:rPr>
        <w:t>，每张表格只填写一个项目，并标明序号。</w:t>
      </w:r>
    </w:p>
    <w:p w14:paraId="5978C988">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3.5.3“拟委任的主要人员汇总表”应填报满足本章第1.4.1项规定的总监理工程师和其他主要人员的相关信息。“主要人员简历表”中总监理工程师应附</w:t>
      </w:r>
      <w:r>
        <w:rPr>
          <w:rFonts w:hint="eastAsia" w:ascii="宋体" w:hAnsi="宋体" w:eastAsia="宋体" w:cs="宋体"/>
          <w:strike/>
          <w:color w:val="auto"/>
          <w:sz w:val="24"/>
          <w:szCs w:val="24"/>
          <w:highlight w:val="none"/>
        </w:rPr>
        <w:t>身份证、</w:t>
      </w:r>
      <w:r>
        <w:rPr>
          <w:rFonts w:hint="eastAsia" w:ascii="宋体" w:hAnsi="宋体" w:eastAsia="宋体" w:cs="宋体"/>
          <w:color w:val="auto"/>
          <w:sz w:val="24"/>
          <w:szCs w:val="24"/>
          <w:highlight w:val="none"/>
        </w:rPr>
        <w:t>学历证、职称证、注册监理工程师执业证书和社保缴费证明，管理过的项目业绩须附合同协议书（如有）；其他主要人员应附</w:t>
      </w:r>
      <w:r>
        <w:rPr>
          <w:rFonts w:hint="eastAsia" w:ascii="宋体" w:hAnsi="宋体" w:eastAsia="宋体" w:cs="宋体"/>
          <w:strike/>
          <w:color w:val="auto"/>
          <w:sz w:val="24"/>
          <w:szCs w:val="24"/>
          <w:highlight w:val="none"/>
        </w:rPr>
        <w:t>身份证、</w:t>
      </w:r>
      <w:r>
        <w:rPr>
          <w:rFonts w:hint="eastAsia" w:ascii="宋体" w:hAnsi="宋体" w:eastAsia="宋体" w:cs="宋体"/>
          <w:color w:val="auto"/>
          <w:sz w:val="24"/>
          <w:szCs w:val="24"/>
          <w:highlight w:val="none"/>
        </w:rPr>
        <w:t>学历证、职称证、有关证书和社保缴费证明（如有）。</w:t>
      </w:r>
      <w:r>
        <w:rPr>
          <w:rFonts w:hint="eastAsia" w:ascii="宋体" w:hAnsi="宋体" w:eastAsia="宋体" w:cs="宋体"/>
          <w:strike/>
          <w:color w:val="auto"/>
          <w:sz w:val="24"/>
          <w:szCs w:val="24"/>
          <w:highlight w:val="none"/>
        </w:rPr>
        <w:t>（注：以上人员社保要求：具有离投标截止时间最近的至少1个月在本单位缴纳的社保证明文件，由招标人自行确定。）</w:t>
      </w:r>
    </w:p>
    <w:p w14:paraId="27F80082">
      <w:pPr>
        <w:pageBreakBefore w:val="0"/>
        <w:widowControl w:val="0"/>
        <w:pBdr>
          <w:bottom w:val="single" w:color="auto" w:sz="6" w:space="1"/>
        </w:pBd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3.5.4投标人须知前附表规定接受联合体投标的，本章第3.5.1项至第3.5.3项规定的表格和资料应包括联合体各方相关情况。</w:t>
      </w:r>
    </w:p>
    <w:p w14:paraId="42B0416E">
      <w:pPr>
        <w:pageBreakBefore w:val="0"/>
        <w:widowControl w:val="0"/>
        <w:pBdr>
          <w:bottom w:val="single" w:color="auto" w:sz="6" w:space="1"/>
        </w:pBdr>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注：具体详见第六章“投标文件格式”。</w:t>
      </w:r>
    </w:p>
    <w:p w14:paraId="4D170CE8">
      <w:pPr>
        <w:spacing w:line="360" w:lineRule="auto"/>
        <w:ind w:firstLine="426" w:firstLineChars="17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条款号：3.7.3</w:t>
      </w:r>
      <w:r>
        <w:rPr>
          <w:rFonts w:hint="eastAsia" w:ascii="宋体" w:hAnsi="宋体" w:eastAsia="宋体" w:cs="宋体"/>
          <w:b/>
          <w:bCs/>
          <w:color w:val="auto"/>
          <w:sz w:val="24"/>
          <w:szCs w:val="24"/>
          <w:highlight w:val="none"/>
          <w:lang w:val="en-US" w:eastAsia="zh-CN"/>
        </w:rPr>
        <w:t>至3.7.4</w:t>
      </w:r>
      <w:r>
        <w:rPr>
          <w:rFonts w:hint="eastAsia" w:ascii="宋体" w:hAnsi="宋体" w:eastAsia="宋体" w:cs="宋体"/>
          <w:b/>
          <w:bCs/>
          <w:color w:val="auto"/>
          <w:sz w:val="24"/>
          <w:szCs w:val="24"/>
          <w:highlight w:val="none"/>
        </w:rPr>
        <w:t xml:space="preserve">         修改类型：修改</w:t>
      </w:r>
    </w:p>
    <w:p w14:paraId="06E9526E">
      <w:pPr>
        <w:keepNext w:val="0"/>
        <w:keepLines w:val="0"/>
        <w:pageBreakBefore w:val="0"/>
        <w:widowControl w:val="0"/>
        <w:kinsoku w:val="0"/>
        <w:wordWrap w:val="0"/>
        <w:overflowPunct w:val="0"/>
        <w:topLinePunct w:val="0"/>
        <w:autoSpaceDE/>
        <w:autoSpaceDN/>
        <w:bidi w:val="0"/>
        <w:adjustRightInd/>
        <w:snapToGrid/>
        <w:spacing w:line="360" w:lineRule="auto"/>
        <w:ind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sz w:val="24"/>
          <w:szCs w:val="24"/>
          <w:highlight w:val="none"/>
        </w:rPr>
        <w:t>3.7.3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可靠的电子签名与手写签名或者盖章具有同等的法律效力）。按照广州交易集团有限公司（广州公共资源交易中心）网站关于全流程电子化项目的相关指南进行操作。</w:t>
      </w:r>
    </w:p>
    <w:p w14:paraId="492D4C34">
      <w:pPr>
        <w:spacing w:line="360" w:lineRule="auto"/>
        <w:ind w:firstLine="424" w:firstLineChars="177"/>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3.7.4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若由联合体主办方法定代表人授权签字的电子投标文件需提供法定代表人证明及其授权委托书、授权委托人身份证扫描件。</w:t>
      </w:r>
    </w:p>
    <w:p w14:paraId="2AB1D0B0">
      <w:pPr>
        <w:keepNext w:val="0"/>
        <w:keepLines w:val="0"/>
        <w:pageBreakBefore w:val="0"/>
        <w:widowControl w:val="0"/>
        <w:kinsoku w:val="0"/>
        <w:wordWrap w:val="0"/>
        <w:overflowPunct w:val="0"/>
        <w:topLinePunct w:val="0"/>
        <w:autoSpaceDE/>
        <w:autoSpaceDN/>
        <w:bidi w:val="0"/>
        <w:adjustRightInd/>
        <w:snapToGrid/>
        <w:spacing w:line="360" w:lineRule="auto"/>
        <w:ind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现文：</w:t>
      </w:r>
      <w:r>
        <w:rPr>
          <w:rFonts w:hint="eastAsia" w:ascii="宋体" w:hAnsi="宋体" w:eastAsia="宋体" w:cs="宋体"/>
          <w:color w:val="auto"/>
          <w:sz w:val="24"/>
          <w:szCs w:val="24"/>
          <w:highlight w:val="none"/>
        </w:rPr>
        <w:t>3.7.3投标文件全部采用电子文档，</w:t>
      </w:r>
      <w:r>
        <w:rPr>
          <w:rFonts w:hint="eastAsia" w:ascii="宋体" w:hAnsi="宋体" w:eastAsia="宋体" w:cs="宋体"/>
          <w:b/>
          <w:bCs/>
          <w:color w:val="auto"/>
          <w:sz w:val="24"/>
          <w:szCs w:val="24"/>
          <w:highlight w:val="none"/>
          <w:u w:val="single"/>
        </w:rPr>
        <w:t>除招标文件另有规定外，</w:t>
      </w:r>
      <w:r>
        <w:rPr>
          <w:rFonts w:hint="eastAsia" w:ascii="宋体" w:hAnsi="宋体" w:eastAsia="宋体" w:cs="宋体"/>
          <w:color w:val="auto"/>
          <w:sz w:val="24"/>
          <w:szCs w:val="24"/>
          <w:highlight w:val="none"/>
        </w:rPr>
        <w:t>投标文件所附证书证件均为</w:t>
      </w:r>
      <w:r>
        <w:rPr>
          <w:rFonts w:hint="eastAsia" w:ascii="宋体" w:hAnsi="宋体" w:eastAsia="宋体" w:cs="宋体"/>
          <w:strike/>
          <w:dstrike w:val="0"/>
          <w:color w:val="auto"/>
          <w:sz w:val="24"/>
          <w:szCs w:val="24"/>
          <w:highlight w:val="none"/>
        </w:rPr>
        <w:t>原件</w:t>
      </w:r>
      <w:r>
        <w:rPr>
          <w:rFonts w:hint="eastAsia" w:ascii="宋体" w:hAnsi="宋体" w:eastAsia="宋体" w:cs="宋体"/>
          <w:color w:val="auto"/>
          <w:sz w:val="24"/>
          <w:szCs w:val="24"/>
          <w:highlight w:val="none"/>
        </w:rPr>
        <w:t>扫描件或电子证书，并采用单位数字证书，按招标文件要求在相应位置加盖电子印章。投标文件中需个人签字或盖章的，应加盖个人电子印章或在线下完成后扫描上传（可靠的电子签名与手写签名或者盖章具有同等的法律效力）。</w:t>
      </w:r>
      <w:r>
        <w:rPr>
          <w:rFonts w:hint="eastAsia" w:ascii="宋体" w:hAnsi="宋体" w:eastAsia="宋体" w:cs="宋体"/>
          <w:b/>
          <w:bCs/>
          <w:color w:val="auto"/>
          <w:sz w:val="24"/>
          <w:szCs w:val="24"/>
          <w:highlight w:val="none"/>
          <w:u w:val="single"/>
        </w:rPr>
        <w:t>投标文件格式规定盖单位公章的页面必须盖单位公章或电子公章（公章与电子公章具有相同法律效力）。</w:t>
      </w:r>
      <w:r>
        <w:rPr>
          <w:rFonts w:hint="eastAsia" w:ascii="宋体" w:hAnsi="宋体" w:eastAsia="宋体" w:cs="宋体"/>
          <w:color w:val="auto"/>
          <w:sz w:val="24"/>
          <w:szCs w:val="24"/>
          <w:highlight w:val="none"/>
        </w:rPr>
        <w:t>按照广州交易集团有限公司（广州公共资源交易中心）网站关于全流程电子化项目的相关指南进行操作。</w:t>
      </w:r>
    </w:p>
    <w:p w14:paraId="30F4B951">
      <w:pPr>
        <w:pBdr>
          <w:bottom w:val="single" w:color="auto" w:sz="6" w:space="1"/>
        </w:pBdr>
        <w:spacing w:line="360" w:lineRule="auto"/>
        <w:ind w:firstLine="424" w:firstLineChars="177"/>
        <w:rPr>
          <w:rFonts w:hint="eastAsia" w:ascii="宋体" w:hAnsi="宋体" w:eastAsia="宋体" w:cs="宋体"/>
          <w:b/>
          <w:bCs/>
          <w:strike/>
          <w:color w:val="auto"/>
          <w:sz w:val="24"/>
          <w:szCs w:val="24"/>
          <w:highlight w:val="none"/>
          <w:u w:val="single"/>
        </w:rPr>
      </w:pPr>
      <w:r>
        <w:rPr>
          <w:rFonts w:hint="eastAsia" w:ascii="宋体" w:hAnsi="宋体" w:eastAsia="宋体" w:cs="宋体"/>
          <w:strike/>
          <w:color w:val="auto"/>
          <w:sz w:val="24"/>
          <w:szCs w:val="24"/>
          <w:highlight w:val="none"/>
        </w:rPr>
        <w:t>3.7.4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若由联合体主办方法定代表人授权签字的电子投标文件需提供法定代表人证明及其授权委托书、授权委托人身份证扫描件。</w:t>
      </w:r>
    </w:p>
    <w:p w14:paraId="2856B95E">
      <w:pPr>
        <w:spacing w:line="360" w:lineRule="auto"/>
        <w:ind w:firstLine="426" w:firstLineChars="177"/>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条款号：</w:t>
      </w:r>
      <w:r>
        <w:rPr>
          <w:rFonts w:hint="eastAsia" w:ascii="宋体" w:hAnsi="宋体" w:eastAsia="宋体" w:cs="宋体"/>
          <w:b/>
          <w:bCs/>
          <w:color w:val="auto"/>
          <w:sz w:val="24"/>
          <w:szCs w:val="24"/>
          <w:highlight w:val="none"/>
          <w:lang w:val="en-US" w:eastAsia="zh-CN"/>
        </w:rPr>
        <w:t>4.3.5</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修改类型：</w:t>
      </w:r>
      <w:r>
        <w:rPr>
          <w:rFonts w:hint="eastAsia" w:ascii="宋体" w:hAnsi="宋体" w:eastAsia="宋体" w:cs="宋体"/>
          <w:b/>
          <w:bCs/>
          <w:color w:val="auto"/>
          <w:sz w:val="24"/>
          <w:szCs w:val="24"/>
          <w:highlight w:val="none"/>
          <w:lang w:val="en-US" w:eastAsia="zh-CN"/>
        </w:rPr>
        <w:t>删除</w:t>
      </w:r>
    </w:p>
    <w:p w14:paraId="4E0C5472">
      <w:pPr>
        <w:pBdr>
          <w:bottom w:val="single" w:color="auto" w:sz="6" w:space="1"/>
        </w:pBdr>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lang w:val="en-US" w:eastAsia="zh-CN"/>
        </w:rPr>
        <w:t>原</w:t>
      </w:r>
      <w:r>
        <w:rPr>
          <w:rFonts w:hint="eastAsia" w:ascii="宋体" w:hAnsi="宋体" w:eastAsia="宋体" w:cs="宋体"/>
          <w:b/>
          <w:bCs/>
          <w:color w:val="auto"/>
          <w:sz w:val="24"/>
          <w:szCs w:val="24"/>
          <w:highlight w:val="none"/>
        </w:rPr>
        <w:t>文：</w:t>
      </w:r>
      <w:r>
        <w:rPr>
          <w:rFonts w:hint="eastAsia" w:ascii="宋体" w:hAnsi="宋体" w:eastAsia="宋体" w:cs="宋体"/>
          <w:color w:val="auto"/>
          <w:spacing w:val="-2"/>
          <w:kern w:val="0"/>
          <w:sz w:val="24"/>
          <w:szCs w:val="24"/>
          <w:highlight w:val="none"/>
        </w:rPr>
        <w:t>4.3.5 投标人撤回投标文件的，招标人自收到投标人书面撤回通知之日起5日内退还已收取的投标保证金。</w:t>
      </w:r>
    </w:p>
    <w:p w14:paraId="170735A7">
      <w:pPr>
        <w:spacing w:line="360" w:lineRule="auto"/>
        <w:ind w:firstLine="426" w:firstLineChars="17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eastAsia="宋体" w:cs="宋体"/>
          <w:b/>
          <w:bCs/>
          <w:color w:val="auto"/>
          <w:sz w:val="24"/>
          <w:szCs w:val="24"/>
          <w:highlight w:val="none"/>
          <w:lang w:val="en-US" w:eastAsia="zh-CN"/>
        </w:rPr>
        <w:t>5.2.1</w:t>
      </w:r>
      <w:r>
        <w:rPr>
          <w:rFonts w:hint="eastAsia" w:ascii="宋体" w:hAnsi="宋体" w:eastAsia="宋体" w:cs="宋体"/>
          <w:b/>
          <w:bCs/>
          <w:color w:val="auto"/>
          <w:sz w:val="24"/>
          <w:szCs w:val="24"/>
          <w:highlight w:val="none"/>
        </w:rPr>
        <w:t xml:space="preserve">         修改类型：修改</w:t>
      </w:r>
    </w:p>
    <w:p w14:paraId="621A0F47">
      <w:pPr>
        <w:spacing w:line="360" w:lineRule="auto"/>
        <w:ind w:firstLine="426" w:firstLineChars="177"/>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kern w:val="0"/>
          <w:sz w:val="24"/>
          <w:szCs w:val="24"/>
          <w:highlight w:val="none"/>
        </w:rPr>
        <w:t>5.2.1</w:t>
      </w:r>
      <w:r>
        <w:rPr>
          <w:rFonts w:hint="eastAsia" w:ascii="宋体" w:hAnsi="宋体" w:eastAsia="宋体" w:cs="宋体"/>
          <w:color w:val="auto"/>
          <w:sz w:val="24"/>
          <w:szCs w:val="24"/>
          <w:highlight w:val="none"/>
        </w:rPr>
        <w:t>在投标截止时间后1小时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5AF03399">
      <w:pPr>
        <w:pBdr>
          <w:bottom w:val="single" w:color="auto" w:sz="6" w:space="1"/>
        </w:pBdr>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现文：</w:t>
      </w:r>
      <w:r>
        <w:rPr>
          <w:rFonts w:hint="eastAsia" w:ascii="宋体" w:hAnsi="宋体" w:eastAsia="宋体" w:cs="宋体"/>
          <w:color w:val="auto"/>
          <w:kern w:val="0"/>
          <w:sz w:val="24"/>
          <w:szCs w:val="24"/>
          <w:highlight w:val="none"/>
        </w:rPr>
        <w:t>5.2.1</w:t>
      </w:r>
      <w:r>
        <w:rPr>
          <w:rFonts w:hint="eastAsia" w:ascii="宋体" w:hAnsi="宋体" w:eastAsia="宋体" w:cs="宋体"/>
          <w:color w:val="auto"/>
          <w:sz w:val="24"/>
          <w:szCs w:val="24"/>
          <w:highlight w:val="none"/>
        </w:rPr>
        <w:t>在投标截止时间后1小时内，投标人通过递交投标文件的交易平台对已递交的电子投标文件进行解密。投标人完成解密后，再由招标人进行解密。解密完成后，公布招标项目名称、投标人名称、</w:t>
      </w:r>
      <w:r>
        <w:rPr>
          <w:rFonts w:hint="eastAsia" w:ascii="宋体" w:hAnsi="宋体" w:eastAsia="宋体" w:cs="宋体"/>
          <w:strike/>
          <w:dstrike w:val="0"/>
          <w:color w:val="auto"/>
          <w:sz w:val="24"/>
          <w:szCs w:val="24"/>
          <w:highlight w:val="none"/>
        </w:rPr>
        <w:t>投标保证金的递交情况、</w:t>
      </w:r>
      <w:r>
        <w:rPr>
          <w:rFonts w:hint="eastAsia" w:ascii="宋体" w:hAnsi="宋体" w:eastAsia="宋体" w:cs="宋体"/>
          <w:color w:val="auto"/>
          <w:sz w:val="24"/>
          <w:szCs w:val="24"/>
          <w:highlight w:val="none"/>
        </w:rPr>
        <w:t>投标报价、项目负责人及其他内容。未在规定时间内解密的投标文件不参与开标、评标。</w:t>
      </w:r>
    </w:p>
    <w:p w14:paraId="556BC33C">
      <w:pPr>
        <w:spacing w:line="360" w:lineRule="auto"/>
        <w:ind w:firstLine="426" w:firstLineChars="177"/>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条款号：</w:t>
      </w:r>
      <w:r>
        <w:rPr>
          <w:rFonts w:hint="eastAsia" w:ascii="宋体" w:hAnsi="宋体" w:eastAsia="宋体" w:cs="宋体"/>
          <w:b/>
          <w:bCs/>
          <w:color w:val="auto"/>
          <w:sz w:val="24"/>
          <w:szCs w:val="24"/>
          <w:highlight w:val="none"/>
          <w:lang w:val="en-US" w:eastAsia="zh-CN"/>
        </w:rPr>
        <w:t>6.1.4</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修改类型：</w:t>
      </w:r>
      <w:r>
        <w:rPr>
          <w:rFonts w:hint="eastAsia" w:ascii="宋体" w:hAnsi="宋体" w:eastAsia="宋体" w:cs="宋体"/>
          <w:b/>
          <w:bCs/>
          <w:color w:val="auto"/>
          <w:sz w:val="24"/>
          <w:szCs w:val="24"/>
          <w:highlight w:val="none"/>
          <w:lang w:val="en-US" w:eastAsia="zh-CN"/>
        </w:rPr>
        <w:t>增加</w:t>
      </w:r>
    </w:p>
    <w:p w14:paraId="4CE7A4FE">
      <w:pPr>
        <w:pBdr>
          <w:bottom w:val="single" w:color="auto" w:sz="6" w:space="1"/>
        </w:pBdr>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现文：</w:t>
      </w:r>
      <w:r>
        <w:rPr>
          <w:rFonts w:hint="eastAsia" w:ascii="宋体" w:hAnsi="宋体" w:eastAsia="宋体" w:cs="宋体"/>
          <w:b/>
          <w:bCs/>
          <w:color w:val="auto"/>
          <w:sz w:val="24"/>
          <w:szCs w:val="24"/>
          <w:highlight w:val="none"/>
          <w:u w:val="single"/>
        </w:rPr>
        <w:t>6.1.4 评标委员会在开始评标前，应了解评标专家的职责及守则，认真阅读附件《评标委员会成员声明》的内容并签名，签名后方可进行评标。</w:t>
      </w:r>
    </w:p>
    <w:p w14:paraId="1B775D21">
      <w:pPr>
        <w:spacing w:line="360" w:lineRule="auto"/>
        <w:ind w:firstLine="426" w:firstLineChars="17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eastAsia="宋体" w:cs="宋体"/>
          <w:b/>
          <w:bCs/>
          <w:color w:val="auto"/>
          <w:sz w:val="24"/>
          <w:szCs w:val="24"/>
          <w:highlight w:val="none"/>
          <w:lang w:val="en-US" w:eastAsia="zh-CN"/>
        </w:rPr>
        <w:t>7.1.2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修改类型：修改</w:t>
      </w:r>
    </w:p>
    <w:p w14:paraId="5CCDDB2B">
      <w:pPr>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kern w:val="0"/>
          <w:sz w:val="24"/>
          <w:szCs w:val="24"/>
          <w:highlight w:val="none"/>
        </w:rPr>
        <w:t>7.1.2在产生中标候选人后，招标人将中标候选人的投标文件商务部分（包括、人员、业绩、奖项等资料）在广州交易集团有限公司（广州公共资源交易中心）网站和广东省招标投标监管网公开。</w:t>
      </w:r>
    </w:p>
    <w:p w14:paraId="13096CE4">
      <w:pPr>
        <w:pBdr>
          <w:bottom w:val="single" w:color="auto" w:sz="6" w:space="1"/>
        </w:pBdr>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现文：</w:t>
      </w:r>
      <w:r>
        <w:rPr>
          <w:rFonts w:hint="eastAsia" w:ascii="宋体" w:hAnsi="宋体" w:eastAsia="宋体" w:cs="宋体"/>
          <w:color w:val="auto"/>
          <w:kern w:val="0"/>
          <w:sz w:val="24"/>
          <w:szCs w:val="24"/>
          <w:highlight w:val="none"/>
        </w:rPr>
        <w:t>7.1.2在产生中标候选人后，招标人将中标候选人的投标文件商务部分（包括、人员、业绩、奖项等资料</w:t>
      </w:r>
      <w:r>
        <w:rPr>
          <w:rFonts w:hint="eastAsia" w:ascii="宋体" w:hAnsi="宋体" w:eastAsia="宋体" w:cs="宋体"/>
          <w:b/>
          <w:bCs/>
          <w:color w:val="auto"/>
          <w:kern w:val="0"/>
          <w:sz w:val="24"/>
          <w:szCs w:val="24"/>
          <w:highlight w:val="none"/>
          <w:u w:val="single"/>
        </w:rPr>
        <w:t>，但报价清单、方案等涉及商业秘密的内容除外</w:t>
      </w:r>
      <w:r>
        <w:rPr>
          <w:rFonts w:hint="eastAsia" w:ascii="宋体" w:hAnsi="宋体" w:eastAsia="宋体" w:cs="宋体"/>
          <w:color w:val="auto"/>
          <w:kern w:val="0"/>
          <w:sz w:val="24"/>
          <w:szCs w:val="24"/>
          <w:highlight w:val="none"/>
        </w:rPr>
        <w:t>）在广州交易集团有限公司（广州公共资源交易中心）网站和广东省招标投标监管网公开。</w:t>
      </w:r>
    </w:p>
    <w:p w14:paraId="0A67314B">
      <w:pPr>
        <w:spacing w:line="360" w:lineRule="auto"/>
        <w:ind w:firstLine="426" w:firstLineChars="17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eastAsia="宋体" w:cs="宋体"/>
          <w:b/>
          <w:bCs/>
          <w:color w:val="auto"/>
          <w:sz w:val="24"/>
          <w:szCs w:val="24"/>
          <w:highlight w:val="none"/>
          <w:lang w:val="en-US" w:eastAsia="zh-CN"/>
        </w:rPr>
        <w:t>7.5.1</w:t>
      </w:r>
      <w:r>
        <w:rPr>
          <w:rFonts w:hint="eastAsia" w:ascii="宋体" w:hAnsi="宋体" w:eastAsia="宋体" w:cs="宋体"/>
          <w:b/>
          <w:bCs/>
          <w:color w:val="auto"/>
          <w:sz w:val="24"/>
          <w:szCs w:val="24"/>
          <w:highlight w:val="none"/>
        </w:rPr>
        <w:t xml:space="preserve">         修改类型：修改</w:t>
      </w:r>
    </w:p>
    <w:p w14:paraId="15A4AF96">
      <w:pPr>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kern w:val="0"/>
          <w:sz w:val="24"/>
          <w:szCs w:val="24"/>
          <w:highlight w:val="none"/>
        </w:rPr>
        <w:t>7.5.1在本章第3.3款规定的投标有效期内，招标人向中标人发出中标通知书。在广东省招标投标监管网和广州交易集团有限公司（广州公共资源交易中心）网站发布中标信息，视同将中标结果通知未中标的投标人。</w:t>
      </w:r>
    </w:p>
    <w:p w14:paraId="75FF8A6A">
      <w:pPr>
        <w:pBdr>
          <w:bottom w:val="single" w:color="auto" w:sz="6" w:space="1"/>
        </w:pBdr>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现文：</w:t>
      </w:r>
      <w:r>
        <w:rPr>
          <w:rFonts w:hint="eastAsia" w:ascii="宋体" w:hAnsi="宋体" w:eastAsia="宋体" w:cs="宋体"/>
          <w:color w:val="auto"/>
          <w:kern w:val="0"/>
          <w:sz w:val="24"/>
          <w:szCs w:val="24"/>
          <w:highlight w:val="none"/>
        </w:rPr>
        <w:t>7.5.1在本章第3.3款规定的投标有效期内，招标人向中标人发出中标通知书</w:t>
      </w:r>
      <w:r>
        <w:rPr>
          <w:rFonts w:hint="eastAsia" w:ascii="宋体" w:hAnsi="宋体" w:eastAsia="宋体" w:cs="宋体"/>
          <w:b/>
          <w:bCs/>
          <w:color w:val="auto"/>
          <w:sz w:val="24"/>
          <w:szCs w:val="24"/>
          <w:highlight w:val="none"/>
          <w:u w:val="single"/>
          <w:lang w:eastAsia="zh-CN"/>
        </w:rPr>
        <w:t>，中标人自行于广州交易集团有限公司（广州公共资源交易中心）交易平台下载中标通知书</w:t>
      </w:r>
      <w:r>
        <w:rPr>
          <w:rFonts w:hint="eastAsia" w:ascii="宋体" w:hAnsi="宋体" w:eastAsia="宋体" w:cs="宋体"/>
          <w:color w:val="auto"/>
          <w:kern w:val="0"/>
          <w:sz w:val="24"/>
          <w:szCs w:val="24"/>
          <w:highlight w:val="none"/>
        </w:rPr>
        <w:t>。在广东省招标投标监管网和广州交易集团有限公司（广州公共资源交易中心）网站发布中标信息，视同将中标结果通知未中标的投标人。</w:t>
      </w:r>
      <w:r>
        <w:rPr>
          <w:rFonts w:hint="eastAsia" w:ascii="宋体" w:hAnsi="宋体" w:eastAsia="宋体" w:cs="宋体"/>
          <w:b/>
          <w:bCs/>
          <w:color w:val="auto"/>
          <w:sz w:val="24"/>
          <w:szCs w:val="24"/>
          <w:highlight w:val="none"/>
          <w:u w:val="single"/>
        </w:rPr>
        <w:t>中标人须对其投标文件真实性负责，并准备投标文件涉及的所有原件待查，如存在弄虚作假情况或原件不齐或与原件不符的，招标人有权取消其中标人资格，并上报建设行政主管部门。</w:t>
      </w:r>
    </w:p>
    <w:p w14:paraId="26816399">
      <w:pPr>
        <w:spacing w:line="360" w:lineRule="auto"/>
        <w:ind w:firstLine="426" w:firstLineChars="17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eastAsia="宋体" w:cs="宋体"/>
          <w:b/>
          <w:bCs/>
          <w:color w:val="auto"/>
          <w:sz w:val="24"/>
          <w:szCs w:val="24"/>
          <w:highlight w:val="none"/>
          <w:lang w:val="en-US" w:eastAsia="zh-CN"/>
        </w:rPr>
        <w:t>7.6</w:t>
      </w:r>
      <w:r>
        <w:rPr>
          <w:rFonts w:hint="eastAsia" w:ascii="宋体" w:hAnsi="宋体" w:eastAsia="宋体" w:cs="宋体"/>
          <w:b/>
          <w:bCs/>
          <w:color w:val="auto"/>
          <w:sz w:val="24"/>
          <w:szCs w:val="24"/>
          <w:highlight w:val="none"/>
        </w:rPr>
        <w:t xml:space="preserve">         修改类型：修改</w:t>
      </w:r>
    </w:p>
    <w:p w14:paraId="2D9E57F7">
      <w:pPr>
        <w:spacing w:line="360" w:lineRule="auto"/>
        <w:ind w:firstLine="426" w:firstLineChars="17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原文：7.</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履约保证金</w:t>
      </w:r>
    </w:p>
    <w:p w14:paraId="3B394A5A">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72783248">
      <w:pPr>
        <w:spacing w:line="360" w:lineRule="auto"/>
        <w:ind w:firstLine="424" w:firstLineChars="177"/>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7.6.2中标人不能按本章第7.6.1项要求提交履约保证金的，视为放弃中标，其投标保证金不予退还，给招标人造成的损失超过投标保证金数额的，中标人还应当对超过部分予以赔偿。</w:t>
      </w:r>
    </w:p>
    <w:p w14:paraId="0F533A24">
      <w:pPr>
        <w:spacing w:line="360" w:lineRule="auto"/>
        <w:ind w:firstLine="426" w:firstLineChars="17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现文：7.</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pacing w:val="-2"/>
          <w:kern w:val="0"/>
          <w:sz w:val="24"/>
          <w:szCs w:val="24"/>
          <w:highlight w:val="none"/>
          <w:u w:val="single"/>
        </w:rPr>
        <w:t>（本项目不适用）</w:t>
      </w:r>
    </w:p>
    <w:p w14:paraId="3EE5AAE9">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01D96366">
      <w:pPr>
        <w:pBdr>
          <w:bottom w:val="single" w:color="auto" w:sz="6" w:space="1"/>
        </w:pBdr>
        <w:spacing w:line="360" w:lineRule="auto"/>
        <w:ind w:firstLine="424" w:firstLineChars="177"/>
        <w:rPr>
          <w:rFonts w:hint="eastAsia" w:ascii="宋体" w:hAnsi="宋体" w:eastAsia="宋体" w:cs="宋体"/>
          <w:b/>
          <w:bCs/>
          <w:strike/>
          <w:dstrike w:val="0"/>
          <w:color w:val="auto"/>
          <w:sz w:val="24"/>
          <w:szCs w:val="24"/>
          <w:highlight w:val="none"/>
          <w:u w:val="single"/>
        </w:rPr>
      </w:pPr>
      <w:r>
        <w:rPr>
          <w:rFonts w:hint="eastAsia" w:ascii="宋体" w:hAnsi="宋体" w:eastAsia="宋体" w:cs="宋体"/>
          <w:strike/>
          <w:dstrike w:val="0"/>
          <w:color w:val="auto"/>
          <w:sz w:val="24"/>
          <w:szCs w:val="24"/>
          <w:highlight w:val="none"/>
        </w:rPr>
        <w:t>7.6.2中标人不能按本章第7.6.1项要求提交履约保证金的，视为放弃中标，其投标保证金不予退还，给招标人造成的损失超过投标保证金数额的，中标人还应当对超过部分予以赔偿。</w:t>
      </w:r>
    </w:p>
    <w:p w14:paraId="054B9B9D">
      <w:pPr>
        <w:spacing w:line="360" w:lineRule="auto"/>
        <w:ind w:firstLine="426" w:firstLineChars="17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eastAsia="宋体" w:cs="宋体"/>
          <w:b/>
          <w:bCs/>
          <w:color w:val="auto"/>
          <w:sz w:val="24"/>
          <w:szCs w:val="24"/>
          <w:highlight w:val="none"/>
          <w:lang w:val="en-US" w:eastAsia="zh-CN"/>
        </w:rPr>
        <w:t>7.7.1至7.7.2</w:t>
      </w:r>
      <w:r>
        <w:rPr>
          <w:rFonts w:hint="eastAsia" w:ascii="宋体" w:hAnsi="宋体" w:eastAsia="宋体" w:cs="宋体"/>
          <w:b/>
          <w:bCs/>
          <w:color w:val="auto"/>
          <w:sz w:val="24"/>
          <w:szCs w:val="24"/>
          <w:highlight w:val="none"/>
        </w:rPr>
        <w:t xml:space="preserve">         修改类型：修改</w:t>
      </w:r>
    </w:p>
    <w:p w14:paraId="1CEA9A44">
      <w:pPr>
        <w:keepNext w:val="0"/>
        <w:keepLines w:val="0"/>
        <w:pageBreakBefore w:val="0"/>
        <w:widowControl w:val="0"/>
        <w:kinsoku/>
        <w:wordWrap w:val="0"/>
        <w:overflowPunct w:val="0"/>
        <w:topLinePunct w:val="0"/>
        <w:autoSpaceDE/>
        <w:autoSpaceDN/>
        <w:bidi w:val="0"/>
        <w:adjustRightInd/>
        <w:snapToGrid/>
        <w:spacing w:line="360" w:lineRule="auto"/>
        <w:ind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sz w:val="24"/>
          <w:szCs w:val="24"/>
          <w:highlight w:val="none"/>
        </w:rPr>
        <w:t>7.7.1招标人和中标人应当在中标通知书发出之日起30日内，根据招标文件和中标人的投标文件订立书面合同，并通过电子交易系统与中标人在线签订合同，并在广东省招标投标监管网和广州交易集团有限公司（广州公共资源交易中心）网站公示合同主要信息。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5BD0B360">
      <w:pPr>
        <w:spacing w:line="360" w:lineRule="auto"/>
        <w:ind w:firstLine="424" w:firstLineChars="177"/>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7.7.2发出中标通知书后，招标人无正当理由拒签合同，或者在签订合同时向中标人提出附加条件的，招标人向中标人退还投标保证金；给中标人造成损失的，还应当赔偿损失。</w:t>
      </w:r>
    </w:p>
    <w:p w14:paraId="42F2211E">
      <w:pPr>
        <w:keepNext w:val="0"/>
        <w:keepLines w:val="0"/>
        <w:pageBreakBefore w:val="0"/>
        <w:widowControl w:val="0"/>
        <w:kinsoku/>
        <w:wordWrap w:val="0"/>
        <w:overflowPunct w:val="0"/>
        <w:topLinePunct w:val="0"/>
        <w:autoSpaceDE/>
        <w:autoSpaceDN/>
        <w:bidi w:val="0"/>
        <w:adjustRightInd/>
        <w:snapToGrid/>
        <w:spacing w:line="360" w:lineRule="auto"/>
        <w:ind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现文：</w:t>
      </w:r>
      <w:r>
        <w:rPr>
          <w:rFonts w:hint="eastAsia" w:ascii="宋体" w:hAnsi="宋体" w:eastAsia="宋体" w:cs="宋体"/>
          <w:color w:val="auto"/>
          <w:sz w:val="24"/>
          <w:szCs w:val="24"/>
          <w:highlight w:val="none"/>
        </w:rPr>
        <w:t>7.7.1招标人和中标人应当在中标通知书发出之日起30日内，根据招标文件和中标人的投标文件订立书面合同，并通过电子交易系统与中标人在线签订合同，并在广东省招标投标监管网和广州交易集团有限公司（广州公共资源交易中心）网站公示合同主要信息。中标人无正当理由拒签合同，在签订合同时向招标人提出附加条件</w:t>
      </w:r>
      <w:r>
        <w:rPr>
          <w:rFonts w:hint="eastAsia" w:ascii="宋体" w:hAnsi="宋体" w:eastAsia="宋体" w:cs="宋体"/>
          <w:strike/>
          <w:dstrike w:val="0"/>
          <w:color w:val="auto"/>
          <w:sz w:val="24"/>
          <w:szCs w:val="24"/>
          <w:highlight w:val="none"/>
        </w:rPr>
        <w:t>，或者不按照招标文件要求提交履约保证金的</w:t>
      </w:r>
      <w:r>
        <w:rPr>
          <w:rFonts w:hint="eastAsia" w:ascii="宋体" w:hAnsi="宋体" w:eastAsia="宋体" w:cs="宋体"/>
          <w:color w:val="auto"/>
          <w:sz w:val="24"/>
          <w:szCs w:val="24"/>
          <w:highlight w:val="none"/>
        </w:rPr>
        <w:t>，招标人有权取消其中标资格</w:t>
      </w:r>
      <w:r>
        <w:rPr>
          <w:rFonts w:hint="eastAsia" w:ascii="宋体" w:hAnsi="宋体" w:eastAsia="宋体" w:cs="宋体"/>
          <w:strike/>
          <w:dstrike w:val="0"/>
          <w:color w:val="auto"/>
          <w:sz w:val="24"/>
          <w:szCs w:val="24"/>
          <w:highlight w:val="none"/>
        </w:rPr>
        <w:t>，其投标保证金不予退还</w:t>
      </w:r>
      <w:r>
        <w:rPr>
          <w:rFonts w:hint="eastAsia" w:ascii="宋体" w:hAnsi="宋体" w:eastAsia="宋体" w:cs="宋体"/>
          <w:color w:val="auto"/>
          <w:sz w:val="24"/>
          <w:szCs w:val="24"/>
          <w:highlight w:val="none"/>
        </w:rPr>
        <w:t>；给招标人造成</w:t>
      </w:r>
      <w:r>
        <w:rPr>
          <w:rFonts w:hint="eastAsia" w:ascii="宋体" w:hAnsi="宋体" w:eastAsia="宋体" w:cs="宋体"/>
          <w:strike/>
          <w:dstrike w:val="0"/>
          <w:color w:val="auto"/>
          <w:sz w:val="24"/>
          <w:szCs w:val="24"/>
          <w:highlight w:val="none"/>
        </w:rPr>
        <w:t>的</w:t>
      </w:r>
      <w:r>
        <w:rPr>
          <w:rFonts w:hint="eastAsia" w:ascii="宋体" w:hAnsi="宋体" w:eastAsia="宋体" w:cs="宋体"/>
          <w:color w:val="auto"/>
          <w:sz w:val="24"/>
          <w:szCs w:val="24"/>
          <w:highlight w:val="none"/>
        </w:rPr>
        <w:t>损失</w:t>
      </w:r>
      <w:r>
        <w:rPr>
          <w:rFonts w:hint="eastAsia" w:ascii="宋体" w:hAnsi="宋体" w:eastAsia="宋体" w:cs="宋体"/>
          <w:strike/>
          <w:dstrike w:val="0"/>
          <w:color w:val="auto"/>
          <w:sz w:val="24"/>
          <w:szCs w:val="24"/>
          <w:highlight w:val="none"/>
        </w:rPr>
        <w:t>超过投标保证金数额</w:t>
      </w:r>
      <w:r>
        <w:rPr>
          <w:rFonts w:hint="eastAsia" w:ascii="宋体" w:hAnsi="宋体" w:eastAsia="宋体" w:cs="宋体"/>
          <w:color w:val="auto"/>
          <w:sz w:val="24"/>
          <w:szCs w:val="24"/>
          <w:highlight w:val="none"/>
        </w:rPr>
        <w:t>的，中标人还应当</w:t>
      </w:r>
      <w:r>
        <w:rPr>
          <w:rFonts w:hint="eastAsia" w:ascii="宋体" w:hAnsi="宋体" w:eastAsia="宋体" w:cs="宋体"/>
          <w:strike/>
          <w:dstrike w:val="0"/>
          <w:color w:val="auto"/>
          <w:sz w:val="24"/>
          <w:szCs w:val="24"/>
          <w:highlight w:val="none"/>
        </w:rPr>
        <w:t>对超过部分</w:t>
      </w:r>
      <w:r>
        <w:rPr>
          <w:rFonts w:hint="eastAsia" w:ascii="宋体" w:hAnsi="宋体" w:eastAsia="宋体" w:cs="宋体"/>
          <w:color w:val="auto"/>
          <w:sz w:val="24"/>
          <w:szCs w:val="24"/>
          <w:highlight w:val="none"/>
        </w:rPr>
        <w:t>予以赔偿。</w:t>
      </w:r>
    </w:p>
    <w:p w14:paraId="5184C42A">
      <w:pPr>
        <w:pBdr>
          <w:bottom w:val="single" w:color="auto" w:sz="6" w:space="1"/>
        </w:pBdr>
        <w:spacing w:line="360" w:lineRule="auto"/>
        <w:ind w:firstLine="424" w:firstLineChars="177"/>
        <w:rPr>
          <w:rFonts w:hint="eastAsia" w:ascii="宋体" w:hAnsi="宋体" w:eastAsia="宋体" w:cs="宋体"/>
          <w:b/>
          <w:bCs/>
          <w:strike/>
          <w:dstrike w:val="0"/>
          <w:color w:val="auto"/>
          <w:sz w:val="24"/>
          <w:szCs w:val="24"/>
          <w:highlight w:val="none"/>
          <w:u w:val="single"/>
        </w:rPr>
      </w:pPr>
      <w:r>
        <w:rPr>
          <w:rFonts w:hint="eastAsia" w:ascii="宋体" w:hAnsi="宋体" w:eastAsia="宋体" w:cs="宋体"/>
          <w:color w:val="auto"/>
          <w:sz w:val="24"/>
          <w:szCs w:val="24"/>
          <w:highlight w:val="none"/>
        </w:rPr>
        <w:t>7.7.2发出中标通知书后，招标人无正当理由拒签合同，或者在签订合同时向中标人提出附加条件的，</w:t>
      </w:r>
      <w:r>
        <w:rPr>
          <w:rFonts w:hint="eastAsia" w:ascii="宋体" w:hAnsi="宋体" w:eastAsia="宋体" w:cs="宋体"/>
          <w:strike/>
          <w:dstrike w:val="0"/>
          <w:color w:val="auto"/>
          <w:sz w:val="24"/>
          <w:szCs w:val="24"/>
          <w:highlight w:val="none"/>
        </w:rPr>
        <w:t>招标人向中标人退还投标保证金；</w:t>
      </w:r>
      <w:r>
        <w:rPr>
          <w:rFonts w:hint="eastAsia" w:ascii="宋体" w:hAnsi="宋体" w:eastAsia="宋体" w:cs="宋体"/>
          <w:color w:val="auto"/>
          <w:sz w:val="24"/>
          <w:szCs w:val="24"/>
          <w:highlight w:val="none"/>
        </w:rPr>
        <w:t>给中标人造成损失的，还应当赔偿损失。</w:t>
      </w:r>
    </w:p>
    <w:p w14:paraId="616B50BB">
      <w:pPr>
        <w:spacing w:line="360" w:lineRule="auto"/>
        <w:ind w:firstLine="426" w:firstLineChars="177"/>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条款号：附件《评标委员会成员声明》         修改类型：</w:t>
      </w:r>
      <w:r>
        <w:rPr>
          <w:rFonts w:hint="eastAsia" w:ascii="宋体" w:hAnsi="宋体" w:eastAsia="宋体" w:cs="宋体"/>
          <w:b/>
          <w:bCs/>
          <w:color w:val="auto"/>
          <w:sz w:val="24"/>
          <w:szCs w:val="24"/>
          <w:highlight w:val="none"/>
          <w:lang w:val="en-US" w:eastAsia="zh-CN"/>
        </w:rPr>
        <w:t>增加</w:t>
      </w:r>
    </w:p>
    <w:p w14:paraId="1A648701">
      <w:pPr>
        <w:pBdr>
          <w:bottom w:val="single" w:color="auto" w:sz="6" w:space="1"/>
        </w:pBdr>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现文：</w:t>
      </w:r>
      <w:r>
        <w:rPr>
          <w:rFonts w:hint="eastAsia" w:ascii="宋体" w:hAnsi="宋体" w:eastAsia="宋体" w:cs="宋体"/>
          <w:b/>
          <w:bCs/>
          <w:color w:val="auto"/>
          <w:spacing w:val="-2"/>
          <w:kern w:val="0"/>
          <w:sz w:val="24"/>
          <w:szCs w:val="24"/>
          <w:highlight w:val="none"/>
          <w:u w:val="single"/>
        </w:rPr>
        <w:t>详见附件《评标委员会成员声明》</w:t>
      </w:r>
    </w:p>
    <w:p w14:paraId="1F467AED">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注：以上修改，仅限于本范本中有可供选择条款的情形。</w:t>
      </w:r>
    </w:p>
    <w:p w14:paraId="6DE68AEB">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6F2F104D">
      <w:pPr>
        <w:keepNext/>
        <w:keepLines/>
        <w:pageBreakBefore w:val="0"/>
        <w:widowControl w:val="0"/>
        <w:kinsoku/>
        <w:wordWrap w:val="0"/>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color w:val="auto"/>
          <w:sz w:val="28"/>
          <w:szCs w:val="20"/>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8"/>
          <w:szCs w:val="20"/>
          <w:highlight w:val="none"/>
        </w:rPr>
        <w:t>1.  总则</w:t>
      </w:r>
    </w:p>
    <w:p w14:paraId="7B915EAB">
      <w:pPr>
        <w:keepNext/>
        <w:keepLines/>
        <w:wordWrap w:val="0"/>
        <w:spacing w:line="360" w:lineRule="auto"/>
        <w:outlineLvl w:val="3"/>
        <w:rPr>
          <w:rFonts w:hint="eastAsia" w:ascii="宋体" w:hAnsi="宋体" w:eastAsia="宋体" w:cs="宋体"/>
          <w:b/>
          <w:color w:val="auto"/>
          <w:sz w:val="28"/>
          <w:szCs w:val="28"/>
          <w:highlight w:val="none"/>
        </w:rPr>
      </w:pPr>
      <w:bookmarkStart w:id="77" w:name="bookmark21"/>
      <w:bookmarkEnd w:id="77"/>
      <w:r>
        <w:rPr>
          <w:rFonts w:hint="eastAsia" w:ascii="宋体" w:hAnsi="宋体" w:eastAsia="宋体" w:cs="宋体"/>
          <w:b/>
          <w:color w:val="auto"/>
          <w:sz w:val="28"/>
          <w:szCs w:val="28"/>
          <w:highlight w:val="none"/>
        </w:rPr>
        <w:t>1.1招标项目概况</w:t>
      </w:r>
    </w:p>
    <w:p w14:paraId="12E9BA57">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pacing w:val="-8"/>
          <w:sz w:val="24"/>
          <w:szCs w:val="24"/>
          <w:highlight w:val="none"/>
        </w:rPr>
        <w:t>根据《中华人民共和国招标投标法》、《中华人民共和国招标投标法实施条例》等有关</w:t>
      </w:r>
      <w:r>
        <w:rPr>
          <w:rFonts w:hint="eastAsia" w:ascii="宋体" w:hAnsi="宋体" w:eastAsia="宋体" w:cs="宋体"/>
          <w:color w:val="auto"/>
          <w:sz w:val="24"/>
          <w:szCs w:val="24"/>
          <w:highlight w:val="none"/>
        </w:rPr>
        <w:t>法律、法规和规章的规定，本招标项目已具备招标条件，现对监理进行招标。</w:t>
      </w:r>
    </w:p>
    <w:p w14:paraId="2B9E4498">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1.1.2招标人：见投标人须知前附表。</w:t>
      </w:r>
    </w:p>
    <w:p w14:paraId="71BA3C67">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1.1.3招标代理机构：见投标人须知前附表。</w:t>
      </w:r>
    </w:p>
    <w:p w14:paraId="10AC3CAC">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1.1.4招标项目名称：见投标人须知前附表。</w:t>
      </w:r>
    </w:p>
    <w:p w14:paraId="3AA052B3">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1.1.5项目建设地点：见投标人须知前附表。</w:t>
      </w:r>
    </w:p>
    <w:p w14:paraId="33916A0E">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1.1.6项目建设规模：见投标人须知前附表。</w:t>
      </w:r>
    </w:p>
    <w:p w14:paraId="6C9E6A6F">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1.1.7工程项目施工预计开工日期和建设周期：见投标人须知前附表。</w:t>
      </w:r>
    </w:p>
    <w:p w14:paraId="14660BE1">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1.1.8建筑安装工程费/工程概算：见投标人须知前附表。</w:t>
      </w:r>
    </w:p>
    <w:p w14:paraId="29E26B6A">
      <w:pPr>
        <w:keepNext/>
        <w:keepLines/>
        <w:wordWrap w:val="0"/>
        <w:spacing w:line="360" w:lineRule="auto"/>
        <w:outlineLvl w:val="3"/>
        <w:rPr>
          <w:rFonts w:hint="eastAsia" w:ascii="宋体" w:hAnsi="宋体" w:eastAsia="宋体" w:cs="宋体"/>
          <w:b/>
          <w:color w:val="auto"/>
          <w:sz w:val="28"/>
          <w:szCs w:val="28"/>
          <w:highlight w:val="none"/>
        </w:rPr>
      </w:pPr>
      <w:bookmarkStart w:id="78" w:name="bookmark22"/>
      <w:bookmarkEnd w:id="78"/>
      <w:r>
        <w:rPr>
          <w:rFonts w:hint="eastAsia" w:ascii="宋体" w:hAnsi="宋体" w:eastAsia="宋体" w:cs="宋体"/>
          <w:b/>
          <w:color w:val="auto"/>
          <w:sz w:val="28"/>
          <w:szCs w:val="28"/>
          <w:highlight w:val="none"/>
        </w:rPr>
        <w:t>1.2招标项目的资金来源和落实情况</w:t>
      </w:r>
    </w:p>
    <w:p w14:paraId="6E3F8F95">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1.2.1资金来源及比例：见投标人须知前附表。</w:t>
      </w:r>
    </w:p>
    <w:p w14:paraId="17742B50">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1.2.2资金落实情况：见投标人须知前附表。</w:t>
      </w:r>
    </w:p>
    <w:p w14:paraId="5EAE49FE">
      <w:pPr>
        <w:keepNext/>
        <w:keepLines/>
        <w:wordWrap w:val="0"/>
        <w:spacing w:line="360" w:lineRule="auto"/>
        <w:outlineLvl w:val="3"/>
        <w:rPr>
          <w:rFonts w:hint="eastAsia" w:ascii="宋体" w:hAnsi="宋体" w:eastAsia="宋体" w:cs="宋体"/>
          <w:b/>
          <w:color w:val="auto"/>
          <w:sz w:val="28"/>
          <w:szCs w:val="28"/>
          <w:highlight w:val="none"/>
        </w:rPr>
      </w:pPr>
      <w:bookmarkStart w:id="79" w:name="bookmark23"/>
      <w:bookmarkEnd w:id="79"/>
      <w:r>
        <w:rPr>
          <w:rFonts w:hint="eastAsia" w:ascii="宋体" w:hAnsi="宋体" w:eastAsia="宋体" w:cs="宋体"/>
          <w:b/>
          <w:color w:val="auto"/>
          <w:sz w:val="28"/>
          <w:szCs w:val="28"/>
          <w:highlight w:val="none"/>
        </w:rPr>
        <w:t>1.3招标范围、监理服务期限和质量标准</w:t>
      </w:r>
    </w:p>
    <w:p w14:paraId="5F597C60">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1.3.1招标范围：见投标人须知前附表。</w:t>
      </w:r>
    </w:p>
    <w:p w14:paraId="07054652">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1.3.2监理服务期限：见投标人须知前附表。</w:t>
      </w:r>
    </w:p>
    <w:p w14:paraId="70676A4A">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1.3.3质量标准：见投标人须知前附表。</w:t>
      </w:r>
    </w:p>
    <w:p w14:paraId="4A65830E">
      <w:pPr>
        <w:keepNext/>
        <w:keepLines/>
        <w:wordWrap w:val="0"/>
        <w:spacing w:line="360" w:lineRule="auto"/>
        <w:outlineLvl w:val="3"/>
        <w:rPr>
          <w:rFonts w:hint="eastAsia" w:ascii="宋体" w:hAnsi="宋体" w:eastAsia="宋体" w:cs="宋体"/>
          <w:b/>
          <w:color w:val="auto"/>
          <w:sz w:val="28"/>
          <w:szCs w:val="28"/>
          <w:highlight w:val="none"/>
        </w:rPr>
      </w:pPr>
      <w:bookmarkStart w:id="80" w:name="bookmark24"/>
      <w:bookmarkEnd w:id="80"/>
      <w:r>
        <w:rPr>
          <w:rFonts w:hint="eastAsia" w:ascii="宋体" w:hAnsi="宋体" w:eastAsia="宋体" w:cs="宋体"/>
          <w:b/>
          <w:color w:val="auto"/>
          <w:sz w:val="28"/>
          <w:szCs w:val="28"/>
          <w:highlight w:val="none"/>
        </w:rPr>
        <w:t>1.4投标人资格要求</w:t>
      </w:r>
    </w:p>
    <w:p w14:paraId="336198C3">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1.4.1投标人应具备承担本招标项目资质条件、能力和信誉：</w:t>
      </w:r>
    </w:p>
    <w:p w14:paraId="230DB348">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（1）资质要求：见投标人须知前附表；</w:t>
      </w:r>
    </w:p>
    <w:p w14:paraId="5FA38A40">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（2）业绩要求：见投标人须知前附表；</w:t>
      </w:r>
    </w:p>
    <w:p w14:paraId="1FFBA2D4">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（3）总监理工程师的资格要求：应当具备工程注册监理工程师执业资格（如有），具体要求见投标人须知前附表；</w:t>
      </w:r>
    </w:p>
    <w:p w14:paraId="13A24FDF">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（4）其他主要人员要求：见投标人须知前附表。</w:t>
      </w:r>
    </w:p>
    <w:p w14:paraId="54DEE1F9">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（5）其他要求：见投标人须知前附表。</w:t>
      </w:r>
    </w:p>
    <w:p w14:paraId="09041652">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需要提交的相关证明材料见本章第3.5款的规定。</w:t>
      </w:r>
    </w:p>
    <w:p w14:paraId="2A4BFB77">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1.4.2投标人须知前附表规定接受联合体投标的，联合体除应符合本章第1.4.1项和投标人须知前附表的要求外，还应遵守以下规定：</w:t>
      </w:r>
    </w:p>
    <w:p w14:paraId="3FFAC5CB">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（1）联合体各方应按招标文件提供的格式签订联合体协议书，明确联合体牵头人和各方权利义务，并承诺就中标项目向招标人承担连带责任；</w:t>
      </w:r>
    </w:p>
    <w:p w14:paraId="1282D41E">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（2）由同一专业的单位组成的联合体，按照资质等级较低的单位确定资质等级；</w:t>
      </w:r>
    </w:p>
    <w:p w14:paraId="40102E6F">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（3）联合体各方不得再以自己名义单独或参加其他联合体在本招标项目中投标，否则各相关投标均无效。</w:t>
      </w:r>
    </w:p>
    <w:p w14:paraId="47D22041">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1.4.3投标人不得存在下列情形之一：</w:t>
      </w:r>
    </w:p>
    <w:p w14:paraId="632C45D6">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14:paraId="348015FC">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（2）与招标人存在利害关系且可能影响招标公正性；</w:t>
      </w:r>
    </w:p>
    <w:p w14:paraId="30D825F6">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（3）与本招标项目的其他投标人为同一个单位负责人；</w:t>
      </w:r>
    </w:p>
    <w:p w14:paraId="6F3517CB">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（4）与本招标项目的其他投标人存在控股、管理关系；</w:t>
      </w:r>
    </w:p>
    <w:p w14:paraId="62DEC73F">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（5）为本招标项目的代建人或建设管理单位；</w:t>
      </w:r>
    </w:p>
    <w:p w14:paraId="178EA982">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（6）为本招标项目的招标代理机构；</w:t>
      </w:r>
    </w:p>
    <w:p w14:paraId="5709B019">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（7）与本招标项目的招标代理机构同为一个法定代表人；</w:t>
      </w:r>
    </w:p>
    <w:p w14:paraId="29B5A10D">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（8）与本招标项目的代建人或招标代理机构存在控股或参股关系；</w:t>
      </w:r>
    </w:p>
    <w:p w14:paraId="37F02DC4">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（9）与本招标项目的检测机构、建设、施工单位以及建筑材料、建筑构配件和设备供应商有隶属关系或者其他利害关系有隶属关系或者其他利害关系；</w:t>
      </w:r>
    </w:p>
    <w:p w14:paraId="39C06A8F">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25C4B569">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（11）被责令停产停业、暂扣或者吊销许可证、暂扣或者吊销执照（本项事实应当以根据《中华人民共和国行政处罚法》依法作出并已生效的行政处罚决定为认定依据）；</w:t>
      </w:r>
    </w:p>
    <w:p w14:paraId="06703F3C">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（12）进入清算程序，或被宣告破产，或其他丧失履约能力的情形；</w:t>
      </w:r>
    </w:p>
    <w:p w14:paraId="58012F5D">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最近三年内有严重违约或发生重大监理质量问题（“严重违约”事实应当以司法机关、仲裁机构出具的认定文件为准。“重大监理质量问题”应当以相关行业主管部门的行政处罚决定或司法机关出具的有关法律文书为准。“最近三年”是指从投标截止时间之日起逆推三年，以相关行业主管部门、司法机关、仲裁机构出具的生效文件的落款时间起计算）；</w:t>
      </w:r>
    </w:p>
    <w:p w14:paraId="4082D907">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（14）法律法规或投标人须知前附表规定的其他情形。</w:t>
      </w:r>
    </w:p>
    <w:p w14:paraId="76CCBE00">
      <w:pPr>
        <w:keepNext/>
        <w:keepLines/>
        <w:wordWrap w:val="0"/>
        <w:spacing w:line="360" w:lineRule="auto"/>
        <w:outlineLvl w:val="3"/>
        <w:rPr>
          <w:rFonts w:hint="eastAsia" w:ascii="宋体" w:hAnsi="宋体" w:eastAsia="宋体" w:cs="宋体"/>
          <w:b/>
          <w:color w:val="auto"/>
          <w:sz w:val="28"/>
          <w:szCs w:val="28"/>
          <w:highlight w:val="none"/>
        </w:rPr>
      </w:pPr>
      <w:bookmarkStart w:id="81" w:name="bookmark25"/>
      <w:bookmarkEnd w:id="81"/>
      <w:r>
        <w:rPr>
          <w:rFonts w:hint="eastAsia" w:ascii="宋体" w:hAnsi="宋体" w:eastAsia="宋体" w:cs="宋体"/>
          <w:b/>
          <w:color w:val="auto"/>
          <w:sz w:val="28"/>
          <w:szCs w:val="28"/>
          <w:highlight w:val="none"/>
        </w:rPr>
        <w:t>1.5费用承担</w:t>
      </w:r>
    </w:p>
    <w:p w14:paraId="27A20BC0">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投标人准备和参加投标活动发生的费用自理。</w:t>
      </w:r>
    </w:p>
    <w:p w14:paraId="0EA98112">
      <w:pPr>
        <w:keepNext/>
        <w:keepLines/>
        <w:wordWrap w:val="0"/>
        <w:spacing w:line="360" w:lineRule="auto"/>
        <w:outlineLvl w:val="3"/>
        <w:rPr>
          <w:rFonts w:hint="eastAsia" w:ascii="宋体" w:hAnsi="宋体" w:eastAsia="宋体" w:cs="宋体"/>
          <w:b/>
          <w:color w:val="auto"/>
          <w:sz w:val="28"/>
          <w:szCs w:val="28"/>
          <w:highlight w:val="none"/>
        </w:rPr>
      </w:pPr>
      <w:bookmarkStart w:id="82" w:name="bookmark26"/>
      <w:bookmarkEnd w:id="82"/>
      <w:r>
        <w:rPr>
          <w:rFonts w:hint="eastAsia" w:ascii="宋体" w:hAnsi="宋体" w:eastAsia="宋体" w:cs="宋体"/>
          <w:b/>
          <w:color w:val="auto"/>
          <w:sz w:val="28"/>
          <w:szCs w:val="28"/>
          <w:highlight w:val="none"/>
        </w:rPr>
        <w:t>1.6保密</w:t>
      </w:r>
    </w:p>
    <w:p w14:paraId="17C94B7C">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20619383">
      <w:pPr>
        <w:keepNext/>
        <w:keepLines/>
        <w:wordWrap w:val="0"/>
        <w:spacing w:line="360" w:lineRule="auto"/>
        <w:outlineLvl w:val="3"/>
        <w:rPr>
          <w:rFonts w:hint="eastAsia" w:ascii="宋体" w:hAnsi="宋体" w:eastAsia="宋体" w:cs="宋体"/>
          <w:b/>
          <w:color w:val="auto"/>
          <w:sz w:val="28"/>
          <w:szCs w:val="28"/>
          <w:highlight w:val="none"/>
        </w:rPr>
      </w:pPr>
      <w:bookmarkStart w:id="83" w:name="bookmark27"/>
      <w:bookmarkEnd w:id="83"/>
      <w:r>
        <w:rPr>
          <w:rFonts w:hint="eastAsia" w:ascii="宋体" w:hAnsi="宋体" w:eastAsia="宋体" w:cs="宋体"/>
          <w:b/>
          <w:color w:val="auto"/>
          <w:sz w:val="28"/>
          <w:szCs w:val="28"/>
          <w:highlight w:val="none"/>
        </w:rPr>
        <w:t>1.7语言文字</w:t>
      </w:r>
    </w:p>
    <w:p w14:paraId="5A64DCA8">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招标投标文件使用的语言文字为中文。专用术语使用外文的，应附有中文注释。</w:t>
      </w:r>
    </w:p>
    <w:p w14:paraId="6A721197">
      <w:pPr>
        <w:keepNext/>
        <w:keepLines/>
        <w:wordWrap w:val="0"/>
        <w:spacing w:line="360" w:lineRule="auto"/>
        <w:outlineLvl w:val="3"/>
        <w:rPr>
          <w:rFonts w:hint="eastAsia" w:ascii="宋体" w:hAnsi="宋体" w:eastAsia="宋体" w:cs="宋体"/>
          <w:b/>
          <w:color w:val="auto"/>
          <w:sz w:val="28"/>
          <w:szCs w:val="28"/>
          <w:highlight w:val="none"/>
        </w:rPr>
      </w:pPr>
      <w:bookmarkStart w:id="84" w:name="bookmark28"/>
      <w:bookmarkEnd w:id="84"/>
      <w:r>
        <w:rPr>
          <w:rFonts w:hint="eastAsia" w:ascii="宋体" w:hAnsi="宋体" w:eastAsia="宋体" w:cs="宋体"/>
          <w:b/>
          <w:color w:val="auto"/>
          <w:sz w:val="28"/>
          <w:szCs w:val="28"/>
          <w:highlight w:val="none"/>
        </w:rPr>
        <w:t>1.8计量单位</w:t>
      </w:r>
    </w:p>
    <w:p w14:paraId="3519B1A9">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35C17823">
      <w:pPr>
        <w:keepNext/>
        <w:keepLines/>
        <w:wordWrap w:val="0"/>
        <w:spacing w:line="360" w:lineRule="auto"/>
        <w:outlineLvl w:val="3"/>
        <w:rPr>
          <w:rFonts w:hint="eastAsia" w:ascii="宋体" w:hAnsi="宋体" w:eastAsia="宋体" w:cs="宋体"/>
          <w:b/>
          <w:color w:val="auto"/>
          <w:sz w:val="28"/>
          <w:szCs w:val="28"/>
          <w:highlight w:val="none"/>
        </w:rPr>
      </w:pPr>
      <w:bookmarkStart w:id="85" w:name="bookmark29"/>
      <w:bookmarkEnd w:id="85"/>
      <w:r>
        <w:rPr>
          <w:rFonts w:hint="eastAsia" w:ascii="宋体" w:hAnsi="宋体" w:eastAsia="宋体" w:cs="宋体"/>
          <w:b/>
          <w:color w:val="auto"/>
          <w:sz w:val="28"/>
          <w:szCs w:val="28"/>
          <w:highlight w:val="none"/>
        </w:rPr>
        <w:t>1.9踏勘现场</w:t>
      </w:r>
    </w:p>
    <w:p w14:paraId="5A2AA517">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1.9.1投标人须知前附表规定组织踏勘现场的，招标人按投标人须知前附表规定的时间、地点组织投标人踏勘项目现场。部分投标人未按时参加踏勘现场的，不影响踏勘现场的正常进行。</w:t>
      </w:r>
    </w:p>
    <w:p w14:paraId="2B34BACC">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1.9.2投标人踏勘现场发生的费用自理。</w:t>
      </w:r>
    </w:p>
    <w:p w14:paraId="20EEDBA2">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1.9.3除招标人的原因外，投标人自行负责在踏勘现场中所发生的人员伤亡和财产损失。</w:t>
      </w:r>
    </w:p>
    <w:p w14:paraId="275FAF5A">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1.9.4由于投标人没有对工程现场及周围环境进行踏勘，造成投标失误的，由投标人自行承担责任和损失。</w:t>
      </w:r>
    </w:p>
    <w:p w14:paraId="1CD6DD2C">
      <w:pPr>
        <w:keepNext/>
        <w:keepLines/>
        <w:wordWrap w:val="0"/>
        <w:spacing w:line="360" w:lineRule="auto"/>
        <w:outlineLvl w:val="3"/>
        <w:rPr>
          <w:rFonts w:hint="eastAsia" w:ascii="宋体" w:hAnsi="宋体" w:eastAsia="宋体" w:cs="宋体"/>
          <w:b/>
          <w:color w:val="auto"/>
          <w:sz w:val="28"/>
          <w:szCs w:val="28"/>
          <w:highlight w:val="none"/>
        </w:rPr>
      </w:pPr>
      <w:bookmarkStart w:id="86" w:name="bookmark30"/>
      <w:bookmarkEnd w:id="86"/>
      <w:r>
        <w:rPr>
          <w:rFonts w:hint="eastAsia" w:ascii="宋体" w:hAnsi="宋体" w:eastAsia="宋体" w:cs="宋体"/>
          <w:b/>
          <w:color w:val="auto"/>
          <w:sz w:val="28"/>
          <w:szCs w:val="28"/>
          <w:highlight w:val="none"/>
        </w:rPr>
        <w:t>1.10投标预备会</w:t>
      </w:r>
    </w:p>
    <w:p w14:paraId="79EFB3C7">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1.10.1投标人须知前附表规定召开投标预备会的，招标人按投标人须知前附表规定的时间和地点召开投标预备会，澄清投标人提出的问题。</w:t>
      </w:r>
    </w:p>
    <w:p w14:paraId="7BD0CE7A">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1.10.2投标人应按投标人须知前附表规定的时间和形式将提出的问题送达招标人，以便招标人在会议期间澄清。</w:t>
      </w:r>
    </w:p>
    <w:p w14:paraId="148E21D3">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1.10.3投标预备会后，招标人将对投标人所提问题的澄清，以投标人须知前附表规定的形式通知所有购买招标文件的投标人。该澄清内容为招标文件的组成部分。</w:t>
      </w:r>
    </w:p>
    <w:p w14:paraId="2BB446BD">
      <w:pPr>
        <w:keepNext/>
        <w:keepLines/>
        <w:wordWrap w:val="0"/>
        <w:spacing w:line="360" w:lineRule="auto"/>
        <w:outlineLvl w:val="3"/>
        <w:rPr>
          <w:rFonts w:hint="eastAsia" w:ascii="宋体" w:hAnsi="宋体" w:eastAsia="宋体" w:cs="宋体"/>
          <w:b/>
          <w:color w:val="auto"/>
          <w:sz w:val="28"/>
          <w:szCs w:val="28"/>
          <w:highlight w:val="none"/>
        </w:rPr>
      </w:pPr>
      <w:bookmarkStart w:id="87" w:name="bookmark31"/>
      <w:bookmarkEnd w:id="87"/>
      <w:r>
        <w:rPr>
          <w:rFonts w:hint="eastAsia" w:ascii="宋体" w:hAnsi="宋体" w:eastAsia="宋体" w:cs="宋体"/>
          <w:b/>
          <w:color w:val="auto"/>
          <w:sz w:val="28"/>
          <w:szCs w:val="28"/>
          <w:highlight w:val="none"/>
        </w:rPr>
        <w:t>1.11分包</w:t>
      </w:r>
    </w:p>
    <w:p w14:paraId="4B906CC4">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1.11.1本项目不得分包。</w:t>
      </w:r>
    </w:p>
    <w:p w14:paraId="3E0A8525">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1.11.2中标人不得向他人转让中标项目。</w:t>
      </w:r>
    </w:p>
    <w:p w14:paraId="34A2B708">
      <w:pPr>
        <w:keepNext/>
        <w:keepLines/>
        <w:wordWrap w:val="0"/>
        <w:spacing w:line="360" w:lineRule="auto"/>
        <w:outlineLvl w:val="3"/>
        <w:rPr>
          <w:rFonts w:hint="eastAsia" w:ascii="宋体" w:hAnsi="宋体" w:eastAsia="宋体" w:cs="宋体"/>
          <w:b/>
          <w:color w:val="auto"/>
          <w:sz w:val="28"/>
          <w:szCs w:val="28"/>
          <w:highlight w:val="none"/>
        </w:rPr>
      </w:pPr>
      <w:bookmarkStart w:id="88" w:name="bookmark32"/>
      <w:bookmarkEnd w:id="88"/>
      <w:r>
        <w:rPr>
          <w:rFonts w:hint="eastAsia" w:ascii="宋体" w:hAnsi="宋体" w:eastAsia="宋体" w:cs="宋体"/>
          <w:b/>
          <w:color w:val="auto"/>
          <w:sz w:val="28"/>
          <w:szCs w:val="28"/>
          <w:highlight w:val="none"/>
        </w:rPr>
        <w:t>1.12响应和偏差</w:t>
      </w:r>
    </w:p>
    <w:p w14:paraId="61547888">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1.12.1投标文件应当对招标文件的实质性要求和条件作出满足性或更有利于招标人的响应，否则，投标人的投标将被否决。实质性要求和条件见投标人须知前附表。</w:t>
      </w:r>
    </w:p>
    <w:p w14:paraId="00A0F651">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1.12.2投标人应根据招标文件的要求提供投标监理大纲等内容以对招标文件作出响应。</w:t>
      </w:r>
    </w:p>
    <w:p w14:paraId="3A162D09">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1.12.3投标人须知前附表允许投标文件偏离招标文件某些要求的，偏差应当符合招标文件规定的偏差范围和幅度。</w:t>
      </w:r>
    </w:p>
    <w:p w14:paraId="7FCA812B">
      <w:pPr>
        <w:keepNext/>
        <w:keepLines/>
        <w:wordWrap w:val="0"/>
        <w:spacing w:line="360" w:lineRule="auto"/>
        <w:outlineLvl w:val="2"/>
        <w:rPr>
          <w:rFonts w:hint="eastAsia" w:ascii="宋体" w:hAnsi="宋体" w:eastAsia="宋体" w:cs="宋体"/>
          <w:b/>
          <w:color w:val="auto"/>
          <w:sz w:val="28"/>
          <w:szCs w:val="20"/>
          <w:highlight w:val="none"/>
        </w:rPr>
      </w:pPr>
      <w:bookmarkStart w:id="89" w:name="bookmark33"/>
      <w:bookmarkEnd w:id="89"/>
      <w:bookmarkStart w:id="90" w:name="_Toc14873647"/>
      <w:r>
        <w:rPr>
          <w:rFonts w:hint="eastAsia" w:ascii="宋体" w:hAnsi="宋体" w:eastAsia="宋体" w:cs="宋体"/>
          <w:b/>
          <w:color w:val="auto"/>
          <w:sz w:val="28"/>
          <w:szCs w:val="20"/>
          <w:highlight w:val="none"/>
        </w:rPr>
        <w:t>2.  招标文件</w:t>
      </w:r>
      <w:bookmarkEnd w:id="90"/>
    </w:p>
    <w:p w14:paraId="16CA3E31">
      <w:pPr>
        <w:keepNext/>
        <w:keepLines/>
        <w:wordWrap w:val="0"/>
        <w:spacing w:line="360" w:lineRule="auto"/>
        <w:outlineLvl w:val="3"/>
        <w:rPr>
          <w:rFonts w:hint="eastAsia" w:ascii="宋体" w:hAnsi="宋体" w:eastAsia="宋体" w:cs="宋体"/>
          <w:b/>
          <w:color w:val="auto"/>
          <w:sz w:val="28"/>
          <w:szCs w:val="28"/>
          <w:highlight w:val="none"/>
        </w:rPr>
      </w:pPr>
      <w:bookmarkStart w:id="91" w:name="bookmark34"/>
      <w:bookmarkEnd w:id="91"/>
      <w:r>
        <w:rPr>
          <w:rFonts w:hint="eastAsia" w:ascii="宋体" w:hAnsi="宋体" w:eastAsia="宋体" w:cs="宋体"/>
          <w:b/>
          <w:color w:val="auto"/>
          <w:sz w:val="28"/>
          <w:szCs w:val="28"/>
          <w:highlight w:val="none"/>
        </w:rPr>
        <w:t>2.1招标文件的组成</w:t>
      </w:r>
    </w:p>
    <w:p w14:paraId="67C0A31B">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本招标文件包括：</w:t>
      </w:r>
    </w:p>
    <w:p w14:paraId="643E43AF">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p>
    <w:p w14:paraId="43B77A99">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p>
    <w:p w14:paraId="70E71A3E">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（3）评标办法；</w:t>
      </w:r>
    </w:p>
    <w:p w14:paraId="6CE6B47B">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（4）合同条款及格式；</w:t>
      </w:r>
    </w:p>
    <w:p w14:paraId="69A6CB8A">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（5）委托人要求；</w:t>
      </w:r>
    </w:p>
    <w:p w14:paraId="3EDB6CE3">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14:paraId="02ED0EB2">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（7）投标人须知前附表规定的其他资料。</w:t>
      </w:r>
    </w:p>
    <w:p w14:paraId="5B59680D">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根据本章第1.10款、第2.2款和第2.3款对招标文件所作的澄清、修改，构成招标文件的组成部分。</w:t>
      </w:r>
    </w:p>
    <w:p w14:paraId="0FF9AD12">
      <w:pPr>
        <w:keepNext/>
        <w:keepLines/>
        <w:wordWrap w:val="0"/>
        <w:spacing w:line="360" w:lineRule="auto"/>
        <w:outlineLvl w:val="3"/>
        <w:rPr>
          <w:rFonts w:hint="eastAsia" w:ascii="宋体" w:hAnsi="宋体" w:eastAsia="宋体" w:cs="宋体"/>
          <w:b/>
          <w:color w:val="auto"/>
          <w:sz w:val="28"/>
          <w:szCs w:val="28"/>
          <w:highlight w:val="none"/>
        </w:rPr>
      </w:pPr>
      <w:bookmarkStart w:id="92" w:name="bookmark35"/>
      <w:bookmarkEnd w:id="92"/>
      <w:r>
        <w:rPr>
          <w:rFonts w:hint="eastAsia" w:ascii="宋体" w:hAnsi="宋体" w:eastAsia="宋体" w:cs="宋体"/>
          <w:b/>
          <w:color w:val="auto"/>
          <w:sz w:val="28"/>
          <w:szCs w:val="28"/>
          <w:highlight w:val="none"/>
        </w:rPr>
        <w:t>2.2招标文件的答疑</w:t>
      </w:r>
    </w:p>
    <w:p w14:paraId="406EC4FB">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2.2.1投标人应仔细阅读和检查招标文件的全部内容。如有疑问，应按投标人须知前附表规定的时间和形式将提出的问题送达招标人，要求招标人对招标文件予以澄清。</w:t>
      </w:r>
    </w:p>
    <w:p w14:paraId="74879B5C">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招标答疑采用网上答疑方式进行。投标人若对招标文件有疑问的，通过广州交易集团有限公司（广州公共资源交易中心）网站提交，应按照广州交易集团有限公司（广州公共资源交易中心）网站关于全流程电子化项目的相关指南进行操作。提问一律不得署名。</w:t>
      </w:r>
    </w:p>
    <w:p w14:paraId="257FB483">
      <w:pPr>
        <w:wordWrap w:val="0"/>
        <w:autoSpaceDE w:val="0"/>
        <w:autoSpaceDN w:val="0"/>
        <w:spacing w:line="360" w:lineRule="auto"/>
        <w:ind w:firstLine="472" w:firstLineChars="200"/>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2.2.3</w:t>
      </w:r>
      <w:r>
        <w:rPr>
          <w:rFonts w:hint="eastAsia" w:ascii="宋体" w:hAnsi="宋体" w:eastAsia="宋体" w:cs="宋体"/>
          <w:b/>
          <w:bCs/>
          <w:color w:val="auto"/>
          <w:sz w:val="24"/>
          <w:szCs w:val="24"/>
          <w:highlight w:val="none"/>
          <w:u w:val="single"/>
        </w:rPr>
        <w:t>招标答疑纪要</w:t>
      </w:r>
      <w:r>
        <w:rPr>
          <w:rFonts w:hint="eastAsia" w:ascii="宋体" w:hAnsi="宋体" w:eastAsia="宋体" w:cs="宋体"/>
          <w:strike/>
          <w:dstrike w:val="0"/>
          <w:color w:val="auto"/>
          <w:spacing w:val="-2"/>
          <w:kern w:val="0"/>
          <w:sz w:val="24"/>
          <w:szCs w:val="24"/>
          <w:highlight w:val="none"/>
        </w:rPr>
        <w:t>招标答疑会会议纪要</w:t>
      </w:r>
      <w:r>
        <w:rPr>
          <w:rFonts w:hint="eastAsia" w:ascii="宋体" w:hAnsi="宋体" w:eastAsia="宋体" w:cs="宋体"/>
          <w:color w:val="auto"/>
          <w:spacing w:val="-2"/>
          <w:kern w:val="0"/>
          <w:sz w:val="24"/>
          <w:szCs w:val="24"/>
          <w:highlight w:val="none"/>
        </w:rPr>
        <w:t>将在提交投标文件截止时间15日前在广州交易集团有限公司（广州公共资源交易中心）网站“项目答疑纪要”专区公开发布。答疑纪要一经在广州交易集团有限公司（广州公共资源交易中心）网站发布，视作已发放给所有投标人。澄清发出的时间距本章第4.2.1项规定的投标截止时间不足15日的，并且澄清内容可能影响投标文件编制的，将相应延长投标截止时间。</w:t>
      </w:r>
    </w:p>
    <w:p w14:paraId="6D660F9B">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kern w:val="0"/>
          <w:sz w:val="24"/>
          <w:szCs w:val="24"/>
          <w:highlight w:val="none"/>
        </w:rPr>
        <w:t>2.2.4</w:t>
      </w:r>
      <w:r>
        <w:rPr>
          <w:rFonts w:hint="eastAsia" w:ascii="宋体" w:hAnsi="宋体" w:eastAsia="宋体" w:cs="宋体"/>
          <w:b/>
          <w:bCs/>
          <w:color w:val="auto"/>
          <w:sz w:val="24"/>
          <w:szCs w:val="24"/>
          <w:highlight w:val="none"/>
          <w:u w:val="single"/>
        </w:rPr>
        <w:t>招标答疑纪要</w:t>
      </w:r>
      <w:r>
        <w:rPr>
          <w:rFonts w:hint="eastAsia" w:ascii="宋体" w:hAnsi="宋体" w:eastAsia="宋体" w:cs="宋体"/>
          <w:strike/>
          <w:dstrike w:val="0"/>
          <w:color w:val="auto"/>
          <w:spacing w:val="-2"/>
          <w:kern w:val="0"/>
          <w:sz w:val="24"/>
          <w:szCs w:val="24"/>
          <w:highlight w:val="none"/>
        </w:rPr>
        <w:t>招标答疑会会议纪要</w:t>
      </w:r>
      <w:r>
        <w:rPr>
          <w:rFonts w:hint="eastAsia" w:ascii="宋体" w:hAnsi="宋体" w:eastAsia="宋体" w:cs="宋体"/>
          <w:color w:val="auto"/>
          <w:spacing w:val="-2"/>
          <w:kern w:val="0"/>
          <w:sz w:val="24"/>
          <w:szCs w:val="24"/>
          <w:highlight w:val="none"/>
        </w:rPr>
        <w:t>是招标文件的组成部分，对投标人起约束作用。若招标答疑会会议纪要与招标文件有矛盾时，以广州交易集团有限公司（广州公共资源交易中心）网站最后发布的答疑纪要为准。</w:t>
      </w:r>
    </w:p>
    <w:p w14:paraId="5BD6B00A">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2.2.5除非招标人认为确有必要答复，否则，招标人有权拒绝回复投标人在本章第2.2.1项规定的时间后的任何澄清要求。</w:t>
      </w:r>
    </w:p>
    <w:p w14:paraId="562C64E5">
      <w:pPr>
        <w:keepNext/>
        <w:keepLines/>
        <w:wordWrap w:val="0"/>
        <w:spacing w:line="360" w:lineRule="auto"/>
        <w:outlineLvl w:val="3"/>
        <w:rPr>
          <w:rFonts w:hint="eastAsia" w:ascii="宋体" w:hAnsi="宋体" w:eastAsia="宋体" w:cs="宋体"/>
          <w:b/>
          <w:color w:val="auto"/>
          <w:sz w:val="28"/>
          <w:szCs w:val="28"/>
          <w:highlight w:val="none"/>
        </w:rPr>
      </w:pPr>
      <w:bookmarkStart w:id="93" w:name="bookmark36"/>
      <w:bookmarkEnd w:id="93"/>
      <w:r>
        <w:rPr>
          <w:rFonts w:hint="eastAsia" w:ascii="宋体" w:hAnsi="宋体" w:eastAsia="宋体" w:cs="宋体"/>
          <w:b/>
          <w:color w:val="auto"/>
          <w:sz w:val="28"/>
          <w:szCs w:val="28"/>
          <w:highlight w:val="none"/>
        </w:rPr>
        <w:t>2.3招标文件的澄清与修改</w:t>
      </w:r>
    </w:p>
    <w:p w14:paraId="4BEF90E1">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2.3.1招标文件发出后，在提交投标文件截止时间15日前，招标人可对招标文件进行必要的澄清或修改。</w:t>
      </w:r>
    </w:p>
    <w:p w14:paraId="4095EC38">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网站发布时间作为送达时间。</w:t>
      </w:r>
    </w:p>
    <w:p w14:paraId="5293EA13">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2.3.3招标文件的澄清或修改是招标文件的组成部分，对投标人起约束作用。</w:t>
      </w:r>
    </w:p>
    <w:p w14:paraId="0F87AA8E">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招标文件的澄清或修改均以广州交易集团有限公司（广州公共资源交易中心）网站发布的内容为准。当招标文件的澄清、修改、补充等在同一内容的表述不一致时，以广州交易集团有限公司（广州公共资源交易中心）网站最后发布的内容为准。</w:t>
      </w:r>
    </w:p>
    <w:p w14:paraId="07CAF5DD">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1046DD2E">
      <w:pPr>
        <w:keepNext/>
        <w:keepLines/>
        <w:wordWrap w:val="0"/>
        <w:spacing w:line="360" w:lineRule="auto"/>
        <w:outlineLvl w:val="3"/>
        <w:rPr>
          <w:rFonts w:hint="eastAsia" w:ascii="宋体" w:hAnsi="宋体" w:eastAsia="宋体" w:cs="宋体"/>
          <w:b/>
          <w:color w:val="auto"/>
          <w:sz w:val="28"/>
          <w:szCs w:val="28"/>
          <w:highlight w:val="none"/>
        </w:rPr>
      </w:pPr>
      <w:bookmarkStart w:id="94" w:name="bookmark37"/>
      <w:bookmarkEnd w:id="94"/>
      <w:r>
        <w:rPr>
          <w:rFonts w:hint="eastAsia" w:ascii="宋体" w:hAnsi="宋体" w:eastAsia="宋体" w:cs="宋体"/>
          <w:b/>
          <w:color w:val="auto"/>
          <w:sz w:val="28"/>
          <w:szCs w:val="28"/>
          <w:highlight w:val="none"/>
        </w:rPr>
        <w:t>2.4招标文件的异议</w:t>
      </w:r>
    </w:p>
    <w:p w14:paraId="099FF0EA">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投标人或者其他利害关系人对招标文件有异议的，应当在投标截止时间10日前以书面形式提出。招标人将在收到异议之日起3日内作出答复；作出答复前，将暂停招标投标活动。</w:t>
      </w:r>
      <w:bookmarkStart w:id="95" w:name="bookmark38"/>
      <w:bookmarkEnd w:id="95"/>
    </w:p>
    <w:p w14:paraId="57EA08FA">
      <w:pPr>
        <w:keepNext/>
        <w:keepLines/>
        <w:wordWrap w:val="0"/>
        <w:spacing w:line="360" w:lineRule="auto"/>
        <w:outlineLvl w:val="2"/>
        <w:rPr>
          <w:rFonts w:hint="eastAsia" w:ascii="宋体" w:hAnsi="宋体" w:eastAsia="宋体" w:cs="宋体"/>
          <w:b/>
          <w:color w:val="auto"/>
          <w:sz w:val="28"/>
          <w:szCs w:val="20"/>
          <w:highlight w:val="none"/>
        </w:rPr>
      </w:pPr>
      <w:bookmarkStart w:id="96" w:name="_Toc59200681"/>
      <w:bookmarkStart w:id="97" w:name="_Toc14873648"/>
      <w:r>
        <w:rPr>
          <w:rFonts w:hint="eastAsia" w:ascii="宋体" w:hAnsi="宋体" w:eastAsia="宋体" w:cs="宋体"/>
          <w:b/>
          <w:color w:val="auto"/>
          <w:sz w:val="28"/>
          <w:szCs w:val="20"/>
          <w:highlight w:val="none"/>
        </w:rPr>
        <w:t>3.  投标文件</w:t>
      </w:r>
      <w:bookmarkEnd w:id="96"/>
      <w:bookmarkEnd w:id="97"/>
    </w:p>
    <w:p w14:paraId="48673759">
      <w:pPr>
        <w:keepNext/>
        <w:keepLines/>
        <w:wordWrap w:val="0"/>
        <w:spacing w:line="360" w:lineRule="auto"/>
        <w:outlineLvl w:val="3"/>
        <w:rPr>
          <w:rFonts w:hint="eastAsia" w:ascii="宋体" w:hAnsi="宋体" w:eastAsia="宋体" w:cs="宋体"/>
          <w:b/>
          <w:color w:val="auto"/>
          <w:sz w:val="28"/>
          <w:szCs w:val="28"/>
          <w:highlight w:val="none"/>
        </w:rPr>
      </w:pPr>
      <w:bookmarkStart w:id="98" w:name="bookmark39"/>
      <w:bookmarkEnd w:id="98"/>
      <w:r>
        <w:rPr>
          <w:rFonts w:hint="eastAsia" w:ascii="宋体" w:hAnsi="宋体" w:eastAsia="宋体" w:cs="宋体"/>
          <w:b/>
          <w:color w:val="auto"/>
          <w:sz w:val="28"/>
          <w:szCs w:val="28"/>
          <w:highlight w:val="none"/>
        </w:rPr>
        <w:t>3.1投标文件的组成</w:t>
      </w:r>
    </w:p>
    <w:p w14:paraId="3AC32F4B">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3.1.1投标文件应包括下列内容：</w:t>
      </w:r>
    </w:p>
    <w:p w14:paraId="651747CE">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492A95CF">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（2）法定代表人证明或授权委托书；</w:t>
      </w:r>
    </w:p>
    <w:p w14:paraId="01C1F63A">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（3）联合体协议书；</w:t>
      </w:r>
    </w:p>
    <w:p w14:paraId="090FC240">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（4）投标保证金（如有）；</w:t>
      </w:r>
    </w:p>
    <w:p w14:paraId="3C9BC70D">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（5）监理报酬清单；</w:t>
      </w:r>
    </w:p>
    <w:p w14:paraId="3F30183A">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（6）资格审查资料；</w:t>
      </w:r>
    </w:p>
    <w:p w14:paraId="331E43CF">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（7）监理大纲；</w:t>
      </w:r>
    </w:p>
    <w:p w14:paraId="236A8E28">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（8）投标人须知前附表规定的其他资料。</w:t>
      </w:r>
    </w:p>
    <w:p w14:paraId="7D2C572D">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投标人在评标过程中作出的符合法律法规和招标文件规定的澄清确认，构成投标文件的组成部分。</w:t>
      </w:r>
    </w:p>
    <w:p w14:paraId="29194D1D">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3.1.2投标人须知前附表规定不接受联合体投标的，或投标人没有组成联合体的，投标文件不包括本章第3.1.1（3）目所指的联合体协议书。</w:t>
      </w:r>
    </w:p>
    <w:p w14:paraId="4AB01D70">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3.1.3投标人须知前附表未要求提交投标保证金的，投标文件不包括本章第3.1.1（4）目所指的投标保证金。</w:t>
      </w:r>
    </w:p>
    <w:p w14:paraId="61662B9A">
      <w:pPr>
        <w:keepNext/>
        <w:keepLines/>
        <w:wordWrap w:val="0"/>
        <w:spacing w:line="360" w:lineRule="auto"/>
        <w:outlineLvl w:val="3"/>
        <w:rPr>
          <w:rFonts w:hint="eastAsia" w:ascii="宋体" w:hAnsi="宋体" w:eastAsia="宋体" w:cs="宋体"/>
          <w:b/>
          <w:color w:val="auto"/>
          <w:sz w:val="28"/>
          <w:szCs w:val="28"/>
          <w:highlight w:val="none"/>
        </w:rPr>
      </w:pPr>
      <w:bookmarkStart w:id="99" w:name="bookmark40"/>
      <w:bookmarkEnd w:id="99"/>
      <w:bookmarkStart w:id="100" w:name="_Toc59200682"/>
      <w:r>
        <w:rPr>
          <w:rFonts w:hint="eastAsia" w:ascii="宋体" w:hAnsi="宋体" w:eastAsia="宋体" w:cs="宋体"/>
          <w:b/>
          <w:color w:val="auto"/>
          <w:sz w:val="28"/>
          <w:szCs w:val="28"/>
          <w:highlight w:val="none"/>
        </w:rPr>
        <w:t>3.2投标报价</w:t>
      </w:r>
      <w:bookmarkEnd w:id="100"/>
    </w:p>
    <w:p w14:paraId="27A38B96">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3.2.1投标报价应包括国家规定的增值税税金，除投标人须知前附表另有规定外，增值税税金按一般计税方法计算。投标人应按第六章“投标文件格式”的要求在投标函中进行报价并填写监理报酬清单。</w:t>
      </w:r>
    </w:p>
    <w:p w14:paraId="482ECEC3">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3.2.2投标人应充分了解该项目的总体情况以及影响投标报价的其他要素。</w:t>
      </w:r>
    </w:p>
    <w:p w14:paraId="46BEDD71">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3.2.3本项目的报价方式见投标人须知前附表。投标人在投标截止时间前修改投标函中的投标报价总额，应同时修改投标文件“监理报酬清单”中的相应报价。此修改须符合本章第4.3款的有关要求。</w:t>
      </w:r>
    </w:p>
    <w:p w14:paraId="23420049">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3.2.4招标人设有最高投标限价的，投标人的投标报价不得超过最高投标限价，最高投标限价在投标人须知前附表中载明。</w:t>
      </w:r>
    </w:p>
    <w:p w14:paraId="3611A7E4">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3.2.5投标报价的其他要求见投标人须知前附表。</w:t>
      </w:r>
    </w:p>
    <w:p w14:paraId="5E62B895">
      <w:pPr>
        <w:keepNext/>
        <w:keepLines/>
        <w:wordWrap w:val="0"/>
        <w:spacing w:line="360" w:lineRule="auto"/>
        <w:outlineLvl w:val="3"/>
        <w:rPr>
          <w:rFonts w:hint="eastAsia" w:ascii="宋体" w:hAnsi="宋体" w:eastAsia="宋体" w:cs="宋体"/>
          <w:b/>
          <w:color w:val="auto"/>
          <w:sz w:val="28"/>
          <w:szCs w:val="28"/>
          <w:highlight w:val="none"/>
        </w:rPr>
      </w:pPr>
      <w:bookmarkStart w:id="101" w:name="bookmark41"/>
      <w:bookmarkEnd w:id="101"/>
      <w:r>
        <w:rPr>
          <w:rFonts w:hint="eastAsia" w:ascii="宋体" w:hAnsi="宋体" w:eastAsia="宋体" w:cs="宋体"/>
          <w:b/>
          <w:color w:val="auto"/>
          <w:sz w:val="28"/>
          <w:szCs w:val="28"/>
          <w:highlight w:val="none"/>
        </w:rPr>
        <w:t>3.3投标有效期</w:t>
      </w:r>
    </w:p>
    <w:p w14:paraId="0C501568">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3.3.1除投标人须知前附表另有规定外，投标有效期不少于90天。</w:t>
      </w:r>
    </w:p>
    <w:p w14:paraId="7751F21F">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3.3.2在投标有效期内，投标人撤销投标文件的，应承担招标文件和法律规定的责任。</w:t>
      </w:r>
    </w:p>
    <w:p w14:paraId="1DC28A12">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3.3.3</w:t>
      </w:r>
      <w:r>
        <w:rPr>
          <w:rFonts w:hint="eastAsia" w:ascii="宋体" w:hAnsi="宋体" w:eastAsia="宋体" w:cs="宋体"/>
          <w:color w:val="auto"/>
          <w:sz w:val="24"/>
          <w:szCs w:val="24"/>
          <w:highlight w:val="none"/>
        </w:rPr>
        <w:t>出现特殊情况需要延长投标有效期的，招标人以书面形式通知所有投标人延长投标有效期。投标人应予以书面答复，同意延长的</w:t>
      </w:r>
      <w:r>
        <w:rPr>
          <w:rFonts w:hint="eastAsia" w:ascii="宋体" w:hAnsi="宋体" w:eastAsia="宋体" w:cs="宋体"/>
          <w:strike/>
          <w:dstrike w:val="0"/>
          <w:color w:val="auto"/>
          <w:sz w:val="24"/>
          <w:szCs w:val="24"/>
          <w:highlight w:val="none"/>
        </w:rPr>
        <w:t>，应相应延长其投标保证金的有效期，但</w:t>
      </w:r>
      <w:r>
        <w:rPr>
          <w:rFonts w:hint="eastAsia" w:ascii="宋体" w:hAnsi="宋体" w:eastAsia="宋体" w:cs="宋体"/>
          <w:color w:val="auto"/>
          <w:sz w:val="24"/>
          <w:szCs w:val="24"/>
          <w:highlight w:val="none"/>
        </w:rPr>
        <w:t>不得要求或被允许修改其投标文件；投标人拒绝延长的，其投标失效</w:t>
      </w:r>
      <w:r>
        <w:rPr>
          <w:rFonts w:hint="eastAsia" w:ascii="宋体" w:hAnsi="宋体" w:eastAsia="宋体" w:cs="宋体"/>
          <w:strike/>
          <w:dstrike w:val="0"/>
          <w:color w:val="auto"/>
          <w:sz w:val="24"/>
          <w:szCs w:val="24"/>
          <w:highlight w:val="none"/>
        </w:rPr>
        <w:t>，但投标人有权收回其投标保证金及以现金或者支票形式递交的投标保证金的银行同期存款利息</w:t>
      </w:r>
      <w:r>
        <w:rPr>
          <w:rFonts w:hint="eastAsia" w:ascii="宋体" w:hAnsi="宋体" w:eastAsia="宋体" w:cs="宋体"/>
          <w:color w:val="auto"/>
          <w:sz w:val="24"/>
          <w:szCs w:val="24"/>
          <w:highlight w:val="none"/>
        </w:rPr>
        <w:t>。</w:t>
      </w:r>
    </w:p>
    <w:p w14:paraId="4B37A34A">
      <w:pPr>
        <w:keepNext/>
        <w:keepLines/>
        <w:wordWrap w:val="0"/>
        <w:spacing w:line="360" w:lineRule="auto"/>
        <w:outlineLvl w:val="3"/>
        <w:rPr>
          <w:rFonts w:hint="eastAsia" w:ascii="宋体" w:hAnsi="宋体" w:eastAsia="宋体" w:cs="宋体"/>
          <w:b/>
          <w:color w:val="auto"/>
          <w:sz w:val="28"/>
          <w:szCs w:val="28"/>
          <w:highlight w:val="none"/>
          <w:u w:val="single"/>
        </w:rPr>
      </w:pPr>
      <w:bookmarkStart w:id="102" w:name="bookmark42"/>
      <w:bookmarkEnd w:id="102"/>
      <w:r>
        <w:rPr>
          <w:rFonts w:hint="eastAsia" w:ascii="宋体" w:hAnsi="宋体" w:eastAsia="宋体" w:cs="宋体"/>
          <w:b/>
          <w:color w:val="auto"/>
          <w:sz w:val="28"/>
          <w:szCs w:val="28"/>
          <w:highlight w:val="none"/>
        </w:rPr>
        <w:t>3.4投标保证金</w:t>
      </w:r>
      <w:r>
        <w:rPr>
          <w:rFonts w:hint="eastAsia" w:ascii="宋体" w:hAnsi="宋体" w:eastAsia="宋体" w:cs="宋体"/>
          <w:b/>
          <w:color w:val="auto"/>
          <w:sz w:val="28"/>
          <w:szCs w:val="28"/>
          <w:highlight w:val="none"/>
          <w:u w:val="single"/>
        </w:rPr>
        <w:t>（本项目不适用）</w:t>
      </w:r>
    </w:p>
    <w:p w14:paraId="33B8BB47">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3.4.1投标人应按投标人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50F56D9B">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3.4.2投标人不按本章第3.4.1项要求提交投标保证金的，评标委员会将否决其投标。未按招标文件要求提交符合免予提供投标保证金相关证明材料，且未提交投标保证金的投标人，视为未按要求提供投标保证金。</w:t>
      </w:r>
    </w:p>
    <w:p w14:paraId="727AB2D7">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3.4.3中标候选人以外的投标人的投标保证金将尽快退还，最迟不超过中标通知书发出之日起五日内；中标人和其他中标候选人的投标保证金，在书面合同订立之日起五日内予以退还。投标保证金以现金或者支票形式递交的，还应退还银行同期存款利息。</w:t>
      </w:r>
    </w:p>
    <w:p w14:paraId="682BD2A5">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3.4.4在提交投标文件截止时间后到招标文件规定的投标有效期终止之前，投标人不得撤销其投标文件，否则招标人可以不退还投标保证金。</w:t>
      </w:r>
    </w:p>
    <w:p w14:paraId="743CFD8C">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3.4.5有下列情形之一的，投标保证金将不予退还：</w:t>
      </w:r>
    </w:p>
    <w:p w14:paraId="62D7DC7E">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（1）投标人在提交投标文件截止时间后到招标文件规定的投标有效期终止之前撤销投标文件；</w:t>
      </w:r>
    </w:p>
    <w:p w14:paraId="0E32B8B3">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（2）中标人在收到中标通知书后，无正当理由不与招标人订立合同，在签订合同时向招标人提出附加条件，或者不按照招标文件要求提交履约保证金；</w:t>
      </w:r>
    </w:p>
    <w:p w14:paraId="4AE46638">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（3）发生投标人须知前附表规定的其他可以不予退还投标保证金的情形。</w:t>
      </w:r>
    </w:p>
    <w:p w14:paraId="08C171BF">
      <w:pPr>
        <w:keepNext w:val="0"/>
        <w:keepLines w:val="0"/>
        <w:pageBreakBefore w:val="0"/>
        <w:widowControl w:val="0"/>
        <w:kinsoku w:val="0"/>
        <w:wordWrap w:val="0"/>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trike/>
          <w:dstrike w:val="0"/>
          <w:color w:val="auto"/>
          <w:sz w:val="24"/>
          <w:szCs w:val="24"/>
          <w:highlight w:val="none"/>
        </w:rPr>
        <w:t>3.4.6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47E86EB7">
      <w:pPr>
        <w:keepNext/>
        <w:keepLines/>
        <w:wordWrap w:val="0"/>
        <w:spacing w:line="360" w:lineRule="auto"/>
        <w:outlineLvl w:val="3"/>
        <w:rPr>
          <w:rFonts w:hint="eastAsia" w:ascii="宋体" w:hAnsi="宋体" w:eastAsia="宋体" w:cs="宋体"/>
          <w:b/>
          <w:color w:val="auto"/>
          <w:sz w:val="28"/>
          <w:szCs w:val="28"/>
          <w:highlight w:val="none"/>
        </w:rPr>
      </w:pPr>
      <w:bookmarkStart w:id="103" w:name="bookmark44"/>
      <w:bookmarkEnd w:id="103"/>
      <w:bookmarkStart w:id="104" w:name="bookmark43"/>
      <w:bookmarkEnd w:id="104"/>
      <w:r>
        <w:rPr>
          <w:rFonts w:hint="eastAsia" w:ascii="宋体" w:hAnsi="宋体" w:eastAsia="宋体" w:cs="宋体"/>
          <w:b/>
          <w:color w:val="auto"/>
          <w:sz w:val="28"/>
          <w:szCs w:val="28"/>
          <w:highlight w:val="none"/>
        </w:rPr>
        <w:t>3.5资格审查资料（适用于未进行资格预审的）</w:t>
      </w:r>
    </w:p>
    <w:p w14:paraId="5CE1B985">
      <w:pPr>
        <w:keepNext w:val="0"/>
        <w:keepLines w:val="0"/>
        <w:pageBreakBefore w:val="0"/>
        <w:widowControl w:val="0"/>
        <w:kinsoku w:val="0"/>
        <w:wordWrap w:val="0"/>
        <w:overflowPunct w:val="0"/>
        <w:topLinePunct w:val="0"/>
        <w:autoSpaceDE/>
        <w:autoSpaceDN/>
        <w:bidi w:val="0"/>
        <w:adjustRightInd/>
        <w:snapToGrid/>
        <w:spacing w:line="360" w:lineRule="auto"/>
        <w:ind w:right="0" w:firstLine="476" w:firstLineChars="20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除投标人须知前附表另有规定外，投标人应按招标公告投标人资格要求及下列规定提供资格审查资料，以证明其满足本章第1.4款规定的资质、业绩等要求。</w:t>
      </w:r>
    </w:p>
    <w:p w14:paraId="1B046770">
      <w:pPr>
        <w:keepNext w:val="0"/>
        <w:keepLines w:val="0"/>
        <w:pageBreakBefore w:val="0"/>
        <w:widowControl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3.5.1“投标人基本情况表”应附投标人营业执照和组织机构代码证的扫描件（按照“三证合一”或“五证合一”登记制度进行登记的，可仅提供营业执照扫描件）、投标人监理资质证书副本等材料的扫描件。</w:t>
      </w:r>
    </w:p>
    <w:p w14:paraId="28CAAD51">
      <w:pPr>
        <w:keepNext w:val="0"/>
        <w:keepLines w:val="0"/>
        <w:pageBreakBefore w:val="0"/>
        <w:widowControl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w:t>
      </w:r>
      <w:r>
        <w:rPr>
          <w:rFonts w:hint="eastAsia" w:ascii="宋体" w:hAnsi="宋体" w:eastAsia="宋体" w:cs="宋体"/>
          <w:color w:val="auto"/>
          <w:sz w:val="24"/>
          <w:szCs w:val="24"/>
          <w:highlight w:val="none"/>
          <w:u w:val="single"/>
        </w:rPr>
        <w:t>如有合格业绩要求，</w:t>
      </w:r>
      <w:r>
        <w:rPr>
          <w:rFonts w:hint="eastAsia" w:ascii="宋体" w:hAnsi="宋体" w:eastAsia="宋体" w:cs="宋体"/>
          <w:color w:val="auto"/>
          <w:sz w:val="24"/>
          <w:szCs w:val="24"/>
          <w:highlight w:val="none"/>
        </w:rPr>
        <w:t>“近年完成的类似监理项目情况表”</w:t>
      </w:r>
      <w:r>
        <w:rPr>
          <w:rFonts w:hint="eastAsia" w:ascii="宋体" w:hAnsi="宋体" w:eastAsia="宋体" w:cs="宋体"/>
          <w:color w:val="auto"/>
          <w:sz w:val="24"/>
          <w:szCs w:val="24"/>
          <w:highlight w:val="none"/>
          <w:u w:val="single"/>
        </w:rPr>
        <w:t>应按公告要求附相关资料</w:t>
      </w:r>
      <w:r>
        <w:rPr>
          <w:rFonts w:hint="eastAsia" w:ascii="宋体" w:hAnsi="宋体" w:eastAsia="宋体" w:cs="宋体"/>
          <w:color w:val="auto"/>
          <w:sz w:val="24"/>
          <w:szCs w:val="24"/>
          <w:highlight w:val="none"/>
        </w:rPr>
        <w:t>，每张表格只填写一个项目，并标明序号。</w:t>
      </w:r>
    </w:p>
    <w:p w14:paraId="4AF0EBEF">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3.5.3“拟委任的主要人员汇总表”应填报满足本章第1.4.1项规定的总监理工程师和其他主要人员的相关信息。“主要人员简历表”中总监理工程师应附</w:t>
      </w:r>
      <w:r>
        <w:rPr>
          <w:rFonts w:hint="eastAsia" w:ascii="宋体" w:hAnsi="宋体" w:eastAsia="宋体" w:cs="宋体"/>
          <w:strike/>
          <w:color w:val="auto"/>
          <w:sz w:val="24"/>
          <w:szCs w:val="24"/>
          <w:highlight w:val="none"/>
        </w:rPr>
        <w:t>身份证、</w:t>
      </w:r>
      <w:r>
        <w:rPr>
          <w:rFonts w:hint="eastAsia" w:ascii="宋体" w:hAnsi="宋体" w:eastAsia="宋体" w:cs="宋体"/>
          <w:color w:val="auto"/>
          <w:sz w:val="24"/>
          <w:szCs w:val="24"/>
          <w:highlight w:val="none"/>
        </w:rPr>
        <w:t>学历证、职称证、注册监理工程师执业证书和社保缴费证明，管理过的项目业绩须附合同协议书（如有）；其他主要人员应附</w:t>
      </w:r>
      <w:r>
        <w:rPr>
          <w:rFonts w:hint="eastAsia" w:ascii="宋体" w:hAnsi="宋体" w:eastAsia="宋体" w:cs="宋体"/>
          <w:strike/>
          <w:color w:val="auto"/>
          <w:sz w:val="24"/>
          <w:szCs w:val="24"/>
          <w:highlight w:val="none"/>
        </w:rPr>
        <w:t>身份证、</w:t>
      </w:r>
      <w:r>
        <w:rPr>
          <w:rFonts w:hint="eastAsia" w:ascii="宋体" w:hAnsi="宋体" w:eastAsia="宋体" w:cs="宋体"/>
          <w:color w:val="auto"/>
          <w:sz w:val="24"/>
          <w:szCs w:val="24"/>
          <w:highlight w:val="none"/>
        </w:rPr>
        <w:t>学历证、职称证、有关证书和社保缴费证明（如有）。</w:t>
      </w:r>
      <w:r>
        <w:rPr>
          <w:rFonts w:hint="eastAsia" w:ascii="宋体" w:hAnsi="宋体" w:eastAsia="宋体" w:cs="宋体"/>
          <w:strike/>
          <w:color w:val="auto"/>
          <w:sz w:val="24"/>
          <w:szCs w:val="24"/>
          <w:highlight w:val="none"/>
        </w:rPr>
        <w:t>（注：以上人员社保要求：具有离投标截止时间最近的至少1个月在本单位缴纳的社保证明文件，由招标人自行确定。）</w:t>
      </w:r>
    </w:p>
    <w:p w14:paraId="45A9CDD2">
      <w:pPr>
        <w:keepNext w:val="0"/>
        <w:keepLines w:val="0"/>
        <w:pageBreakBefore w:val="0"/>
        <w:widowControl w:val="0"/>
        <w:kinsoku w:val="0"/>
        <w:wordWrap w:val="0"/>
        <w:overflowPunct w:val="0"/>
        <w:topLinePunct w:val="0"/>
        <w:autoSpaceDE/>
        <w:autoSpaceDN/>
        <w:bidi w:val="0"/>
        <w:adjustRightInd/>
        <w:snapToGrid/>
        <w:spacing w:line="360" w:lineRule="auto"/>
        <w:ind w:right="0" w:firstLine="476" w:firstLineChars="20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3.5.4投标人须知前附表规定接受联合体投标的，本章第3.5.1项至第3.5.3项规定的表格和资料应包括联合体各方相关情况。</w:t>
      </w:r>
    </w:p>
    <w:p w14:paraId="07EB2807">
      <w:pPr>
        <w:keepNext w:val="0"/>
        <w:keepLines w:val="0"/>
        <w:pageBreakBefore w:val="0"/>
        <w:widowControl w:val="0"/>
        <w:kinsoku w:val="0"/>
        <w:wordWrap w:val="0"/>
        <w:overflowPunct w:val="0"/>
        <w:topLinePunct w:val="0"/>
        <w:autoSpaceDE/>
        <w:autoSpaceDN/>
        <w:bidi w:val="0"/>
        <w:adjustRightInd/>
        <w:snapToGrid/>
        <w:spacing w:line="360" w:lineRule="auto"/>
        <w:ind w:right="0" w:firstLine="478"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pacing w:val="-1"/>
          <w:sz w:val="24"/>
          <w:szCs w:val="24"/>
          <w:highlight w:val="none"/>
          <w:u w:val="single"/>
        </w:rPr>
        <w:t>注：具体详见第六章“投标文件格式”。</w:t>
      </w:r>
    </w:p>
    <w:p w14:paraId="560EFE78">
      <w:pPr>
        <w:keepNext/>
        <w:keepLines/>
        <w:wordWrap w:val="0"/>
        <w:spacing w:line="360" w:lineRule="auto"/>
        <w:outlineLvl w:val="3"/>
        <w:rPr>
          <w:rFonts w:hint="eastAsia" w:ascii="宋体" w:hAnsi="宋体" w:eastAsia="宋体" w:cs="宋体"/>
          <w:b/>
          <w:color w:val="auto"/>
          <w:sz w:val="28"/>
          <w:szCs w:val="28"/>
          <w:highlight w:val="none"/>
        </w:rPr>
      </w:pPr>
      <w:bookmarkStart w:id="105" w:name="bookmark45"/>
      <w:bookmarkEnd w:id="105"/>
      <w:r>
        <w:rPr>
          <w:rFonts w:hint="eastAsia" w:ascii="宋体" w:hAnsi="宋体" w:eastAsia="宋体" w:cs="宋体"/>
          <w:b/>
          <w:color w:val="auto"/>
          <w:sz w:val="28"/>
          <w:szCs w:val="28"/>
          <w:highlight w:val="none"/>
        </w:rPr>
        <w:t>3.6备选投标方案</w:t>
      </w:r>
    </w:p>
    <w:p w14:paraId="18452D45">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pacing w:val="-4"/>
          <w:sz w:val="24"/>
          <w:szCs w:val="24"/>
          <w:highlight w:val="none"/>
        </w:rPr>
        <w:t>除投标人须知前附表规定允许外，投标人不得递交备选投标方案，否则其投标将被否</w:t>
      </w:r>
      <w:r>
        <w:rPr>
          <w:rFonts w:hint="eastAsia" w:ascii="宋体" w:hAnsi="宋体" w:eastAsia="宋体" w:cs="宋体"/>
          <w:color w:val="auto"/>
          <w:sz w:val="24"/>
          <w:szCs w:val="24"/>
          <w:highlight w:val="none"/>
        </w:rPr>
        <w:t>决。</w:t>
      </w:r>
    </w:p>
    <w:p w14:paraId="30E66438">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119F7C02">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w:t>
      </w:r>
      <w:r>
        <w:rPr>
          <w:rFonts w:hint="eastAsia" w:ascii="宋体" w:hAnsi="宋体" w:eastAsia="宋体" w:cs="宋体"/>
          <w:color w:val="auto"/>
          <w:spacing w:val="-4"/>
          <w:sz w:val="24"/>
          <w:szCs w:val="24"/>
          <w:highlight w:val="none"/>
        </w:rPr>
        <w:t>投标人提供两个或两个以上投标报价，或者在投标文件中提供一个报价，但同时提供</w:t>
      </w:r>
      <w:r>
        <w:rPr>
          <w:rFonts w:hint="eastAsia" w:ascii="宋体" w:hAnsi="宋体" w:eastAsia="宋体" w:cs="宋体"/>
          <w:color w:val="auto"/>
          <w:sz w:val="24"/>
          <w:szCs w:val="24"/>
          <w:highlight w:val="none"/>
        </w:rPr>
        <w:t>两个或两个以上监理方案的，视为提供备选方案。</w:t>
      </w:r>
    </w:p>
    <w:p w14:paraId="2E650D07">
      <w:pPr>
        <w:keepNext/>
        <w:keepLines/>
        <w:wordWrap w:val="0"/>
        <w:spacing w:line="360" w:lineRule="auto"/>
        <w:outlineLvl w:val="3"/>
        <w:rPr>
          <w:rFonts w:hint="eastAsia" w:ascii="宋体" w:hAnsi="宋体" w:eastAsia="宋体" w:cs="宋体"/>
          <w:b/>
          <w:color w:val="auto"/>
          <w:sz w:val="28"/>
          <w:szCs w:val="28"/>
          <w:highlight w:val="none"/>
        </w:rPr>
      </w:pPr>
      <w:bookmarkStart w:id="106" w:name="bookmark46"/>
      <w:bookmarkEnd w:id="106"/>
      <w:r>
        <w:rPr>
          <w:rFonts w:hint="eastAsia" w:ascii="宋体" w:hAnsi="宋体" w:eastAsia="宋体" w:cs="宋体"/>
          <w:b/>
          <w:color w:val="auto"/>
          <w:sz w:val="28"/>
          <w:szCs w:val="28"/>
          <w:highlight w:val="none"/>
        </w:rPr>
        <w:t>3.7投标文件的编制</w:t>
      </w:r>
    </w:p>
    <w:p w14:paraId="6FD2B805">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01EA82F8">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3.7.2投标文件应当对招标文件有关监理服务期限、投标有效期、委托人要求、招标范围等实质性内容作出响应。</w:t>
      </w:r>
    </w:p>
    <w:p w14:paraId="3ABF7EE1">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3.7.3投标文件全部采用电子文档，</w:t>
      </w:r>
      <w:r>
        <w:rPr>
          <w:rFonts w:hint="eastAsia" w:ascii="宋体" w:hAnsi="宋体" w:eastAsia="宋体" w:cs="宋体"/>
          <w:b/>
          <w:bCs/>
          <w:color w:val="auto"/>
          <w:sz w:val="24"/>
          <w:szCs w:val="24"/>
          <w:highlight w:val="none"/>
          <w:u w:val="single"/>
        </w:rPr>
        <w:t>除招标文件另有规定外，</w:t>
      </w:r>
      <w:r>
        <w:rPr>
          <w:rFonts w:hint="eastAsia" w:ascii="宋体" w:hAnsi="宋体" w:eastAsia="宋体" w:cs="宋体"/>
          <w:color w:val="auto"/>
          <w:sz w:val="24"/>
          <w:szCs w:val="24"/>
          <w:highlight w:val="none"/>
        </w:rPr>
        <w:t>投标文件所附证书证件均为</w:t>
      </w:r>
      <w:r>
        <w:rPr>
          <w:rFonts w:hint="eastAsia" w:ascii="宋体" w:hAnsi="宋体" w:eastAsia="宋体" w:cs="宋体"/>
          <w:strike/>
          <w:dstrike w:val="0"/>
          <w:color w:val="auto"/>
          <w:sz w:val="24"/>
          <w:szCs w:val="24"/>
          <w:highlight w:val="none"/>
        </w:rPr>
        <w:t>原件</w:t>
      </w:r>
      <w:r>
        <w:rPr>
          <w:rFonts w:hint="eastAsia" w:ascii="宋体" w:hAnsi="宋体" w:eastAsia="宋体" w:cs="宋体"/>
          <w:color w:val="auto"/>
          <w:sz w:val="24"/>
          <w:szCs w:val="24"/>
          <w:highlight w:val="none"/>
        </w:rPr>
        <w:t>扫描件或电子证书，并采用单位数字证书，按招标文件要求在相应位置加盖电子印章。投标文件中需个人签字或盖章的，应加盖个人电子印章或在线下完成后扫描上传（可靠的电子签名与手写签名或者盖章具有同等的法律效力）。</w:t>
      </w:r>
      <w:r>
        <w:rPr>
          <w:rFonts w:hint="eastAsia" w:ascii="宋体" w:hAnsi="宋体" w:eastAsia="宋体" w:cs="宋体"/>
          <w:b/>
          <w:bCs/>
          <w:color w:val="auto"/>
          <w:sz w:val="24"/>
          <w:szCs w:val="24"/>
          <w:highlight w:val="none"/>
          <w:u w:val="single"/>
        </w:rPr>
        <w:t>投标文件格式规定盖单位公章的页面必须盖单位公章或电子公章（公章与电子公章具有相同法律效力）。</w:t>
      </w:r>
      <w:r>
        <w:rPr>
          <w:rFonts w:hint="eastAsia" w:ascii="宋体" w:hAnsi="宋体" w:eastAsia="宋体" w:cs="宋体"/>
          <w:color w:val="auto"/>
          <w:sz w:val="24"/>
          <w:szCs w:val="24"/>
          <w:highlight w:val="none"/>
        </w:rPr>
        <w:t>按照广州交易集团有限公司（广州公共资源交易中心）网站关于全流程电子化项目的相关指南进行操作。</w:t>
      </w:r>
    </w:p>
    <w:p w14:paraId="49C10C5F">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3.7.4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若由联合体主办方法定代表人授权签字的电子投标文件需提供法定代表人证明及其授权委托书、授权委托人身份证扫描件。</w:t>
      </w:r>
    </w:p>
    <w:p w14:paraId="5E83BB19">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3.7.5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7EAD87B1">
      <w:pPr>
        <w:keepNext/>
        <w:keepLines/>
        <w:wordWrap w:val="0"/>
        <w:spacing w:line="360" w:lineRule="auto"/>
        <w:outlineLvl w:val="2"/>
        <w:rPr>
          <w:rFonts w:hint="eastAsia" w:ascii="宋体" w:hAnsi="宋体" w:eastAsia="宋体" w:cs="宋体"/>
          <w:b/>
          <w:color w:val="auto"/>
          <w:sz w:val="28"/>
          <w:szCs w:val="20"/>
          <w:highlight w:val="none"/>
        </w:rPr>
      </w:pPr>
      <w:bookmarkStart w:id="107" w:name="bookmark47"/>
      <w:bookmarkEnd w:id="107"/>
      <w:bookmarkStart w:id="108" w:name="_Toc14873649"/>
      <w:r>
        <w:rPr>
          <w:rFonts w:hint="eastAsia" w:ascii="宋体" w:hAnsi="宋体" w:eastAsia="宋体" w:cs="宋体"/>
          <w:b/>
          <w:color w:val="auto"/>
          <w:sz w:val="28"/>
          <w:szCs w:val="20"/>
          <w:highlight w:val="none"/>
        </w:rPr>
        <w:t>4.  投标</w:t>
      </w:r>
      <w:bookmarkEnd w:id="108"/>
    </w:p>
    <w:p w14:paraId="623B9ACB">
      <w:pPr>
        <w:keepNext/>
        <w:keepLines/>
        <w:wordWrap w:val="0"/>
        <w:spacing w:line="360" w:lineRule="auto"/>
        <w:outlineLvl w:val="3"/>
        <w:rPr>
          <w:rFonts w:hint="eastAsia" w:ascii="宋体" w:hAnsi="宋体" w:eastAsia="宋体" w:cs="宋体"/>
          <w:b/>
          <w:color w:val="auto"/>
          <w:sz w:val="28"/>
          <w:szCs w:val="28"/>
          <w:highlight w:val="none"/>
        </w:rPr>
      </w:pPr>
      <w:bookmarkStart w:id="109" w:name="bookmark48"/>
      <w:bookmarkEnd w:id="109"/>
      <w:r>
        <w:rPr>
          <w:rFonts w:hint="eastAsia" w:ascii="宋体" w:hAnsi="宋体" w:eastAsia="宋体" w:cs="宋体"/>
          <w:b/>
          <w:color w:val="auto"/>
          <w:sz w:val="28"/>
          <w:szCs w:val="28"/>
          <w:highlight w:val="none"/>
        </w:rPr>
        <w:t>4.1投标文件的密封和标记</w:t>
      </w:r>
    </w:p>
    <w:p w14:paraId="5EBFD43D">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4.1.1投标人应当按照招标文件和电子招标投标交易平台的要求加密投标文件（不含备用光盘），具体要求见投标人须知前附表。</w:t>
      </w:r>
    </w:p>
    <w:p w14:paraId="003E1B41">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4.1.2（如有）投标文件备用光盘封套上应写明的内容见投标人须知前附表。</w:t>
      </w:r>
    </w:p>
    <w:p w14:paraId="0C55A20D">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4.1.3未按本章第4.1.1项要求加密的投标文件，招标人将授权广州交易集团有限公司（广州公共资源交易中心）网站交易平台予以拒收。</w:t>
      </w:r>
    </w:p>
    <w:p w14:paraId="4C368511">
      <w:pPr>
        <w:keepNext/>
        <w:keepLines/>
        <w:wordWrap w:val="0"/>
        <w:spacing w:line="360" w:lineRule="auto"/>
        <w:outlineLvl w:val="3"/>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4.2投标文件的递交</w:t>
      </w:r>
    </w:p>
    <w:p w14:paraId="00514B8A">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4.2.1投标人应在投标人须知前附表规定的投标截止时间前通过广州交易集团有限公司（广州公共资源交易中心）网站交易平台递交电子投标文件。</w:t>
      </w:r>
    </w:p>
    <w:p w14:paraId="49CB9059">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4.2.2投标人完成电子投标文件上传后，广州交易集团有限公司（广州公共资源交易中心）网站交易平台即时向投标人发出递交回执通知。递交时间以递交回执通知载明的传输完成时间为准。</w:t>
      </w:r>
    </w:p>
    <w:p w14:paraId="216D8E69">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4.2.3逾期送达的电子投标文件，广州交易集团有限公司（广州公共资源交易中心）网站交易平台将予以拒收。</w:t>
      </w:r>
    </w:p>
    <w:p w14:paraId="46CDC55B">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4.2.4投标截止前，招标人拒绝接收符合条件的投标文件，投标人可向招标监督机构投诉。</w:t>
      </w:r>
    </w:p>
    <w:p w14:paraId="5F19207A">
      <w:pPr>
        <w:keepNext/>
        <w:keepLines/>
        <w:wordWrap w:val="0"/>
        <w:spacing w:line="360" w:lineRule="auto"/>
        <w:outlineLvl w:val="3"/>
        <w:rPr>
          <w:rFonts w:hint="eastAsia" w:ascii="宋体" w:hAnsi="宋体" w:eastAsia="宋体" w:cs="宋体"/>
          <w:b/>
          <w:color w:val="auto"/>
          <w:sz w:val="28"/>
          <w:szCs w:val="28"/>
          <w:highlight w:val="none"/>
        </w:rPr>
      </w:pPr>
      <w:bookmarkStart w:id="110" w:name="bookmark50"/>
      <w:bookmarkEnd w:id="110"/>
      <w:r>
        <w:rPr>
          <w:rFonts w:hint="eastAsia" w:ascii="宋体" w:hAnsi="宋体" w:eastAsia="宋体" w:cs="宋体"/>
          <w:b/>
          <w:color w:val="auto"/>
          <w:sz w:val="28"/>
          <w:szCs w:val="28"/>
          <w:highlight w:val="none"/>
        </w:rPr>
        <w:t>4.3投标文件的修改与撤回</w:t>
      </w:r>
    </w:p>
    <w:p w14:paraId="18FCB512">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4.3.1在规定的投标截止时间前，投标人可以修改或撤回已递交的投标文件，但应以书面形式通知招标人。</w:t>
      </w:r>
    </w:p>
    <w:p w14:paraId="31BB2944">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4.3.2投标人修改或撤回已递交投标文件，需在交易平台发出修改或撤回通知，并按要求加盖电子印章。电子招标投标交易平台收到通知后，即时向投标人发出确认回执通知。</w:t>
      </w:r>
    </w:p>
    <w:p w14:paraId="742AD23E">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4.3.3修改后再次递交的，按第4.2项的规定执行。</w:t>
      </w:r>
    </w:p>
    <w:p w14:paraId="29D08BBC">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4.3.4在投标截止时间之后，投标人不得补充、修改和更换投标文件。</w:t>
      </w:r>
    </w:p>
    <w:p w14:paraId="49278BBB">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4.3.5投标人撤回投标文件的，招标人自收到投标人书面撤回通知之日起5日内退还已收取的投标保证金。</w:t>
      </w:r>
    </w:p>
    <w:p w14:paraId="0D286A04">
      <w:pPr>
        <w:keepNext/>
        <w:keepLines/>
        <w:wordWrap w:val="0"/>
        <w:spacing w:line="360" w:lineRule="auto"/>
        <w:outlineLvl w:val="2"/>
        <w:rPr>
          <w:rFonts w:hint="eastAsia" w:ascii="宋体" w:hAnsi="宋体" w:eastAsia="宋体" w:cs="宋体"/>
          <w:b/>
          <w:color w:val="auto"/>
          <w:sz w:val="28"/>
          <w:szCs w:val="20"/>
          <w:highlight w:val="none"/>
        </w:rPr>
      </w:pPr>
      <w:bookmarkStart w:id="111" w:name="bookmark51"/>
      <w:bookmarkEnd w:id="111"/>
      <w:bookmarkStart w:id="112" w:name="_Toc14873650"/>
      <w:r>
        <w:rPr>
          <w:rFonts w:hint="eastAsia" w:ascii="宋体" w:hAnsi="宋体" w:eastAsia="宋体" w:cs="宋体"/>
          <w:b/>
          <w:color w:val="auto"/>
          <w:sz w:val="28"/>
          <w:szCs w:val="20"/>
          <w:highlight w:val="none"/>
        </w:rPr>
        <w:t>5.  开标</w:t>
      </w:r>
      <w:bookmarkEnd w:id="112"/>
    </w:p>
    <w:p w14:paraId="75EAC3E1">
      <w:pPr>
        <w:keepNext/>
        <w:keepLines/>
        <w:wordWrap w:val="0"/>
        <w:spacing w:line="360" w:lineRule="auto"/>
        <w:outlineLvl w:val="3"/>
        <w:rPr>
          <w:rFonts w:hint="eastAsia" w:ascii="宋体" w:hAnsi="宋体" w:eastAsia="宋体" w:cs="宋体"/>
          <w:b/>
          <w:color w:val="auto"/>
          <w:sz w:val="28"/>
          <w:szCs w:val="28"/>
          <w:highlight w:val="none"/>
        </w:rPr>
      </w:pPr>
      <w:bookmarkStart w:id="113" w:name="bookmark52"/>
      <w:bookmarkEnd w:id="113"/>
      <w:bookmarkStart w:id="114" w:name="bookmark53"/>
      <w:bookmarkEnd w:id="114"/>
      <w:r>
        <w:rPr>
          <w:rFonts w:hint="eastAsia" w:ascii="宋体" w:hAnsi="宋体" w:eastAsia="宋体" w:cs="宋体"/>
          <w:b/>
          <w:color w:val="auto"/>
          <w:sz w:val="28"/>
          <w:szCs w:val="28"/>
          <w:highlight w:val="none"/>
        </w:rPr>
        <w:t>5.1开标时间和地点</w:t>
      </w:r>
    </w:p>
    <w:p w14:paraId="530BEC05">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5.1.1招标人按投标须知前附表规定的时间和地点公开开标。截标后，开标开始时间因故推迟的，相关评标信息仍以原定的开标开始时间的信息为准。</w:t>
      </w:r>
    </w:p>
    <w:p w14:paraId="4A6989B2">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4DD44E5A">
      <w:pPr>
        <w:keepNext/>
        <w:keepLines/>
        <w:wordWrap w:val="0"/>
        <w:spacing w:line="360" w:lineRule="auto"/>
        <w:outlineLvl w:val="3"/>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5.2开标程序</w:t>
      </w:r>
    </w:p>
    <w:p w14:paraId="2A6A743F">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5.2.1在投标截止时间后1小时内，投标人通过递交投标文件的交易平台对已递交的电子投标文件进行解密。投标人完成解密后，再由招标人进行解密。解密完成后，公布招标项目名称、投标人名称、</w:t>
      </w:r>
      <w:r>
        <w:rPr>
          <w:rFonts w:hint="eastAsia" w:ascii="宋体" w:hAnsi="宋体" w:eastAsia="宋体" w:cs="宋体"/>
          <w:strike/>
          <w:dstrike w:val="0"/>
          <w:color w:val="auto"/>
          <w:sz w:val="24"/>
          <w:szCs w:val="24"/>
          <w:highlight w:val="none"/>
        </w:rPr>
        <w:t>投标保证金的递交情况、</w:t>
      </w:r>
      <w:r>
        <w:rPr>
          <w:rFonts w:hint="eastAsia" w:ascii="宋体" w:hAnsi="宋体" w:eastAsia="宋体" w:cs="宋体"/>
          <w:color w:val="auto"/>
          <w:sz w:val="24"/>
          <w:szCs w:val="24"/>
          <w:highlight w:val="none"/>
        </w:rPr>
        <w:t>投标报价、项目负责人及其他内容。未在规定时间内解密的投标文件不参与开标、评标。</w:t>
      </w:r>
    </w:p>
    <w:p w14:paraId="50FA589F">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5.2.2按开标记录表规定的内容进行唱标。</w:t>
      </w:r>
    </w:p>
    <w:p w14:paraId="2F26AD65">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5.2.3投标人代表、招标人代表等有关人员在开标记录上签字确认；若有关人员不签字的，不影响开标程序。</w:t>
      </w:r>
    </w:p>
    <w:p w14:paraId="79D6C92A">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5.2.4开标结束。</w:t>
      </w:r>
    </w:p>
    <w:p w14:paraId="3FF0496B">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5.2.5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0328514">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5.2.6开标时，两个（含两个）以上的投标人加密打包投标文件的硬件特征码（含MAC地址、硬盘序列号、CPU名称、主板等）一致的，由评标委员会否决其投标。</w:t>
      </w:r>
    </w:p>
    <w:p w14:paraId="2D27FC1A">
      <w:pPr>
        <w:keepNext/>
        <w:keepLines/>
        <w:wordWrap w:val="0"/>
        <w:spacing w:line="360" w:lineRule="auto"/>
        <w:outlineLvl w:val="3"/>
        <w:rPr>
          <w:rFonts w:hint="eastAsia" w:ascii="宋体" w:hAnsi="宋体" w:eastAsia="宋体" w:cs="宋体"/>
          <w:b/>
          <w:color w:val="auto"/>
          <w:sz w:val="28"/>
          <w:szCs w:val="28"/>
          <w:highlight w:val="none"/>
        </w:rPr>
      </w:pPr>
      <w:bookmarkStart w:id="115" w:name="bookmark55"/>
      <w:bookmarkEnd w:id="115"/>
      <w:r>
        <w:rPr>
          <w:rFonts w:hint="eastAsia" w:ascii="宋体" w:hAnsi="宋体" w:eastAsia="宋体" w:cs="宋体"/>
          <w:b/>
          <w:color w:val="auto"/>
          <w:sz w:val="28"/>
          <w:szCs w:val="28"/>
          <w:highlight w:val="none"/>
        </w:rPr>
        <w:t>5.3开标异议</w:t>
      </w:r>
    </w:p>
    <w:p w14:paraId="33579356">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bookmarkStart w:id="116" w:name="bookmark56"/>
      <w:bookmarkEnd w:id="116"/>
      <w:bookmarkStart w:id="117" w:name="_Toc14873651"/>
      <w:r>
        <w:rPr>
          <w:rFonts w:hint="eastAsia" w:ascii="宋体" w:hAnsi="宋体" w:eastAsia="宋体" w:cs="宋体"/>
          <w:color w:val="auto"/>
          <w:sz w:val="24"/>
          <w:szCs w:val="24"/>
          <w:highlight w:val="none"/>
        </w:rPr>
        <w:t>5.3.1参加现场开标的投标人对开标结果有异议的，应当在开标现场提出，该投标人代表须同时出示本人身份证原件，招标人应当当场作出答复，并制作记录。未答复的，开标程序不得结束。</w:t>
      </w:r>
    </w:p>
    <w:p w14:paraId="41BC2235">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参加在线开标的投标人对开标结果有异议的，应当在唱标结束后的规定时间内使用单位数字证书登录广州交易集团有限公司（广州公共资源交易中心）（电子招标投标交易平台）后通过电子招标投标交易平台提出。若招标人授权招标代理机构工作人员使用招标代理机构数字证书登录电子招标投标交易平台答复异议，异议答复是招标人真实意思表示。未答复的，开标程序不得结束。</w:t>
      </w:r>
    </w:p>
    <w:p w14:paraId="71FF2EE3">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5.3.3投标人未参加开标或在规定的时间内未提出异议的，视为对开标无异议。</w:t>
      </w:r>
    </w:p>
    <w:p w14:paraId="65B6A097">
      <w:pPr>
        <w:keepNext/>
        <w:keepLines/>
        <w:wordWrap w:val="0"/>
        <w:spacing w:line="360" w:lineRule="auto"/>
        <w:outlineLvl w:val="2"/>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t>6.  评标</w:t>
      </w:r>
      <w:bookmarkEnd w:id="117"/>
    </w:p>
    <w:p w14:paraId="2A3BB0E0">
      <w:pPr>
        <w:keepNext/>
        <w:keepLines/>
        <w:wordWrap w:val="0"/>
        <w:spacing w:line="360" w:lineRule="auto"/>
        <w:outlineLvl w:val="3"/>
        <w:rPr>
          <w:rFonts w:hint="eastAsia" w:ascii="宋体" w:hAnsi="宋体" w:eastAsia="宋体" w:cs="宋体"/>
          <w:b/>
          <w:color w:val="auto"/>
          <w:sz w:val="28"/>
          <w:szCs w:val="28"/>
          <w:highlight w:val="none"/>
        </w:rPr>
      </w:pPr>
      <w:bookmarkStart w:id="118" w:name="bookmark57"/>
      <w:bookmarkEnd w:id="118"/>
      <w:r>
        <w:rPr>
          <w:rFonts w:hint="eastAsia" w:ascii="宋体" w:hAnsi="宋体" w:eastAsia="宋体" w:cs="宋体"/>
          <w:b/>
          <w:color w:val="auto"/>
          <w:sz w:val="28"/>
          <w:szCs w:val="28"/>
          <w:highlight w:val="none"/>
        </w:rPr>
        <w:t>6.1评标委员会</w:t>
      </w:r>
    </w:p>
    <w:p w14:paraId="5BD5BE4D">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w:t>
      </w:r>
    </w:p>
    <w:p w14:paraId="31F274C1">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6.1.2评标委员会成员有下列情形之一的，应当回避：</w:t>
      </w:r>
    </w:p>
    <w:p w14:paraId="3D75E65B">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(1)投标人或投标人主要负责人的近亲属；</w:t>
      </w:r>
    </w:p>
    <w:p w14:paraId="6F130D84">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(2)项目主管部门或者行政监督部门的人员；</w:t>
      </w:r>
    </w:p>
    <w:p w14:paraId="48FA86B3">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(3)招标人或投标人的工作人员、退休或离职未满3年的人员；</w:t>
      </w:r>
    </w:p>
    <w:p w14:paraId="4E0E63B5">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(4)与投标人有经济利益关系，可能影响对投标公正评审的；</w:t>
      </w:r>
    </w:p>
    <w:p w14:paraId="1913F910">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(5)曾因在招标、评标以及其他与招标投标有关活动中从事违法行为而受过行政处罚或刑事处罚的；</w:t>
      </w:r>
    </w:p>
    <w:p w14:paraId="5AB0BD3F">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(6)与投标人有其他利害关系。</w:t>
      </w:r>
    </w:p>
    <w:p w14:paraId="525DA506">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6.1.3评标过程中，评标委员会成员有回避事由、擅离职守或者因健康等原因不能继续评标的，招标人有权更换。被更换的评标委员会成员作出的评审结论无效，由更换后的评标委员会成员重新进行评审。</w:t>
      </w:r>
    </w:p>
    <w:p w14:paraId="4958F287">
      <w:pPr>
        <w:keepNext w:val="0"/>
        <w:keepLines w:val="0"/>
        <w:pageBreakBefore w:val="0"/>
        <w:widowControl w:val="0"/>
        <w:kinsoku w:val="0"/>
        <w:wordWrap w:val="0"/>
        <w:overflowPunct w:val="0"/>
        <w:topLinePunct w:val="0"/>
        <w:autoSpaceDE/>
        <w:autoSpaceDN/>
        <w:bidi w:val="0"/>
        <w:adjustRightInd/>
        <w:snapToGrid/>
        <w:spacing w:line="360" w:lineRule="auto"/>
        <w:ind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6.1.4 评标委员会在开始评标前，应了解评标专家的职责及守则，认真阅读附件《评标委员会成员声明》的内容并签名，签名后方可进行评标。</w:t>
      </w:r>
    </w:p>
    <w:p w14:paraId="745CFA4F">
      <w:pPr>
        <w:keepNext/>
        <w:keepLines/>
        <w:wordWrap w:val="0"/>
        <w:spacing w:line="360" w:lineRule="auto"/>
        <w:outlineLvl w:val="3"/>
        <w:rPr>
          <w:rFonts w:hint="eastAsia" w:ascii="宋体" w:hAnsi="宋体" w:eastAsia="宋体" w:cs="宋体"/>
          <w:b/>
          <w:color w:val="auto"/>
          <w:sz w:val="28"/>
          <w:szCs w:val="28"/>
          <w:highlight w:val="none"/>
        </w:rPr>
      </w:pPr>
      <w:bookmarkStart w:id="119" w:name="bookmark58"/>
      <w:bookmarkEnd w:id="119"/>
      <w:r>
        <w:rPr>
          <w:rFonts w:hint="eastAsia" w:ascii="宋体" w:hAnsi="宋体" w:eastAsia="宋体" w:cs="宋体"/>
          <w:b/>
          <w:color w:val="auto"/>
          <w:sz w:val="28"/>
          <w:szCs w:val="28"/>
          <w:highlight w:val="none"/>
        </w:rPr>
        <w:t>6.2评标原则</w:t>
      </w:r>
    </w:p>
    <w:p w14:paraId="2DFB9DAA">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w:t>
      </w:r>
    </w:p>
    <w:p w14:paraId="28DC4B11">
      <w:pPr>
        <w:keepNext/>
        <w:keepLines/>
        <w:wordWrap w:val="0"/>
        <w:spacing w:line="360" w:lineRule="auto"/>
        <w:outlineLvl w:val="3"/>
        <w:rPr>
          <w:rFonts w:hint="eastAsia" w:ascii="宋体" w:hAnsi="宋体" w:eastAsia="宋体" w:cs="宋体"/>
          <w:b/>
          <w:color w:val="auto"/>
          <w:sz w:val="28"/>
          <w:szCs w:val="28"/>
          <w:highlight w:val="none"/>
        </w:rPr>
      </w:pPr>
      <w:bookmarkStart w:id="120" w:name="bookmark59"/>
      <w:bookmarkEnd w:id="120"/>
      <w:r>
        <w:rPr>
          <w:rFonts w:hint="eastAsia" w:ascii="宋体" w:hAnsi="宋体" w:eastAsia="宋体" w:cs="宋体"/>
          <w:b/>
          <w:color w:val="auto"/>
          <w:sz w:val="28"/>
          <w:szCs w:val="28"/>
          <w:highlight w:val="none"/>
        </w:rPr>
        <w:t>6.3评标</w:t>
      </w:r>
    </w:p>
    <w:p w14:paraId="26388985">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6.3.1评标委员会按照第三章“评标办法”规定的方法、评审因素、标准和程序对投标文件进行评审。第三章“评标办法”没有规定的方法、评审因素和标准，不作为评标依据。</w:t>
      </w:r>
    </w:p>
    <w:p w14:paraId="62006B96">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6.3.2评标完成后，评标委员会应当向招标人提交书面评标报告和中标候选人名单。评标委员会推荐中标候选人的人数见投标人须知前附表。</w:t>
      </w:r>
    </w:p>
    <w:p w14:paraId="452C4324">
      <w:pPr>
        <w:keepNext/>
        <w:keepLines/>
        <w:wordWrap w:val="0"/>
        <w:spacing w:line="360" w:lineRule="auto"/>
        <w:outlineLvl w:val="2"/>
        <w:rPr>
          <w:rFonts w:hint="eastAsia" w:ascii="宋体" w:hAnsi="宋体" w:eastAsia="宋体" w:cs="宋体"/>
          <w:b/>
          <w:color w:val="auto"/>
          <w:sz w:val="28"/>
          <w:szCs w:val="20"/>
          <w:highlight w:val="none"/>
        </w:rPr>
      </w:pPr>
      <w:bookmarkStart w:id="121" w:name="bookmark60"/>
      <w:bookmarkEnd w:id="121"/>
      <w:bookmarkStart w:id="122" w:name="_Toc14873652"/>
      <w:r>
        <w:rPr>
          <w:rFonts w:hint="eastAsia" w:ascii="宋体" w:hAnsi="宋体" w:eastAsia="宋体" w:cs="宋体"/>
          <w:b/>
          <w:color w:val="auto"/>
          <w:sz w:val="28"/>
          <w:szCs w:val="20"/>
          <w:highlight w:val="none"/>
        </w:rPr>
        <w:t>7.  合同授予</w:t>
      </w:r>
      <w:bookmarkEnd w:id="122"/>
    </w:p>
    <w:p w14:paraId="4E189A43">
      <w:pPr>
        <w:keepNext/>
        <w:keepLines/>
        <w:wordWrap w:val="0"/>
        <w:spacing w:line="360" w:lineRule="auto"/>
        <w:outlineLvl w:val="3"/>
        <w:rPr>
          <w:rFonts w:hint="eastAsia" w:ascii="宋体" w:hAnsi="宋体" w:eastAsia="宋体" w:cs="宋体"/>
          <w:b/>
          <w:color w:val="auto"/>
          <w:sz w:val="28"/>
          <w:szCs w:val="28"/>
          <w:highlight w:val="none"/>
        </w:rPr>
      </w:pPr>
      <w:bookmarkStart w:id="123" w:name="bookmark61"/>
      <w:bookmarkEnd w:id="123"/>
      <w:r>
        <w:rPr>
          <w:rFonts w:hint="eastAsia" w:ascii="宋体" w:hAnsi="宋体" w:eastAsia="宋体" w:cs="宋体"/>
          <w:b/>
          <w:color w:val="auto"/>
          <w:sz w:val="28"/>
          <w:szCs w:val="28"/>
          <w:highlight w:val="none"/>
        </w:rPr>
        <w:t>7.1中标候选人公示</w:t>
      </w:r>
    </w:p>
    <w:p w14:paraId="772CFC33">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7.1.1招标人在收到评标报告之日起3日内，按照投标人须知前附表规定的公示媒介和期限公示中标候选人，公示期不得少于3天，最后一天应为工作日。</w:t>
      </w:r>
    </w:p>
    <w:p w14:paraId="13D428DD">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7.1.2在产生中标候选人后，招标人将中标候选人的投标文件商务部分（包括、人员、业绩、奖项等资料</w:t>
      </w:r>
      <w:r>
        <w:rPr>
          <w:rFonts w:hint="eastAsia" w:ascii="宋体" w:hAnsi="宋体" w:eastAsia="宋体" w:cs="宋体"/>
          <w:b/>
          <w:bCs/>
          <w:color w:val="auto"/>
          <w:kern w:val="0"/>
          <w:sz w:val="24"/>
          <w:szCs w:val="24"/>
          <w:highlight w:val="none"/>
          <w:u w:val="single"/>
        </w:rPr>
        <w:t>，但报价清单、方案等涉及商业秘密的内容除外</w:t>
      </w:r>
      <w:r>
        <w:rPr>
          <w:rFonts w:hint="eastAsia" w:ascii="宋体" w:hAnsi="宋体" w:eastAsia="宋体" w:cs="宋体"/>
          <w:color w:val="auto"/>
          <w:sz w:val="24"/>
          <w:szCs w:val="24"/>
          <w:highlight w:val="none"/>
        </w:rPr>
        <w:t>）在广州交易集团有限公司（广州公共资源交易中心）网站和广东省招标投标监管网公开。</w:t>
      </w:r>
    </w:p>
    <w:p w14:paraId="20E2E28B">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国家发展改革委等部门关于严格执行招标投标法规制度进一步规范招标投标主体行为的若干意见》（发改法规规〔2022〕1117号），招标人应当在中标候选人公示前认真审查评标委员会提交的书面评标报告，发现异常情形的，依照法定程序进行复核，确认存在问题的，依照法定程序予以纠正。</w:t>
      </w:r>
    </w:p>
    <w:p w14:paraId="3B19BF0B">
      <w:pPr>
        <w:keepNext/>
        <w:keepLines/>
        <w:wordWrap w:val="0"/>
        <w:spacing w:line="360" w:lineRule="auto"/>
        <w:outlineLvl w:val="3"/>
        <w:rPr>
          <w:rFonts w:hint="eastAsia" w:ascii="宋体" w:hAnsi="宋体" w:eastAsia="宋体" w:cs="宋体"/>
          <w:b/>
          <w:color w:val="auto"/>
          <w:sz w:val="28"/>
          <w:szCs w:val="28"/>
          <w:highlight w:val="none"/>
        </w:rPr>
      </w:pPr>
      <w:bookmarkStart w:id="124" w:name="bookmark62"/>
      <w:bookmarkEnd w:id="124"/>
      <w:r>
        <w:rPr>
          <w:rFonts w:hint="eastAsia" w:ascii="宋体" w:hAnsi="宋体" w:eastAsia="宋体" w:cs="宋体"/>
          <w:b/>
          <w:color w:val="auto"/>
          <w:sz w:val="28"/>
          <w:szCs w:val="28"/>
          <w:highlight w:val="none"/>
        </w:rPr>
        <w:t>7.2评标结果异议</w:t>
      </w:r>
    </w:p>
    <w:p w14:paraId="65C2ECF3">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投标人或者其他利害关系人对评标结果有异议的，应当在中标候选人公示期间提出。招标人将在收到异议之日起3日内作出答复；作出答复前，将暂停招标投标活动。</w:t>
      </w:r>
    </w:p>
    <w:p w14:paraId="02090BF6">
      <w:pPr>
        <w:keepNext/>
        <w:keepLines/>
        <w:wordWrap w:val="0"/>
        <w:spacing w:line="360" w:lineRule="auto"/>
        <w:outlineLvl w:val="3"/>
        <w:rPr>
          <w:rFonts w:hint="eastAsia" w:ascii="宋体" w:hAnsi="宋体" w:eastAsia="宋体" w:cs="宋体"/>
          <w:b/>
          <w:color w:val="auto"/>
          <w:sz w:val="28"/>
          <w:szCs w:val="28"/>
          <w:highlight w:val="none"/>
        </w:rPr>
      </w:pPr>
      <w:bookmarkStart w:id="125" w:name="bookmark63"/>
      <w:bookmarkEnd w:id="125"/>
      <w:r>
        <w:rPr>
          <w:rFonts w:hint="eastAsia" w:ascii="宋体" w:hAnsi="宋体" w:eastAsia="宋体" w:cs="宋体"/>
          <w:b/>
          <w:color w:val="auto"/>
          <w:sz w:val="28"/>
          <w:szCs w:val="28"/>
          <w:highlight w:val="none"/>
        </w:rPr>
        <w:t>7.3中标候选人履约能力审查</w:t>
      </w:r>
    </w:p>
    <w:p w14:paraId="301C7C23">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4FD32528">
      <w:pPr>
        <w:keepNext/>
        <w:keepLines/>
        <w:wordWrap w:val="0"/>
        <w:spacing w:line="360" w:lineRule="auto"/>
        <w:outlineLvl w:val="3"/>
        <w:rPr>
          <w:rFonts w:hint="eastAsia" w:ascii="宋体" w:hAnsi="宋体" w:eastAsia="宋体" w:cs="宋体"/>
          <w:b/>
          <w:color w:val="auto"/>
          <w:sz w:val="28"/>
          <w:szCs w:val="28"/>
          <w:highlight w:val="none"/>
        </w:rPr>
      </w:pPr>
      <w:bookmarkStart w:id="126" w:name="bookmark64"/>
      <w:bookmarkEnd w:id="126"/>
      <w:r>
        <w:rPr>
          <w:rFonts w:hint="eastAsia" w:ascii="宋体" w:hAnsi="宋体" w:eastAsia="宋体" w:cs="宋体"/>
          <w:b/>
          <w:color w:val="auto"/>
          <w:sz w:val="28"/>
          <w:szCs w:val="28"/>
          <w:highlight w:val="none"/>
        </w:rPr>
        <w:t>7.4定标</w:t>
      </w:r>
    </w:p>
    <w:p w14:paraId="72454339">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按照投标人须知前附表的规定，招标人或招标人授权的评标委员会依法确定中标人。</w:t>
      </w:r>
    </w:p>
    <w:p w14:paraId="6630DDC9">
      <w:pPr>
        <w:keepNext/>
        <w:keepLines/>
        <w:wordWrap w:val="0"/>
        <w:spacing w:line="360" w:lineRule="auto"/>
        <w:outlineLvl w:val="3"/>
        <w:rPr>
          <w:rFonts w:hint="eastAsia" w:ascii="宋体" w:hAnsi="宋体" w:eastAsia="宋体" w:cs="宋体"/>
          <w:b/>
          <w:color w:val="auto"/>
          <w:sz w:val="28"/>
          <w:szCs w:val="28"/>
          <w:highlight w:val="none"/>
        </w:rPr>
      </w:pPr>
      <w:bookmarkStart w:id="127" w:name="bookmark65"/>
      <w:bookmarkEnd w:id="127"/>
      <w:r>
        <w:rPr>
          <w:rFonts w:hint="eastAsia" w:ascii="宋体" w:hAnsi="宋体" w:eastAsia="宋体" w:cs="宋体"/>
          <w:b/>
          <w:color w:val="auto"/>
          <w:sz w:val="28"/>
          <w:szCs w:val="28"/>
          <w:highlight w:val="none"/>
        </w:rPr>
        <w:t>7.5中标通知</w:t>
      </w:r>
    </w:p>
    <w:p w14:paraId="0B057A83">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bookmarkStart w:id="128" w:name="bookmark66"/>
      <w:bookmarkEnd w:id="128"/>
      <w:r>
        <w:rPr>
          <w:rFonts w:hint="eastAsia" w:ascii="宋体" w:hAnsi="宋体" w:eastAsia="宋体" w:cs="宋体"/>
          <w:color w:val="auto"/>
          <w:sz w:val="24"/>
          <w:szCs w:val="24"/>
          <w:highlight w:val="none"/>
        </w:rPr>
        <w:t>7.5.1</w:t>
      </w:r>
      <w:r>
        <w:rPr>
          <w:rFonts w:hint="eastAsia" w:ascii="宋体" w:hAnsi="宋体" w:eastAsia="宋体" w:cs="宋体"/>
          <w:color w:val="auto"/>
          <w:kern w:val="0"/>
          <w:sz w:val="24"/>
          <w:szCs w:val="24"/>
          <w:highlight w:val="none"/>
        </w:rPr>
        <w:t>在本章第3.3款规定的投标有效期内，招标人向中标人发出中标通知书</w:t>
      </w:r>
      <w:r>
        <w:rPr>
          <w:rFonts w:hint="eastAsia" w:ascii="宋体" w:hAnsi="宋体" w:eastAsia="宋体" w:cs="宋体"/>
          <w:b/>
          <w:bCs/>
          <w:color w:val="auto"/>
          <w:sz w:val="24"/>
          <w:szCs w:val="24"/>
          <w:highlight w:val="none"/>
          <w:u w:val="single"/>
          <w:lang w:eastAsia="zh-CN"/>
        </w:rPr>
        <w:t>，中标人自行于广州交易集团有限公司（广州公共资源交易中心）交易平台下载中标通知书</w:t>
      </w:r>
      <w:r>
        <w:rPr>
          <w:rFonts w:hint="eastAsia" w:ascii="宋体" w:hAnsi="宋体" w:eastAsia="宋体" w:cs="宋体"/>
          <w:color w:val="auto"/>
          <w:kern w:val="0"/>
          <w:sz w:val="24"/>
          <w:szCs w:val="24"/>
          <w:highlight w:val="none"/>
        </w:rPr>
        <w:t>。在广东省招标投标监管网和广州交易集团有限公司（广州公共资源交易中心）网站发布中标信息，视同将中标结果通知未中标的投标人。</w:t>
      </w:r>
      <w:r>
        <w:rPr>
          <w:rFonts w:hint="eastAsia" w:ascii="宋体" w:hAnsi="宋体" w:eastAsia="宋体" w:cs="宋体"/>
          <w:b/>
          <w:bCs/>
          <w:color w:val="auto"/>
          <w:sz w:val="24"/>
          <w:szCs w:val="24"/>
          <w:highlight w:val="none"/>
          <w:u w:val="single"/>
        </w:rPr>
        <w:t>中标人须对其投标文件真实性负责，并准备投标文件涉及的所有原件待查，如存在弄虚作假情况或原件不齐或与原件不符的，招标人有权取消其中标人资格，并上报建设行政主管部门。</w:t>
      </w:r>
    </w:p>
    <w:p w14:paraId="7BB9606D">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7.5.2政府投资项目，中标通知书发出前，中标人应未被纳入失信惩戒名单，否则招标人将取消其中标资格。失信联合惩戒名单以“信用广州”网站公布的为准。</w:t>
      </w:r>
    </w:p>
    <w:p w14:paraId="11B531D5">
      <w:pPr>
        <w:keepNext/>
        <w:keepLines/>
        <w:wordWrap w:val="0"/>
        <w:spacing w:line="360" w:lineRule="auto"/>
        <w:outlineLvl w:val="3"/>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7.6履约保证金</w:t>
      </w:r>
      <w:r>
        <w:rPr>
          <w:rFonts w:hint="eastAsia" w:ascii="宋体" w:hAnsi="宋体" w:eastAsia="宋体" w:cs="宋体"/>
          <w:b/>
          <w:color w:val="auto"/>
          <w:sz w:val="28"/>
          <w:szCs w:val="28"/>
          <w:highlight w:val="none"/>
          <w:u w:val="single"/>
        </w:rPr>
        <w:t>（本项目不适用）</w:t>
      </w:r>
    </w:p>
    <w:p w14:paraId="6F457225">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5638F75E">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7.6.2中标人不能按本章第7.6.1项要求提交履约保证金的，视为放弃中标，其投标保证金不予退还，给招标人造成的损失超过投标保证金数额的，中标人还应当对超过部分予以赔偿。</w:t>
      </w:r>
    </w:p>
    <w:p w14:paraId="6276A9C9">
      <w:pPr>
        <w:keepNext/>
        <w:keepLines/>
        <w:wordWrap w:val="0"/>
        <w:spacing w:line="360" w:lineRule="auto"/>
        <w:outlineLvl w:val="3"/>
        <w:rPr>
          <w:rFonts w:hint="eastAsia" w:ascii="宋体" w:hAnsi="宋体" w:eastAsia="宋体" w:cs="宋体"/>
          <w:b/>
          <w:color w:val="auto"/>
          <w:sz w:val="28"/>
          <w:szCs w:val="28"/>
          <w:highlight w:val="none"/>
        </w:rPr>
      </w:pPr>
      <w:bookmarkStart w:id="129" w:name="bookmark67"/>
      <w:bookmarkEnd w:id="129"/>
      <w:r>
        <w:rPr>
          <w:rFonts w:hint="eastAsia" w:ascii="宋体" w:hAnsi="宋体" w:eastAsia="宋体" w:cs="宋体"/>
          <w:b/>
          <w:color w:val="auto"/>
          <w:sz w:val="28"/>
          <w:szCs w:val="28"/>
          <w:highlight w:val="none"/>
        </w:rPr>
        <w:t>7.7签订合同</w:t>
      </w:r>
    </w:p>
    <w:p w14:paraId="44ACADC3">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7.7.1招标人和中标人应当在中标通知书发出之日起30日内，根据招标文件和中标人的投标文件订立书面合同，并通过电子交易系统与中标人在线签订合同，并在广东省招标投标监管网和广州交易集团有限公司（广州公共资源交易中心）网站公示合同主要信息。中标人无正当理由拒签合同，在签订合同时向招标人提出附加条件</w:t>
      </w:r>
      <w:r>
        <w:rPr>
          <w:rFonts w:hint="eastAsia" w:ascii="宋体" w:hAnsi="宋体" w:eastAsia="宋体" w:cs="宋体"/>
          <w:strike/>
          <w:dstrike w:val="0"/>
          <w:color w:val="auto"/>
          <w:sz w:val="24"/>
          <w:szCs w:val="24"/>
          <w:highlight w:val="none"/>
        </w:rPr>
        <w:t>，或者不按照招标文件要求提交履约保证金的</w:t>
      </w:r>
      <w:r>
        <w:rPr>
          <w:rFonts w:hint="eastAsia" w:ascii="宋体" w:hAnsi="宋体" w:eastAsia="宋体" w:cs="宋体"/>
          <w:color w:val="auto"/>
          <w:sz w:val="24"/>
          <w:szCs w:val="24"/>
          <w:highlight w:val="none"/>
        </w:rPr>
        <w:t>，招标人有权取消其中标资格</w:t>
      </w:r>
      <w:r>
        <w:rPr>
          <w:rFonts w:hint="eastAsia" w:ascii="宋体" w:hAnsi="宋体" w:eastAsia="宋体" w:cs="宋体"/>
          <w:strike/>
          <w:dstrike w:val="0"/>
          <w:color w:val="auto"/>
          <w:sz w:val="24"/>
          <w:szCs w:val="24"/>
          <w:highlight w:val="none"/>
        </w:rPr>
        <w:t>，其投标保证金不予退还</w:t>
      </w:r>
      <w:r>
        <w:rPr>
          <w:rFonts w:hint="eastAsia" w:ascii="宋体" w:hAnsi="宋体" w:eastAsia="宋体" w:cs="宋体"/>
          <w:color w:val="auto"/>
          <w:sz w:val="24"/>
          <w:szCs w:val="24"/>
          <w:highlight w:val="none"/>
        </w:rPr>
        <w:t>；给招标人造成</w:t>
      </w:r>
      <w:r>
        <w:rPr>
          <w:rFonts w:hint="eastAsia" w:ascii="宋体" w:hAnsi="宋体" w:eastAsia="宋体" w:cs="宋体"/>
          <w:strike/>
          <w:dstrike w:val="0"/>
          <w:color w:val="auto"/>
          <w:sz w:val="24"/>
          <w:szCs w:val="24"/>
          <w:highlight w:val="none"/>
        </w:rPr>
        <w:t>的</w:t>
      </w:r>
      <w:r>
        <w:rPr>
          <w:rFonts w:hint="eastAsia" w:ascii="宋体" w:hAnsi="宋体" w:eastAsia="宋体" w:cs="宋体"/>
          <w:color w:val="auto"/>
          <w:sz w:val="24"/>
          <w:szCs w:val="24"/>
          <w:highlight w:val="none"/>
        </w:rPr>
        <w:t>损失</w:t>
      </w:r>
      <w:r>
        <w:rPr>
          <w:rFonts w:hint="eastAsia" w:ascii="宋体" w:hAnsi="宋体" w:eastAsia="宋体" w:cs="宋体"/>
          <w:strike/>
          <w:dstrike w:val="0"/>
          <w:color w:val="auto"/>
          <w:sz w:val="24"/>
          <w:szCs w:val="24"/>
          <w:highlight w:val="none"/>
        </w:rPr>
        <w:t>超过投标保证金数额</w:t>
      </w:r>
      <w:r>
        <w:rPr>
          <w:rFonts w:hint="eastAsia" w:ascii="宋体" w:hAnsi="宋体" w:eastAsia="宋体" w:cs="宋体"/>
          <w:color w:val="auto"/>
          <w:sz w:val="24"/>
          <w:szCs w:val="24"/>
          <w:highlight w:val="none"/>
        </w:rPr>
        <w:t>的，中标人还应当</w:t>
      </w:r>
      <w:r>
        <w:rPr>
          <w:rFonts w:hint="eastAsia" w:ascii="宋体" w:hAnsi="宋体" w:eastAsia="宋体" w:cs="宋体"/>
          <w:strike/>
          <w:dstrike w:val="0"/>
          <w:color w:val="auto"/>
          <w:sz w:val="24"/>
          <w:szCs w:val="24"/>
          <w:highlight w:val="none"/>
        </w:rPr>
        <w:t>对超过部分</w:t>
      </w:r>
      <w:r>
        <w:rPr>
          <w:rFonts w:hint="eastAsia" w:ascii="宋体" w:hAnsi="宋体" w:eastAsia="宋体" w:cs="宋体"/>
          <w:color w:val="auto"/>
          <w:sz w:val="24"/>
          <w:szCs w:val="24"/>
          <w:highlight w:val="none"/>
        </w:rPr>
        <w:t>予以赔偿。</w:t>
      </w:r>
    </w:p>
    <w:p w14:paraId="3F9CA23D">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7.7.2发出中标通知书后，招标人无正当理由拒签合同，或者在签订合同时向中标人提出附加条件的，</w:t>
      </w:r>
      <w:r>
        <w:rPr>
          <w:rFonts w:hint="eastAsia" w:ascii="宋体" w:hAnsi="宋体" w:eastAsia="宋体" w:cs="宋体"/>
          <w:strike/>
          <w:dstrike w:val="0"/>
          <w:color w:val="auto"/>
          <w:sz w:val="24"/>
          <w:szCs w:val="24"/>
          <w:highlight w:val="none"/>
        </w:rPr>
        <w:t>招标人向中标人退还投标保证金；</w:t>
      </w:r>
      <w:r>
        <w:rPr>
          <w:rFonts w:hint="eastAsia" w:ascii="宋体" w:hAnsi="宋体" w:eastAsia="宋体" w:cs="宋体"/>
          <w:color w:val="auto"/>
          <w:sz w:val="24"/>
          <w:szCs w:val="24"/>
          <w:highlight w:val="none"/>
        </w:rPr>
        <w:t>给中标人造成损失的，还应当赔偿损失。</w:t>
      </w:r>
    </w:p>
    <w:p w14:paraId="0DD63760">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7.7.3联合体中标的，联合体各方应当共同与招标人签订合同，就中标项目向招标人承担连带责任。</w:t>
      </w:r>
    </w:p>
    <w:p w14:paraId="6E171C36">
      <w:pPr>
        <w:keepNext/>
        <w:keepLines/>
        <w:wordWrap w:val="0"/>
        <w:spacing w:line="360" w:lineRule="auto"/>
        <w:outlineLvl w:val="2"/>
        <w:rPr>
          <w:rFonts w:hint="eastAsia" w:ascii="宋体" w:hAnsi="宋体" w:eastAsia="宋体" w:cs="宋体"/>
          <w:b/>
          <w:color w:val="auto"/>
          <w:sz w:val="28"/>
          <w:szCs w:val="20"/>
          <w:highlight w:val="none"/>
        </w:rPr>
      </w:pPr>
      <w:bookmarkStart w:id="130" w:name="bookmark68"/>
      <w:bookmarkEnd w:id="130"/>
      <w:bookmarkStart w:id="131" w:name="_Toc14873653"/>
      <w:r>
        <w:rPr>
          <w:rFonts w:hint="eastAsia" w:ascii="宋体" w:hAnsi="宋体" w:eastAsia="宋体" w:cs="宋体"/>
          <w:b/>
          <w:color w:val="auto"/>
          <w:sz w:val="28"/>
          <w:szCs w:val="20"/>
          <w:highlight w:val="none"/>
        </w:rPr>
        <w:t>8.  纪律和监督</w:t>
      </w:r>
      <w:bookmarkEnd w:id="131"/>
    </w:p>
    <w:p w14:paraId="07A2489E">
      <w:pPr>
        <w:keepNext/>
        <w:keepLines/>
        <w:wordWrap w:val="0"/>
        <w:spacing w:line="360" w:lineRule="auto"/>
        <w:outlineLvl w:val="3"/>
        <w:rPr>
          <w:rFonts w:hint="eastAsia" w:ascii="宋体" w:hAnsi="宋体" w:eastAsia="宋体" w:cs="宋体"/>
          <w:b/>
          <w:color w:val="auto"/>
          <w:sz w:val="28"/>
          <w:szCs w:val="28"/>
          <w:highlight w:val="none"/>
        </w:rPr>
      </w:pPr>
      <w:bookmarkStart w:id="132" w:name="bookmark69"/>
      <w:bookmarkEnd w:id="132"/>
      <w:r>
        <w:rPr>
          <w:rFonts w:hint="eastAsia" w:ascii="宋体" w:hAnsi="宋体" w:eastAsia="宋体" w:cs="宋体"/>
          <w:b/>
          <w:color w:val="auto"/>
          <w:sz w:val="28"/>
          <w:szCs w:val="28"/>
          <w:highlight w:val="none"/>
        </w:rPr>
        <w:t>8.1对招标人的纪律要求</w:t>
      </w:r>
    </w:p>
    <w:p w14:paraId="77C898C2">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招标人不得泄露招标投标活动中应当保密的情况和资料，不得与投标人串通损害国家利益、社会公共利益或者他人合法权益。</w:t>
      </w:r>
    </w:p>
    <w:p w14:paraId="65992FA1">
      <w:pPr>
        <w:keepNext/>
        <w:keepLines/>
        <w:wordWrap w:val="0"/>
        <w:spacing w:line="360" w:lineRule="auto"/>
        <w:outlineLvl w:val="3"/>
        <w:rPr>
          <w:rFonts w:hint="eastAsia" w:ascii="宋体" w:hAnsi="宋体" w:eastAsia="宋体" w:cs="宋体"/>
          <w:b/>
          <w:color w:val="auto"/>
          <w:sz w:val="28"/>
          <w:szCs w:val="28"/>
          <w:highlight w:val="none"/>
        </w:rPr>
      </w:pPr>
      <w:bookmarkStart w:id="133" w:name="bookmark70"/>
      <w:bookmarkEnd w:id="133"/>
      <w:r>
        <w:rPr>
          <w:rFonts w:hint="eastAsia" w:ascii="宋体" w:hAnsi="宋体" w:eastAsia="宋体" w:cs="宋体"/>
          <w:b/>
          <w:color w:val="auto"/>
          <w:sz w:val="28"/>
          <w:szCs w:val="28"/>
          <w:highlight w:val="none"/>
        </w:rPr>
        <w:t>8.2对投标人的纪律要求</w:t>
      </w:r>
    </w:p>
    <w:p w14:paraId="40C515B8">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3DF12B3">
      <w:pPr>
        <w:keepNext/>
        <w:keepLines/>
        <w:wordWrap w:val="0"/>
        <w:spacing w:line="360" w:lineRule="auto"/>
        <w:outlineLvl w:val="3"/>
        <w:rPr>
          <w:rFonts w:hint="eastAsia" w:ascii="宋体" w:hAnsi="宋体" w:eastAsia="宋体" w:cs="宋体"/>
          <w:b/>
          <w:color w:val="auto"/>
          <w:sz w:val="28"/>
          <w:szCs w:val="28"/>
          <w:highlight w:val="none"/>
        </w:rPr>
      </w:pPr>
      <w:bookmarkStart w:id="134" w:name="bookmark71"/>
      <w:bookmarkEnd w:id="134"/>
      <w:r>
        <w:rPr>
          <w:rFonts w:hint="eastAsia" w:ascii="宋体" w:hAnsi="宋体" w:eastAsia="宋体" w:cs="宋体"/>
          <w:b/>
          <w:color w:val="auto"/>
          <w:sz w:val="28"/>
          <w:szCs w:val="28"/>
          <w:highlight w:val="none"/>
        </w:rPr>
        <w:t>8.3对评标委员会成员的纪律要求</w:t>
      </w:r>
    </w:p>
    <w:p w14:paraId="7FDD5B94">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活动中，评标委员会成员应当客观、公正地履行职责，遵守职业道德，不得擅离职守，影响评标程序正常进行，不得使用第三章“评标办法”没有规定的评审因素和标准进行评标。评标专家应当认真、公正、诚实、廉洁、勤勉地履行专家职责，按时参加评标，严格遵守评标纪律。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w:t>
      </w:r>
    </w:p>
    <w:p w14:paraId="6A0F34F3">
      <w:pPr>
        <w:keepNext/>
        <w:keepLines/>
        <w:wordWrap w:val="0"/>
        <w:spacing w:line="360" w:lineRule="auto"/>
        <w:outlineLvl w:val="3"/>
        <w:rPr>
          <w:rFonts w:hint="eastAsia" w:ascii="宋体" w:hAnsi="宋体" w:eastAsia="宋体" w:cs="宋体"/>
          <w:b/>
          <w:color w:val="auto"/>
          <w:sz w:val="28"/>
          <w:szCs w:val="28"/>
          <w:highlight w:val="none"/>
        </w:rPr>
      </w:pPr>
      <w:bookmarkStart w:id="135" w:name="bookmark72"/>
      <w:bookmarkEnd w:id="135"/>
      <w:r>
        <w:rPr>
          <w:rFonts w:hint="eastAsia" w:ascii="宋体" w:hAnsi="宋体" w:eastAsia="宋体" w:cs="宋体"/>
          <w:b/>
          <w:color w:val="auto"/>
          <w:sz w:val="28"/>
          <w:szCs w:val="28"/>
          <w:highlight w:val="none"/>
        </w:rPr>
        <w:t>8.4对与评标活动有关的工作人员的纪律要求</w:t>
      </w:r>
    </w:p>
    <w:p w14:paraId="646F359A">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968414B">
      <w:pPr>
        <w:keepNext/>
        <w:keepLines/>
        <w:wordWrap w:val="0"/>
        <w:spacing w:line="360" w:lineRule="auto"/>
        <w:outlineLvl w:val="3"/>
        <w:rPr>
          <w:rFonts w:hint="eastAsia" w:ascii="宋体" w:hAnsi="宋体" w:eastAsia="宋体" w:cs="宋体"/>
          <w:b/>
          <w:color w:val="auto"/>
          <w:sz w:val="28"/>
          <w:szCs w:val="28"/>
          <w:highlight w:val="none"/>
        </w:rPr>
      </w:pPr>
      <w:bookmarkStart w:id="136" w:name="bookmark73"/>
      <w:bookmarkEnd w:id="136"/>
      <w:r>
        <w:rPr>
          <w:rFonts w:hint="eastAsia" w:ascii="宋体" w:hAnsi="宋体" w:eastAsia="宋体" w:cs="宋体"/>
          <w:b/>
          <w:color w:val="auto"/>
          <w:sz w:val="28"/>
          <w:szCs w:val="28"/>
          <w:highlight w:val="none"/>
        </w:rPr>
        <w:t>8.5投诉</w:t>
      </w:r>
    </w:p>
    <w:p w14:paraId="4F9DA6BF">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8.5.1投标人或者其他利害关系人认为招标投标活动不符合法律、行政法规规定的，可以自知道或者应当知道之日起10日内向有关行政监督部门投诉。投诉应当有明确的请求和必要的证明材料。</w:t>
      </w:r>
    </w:p>
    <w:p w14:paraId="6E12D8AE">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8.5.2投标人或者其他利害关系人对招标文件、开标和评标结果提出投诉的，应当按照投标人须知第2.4款、第5.3款和第7.2款的规定先向招标人提出异议。异议答复期间不计算在第8.5.1项规定的期限内。</w:t>
      </w:r>
    </w:p>
    <w:p w14:paraId="640F8F9B">
      <w:pPr>
        <w:keepNext/>
        <w:keepLines/>
        <w:wordWrap w:val="0"/>
        <w:spacing w:line="360" w:lineRule="auto"/>
        <w:outlineLvl w:val="2"/>
        <w:rPr>
          <w:rFonts w:hint="eastAsia" w:ascii="宋体" w:hAnsi="宋体" w:eastAsia="宋体" w:cs="宋体"/>
          <w:b/>
          <w:color w:val="auto"/>
          <w:sz w:val="28"/>
          <w:szCs w:val="20"/>
          <w:highlight w:val="none"/>
        </w:rPr>
      </w:pPr>
      <w:bookmarkStart w:id="137" w:name="bookmark74"/>
      <w:bookmarkEnd w:id="137"/>
      <w:bookmarkStart w:id="138" w:name="_Toc14873654"/>
      <w:r>
        <w:rPr>
          <w:rFonts w:hint="eastAsia" w:ascii="宋体" w:hAnsi="宋体" w:eastAsia="宋体" w:cs="宋体"/>
          <w:b/>
          <w:color w:val="auto"/>
          <w:sz w:val="28"/>
          <w:szCs w:val="20"/>
          <w:highlight w:val="none"/>
        </w:rPr>
        <w:t>9.  是否采用电子招标投标</w:t>
      </w:r>
      <w:bookmarkEnd w:id="138"/>
    </w:p>
    <w:p w14:paraId="44052C03">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本招标项目采用电子招标投标方式，按照广州交易集团有限公司（广州公共资源交易中心）网站关于全流程电子化项目的相关指南进行操作。</w:t>
      </w:r>
    </w:p>
    <w:p w14:paraId="15764EDA">
      <w:pPr>
        <w:keepNext/>
        <w:keepLines/>
        <w:wordWrap w:val="0"/>
        <w:spacing w:line="360" w:lineRule="auto"/>
        <w:outlineLvl w:val="2"/>
        <w:rPr>
          <w:rFonts w:hint="eastAsia" w:ascii="宋体" w:hAnsi="宋体" w:eastAsia="宋体" w:cs="宋体"/>
          <w:b/>
          <w:color w:val="auto"/>
          <w:sz w:val="28"/>
          <w:szCs w:val="20"/>
          <w:highlight w:val="none"/>
        </w:rPr>
      </w:pPr>
      <w:bookmarkStart w:id="139" w:name="bookmark75"/>
      <w:bookmarkEnd w:id="139"/>
      <w:bookmarkStart w:id="140" w:name="_Toc14873655"/>
      <w:r>
        <w:rPr>
          <w:rFonts w:hint="eastAsia" w:ascii="宋体" w:hAnsi="宋体" w:eastAsia="宋体" w:cs="宋体"/>
          <w:b/>
          <w:color w:val="auto"/>
          <w:sz w:val="28"/>
          <w:szCs w:val="20"/>
          <w:highlight w:val="none"/>
        </w:rPr>
        <w:t xml:space="preserve">10.  </w:t>
      </w:r>
      <w:bookmarkEnd w:id="140"/>
      <w:r>
        <w:rPr>
          <w:rFonts w:hint="eastAsia" w:ascii="宋体" w:hAnsi="宋体" w:eastAsia="宋体" w:cs="宋体"/>
          <w:b/>
          <w:color w:val="auto"/>
          <w:sz w:val="28"/>
          <w:szCs w:val="20"/>
          <w:highlight w:val="none"/>
        </w:rPr>
        <w:t>重新招标情形</w:t>
      </w:r>
    </w:p>
    <w:p w14:paraId="7EC37D0A">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在下列情况下，依法必须招标项目的招标人在分析招标失败的原因并采取相应措施后，应当依照本办法重新招标：</w:t>
      </w:r>
    </w:p>
    <w:p w14:paraId="2CA0D80D">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（一）资格审查合格的投标人不足三个的；</w:t>
      </w:r>
    </w:p>
    <w:p w14:paraId="318D4876">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（二）在投标截止时间前提交投标文件的投标人少于三个的；</w:t>
      </w:r>
    </w:p>
    <w:p w14:paraId="14219343">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（三）所有投标均被否决的；</w:t>
      </w:r>
    </w:p>
    <w:p w14:paraId="671B3440">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（四）评标委员会否决不合格投标后，因有效投标不足三个使得投标明显缺乏竞争，评标委员会决定否决全部投标的；</w:t>
      </w:r>
    </w:p>
    <w:p w14:paraId="76BBB9EA">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（五）符合法律法规需重新招标的其他情形。</w:t>
      </w:r>
    </w:p>
    <w:p w14:paraId="4875F599">
      <w:pPr>
        <w:keepNext/>
        <w:keepLines/>
        <w:wordWrap w:val="0"/>
        <w:spacing w:line="360" w:lineRule="auto"/>
        <w:outlineLvl w:val="2"/>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t>11.  需要补充的其他内容</w:t>
      </w:r>
    </w:p>
    <w:p w14:paraId="16E8CC6F">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需要补充的其他内容：见投标人须知前附表。</w:t>
      </w:r>
    </w:p>
    <w:p w14:paraId="732D5844">
      <w:pPr>
        <w:keepNext/>
        <w:keepLines/>
        <w:wordWrap w:val="0"/>
        <w:spacing w:line="360" w:lineRule="auto"/>
        <w:outlineLvl w:val="2"/>
        <w:rPr>
          <w:rFonts w:hint="eastAsia" w:ascii="宋体" w:hAnsi="宋体" w:eastAsia="宋体" w:cs="宋体"/>
          <w:b/>
          <w:color w:val="auto"/>
          <w:sz w:val="28"/>
          <w:szCs w:val="20"/>
          <w:highlight w:val="none"/>
        </w:rPr>
      </w:pPr>
      <w:bookmarkStart w:id="141" w:name="_Toc247527568"/>
      <w:bookmarkEnd w:id="141"/>
      <w:bookmarkStart w:id="142" w:name="_Toc15242"/>
      <w:bookmarkEnd w:id="142"/>
      <w:bookmarkStart w:id="143" w:name="_Toc152045543"/>
      <w:bookmarkEnd w:id="143"/>
      <w:bookmarkStart w:id="144" w:name="_Toc361508599"/>
      <w:bookmarkEnd w:id="144"/>
      <w:bookmarkStart w:id="145" w:name="_Toc300834964"/>
      <w:bookmarkEnd w:id="145"/>
      <w:bookmarkStart w:id="146" w:name="_Toc369531530"/>
      <w:bookmarkEnd w:id="146"/>
      <w:bookmarkStart w:id="147" w:name="_Toc352691487"/>
      <w:bookmarkEnd w:id="147"/>
      <w:bookmarkStart w:id="148" w:name="_Toc144974511"/>
      <w:bookmarkEnd w:id="148"/>
      <w:bookmarkStart w:id="149" w:name="_Toc247513967"/>
      <w:bookmarkEnd w:id="149"/>
      <w:bookmarkStart w:id="150" w:name="_Toc384308224"/>
      <w:bookmarkEnd w:id="150"/>
      <w:bookmarkStart w:id="151" w:name="_Toc152042319"/>
      <w:bookmarkEnd w:id="151"/>
      <w:bookmarkStart w:id="152" w:name="_Toc59200683"/>
      <w:bookmarkStart w:id="153" w:name="_Toc526786487"/>
      <w:bookmarkStart w:id="154" w:name="_Toc15547"/>
      <w:bookmarkStart w:id="155" w:name="_Toc11759"/>
      <w:r>
        <w:rPr>
          <w:rFonts w:hint="eastAsia" w:ascii="宋体" w:hAnsi="宋体" w:eastAsia="宋体" w:cs="宋体"/>
          <w:b/>
          <w:color w:val="auto"/>
          <w:highlight w:val="none"/>
        </w:rPr>
        <w:br w:type="page"/>
      </w:r>
      <w:bookmarkEnd w:id="152"/>
      <w:bookmarkEnd w:id="153"/>
      <w:bookmarkEnd w:id="154"/>
      <w:bookmarkEnd w:id="155"/>
      <w:bookmarkStart w:id="156" w:name="_Toc14873657"/>
      <w:bookmarkStart w:id="157" w:name="_Toc59200684"/>
      <w:bookmarkStart w:id="158" w:name="_Toc526786489"/>
      <w:bookmarkStart w:id="159" w:name="_Toc11145"/>
    </w:p>
    <w:bookmarkEnd w:id="156"/>
    <w:bookmarkEnd w:id="157"/>
    <w:p w14:paraId="3E46223A">
      <w:pPr>
        <w:keepNext/>
        <w:keepLines/>
        <w:wordWrap w:val="0"/>
        <w:spacing w:before="260" w:line="416" w:lineRule="auto"/>
        <w:outlineLvl w:val="2"/>
        <w:rPr>
          <w:rFonts w:hint="eastAsia" w:ascii="宋体" w:hAnsi="宋体" w:eastAsia="宋体" w:cs="宋体"/>
          <w:b/>
          <w:bCs/>
          <w:color w:val="auto"/>
          <w:spacing w:val="1"/>
          <w:kern w:val="0"/>
          <w:sz w:val="28"/>
          <w:szCs w:val="32"/>
          <w:highlight w:val="none"/>
          <w:lang w:val="en-US" w:eastAsia="zh-CN"/>
        </w:rPr>
      </w:pPr>
      <w:bookmarkStart w:id="160" w:name="_Toc59200686"/>
      <w:r>
        <w:rPr>
          <w:rFonts w:hint="eastAsia" w:ascii="宋体" w:hAnsi="宋体" w:eastAsia="宋体" w:cs="宋体"/>
          <w:b/>
          <w:bCs/>
          <w:color w:val="auto"/>
          <w:spacing w:val="1"/>
          <w:kern w:val="0"/>
          <w:sz w:val="28"/>
          <w:szCs w:val="32"/>
          <w:highlight w:val="none"/>
          <w:lang w:val="en-US" w:eastAsia="zh-CN"/>
        </w:rPr>
        <w:t>附件：</w:t>
      </w:r>
    </w:p>
    <w:p w14:paraId="16BA44CF">
      <w:pPr>
        <w:keepNext/>
        <w:keepLines/>
        <w:wordWrap w:val="0"/>
        <w:spacing w:before="260" w:line="416" w:lineRule="auto"/>
        <w:jc w:val="center"/>
        <w:outlineLvl w:val="2"/>
        <w:rPr>
          <w:rFonts w:hint="eastAsia" w:ascii="宋体" w:hAnsi="宋体" w:eastAsia="宋体" w:cs="宋体"/>
          <w:b/>
          <w:bCs/>
          <w:color w:val="auto"/>
          <w:spacing w:val="1"/>
          <w:kern w:val="0"/>
          <w:sz w:val="28"/>
          <w:szCs w:val="32"/>
          <w:highlight w:val="none"/>
          <w:lang w:val="zh-CN"/>
        </w:rPr>
      </w:pPr>
      <w:r>
        <w:rPr>
          <w:rFonts w:hint="eastAsia" w:ascii="宋体" w:hAnsi="宋体" w:eastAsia="宋体" w:cs="宋体"/>
          <w:b/>
          <w:bCs/>
          <w:color w:val="auto"/>
          <w:spacing w:val="1"/>
          <w:kern w:val="0"/>
          <w:sz w:val="28"/>
          <w:szCs w:val="32"/>
          <w:highlight w:val="none"/>
          <w:lang w:val="zh-CN"/>
        </w:rPr>
        <w:t>评标委员会成员声明</w:t>
      </w:r>
    </w:p>
    <w:p w14:paraId="3CD806B6">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本项目招标人  </w:t>
      </w:r>
      <w:r>
        <w:rPr>
          <w:rFonts w:hint="eastAsia" w:ascii="宋体" w:hAnsi="宋体" w:eastAsia="宋体" w:cs="宋体"/>
          <w:color w:val="auto"/>
          <w:sz w:val="24"/>
          <w:szCs w:val="24"/>
          <w:highlight w:val="none"/>
        </w:rPr>
        <w:t>：</w:t>
      </w:r>
    </w:p>
    <w:p w14:paraId="7B91889A">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本人就参与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项目的评标工作，作出郑重声明：</w:t>
      </w:r>
    </w:p>
    <w:p w14:paraId="3AE47546">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5CDFA14">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1F131E0">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506B03EA">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FC0A1D9">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38A1950F">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如果本人违反上述声明内容，造成的后果由本人自行承担。</w:t>
      </w:r>
    </w:p>
    <w:p w14:paraId="2CFF60E0">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声明人：</w:t>
      </w:r>
      <w:r>
        <w:rPr>
          <w:rFonts w:hint="eastAsia" w:ascii="宋体" w:hAnsi="宋体" w:eastAsia="宋体" w:cs="宋体"/>
          <w:color w:val="auto"/>
          <w:sz w:val="24"/>
          <w:szCs w:val="24"/>
          <w:highlight w:val="none"/>
          <w:u w:val="single"/>
        </w:rPr>
        <w:t xml:space="preserve">（签名）  </w:t>
      </w:r>
    </w:p>
    <w:p w14:paraId="744C02F1">
      <w:pPr>
        <w:rPr>
          <w:rFonts w:hint="eastAsia" w:ascii="宋体" w:hAnsi="宋体" w:eastAsia="宋体" w:cs="宋体"/>
          <w:b/>
          <w:color w:val="auto"/>
          <w:kern w:val="44"/>
          <w:sz w:val="44"/>
          <w:szCs w:val="20"/>
          <w:highlight w:val="none"/>
        </w:rPr>
      </w:pPr>
      <w:r>
        <w:rPr>
          <w:rFonts w:hint="eastAsia" w:ascii="宋体" w:hAnsi="宋体" w:eastAsia="宋体" w:cs="宋体"/>
          <w:b/>
          <w:color w:val="auto"/>
          <w:kern w:val="44"/>
          <w:sz w:val="44"/>
          <w:szCs w:val="20"/>
          <w:highlight w:val="none"/>
        </w:rPr>
        <w:br w:type="page"/>
      </w:r>
    </w:p>
    <w:p w14:paraId="1DA51D37">
      <w:pPr>
        <w:wordWrap w:val="0"/>
        <w:spacing w:before="340" w:after="330"/>
        <w:jc w:val="center"/>
        <w:outlineLvl w:val="0"/>
        <w:rPr>
          <w:rFonts w:hint="eastAsia" w:ascii="宋体" w:hAnsi="宋体" w:eastAsia="宋体" w:cs="宋体"/>
          <w:b/>
          <w:color w:val="auto"/>
          <w:kern w:val="44"/>
          <w:sz w:val="44"/>
          <w:szCs w:val="20"/>
          <w:highlight w:val="none"/>
        </w:rPr>
      </w:pPr>
      <w:r>
        <w:rPr>
          <w:rFonts w:hint="eastAsia" w:ascii="宋体" w:hAnsi="宋体" w:eastAsia="宋体" w:cs="宋体"/>
          <w:b/>
          <w:color w:val="auto"/>
          <w:kern w:val="44"/>
          <w:sz w:val="44"/>
          <w:szCs w:val="20"/>
          <w:highlight w:val="none"/>
        </w:rPr>
        <w:t>第三章 评标办法（综合评估法）</w:t>
      </w:r>
      <w:bookmarkEnd w:id="158"/>
      <w:bookmarkEnd w:id="159"/>
      <w:bookmarkEnd w:id="160"/>
      <w:bookmarkStart w:id="161" w:name="评标办法（综合评估法）"/>
      <w:bookmarkEnd w:id="161"/>
    </w:p>
    <w:p w14:paraId="625E955B">
      <w:pPr>
        <w:wordWrap w:val="0"/>
        <w:jc w:val="center"/>
        <w:outlineLvl w:val="1"/>
        <w:rPr>
          <w:rFonts w:hint="eastAsia" w:ascii="宋体" w:hAnsi="宋体" w:eastAsia="宋体" w:cs="宋体"/>
          <w:b/>
          <w:color w:val="auto"/>
          <w:sz w:val="32"/>
          <w:szCs w:val="20"/>
          <w:highlight w:val="none"/>
        </w:rPr>
      </w:pPr>
      <w:bookmarkStart w:id="162" w:name="_Toc59200687"/>
      <w:r>
        <w:rPr>
          <w:rFonts w:hint="eastAsia" w:ascii="宋体" w:hAnsi="宋体" w:eastAsia="宋体" w:cs="宋体"/>
          <w:b/>
          <w:color w:val="auto"/>
          <w:sz w:val="32"/>
          <w:szCs w:val="20"/>
          <w:highlight w:val="none"/>
        </w:rPr>
        <w:t>评标办法前附表</w:t>
      </w:r>
      <w:bookmarkEnd w:id="162"/>
    </w:p>
    <w:tbl>
      <w:tblPr>
        <w:tblStyle w:val="25"/>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24"/>
        <w:gridCol w:w="2476"/>
        <w:gridCol w:w="5424"/>
      </w:tblGrid>
      <w:tr w14:paraId="3F69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024" w:type="dxa"/>
            <w:gridSpan w:val="2"/>
            <w:vAlign w:val="center"/>
          </w:tcPr>
          <w:p w14:paraId="61949DBF">
            <w:pPr>
              <w:wordWrap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476" w:type="dxa"/>
            <w:vAlign w:val="center"/>
          </w:tcPr>
          <w:p w14:paraId="1D74927D">
            <w:pPr>
              <w:wordWrap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5424" w:type="dxa"/>
            <w:vAlign w:val="center"/>
          </w:tcPr>
          <w:p w14:paraId="1C2480AE">
            <w:pPr>
              <w:wordWrap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评审标准</w:t>
            </w:r>
          </w:p>
        </w:tc>
      </w:tr>
      <w:tr w14:paraId="3FFB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Align w:val="center"/>
          </w:tcPr>
          <w:p w14:paraId="48AF12BC">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24" w:type="dxa"/>
            <w:vAlign w:val="center"/>
          </w:tcPr>
          <w:p w14:paraId="7F6E851E">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2476" w:type="dxa"/>
            <w:vAlign w:val="center"/>
          </w:tcPr>
          <w:p w14:paraId="4DF5D366">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中标候选人排序方法</w:t>
            </w:r>
          </w:p>
        </w:tc>
        <w:tc>
          <w:tcPr>
            <w:tcW w:w="5424" w:type="dxa"/>
            <w:vAlign w:val="center"/>
          </w:tcPr>
          <w:p w14:paraId="6ABBC180">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val="en-US" w:eastAsia="zh-CN"/>
              </w:rPr>
              <w:t>招标项目</w:t>
            </w:r>
            <w:r>
              <w:rPr>
                <w:rFonts w:hint="eastAsia" w:ascii="宋体" w:hAnsi="宋体" w:eastAsia="宋体" w:cs="宋体"/>
                <w:color w:val="auto"/>
                <w:szCs w:val="21"/>
                <w:highlight w:val="none"/>
              </w:rPr>
              <w:t>采用综合评估法。评标委员会对满足招标文件实质性要求的投标文件，按照本章第2.2款规定的评分标准进行打分，并按得分由高到低顺序推荐中标候选人，但投标报价低于其成本的除外，排序的前一～三名为第一中标候选人、第二中标候选人和第三中标候选人。综合评分相等时，以投标报价低的优先；投标报价也相等的，以监理大纲得分高的优先；如果监理大纲得分也相等，</w:t>
            </w:r>
            <w:r>
              <w:rPr>
                <w:rFonts w:hint="eastAsia" w:ascii="宋体" w:hAnsi="宋体" w:eastAsia="宋体" w:cs="宋体"/>
                <w:color w:val="auto"/>
                <w:szCs w:val="21"/>
                <w:highlight w:val="none"/>
                <w:u w:val="single"/>
              </w:rPr>
              <w:t>则对具有相同情况的投标人，由评标委员会采用记名投票方式，以得票多的优先，确定投标人最终名次的排序。</w:t>
            </w:r>
          </w:p>
        </w:tc>
      </w:tr>
      <w:tr w14:paraId="3318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restart"/>
            <w:vAlign w:val="center"/>
          </w:tcPr>
          <w:p w14:paraId="2360CEEC">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1124" w:type="dxa"/>
            <w:vMerge w:val="restart"/>
            <w:vAlign w:val="center"/>
          </w:tcPr>
          <w:p w14:paraId="53EEFE5D">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形式评审标准</w:t>
            </w:r>
          </w:p>
        </w:tc>
        <w:tc>
          <w:tcPr>
            <w:tcW w:w="2476" w:type="dxa"/>
            <w:vAlign w:val="center"/>
          </w:tcPr>
          <w:p w14:paraId="12A10C55">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5424" w:type="dxa"/>
            <w:vAlign w:val="center"/>
          </w:tcPr>
          <w:p w14:paraId="4762C47D">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与营业执照或事业单位登记机构核发的事业单位法人证书、资质证书一致。</w:t>
            </w:r>
          </w:p>
        </w:tc>
      </w:tr>
      <w:tr w14:paraId="2416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Merge w:val="continue"/>
            <w:vAlign w:val="center"/>
          </w:tcPr>
          <w:p w14:paraId="76391C88">
            <w:pPr>
              <w:wordWrap w:val="0"/>
              <w:spacing w:line="276" w:lineRule="auto"/>
              <w:jc w:val="center"/>
              <w:rPr>
                <w:rFonts w:hint="eastAsia" w:ascii="宋体" w:hAnsi="宋体" w:eastAsia="宋体" w:cs="宋体"/>
                <w:color w:val="auto"/>
                <w:szCs w:val="21"/>
                <w:highlight w:val="none"/>
              </w:rPr>
            </w:pPr>
          </w:p>
        </w:tc>
        <w:tc>
          <w:tcPr>
            <w:tcW w:w="1124" w:type="dxa"/>
            <w:vMerge w:val="continue"/>
            <w:vAlign w:val="center"/>
          </w:tcPr>
          <w:p w14:paraId="08089691">
            <w:pPr>
              <w:wordWrap w:val="0"/>
              <w:spacing w:line="276" w:lineRule="auto"/>
              <w:jc w:val="center"/>
              <w:rPr>
                <w:rFonts w:hint="eastAsia" w:ascii="宋体" w:hAnsi="宋体" w:eastAsia="宋体" w:cs="宋体"/>
                <w:color w:val="auto"/>
                <w:szCs w:val="21"/>
                <w:highlight w:val="none"/>
              </w:rPr>
            </w:pPr>
          </w:p>
        </w:tc>
        <w:tc>
          <w:tcPr>
            <w:tcW w:w="2476" w:type="dxa"/>
            <w:vAlign w:val="center"/>
          </w:tcPr>
          <w:p w14:paraId="4C84EC00">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投标人参加投标的意思表达清楚，投标人代表被授权有效</w:t>
            </w:r>
          </w:p>
        </w:tc>
        <w:tc>
          <w:tcPr>
            <w:tcW w:w="5424" w:type="dxa"/>
            <w:vAlign w:val="center"/>
          </w:tcPr>
          <w:p w14:paraId="225EA61A">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投标人声明、投标人廉洁承诺书、法定代表人证明；委托投标的还应提供法人授权委托证明书。</w:t>
            </w:r>
          </w:p>
        </w:tc>
      </w:tr>
      <w:tr w14:paraId="1E47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5749C0CD">
            <w:pPr>
              <w:wordWrap w:val="0"/>
              <w:spacing w:line="276" w:lineRule="auto"/>
              <w:rPr>
                <w:rFonts w:hint="eastAsia" w:ascii="宋体" w:hAnsi="宋体" w:eastAsia="宋体" w:cs="宋体"/>
                <w:color w:val="auto"/>
                <w:szCs w:val="21"/>
                <w:highlight w:val="none"/>
              </w:rPr>
            </w:pPr>
          </w:p>
        </w:tc>
        <w:tc>
          <w:tcPr>
            <w:tcW w:w="1124" w:type="dxa"/>
            <w:vMerge w:val="continue"/>
            <w:vAlign w:val="center"/>
          </w:tcPr>
          <w:p w14:paraId="43766C16">
            <w:pPr>
              <w:wordWrap w:val="0"/>
              <w:spacing w:line="276" w:lineRule="auto"/>
              <w:rPr>
                <w:rFonts w:hint="eastAsia" w:ascii="宋体" w:hAnsi="宋体" w:eastAsia="宋体" w:cs="宋体"/>
                <w:color w:val="auto"/>
                <w:szCs w:val="21"/>
                <w:highlight w:val="none"/>
              </w:rPr>
            </w:pPr>
          </w:p>
        </w:tc>
        <w:tc>
          <w:tcPr>
            <w:tcW w:w="2476" w:type="dxa"/>
            <w:vAlign w:val="center"/>
          </w:tcPr>
          <w:p w14:paraId="311D6C3F">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投标函及投标函附录签字盖章</w:t>
            </w:r>
          </w:p>
        </w:tc>
        <w:tc>
          <w:tcPr>
            <w:tcW w:w="5424" w:type="dxa"/>
            <w:vAlign w:val="center"/>
          </w:tcPr>
          <w:p w14:paraId="50CE8813">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有法定代表人或其委托代理人签字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和</w:t>
            </w:r>
            <w:r>
              <w:rPr>
                <w:rFonts w:hint="eastAsia" w:ascii="宋体" w:hAnsi="宋体" w:eastAsia="宋体" w:cs="宋体"/>
                <w:color w:val="auto"/>
                <w:szCs w:val="21"/>
                <w:highlight w:val="none"/>
              </w:rPr>
              <w:t>加盖单位章。由法定代表人签字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的，应附法定代表人证明；由代理人签字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的，应附法定代表人证明及授权委托书，身份证明或授权委托书参考第六章“投标文件格式”的规定。</w:t>
            </w:r>
          </w:p>
        </w:tc>
      </w:tr>
      <w:tr w14:paraId="3B8C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292D18F2">
            <w:pPr>
              <w:wordWrap w:val="0"/>
              <w:spacing w:line="276" w:lineRule="auto"/>
              <w:rPr>
                <w:rFonts w:hint="eastAsia" w:ascii="宋体" w:hAnsi="宋体" w:eastAsia="宋体" w:cs="宋体"/>
                <w:color w:val="auto"/>
                <w:szCs w:val="21"/>
                <w:highlight w:val="none"/>
              </w:rPr>
            </w:pPr>
          </w:p>
        </w:tc>
        <w:tc>
          <w:tcPr>
            <w:tcW w:w="1124" w:type="dxa"/>
            <w:vMerge w:val="continue"/>
            <w:vAlign w:val="center"/>
          </w:tcPr>
          <w:p w14:paraId="4222D0E2">
            <w:pPr>
              <w:wordWrap w:val="0"/>
              <w:spacing w:line="276" w:lineRule="auto"/>
              <w:rPr>
                <w:rFonts w:hint="eastAsia" w:ascii="宋体" w:hAnsi="宋体" w:eastAsia="宋体" w:cs="宋体"/>
                <w:color w:val="auto"/>
                <w:szCs w:val="21"/>
                <w:highlight w:val="none"/>
              </w:rPr>
            </w:pPr>
          </w:p>
        </w:tc>
        <w:tc>
          <w:tcPr>
            <w:tcW w:w="2476" w:type="dxa"/>
            <w:vAlign w:val="center"/>
          </w:tcPr>
          <w:p w14:paraId="4CB44731">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5424" w:type="dxa"/>
            <w:vAlign w:val="center"/>
          </w:tcPr>
          <w:p w14:paraId="3B1BFB84">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符合第六章“投标文件格式”中的</w:t>
            </w:r>
            <w:r>
              <w:rPr>
                <w:rFonts w:hint="eastAsia" w:ascii="宋体" w:hAnsi="宋体" w:eastAsia="宋体" w:cs="宋体"/>
                <w:b/>
                <w:color w:val="auto"/>
                <w:szCs w:val="21"/>
                <w:highlight w:val="none"/>
                <w:u w:val="single"/>
              </w:rPr>
              <w:t>《投标函及投标函附录》</w:t>
            </w:r>
            <w:r>
              <w:rPr>
                <w:rFonts w:hint="eastAsia" w:ascii="宋体" w:hAnsi="宋体" w:eastAsia="宋体" w:cs="宋体"/>
                <w:color w:val="auto"/>
                <w:szCs w:val="21"/>
                <w:highlight w:val="none"/>
              </w:rPr>
              <w:t>规定。</w:t>
            </w:r>
          </w:p>
        </w:tc>
      </w:tr>
      <w:tr w14:paraId="69D0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248EC948">
            <w:pPr>
              <w:wordWrap w:val="0"/>
              <w:spacing w:line="276" w:lineRule="auto"/>
              <w:rPr>
                <w:rFonts w:hint="eastAsia" w:ascii="宋体" w:hAnsi="宋体" w:eastAsia="宋体" w:cs="宋体"/>
                <w:color w:val="auto"/>
                <w:szCs w:val="21"/>
                <w:highlight w:val="none"/>
              </w:rPr>
            </w:pPr>
          </w:p>
        </w:tc>
        <w:tc>
          <w:tcPr>
            <w:tcW w:w="1124" w:type="dxa"/>
            <w:vMerge w:val="continue"/>
            <w:vAlign w:val="center"/>
          </w:tcPr>
          <w:p w14:paraId="14CC97C4">
            <w:pPr>
              <w:wordWrap w:val="0"/>
              <w:spacing w:line="276" w:lineRule="auto"/>
              <w:rPr>
                <w:rFonts w:hint="eastAsia" w:ascii="宋体" w:hAnsi="宋体" w:eastAsia="宋体" w:cs="宋体"/>
                <w:color w:val="auto"/>
                <w:szCs w:val="21"/>
                <w:highlight w:val="none"/>
              </w:rPr>
            </w:pPr>
          </w:p>
        </w:tc>
        <w:tc>
          <w:tcPr>
            <w:tcW w:w="2476" w:type="dxa"/>
            <w:vAlign w:val="center"/>
          </w:tcPr>
          <w:p w14:paraId="07E6EE0F">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联合体投标人</w:t>
            </w:r>
          </w:p>
        </w:tc>
        <w:tc>
          <w:tcPr>
            <w:tcW w:w="5424" w:type="dxa"/>
            <w:vAlign w:val="center"/>
          </w:tcPr>
          <w:p w14:paraId="41475D3D">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不接受。</w:t>
            </w:r>
          </w:p>
        </w:tc>
      </w:tr>
      <w:tr w14:paraId="6F8B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06476104">
            <w:pPr>
              <w:wordWrap w:val="0"/>
              <w:spacing w:line="276" w:lineRule="auto"/>
              <w:rPr>
                <w:rFonts w:hint="eastAsia" w:ascii="宋体" w:hAnsi="宋体" w:eastAsia="宋体" w:cs="宋体"/>
                <w:color w:val="auto"/>
                <w:szCs w:val="21"/>
                <w:highlight w:val="none"/>
              </w:rPr>
            </w:pPr>
          </w:p>
        </w:tc>
        <w:tc>
          <w:tcPr>
            <w:tcW w:w="1124" w:type="dxa"/>
            <w:vMerge w:val="continue"/>
            <w:vAlign w:val="center"/>
          </w:tcPr>
          <w:p w14:paraId="7B619098">
            <w:pPr>
              <w:wordWrap w:val="0"/>
              <w:spacing w:line="276" w:lineRule="auto"/>
              <w:rPr>
                <w:rFonts w:hint="eastAsia" w:ascii="宋体" w:hAnsi="宋体" w:eastAsia="宋体" w:cs="宋体"/>
                <w:color w:val="auto"/>
                <w:szCs w:val="21"/>
                <w:highlight w:val="none"/>
              </w:rPr>
            </w:pPr>
          </w:p>
        </w:tc>
        <w:tc>
          <w:tcPr>
            <w:tcW w:w="2476" w:type="dxa"/>
            <w:vAlign w:val="center"/>
          </w:tcPr>
          <w:p w14:paraId="68F5159F">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备选投标方案</w:t>
            </w:r>
          </w:p>
        </w:tc>
        <w:tc>
          <w:tcPr>
            <w:tcW w:w="5424" w:type="dxa"/>
            <w:vAlign w:val="center"/>
          </w:tcPr>
          <w:p w14:paraId="1D4B5F16">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除招标文件明确允许提交备选投标方案外，投标人不得提交备选投标方案。</w:t>
            </w:r>
          </w:p>
        </w:tc>
      </w:tr>
      <w:tr w14:paraId="0F2E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900" w:type="dxa"/>
            <w:vMerge w:val="continue"/>
            <w:vAlign w:val="center"/>
          </w:tcPr>
          <w:p w14:paraId="5A65F5BC">
            <w:pPr>
              <w:wordWrap w:val="0"/>
              <w:spacing w:line="276" w:lineRule="auto"/>
              <w:rPr>
                <w:rFonts w:hint="eastAsia" w:ascii="宋体" w:hAnsi="宋体" w:eastAsia="宋体" w:cs="宋体"/>
                <w:color w:val="auto"/>
                <w:szCs w:val="21"/>
                <w:highlight w:val="none"/>
              </w:rPr>
            </w:pPr>
          </w:p>
        </w:tc>
        <w:tc>
          <w:tcPr>
            <w:tcW w:w="1124" w:type="dxa"/>
            <w:vMerge w:val="continue"/>
            <w:vAlign w:val="center"/>
          </w:tcPr>
          <w:p w14:paraId="1491014B">
            <w:pPr>
              <w:wordWrap w:val="0"/>
              <w:spacing w:line="276" w:lineRule="auto"/>
              <w:rPr>
                <w:rFonts w:hint="eastAsia" w:ascii="宋体" w:hAnsi="宋体" w:eastAsia="宋体" w:cs="宋体"/>
                <w:color w:val="auto"/>
                <w:szCs w:val="21"/>
                <w:highlight w:val="none"/>
              </w:rPr>
            </w:pPr>
          </w:p>
        </w:tc>
        <w:tc>
          <w:tcPr>
            <w:tcW w:w="2476" w:type="dxa"/>
            <w:vAlign w:val="center"/>
          </w:tcPr>
          <w:p w14:paraId="19EB657A">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投标人硬件特征码</w:t>
            </w:r>
          </w:p>
        </w:tc>
        <w:tc>
          <w:tcPr>
            <w:tcW w:w="5424" w:type="dxa"/>
            <w:vAlign w:val="center"/>
          </w:tcPr>
          <w:p w14:paraId="76A0BAE1">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投标人与其他投标人加密打包投标文件硬件特征码不一致的（以广州交易集团有限公司（广州公共资源交易中心）交易平台开标系统的检索信息为准）。</w:t>
            </w:r>
          </w:p>
        </w:tc>
      </w:tr>
      <w:tr w14:paraId="70F1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restart"/>
            <w:vAlign w:val="center"/>
          </w:tcPr>
          <w:p w14:paraId="7D7898A3">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1124" w:type="dxa"/>
            <w:vMerge w:val="restart"/>
            <w:vAlign w:val="center"/>
          </w:tcPr>
          <w:p w14:paraId="1684A173">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资格评审标准</w:t>
            </w:r>
          </w:p>
        </w:tc>
        <w:tc>
          <w:tcPr>
            <w:tcW w:w="2476" w:type="dxa"/>
            <w:vAlign w:val="center"/>
          </w:tcPr>
          <w:p w14:paraId="7932728B">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营业执照和组织机构代码证</w:t>
            </w:r>
          </w:p>
        </w:tc>
        <w:tc>
          <w:tcPr>
            <w:tcW w:w="5424" w:type="dxa"/>
            <w:vAlign w:val="center"/>
          </w:tcPr>
          <w:p w14:paraId="1F61406D">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符合第二章“投标人须知”第3.5.1项规定，具备有效的营业执照和组织机构代码证。按照“三证合一”或“五证合一”登记制度进行登记的投标人，可仅提供营业执照或事业单位法人证书。</w:t>
            </w:r>
          </w:p>
        </w:tc>
      </w:tr>
      <w:tr w14:paraId="0ACB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735F31A4">
            <w:pPr>
              <w:wordWrap w:val="0"/>
              <w:spacing w:line="276" w:lineRule="auto"/>
              <w:rPr>
                <w:rFonts w:hint="eastAsia" w:ascii="宋体" w:hAnsi="宋体" w:eastAsia="宋体" w:cs="宋体"/>
                <w:color w:val="auto"/>
                <w:szCs w:val="21"/>
                <w:highlight w:val="none"/>
              </w:rPr>
            </w:pPr>
          </w:p>
        </w:tc>
        <w:tc>
          <w:tcPr>
            <w:tcW w:w="1124" w:type="dxa"/>
            <w:vMerge w:val="continue"/>
            <w:vAlign w:val="center"/>
          </w:tcPr>
          <w:p w14:paraId="260055B1">
            <w:pPr>
              <w:wordWrap w:val="0"/>
              <w:spacing w:line="276" w:lineRule="auto"/>
              <w:rPr>
                <w:rFonts w:hint="eastAsia" w:ascii="宋体" w:hAnsi="宋体" w:eastAsia="宋体" w:cs="宋体"/>
                <w:color w:val="auto"/>
                <w:szCs w:val="21"/>
                <w:highlight w:val="none"/>
              </w:rPr>
            </w:pPr>
          </w:p>
        </w:tc>
        <w:tc>
          <w:tcPr>
            <w:tcW w:w="2476" w:type="dxa"/>
            <w:vAlign w:val="center"/>
          </w:tcPr>
          <w:p w14:paraId="75E43D8A">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资质要求</w:t>
            </w:r>
          </w:p>
        </w:tc>
        <w:tc>
          <w:tcPr>
            <w:tcW w:w="5424" w:type="dxa"/>
            <w:vAlign w:val="center"/>
          </w:tcPr>
          <w:p w14:paraId="5019D9F5">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符合第二章“投标人须知”第1.4.1项规定。</w:t>
            </w:r>
          </w:p>
        </w:tc>
      </w:tr>
      <w:tr w14:paraId="499F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38E95750">
            <w:pPr>
              <w:wordWrap w:val="0"/>
              <w:spacing w:line="276" w:lineRule="auto"/>
              <w:rPr>
                <w:rFonts w:hint="eastAsia" w:ascii="宋体" w:hAnsi="宋体" w:eastAsia="宋体" w:cs="宋体"/>
                <w:color w:val="auto"/>
                <w:szCs w:val="21"/>
                <w:highlight w:val="none"/>
              </w:rPr>
            </w:pPr>
          </w:p>
        </w:tc>
        <w:tc>
          <w:tcPr>
            <w:tcW w:w="1124" w:type="dxa"/>
            <w:vMerge w:val="continue"/>
            <w:vAlign w:val="center"/>
          </w:tcPr>
          <w:p w14:paraId="6AC76B28">
            <w:pPr>
              <w:wordWrap w:val="0"/>
              <w:spacing w:line="276" w:lineRule="auto"/>
              <w:rPr>
                <w:rFonts w:hint="eastAsia" w:ascii="宋体" w:hAnsi="宋体" w:eastAsia="宋体" w:cs="宋体"/>
                <w:color w:val="auto"/>
                <w:szCs w:val="21"/>
                <w:highlight w:val="none"/>
              </w:rPr>
            </w:pPr>
          </w:p>
        </w:tc>
        <w:tc>
          <w:tcPr>
            <w:tcW w:w="2476" w:type="dxa"/>
            <w:vAlign w:val="center"/>
          </w:tcPr>
          <w:p w14:paraId="7F66C83A">
            <w:pPr>
              <w:wordWrap w:val="0"/>
              <w:spacing w:line="276" w:lineRule="auto"/>
              <w:jc w:val="cente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业绩要求</w:t>
            </w:r>
          </w:p>
        </w:tc>
        <w:tc>
          <w:tcPr>
            <w:tcW w:w="5424" w:type="dxa"/>
            <w:vAlign w:val="center"/>
          </w:tcPr>
          <w:p w14:paraId="251C4C16">
            <w:pPr>
              <w:wordWrap w:val="0"/>
              <w:spacing w:line="276" w:lineRule="auto"/>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符合第二章“投标人须知”第1.4.1项规定。</w:t>
            </w:r>
          </w:p>
        </w:tc>
      </w:tr>
      <w:tr w14:paraId="27A0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0FD365F4">
            <w:pPr>
              <w:wordWrap w:val="0"/>
              <w:spacing w:line="276" w:lineRule="auto"/>
              <w:rPr>
                <w:rFonts w:hint="eastAsia" w:ascii="宋体" w:hAnsi="宋体" w:eastAsia="宋体" w:cs="宋体"/>
                <w:color w:val="auto"/>
                <w:szCs w:val="21"/>
                <w:highlight w:val="none"/>
              </w:rPr>
            </w:pPr>
          </w:p>
        </w:tc>
        <w:tc>
          <w:tcPr>
            <w:tcW w:w="1124" w:type="dxa"/>
            <w:vMerge w:val="continue"/>
            <w:vAlign w:val="center"/>
          </w:tcPr>
          <w:p w14:paraId="3BFAF02C">
            <w:pPr>
              <w:wordWrap w:val="0"/>
              <w:spacing w:line="276" w:lineRule="auto"/>
              <w:rPr>
                <w:rFonts w:hint="eastAsia" w:ascii="宋体" w:hAnsi="宋体" w:eastAsia="宋体" w:cs="宋体"/>
                <w:color w:val="auto"/>
                <w:szCs w:val="21"/>
                <w:highlight w:val="none"/>
              </w:rPr>
            </w:pPr>
          </w:p>
        </w:tc>
        <w:tc>
          <w:tcPr>
            <w:tcW w:w="2476" w:type="dxa"/>
            <w:vAlign w:val="center"/>
          </w:tcPr>
          <w:p w14:paraId="24DC9A1C">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w:t>
            </w:r>
          </w:p>
        </w:tc>
        <w:tc>
          <w:tcPr>
            <w:tcW w:w="5424" w:type="dxa"/>
            <w:vAlign w:val="center"/>
          </w:tcPr>
          <w:p w14:paraId="3E10DAA5">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符合第二章“投标人须知”第1.4.1项规定。</w:t>
            </w:r>
          </w:p>
        </w:tc>
      </w:tr>
      <w:tr w14:paraId="3594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1FE243DF">
            <w:pPr>
              <w:wordWrap w:val="0"/>
              <w:spacing w:line="276" w:lineRule="auto"/>
              <w:rPr>
                <w:rFonts w:hint="eastAsia" w:ascii="宋体" w:hAnsi="宋体" w:eastAsia="宋体" w:cs="宋体"/>
                <w:color w:val="auto"/>
                <w:szCs w:val="21"/>
                <w:highlight w:val="none"/>
              </w:rPr>
            </w:pPr>
          </w:p>
        </w:tc>
        <w:tc>
          <w:tcPr>
            <w:tcW w:w="1124" w:type="dxa"/>
            <w:vMerge w:val="continue"/>
            <w:vAlign w:val="center"/>
          </w:tcPr>
          <w:p w14:paraId="465291E3">
            <w:pPr>
              <w:wordWrap w:val="0"/>
              <w:spacing w:line="276" w:lineRule="auto"/>
              <w:rPr>
                <w:rFonts w:hint="eastAsia" w:ascii="宋体" w:hAnsi="宋体" w:eastAsia="宋体" w:cs="宋体"/>
                <w:color w:val="auto"/>
                <w:szCs w:val="21"/>
                <w:highlight w:val="none"/>
              </w:rPr>
            </w:pPr>
          </w:p>
        </w:tc>
        <w:tc>
          <w:tcPr>
            <w:tcW w:w="2476" w:type="dxa"/>
            <w:vAlign w:val="center"/>
          </w:tcPr>
          <w:p w14:paraId="68B37D11">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5424" w:type="dxa"/>
            <w:vAlign w:val="center"/>
          </w:tcPr>
          <w:p w14:paraId="48D1D994">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符合第二章“投标人须知”第1.4.1项规定。</w:t>
            </w:r>
          </w:p>
        </w:tc>
      </w:tr>
      <w:tr w14:paraId="4805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2D2A5D99">
            <w:pPr>
              <w:wordWrap w:val="0"/>
              <w:spacing w:line="276" w:lineRule="auto"/>
              <w:rPr>
                <w:rFonts w:hint="eastAsia" w:ascii="宋体" w:hAnsi="宋体" w:eastAsia="宋体" w:cs="宋体"/>
                <w:color w:val="auto"/>
                <w:szCs w:val="21"/>
                <w:highlight w:val="none"/>
              </w:rPr>
            </w:pPr>
          </w:p>
        </w:tc>
        <w:tc>
          <w:tcPr>
            <w:tcW w:w="1124" w:type="dxa"/>
            <w:vMerge w:val="continue"/>
            <w:vAlign w:val="center"/>
          </w:tcPr>
          <w:p w14:paraId="4D559345">
            <w:pPr>
              <w:wordWrap w:val="0"/>
              <w:spacing w:line="276" w:lineRule="auto"/>
              <w:rPr>
                <w:rFonts w:hint="eastAsia" w:ascii="宋体" w:hAnsi="宋体" w:eastAsia="宋体" w:cs="宋体"/>
                <w:color w:val="auto"/>
                <w:szCs w:val="21"/>
                <w:highlight w:val="none"/>
              </w:rPr>
            </w:pPr>
          </w:p>
        </w:tc>
        <w:tc>
          <w:tcPr>
            <w:tcW w:w="2476" w:type="dxa"/>
            <w:vAlign w:val="center"/>
          </w:tcPr>
          <w:p w14:paraId="66FF8BFD">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联合体投标人</w:t>
            </w:r>
          </w:p>
        </w:tc>
        <w:tc>
          <w:tcPr>
            <w:tcW w:w="5424" w:type="dxa"/>
            <w:vAlign w:val="center"/>
          </w:tcPr>
          <w:p w14:paraId="74AA6583">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不接受。</w:t>
            </w:r>
          </w:p>
        </w:tc>
      </w:tr>
      <w:tr w14:paraId="3794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24D98CEA">
            <w:pPr>
              <w:wordWrap w:val="0"/>
              <w:spacing w:line="276" w:lineRule="auto"/>
              <w:rPr>
                <w:rFonts w:hint="eastAsia" w:ascii="宋体" w:hAnsi="宋体" w:eastAsia="宋体" w:cs="宋体"/>
                <w:color w:val="auto"/>
                <w:szCs w:val="21"/>
                <w:highlight w:val="none"/>
              </w:rPr>
            </w:pPr>
          </w:p>
        </w:tc>
        <w:tc>
          <w:tcPr>
            <w:tcW w:w="1124" w:type="dxa"/>
            <w:vMerge w:val="continue"/>
            <w:vAlign w:val="center"/>
          </w:tcPr>
          <w:p w14:paraId="48FFA73A">
            <w:pPr>
              <w:wordWrap w:val="0"/>
              <w:spacing w:line="276" w:lineRule="auto"/>
              <w:rPr>
                <w:rFonts w:hint="eastAsia" w:ascii="宋体" w:hAnsi="宋体" w:eastAsia="宋体" w:cs="宋体"/>
                <w:color w:val="auto"/>
                <w:szCs w:val="21"/>
                <w:highlight w:val="none"/>
              </w:rPr>
            </w:pPr>
          </w:p>
        </w:tc>
        <w:tc>
          <w:tcPr>
            <w:tcW w:w="2476" w:type="dxa"/>
            <w:vAlign w:val="center"/>
          </w:tcPr>
          <w:p w14:paraId="12BF3B15">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不存在禁止投标的情形</w:t>
            </w:r>
          </w:p>
        </w:tc>
        <w:tc>
          <w:tcPr>
            <w:tcW w:w="5424" w:type="dxa"/>
            <w:vAlign w:val="center"/>
          </w:tcPr>
          <w:p w14:paraId="4D4A5464">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不存在第二章“投标人须知”第1.4.3项规定的任何一种情形。</w:t>
            </w:r>
          </w:p>
        </w:tc>
      </w:tr>
      <w:tr w14:paraId="00A2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2F997CD3">
            <w:pPr>
              <w:wordWrap w:val="0"/>
              <w:spacing w:line="276" w:lineRule="auto"/>
              <w:rPr>
                <w:rFonts w:hint="eastAsia" w:ascii="宋体" w:hAnsi="宋体" w:eastAsia="宋体" w:cs="宋体"/>
                <w:color w:val="auto"/>
                <w:szCs w:val="21"/>
                <w:highlight w:val="none"/>
              </w:rPr>
            </w:pPr>
          </w:p>
        </w:tc>
        <w:tc>
          <w:tcPr>
            <w:tcW w:w="1124" w:type="dxa"/>
            <w:vMerge w:val="continue"/>
            <w:vAlign w:val="center"/>
          </w:tcPr>
          <w:p w14:paraId="2E56707D">
            <w:pPr>
              <w:wordWrap w:val="0"/>
              <w:spacing w:line="276" w:lineRule="auto"/>
              <w:rPr>
                <w:rFonts w:hint="eastAsia" w:ascii="宋体" w:hAnsi="宋体" w:eastAsia="宋体" w:cs="宋体"/>
                <w:color w:val="auto"/>
                <w:szCs w:val="21"/>
                <w:highlight w:val="none"/>
              </w:rPr>
            </w:pPr>
          </w:p>
        </w:tc>
        <w:tc>
          <w:tcPr>
            <w:tcW w:w="2476" w:type="dxa"/>
            <w:vAlign w:val="center"/>
          </w:tcPr>
          <w:p w14:paraId="452629FA">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在投标截止时间前，投标人未被列入拖欠农民工工资失信联合惩戒对象名单</w:t>
            </w:r>
          </w:p>
        </w:tc>
        <w:tc>
          <w:tcPr>
            <w:tcW w:w="5424" w:type="dxa"/>
            <w:vAlign w:val="center"/>
          </w:tcPr>
          <w:p w14:paraId="642528FF">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投标人无需提供资料，按</w:t>
            </w:r>
            <w:r>
              <w:rPr>
                <w:rFonts w:hint="eastAsia" w:ascii="宋体" w:hAnsi="宋体" w:eastAsia="宋体" w:cs="宋体"/>
                <w:color w:val="auto"/>
                <w:szCs w:val="21"/>
                <w:highlight w:val="none"/>
                <w:lang w:val="en-US" w:eastAsia="zh-CN"/>
              </w:rPr>
              <w:t>投标截止时间</w:t>
            </w:r>
            <w:r>
              <w:rPr>
                <w:rFonts w:hint="eastAsia" w:ascii="宋体" w:hAnsi="宋体" w:eastAsia="宋体" w:cs="宋体"/>
                <w:color w:val="auto"/>
                <w:szCs w:val="21"/>
                <w:highlight w:val="none"/>
              </w:rPr>
              <w:t>交易系统比对的结果进行评审</w:t>
            </w:r>
          </w:p>
        </w:tc>
      </w:tr>
      <w:tr w14:paraId="374D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0FAAA30B">
            <w:pPr>
              <w:wordWrap w:val="0"/>
              <w:spacing w:line="276" w:lineRule="auto"/>
              <w:rPr>
                <w:rFonts w:hint="eastAsia" w:ascii="宋体" w:hAnsi="宋体" w:eastAsia="宋体" w:cs="宋体"/>
                <w:color w:val="auto"/>
                <w:szCs w:val="21"/>
                <w:highlight w:val="none"/>
              </w:rPr>
            </w:pPr>
          </w:p>
        </w:tc>
        <w:tc>
          <w:tcPr>
            <w:tcW w:w="1124" w:type="dxa"/>
            <w:vMerge w:val="continue"/>
            <w:vAlign w:val="center"/>
          </w:tcPr>
          <w:p w14:paraId="203DA72D">
            <w:pPr>
              <w:wordWrap w:val="0"/>
              <w:spacing w:line="276" w:lineRule="auto"/>
              <w:rPr>
                <w:rFonts w:hint="eastAsia" w:ascii="宋体" w:hAnsi="宋体" w:eastAsia="宋体" w:cs="宋体"/>
                <w:color w:val="auto"/>
                <w:szCs w:val="21"/>
                <w:highlight w:val="none"/>
              </w:rPr>
            </w:pPr>
          </w:p>
        </w:tc>
        <w:tc>
          <w:tcPr>
            <w:tcW w:w="2476" w:type="dxa"/>
            <w:vAlign w:val="center"/>
          </w:tcPr>
          <w:p w14:paraId="78433C71">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政府投资项目，在投标截止时间前，投标人未被列入“失信被执行人”名单</w:t>
            </w:r>
          </w:p>
        </w:tc>
        <w:tc>
          <w:tcPr>
            <w:tcW w:w="5424" w:type="dxa"/>
            <w:vAlign w:val="center"/>
          </w:tcPr>
          <w:p w14:paraId="4672A5C0">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投标人无需提供资料，按</w:t>
            </w:r>
            <w:r>
              <w:rPr>
                <w:rFonts w:hint="eastAsia" w:ascii="宋体" w:hAnsi="宋体" w:eastAsia="宋体" w:cs="宋体"/>
                <w:color w:val="auto"/>
                <w:szCs w:val="21"/>
                <w:highlight w:val="none"/>
                <w:lang w:val="en-US" w:eastAsia="zh-CN"/>
              </w:rPr>
              <w:t>投标截止时间</w:t>
            </w:r>
            <w:r>
              <w:rPr>
                <w:rFonts w:hint="eastAsia" w:ascii="宋体" w:hAnsi="宋体" w:eastAsia="宋体" w:cs="宋体"/>
                <w:color w:val="auto"/>
                <w:szCs w:val="21"/>
                <w:highlight w:val="none"/>
              </w:rPr>
              <w:t>交易系统比对的结果进行评审</w:t>
            </w:r>
          </w:p>
        </w:tc>
      </w:tr>
      <w:tr w14:paraId="5DAD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restart"/>
            <w:vAlign w:val="center"/>
          </w:tcPr>
          <w:p w14:paraId="33B6D94A">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1124" w:type="dxa"/>
            <w:vMerge w:val="restart"/>
            <w:vAlign w:val="center"/>
          </w:tcPr>
          <w:p w14:paraId="08BAC1AE">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响应性评审标准</w:t>
            </w:r>
          </w:p>
        </w:tc>
        <w:tc>
          <w:tcPr>
            <w:tcW w:w="2476" w:type="dxa"/>
            <w:vAlign w:val="center"/>
          </w:tcPr>
          <w:p w14:paraId="7FA4E2DC">
            <w:pPr>
              <w:wordWrap w:val="0"/>
              <w:spacing w:line="276" w:lineRule="auto"/>
              <w:jc w:val="cente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投标报价</w:t>
            </w:r>
          </w:p>
        </w:tc>
        <w:tc>
          <w:tcPr>
            <w:tcW w:w="5424" w:type="dxa"/>
            <w:vAlign w:val="center"/>
          </w:tcPr>
          <w:p w14:paraId="73A00A07">
            <w:pPr>
              <w:wordWrap w:val="0"/>
              <w:spacing w:line="276" w:lineRule="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符合第二章“投标人须知”第3.2款规定；</w:t>
            </w:r>
            <w:r>
              <w:rPr>
                <w:rFonts w:hint="eastAsia" w:ascii="宋体" w:hAnsi="宋体" w:eastAsia="宋体" w:cs="宋体"/>
                <w:color w:val="auto"/>
                <w:szCs w:val="21"/>
                <w:highlight w:val="none"/>
                <w:u w:val="single"/>
              </w:rPr>
              <w:t>对同一招标项目没有出现两个或以上的投标报价，且修正无依据。</w:t>
            </w:r>
          </w:p>
        </w:tc>
      </w:tr>
      <w:tr w14:paraId="2EA1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6C129BC0">
            <w:pPr>
              <w:wordWrap w:val="0"/>
              <w:spacing w:line="276" w:lineRule="auto"/>
              <w:jc w:val="center"/>
              <w:rPr>
                <w:rFonts w:hint="eastAsia" w:ascii="宋体" w:hAnsi="宋体" w:eastAsia="宋体" w:cs="宋体"/>
                <w:color w:val="auto"/>
                <w:szCs w:val="21"/>
                <w:highlight w:val="none"/>
              </w:rPr>
            </w:pPr>
          </w:p>
        </w:tc>
        <w:tc>
          <w:tcPr>
            <w:tcW w:w="1124" w:type="dxa"/>
            <w:vMerge w:val="continue"/>
            <w:vAlign w:val="center"/>
          </w:tcPr>
          <w:p w14:paraId="20EE0A17">
            <w:pPr>
              <w:wordWrap w:val="0"/>
              <w:spacing w:line="276" w:lineRule="auto"/>
              <w:jc w:val="center"/>
              <w:rPr>
                <w:rFonts w:hint="eastAsia" w:ascii="宋体" w:hAnsi="宋体" w:eastAsia="宋体" w:cs="宋体"/>
                <w:color w:val="auto"/>
                <w:szCs w:val="21"/>
                <w:highlight w:val="none"/>
              </w:rPr>
            </w:pPr>
          </w:p>
        </w:tc>
        <w:tc>
          <w:tcPr>
            <w:tcW w:w="2476" w:type="dxa"/>
            <w:vAlign w:val="center"/>
          </w:tcPr>
          <w:p w14:paraId="6705D936">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投标内容</w:t>
            </w:r>
          </w:p>
        </w:tc>
        <w:tc>
          <w:tcPr>
            <w:tcW w:w="5424" w:type="dxa"/>
            <w:vAlign w:val="center"/>
          </w:tcPr>
          <w:p w14:paraId="666AEA0C">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1.3.1 项规定；投标文件按规定的格式填写，内容齐全或关键字迹清晰、容易辩认。</w:t>
            </w:r>
          </w:p>
        </w:tc>
      </w:tr>
      <w:tr w14:paraId="23CE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0B2039CE">
            <w:pPr>
              <w:wordWrap w:val="0"/>
              <w:spacing w:line="276" w:lineRule="auto"/>
              <w:jc w:val="center"/>
              <w:rPr>
                <w:rFonts w:hint="eastAsia" w:ascii="宋体" w:hAnsi="宋体" w:eastAsia="宋体" w:cs="宋体"/>
                <w:color w:val="auto"/>
                <w:szCs w:val="21"/>
                <w:highlight w:val="none"/>
              </w:rPr>
            </w:pPr>
          </w:p>
        </w:tc>
        <w:tc>
          <w:tcPr>
            <w:tcW w:w="1124" w:type="dxa"/>
            <w:vMerge w:val="continue"/>
            <w:vAlign w:val="center"/>
          </w:tcPr>
          <w:p w14:paraId="6E565432">
            <w:pPr>
              <w:wordWrap w:val="0"/>
              <w:spacing w:line="276" w:lineRule="auto"/>
              <w:jc w:val="center"/>
              <w:rPr>
                <w:rFonts w:hint="eastAsia" w:ascii="宋体" w:hAnsi="宋体" w:eastAsia="宋体" w:cs="宋体"/>
                <w:color w:val="auto"/>
                <w:szCs w:val="21"/>
                <w:highlight w:val="none"/>
              </w:rPr>
            </w:pPr>
          </w:p>
        </w:tc>
        <w:tc>
          <w:tcPr>
            <w:tcW w:w="2476" w:type="dxa"/>
            <w:vAlign w:val="center"/>
          </w:tcPr>
          <w:p w14:paraId="00E9037F">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监理服务期限</w:t>
            </w:r>
          </w:p>
        </w:tc>
        <w:tc>
          <w:tcPr>
            <w:tcW w:w="5424" w:type="dxa"/>
            <w:vAlign w:val="center"/>
          </w:tcPr>
          <w:p w14:paraId="0637C009">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符合第二章“投标人须知”第1.3.2项规定。</w:t>
            </w:r>
          </w:p>
        </w:tc>
      </w:tr>
      <w:tr w14:paraId="4722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4E1349C1">
            <w:pPr>
              <w:wordWrap w:val="0"/>
              <w:spacing w:line="276" w:lineRule="auto"/>
              <w:jc w:val="center"/>
              <w:rPr>
                <w:rFonts w:hint="eastAsia" w:ascii="宋体" w:hAnsi="宋体" w:eastAsia="宋体" w:cs="宋体"/>
                <w:color w:val="auto"/>
                <w:szCs w:val="21"/>
                <w:highlight w:val="none"/>
              </w:rPr>
            </w:pPr>
          </w:p>
        </w:tc>
        <w:tc>
          <w:tcPr>
            <w:tcW w:w="1124" w:type="dxa"/>
            <w:vMerge w:val="continue"/>
            <w:vAlign w:val="center"/>
          </w:tcPr>
          <w:p w14:paraId="55015C86">
            <w:pPr>
              <w:wordWrap w:val="0"/>
              <w:spacing w:line="276" w:lineRule="auto"/>
              <w:jc w:val="center"/>
              <w:rPr>
                <w:rFonts w:hint="eastAsia" w:ascii="宋体" w:hAnsi="宋体" w:eastAsia="宋体" w:cs="宋体"/>
                <w:color w:val="auto"/>
                <w:szCs w:val="21"/>
                <w:highlight w:val="none"/>
              </w:rPr>
            </w:pPr>
          </w:p>
        </w:tc>
        <w:tc>
          <w:tcPr>
            <w:tcW w:w="2476" w:type="dxa"/>
            <w:vAlign w:val="center"/>
          </w:tcPr>
          <w:p w14:paraId="304755F3">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5424" w:type="dxa"/>
            <w:vAlign w:val="center"/>
          </w:tcPr>
          <w:p w14:paraId="3BB919E1">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符合第二章“投标人须知”第1.3.3项规定。</w:t>
            </w:r>
          </w:p>
        </w:tc>
      </w:tr>
      <w:tr w14:paraId="017D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14B9CBD5">
            <w:pPr>
              <w:wordWrap w:val="0"/>
              <w:spacing w:line="276" w:lineRule="auto"/>
              <w:rPr>
                <w:rFonts w:hint="eastAsia" w:ascii="宋体" w:hAnsi="宋体" w:eastAsia="宋体" w:cs="宋体"/>
                <w:color w:val="auto"/>
                <w:szCs w:val="21"/>
                <w:highlight w:val="none"/>
              </w:rPr>
            </w:pPr>
          </w:p>
        </w:tc>
        <w:tc>
          <w:tcPr>
            <w:tcW w:w="1124" w:type="dxa"/>
            <w:vMerge w:val="continue"/>
            <w:vAlign w:val="center"/>
          </w:tcPr>
          <w:p w14:paraId="36CD66C6">
            <w:pPr>
              <w:wordWrap w:val="0"/>
              <w:spacing w:line="276" w:lineRule="auto"/>
              <w:rPr>
                <w:rFonts w:hint="eastAsia" w:ascii="宋体" w:hAnsi="宋体" w:eastAsia="宋体" w:cs="宋体"/>
                <w:color w:val="auto"/>
                <w:szCs w:val="21"/>
                <w:highlight w:val="none"/>
              </w:rPr>
            </w:pPr>
          </w:p>
        </w:tc>
        <w:tc>
          <w:tcPr>
            <w:tcW w:w="2476" w:type="dxa"/>
            <w:vAlign w:val="center"/>
          </w:tcPr>
          <w:p w14:paraId="00EC7CD8">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424" w:type="dxa"/>
            <w:vAlign w:val="center"/>
          </w:tcPr>
          <w:p w14:paraId="0B7E25D1">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符合第二章“投标人须知”第3.3.1项规定。</w:t>
            </w:r>
          </w:p>
        </w:tc>
      </w:tr>
      <w:tr w14:paraId="3E61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446533E7">
            <w:pPr>
              <w:wordWrap w:val="0"/>
              <w:spacing w:line="276" w:lineRule="auto"/>
              <w:rPr>
                <w:rFonts w:hint="eastAsia" w:ascii="宋体" w:hAnsi="宋体" w:eastAsia="宋体" w:cs="宋体"/>
                <w:strike/>
                <w:color w:val="auto"/>
                <w:szCs w:val="21"/>
                <w:highlight w:val="none"/>
              </w:rPr>
            </w:pPr>
          </w:p>
        </w:tc>
        <w:tc>
          <w:tcPr>
            <w:tcW w:w="1124" w:type="dxa"/>
            <w:vMerge w:val="continue"/>
            <w:vAlign w:val="center"/>
          </w:tcPr>
          <w:p w14:paraId="798502C3">
            <w:pPr>
              <w:wordWrap w:val="0"/>
              <w:spacing w:line="276" w:lineRule="auto"/>
              <w:rPr>
                <w:rFonts w:hint="eastAsia" w:ascii="宋体" w:hAnsi="宋体" w:eastAsia="宋体" w:cs="宋体"/>
                <w:strike/>
                <w:color w:val="auto"/>
                <w:szCs w:val="21"/>
                <w:highlight w:val="none"/>
              </w:rPr>
            </w:pPr>
          </w:p>
        </w:tc>
        <w:tc>
          <w:tcPr>
            <w:tcW w:w="2476" w:type="dxa"/>
            <w:vAlign w:val="center"/>
          </w:tcPr>
          <w:p w14:paraId="7EC7FEBA">
            <w:pPr>
              <w:wordWrap w:val="0"/>
              <w:spacing w:line="276" w:lineRule="auto"/>
              <w:jc w:val="cente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投标保证金</w:t>
            </w:r>
          </w:p>
        </w:tc>
        <w:tc>
          <w:tcPr>
            <w:tcW w:w="5424" w:type="dxa"/>
            <w:vAlign w:val="center"/>
          </w:tcPr>
          <w:p w14:paraId="59842A91">
            <w:pPr>
              <w:wordWrap w:val="0"/>
              <w:spacing w:line="276" w:lineRule="auto"/>
              <w:jc w:val="left"/>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符合第二章“投标人须知”第3.4.1项规定。</w:t>
            </w:r>
          </w:p>
        </w:tc>
      </w:tr>
      <w:tr w14:paraId="3DDF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4CD0BC35">
            <w:pPr>
              <w:wordWrap w:val="0"/>
              <w:spacing w:line="276" w:lineRule="auto"/>
              <w:rPr>
                <w:rFonts w:hint="eastAsia" w:ascii="宋体" w:hAnsi="宋体" w:eastAsia="宋体" w:cs="宋体"/>
                <w:color w:val="auto"/>
                <w:szCs w:val="21"/>
                <w:highlight w:val="none"/>
              </w:rPr>
            </w:pPr>
          </w:p>
        </w:tc>
        <w:tc>
          <w:tcPr>
            <w:tcW w:w="1124" w:type="dxa"/>
            <w:vMerge w:val="continue"/>
            <w:vAlign w:val="center"/>
          </w:tcPr>
          <w:p w14:paraId="7ED11F55">
            <w:pPr>
              <w:wordWrap w:val="0"/>
              <w:spacing w:line="276" w:lineRule="auto"/>
              <w:rPr>
                <w:rFonts w:hint="eastAsia" w:ascii="宋体" w:hAnsi="宋体" w:eastAsia="宋体" w:cs="宋体"/>
                <w:color w:val="auto"/>
                <w:szCs w:val="21"/>
                <w:highlight w:val="none"/>
              </w:rPr>
            </w:pPr>
          </w:p>
        </w:tc>
        <w:tc>
          <w:tcPr>
            <w:tcW w:w="2476" w:type="dxa"/>
            <w:vAlign w:val="center"/>
          </w:tcPr>
          <w:p w14:paraId="37ABF72A">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串通投标情形</w:t>
            </w:r>
          </w:p>
        </w:tc>
        <w:tc>
          <w:tcPr>
            <w:tcW w:w="5424" w:type="dxa"/>
            <w:vAlign w:val="center"/>
          </w:tcPr>
          <w:p w14:paraId="5B35E6B0">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不存在串通投标情形（串通投标情形以广东省实施《中华人民共和国招标投标法》办法第十六条的规定为准）。</w:t>
            </w:r>
          </w:p>
        </w:tc>
      </w:tr>
      <w:tr w14:paraId="6BF3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4" w:type="dxa"/>
            <w:gridSpan w:val="2"/>
            <w:vAlign w:val="center"/>
          </w:tcPr>
          <w:p w14:paraId="516F5BE1">
            <w:pPr>
              <w:wordWrap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476" w:type="dxa"/>
            <w:vAlign w:val="center"/>
          </w:tcPr>
          <w:p w14:paraId="3824B5EF">
            <w:pPr>
              <w:wordWrap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5424" w:type="dxa"/>
            <w:vAlign w:val="center"/>
          </w:tcPr>
          <w:p w14:paraId="73645A94">
            <w:pPr>
              <w:wordWrap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14:paraId="3F7B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4" w:type="dxa"/>
            <w:gridSpan w:val="2"/>
            <w:vAlign w:val="center"/>
          </w:tcPr>
          <w:p w14:paraId="0249486F">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2476" w:type="dxa"/>
            <w:vAlign w:val="center"/>
          </w:tcPr>
          <w:p w14:paraId="506C7781">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w:t>
            </w:r>
          </w:p>
          <w:p w14:paraId="6C317E02">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(总分100分)</w:t>
            </w:r>
          </w:p>
        </w:tc>
        <w:tc>
          <w:tcPr>
            <w:tcW w:w="5424" w:type="dxa"/>
            <w:vAlign w:val="center"/>
          </w:tcPr>
          <w:p w14:paraId="41BC0405">
            <w:pPr>
              <w:wordWrap w:val="0"/>
              <w:spacing w:line="276"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资信业绩部分：</w:t>
            </w:r>
            <w:r>
              <w:rPr>
                <w:rFonts w:hint="eastAsia" w:ascii="宋体" w:hAnsi="宋体" w:eastAsia="宋体" w:cs="宋体"/>
                <w:color w:val="auto"/>
                <w:szCs w:val="21"/>
                <w:highlight w:val="none"/>
                <w:u w:val="single"/>
                <w:lang w:val="en-US" w:eastAsia="zh-CN"/>
              </w:rPr>
              <w:t>45</w:t>
            </w:r>
            <w:r>
              <w:rPr>
                <w:rFonts w:hint="eastAsia" w:ascii="宋体" w:hAnsi="宋体" w:eastAsia="宋体" w:cs="宋体"/>
                <w:color w:val="auto"/>
                <w:szCs w:val="21"/>
                <w:highlight w:val="none"/>
              </w:rPr>
              <w:t>分</w:t>
            </w:r>
          </w:p>
          <w:p w14:paraId="64F2FFDE">
            <w:pPr>
              <w:wordWrap w:val="0"/>
              <w:spacing w:line="276"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监理大纲部分：</w:t>
            </w:r>
            <w:r>
              <w:rPr>
                <w:rFonts w:hint="eastAsia" w:ascii="宋体" w:hAnsi="宋体" w:eastAsia="宋体" w:cs="宋体"/>
                <w:color w:val="auto"/>
                <w:szCs w:val="21"/>
                <w:highlight w:val="none"/>
                <w:u w:val="single"/>
                <w:lang w:val="en-US" w:eastAsia="zh-CN"/>
              </w:rPr>
              <w:t>45</w:t>
            </w:r>
            <w:r>
              <w:rPr>
                <w:rFonts w:hint="eastAsia" w:ascii="宋体" w:hAnsi="宋体" w:eastAsia="宋体" w:cs="宋体"/>
                <w:color w:val="auto"/>
                <w:szCs w:val="21"/>
                <w:highlight w:val="none"/>
              </w:rPr>
              <w:t>分</w:t>
            </w:r>
          </w:p>
          <w:p w14:paraId="0042D561">
            <w:pPr>
              <w:wordWrap w:val="0"/>
              <w:spacing w:line="276"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投标报价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rPr>
              <w:t>分</w:t>
            </w:r>
          </w:p>
          <w:p w14:paraId="594ECF7F">
            <w:pPr>
              <w:wordWrap w:val="0"/>
              <w:spacing w:line="276" w:lineRule="auto"/>
              <w:rPr>
                <w:rFonts w:hint="eastAsia" w:ascii="宋体" w:hAnsi="宋体" w:eastAsia="宋体" w:cs="宋体"/>
                <w:color w:val="auto"/>
                <w:szCs w:val="21"/>
                <w:highlight w:val="none"/>
                <w:u w:val="single"/>
                <w:lang w:eastAsia="zh-CN"/>
              </w:rPr>
            </w:pPr>
            <w:r>
              <w:rPr>
                <w:rFonts w:hint="eastAsia" w:ascii="宋体" w:hAnsi="宋体" w:eastAsia="宋体" w:cs="宋体"/>
                <w:b/>
                <w:bCs/>
                <w:color w:val="auto"/>
                <w:szCs w:val="21"/>
                <w:highlight w:val="none"/>
              </w:rPr>
              <w:t>其他评分因素：</w:t>
            </w:r>
            <w:r>
              <w:rPr>
                <w:rFonts w:hint="eastAsia" w:ascii="宋体" w:hAnsi="宋体" w:eastAsia="宋体" w:cs="宋体"/>
                <w:color w:val="auto"/>
                <w:szCs w:val="21"/>
                <w:highlight w:val="none"/>
                <w:u w:val="single"/>
                <w:lang w:val="en-US" w:eastAsia="zh-CN"/>
              </w:rPr>
              <w:t>/</w:t>
            </w:r>
          </w:p>
        </w:tc>
      </w:tr>
      <w:tr w14:paraId="0408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4" w:type="dxa"/>
            <w:gridSpan w:val="2"/>
            <w:vAlign w:val="center"/>
          </w:tcPr>
          <w:p w14:paraId="74361A92">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2476" w:type="dxa"/>
            <w:vAlign w:val="center"/>
          </w:tcPr>
          <w:p w14:paraId="5AA640F5">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评标基准价计算方法</w:t>
            </w:r>
          </w:p>
        </w:tc>
        <w:tc>
          <w:tcPr>
            <w:tcW w:w="5424" w:type="dxa"/>
            <w:vAlign w:val="center"/>
          </w:tcPr>
          <w:p w14:paraId="08FF9FEC">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当通过形式评审、资格评审、响应性评审且投标总报价处于计算评标基准价的有效投标价范围内的有效投标人大于5家时，去掉一个最高价和一个最低价，取余下有效报价的算术平均值作为报价基准价。（保留小数点后二位，第三位小数四舍五入）</w:t>
            </w:r>
          </w:p>
          <w:p w14:paraId="316D614B">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当通过形式评审、资格评审、响应性评审且投标总报价处于计算评标基准价的有效投标价范围内的有效投标人小于或等于5家时，取所有入围有效报价的算术平均值的作为报价基准价（保留小数点后二位，第三位小数四舍五入）</w:t>
            </w:r>
          </w:p>
          <w:p w14:paraId="4C3898F4">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（3）计算评标基准价的有效投标价范围为[最高投标限价×90%，最高投标限价]，超过此范围的投标总报价不参与评标基准价的计算。用于计算评标基准价的投标总报价均为经算术复核后的投标总报价。</w:t>
            </w:r>
          </w:p>
        </w:tc>
      </w:tr>
      <w:tr w14:paraId="4BF4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4" w:type="dxa"/>
            <w:gridSpan w:val="2"/>
            <w:vAlign w:val="center"/>
          </w:tcPr>
          <w:p w14:paraId="5A19443A">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2476" w:type="dxa"/>
            <w:vAlign w:val="center"/>
          </w:tcPr>
          <w:p w14:paraId="165B407C">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投标报价的偏差率</w:t>
            </w:r>
          </w:p>
          <w:p w14:paraId="45C59F9A">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计算公式</w:t>
            </w:r>
          </w:p>
        </w:tc>
        <w:tc>
          <w:tcPr>
            <w:tcW w:w="5424" w:type="dxa"/>
            <w:vAlign w:val="center"/>
          </w:tcPr>
          <w:p w14:paraId="1A691269">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投标报价偏差率=</w:t>
            </w:r>
            <w:r>
              <w:rPr>
                <w:rFonts w:hint="eastAsia" w:ascii="宋体" w:hAnsi="宋体" w:eastAsia="宋体" w:cs="宋体"/>
                <w:color w:val="auto"/>
                <w:kern w:val="0"/>
                <w:szCs w:val="21"/>
                <w:highlight w:val="none"/>
                <w:u w:val="single"/>
              </w:rPr>
              <w:t>|</w:t>
            </w:r>
            <w:r>
              <w:rPr>
                <w:rFonts w:hint="eastAsia" w:ascii="宋体" w:hAnsi="宋体" w:eastAsia="宋体" w:cs="宋体"/>
                <w:color w:val="auto"/>
                <w:szCs w:val="21"/>
                <w:highlight w:val="none"/>
              </w:rPr>
              <w:t>（投标人有效投标报价-评标基准价）</w:t>
            </w:r>
            <w:r>
              <w:rPr>
                <w:rFonts w:hint="eastAsia" w:ascii="宋体" w:hAnsi="宋体" w:eastAsia="宋体" w:cs="宋体"/>
                <w:color w:val="auto"/>
                <w:kern w:val="0"/>
                <w:szCs w:val="21"/>
                <w:highlight w:val="none"/>
                <w:u w:val="single"/>
              </w:rPr>
              <w:t>|</w:t>
            </w:r>
            <w:r>
              <w:rPr>
                <w:rFonts w:hint="eastAsia" w:ascii="宋体" w:hAnsi="宋体" w:eastAsia="宋体" w:cs="宋体"/>
                <w:color w:val="auto"/>
                <w:szCs w:val="21"/>
                <w:highlight w:val="none"/>
              </w:rPr>
              <w:t>/评标基准价×100%。（偏差率四舍五入保留1位小数，报价偏差率不足1%的，按直线内插法计算投标报价得分）</w:t>
            </w:r>
          </w:p>
        </w:tc>
      </w:tr>
    </w:tbl>
    <w:p w14:paraId="6DC9CBBF">
      <w:pPr>
        <w:wordWrap w:val="0"/>
        <w:spacing w:before="240"/>
        <w:jc w:val="center"/>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8"/>
          <w:szCs w:val="28"/>
          <w:highlight w:val="none"/>
        </w:rPr>
        <w:t>综合评分表</w:t>
      </w:r>
    </w:p>
    <w:tbl>
      <w:tblPr>
        <w:tblStyle w:val="25"/>
        <w:tblW w:w="10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46"/>
        <w:gridCol w:w="1072"/>
        <w:gridCol w:w="1678"/>
        <w:gridCol w:w="6505"/>
      </w:tblGrid>
      <w:tr w14:paraId="5760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1918" w:type="dxa"/>
            <w:gridSpan w:val="2"/>
            <w:shd w:val="clear" w:color="auto" w:fill="FFFFFF"/>
            <w:tcMar>
              <w:top w:w="0" w:type="dxa"/>
              <w:left w:w="108" w:type="dxa"/>
              <w:bottom w:w="0" w:type="dxa"/>
              <w:right w:w="108" w:type="dxa"/>
            </w:tcMar>
            <w:vAlign w:val="center"/>
          </w:tcPr>
          <w:p w14:paraId="719A403E">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条款号</w:t>
            </w:r>
          </w:p>
        </w:tc>
        <w:tc>
          <w:tcPr>
            <w:tcW w:w="1678" w:type="dxa"/>
            <w:shd w:val="clear" w:color="auto" w:fill="FFFFFF"/>
            <w:tcMar>
              <w:top w:w="0" w:type="dxa"/>
              <w:left w:w="108" w:type="dxa"/>
              <w:bottom w:w="0" w:type="dxa"/>
              <w:right w:w="108" w:type="dxa"/>
            </w:tcMar>
            <w:vAlign w:val="center"/>
          </w:tcPr>
          <w:p w14:paraId="459F6D0E">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评分因素</w:t>
            </w:r>
          </w:p>
        </w:tc>
        <w:tc>
          <w:tcPr>
            <w:tcW w:w="6505" w:type="dxa"/>
            <w:shd w:val="clear" w:color="auto" w:fill="FFFFFF"/>
            <w:tcMar>
              <w:top w:w="0" w:type="dxa"/>
              <w:left w:w="108" w:type="dxa"/>
              <w:bottom w:w="0" w:type="dxa"/>
              <w:right w:w="108" w:type="dxa"/>
            </w:tcMar>
            <w:vAlign w:val="center"/>
          </w:tcPr>
          <w:p w14:paraId="10278689">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评分标准</w:t>
            </w:r>
          </w:p>
        </w:tc>
      </w:tr>
      <w:tr w14:paraId="51AB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4" w:hRule="atLeast"/>
          <w:jc w:val="center"/>
        </w:trPr>
        <w:tc>
          <w:tcPr>
            <w:tcW w:w="846" w:type="dxa"/>
            <w:vMerge w:val="restart"/>
            <w:shd w:val="clear" w:color="auto" w:fill="FFFFFF"/>
            <w:tcMar>
              <w:top w:w="0" w:type="dxa"/>
              <w:left w:w="108" w:type="dxa"/>
              <w:bottom w:w="0" w:type="dxa"/>
              <w:right w:w="108" w:type="dxa"/>
            </w:tcMar>
            <w:vAlign w:val="center"/>
          </w:tcPr>
          <w:p w14:paraId="3A349AD4">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2.2.4（1）</w:t>
            </w:r>
          </w:p>
        </w:tc>
        <w:tc>
          <w:tcPr>
            <w:tcW w:w="1072" w:type="dxa"/>
            <w:vMerge w:val="restart"/>
            <w:shd w:val="clear" w:color="auto" w:fill="FFFFFF"/>
            <w:tcMar>
              <w:top w:w="0" w:type="dxa"/>
              <w:left w:w="108" w:type="dxa"/>
              <w:bottom w:w="0" w:type="dxa"/>
              <w:right w:w="108" w:type="dxa"/>
            </w:tcMar>
            <w:vAlign w:val="center"/>
          </w:tcPr>
          <w:p w14:paraId="0F2490A2">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资信业绩评分标准（</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rPr>
              <w:t>分）（A）</w:t>
            </w:r>
          </w:p>
        </w:tc>
        <w:tc>
          <w:tcPr>
            <w:tcW w:w="1678" w:type="dxa"/>
            <w:shd w:val="clear" w:color="auto" w:fill="FFFFFF"/>
            <w:tcMar>
              <w:top w:w="0" w:type="dxa"/>
              <w:left w:w="108" w:type="dxa"/>
              <w:bottom w:w="0" w:type="dxa"/>
              <w:right w:w="108" w:type="dxa"/>
            </w:tcMar>
            <w:vAlign w:val="center"/>
          </w:tcPr>
          <w:p w14:paraId="08CD539F">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类似项目业绩（</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6505" w:type="dxa"/>
            <w:shd w:val="clear" w:color="auto" w:fill="FFFFFF"/>
            <w:tcMar>
              <w:top w:w="0" w:type="dxa"/>
              <w:left w:w="108" w:type="dxa"/>
              <w:bottom w:w="0" w:type="dxa"/>
              <w:right w:w="108" w:type="dxa"/>
            </w:tcMar>
            <w:vAlign w:val="center"/>
          </w:tcPr>
          <w:p w14:paraId="480DBA27">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投标人自2022年1月1日至投标截止时间为止，</w:t>
            </w:r>
            <w:r>
              <w:rPr>
                <w:rFonts w:hint="eastAsia" w:ascii="宋体" w:hAnsi="宋体" w:eastAsia="宋体" w:cs="宋体"/>
                <w:color w:val="auto"/>
                <w:szCs w:val="21"/>
                <w:highlight w:val="none"/>
                <w:lang w:val="en-US" w:eastAsia="zh-CN"/>
              </w:rPr>
              <w:t>每</w:t>
            </w:r>
            <w:r>
              <w:rPr>
                <w:rFonts w:hint="eastAsia" w:ascii="宋体" w:hAnsi="宋体" w:eastAsia="宋体" w:cs="宋体"/>
                <w:color w:val="auto"/>
                <w:szCs w:val="21"/>
                <w:highlight w:val="none"/>
              </w:rPr>
              <w:t>完成过一</w:t>
            </w:r>
            <w:r>
              <w:rPr>
                <w:rFonts w:hint="eastAsia" w:ascii="宋体" w:hAnsi="宋体" w:eastAsia="宋体" w:cs="宋体"/>
                <w:color w:val="auto"/>
                <w:szCs w:val="21"/>
                <w:highlight w:val="none"/>
                <w:lang w:val="en-US" w:eastAsia="zh-CN"/>
              </w:rPr>
              <w:t>项</w:t>
            </w:r>
            <w:r>
              <w:rPr>
                <w:rFonts w:hint="eastAsia" w:ascii="宋体" w:hAnsi="宋体" w:eastAsia="宋体" w:cs="宋体"/>
                <w:color w:val="auto"/>
                <w:szCs w:val="21"/>
                <w:highlight w:val="none"/>
              </w:rPr>
              <w:t>质量合格的类似工程监理业绩</w:t>
            </w:r>
            <w:r>
              <w:rPr>
                <w:rFonts w:hint="eastAsia" w:ascii="宋体" w:hAnsi="宋体" w:eastAsia="宋体" w:cs="宋体"/>
                <w:color w:val="auto"/>
                <w:szCs w:val="21"/>
                <w:highlight w:val="none"/>
                <w:lang w:val="en-US" w:eastAsia="zh-CN"/>
              </w:rPr>
              <w:t>的，每项</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分，最多得1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r>
      <w:tr w14:paraId="6654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846" w:type="dxa"/>
            <w:vMerge w:val="continue"/>
            <w:shd w:val="clear" w:color="auto" w:fill="FFFFFF"/>
            <w:vAlign w:val="center"/>
          </w:tcPr>
          <w:p w14:paraId="625E4D5B">
            <w:pPr>
              <w:widowControl/>
              <w:wordWrap w:val="0"/>
              <w:spacing w:line="276" w:lineRule="auto"/>
              <w:rPr>
                <w:rFonts w:hint="eastAsia" w:ascii="宋体" w:hAnsi="宋体" w:eastAsia="宋体" w:cs="宋体"/>
                <w:color w:val="auto"/>
                <w:szCs w:val="21"/>
                <w:highlight w:val="none"/>
              </w:rPr>
            </w:pPr>
          </w:p>
        </w:tc>
        <w:tc>
          <w:tcPr>
            <w:tcW w:w="1072" w:type="dxa"/>
            <w:vMerge w:val="continue"/>
            <w:shd w:val="clear" w:color="auto" w:fill="FFFFFF"/>
            <w:vAlign w:val="center"/>
          </w:tcPr>
          <w:p w14:paraId="733E1B07">
            <w:pPr>
              <w:widowControl/>
              <w:wordWrap w:val="0"/>
              <w:spacing w:line="276" w:lineRule="auto"/>
              <w:jc w:val="center"/>
              <w:rPr>
                <w:rFonts w:hint="eastAsia" w:ascii="宋体" w:hAnsi="宋体" w:eastAsia="宋体" w:cs="宋体"/>
                <w:color w:val="auto"/>
                <w:szCs w:val="21"/>
                <w:highlight w:val="none"/>
              </w:rPr>
            </w:pPr>
          </w:p>
        </w:tc>
        <w:tc>
          <w:tcPr>
            <w:tcW w:w="1678" w:type="dxa"/>
            <w:shd w:val="clear" w:color="auto" w:fill="FFFFFF"/>
            <w:tcMar>
              <w:top w:w="0" w:type="dxa"/>
              <w:left w:w="108" w:type="dxa"/>
              <w:bottom w:w="0" w:type="dxa"/>
              <w:right w:w="108" w:type="dxa"/>
            </w:tcMar>
            <w:vAlign w:val="center"/>
          </w:tcPr>
          <w:p w14:paraId="309FDD2C">
            <w:pPr>
              <w:widowControl/>
              <w:wordWrap w:val="0"/>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总监理工程师资历（</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6505" w:type="dxa"/>
            <w:shd w:val="clear" w:color="auto" w:fill="FFFFFF"/>
            <w:tcMar>
              <w:top w:w="0" w:type="dxa"/>
              <w:left w:w="108" w:type="dxa"/>
              <w:bottom w:w="0" w:type="dxa"/>
              <w:right w:w="108" w:type="dxa"/>
            </w:tcMar>
            <w:vAlign w:val="center"/>
          </w:tcPr>
          <w:p w14:paraId="30C94D1B">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1、满足公告要求且具有中级</w:t>
            </w:r>
            <w:r>
              <w:rPr>
                <w:rFonts w:hint="eastAsia" w:ascii="宋体" w:hAnsi="宋体" w:eastAsia="宋体" w:cs="宋体"/>
                <w:color w:val="auto"/>
                <w:szCs w:val="21"/>
                <w:highlight w:val="none"/>
                <w:lang w:val="en-US" w:eastAsia="zh-CN"/>
              </w:rPr>
              <w:t>或以上</w:t>
            </w:r>
            <w:r>
              <w:rPr>
                <w:rFonts w:hint="eastAsia" w:ascii="宋体" w:hAnsi="宋体" w:eastAsia="宋体" w:cs="宋体"/>
                <w:color w:val="auto"/>
                <w:szCs w:val="21"/>
                <w:highlight w:val="none"/>
              </w:rPr>
              <w:t>工程师职称的得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分。本小项最多得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2084B3B7">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年1月1日至今担任总监完成过类似业绩的，每项得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分，本小项最多得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1EE63DC8">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本项最多得</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6E4E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846" w:type="dxa"/>
            <w:vMerge w:val="continue"/>
            <w:shd w:val="clear" w:color="auto" w:fill="FFFFFF"/>
            <w:vAlign w:val="center"/>
          </w:tcPr>
          <w:p w14:paraId="5A9D861D">
            <w:pPr>
              <w:widowControl/>
              <w:wordWrap w:val="0"/>
              <w:spacing w:line="276" w:lineRule="auto"/>
              <w:rPr>
                <w:rFonts w:hint="eastAsia" w:ascii="宋体" w:hAnsi="宋体" w:eastAsia="宋体" w:cs="宋体"/>
                <w:color w:val="auto"/>
                <w:szCs w:val="21"/>
                <w:highlight w:val="none"/>
              </w:rPr>
            </w:pPr>
          </w:p>
        </w:tc>
        <w:tc>
          <w:tcPr>
            <w:tcW w:w="1072" w:type="dxa"/>
            <w:vMerge w:val="continue"/>
            <w:shd w:val="clear" w:color="auto" w:fill="FFFFFF"/>
            <w:vAlign w:val="center"/>
          </w:tcPr>
          <w:p w14:paraId="682EEAC9">
            <w:pPr>
              <w:widowControl/>
              <w:wordWrap w:val="0"/>
              <w:spacing w:line="276" w:lineRule="auto"/>
              <w:jc w:val="center"/>
              <w:rPr>
                <w:rFonts w:hint="eastAsia" w:ascii="宋体" w:hAnsi="宋体" w:eastAsia="宋体" w:cs="宋体"/>
                <w:color w:val="auto"/>
                <w:szCs w:val="21"/>
                <w:highlight w:val="none"/>
              </w:rPr>
            </w:pPr>
          </w:p>
        </w:tc>
        <w:tc>
          <w:tcPr>
            <w:tcW w:w="1678" w:type="dxa"/>
            <w:shd w:val="clear" w:color="auto" w:fill="FFFFFF"/>
            <w:tcMar>
              <w:top w:w="0" w:type="dxa"/>
              <w:left w:w="108" w:type="dxa"/>
              <w:bottom w:w="0" w:type="dxa"/>
              <w:right w:w="108" w:type="dxa"/>
            </w:tcMar>
            <w:vAlign w:val="center"/>
          </w:tcPr>
          <w:p w14:paraId="6AF22291">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项目管理班子能力</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w:t>
            </w:r>
          </w:p>
        </w:tc>
        <w:tc>
          <w:tcPr>
            <w:tcW w:w="6505" w:type="dxa"/>
            <w:shd w:val="clear" w:color="auto" w:fill="FFFFFF"/>
            <w:tcMar>
              <w:top w:w="0" w:type="dxa"/>
              <w:left w:w="108" w:type="dxa"/>
              <w:bottom w:w="0" w:type="dxa"/>
              <w:right w:w="108" w:type="dxa"/>
            </w:tcMar>
            <w:vAlign w:val="center"/>
          </w:tcPr>
          <w:p w14:paraId="5E8BB73A">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1、人员配备满足附件1《监理机构人员配备要求表》的，得5分；不满足，得0分。</w:t>
            </w:r>
          </w:p>
          <w:p w14:paraId="438DA564">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2、在满足附件1《监理机构人员配备要求表》的前提下，上述人员每有一人（总监理工程师、总监理工程师代表除外）具有中级（或以上）技术职称的，每一人加</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分，本小项最多得</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p w14:paraId="60350D5D">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本项最多得1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r>
      <w:tr w14:paraId="2337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846" w:type="dxa"/>
            <w:vMerge w:val="continue"/>
            <w:shd w:val="clear" w:color="auto" w:fill="FFFFFF"/>
            <w:vAlign w:val="center"/>
          </w:tcPr>
          <w:p w14:paraId="24D61A40">
            <w:pPr>
              <w:widowControl/>
              <w:wordWrap w:val="0"/>
              <w:spacing w:line="276" w:lineRule="auto"/>
              <w:rPr>
                <w:rFonts w:hint="eastAsia" w:ascii="宋体" w:hAnsi="宋体" w:eastAsia="宋体" w:cs="宋体"/>
                <w:color w:val="auto"/>
                <w:szCs w:val="21"/>
                <w:highlight w:val="none"/>
              </w:rPr>
            </w:pPr>
          </w:p>
        </w:tc>
        <w:tc>
          <w:tcPr>
            <w:tcW w:w="1072" w:type="dxa"/>
            <w:vMerge w:val="continue"/>
            <w:shd w:val="clear" w:color="auto" w:fill="FFFFFF"/>
            <w:vAlign w:val="center"/>
          </w:tcPr>
          <w:p w14:paraId="1C98171A">
            <w:pPr>
              <w:widowControl/>
              <w:wordWrap w:val="0"/>
              <w:spacing w:line="276" w:lineRule="auto"/>
              <w:jc w:val="center"/>
              <w:rPr>
                <w:rFonts w:hint="eastAsia" w:ascii="宋体" w:hAnsi="宋体" w:eastAsia="宋体" w:cs="宋体"/>
                <w:color w:val="auto"/>
                <w:szCs w:val="21"/>
                <w:highlight w:val="none"/>
              </w:rPr>
            </w:pPr>
          </w:p>
        </w:tc>
        <w:tc>
          <w:tcPr>
            <w:tcW w:w="1678" w:type="dxa"/>
            <w:shd w:val="clear" w:color="auto" w:fill="FFFFFF"/>
            <w:tcMar>
              <w:top w:w="0" w:type="dxa"/>
              <w:left w:w="108" w:type="dxa"/>
              <w:bottom w:w="0" w:type="dxa"/>
              <w:right w:w="108" w:type="dxa"/>
            </w:tcMar>
            <w:vAlign w:val="center"/>
          </w:tcPr>
          <w:p w14:paraId="6CDE881F">
            <w:pPr>
              <w:widowControl/>
              <w:wordWrap w:val="0"/>
              <w:spacing w:before="0" w:beforeAutospacing="0" w:after="0" w:afterAutospacing="0"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总监理工程师代表资历</w:t>
            </w:r>
          </w:p>
          <w:p w14:paraId="5CB16A50">
            <w:pPr>
              <w:widowControl/>
              <w:wordWrap w:val="0"/>
              <w:spacing w:before="0" w:beforeAutospacing="0" w:after="0" w:afterAutospacing="0"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分）</w:t>
            </w:r>
          </w:p>
        </w:tc>
        <w:tc>
          <w:tcPr>
            <w:tcW w:w="6505" w:type="dxa"/>
            <w:shd w:val="clear" w:color="auto" w:fill="FFFFFF"/>
            <w:tcMar>
              <w:top w:w="0" w:type="dxa"/>
              <w:left w:w="108" w:type="dxa"/>
              <w:bottom w:w="0" w:type="dxa"/>
              <w:right w:w="108" w:type="dxa"/>
            </w:tcMar>
            <w:vAlign w:val="center"/>
          </w:tcPr>
          <w:p w14:paraId="09B15A82">
            <w:pPr>
              <w:widowControl/>
              <w:wordWrap w:val="0"/>
              <w:spacing w:line="276" w:lineRule="auto"/>
              <w:contextualSpacing w:val="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1、委派的总监理工程师代表具有</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rPr>
              <w:t>级或以上技术职称的，得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本小项最多得5分。</w:t>
            </w:r>
          </w:p>
          <w:p w14:paraId="4132C2DF">
            <w:pPr>
              <w:widowControl/>
              <w:wordWrap w:val="0"/>
              <w:spacing w:line="276" w:lineRule="auto"/>
              <w:contextualSpacing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2、委派的总监理工程师代表具有注册监理工程师证书的，得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本小项最多得4分。</w:t>
            </w:r>
          </w:p>
          <w:p w14:paraId="3780A54F">
            <w:pPr>
              <w:widowControl/>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本项最多得</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分。</w:t>
            </w:r>
          </w:p>
        </w:tc>
      </w:tr>
      <w:tr w14:paraId="7E00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846" w:type="dxa"/>
            <w:vMerge w:val="continue"/>
            <w:shd w:val="clear" w:color="auto" w:fill="FFFFFF"/>
            <w:vAlign w:val="center"/>
          </w:tcPr>
          <w:p w14:paraId="51EB851C">
            <w:pPr>
              <w:widowControl/>
              <w:wordWrap w:val="0"/>
              <w:spacing w:line="276" w:lineRule="auto"/>
              <w:rPr>
                <w:rFonts w:hint="eastAsia" w:ascii="宋体" w:hAnsi="宋体" w:eastAsia="宋体" w:cs="宋体"/>
                <w:color w:val="auto"/>
                <w:szCs w:val="21"/>
                <w:highlight w:val="none"/>
              </w:rPr>
            </w:pPr>
          </w:p>
        </w:tc>
        <w:tc>
          <w:tcPr>
            <w:tcW w:w="1072" w:type="dxa"/>
            <w:vMerge w:val="continue"/>
            <w:shd w:val="clear" w:color="auto" w:fill="FFFFFF"/>
            <w:vAlign w:val="center"/>
          </w:tcPr>
          <w:p w14:paraId="2213834D">
            <w:pPr>
              <w:widowControl/>
              <w:wordWrap w:val="0"/>
              <w:spacing w:line="276" w:lineRule="auto"/>
              <w:jc w:val="center"/>
              <w:rPr>
                <w:rFonts w:hint="eastAsia" w:ascii="宋体" w:hAnsi="宋体" w:eastAsia="宋体" w:cs="宋体"/>
                <w:color w:val="auto"/>
                <w:szCs w:val="21"/>
                <w:highlight w:val="none"/>
              </w:rPr>
            </w:pPr>
          </w:p>
        </w:tc>
        <w:tc>
          <w:tcPr>
            <w:tcW w:w="1678" w:type="dxa"/>
            <w:shd w:val="clear" w:color="auto" w:fill="FFFFFF"/>
            <w:tcMar>
              <w:top w:w="0" w:type="dxa"/>
              <w:left w:w="108" w:type="dxa"/>
              <w:bottom w:w="0" w:type="dxa"/>
              <w:right w:w="108" w:type="dxa"/>
            </w:tcMar>
            <w:vAlign w:val="center"/>
          </w:tcPr>
          <w:p w14:paraId="16C17170">
            <w:pPr>
              <w:widowControl/>
              <w:wordWrap w:val="0"/>
              <w:spacing w:before="0" w:beforeAutospacing="0" w:after="0" w:afterAutospacing="0"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拟投入的试验检测仪器设备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1分</w:t>
            </w:r>
            <w:r>
              <w:rPr>
                <w:rFonts w:hint="eastAsia" w:ascii="宋体" w:hAnsi="宋体" w:eastAsia="宋体" w:cs="宋体"/>
                <w:color w:val="auto"/>
                <w:szCs w:val="21"/>
                <w:highlight w:val="none"/>
                <w:lang w:eastAsia="zh-CN"/>
              </w:rPr>
              <w:t>）</w:t>
            </w:r>
          </w:p>
        </w:tc>
        <w:tc>
          <w:tcPr>
            <w:tcW w:w="6505" w:type="dxa"/>
            <w:shd w:val="clear" w:color="auto" w:fill="FFFFFF"/>
            <w:tcMar>
              <w:top w:w="0" w:type="dxa"/>
              <w:left w:w="108" w:type="dxa"/>
              <w:bottom w:w="0" w:type="dxa"/>
              <w:right w:w="108" w:type="dxa"/>
            </w:tcMar>
            <w:vAlign w:val="center"/>
          </w:tcPr>
          <w:p w14:paraId="4EF3E761">
            <w:pPr>
              <w:widowControl/>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拟投入的试验检测设备满足本工程监理任务需要的得1分，否则不得分。</w:t>
            </w:r>
          </w:p>
        </w:tc>
      </w:tr>
      <w:tr w14:paraId="589D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846" w:type="dxa"/>
            <w:vMerge w:val="restart"/>
            <w:shd w:val="clear" w:color="auto" w:fill="FFFFFF"/>
            <w:tcMar>
              <w:top w:w="0" w:type="dxa"/>
              <w:left w:w="108" w:type="dxa"/>
              <w:bottom w:w="0" w:type="dxa"/>
              <w:right w:w="108" w:type="dxa"/>
            </w:tcMar>
            <w:vAlign w:val="center"/>
          </w:tcPr>
          <w:p w14:paraId="6B4D579E">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2.2.4（2）</w:t>
            </w:r>
          </w:p>
        </w:tc>
        <w:tc>
          <w:tcPr>
            <w:tcW w:w="1072" w:type="dxa"/>
            <w:vMerge w:val="restart"/>
            <w:shd w:val="clear" w:color="auto" w:fill="FFFFFF"/>
            <w:tcMar>
              <w:top w:w="0" w:type="dxa"/>
              <w:left w:w="108" w:type="dxa"/>
              <w:bottom w:w="0" w:type="dxa"/>
              <w:right w:w="108" w:type="dxa"/>
            </w:tcMar>
            <w:vAlign w:val="center"/>
          </w:tcPr>
          <w:p w14:paraId="112742C2">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监理大纲评分标准（4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）(B)</w:t>
            </w:r>
          </w:p>
        </w:tc>
        <w:tc>
          <w:tcPr>
            <w:tcW w:w="1678" w:type="dxa"/>
            <w:shd w:val="clear" w:color="auto" w:fill="FFFFFF"/>
            <w:tcMar>
              <w:top w:w="0" w:type="dxa"/>
              <w:left w:w="108" w:type="dxa"/>
              <w:bottom w:w="0" w:type="dxa"/>
              <w:right w:w="108" w:type="dxa"/>
            </w:tcMar>
            <w:vAlign w:val="center"/>
          </w:tcPr>
          <w:p w14:paraId="2A38D7C8">
            <w:pPr>
              <w:spacing w:before="100" w:beforeAutospacing="1" w:after="100" w:afterAutospacing="1"/>
              <w:jc w:val="center"/>
              <w:rPr>
                <w:rFonts w:hint="eastAsia" w:ascii="宋体" w:hAnsi="宋体" w:eastAsia="宋体" w:cs="宋体"/>
                <w:color w:val="auto"/>
                <w:szCs w:val="21"/>
                <w:highlight w:val="none"/>
              </w:rPr>
            </w:pPr>
            <w:r>
              <w:rPr>
                <w:rFonts w:hint="eastAsia" w:ascii="宋体" w:hAnsi="宋体" w:eastAsia="宋体" w:cs="宋体"/>
                <w:color w:val="auto"/>
                <w:highlight w:val="none"/>
                <w:lang w:bidi="ar"/>
              </w:rPr>
              <w:t>监理工作程序、方法和制度（3分）</w:t>
            </w:r>
          </w:p>
        </w:tc>
        <w:tc>
          <w:tcPr>
            <w:tcW w:w="6505" w:type="dxa"/>
            <w:shd w:val="clear" w:color="auto" w:fill="FFFFFF"/>
            <w:tcMar>
              <w:top w:w="0" w:type="dxa"/>
              <w:left w:w="108" w:type="dxa"/>
              <w:bottom w:w="0" w:type="dxa"/>
              <w:right w:w="108" w:type="dxa"/>
            </w:tcMar>
            <w:vAlign w:val="top"/>
          </w:tcPr>
          <w:p w14:paraId="7A1EDE7E">
            <w:pPr>
              <w:snapToGrid w:val="0"/>
              <w:spacing w:line="440" w:lineRule="exact"/>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highlight w:val="none"/>
                <w:lang w:bidi="ar"/>
              </w:rPr>
              <w:t>有</w:t>
            </w:r>
            <w:r>
              <w:rPr>
                <w:rFonts w:hint="eastAsia" w:ascii="宋体" w:hAnsi="宋体" w:eastAsia="宋体" w:cs="宋体"/>
                <w:color w:val="auto"/>
                <w:highlight w:val="none"/>
              </w:rPr>
              <w:t>针对项目特征制定</w:t>
            </w:r>
            <w:r>
              <w:rPr>
                <w:rFonts w:hint="eastAsia" w:ascii="宋体" w:hAnsi="宋体" w:eastAsia="宋体" w:cs="宋体"/>
                <w:color w:val="auto"/>
                <w:highlight w:val="none"/>
                <w:lang w:bidi="ar"/>
              </w:rPr>
              <w:t>清晰的工作流程图、工作准则。方案为优，得3分；方案为良，得 2分；方案为一般，得1分；方案为差，得0分。</w:t>
            </w:r>
          </w:p>
        </w:tc>
      </w:tr>
      <w:tr w14:paraId="291B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846" w:type="dxa"/>
            <w:vMerge w:val="continue"/>
            <w:shd w:val="clear" w:color="auto" w:fill="FFFFFF"/>
            <w:tcMar>
              <w:top w:w="0" w:type="dxa"/>
              <w:left w:w="108" w:type="dxa"/>
              <w:bottom w:w="0" w:type="dxa"/>
              <w:right w:w="108" w:type="dxa"/>
            </w:tcMar>
            <w:vAlign w:val="center"/>
          </w:tcPr>
          <w:p w14:paraId="04B90D0F">
            <w:pPr>
              <w:widowControl/>
              <w:wordWrap w:val="0"/>
              <w:spacing w:line="276" w:lineRule="auto"/>
              <w:jc w:val="center"/>
              <w:rPr>
                <w:rFonts w:hint="eastAsia" w:ascii="宋体" w:hAnsi="宋体" w:eastAsia="宋体" w:cs="宋体"/>
                <w:color w:val="auto"/>
                <w:szCs w:val="21"/>
                <w:highlight w:val="none"/>
              </w:rPr>
            </w:pPr>
          </w:p>
        </w:tc>
        <w:tc>
          <w:tcPr>
            <w:tcW w:w="1072" w:type="dxa"/>
            <w:vMerge w:val="continue"/>
            <w:shd w:val="clear" w:color="auto" w:fill="FFFFFF"/>
            <w:tcMar>
              <w:top w:w="0" w:type="dxa"/>
              <w:left w:w="108" w:type="dxa"/>
              <w:bottom w:w="0" w:type="dxa"/>
              <w:right w:w="108" w:type="dxa"/>
            </w:tcMar>
            <w:vAlign w:val="center"/>
          </w:tcPr>
          <w:p w14:paraId="1ED921EC">
            <w:pPr>
              <w:widowControl/>
              <w:wordWrap w:val="0"/>
              <w:spacing w:line="276" w:lineRule="auto"/>
              <w:jc w:val="center"/>
              <w:rPr>
                <w:rFonts w:hint="eastAsia" w:ascii="宋体" w:hAnsi="宋体" w:eastAsia="宋体" w:cs="宋体"/>
                <w:color w:val="auto"/>
                <w:szCs w:val="21"/>
                <w:highlight w:val="none"/>
              </w:rPr>
            </w:pPr>
          </w:p>
        </w:tc>
        <w:tc>
          <w:tcPr>
            <w:tcW w:w="1678" w:type="dxa"/>
            <w:shd w:val="clear" w:color="auto" w:fill="FFFFFF"/>
            <w:tcMar>
              <w:top w:w="0" w:type="dxa"/>
              <w:left w:w="108" w:type="dxa"/>
              <w:bottom w:w="0" w:type="dxa"/>
              <w:right w:w="108" w:type="dxa"/>
            </w:tcMar>
            <w:vAlign w:val="center"/>
          </w:tcPr>
          <w:p w14:paraId="7D3DA23A">
            <w:pPr>
              <w:spacing w:before="100" w:beforeAutospacing="1" w:after="100" w:afterAutospacing="1"/>
              <w:jc w:val="center"/>
              <w:rPr>
                <w:rFonts w:hint="eastAsia" w:ascii="宋体" w:hAnsi="宋体" w:eastAsia="宋体" w:cs="宋体"/>
                <w:color w:val="auto"/>
                <w:highlight w:val="none"/>
                <w:lang w:bidi="ar"/>
              </w:rPr>
            </w:pPr>
            <w:r>
              <w:rPr>
                <w:rFonts w:hint="eastAsia" w:ascii="宋体" w:hAnsi="宋体" w:eastAsia="宋体" w:cs="宋体"/>
                <w:color w:val="auto"/>
                <w:szCs w:val="21"/>
                <w:highlight w:val="none"/>
                <w:lang w:bidi="ar"/>
              </w:rPr>
              <w:t>质量控制措施</w:t>
            </w:r>
            <w:r>
              <w:rPr>
                <w:rFonts w:hint="eastAsia" w:ascii="宋体" w:hAnsi="宋体" w:eastAsia="宋体" w:cs="宋体"/>
                <w:color w:val="auto"/>
                <w:highlight w:val="none"/>
                <w:lang w:bidi="ar"/>
              </w:rPr>
              <w:t>（</w:t>
            </w:r>
            <w:r>
              <w:rPr>
                <w:rFonts w:hint="eastAsia" w:ascii="宋体" w:hAnsi="宋体" w:eastAsia="宋体" w:cs="宋体"/>
                <w:color w:val="auto"/>
                <w:highlight w:val="none"/>
                <w:lang w:val="en-US" w:eastAsia="zh-CN" w:bidi="ar"/>
              </w:rPr>
              <w:t>4</w:t>
            </w:r>
            <w:r>
              <w:rPr>
                <w:rFonts w:hint="eastAsia" w:ascii="宋体" w:hAnsi="宋体" w:eastAsia="宋体" w:cs="宋体"/>
                <w:color w:val="auto"/>
                <w:highlight w:val="none"/>
                <w:lang w:bidi="ar"/>
              </w:rPr>
              <w:t>分）</w:t>
            </w:r>
          </w:p>
        </w:tc>
        <w:tc>
          <w:tcPr>
            <w:tcW w:w="6505" w:type="dxa"/>
            <w:shd w:val="clear" w:color="auto" w:fill="FFFFFF"/>
            <w:tcMar>
              <w:top w:w="0" w:type="dxa"/>
              <w:left w:w="108" w:type="dxa"/>
              <w:bottom w:w="0" w:type="dxa"/>
              <w:right w:w="108" w:type="dxa"/>
            </w:tcMar>
            <w:vAlign w:val="top"/>
          </w:tcPr>
          <w:p w14:paraId="377D9A92">
            <w:pPr>
              <w:snapToGrid w:val="0"/>
              <w:spacing w:line="440" w:lineRule="exact"/>
              <w:rPr>
                <w:rFonts w:hint="eastAsia" w:ascii="宋体" w:hAnsi="宋体" w:eastAsia="宋体" w:cs="宋体"/>
                <w:b/>
                <w:color w:val="auto"/>
                <w:szCs w:val="21"/>
                <w:highlight w:val="none"/>
                <w:lang w:eastAsia="zh-CN"/>
              </w:rPr>
            </w:pPr>
            <w:r>
              <w:rPr>
                <w:rFonts w:hint="eastAsia" w:ascii="宋体" w:hAnsi="宋体" w:eastAsia="宋体" w:cs="宋体"/>
                <w:color w:val="auto"/>
                <w:szCs w:val="21"/>
                <w:highlight w:val="none"/>
                <w:lang w:bidi="ar"/>
              </w:rPr>
              <w:t>要求目标明确、方法合理可行、措施具体、针对性强。</w:t>
            </w:r>
            <w:r>
              <w:rPr>
                <w:rFonts w:hint="eastAsia" w:ascii="宋体" w:hAnsi="宋体" w:eastAsia="宋体" w:cs="宋体"/>
                <w:color w:val="auto"/>
                <w:szCs w:val="21"/>
                <w:highlight w:val="none"/>
              </w:rPr>
              <w:t>针对本项目的特点对项目施工过程（对于道路工程、交通工程、排水工程、照明工程、绿化工程、电力管沟工程等)各阶段的质量控制管理工作，提出具体服务措施和方法。</w:t>
            </w:r>
            <w:r>
              <w:rPr>
                <w:rFonts w:hint="eastAsia" w:ascii="宋体" w:hAnsi="宋体" w:eastAsia="宋体" w:cs="宋体"/>
                <w:color w:val="auto"/>
                <w:szCs w:val="21"/>
                <w:highlight w:val="none"/>
                <w:lang w:bidi="ar"/>
              </w:rPr>
              <w:t>方案为优，得4分；方案为良，得 3分；方案为一般，得2分；方案为差，得0分</w:t>
            </w:r>
            <w:r>
              <w:rPr>
                <w:rFonts w:hint="eastAsia" w:ascii="宋体" w:hAnsi="宋体" w:eastAsia="宋体" w:cs="宋体"/>
                <w:color w:val="auto"/>
                <w:szCs w:val="21"/>
                <w:highlight w:val="none"/>
                <w:lang w:eastAsia="zh-CN" w:bidi="ar"/>
              </w:rPr>
              <w:t>。</w:t>
            </w:r>
          </w:p>
        </w:tc>
      </w:tr>
      <w:tr w14:paraId="5FBC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846" w:type="dxa"/>
            <w:vMerge w:val="continue"/>
            <w:shd w:val="clear" w:color="auto" w:fill="FFFFFF"/>
            <w:tcMar>
              <w:top w:w="0" w:type="dxa"/>
              <w:left w:w="108" w:type="dxa"/>
              <w:bottom w:w="0" w:type="dxa"/>
              <w:right w:w="108" w:type="dxa"/>
            </w:tcMar>
            <w:vAlign w:val="center"/>
          </w:tcPr>
          <w:p w14:paraId="0DBA5E2A">
            <w:pPr>
              <w:widowControl/>
              <w:wordWrap w:val="0"/>
              <w:spacing w:line="276" w:lineRule="auto"/>
              <w:jc w:val="center"/>
              <w:rPr>
                <w:rFonts w:hint="eastAsia" w:ascii="宋体" w:hAnsi="宋体" w:eastAsia="宋体" w:cs="宋体"/>
                <w:color w:val="auto"/>
                <w:szCs w:val="21"/>
                <w:highlight w:val="none"/>
              </w:rPr>
            </w:pPr>
          </w:p>
        </w:tc>
        <w:tc>
          <w:tcPr>
            <w:tcW w:w="1072" w:type="dxa"/>
            <w:vMerge w:val="continue"/>
            <w:shd w:val="clear" w:color="auto" w:fill="FFFFFF"/>
            <w:tcMar>
              <w:top w:w="0" w:type="dxa"/>
              <w:left w:w="108" w:type="dxa"/>
              <w:bottom w:w="0" w:type="dxa"/>
              <w:right w:w="108" w:type="dxa"/>
            </w:tcMar>
            <w:vAlign w:val="center"/>
          </w:tcPr>
          <w:p w14:paraId="7F286637">
            <w:pPr>
              <w:widowControl/>
              <w:wordWrap w:val="0"/>
              <w:spacing w:line="276" w:lineRule="auto"/>
              <w:jc w:val="center"/>
              <w:rPr>
                <w:rFonts w:hint="eastAsia" w:ascii="宋体" w:hAnsi="宋体" w:eastAsia="宋体" w:cs="宋体"/>
                <w:color w:val="auto"/>
                <w:szCs w:val="21"/>
                <w:highlight w:val="none"/>
              </w:rPr>
            </w:pPr>
          </w:p>
        </w:tc>
        <w:tc>
          <w:tcPr>
            <w:tcW w:w="1678" w:type="dxa"/>
            <w:shd w:val="clear" w:color="auto" w:fill="FFFFFF"/>
            <w:tcMar>
              <w:top w:w="0" w:type="dxa"/>
              <w:left w:w="108" w:type="dxa"/>
              <w:bottom w:w="0" w:type="dxa"/>
              <w:right w:w="108" w:type="dxa"/>
            </w:tcMar>
            <w:vAlign w:val="center"/>
          </w:tcPr>
          <w:p w14:paraId="19EDE8C7">
            <w:pPr>
              <w:spacing w:before="100" w:beforeAutospacing="1" w:after="100" w:afterAutospacing="1"/>
              <w:jc w:val="center"/>
              <w:rPr>
                <w:rFonts w:hint="eastAsia" w:ascii="宋体" w:hAnsi="宋体" w:eastAsia="宋体" w:cs="宋体"/>
                <w:color w:val="auto"/>
                <w:highlight w:val="none"/>
                <w:lang w:bidi="ar"/>
              </w:rPr>
            </w:pPr>
            <w:r>
              <w:rPr>
                <w:rFonts w:hint="eastAsia" w:ascii="宋体" w:hAnsi="宋体" w:eastAsia="宋体" w:cs="宋体"/>
                <w:color w:val="auto"/>
                <w:szCs w:val="21"/>
                <w:highlight w:val="none"/>
                <w:lang w:bidi="ar"/>
              </w:rPr>
              <w:t>进度控制措施</w:t>
            </w:r>
            <w:r>
              <w:rPr>
                <w:rFonts w:hint="eastAsia" w:ascii="宋体" w:hAnsi="宋体" w:eastAsia="宋体" w:cs="宋体"/>
                <w:color w:val="auto"/>
                <w:highlight w:val="none"/>
                <w:lang w:bidi="ar"/>
              </w:rPr>
              <w:t>（</w:t>
            </w:r>
            <w:r>
              <w:rPr>
                <w:rFonts w:hint="eastAsia" w:ascii="宋体" w:hAnsi="宋体" w:eastAsia="宋体" w:cs="宋体"/>
                <w:color w:val="auto"/>
                <w:highlight w:val="none"/>
                <w:lang w:val="en-US" w:eastAsia="zh-CN" w:bidi="ar"/>
              </w:rPr>
              <w:t>4</w:t>
            </w:r>
            <w:r>
              <w:rPr>
                <w:rFonts w:hint="eastAsia" w:ascii="宋体" w:hAnsi="宋体" w:eastAsia="宋体" w:cs="宋体"/>
                <w:color w:val="auto"/>
                <w:highlight w:val="none"/>
                <w:lang w:bidi="ar"/>
              </w:rPr>
              <w:t>分）</w:t>
            </w:r>
          </w:p>
        </w:tc>
        <w:tc>
          <w:tcPr>
            <w:tcW w:w="6505" w:type="dxa"/>
            <w:shd w:val="clear" w:color="auto" w:fill="FFFFFF"/>
            <w:tcMar>
              <w:top w:w="0" w:type="dxa"/>
              <w:left w:w="108" w:type="dxa"/>
              <w:bottom w:w="0" w:type="dxa"/>
              <w:right w:w="108" w:type="dxa"/>
            </w:tcMar>
            <w:vAlign w:val="top"/>
          </w:tcPr>
          <w:p w14:paraId="6420FEF2">
            <w:pPr>
              <w:snapToGrid w:val="0"/>
              <w:spacing w:line="440" w:lineRule="exact"/>
              <w:rPr>
                <w:rFonts w:hint="eastAsia" w:ascii="宋体" w:hAnsi="宋体" w:eastAsia="宋体" w:cs="宋体"/>
                <w:b/>
                <w:color w:val="auto"/>
                <w:szCs w:val="21"/>
                <w:highlight w:val="none"/>
                <w:lang w:eastAsia="zh-CN"/>
              </w:rPr>
            </w:pPr>
            <w:r>
              <w:rPr>
                <w:rFonts w:hint="eastAsia" w:ascii="宋体" w:hAnsi="宋体" w:eastAsia="宋体" w:cs="宋体"/>
                <w:color w:val="auto"/>
                <w:szCs w:val="21"/>
                <w:highlight w:val="none"/>
                <w:lang w:bidi="ar"/>
              </w:rPr>
              <w:t>针对本项目的特点，提出切实可行的进度计划，分析工期关键节点</w:t>
            </w:r>
            <w:r>
              <w:rPr>
                <w:rFonts w:hint="eastAsia" w:ascii="宋体" w:hAnsi="宋体" w:eastAsia="宋体" w:cs="宋体"/>
                <w:color w:val="auto"/>
                <w:szCs w:val="21"/>
                <w:highlight w:val="none"/>
              </w:rPr>
              <w:t>（如市政道路、排水、地下水控制、周边环境保护</w:t>
            </w:r>
            <w:r>
              <w:rPr>
                <w:rFonts w:hint="eastAsia" w:ascii="宋体" w:hAnsi="宋体" w:eastAsia="宋体" w:cs="宋体"/>
                <w:color w:val="auto"/>
                <w:szCs w:val="21"/>
                <w:highlight w:val="none"/>
                <w:lang w:eastAsia="zh-CN"/>
              </w:rPr>
              <w:t>、雨水调蓄设施</w:t>
            </w:r>
            <w:r>
              <w:rPr>
                <w:rFonts w:hint="eastAsia" w:ascii="宋体" w:hAnsi="宋体" w:eastAsia="宋体" w:cs="宋体"/>
                <w:color w:val="auto"/>
                <w:szCs w:val="21"/>
                <w:highlight w:val="none"/>
              </w:rPr>
              <w:t>等）</w:t>
            </w:r>
            <w:r>
              <w:rPr>
                <w:rFonts w:hint="eastAsia" w:ascii="宋体" w:hAnsi="宋体" w:eastAsia="宋体" w:cs="宋体"/>
                <w:color w:val="auto"/>
                <w:szCs w:val="21"/>
                <w:highlight w:val="none"/>
                <w:lang w:bidi="ar"/>
              </w:rPr>
              <w:t>，逐一提出可行的进度控制方法及针对性的措施，并有相应的合理化建议。方案为优，得4分；方案为良，得3分；方案为一般，得2分；方案为差，得0分</w:t>
            </w:r>
            <w:r>
              <w:rPr>
                <w:rFonts w:hint="eastAsia" w:ascii="宋体" w:hAnsi="宋体" w:eastAsia="宋体" w:cs="宋体"/>
                <w:color w:val="auto"/>
                <w:szCs w:val="21"/>
                <w:highlight w:val="none"/>
                <w:lang w:eastAsia="zh-CN" w:bidi="ar"/>
              </w:rPr>
              <w:t>。</w:t>
            </w:r>
          </w:p>
        </w:tc>
      </w:tr>
      <w:tr w14:paraId="2C74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846" w:type="dxa"/>
            <w:vMerge w:val="continue"/>
            <w:shd w:val="clear" w:color="auto" w:fill="FFFFFF"/>
            <w:tcMar>
              <w:top w:w="0" w:type="dxa"/>
              <w:left w:w="108" w:type="dxa"/>
              <w:bottom w:w="0" w:type="dxa"/>
              <w:right w:w="108" w:type="dxa"/>
            </w:tcMar>
            <w:vAlign w:val="center"/>
          </w:tcPr>
          <w:p w14:paraId="2467FC91">
            <w:pPr>
              <w:widowControl/>
              <w:wordWrap w:val="0"/>
              <w:spacing w:line="276" w:lineRule="auto"/>
              <w:jc w:val="center"/>
              <w:rPr>
                <w:rFonts w:hint="eastAsia" w:ascii="宋体" w:hAnsi="宋体" w:eastAsia="宋体" w:cs="宋体"/>
                <w:color w:val="auto"/>
                <w:szCs w:val="21"/>
                <w:highlight w:val="none"/>
              </w:rPr>
            </w:pPr>
          </w:p>
        </w:tc>
        <w:tc>
          <w:tcPr>
            <w:tcW w:w="1072" w:type="dxa"/>
            <w:vMerge w:val="continue"/>
            <w:shd w:val="clear" w:color="auto" w:fill="FFFFFF"/>
            <w:tcMar>
              <w:top w:w="0" w:type="dxa"/>
              <w:left w:w="108" w:type="dxa"/>
              <w:bottom w:w="0" w:type="dxa"/>
              <w:right w:w="108" w:type="dxa"/>
            </w:tcMar>
            <w:vAlign w:val="center"/>
          </w:tcPr>
          <w:p w14:paraId="7A994E5B">
            <w:pPr>
              <w:widowControl/>
              <w:wordWrap w:val="0"/>
              <w:spacing w:line="276" w:lineRule="auto"/>
              <w:jc w:val="center"/>
              <w:rPr>
                <w:rFonts w:hint="eastAsia" w:ascii="宋体" w:hAnsi="宋体" w:eastAsia="宋体" w:cs="宋体"/>
                <w:color w:val="auto"/>
                <w:szCs w:val="21"/>
                <w:highlight w:val="none"/>
              </w:rPr>
            </w:pPr>
          </w:p>
        </w:tc>
        <w:tc>
          <w:tcPr>
            <w:tcW w:w="1678" w:type="dxa"/>
            <w:shd w:val="clear" w:color="auto" w:fill="FFFFFF"/>
            <w:tcMar>
              <w:top w:w="0" w:type="dxa"/>
              <w:left w:w="108" w:type="dxa"/>
              <w:bottom w:w="0" w:type="dxa"/>
              <w:right w:w="108" w:type="dxa"/>
            </w:tcMar>
            <w:vAlign w:val="center"/>
          </w:tcPr>
          <w:p w14:paraId="7B748C43">
            <w:pPr>
              <w:spacing w:before="100" w:beforeAutospacing="1" w:after="100" w:afterAutospacing="1"/>
              <w:jc w:val="center"/>
              <w:rPr>
                <w:rFonts w:hint="eastAsia" w:ascii="宋体" w:hAnsi="宋体" w:eastAsia="宋体" w:cs="宋体"/>
                <w:color w:val="auto"/>
                <w:highlight w:val="none"/>
                <w:lang w:bidi="ar"/>
              </w:rPr>
            </w:pPr>
            <w:r>
              <w:rPr>
                <w:rFonts w:hint="eastAsia" w:ascii="宋体" w:hAnsi="宋体" w:eastAsia="宋体" w:cs="宋体"/>
                <w:color w:val="auto"/>
                <w:szCs w:val="21"/>
                <w:highlight w:val="none"/>
                <w:lang w:bidi="ar"/>
              </w:rPr>
              <w:t>安全、环保控制措施</w:t>
            </w:r>
            <w:r>
              <w:rPr>
                <w:rFonts w:hint="eastAsia" w:ascii="宋体" w:hAnsi="宋体" w:eastAsia="宋体" w:cs="宋体"/>
                <w:color w:val="auto"/>
                <w:highlight w:val="none"/>
                <w:lang w:bidi="ar"/>
              </w:rPr>
              <w:t>（</w:t>
            </w:r>
            <w:r>
              <w:rPr>
                <w:rFonts w:hint="eastAsia" w:ascii="宋体" w:hAnsi="宋体" w:eastAsia="宋体" w:cs="宋体"/>
                <w:color w:val="auto"/>
                <w:highlight w:val="none"/>
                <w:lang w:val="en-US" w:eastAsia="zh-CN" w:bidi="ar"/>
              </w:rPr>
              <w:t>4</w:t>
            </w:r>
            <w:r>
              <w:rPr>
                <w:rFonts w:hint="eastAsia" w:ascii="宋体" w:hAnsi="宋体" w:eastAsia="宋体" w:cs="宋体"/>
                <w:color w:val="auto"/>
                <w:highlight w:val="none"/>
                <w:lang w:bidi="ar"/>
              </w:rPr>
              <w:t>分）</w:t>
            </w:r>
          </w:p>
        </w:tc>
        <w:tc>
          <w:tcPr>
            <w:tcW w:w="6505" w:type="dxa"/>
            <w:shd w:val="clear" w:color="auto" w:fill="FFFFFF"/>
            <w:tcMar>
              <w:top w:w="0" w:type="dxa"/>
              <w:left w:w="108" w:type="dxa"/>
              <w:bottom w:w="0" w:type="dxa"/>
              <w:right w:w="108" w:type="dxa"/>
            </w:tcMar>
            <w:vAlign w:val="top"/>
          </w:tcPr>
          <w:p w14:paraId="60421DAE">
            <w:pPr>
              <w:snapToGrid w:val="0"/>
              <w:spacing w:line="44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bidi="ar"/>
              </w:rPr>
              <w:t>安全、环保控制措施。方案为优，得4分；方案为良，得3分；方案为一般，得2分；方案为差，得0分。</w:t>
            </w:r>
          </w:p>
        </w:tc>
      </w:tr>
      <w:tr w14:paraId="1F4D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846" w:type="dxa"/>
            <w:vMerge w:val="continue"/>
            <w:shd w:val="clear" w:color="auto" w:fill="FFFFFF"/>
            <w:vAlign w:val="center"/>
          </w:tcPr>
          <w:p w14:paraId="30DDFE5A">
            <w:pPr>
              <w:widowControl/>
              <w:wordWrap w:val="0"/>
              <w:spacing w:line="276" w:lineRule="auto"/>
              <w:rPr>
                <w:rFonts w:hint="eastAsia" w:ascii="宋体" w:hAnsi="宋体" w:eastAsia="宋体" w:cs="宋体"/>
                <w:color w:val="auto"/>
                <w:szCs w:val="21"/>
                <w:highlight w:val="none"/>
              </w:rPr>
            </w:pPr>
          </w:p>
        </w:tc>
        <w:tc>
          <w:tcPr>
            <w:tcW w:w="1072" w:type="dxa"/>
            <w:vMerge w:val="continue"/>
            <w:shd w:val="clear" w:color="auto" w:fill="FFFFFF"/>
            <w:vAlign w:val="center"/>
          </w:tcPr>
          <w:p w14:paraId="022FB83F">
            <w:pPr>
              <w:widowControl/>
              <w:wordWrap w:val="0"/>
              <w:spacing w:line="276" w:lineRule="auto"/>
              <w:jc w:val="center"/>
              <w:rPr>
                <w:rFonts w:hint="eastAsia" w:ascii="宋体" w:hAnsi="宋体" w:eastAsia="宋体" w:cs="宋体"/>
                <w:color w:val="auto"/>
                <w:szCs w:val="21"/>
                <w:highlight w:val="none"/>
              </w:rPr>
            </w:pPr>
          </w:p>
        </w:tc>
        <w:tc>
          <w:tcPr>
            <w:tcW w:w="1678" w:type="dxa"/>
            <w:shd w:val="clear" w:color="auto" w:fill="FFFFFF"/>
            <w:tcMar>
              <w:top w:w="0" w:type="dxa"/>
              <w:left w:w="108" w:type="dxa"/>
              <w:bottom w:w="0" w:type="dxa"/>
              <w:right w:w="108" w:type="dxa"/>
            </w:tcMar>
            <w:vAlign w:val="center"/>
          </w:tcPr>
          <w:p w14:paraId="6123D21B">
            <w:pPr>
              <w:spacing w:before="100" w:beforeAutospacing="1" w:after="100" w:afterAutospac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bidi="ar"/>
              </w:rPr>
              <w:t>对本工程投资控制措施</w:t>
            </w:r>
            <w:r>
              <w:rPr>
                <w:rFonts w:hint="eastAsia" w:ascii="宋体" w:hAnsi="宋体" w:eastAsia="宋体" w:cs="宋体"/>
                <w:color w:val="auto"/>
                <w:szCs w:val="21"/>
                <w:highlight w:val="none"/>
                <w:lang w:bidi="ar"/>
              </w:rPr>
              <w:t>（4分）</w:t>
            </w:r>
          </w:p>
        </w:tc>
        <w:tc>
          <w:tcPr>
            <w:tcW w:w="6505" w:type="dxa"/>
            <w:shd w:val="clear" w:color="auto" w:fill="FFFFFF"/>
            <w:tcMar>
              <w:top w:w="0" w:type="dxa"/>
              <w:left w:w="108" w:type="dxa"/>
              <w:bottom w:w="0" w:type="dxa"/>
              <w:right w:w="108" w:type="dxa"/>
            </w:tcMar>
            <w:vAlign w:val="top"/>
          </w:tcPr>
          <w:p w14:paraId="3A2EACDB">
            <w:pPr>
              <w:spacing w:line="440" w:lineRule="exact"/>
              <w:jc w:val="left"/>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szCs w:val="21"/>
                <w:highlight w:val="none"/>
                <w:lang w:bidi="ar"/>
              </w:rPr>
              <w:t>投资控制措施：坚持估算控制概算、概算控制预算、预算控制结算的原则，要求目标明确、依据、方法合理可行、措施具体、针对性强。方案为优，得4分；方案为良，得3分；方案为一般，得2分；方案为差，得0分；</w:t>
            </w:r>
          </w:p>
        </w:tc>
      </w:tr>
      <w:tr w14:paraId="19EA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846" w:type="dxa"/>
            <w:vMerge w:val="continue"/>
            <w:shd w:val="clear" w:color="auto" w:fill="FFFFFF"/>
            <w:vAlign w:val="center"/>
          </w:tcPr>
          <w:p w14:paraId="6C5D48F5">
            <w:pPr>
              <w:widowControl/>
              <w:wordWrap w:val="0"/>
              <w:spacing w:line="276" w:lineRule="auto"/>
              <w:rPr>
                <w:rFonts w:hint="eastAsia" w:ascii="宋体" w:hAnsi="宋体" w:eastAsia="宋体" w:cs="宋体"/>
                <w:color w:val="auto"/>
                <w:szCs w:val="21"/>
                <w:highlight w:val="none"/>
              </w:rPr>
            </w:pPr>
          </w:p>
        </w:tc>
        <w:tc>
          <w:tcPr>
            <w:tcW w:w="1072" w:type="dxa"/>
            <w:vMerge w:val="continue"/>
            <w:shd w:val="clear" w:color="auto" w:fill="FFFFFF"/>
            <w:vAlign w:val="center"/>
          </w:tcPr>
          <w:p w14:paraId="51C4CA4D">
            <w:pPr>
              <w:widowControl/>
              <w:wordWrap w:val="0"/>
              <w:spacing w:line="276" w:lineRule="auto"/>
              <w:jc w:val="center"/>
              <w:rPr>
                <w:rFonts w:hint="eastAsia" w:ascii="宋体" w:hAnsi="宋体" w:eastAsia="宋体" w:cs="宋体"/>
                <w:color w:val="auto"/>
                <w:szCs w:val="21"/>
                <w:highlight w:val="none"/>
              </w:rPr>
            </w:pPr>
          </w:p>
        </w:tc>
        <w:tc>
          <w:tcPr>
            <w:tcW w:w="1678" w:type="dxa"/>
            <w:shd w:val="clear" w:color="auto" w:fill="FFFFFF"/>
            <w:tcMar>
              <w:top w:w="0" w:type="dxa"/>
              <w:left w:w="57" w:type="dxa"/>
              <w:bottom w:w="0" w:type="dxa"/>
              <w:right w:w="57" w:type="dxa"/>
            </w:tcMar>
            <w:vAlign w:val="center"/>
          </w:tcPr>
          <w:p w14:paraId="2DF13CF0">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lang w:bidi="ar"/>
              </w:rPr>
              <w:t>合同、信息管理方案</w:t>
            </w:r>
          </w:p>
          <w:p w14:paraId="0591CA03">
            <w:pPr>
              <w:snapToGrid w:val="0"/>
              <w:jc w:val="center"/>
              <w:rPr>
                <w:rFonts w:hint="eastAsia" w:ascii="宋体" w:hAnsi="宋体" w:eastAsia="宋体" w:cs="宋体"/>
                <w:color w:val="auto"/>
                <w:szCs w:val="21"/>
                <w:highlight w:val="none"/>
              </w:rPr>
            </w:pPr>
            <w:r>
              <w:rPr>
                <w:rFonts w:hint="eastAsia" w:ascii="宋体" w:hAnsi="宋体" w:eastAsia="宋体" w:cs="宋体"/>
                <w:color w:val="auto"/>
                <w:highlight w:val="none"/>
                <w:lang w:bidi="ar"/>
              </w:rPr>
              <w:t>（4分）</w:t>
            </w:r>
          </w:p>
        </w:tc>
        <w:tc>
          <w:tcPr>
            <w:tcW w:w="6505" w:type="dxa"/>
            <w:shd w:val="clear" w:color="auto" w:fill="FFFFFF"/>
            <w:tcMar>
              <w:top w:w="0" w:type="dxa"/>
              <w:left w:w="57" w:type="dxa"/>
              <w:bottom w:w="0" w:type="dxa"/>
              <w:right w:w="57" w:type="dxa"/>
            </w:tcMar>
            <w:vAlign w:val="top"/>
          </w:tcPr>
          <w:p w14:paraId="7551F111">
            <w:pPr>
              <w:spacing w:line="440" w:lineRule="exact"/>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highlight w:val="none"/>
                <w:lang w:bidi="ar"/>
              </w:rPr>
              <w:t>建立完善的合同信息管理制度、合同管理、信息管理方法、针对性强、措施具体、针对性强。</w:t>
            </w:r>
            <w:r>
              <w:rPr>
                <w:rFonts w:hint="eastAsia" w:ascii="宋体" w:hAnsi="宋体" w:eastAsia="宋体" w:cs="宋体"/>
                <w:color w:val="auto"/>
                <w:szCs w:val="21"/>
                <w:highlight w:val="none"/>
                <w:lang w:bidi="ar"/>
              </w:rPr>
              <w:t>方案为优，得4分；方案为良，得3分；方案为一般，得2分；方案为差，得0分；</w:t>
            </w:r>
          </w:p>
        </w:tc>
      </w:tr>
      <w:tr w14:paraId="6E5E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846" w:type="dxa"/>
            <w:vMerge w:val="continue"/>
            <w:shd w:val="clear" w:color="auto" w:fill="FFFFFF"/>
            <w:vAlign w:val="center"/>
          </w:tcPr>
          <w:p w14:paraId="57B22404">
            <w:pPr>
              <w:widowControl/>
              <w:wordWrap w:val="0"/>
              <w:spacing w:line="276" w:lineRule="auto"/>
              <w:rPr>
                <w:rFonts w:hint="eastAsia" w:ascii="宋体" w:hAnsi="宋体" w:eastAsia="宋体" w:cs="宋体"/>
                <w:color w:val="auto"/>
                <w:szCs w:val="21"/>
                <w:highlight w:val="none"/>
              </w:rPr>
            </w:pPr>
          </w:p>
        </w:tc>
        <w:tc>
          <w:tcPr>
            <w:tcW w:w="1072" w:type="dxa"/>
            <w:vMerge w:val="continue"/>
            <w:shd w:val="clear" w:color="auto" w:fill="FFFFFF"/>
            <w:vAlign w:val="center"/>
          </w:tcPr>
          <w:p w14:paraId="681C9A2C">
            <w:pPr>
              <w:widowControl/>
              <w:wordWrap w:val="0"/>
              <w:spacing w:line="276" w:lineRule="auto"/>
              <w:jc w:val="center"/>
              <w:rPr>
                <w:rFonts w:hint="eastAsia" w:ascii="宋体" w:hAnsi="宋体" w:eastAsia="宋体" w:cs="宋体"/>
                <w:color w:val="auto"/>
                <w:szCs w:val="21"/>
                <w:highlight w:val="none"/>
              </w:rPr>
            </w:pPr>
          </w:p>
        </w:tc>
        <w:tc>
          <w:tcPr>
            <w:tcW w:w="1678" w:type="dxa"/>
            <w:shd w:val="clear" w:color="auto" w:fill="FFFFFF"/>
            <w:tcMar>
              <w:top w:w="0" w:type="dxa"/>
              <w:left w:w="57" w:type="dxa"/>
              <w:bottom w:w="0" w:type="dxa"/>
              <w:right w:w="57" w:type="dxa"/>
            </w:tcMar>
            <w:vAlign w:val="center"/>
          </w:tcPr>
          <w:p w14:paraId="1633415F">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lang w:bidi="ar"/>
              </w:rPr>
              <w:t>监理组织协调内容及措施</w:t>
            </w:r>
          </w:p>
          <w:p w14:paraId="2C537954">
            <w:pPr>
              <w:snapToGrid w:val="0"/>
              <w:jc w:val="center"/>
              <w:rPr>
                <w:rFonts w:hint="eastAsia" w:ascii="宋体" w:hAnsi="宋体" w:eastAsia="宋体" w:cs="宋体"/>
                <w:color w:val="auto"/>
                <w:szCs w:val="21"/>
                <w:highlight w:val="none"/>
              </w:rPr>
            </w:pPr>
            <w:r>
              <w:rPr>
                <w:rFonts w:hint="eastAsia" w:ascii="宋体" w:hAnsi="宋体" w:eastAsia="宋体" w:cs="宋体"/>
                <w:color w:val="auto"/>
                <w:highlight w:val="none"/>
                <w:lang w:bidi="ar"/>
              </w:rPr>
              <w:t>（</w:t>
            </w:r>
            <w:r>
              <w:rPr>
                <w:rFonts w:hint="eastAsia" w:ascii="宋体" w:hAnsi="宋体" w:eastAsia="宋体" w:cs="宋体"/>
                <w:color w:val="auto"/>
                <w:szCs w:val="21"/>
                <w:highlight w:val="none"/>
                <w:lang w:bidi="ar"/>
              </w:rPr>
              <w:t>4分</w:t>
            </w:r>
            <w:r>
              <w:rPr>
                <w:rFonts w:hint="eastAsia" w:ascii="宋体" w:hAnsi="宋体" w:eastAsia="宋体" w:cs="宋体"/>
                <w:color w:val="auto"/>
                <w:highlight w:val="none"/>
                <w:lang w:bidi="ar"/>
              </w:rPr>
              <w:t>）</w:t>
            </w:r>
          </w:p>
        </w:tc>
        <w:tc>
          <w:tcPr>
            <w:tcW w:w="6505" w:type="dxa"/>
            <w:shd w:val="clear" w:color="auto" w:fill="FFFFFF"/>
            <w:tcMar>
              <w:top w:w="0" w:type="dxa"/>
              <w:left w:w="57" w:type="dxa"/>
              <w:bottom w:w="0" w:type="dxa"/>
              <w:right w:w="57" w:type="dxa"/>
            </w:tcMar>
            <w:vAlign w:val="top"/>
          </w:tcPr>
          <w:p w14:paraId="389C11A5">
            <w:pPr>
              <w:spacing w:line="440" w:lineRule="exact"/>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highlight w:val="none"/>
                <w:lang w:bidi="ar"/>
              </w:rPr>
              <w:t>协调方法清晰合理，有具体措施。</w:t>
            </w:r>
            <w:r>
              <w:rPr>
                <w:rFonts w:hint="eastAsia" w:ascii="宋体" w:hAnsi="宋体" w:eastAsia="宋体" w:cs="宋体"/>
                <w:color w:val="auto"/>
                <w:szCs w:val="21"/>
                <w:highlight w:val="none"/>
                <w:lang w:bidi="ar"/>
              </w:rPr>
              <w:t>方案为优，得4分；方案为良，得 3分；方案为一般，得2分；方案为差，得0分</w:t>
            </w:r>
            <w:r>
              <w:rPr>
                <w:rFonts w:hint="eastAsia" w:ascii="宋体" w:hAnsi="宋体" w:eastAsia="宋体" w:cs="宋体"/>
                <w:color w:val="auto"/>
                <w:highlight w:val="none"/>
                <w:lang w:bidi="ar"/>
              </w:rPr>
              <w:t>；</w:t>
            </w:r>
          </w:p>
        </w:tc>
      </w:tr>
      <w:tr w14:paraId="16FA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846" w:type="dxa"/>
            <w:vMerge w:val="continue"/>
            <w:shd w:val="clear" w:color="auto" w:fill="FFFFFF"/>
            <w:vAlign w:val="center"/>
          </w:tcPr>
          <w:p w14:paraId="3741F0EB">
            <w:pPr>
              <w:widowControl/>
              <w:wordWrap w:val="0"/>
              <w:spacing w:line="276" w:lineRule="auto"/>
              <w:rPr>
                <w:rFonts w:hint="eastAsia" w:ascii="宋体" w:hAnsi="宋体" w:eastAsia="宋体" w:cs="宋体"/>
                <w:color w:val="auto"/>
                <w:szCs w:val="21"/>
                <w:highlight w:val="none"/>
              </w:rPr>
            </w:pPr>
          </w:p>
        </w:tc>
        <w:tc>
          <w:tcPr>
            <w:tcW w:w="1072" w:type="dxa"/>
            <w:vMerge w:val="continue"/>
            <w:shd w:val="clear" w:color="auto" w:fill="FFFFFF"/>
            <w:vAlign w:val="center"/>
          </w:tcPr>
          <w:p w14:paraId="77C425EF">
            <w:pPr>
              <w:widowControl/>
              <w:wordWrap w:val="0"/>
              <w:spacing w:line="276" w:lineRule="auto"/>
              <w:jc w:val="center"/>
              <w:rPr>
                <w:rFonts w:hint="eastAsia" w:ascii="宋体" w:hAnsi="宋体" w:eastAsia="宋体" w:cs="宋体"/>
                <w:color w:val="auto"/>
                <w:szCs w:val="21"/>
                <w:highlight w:val="none"/>
              </w:rPr>
            </w:pPr>
          </w:p>
        </w:tc>
        <w:tc>
          <w:tcPr>
            <w:tcW w:w="1678" w:type="dxa"/>
            <w:shd w:val="clear" w:color="auto" w:fill="FFFFFF"/>
            <w:tcMar>
              <w:top w:w="0" w:type="dxa"/>
              <w:left w:w="57" w:type="dxa"/>
              <w:bottom w:w="0" w:type="dxa"/>
              <w:right w:w="57" w:type="dxa"/>
            </w:tcMar>
            <w:vAlign w:val="center"/>
          </w:tcPr>
          <w:p w14:paraId="1DAF04EC">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lang w:bidi="ar"/>
              </w:rPr>
              <w:t>监理工作重点、难点分析</w:t>
            </w:r>
          </w:p>
          <w:p w14:paraId="3AF0355D">
            <w:pPr>
              <w:snapToGrid w:val="0"/>
              <w:jc w:val="center"/>
              <w:rPr>
                <w:rFonts w:hint="eastAsia" w:ascii="宋体" w:hAnsi="宋体" w:eastAsia="宋体" w:cs="宋体"/>
                <w:color w:val="auto"/>
                <w:szCs w:val="21"/>
                <w:highlight w:val="none"/>
              </w:rPr>
            </w:pPr>
            <w:r>
              <w:rPr>
                <w:rFonts w:hint="eastAsia" w:ascii="宋体" w:hAnsi="宋体" w:eastAsia="宋体" w:cs="宋体"/>
                <w:color w:val="auto"/>
                <w:highlight w:val="none"/>
                <w:lang w:bidi="ar"/>
              </w:rPr>
              <w:t>（</w:t>
            </w:r>
            <w:r>
              <w:rPr>
                <w:rFonts w:hint="eastAsia" w:ascii="宋体" w:hAnsi="宋体" w:eastAsia="宋体" w:cs="宋体"/>
                <w:color w:val="auto"/>
                <w:szCs w:val="21"/>
                <w:highlight w:val="none"/>
                <w:lang w:bidi="ar"/>
              </w:rPr>
              <w:t>8分</w:t>
            </w:r>
            <w:r>
              <w:rPr>
                <w:rFonts w:hint="eastAsia" w:ascii="宋体" w:hAnsi="宋体" w:eastAsia="宋体" w:cs="宋体"/>
                <w:color w:val="auto"/>
                <w:highlight w:val="none"/>
                <w:lang w:bidi="ar"/>
              </w:rPr>
              <w:t>）</w:t>
            </w:r>
          </w:p>
        </w:tc>
        <w:tc>
          <w:tcPr>
            <w:tcW w:w="6505" w:type="dxa"/>
            <w:shd w:val="clear" w:color="auto" w:fill="FFFFFF"/>
            <w:tcMar>
              <w:top w:w="0" w:type="dxa"/>
              <w:left w:w="57" w:type="dxa"/>
              <w:bottom w:w="0" w:type="dxa"/>
              <w:right w:w="57" w:type="dxa"/>
            </w:tcMar>
            <w:vAlign w:val="center"/>
          </w:tcPr>
          <w:p w14:paraId="3BA63F83">
            <w:pPr>
              <w:spacing w:line="440" w:lineRule="exact"/>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highlight w:val="none"/>
                <w:lang w:bidi="ar"/>
              </w:rPr>
              <w:t>针对本项目特点</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val="en-US" w:eastAsia="zh-CN" w:bidi="ar"/>
              </w:rPr>
              <w:t>涉及道路虽为城市支路但地处市中心区域、项目建设需同步建设雨水调蓄池、污水管道、给水管道、电力管沟、通信管道等市政基础设施</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及招标内容，对项目实施</w:t>
            </w:r>
            <w:r>
              <w:rPr>
                <w:rFonts w:hint="eastAsia" w:ascii="宋体" w:hAnsi="宋体" w:eastAsia="宋体" w:cs="宋体"/>
                <w:color w:val="auto"/>
                <w:szCs w:val="21"/>
                <w:highlight w:val="none"/>
              </w:rPr>
              <w:t>（包括道路工程、交通疏解、</w:t>
            </w:r>
            <w:r>
              <w:rPr>
                <w:rFonts w:hint="eastAsia" w:ascii="宋体" w:hAnsi="宋体" w:eastAsia="宋体" w:cs="宋体"/>
                <w:color w:val="auto"/>
                <w:szCs w:val="21"/>
                <w:highlight w:val="none"/>
                <w:lang w:val="en-US" w:eastAsia="zh-CN"/>
              </w:rPr>
              <w:t>多管线施工</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路基</w:t>
            </w:r>
            <w:r>
              <w:rPr>
                <w:rFonts w:hint="eastAsia" w:ascii="宋体" w:hAnsi="宋体" w:eastAsia="宋体" w:cs="宋体"/>
                <w:color w:val="auto"/>
                <w:szCs w:val="21"/>
                <w:highlight w:val="none"/>
              </w:rPr>
              <w:t>开挖、支护结构设置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特殊环境周边控尘降噪</w:t>
            </w:r>
            <w:r>
              <w:rPr>
                <w:rFonts w:hint="eastAsia" w:ascii="宋体" w:hAnsi="宋体" w:eastAsia="宋体" w:cs="宋体"/>
                <w:color w:val="auto"/>
                <w:szCs w:val="21"/>
                <w:highlight w:val="none"/>
              </w:rPr>
              <w:t>等）</w:t>
            </w:r>
            <w:r>
              <w:rPr>
                <w:rFonts w:hint="eastAsia" w:ascii="宋体" w:hAnsi="宋体" w:eastAsia="宋体" w:cs="宋体"/>
                <w:color w:val="auto"/>
                <w:highlight w:val="none"/>
                <w:lang w:bidi="ar"/>
              </w:rPr>
              <w:t>的重点、难点进行详细分析，并提出相应措施。</w:t>
            </w:r>
            <w:r>
              <w:rPr>
                <w:rFonts w:hint="eastAsia" w:ascii="宋体" w:hAnsi="宋体" w:eastAsia="宋体" w:cs="宋体"/>
                <w:color w:val="auto"/>
                <w:szCs w:val="21"/>
                <w:highlight w:val="none"/>
                <w:lang w:bidi="ar"/>
              </w:rPr>
              <w:t>方案为优</w:t>
            </w:r>
            <w:r>
              <w:rPr>
                <w:rFonts w:hint="eastAsia" w:ascii="宋体" w:hAnsi="宋体" w:eastAsia="宋体" w:cs="宋体"/>
                <w:color w:val="auto"/>
                <w:highlight w:val="none"/>
                <w:lang w:bidi="ar"/>
              </w:rPr>
              <w:t>，得</w:t>
            </w:r>
            <w:r>
              <w:rPr>
                <w:rFonts w:hint="eastAsia" w:ascii="宋体" w:hAnsi="宋体" w:eastAsia="宋体" w:cs="宋体"/>
                <w:color w:val="auto"/>
                <w:szCs w:val="21"/>
                <w:highlight w:val="none"/>
                <w:lang w:bidi="ar"/>
              </w:rPr>
              <w:t>8分</w:t>
            </w:r>
            <w:r>
              <w:rPr>
                <w:rFonts w:hint="eastAsia" w:ascii="宋体" w:hAnsi="宋体" w:eastAsia="宋体" w:cs="宋体"/>
                <w:color w:val="auto"/>
                <w:highlight w:val="none"/>
                <w:lang w:bidi="ar"/>
              </w:rPr>
              <w:t xml:space="preserve">； </w:t>
            </w:r>
            <w:r>
              <w:rPr>
                <w:rFonts w:hint="eastAsia" w:ascii="宋体" w:hAnsi="宋体" w:eastAsia="宋体" w:cs="宋体"/>
                <w:color w:val="auto"/>
                <w:szCs w:val="21"/>
                <w:highlight w:val="none"/>
                <w:lang w:bidi="ar"/>
              </w:rPr>
              <w:t>方案为</w:t>
            </w:r>
            <w:r>
              <w:rPr>
                <w:rFonts w:hint="eastAsia" w:ascii="宋体" w:hAnsi="宋体" w:eastAsia="宋体" w:cs="宋体"/>
                <w:color w:val="auto"/>
                <w:highlight w:val="none"/>
                <w:lang w:bidi="ar"/>
              </w:rPr>
              <w:t>良，得 5分；</w:t>
            </w:r>
            <w:r>
              <w:rPr>
                <w:rFonts w:hint="eastAsia" w:ascii="宋体" w:hAnsi="宋体" w:eastAsia="宋体" w:cs="宋体"/>
                <w:color w:val="auto"/>
                <w:szCs w:val="21"/>
                <w:highlight w:val="none"/>
                <w:lang w:bidi="ar"/>
              </w:rPr>
              <w:t>方案为</w:t>
            </w:r>
            <w:r>
              <w:rPr>
                <w:rFonts w:hint="eastAsia" w:ascii="宋体" w:hAnsi="宋体" w:eastAsia="宋体" w:cs="宋体"/>
                <w:color w:val="auto"/>
                <w:highlight w:val="none"/>
                <w:lang w:bidi="ar"/>
              </w:rPr>
              <w:t>一般，得2分；</w:t>
            </w:r>
            <w:r>
              <w:rPr>
                <w:rFonts w:hint="eastAsia" w:ascii="宋体" w:hAnsi="宋体" w:eastAsia="宋体" w:cs="宋体"/>
                <w:color w:val="auto"/>
                <w:szCs w:val="21"/>
                <w:highlight w:val="none"/>
                <w:lang w:bidi="ar"/>
              </w:rPr>
              <w:t>方案为</w:t>
            </w:r>
            <w:r>
              <w:rPr>
                <w:rFonts w:hint="eastAsia" w:ascii="宋体" w:hAnsi="宋体" w:eastAsia="宋体" w:cs="宋体"/>
                <w:color w:val="auto"/>
                <w:highlight w:val="none"/>
                <w:lang w:bidi="ar"/>
              </w:rPr>
              <w:t>差，得0分。</w:t>
            </w:r>
          </w:p>
        </w:tc>
      </w:tr>
      <w:tr w14:paraId="2028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846" w:type="dxa"/>
            <w:vMerge w:val="continue"/>
            <w:shd w:val="clear" w:color="auto" w:fill="FFFFFF"/>
            <w:vAlign w:val="center"/>
          </w:tcPr>
          <w:p w14:paraId="735B42BA">
            <w:pPr>
              <w:widowControl/>
              <w:wordWrap w:val="0"/>
              <w:spacing w:line="276" w:lineRule="auto"/>
              <w:rPr>
                <w:rFonts w:hint="eastAsia" w:ascii="宋体" w:hAnsi="宋体" w:eastAsia="宋体" w:cs="宋体"/>
                <w:color w:val="auto"/>
                <w:szCs w:val="21"/>
                <w:highlight w:val="none"/>
              </w:rPr>
            </w:pPr>
          </w:p>
        </w:tc>
        <w:tc>
          <w:tcPr>
            <w:tcW w:w="1072" w:type="dxa"/>
            <w:vMerge w:val="continue"/>
            <w:shd w:val="clear" w:color="auto" w:fill="FFFFFF"/>
            <w:vAlign w:val="center"/>
          </w:tcPr>
          <w:p w14:paraId="0F1BD98D">
            <w:pPr>
              <w:widowControl/>
              <w:wordWrap w:val="0"/>
              <w:spacing w:line="276" w:lineRule="auto"/>
              <w:jc w:val="center"/>
              <w:rPr>
                <w:rFonts w:hint="eastAsia" w:ascii="宋体" w:hAnsi="宋体" w:eastAsia="宋体" w:cs="宋体"/>
                <w:color w:val="auto"/>
                <w:szCs w:val="21"/>
                <w:highlight w:val="none"/>
              </w:rPr>
            </w:pPr>
          </w:p>
        </w:tc>
        <w:tc>
          <w:tcPr>
            <w:tcW w:w="1678" w:type="dxa"/>
            <w:shd w:val="clear" w:color="auto" w:fill="FFFFFF"/>
            <w:tcMar>
              <w:top w:w="0" w:type="dxa"/>
              <w:left w:w="57" w:type="dxa"/>
              <w:bottom w:w="0" w:type="dxa"/>
              <w:right w:w="57" w:type="dxa"/>
            </w:tcMar>
            <w:vAlign w:val="center"/>
          </w:tcPr>
          <w:p w14:paraId="3A75B2FD">
            <w:pPr>
              <w:snapToGrid w:val="0"/>
              <w:jc w:val="center"/>
              <w:rPr>
                <w:rFonts w:hint="eastAsia" w:ascii="宋体" w:hAnsi="宋体" w:eastAsia="宋体" w:cs="宋体"/>
                <w:color w:val="auto"/>
                <w:szCs w:val="21"/>
                <w:highlight w:val="none"/>
              </w:rPr>
            </w:pPr>
            <w:r>
              <w:rPr>
                <w:rFonts w:hint="eastAsia" w:ascii="宋体" w:hAnsi="宋体" w:eastAsia="宋体" w:cs="宋体"/>
                <w:color w:val="auto"/>
                <w:highlight w:val="none"/>
                <w:lang w:bidi="ar"/>
              </w:rPr>
              <w:t>工程进度款、工程结算的管理（3分）</w:t>
            </w:r>
          </w:p>
        </w:tc>
        <w:tc>
          <w:tcPr>
            <w:tcW w:w="6505" w:type="dxa"/>
            <w:shd w:val="clear" w:color="auto" w:fill="FFFFFF"/>
            <w:tcMar>
              <w:top w:w="0" w:type="dxa"/>
              <w:left w:w="57" w:type="dxa"/>
              <w:bottom w:w="0" w:type="dxa"/>
              <w:right w:w="57" w:type="dxa"/>
            </w:tcMar>
            <w:vAlign w:val="center"/>
          </w:tcPr>
          <w:p w14:paraId="5F2A1499">
            <w:pPr>
              <w:spacing w:line="440" w:lineRule="exact"/>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highlight w:val="none"/>
                <w:lang w:bidi="ar"/>
              </w:rPr>
              <w:t>建立完善的工程进度款、工程结算管理制度、各岗位人员职责明确。管理方法合理有效、有具体措施，得3分；一般、措施不具体，得2分；无管理的方法和措施，得0分。</w:t>
            </w:r>
          </w:p>
        </w:tc>
      </w:tr>
      <w:tr w14:paraId="550D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846" w:type="dxa"/>
            <w:vMerge w:val="continue"/>
            <w:shd w:val="clear" w:color="auto" w:fill="FFFFFF"/>
            <w:vAlign w:val="center"/>
          </w:tcPr>
          <w:p w14:paraId="4B4A5EB7">
            <w:pPr>
              <w:widowControl/>
              <w:wordWrap w:val="0"/>
              <w:spacing w:line="276" w:lineRule="auto"/>
              <w:rPr>
                <w:rFonts w:hint="eastAsia" w:ascii="宋体" w:hAnsi="宋体" w:eastAsia="宋体" w:cs="宋体"/>
                <w:color w:val="auto"/>
                <w:szCs w:val="21"/>
                <w:highlight w:val="none"/>
              </w:rPr>
            </w:pPr>
          </w:p>
        </w:tc>
        <w:tc>
          <w:tcPr>
            <w:tcW w:w="1072" w:type="dxa"/>
            <w:vMerge w:val="continue"/>
            <w:shd w:val="clear" w:color="auto" w:fill="FFFFFF"/>
            <w:vAlign w:val="center"/>
          </w:tcPr>
          <w:p w14:paraId="3F733097">
            <w:pPr>
              <w:widowControl/>
              <w:wordWrap w:val="0"/>
              <w:spacing w:line="276" w:lineRule="auto"/>
              <w:jc w:val="center"/>
              <w:rPr>
                <w:rFonts w:hint="eastAsia" w:ascii="宋体" w:hAnsi="宋体" w:eastAsia="宋体" w:cs="宋体"/>
                <w:color w:val="auto"/>
                <w:szCs w:val="21"/>
                <w:highlight w:val="none"/>
              </w:rPr>
            </w:pPr>
          </w:p>
        </w:tc>
        <w:tc>
          <w:tcPr>
            <w:tcW w:w="1678" w:type="dxa"/>
            <w:shd w:val="clear" w:color="auto" w:fill="FFFFFF"/>
            <w:tcMar>
              <w:top w:w="0" w:type="dxa"/>
              <w:left w:w="57" w:type="dxa"/>
              <w:bottom w:w="0" w:type="dxa"/>
              <w:right w:w="57" w:type="dxa"/>
            </w:tcMar>
            <w:vAlign w:val="center"/>
          </w:tcPr>
          <w:p w14:paraId="411BEC1E">
            <w:pPr>
              <w:snapToGrid w:val="0"/>
              <w:jc w:val="center"/>
              <w:rPr>
                <w:rFonts w:hint="eastAsia" w:ascii="宋体" w:hAnsi="宋体" w:eastAsia="宋体" w:cs="宋体"/>
                <w:color w:val="auto"/>
                <w:szCs w:val="21"/>
                <w:highlight w:val="none"/>
              </w:rPr>
            </w:pPr>
            <w:r>
              <w:rPr>
                <w:rFonts w:hint="eastAsia" w:ascii="宋体" w:hAnsi="宋体" w:eastAsia="宋体" w:cs="宋体"/>
                <w:color w:val="auto"/>
                <w:highlight w:val="none"/>
                <w:lang w:bidi="ar"/>
              </w:rPr>
              <w:t>会议制度（2分）</w:t>
            </w:r>
          </w:p>
        </w:tc>
        <w:tc>
          <w:tcPr>
            <w:tcW w:w="6505" w:type="dxa"/>
            <w:shd w:val="clear" w:color="auto" w:fill="FFFFFF"/>
            <w:tcMar>
              <w:top w:w="0" w:type="dxa"/>
              <w:left w:w="57" w:type="dxa"/>
              <w:bottom w:w="0" w:type="dxa"/>
              <w:right w:w="57" w:type="dxa"/>
            </w:tcMar>
            <w:vAlign w:val="center"/>
          </w:tcPr>
          <w:p w14:paraId="08357636">
            <w:pPr>
              <w:spacing w:line="440" w:lineRule="exact"/>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highlight w:val="none"/>
                <w:lang w:bidi="ar"/>
              </w:rPr>
              <w:t>建立完善的工地会议制度。会议制度合理有效、有具体措施满足项目需求，满足要求，得2分；基本满足要求，得1分；不满足要求，得0分。</w:t>
            </w:r>
          </w:p>
        </w:tc>
      </w:tr>
      <w:tr w14:paraId="2E70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846" w:type="dxa"/>
            <w:vMerge w:val="continue"/>
            <w:shd w:val="clear" w:color="auto" w:fill="FFFFFF"/>
            <w:vAlign w:val="center"/>
          </w:tcPr>
          <w:p w14:paraId="7C1161A0">
            <w:pPr>
              <w:widowControl/>
              <w:wordWrap w:val="0"/>
              <w:spacing w:line="276" w:lineRule="auto"/>
              <w:rPr>
                <w:rFonts w:hint="eastAsia" w:ascii="宋体" w:hAnsi="宋体" w:eastAsia="宋体" w:cs="宋体"/>
                <w:color w:val="auto"/>
                <w:szCs w:val="21"/>
                <w:highlight w:val="none"/>
              </w:rPr>
            </w:pPr>
          </w:p>
        </w:tc>
        <w:tc>
          <w:tcPr>
            <w:tcW w:w="1072" w:type="dxa"/>
            <w:vMerge w:val="continue"/>
            <w:shd w:val="clear" w:color="auto" w:fill="FFFFFF"/>
            <w:vAlign w:val="center"/>
          </w:tcPr>
          <w:p w14:paraId="41DB2D96">
            <w:pPr>
              <w:widowControl/>
              <w:wordWrap w:val="0"/>
              <w:spacing w:line="276" w:lineRule="auto"/>
              <w:jc w:val="center"/>
              <w:rPr>
                <w:rFonts w:hint="eastAsia" w:ascii="宋体" w:hAnsi="宋体" w:eastAsia="宋体" w:cs="宋体"/>
                <w:color w:val="auto"/>
                <w:szCs w:val="21"/>
                <w:highlight w:val="none"/>
              </w:rPr>
            </w:pPr>
          </w:p>
        </w:tc>
        <w:tc>
          <w:tcPr>
            <w:tcW w:w="1678" w:type="dxa"/>
            <w:shd w:val="clear" w:color="auto" w:fill="FFFFFF"/>
            <w:tcMar>
              <w:top w:w="0" w:type="dxa"/>
              <w:left w:w="57" w:type="dxa"/>
              <w:bottom w:w="0" w:type="dxa"/>
              <w:right w:w="57" w:type="dxa"/>
            </w:tcMar>
            <w:vAlign w:val="center"/>
          </w:tcPr>
          <w:p w14:paraId="1070B414">
            <w:pPr>
              <w:snapToGrid w:val="0"/>
              <w:jc w:val="center"/>
              <w:rPr>
                <w:rFonts w:hint="eastAsia" w:ascii="宋体" w:hAnsi="宋体" w:eastAsia="宋体" w:cs="宋体"/>
                <w:color w:val="auto"/>
                <w:szCs w:val="21"/>
                <w:highlight w:val="none"/>
              </w:rPr>
            </w:pPr>
            <w:r>
              <w:rPr>
                <w:rFonts w:hint="eastAsia" w:ascii="宋体" w:hAnsi="宋体" w:eastAsia="宋体" w:cs="宋体"/>
                <w:color w:val="auto"/>
                <w:highlight w:val="none"/>
                <w:lang w:eastAsia="zh-CN" w:bidi="ar"/>
              </w:rPr>
              <w:t>对本工程监理的</w:t>
            </w:r>
            <w:r>
              <w:rPr>
                <w:rFonts w:hint="eastAsia" w:ascii="宋体" w:hAnsi="宋体" w:eastAsia="宋体" w:cs="宋体"/>
                <w:color w:val="auto"/>
                <w:highlight w:val="none"/>
                <w:lang w:bidi="ar"/>
              </w:rPr>
              <w:t>合理化建议（3分）</w:t>
            </w:r>
          </w:p>
        </w:tc>
        <w:tc>
          <w:tcPr>
            <w:tcW w:w="6505" w:type="dxa"/>
            <w:shd w:val="clear" w:color="auto" w:fill="FFFFFF"/>
            <w:tcMar>
              <w:top w:w="0" w:type="dxa"/>
              <w:left w:w="57" w:type="dxa"/>
              <w:bottom w:w="0" w:type="dxa"/>
              <w:right w:w="57" w:type="dxa"/>
            </w:tcMar>
            <w:vAlign w:val="center"/>
          </w:tcPr>
          <w:p w14:paraId="4EB91BE9">
            <w:pPr>
              <w:spacing w:line="440" w:lineRule="exact"/>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highlight w:val="none"/>
                <w:lang w:bidi="ar"/>
              </w:rPr>
              <w:t>具有科学、合理、可行及具体措施的建议并经评委分析论证认同的。优，得3分；良，得2分；一般，得1分；差，得0分。</w:t>
            </w:r>
          </w:p>
        </w:tc>
      </w:tr>
      <w:tr w14:paraId="5C50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846" w:type="dxa"/>
            <w:vMerge w:val="continue"/>
            <w:shd w:val="clear" w:color="auto" w:fill="FFFFFF"/>
            <w:vAlign w:val="center"/>
          </w:tcPr>
          <w:p w14:paraId="766C68C3">
            <w:pPr>
              <w:widowControl/>
              <w:wordWrap w:val="0"/>
              <w:spacing w:line="276" w:lineRule="auto"/>
              <w:rPr>
                <w:rFonts w:hint="eastAsia" w:ascii="宋体" w:hAnsi="宋体" w:eastAsia="宋体" w:cs="宋体"/>
                <w:color w:val="auto"/>
                <w:szCs w:val="21"/>
                <w:highlight w:val="none"/>
              </w:rPr>
            </w:pPr>
          </w:p>
        </w:tc>
        <w:tc>
          <w:tcPr>
            <w:tcW w:w="1072" w:type="dxa"/>
            <w:vMerge w:val="continue"/>
            <w:shd w:val="clear" w:color="auto" w:fill="FFFFFF"/>
            <w:vAlign w:val="center"/>
          </w:tcPr>
          <w:p w14:paraId="4160A231">
            <w:pPr>
              <w:widowControl/>
              <w:wordWrap w:val="0"/>
              <w:spacing w:line="276" w:lineRule="auto"/>
              <w:jc w:val="center"/>
              <w:rPr>
                <w:rFonts w:hint="eastAsia" w:ascii="宋体" w:hAnsi="宋体" w:eastAsia="宋体" w:cs="宋体"/>
                <w:color w:val="auto"/>
                <w:szCs w:val="21"/>
                <w:highlight w:val="none"/>
              </w:rPr>
            </w:pPr>
          </w:p>
        </w:tc>
        <w:tc>
          <w:tcPr>
            <w:tcW w:w="1678" w:type="dxa"/>
            <w:shd w:val="clear" w:color="auto" w:fill="FFFFFF"/>
            <w:tcMar>
              <w:top w:w="0" w:type="dxa"/>
              <w:left w:w="57" w:type="dxa"/>
              <w:bottom w:w="0" w:type="dxa"/>
              <w:right w:w="57" w:type="dxa"/>
            </w:tcMar>
            <w:vAlign w:val="center"/>
          </w:tcPr>
          <w:p w14:paraId="5E5701CB">
            <w:pPr>
              <w:snapToGrid w:val="0"/>
              <w:jc w:val="center"/>
              <w:rPr>
                <w:rFonts w:hint="eastAsia" w:ascii="宋体" w:hAnsi="宋体" w:eastAsia="宋体" w:cs="宋体"/>
                <w:color w:val="auto"/>
                <w:szCs w:val="21"/>
                <w:highlight w:val="none"/>
              </w:rPr>
            </w:pPr>
            <w:r>
              <w:rPr>
                <w:rFonts w:hint="eastAsia" w:ascii="宋体" w:hAnsi="宋体" w:eastAsia="宋体" w:cs="宋体"/>
                <w:color w:val="auto"/>
                <w:highlight w:val="none"/>
                <w:lang w:bidi="ar"/>
              </w:rPr>
              <w:t>科学管理方法（2分）</w:t>
            </w:r>
          </w:p>
        </w:tc>
        <w:tc>
          <w:tcPr>
            <w:tcW w:w="6505" w:type="dxa"/>
            <w:shd w:val="clear" w:color="auto" w:fill="FFFFFF"/>
            <w:tcMar>
              <w:top w:w="0" w:type="dxa"/>
              <w:left w:w="57" w:type="dxa"/>
              <w:bottom w:w="0" w:type="dxa"/>
              <w:right w:w="57" w:type="dxa"/>
            </w:tcMar>
            <w:vAlign w:val="center"/>
          </w:tcPr>
          <w:p w14:paraId="3305DAFE">
            <w:pPr>
              <w:spacing w:line="440" w:lineRule="exact"/>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highlight w:val="none"/>
                <w:lang w:bidi="ar"/>
              </w:rPr>
              <w:t>具有新型或科技管理方法辅助工程管理的得2分，没有的得0分</w:t>
            </w:r>
          </w:p>
        </w:tc>
      </w:tr>
      <w:tr w14:paraId="0D78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846" w:type="dxa"/>
            <w:shd w:val="clear" w:color="auto" w:fill="FFFFFF"/>
            <w:tcMar>
              <w:top w:w="0" w:type="dxa"/>
              <w:left w:w="108" w:type="dxa"/>
              <w:bottom w:w="0" w:type="dxa"/>
              <w:right w:w="108" w:type="dxa"/>
            </w:tcMar>
            <w:vAlign w:val="center"/>
          </w:tcPr>
          <w:p w14:paraId="09B050A6">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2.2.4（3）</w:t>
            </w:r>
          </w:p>
        </w:tc>
        <w:tc>
          <w:tcPr>
            <w:tcW w:w="1072" w:type="dxa"/>
            <w:shd w:val="clear" w:color="auto" w:fill="FFFFFF"/>
            <w:tcMar>
              <w:top w:w="0" w:type="dxa"/>
              <w:left w:w="108" w:type="dxa"/>
              <w:bottom w:w="0" w:type="dxa"/>
              <w:right w:w="108" w:type="dxa"/>
            </w:tcMar>
            <w:vAlign w:val="center"/>
          </w:tcPr>
          <w:p w14:paraId="4C12A461">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投标报价评分标准(10分)(C)</w:t>
            </w:r>
          </w:p>
        </w:tc>
        <w:tc>
          <w:tcPr>
            <w:tcW w:w="1678" w:type="dxa"/>
            <w:shd w:val="clear" w:color="auto" w:fill="FFFFFF"/>
            <w:tcMar>
              <w:top w:w="0" w:type="dxa"/>
              <w:left w:w="108" w:type="dxa"/>
              <w:bottom w:w="0" w:type="dxa"/>
              <w:right w:w="108" w:type="dxa"/>
            </w:tcMar>
            <w:vAlign w:val="center"/>
          </w:tcPr>
          <w:p w14:paraId="0239004C">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报价得分(10分)</w:t>
            </w:r>
          </w:p>
        </w:tc>
        <w:tc>
          <w:tcPr>
            <w:tcW w:w="6505" w:type="dxa"/>
            <w:shd w:val="clear" w:color="auto" w:fill="FFFFFF"/>
            <w:tcMar>
              <w:top w:w="0" w:type="dxa"/>
              <w:left w:w="108" w:type="dxa"/>
              <w:bottom w:w="0" w:type="dxa"/>
              <w:right w:w="108" w:type="dxa"/>
            </w:tcMar>
            <w:vAlign w:val="center"/>
          </w:tcPr>
          <w:p w14:paraId="5AB93021">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以评标基准价作为计算各有效投标价得分的基础，当有效投标报价等于评标基准价时得10分；投标有效报价与评标基准价相比，每上偏1%扣</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分，每下偏1%扣</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分，最多扣10分。</w:t>
            </w:r>
          </w:p>
          <w:p w14:paraId="08E0286C">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注：投标人符合《投标人须知前附表》11.3款经济标评审优惠政策条件的，</w:t>
            </w:r>
            <w:r>
              <w:rPr>
                <w:rFonts w:hint="eastAsia" w:ascii="宋体" w:hAnsi="宋体" w:eastAsia="宋体" w:cs="宋体"/>
                <w:color w:val="auto"/>
                <w:sz w:val="21"/>
                <w:szCs w:val="21"/>
                <w:highlight w:val="none"/>
                <w:u w:val="single"/>
              </w:rPr>
              <w:t>本招标项目评标计算价格分（即投标报价得分）时，对小微企业投标的，在采用原报价进行评分的基础上增加其价格得分的5%作为其价格分。若原报价已满分，仍可突破满分上限继续享受加分优惠，以实际计算结果作为最终价格分。</w:t>
            </w:r>
          </w:p>
        </w:tc>
      </w:tr>
      <w:tr w14:paraId="01B9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846" w:type="dxa"/>
            <w:shd w:val="clear" w:color="auto" w:fill="FFFFFF"/>
            <w:tcMar>
              <w:top w:w="0" w:type="dxa"/>
              <w:left w:w="108" w:type="dxa"/>
              <w:bottom w:w="0" w:type="dxa"/>
              <w:right w:w="108" w:type="dxa"/>
            </w:tcMar>
            <w:vAlign w:val="center"/>
          </w:tcPr>
          <w:p w14:paraId="2ED163BA">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2.2.4（4）</w:t>
            </w:r>
          </w:p>
        </w:tc>
        <w:tc>
          <w:tcPr>
            <w:tcW w:w="1072" w:type="dxa"/>
            <w:shd w:val="clear" w:color="auto" w:fill="FFFFFF"/>
            <w:tcMar>
              <w:top w:w="0" w:type="dxa"/>
              <w:left w:w="108" w:type="dxa"/>
              <w:bottom w:w="0" w:type="dxa"/>
              <w:right w:w="108" w:type="dxa"/>
            </w:tcMar>
            <w:vAlign w:val="center"/>
          </w:tcPr>
          <w:p w14:paraId="31EB9D74">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其他因素评分标准（D）</w:t>
            </w:r>
          </w:p>
        </w:tc>
        <w:tc>
          <w:tcPr>
            <w:tcW w:w="8183" w:type="dxa"/>
            <w:gridSpan w:val="2"/>
            <w:shd w:val="clear" w:color="auto" w:fill="FFFFFF"/>
            <w:tcMar>
              <w:top w:w="0" w:type="dxa"/>
              <w:left w:w="108" w:type="dxa"/>
              <w:bottom w:w="0" w:type="dxa"/>
              <w:right w:w="108" w:type="dxa"/>
            </w:tcMar>
            <w:vAlign w:val="center"/>
          </w:tcPr>
          <w:p w14:paraId="38DFEDFA">
            <w:pPr>
              <w:widowControl/>
              <w:wordWrap w:val="0"/>
              <w:spacing w:line="276" w:lineRule="auto"/>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u w:val="single"/>
                <w:lang w:val="en-US" w:eastAsia="zh-CN"/>
              </w:rPr>
              <w:t>/</w:t>
            </w:r>
          </w:p>
        </w:tc>
      </w:tr>
    </w:tbl>
    <w:p w14:paraId="5B7904B5">
      <w:pPr>
        <w:wordWrap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说明：</w:t>
      </w:r>
    </w:p>
    <w:p w14:paraId="145F9D8A">
      <w:pPr>
        <w:tabs>
          <w:tab w:val="left" w:pos="540"/>
        </w:tabs>
        <w:snapToGrid w:val="0"/>
        <w:spacing w:line="440" w:lineRule="exact"/>
        <w:ind w:left="540" w:right="-99" w:rightChars="-47" w:hanging="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（1）类似工程业绩：是指招标公告中3.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点所述资质方能承接的市政公用工程监理业绩，需同时提供中标通知书或免招标的相关证明、施工监理合同、竣工验收报告或竣工验收证明，</w:t>
      </w:r>
      <w:r>
        <w:rPr>
          <w:rFonts w:hint="eastAsia" w:ascii="宋体" w:hAnsi="宋体" w:eastAsia="宋体" w:cs="宋体"/>
          <w:color w:val="auto"/>
          <w:szCs w:val="21"/>
          <w:highlight w:val="none"/>
        </w:rPr>
        <w:t>（竣工验收报告或竣工验收证明材料至少包含建设单位、设计单位、施工单位、监理单位四方主体盖章，否则不予以认可）</w:t>
      </w:r>
      <w:r>
        <w:rPr>
          <w:rFonts w:hint="eastAsia" w:ascii="宋体" w:hAnsi="宋体" w:eastAsia="宋体" w:cs="宋体"/>
          <w:color w:val="auto"/>
          <w:szCs w:val="21"/>
          <w:highlight w:val="none"/>
        </w:rPr>
        <w:t>。业绩时间以竣工验收报告或竣工验收证明出具时间为准。</w:t>
      </w:r>
    </w:p>
    <w:p w14:paraId="2B7C9558">
      <w:pPr>
        <w:tabs>
          <w:tab w:val="left" w:pos="540"/>
        </w:tabs>
        <w:snapToGrid w:val="0"/>
        <w:spacing w:line="440" w:lineRule="exact"/>
        <w:ind w:left="540" w:right="-99" w:rightChars="-47" w:hanging="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总监理工程师业绩：需同时提供中标通知书或免招标的相关证明、监理合同、竣工验收报告或竣工验收证明原件扫描件（竣工验收报告或竣工验收证明材料至少包含建设单位、设计单位、施工单位、监理单位四方主体盖章，否则不予以认可），完成时间以竣工验收报告或竣工验收证明为准。如果上述资料未能清晰反映总监理工程师信息的，需提供由业主出具的加盖业主单位公章的证明材料扫描件；如相关证明材料反映的总监理工程师信息不一致的，以竣工验收报告或竣工验收证明为准，还需提供由业主出具的加盖业主单位公章的证明材料扫描件。</w:t>
      </w:r>
    </w:p>
    <w:p w14:paraId="4EE68CD7">
      <w:pPr>
        <w:tabs>
          <w:tab w:val="left" w:pos="540"/>
        </w:tabs>
        <w:snapToGrid w:val="0"/>
        <w:spacing w:line="440" w:lineRule="exact"/>
        <w:ind w:left="540" w:right="-99" w:rightChars="-47" w:hanging="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监理机构人员配备要求表》详见附件1要求。总监理工程师及监理机构人员资格、证书及社保证明等方面内容必须提供相应的证明材料；所投入人员必须为投标人本单位人员，所有人员须提供近一个月（指2025年</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月）在本投标单位购买社保缴纳证明材料，提供证明资料的清晰扫描件并加盖投标单位电子印章，否则不计分。</w:t>
      </w:r>
    </w:p>
    <w:p w14:paraId="108757CF">
      <w:pPr>
        <w:snapToGrid/>
        <w:spacing w:line="240" w:lineRule="auto"/>
        <w:ind w:left="0" w:right="0" w:rightChars="0"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6E02A0E9">
      <w:pPr>
        <w:tabs>
          <w:tab w:val="left" w:pos="105"/>
        </w:tabs>
        <w:spacing w:line="360" w:lineRule="auto"/>
        <w:ind w:left="72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 xml:space="preserve">附件1：                        </w:t>
      </w:r>
      <w:r>
        <w:rPr>
          <w:rFonts w:hint="eastAsia" w:ascii="宋体" w:hAnsi="宋体" w:eastAsia="宋体" w:cs="宋体"/>
          <w:b/>
          <w:color w:val="auto"/>
          <w:szCs w:val="21"/>
          <w:highlight w:val="none"/>
        </w:rPr>
        <w:t>监理机构人员配备要求表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539"/>
        <w:gridCol w:w="1027"/>
        <w:gridCol w:w="3054"/>
        <w:gridCol w:w="2300"/>
      </w:tblGrid>
      <w:tr w14:paraId="4D89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0B7F2EE5">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4D22DC8B">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岗位</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0A0213D7">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最低要求数量</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29D52B27">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基本要求</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773E2559">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备注（包括但不限于提供如下证明材料等）</w:t>
            </w:r>
          </w:p>
        </w:tc>
      </w:tr>
      <w:tr w14:paraId="67FA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5568EBF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4C86656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4CFE0D3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1名</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70E43CEE">
            <w:pPr>
              <w:adjustRightInd w:val="0"/>
              <w:snapToGrid w:val="0"/>
              <w:rPr>
                <w:rFonts w:hint="eastAsia" w:ascii="宋体" w:hAnsi="宋体" w:eastAsia="宋体" w:cs="宋体"/>
                <w:color w:val="auto"/>
                <w:highlight w:val="none"/>
              </w:rPr>
            </w:pPr>
            <w:r>
              <w:rPr>
                <w:rFonts w:hint="eastAsia" w:ascii="宋体" w:hAnsi="宋体" w:eastAsia="宋体" w:cs="宋体"/>
                <w:color w:val="auto"/>
                <w:szCs w:val="21"/>
                <w:highlight w:val="none"/>
              </w:rPr>
              <w:t>资格要求与招标公告要求一致；</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7099C923">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注册监理工程师执业证书、职称证书</w:t>
            </w:r>
          </w:p>
        </w:tc>
      </w:tr>
      <w:tr w14:paraId="6CC8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1569678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2FEC2A89">
            <w:pPr>
              <w:jc w:val="center"/>
              <w:rPr>
                <w:rFonts w:hint="eastAsia" w:ascii="宋体" w:hAnsi="宋体" w:eastAsia="宋体" w:cs="宋体"/>
                <w:color w:val="auto"/>
                <w:highlight w:val="none"/>
              </w:rPr>
            </w:pPr>
            <w:r>
              <w:rPr>
                <w:rFonts w:hint="eastAsia" w:ascii="宋体" w:hAnsi="宋体" w:eastAsia="宋体" w:cs="宋体"/>
                <w:color w:val="auto"/>
                <w:highlight w:val="none"/>
              </w:rPr>
              <w:t>总监理工程师代表</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6E297DE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1名</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6D985419">
            <w:pPr>
              <w:pStyle w:val="24"/>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color w:val="auto"/>
                <w:kern w:val="0"/>
                <w:szCs w:val="21"/>
                <w:highlight w:val="none"/>
                <w:lang w:eastAsia="zh-CN"/>
              </w:rPr>
              <w:t>持有</w:t>
            </w:r>
            <w:r>
              <w:rPr>
                <w:rFonts w:hint="eastAsia" w:ascii="宋体" w:hAnsi="宋体" w:eastAsia="宋体" w:cs="宋体"/>
                <w:color w:val="auto"/>
                <w:szCs w:val="21"/>
                <w:highlight w:val="none"/>
                <w:lang w:eastAsia="zh-CN"/>
              </w:rPr>
              <w:t>省级或以上专业监理工程师上岗证或</w:t>
            </w:r>
            <w:r>
              <w:rPr>
                <w:rFonts w:hint="eastAsia" w:ascii="宋体" w:hAnsi="宋体" w:eastAsia="宋体" w:cs="宋体"/>
                <w:color w:val="auto"/>
                <w:kern w:val="0"/>
                <w:szCs w:val="21"/>
                <w:highlight w:val="none"/>
                <w:lang w:eastAsia="zh-CN"/>
              </w:rPr>
              <w:t>持有注册监理工程师证书，专业为</w:t>
            </w:r>
            <w:r>
              <w:rPr>
                <w:rFonts w:hint="eastAsia" w:ascii="宋体" w:hAnsi="宋体" w:eastAsia="宋体" w:cs="宋体"/>
                <w:color w:val="auto"/>
                <w:szCs w:val="21"/>
                <w:highlight w:val="none"/>
                <w:lang w:eastAsia="zh-CN"/>
              </w:rPr>
              <w:t>市政公用工程</w:t>
            </w:r>
            <w:r>
              <w:rPr>
                <w:rFonts w:hint="eastAsia" w:ascii="宋体" w:hAnsi="宋体" w:eastAsia="宋体" w:cs="宋体"/>
                <w:color w:val="auto"/>
                <w:szCs w:val="21"/>
                <w:highlight w:val="none"/>
                <w:lang w:eastAsia="zh-CN"/>
              </w:rPr>
              <w:t>相关专业。</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55896B9E">
            <w:pPr>
              <w:adjustRightInd w:val="0"/>
              <w:snapToGrid w:val="0"/>
              <w:rPr>
                <w:rFonts w:hint="eastAsia" w:ascii="宋体" w:hAnsi="宋体" w:eastAsia="宋体" w:cs="宋体"/>
                <w:color w:val="auto"/>
                <w:highlight w:val="none"/>
              </w:rPr>
            </w:pPr>
            <w:r>
              <w:rPr>
                <w:rFonts w:hint="eastAsia" w:ascii="宋体" w:hAnsi="宋体" w:eastAsia="宋体" w:cs="宋体"/>
                <w:color w:val="auto"/>
                <w:szCs w:val="21"/>
                <w:highlight w:val="none"/>
              </w:rPr>
              <w:t>上岗证或注册监理工程师执业证书</w:t>
            </w:r>
          </w:p>
        </w:tc>
      </w:tr>
      <w:tr w14:paraId="42B9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6600CEA0">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71F53E8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专业监理工程师</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49FC7A2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1名</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71DF6817">
            <w:pPr>
              <w:adjustRightInd w:val="0"/>
              <w:snapToGri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持有</w:t>
            </w:r>
            <w:r>
              <w:rPr>
                <w:rFonts w:hint="eastAsia" w:ascii="宋体" w:hAnsi="宋体" w:eastAsia="宋体" w:cs="宋体"/>
                <w:color w:val="auto"/>
                <w:szCs w:val="21"/>
                <w:highlight w:val="none"/>
                <w:lang w:bidi="ar"/>
              </w:rPr>
              <w:t>省级或以上专业监理工程师上岗证或</w:t>
            </w:r>
            <w:r>
              <w:rPr>
                <w:rFonts w:hint="eastAsia" w:ascii="宋体" w:hAnsi="宋体" w:eastAsia="宋体" w:cs="宋体"/>
                <w:color w:val="auto"/>
                <w:kern w:val="0"/>
                <w:szCs w:val="21"/>
                <w:highlight w:val="none"/>
                <w:lang w:bidi="ar"/>
              </w:rPr>
              <w:t>持有注册监理工程师证书，专业为</w:t>
            </w:r>
            <w:r>
              <w:rPr>
                <w:rFonts w:hint="eastAsia" w:ascii="宋体" w:hAnsi="宋体" w:eastAsia="宋体" w:cs="宋体"/>
                <w:color w:val="auto"/>
                <w:szCs w:val="21"/>
                <w:highlight w:val="none"/>
                <w:lang w:bidi="ar"/>
              </w:rPr>
              <w:t>道路与桥梁相关专业或</w:t>
            </w:r>
            <w:r>
              <w:rPr>
                <w:rFonts w:hint="eastAsia" w:ascii="宋体" w:hAnsi="宋体" w:eastAsia="宋体" w:cs="宋体"/>
                <w:color w:val="auto"/>
                <w:szCs w:val="21"/>
                <w:highlight w:val="none"/>
              </w:rPr>
              <w:t>市政公用工程专业</w:t>
            </w:r>
            <w:r>
              <w:rPr>
                <w:rFonts w:hint="eastAsia" w:ascii="宋体" w:hAnsi="宋体" w:eastAsia="宋体" w:cs="宋体"/>
                <w:color w:val="auto"/>
                <w:szCs w:val="21"/>
                <w:highlight w:val="none"/>
                <w:lang w:bidi="ar"/>
              </w:rPr>
              <w:t>。</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707ECA47">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上岗证或注册监理工程师执业证书</w:t>
            </w:r>
          </w:p>
        </w:tc>
      </w:tr>
      <w:tr w14:paraId="0140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93" w:type="dxa"/>
            <w:noWrap w:val="0"/>
            <w:vAlign w:val="center"/>
          </w:tcPr>
          <w:p w14:paraId="123EBA34">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39" w:type="dxa"/>
            <w:noWrap w:val="0"/>
            <w:vAlign w:val="center"/>
          </w:tcPr>
          <w:p w14:paraId="5364036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监理员</w:t>
            </w:r>
          </w:p>
        </w:tc>
        <w:tc>
          <w:tcPr>
            <w:tcW w:w="1027" w:type="dxa"/>
            <w:noWrap w:val="0"/>
            <w:vAlign w:val="center"/>
          </w:tcPr>
          <w:p w14:paraId="68F8D4C3">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名</w:t>
            </w:r>
          </w:p>
        </w:tc>
        <w:tc>
          <w:tcPr>
            <w:tcW w:w="3054" w:type="dxa"/>
            <w:noWrap w:val="0"/>
            <w:vAlign w:val="center"/>
          </w:tcPr>
          <w:p w14:paraId="38EB73D5">
            <w:pPr>
              <w:pStyle w:val="15"/>
              <w:rPr>
                <w:rFonts w:hint="eastAsia" w:ascii="宋体" w:hAnsi="宋体" w:eastAsia="宋体" w:cs="宋体"/>
                <w:color w:val="auto"/>
                <w:highlight w:val="none"/>
              </w:rPr>
            </w:pPr>
            <w:r>
              <w:rPr>
                <w:rFonts w:hint="eastAsia" w:ascii="宋体" w:hAnsi="宋体" w:eastAsia="宋体" w:cs="宋体"/>
                <w:color w:val="auto"/>
                <w:highlight w:val="none"/>
              </w:rPr>
              <w:t>持有监理员上岗证或培训证，专业为市政公用工程相关专业。</w:t>
            </w:r>
          </w:p>
        </w:tc>
        <w:tc>
          <w:tcPr>
            <w:tcW w:w="2300" w:type="dxa"/>
            <w:noWrap w:val="0"/>
            <w:vAlign w:val="center"/>
          </w:tcPr>
          <w:p w14:paraId="2A4EBE6F">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上岗证或培训证</w:t>
            </w:r>
          </w:p>
        </w:tc>
      </w:tr>
    </w:tbl>
    <w:p w14:paraId="632855F5">
      <w:pPr>
        <w:spacing w:line="360" w:lineRule="auto"/>
        <w:rPr>
          <w:rFonts w:hint="eastAsia" w:ascii="宋体" w:hAnsi="宋体" w:eastAsia="宋体" w:cs="宋体"/>
          <w:b/>
          <w:color w:val="auto"/>
          <w:szCs w:val="21"/>
          <w:highlight w:val="none"/>
        </w:rPr>
      </w:pPr>
    </w:p>
    <w:p w14:paraId="5F789551">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备注：</w:t>
      </w:r>
      <w:r>
        <w:rPr>
          <w:rFonts w:hint="eastAsia" w:ascii="宋体" w:hAnsi="宋体" w:eastAsia="宋体" w:cs="宋体"/>
          <w:color w:val="auto"/>
          <w:szCs w:val="21"/>
          <w:highlight w:val="none"/>
        </w:rPr>
        <w:t>①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可承担相应专业监理工程师岗位。</w:t>
      </w:r>
    </w:p>
    <w:p w14:paraId="0029408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②总监理工程师及监理机构人员资格、证书及社保证明等方面内容必须提供相应的证明材料；所投入人员必须为投标人本单位人员，所有人员须提供近一个月（指2025年</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月）在本投标单位购买社保缴纳证明材料，提供证明资料的清晰扫描件并加盖投标单位电子印章，否则不计分；专业以上岗证或培训证或注册证所列专业为准，若相关证书没有显示专业的，则需提供可证明专业的其他证明材料。</w:t>
      </w:r>
    </w:p>
    <w:p w14:paraId="068004D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③</w:t>
      </w:r>
      <w:r>
        <w:rPr>
          <w:rFonts w:hint="eastAsia" w:ascii="宋体" w:hAnsi="宋体" w:eastAsia="宋体" w:cs="宋体"/>
          <w:color w:val="auto"/>
          <w:szCs w:val="21"/>
          <w:highlight w:val="none"/>
        </w:rPr>
        <w:t>除总监理工程师外，上述人员要求不作为形式评审、资格评审、响应性评审的审查依据，只作为综合评分表中的评审依据。</w:t>
      </w:r>
    </w:p>
    <w:p w14:paraId="4BFC8756">
      <w:pPr>
        <w:wordWrap w:val="0"/>
        <w:spacing w:line="276" w:lineRule="auto"/>
        <w:ind w:firstLine="424" w:firstLineChars="202"/>
        <w:rPr>
          <w:rFonts w:hint="eastAsia" w:ascii="宋体" w:hAnsi="宋体" w:eastAsia="宋体" w:cs="宋体"/>
          <w:color w:val="auto"/>
          <w:szCs w:val="21"/>
          <w:highlight w:val="none"/>
          <w:u w:val="single"/>
        </w:rPr>
      </w:pPr>
    </w:p>
    <w:p w14:paraId="4B0128D0">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3605F07">
      <w:pPr>
        <w:wordWrap w:val="0"/>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评标办法修改表</w:t>
      </w:r>
    </w:p>
    <w:p w14:paraId="532A7632">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本投标须知使用GZJTZB2025-2招标文件范本的评标办法条款，与该条款不同之处，均在本表中列明，并以现文为准，原文不再有效。</w:t>
      </w:r>
      <w:r>
        <w:rPr>
          <w:rFonts w:hint="eastAsia" w:ascii="宋体" w:hAnsi="宋体" w:eastAsia="宋体" w:cs="宋体"/>
          <w:bCs/>
          <w:color w:val="auto"/>
          <w:sz w:val="24"/>
          <w:szCs w:val="24"/>
          <w:highlight w:val="none"/>
        </w:rPr>
        <w:t>（注：招标人按《评标办法修改表》修改的内容对应修改通用条款，属于删除的采用“</w:t>
      </w:r>
      <w:r>
        <w:rPr>
          <w:rFonts w:hint="eastAsia" w:ascii="宋体" w:hAnsi="宋体" w:eastAsia="宋体" w:cs="宋体"/>
          <w:bCs/>
          <w:strike/>
          <w:color w:val="auto"/>
          <w:sz w:val="24"/>
          <w:szCs w:val="24"/>
          <w:highlight w:val="none"/>
        </w:rPr>
        <w:t xml:space="preserve">   </w:t>
      </w:r>
      <w:r>
        <w:rPr>
          <w:rFonts w:hint="eastAsia" w:ascii="宋体" w:hAnsi="宋体" w:eastAsia="宋体" w:cs="宋体"/>
          <w:bCs/>
          <w:color w:val="auto"/>
          <w:sz w:val="24"/>
          <w:szCs w:val="24"/>
          <w:highlight w:val="none"/>
        </w:rPr>
        <w:t>”表示，如“</w:t>
      </w:r>
      <w:r>
        <w:rPr>
          <w:rFonts w:hint="eastAsia" w:ascii="宋体" w:hAnsi="宋体" w:eastAsia="宋体" w:cs="宋体"/>
          <w:bCs/>
          <w:strike/>
          <w:color w:val="auto"/>
          <w:sz w:val="24"/>
          <w:szCs w:val="24"/>
          <w:highlight w:val="none"/>
        </w:rPr>
        <w:t>删除</w:t>
      </w:r>
      <w:r>
        <w:rPr>
          <w:rFonts w:hint="eastAsia" w:ascii="宋体" w:hAnsi="宋体" w:eastAsia="宋体" w:cs="宋体"/>
          <w:bCs/>
          <w:color w:val="auto"/>
          <w:sz w:val="24"/>
          <w:szCs w:val="24"/>
          <w:highlight w:val="none"/>
        </w:rPr>
        <w:t>”；属于新增、修改的内容，用</w:t>
      </w:r>
      <w:r>
        <w:rPr>
          <w:rFonts w:hint="eastAsia" w:ascii="宋体" w:hAnsi="宋体" w:eastAsia="宋体" w:cs="宋体"/>
          <w:b/>
          <w:color w:val="auto"/>
          <w:sz w:val="24"/>
          <w:szCs w:val="24"/>
          <w:highlight w:val="none"/>
        </w:rPr>
        <w:t>黑色加粗</w:t>
      </w:r>
      <w:r>
        <w:rPr>
          <w:rFonts w:hint="eastAsia" w:ascii="宋体" w:hAnsi="宋体" w:eastAsia="宋体" w:cs="宋体"/>
          <w:bCs/>
          <w:color w:val="auto"/>
          <w:sz w:val="24"/>
          <w:szCs w:val="24"/>
          <w:highlight w:val="none"/>
        </w:rPr>
        <w:t>字体显示,并加注下划线，如“</w:t>
      </w:r>
      <w:r>
        <w:rPr>
          <w:rFonts w:hint="eastAsia" w:ascii="宋体" w:hAnsi="宋体" w:eastAsia="宋体" w:cs="宋体"/>
          <w:b/>
          <w:color w:val="auto"/>
          <w:sz w:val="24"/>
          <w:szCs w:val="24"/>
          <w:highlight w:val="none"/>
          <w:u w:val="single"/>
        </w:rPr>
        <w:t>新增修改</w:t>
      </w:r>
      <w:r>
        <w:rPr>
          <w:rFonts w:hint="eastAsia" w:ascii="宋体" w:hAnsi="宋体" w:eastAsia="宋体" w:cs="宋体"/>
          <w:bCs/>
          <w:color w:val="auto"/>
          <w:sz w:val="24"/>
          <w:szCs w:val="24"/>
          <w:highlight w:val="none"/>
        </w:rPr>
        <w:t>”。）</w:t>
      </w:r>
    </w:p>
    <w:p w14:paraId="00F68D99">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条款号：1.       修改类型：修改</w:t>
      </w:r>
    </w:p>
    <w:p w14:paraId="5EEEF71D">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原文：1. 评标方法</w:t>
      </w:r>
    </w:p>
    <w:p w14:paraId="541EBEDC">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7C1C7EA7">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现文：</w:t>
      </w:r>
      <w:r>
        <w:rPr>
          <w:rFonts w:hint="eastAsia" w:ascii="宋体" w:hAnsi="宋体" w:eastAsia="宋体" w:cs="宋体"/>
          <w:strike/>
          <w:color w:val="auto"/>
          <w:spacing w:val="-1"/>
          <w:sz w:val="24"/>
          <w:szCs w:val="24"/>
          <w:highlight w:val="none"/>
          <w:lang w:val="en-US"/>
        </w:rPr>
        <w:t>本次评标</w:t>
      </w:r>
      <w:r>
        <w:rPr>
          <w:rFonts w:hint="eastAsia" w:ascii="宋体" w:hAnsi="宋体" w:eastAsia="宋体" w:cs="宋体"/>
          <w:color w:val="auto"/>
          <w:sz w:val="24"/>
          <w:szCs w:val="24"/>
          <w:highlight w:val="none"/>
          <w:u w:val="single"/>
        </w:rPr>
        <w:t>本</w:t>
      </w:r>
      <w:r>
        <w:rPr>
          <w:rFonts w:hint="eastAsia" w:ascii="宋体" w:hAnsi="宋体" w:eastAsia="宋体" w:cs="宋体"/>
          <w:color w:val="auto"/>
          <w:sz w:val="24"/>
          <w:szCs w:val="24"/>
          <w:highlight w:val="none"/>
          <w:u w:val="single"/>
          <w:lang w:val="en-US" w:eastAsia="zh-CN"/>
        </w:rPr>
        <w:t>招标项目</w:t>
      </w:r>
      <w:r>
        <w:rPr>
          <w:rFonts w:hint="eastAsia" w:ascii="宋体" w:hAnsi="宋体" w:eastAsia="宋体" w:cs="宋体"/>
          <w:color w:val="auto"/>
          <w:sz w:val="24"/>
          <w:szCs w:val="24"/>
          <w:highlight w:val="none"/>
        </w:rPr>
        <w:t>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则对具有相同情况的投标人，由评标委员会采用记名投票方式，以得票多的优先，确定投标人最终名次的排序。</w:t>
      </w:r>
      <w:r>
        <w:rPr>
          <w:rFonts w:hint="eastAsia" w:ascii="宋体" w:hAnsi="宋体" w:eastAsia="宋体" w:cs="宋体"/>
          <w:strike/>
          <w:color w:val="auto"/>
          <w:sz w:val="24"/>
          <w:szCs w:val="24"/>
          <w:highlight w:val="none"/>
        </w:rPr>
        <w:t>，按照评标办法前附表的规定确定中标候选人顺序。</w:t>
      </w:r>
    </w:p>
    <w:p w14:paraId="6D2FDC78">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条款号：3.2.1       修改类型：修改</w:t>
      </w:r>
    </w:p>
    <w:p w14:paraId="7ED7B256">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sz w:val="24"/>
          <w:szCs w:val="24"/>
          <w:highlight w:val="none"/>
        </w:rPr>
        <w:t>3.2.1评标委员会按本章第2.2款规定的量化因素和分值进行打分，并计算出综合评估得分。</w:t>
      </w:r>
    </w:p>
    <w:p w14:paraId="33E17EE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2.2.4（1）目规定的评审因素和分值对资信业绩部分计算出得分A，资信业绩部分评审得分A为评标委员会各成员打分的算术平均值（由招标人自行设置），分数出现小数点，保留小数点后二位，第三位小数四舍五入。</w:t>
      </w:r>
    </w:p>
    <w:p w14:paraId="6CCE793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2.2.4（2）目规定的评审因素和分值对监理大纲部分计算出得分B，（以下两种方法招标人自行选择）①监理大纲部分评审得分B为从评标委员会各成员打分中去掉一个最高分和去掉一个最低分后的剩余评标委员会成员打分的算术平均值或②监理大纲部分评审得分B为评标委员会各成员打分的算术平均值，分数出现小数点，保留小数点后二位，第三位小数四舍五入。</w:t>
      </w:r>
    </w:p>
    <w:p w14:paraId="480E6677">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（3）按本章第2.2.4（3）目规定的评审因素和分值对投标报价计算出得分C，分数出现小数点，保留小数点后二位，第三位小数四舍五入。</w:t>
      </w:r>
    </w:p>
    <w:p w14:paraId="6029D30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（4）按本章第2.2.4（4）目规定的评审因素和分值对其他部分计算出得分D，分数出现小数点，保留小数点后二位，第三位小数四舍五入。</w:t>
      </w:r>
    </w:p>
    <w:p w14:paraId="321FA931">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现文：</w:t>
      </w:r>
      <w:r>
        <w:rPr>
          <w:rFonts w:hint="eastAsia" w:ascii="宋体" w:hAnsi="宋体" w:eastAsia="宋体" w:cs="宋体"/>
          <w:color w:val="auto"/>
          <w:sz w:val="24"/>
          <w:szCs w:val="24"/>
          <w:highlight w:val="none"/>
        </w:rPr>
        <w:t>3.2.1评标委员会按本章第2.2款规定的量化因素和分值进行打分，并计算出综合评估得分。</w:t>
      </w:r>
    </w:p>
    <w:p w14:paraId="03AA7B72">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（1）按本章第2.2.4（1）目规定的评审因素和分值对资信业绩部分计算出得分A，资信业绩部分评审得分A为评标委员会各成员打分的算术平均值</w:t>
      </w:r>
      <w:r>
        <w:rPr>
          <w:rFonts w:hint="eastAsia" w:ascii="宋体" w:hAnsi="宋体" w:eastAsia="宋体" w:cs="宋体"/>
          <w:strike/>
          <w:color w:val="auto"/>
          <w:sz w:val="24"/>
          <w:szCs w:val="24"/>
          <w:highlight w:val="none"/>
        </w:rPr>
        <w:t>（由招标人自行设置）</w:t>
      </w:r>
      <w:r>
        <w:rPr>
          <w:rFonts w:hint="eastAsia" w:ascii="宋体" w:hAnsi="宋体" w:eastAsia="宋体" w:cs="宋体"/>
          <w:color w:val="auto"/>
          <w:sz w:val="24"/>
          <w:szCs w:val="24"/>
          <w:highlight w:val="none"/>
        </w:rPr>
        <w:t>，分数出现小数点，保留小数点后二位，第三位小数四舍五入。</w:t>
      </w:r>
    </w:p>
    <w:p w14:paraId="3E4E7232">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（2）按本章第2.2.4（2）目规定的评审因素和分值对监理大纲部分计算出得分B，</w:t>
      </w:r>
      <w:r>
        <w:rPr>
          <w:rFonts w:hint="eastAsia" w:ascii="宋体" w:hAnsi="宋体" w:eastAsia="宋体" w:cs="宋体"/>
          <w:strike/>
          <w:color w:val="auto"/>
          <w:sz w:val="24"/>
          <w:szCs w:val="24"/>
          <w:highlight w:val="none"/>
          <w:lang w:val="en-US" w:eastAsia="zh-CN" w:bidi="ar-SA"/>
        </w:rPr>
        <w:t>（以下两种方法招标人自行选择）</w:t>
      </w:r>
      <w:r>
        <w:rPr>
          <w:rFonts w:hint="eastAsia" w:ascii="宋体" w:hAnsi="宋体" w:eastAsia="宋体" w:cs="宋体"/>
          <w:strike/>
          <w:color w:val="auto"/>
          <w:sz w:val="24"/>
          <w:szCs w:val="24"/>
          <w:highlight w:val="none"/>
          <w:u w:val="single"/>
          <w:lang w:eastAsia="zh-CN"/>
        </w:rPr>
        <w:fldChar w:fldCharType="begin"/>
      </w:r>
      <w:r>
        <w:rPr>
          <w:rFonts w:hint="eastAsia" w:ascii="宋体" w:hAnsi="宋体" w:eastAsia="宋体" w:cs="宋体"/>
          <w:strike/>
          <w:color w:val="auto"/>
          <w:sz w:val="24"/>
          <w:szCs w:val="24"/>
          <w:highlight w:val="none"/>
          <w:u w:val="single"/>
          <w:lang w:eastAsia="zh-CN"/>
        </w:rPr>
        <w:instrText xml:space="preserve"> = 1 \* GB3 \* MERGEFORMAT </w:instrText>
      </w:r>
      <w:r>
        <w:rPr>
          <w:rFonts w:hint="eastAsia" w:ascii="宋体" w:hAnsi="宋体" w:eastAsia="宋体" w:cs="宋体"/>
          <w:strike/>
          <w:color w:val="auto"/>
          <w:sz w:val="24"/>
          <w:szCs w:val="24"/>
          <w:highlight w:val="none"/>
          <w:u w:val="single"/>
          <w:lang w:eastAsia="zh-CN"/>
        </w:rPr>
        <w:fldChar w:fldCharType="separate"/>
      </w:r>
      <w:r>
        <w:rPr>
          <w:rFonts w:hint="eastAsia" w:ascii="宋体" w:hAnsi="宋体" w:eastAsia="宋体" w:cs="宋体"/>
          <w:strike/>
          <w:color w:val="auto"/>
          <w:sz w:val="24"/>
          <w:szCs w:val="24"/>
          <w:highlight w:val="none"/>
          <w:u w:val="single"/>
        </w:rPr>
        <w:t>①</w:t>
      </w:r>
      <w:r>
        <w:rPr>
          <w:rFonts w:hint="eastAsia" w:ascii="宋体" w:hAnsi="宋体" w:eastAsia="宋体" w:cs="宋体"/>
          <w:strike/>
          <w:color w:val="auto"/>
          <w:sz w:val="24"/>
          <w:szCs w:val="24"/>
          <w:highlight w:val="none"/>
          <w:u w:val="single"/>
        </w:rPr>
        <w:fldChar w:fldCharType="end"/>
      </w:r>
      <w:r>
        <w:rPr>
          <w:rFonts w:hint="eastAsia" w:ascii="宋体" w:hAnsi="宋体" w:eastAsia="宋体" w:cs="宋体"/>
          <w:color w:val="auto"/>
          <w:sz w:val="24"/>
          <w:szCs w:val="24"/>
          <w:highlight w:val="none"/>
          <w:u w:val="single"/>
          <w:lang w:eastAsia="zh-CN"/>
        </w:rPr>
        <w:t>监理大纲</w:t>
      </w:r>
      <w:r>
        <w:rPr>
          <w:rFonts w:hint="eastAsia" w:ascii="宋体" w:hAnsi="宋体" w:eastAsia="宋体" w:cs="宋体"/>
          <w:color w:val="auto"/>
          <w:sz w:val="24"/>
          <w:szCs w:val="24"/>
          <w:highlight w:val="none"/>
          <w:u w:val="single"/>
        </w:rPr>
        <w:t>部分评审得分B为从</w:t>
      </w:r>
      <w:r>
        <w:rPr>
          <w:rFonts w:hint="eastAsia" w:ascii="宋体" w:hAnsi="宋体" w:eastAsia="宋体" w:cs="宋体"/>
          <w:color w:val="auto"/>
          <w:sz w:val="24"/>
          <w:szCs w:val="24"/>
          <w:highlight w:val="none"/>
          <w:u w:val="single"/>
          <w:lang w:val="en-US" w:eastAsia="zh-CN" w:bidi="ar-SA"/>
        </w:rPr>
        <w:t>评标委员会各成员</w:t>
      </w:r>
      <w:r>
        <w:rPr>
          <w:rFonts w:hint="eastAsia" w:ascii="宋体" w:hAnsi="宋体" w:eastAsia="宋体" w:cs="宋体"/>
          <w:color w:val="auto"/>
          <w:sz w:val="24"/>
          <w:szCs w:val="24"/>
          <w:highlight w:val="none"/>
          <w:u w:val="single"/>
        </w:rPr>
        <w:t>打分中去掉一个最高分和去掉一个最低分后的剩余</w:t>
      </w:r>
      <w:r>
        <w:rPr>
          <w:rFonts w:hint="eastAsia" w:ascii="宋体" w:hAnsi="宋体" w:eastAsia="宋体" w:cs="宋体"/>
          <w:color w:val="auto"/>
          <w:sz w:val="24"/>
          <w:szCs w:val="24"/>
          <w:highlight w:val="none"/>
          <w:u w:val="single"/>
          <w:lang w:val="en-US" w:eastAsia="zh-CN" w:bidi="ar-SA"/>
        </w:rPr>
        <w:t>评标委员会成员</w:t>
      </w:r>
      <w:r>
        <w:rPr>
          <w:rFonts w:hint="eastAsia" w:ascii="宋体" w:hAnsi="宋体" w:eastAsia="宋体" w:cs="宋体"/>
          <w:color w:val="auto"/>
          <w:sz w:val="24"/>
          <w:szCs w:val="24"/>
          <w:highlight w:val="none"/>
          <w:u w:val="single"/>
        </w:rPr>
        <w:t>打分的算术平均值</w:t>
      </w:r>
      <w:r>
        <w:rPr>
          <w:rFonts w:hint="eastAsia" w:ascii="宋体" w:hAnsi="宋体" w:eastAsia="宋体" w:cs="宋体"/>
          <w:strike/>
          <w:color w:val="auto"/>
          <w:sz w:val="24"/>
          <w:szCs w:val="24"/>
          <w:highlight w:val="none"/>
          <w:u w:val="single"/>
          <w:lang w:eastAsia="zh-CN"/>
        </w:rPr>
        <w:t>或</w:t>
      </w:r>
      <w:r>
        <w:rPr>
          <w:rFonts w:hint="eastAsia" w:ascii="宋体" w:hAnsi="宋体" w:eastAsia="宋体" w:cs="宋体"/>
          <w:strike/>
          <w:color w:val="auto"/>
          <w:sz w:val="24"/>
          <w:szCs w:val="24"/>
          <w:highlight w:val="none"/>
          <w:u w:val="single"/>
          <w:lang w:eastAsia="zh-CN"/>
        </w:rPr>
        <w:fldChar w:fldCharType="begin"/>
      </w:r>
      <w:r>
        <w:rPr>
          <w:rFonts w:hint="eastAsia" w:ascii="宋体" w:hAnsi="宋体" w:eastAsia="宋体" w:cs="宋体"/>
          <w:strike/>
          <w:color w:val="auto"/>
          <w:sz w:val="24"/>
          <w:szCs w:val="24"/>
          <w:highlight w:val="none"/>
          <w:u w:val="single"/>
          <w:lang w:eastAsia="zh-CN"/>
        </w:rPr>
        <w:instrText xml:space="preserve"> = 2 \* GB3 \* MERGEFORMAT </w:instrText>
      </w:r>
      <w:r>
        <w:rPr>
          <w:rFonts w:hint="eastAsia" w:ascii="宋体" w:hAnsi="宋体" w:eastAsia="宋体" w:cs="宋体"/>
          <w:strike/>
          <w:color w:val="auto"/>
          <w:sz w:val="24"/>
          <w:szCs w:val="24"/>
          <w:highlight w:val="none"/>
          <w:u w:val="single"/>
          <w:lang w:eastAsia="zh-CN"/>
        </w:rPr>
        <w:fldChar w:fldCharType="separate"/>
      </w:r>
      <w:r>
        <w:rPr>
          <w:rFonts w:hint="eastAsia" w:ascii="宋体" w:hAnsi="宋体" w:eastAsia="宋体" w:cs="宋体"/>
          <w:strike/>
          <w:color w:val="auto"/>
          <w:sz w:val="24"/>
          <w:szCs w:val="24"/>
          <w:highlight w:val="none"/>
          <w:u w:val="single"/>
        </w:rPr>
        <w:t>②</w:t>
      </w:r>
      <w:r>
        <w:rPr>
          <w:rFonts w:hint="eastAsia" w:ascii="宋体" w:hAnsi="宋体" w:eastAsia="宋体" w:cs="宋体"/>
          <w:strike/>
          <w:color w:val="auto"/>
          <w:sz w:val="24"/>
          <w:szCs w:val="24"/>
          <w:highlight w:val="none"/>
          <w:u w:val="single"/>
        </w:rPr>
        <w:fldChar w:fldCharType="end"/>
      </w:r>
      <w:r>
        <w:rPr>
          <w:rFonts w:hint="eastAsia" w:ascii="宋体" w:hAnsi="宋体" w:eastAsia="宋体" w:cs="宋体"/>
          <w:strike/>
          <w:color w:val="auto"/>
          <w:sz w:val="24"/>
          <w:szCs w:val="24"/>
          <w:highlight w:val="none"/>
          <w:u w:val="single"/>
          <w:lang w:eastAsia="zh-CN"/>
        </w:rPr>
        <w:t>监理大纲部分</w:t>
      </w:r>
      <w:r>
        <w:rPr>
          <w:rFonts w:hint="eastAsia" w:ascii="宋体" w:hAnsi="宋体" w:eastAsia="宋体" w:cs="宋体"/>
          <w:strike/>
          <w:color w:val="auto"/>
          <w:sz w:val="24"/>
          <w:szCs w:val="24"/>
          <w:highlight w:val="none"/>
          <w:u w:val="single"/>
        </w:rPr>
        <w:t>评审得分B为</w:t>
      </w:r>
      <w:r>
        <w:rPr>
          <w:rFonts w:hint="eastAsia" w:ascii="宋体" w:hAnsi="宋体" w:eastAsia="宋体" w:cs="宋体"/>
          <w:strike/>
          <w:color w:val="auto"/>
          <w:sz w:val="24"/>
          <w:szCs w:val="24"/>
          <w:highlight w:val="none"/>
          <w:u w:val="single"/>
          <w:lang w:val="en-US" w:eastAsia="zh-CN" w:bidi="ar-SA"/>
        </w:rPr>
        <w:t>评标委员会各成员</w:t>
      </w:r>
      <w:r>
        <w:rPr>
          <w:rFonts w:hint="eastAsia" w:ascii="宋体" w:hAnsi="宋体" w:eastAsia="宋体" w:cs="宋体"/>
          <w:strike/>
          <w:color w:val="auto"/>
          <w:sz w:val="24"/>
          <w:szCs w:val="24"/>
          <w:highlight w:val="none"/>
          <w:u w:val="single"/>
        </w:rPr>
        <w:t>打分的算术平均值</w:t>
      </w:r>
      <w:r>
        <w:rPr>
          <w:rFonts w:hint="eastAsia" w:ascii="宋体" w:hAnsi="宋体" w:eastAsia="宋体" w:cs="宋体"/>
          <w:color w:val="auto"/>
          <w:sz w:val="24"/>
          <w:szCs w:val="24"/>
          <w:highlight w:val="none"/>
        </w:rPr>
        <w:t>，分数出现小数点，保留小数点后二位，第三位小数四舍五入。</w:t>
      </w:r>
    </w:p>
    <w:p w14:paraId="627FC154">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（3）按本章第2.2.4（3）目规定的评审因素和分值对投标报价计算出得分C，分数出现小数点，保留小数点后二位，第三位小数四舍五入。</w:t>
      </w:r>
    </w:p>
    <w:p w14:paraId="3F9212C1">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（4）按本章第2.2.4（4）目规定的评审因素和分值对其他部分计算出得分D，分数出现小数点，保留小数点后二位，第三位小数四舍五入。</w:t>
      </w:r>
    </w:p>
    <w:p w14:paraId="43AC9EA4">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条款号：3.2.4       修改类型：删除</w:t>
      </w:r>
    </w:p>
    <w:p w14:paraId="1DEF5A4C">
      <w:pPr>
        <w:keepNext w:val="0"/>
        <w:keepLines w:val="0"/>
        <w:pageBreakBefore w:val="0"/>
        <w:widowControl w:val="0"/>
        <w:pBdr>
          <w:bottom w:val="single" w:color="auto" w:sz="6" w:space="1"/>
        </w:pBdr>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sz w:val="24"/>
          <w:szCs w:val="24"/>
          <w:highlight w:val="none"/>
        </w:rPr>
        <w:t>3.2.4（选择性条款）在同一主观因素打分中，当评标委员会各成员对同一投标文件同时给出最高档、最低档评分时，评标委员会负责人（组长）应组织评标委员会各成员集体会商，如会商后有关评标委员会成员仍坚持同时给出最高档、最低档评分的，应各自以书面方式阐述其意见和理由并记录本人意见后上传至评标系统。招标人应对评标委员会的意见的合法性、合理性进行确认。</w:t>
      </w:r>
    </w:p>
    <w:p w14:paraId="61E6541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注：以上修改，仅限于本范本中有可供选择条款的情形。</w:t>
      </w:r>
    </w:p>
    <w:p w14:paraId="7019D6D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16602B34">
      <w:pPr>
        <w:keepNext/>
        <w:keepLines/>
        <w:wordWrap w:val="0"/>
        <w:spacing w:line="360" w:lineRule="auto"/>
        <w:outlineLvl w:val="2"/>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br w:type="page"/>
      </w:r>
      <w:bookmarkStart w:id="163" w:name="_Toc59200688"/>
      <w:bookmarkStart w:id="164" w:name="_Toc14873661"/>
      <w:r>
        <w:rPr>
          <w:rFonts w:hint="eastAsia" w:ascii="宋体" w:hAnsi="宋体" w:eastAsia="宋体" w:cs="宋体"/>
          <w:b/>
          <w:color w:val="auto"/>
          <w:sz w:val="28"/>
          <w:szCs w:val="20"/>
          <w:highlight w:val="none"/>
        </w:rPr>
        <w:t>1. 评标方法</w:t>
      </w:r>
      <w:bookmarkEnd w:id="163"/>
      <w:bookmarkEnd w:id="164"/>
    </w:p>
    <w:p w14:paraId="0266186D">
      <w:pPr>
        <w:keepNext w:val="0"/>
        <w:keepLines w:val="0"/>
        <w:pageBreakBefore w:val="0"/>
        <w:widowControl w:val="0"/>
        <w:kinsoku w:val="0"/>
        <w:wordWrap w:val="0"/>
        <w:overflowPunct w:val="0"/>
        <w:topLinePunct w:val="0"/>
        <w:autoSpaceDE/>
        <w:autoSpaceDN/>
        <w:bidi w:val="0"/>
        <w:adjustRightInd/>
        <w:snapToGrid/>
        <w:spacing w:line="360" w:lineRule="auto"/>
        <w:ind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strike/>
          <w:color w:val="auto"/>
          <w:spacing w:val="-1"/>
          <w:sz w:val="24"/>
          <w:szCs w:val="24"/>
          <w:highlight w:val="none"/>
          <w:lang w:val="en-US"/>
        </w:rPr>
        <w:t>本次评标</w:t>
      </w:r>
      <w:r>
        <w:rPr>
          <w:rFonts w:hint="eastAsia" w:ascii="宋体" w:hAnsi="宋体" w:eastAsia="宋体" w:cs="宋体"/>
          <w:color w:val="auto"/>
          <w:spacing w:val="-1"/>
          <w:sz w:val="24"/>
          <w:szCs w:val="24"/>
          <w:highlight w:val="none"/>
          <w:lang w:val="en-US" w:eastAsia="zh-CN"/>
        </w:rPr>
        <w:t>本招标项目</w:t>
      </w:r>
      <w:r>
        <w:rPr>
          <w:rFonts w:hint="eastAsia" w:ascii="宋体" w:hAnsi="宋体" w:eastAsia="宋体" w:cs="宋体"/>
          <w:color w:val="auto"/>
          <w:spacing w:val="-1"/>
          <w:sz w:val="24"/>
          <w:szCs w:val="24"/>
          <w:highlight w:val="none"/>
        </w:rPr>
        <w:t>采用综合评估法。评标委员会对满足招标文件实质性要求的投标文件，按照本章</w:t>
      </w:r>
      <w:r>
        <w:rPr>
          <w:rFonts w:hint="eastAsia" w:ascii="宋体" w:hAnsi="宋体" w:eastAsia="宋体" w:cs="宋体"/>
          <w:color w:val="auto"/>
          <w:sz w:val="24"/>
          <w:szCs w:val="24"/>
          <w:highlight w:val="none"/>
        </w:rPr>
        <w:t>第2.2款规定的评分标准进行打分，并按得分由高到低顺序推荐中标候选人，或根据招标人授</w:t>
      </w:r>
      <w:r>
        <w:rPr>
          <w:rFonts w:hint="eastAsia" w:ascii="宋体" w:hAnsi="宋体" w:eastAsia="宋体" w:cs="宋体"/>
          <w:color w:val="auto"/>
          <w:spacing w:val="-1"/>
          <w:sz w:val="24"/>
          <w:szCs w:val="24"/>
          <w:highlight w:val="none"/>
        </w:rPr>
        <w:t>权直接确定中标人，但投标报价低于其成本的除外。综合评分相等时，以投标报价低的优先；投标报价也相等的，以监理大纲得分高的优先；如果监理大纲得分也相等</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则对具有相同情况的投标人，由评标委员会采用记名投票方式，以得票多的优先，确定投标人最终名次的排序。</w:t>
      </w:r>
      <w:r>
        <w:rPr>
          <w:rFonts w:hint="eastAsia" w:ascii="宋体" w:hAnsi="宋体" w:eastAsia="宋体" w:cs="宋体"/>
          <w:strike/>
          <w:color w:val="auto"/>
          <w:spacing w:val="-1"/>
          <w:sz w:val="24"/>
          <w:szCs w:val="24"/>
          <w:highlight w:val="none"/>
        </w:rPr>
        <w:t>，按照评标办法前附</w:t>
      </w:r>
      <w:r>
        <w:rPr>
          <w:rFonts w:hint="eastAsia" w:ascii="宋体" w:hAnsi="宋体" w:eastAsia="宋体" w:cs="宋体"/>
          <w:strike/>
          <w:color w:val="auto"/>
          <w:sz w:val="24"/>
          <w:szCs w:val="24"/>
          <w:highlight w:val="none"/>
        </w:rPr>
        <w:t>表的规定确定中标候选人顺序。</w:t>
      </w:r>
    </w:p>
    <w:p w14:paraId="21C3B95C">
      <w:pPr>
        <w:keepNext/>
        <w:keepLines/>
        <w:wordWrap w:val="0"/>
        <w:spacing w:line="360" w:lineRule="auto"/>
        <w:outlineLvl w:val="2"/>
        <w:rPr>
          <w:rFonts w:hint="eastAsia" w:ascii="宋体" w:hAnsi="宋体" w:eastAsia="宋体" w:cs="宋体"/>
          <w:b/>
          <w:color w:val="auto"/>
          <w:sz w:val="28"/>
          <w:szCs w:val="20"/>
          <w:highlight w:val="none"/>
        </w:rPr>
      </w:pPr>
      <w:bookmarkStart w:id="165" w:name="bookmark85"/>
      <w:bookmarkEnd w:id="165"/>
      <w:bookmarkStart w:id="166" w:name="_Toc59200689"/>
      <w:bookmarkStart w:id="167" w:name="_Toc14873662"/>
      <w:r>
        <w:rPr>
          <w:rFonts w:hint="eastAsia" w:ascii="宋体" w:hAnsi="宋体" w:eastAsia="宋体" w:cs="宋体"/>
          <w:b/>
          <w:color w:val="auto"/>
          <w:sz w:val="28"/>
          <w:szCs w:val="20"/>
          <w:highlight w:val="none"/>
        </w:rPr>
        <w:t>2. 评审标准</w:t>
      </w:r>
      <w:bookmarkEnd w:id="166"/>
      <w:bookmarkEnd w:id="167"/>
    </w:p>
    <w:p w14:paraId="6CAAB4E5">
      <w:pPr>
        <w:keepNext/>
        <w:keepLines/>
        <w:wordWrap w:val="0"/>
        <w:spacing w:line="360" w:lineRule="auto"/>
        <w:outlineLvl w:val="3"/>
        <w:rPr>
          <w:rFonts w:hint="eastAsia" w:ascii="宋体" w:hAnsi="宋体" w:eastAsia="宋体" w:cs="宋体"/>
          <w:b/>
          <w:color w:val="auto"/>
          <w:sz w:val="28"/>
          <w:szCs w:val="28"/>
          <w:highlight w:val="none"/>
        </w:rPr>
      </w:pPr>
      <w:bookmarkStart w:id="168" w:name="bookmark86"/>
      <w:bookmarkEnd w:id="168"/>
      <w:bookmarkStart w:id="169" w:name="_Toc59200690"/>
      <w:r>
        <w:rPr>
          <w:rFonts w:hint="eastAsia" w:ascii="宋体" w:hAnsi="宋体" w:eastAsia="宋体" w:cs="宋体"/>
          <w:b/>
          <w:color w:val="auto"/>
          <w:sz w:val="28"/>
          <w:szCs w:val="28"/>
          <w:highlight w:val="none"/>
        </w:rPr>
        <w:t>2.1初步评审标准</w:t>
      </w:r>
      <w:bookmarkEnd w:id="169"/>
    </w:p>
    <w:p w14:paraId="6BEAA80E">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2.1.1形式评审标准：见评标办法前附表。</w:t>
      </w:r>
    </w:p>
    <w:p w14:paraId="243E0C76">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2.1.2资格评审标准：见评标办法前附表。</w:t>
      </w:r>
    </w:p>
    <w:p w14:paraId="7B70C994">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2.1.3响应性评审标准：见评标办法前附表。</w:t>
      </w:r>
    </w:p>
    <w:p w14:paraId="30F2343E">
      <w:pPr>
        <w:keepNext/>
        <w:keepLines/>
        <w:wordWrap w:val="0"/>
        <w:spacing w:line="360" w:lineRule="auto"/>
        <w:outlineLvl w:val="3"/>
        <w:rPr>
          <w:rFonts w:hint="eastAsia" w:ascii="宋体" w:hAnsi="宋体" w:eastAsia="宋体" w:cs="宋体"/>
          <w:b/>
          <w:color w:val="auto"/>
          <w:sz w:val="28"/>
          <w:szCs w:val="28"/>
          <w:highlight w:val="none"/>
        </w:rPr>
      </w:pPr>
      <w:bookmarkStart w:id="170" w:name="bookmark87"/>
      <w:bookmarkEnd w:id="170"/>
      <w:bookmarkStart w:id="171" w:name="_Toc59200691"/>
      <w:r>
        <w:rPr>
          <w:rFonts w:hint="eastAsia" w:ascii="宋体" w:hAnsi="宋体" w:eastAsia="宋体" w:cs="宋体"/>
          <w:b/>
          <w:color w:val="auto"/>
          <w:sz w:val="28"/>
          <w:szCs w:val="28"/>
          <w:highlight w:val="none"/>
        </w:rPr>
        <w:t>2.2分值构成与评分标准</w:t>
      </w:r>
      <w:bookmarkEnd w:id="171"/>
    </w:p>
    <w:p w14:paraId="17312FCC">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2.2.1分值构成</w:t>
      </w:r>
    </w:p>
    <w:p w14:paraId="55035D01">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（1）资信业绩部分：见评标办法前附表；</w:t>
      </w:r>
    </w:p>
    <w:p w14:paraId="7D13DC88">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（2）监理大纲部分：见评标办法前附表；</w:t>
      </w:r>
    </w:p>
    <w:p w14:paraId="7E004031">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（3）投标报价：见评标办法前附表；</w:t>
      </w:r>
    </w:p>
    <w:p w14:paraId="6AABA27E">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（4）其他评分因素：见评标办法前附表。</w:t>
      </w:r>
    </w:p>
    <w:p w14:paraId="55859E01">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2.2.2评标基准价计算</w:t>
      </w:r>
    </w:p>
    <w:p w14:paraId="020B6B3A">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评标基准价计算方法：见评标办法前附表。</w:t>
      </w:r>
    </w:p>
    <w:p w14:paraId="0B1D41E7">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2.2.3投标报价的偏差率计算</w:t>
      </w:r>
    </w:p>
    <w:p w14:paraId="7C75E660">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投标报价的偏差率计算公式：见评标办法前附表。</w:t>
      </w:r>
    </w:p>
    <w:p w14:paraId="5213EF32">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2.2.4评分标准</w:t>
      </w:r>
    </w:p>
    <w:p w14:paraId="61CC254F">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（1）资信业绩评分标准：见评标办法前附表；</w:t>
      </w:r>
    </w:p>
    <w:p w14:paraId="6FC020DC">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（2）监理大纲评分标准：见评标办法前附表；</w:t>
      </w:r>
    </w:p>
    <w:p w14:paraId="38B99DF8">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（3）投标报价评分标准：见评标办法前附表；</w:t>
      </w:r>
    </w:p>
    <w:p w14:paraId="61804E32">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（4）其他因素评分标准：见评标办法前附表。</w:t>
      </w:r>
    </w:p>
    <w:p w14:paraId="1244BB32">
      <w:pPr>
        <w:keepNext/>
        <w:keepLines/>
        <w:wordWrap w:val="0"/>
        <w:spacing w:line="360" w:lineRule="auto"/>
        <w:outlineLvl w:val="2"/>
        <w:rPr>
          <w:rFonts w:hint="eastAsia" w:ascii="宋体" w:hAnsi="宋体" w:eastAsia="宋体" w:cs="宋体"/>
          <w:b/>
          <w:color w:val="auto"/>
          <w:sz w:val="28"/>
          <w:szCs w:val="20"/>
          <w:highlight w:val="none"/>
        </w:rPr>
      </w:pPr>
      <w:bookmarkStart w:id="172" w:name="bookmark88"/>
      <w:bookmarkEnd w:id="172"/>
      <w:bookmarkStart w:id="173" w:name="_Toc14873663"/>
      <w:bookmarkStart w:id="174" w:name="_Toc59200692"/>
      <w:r>
        <w:rPr>
          <w:rFonts w:hint="eastAsia" w:ascii="宋体" w:hAnsi="宋体" w:eastAsia="宋体" w:cs="宋体"/>
          <w:b/>
          <w:color w:val="auto"/>
          <w:sz w:val="28"/>
          <w:szCs w:val="20"/>
          <w:highlight w:val="none"/>
        </w:rPr>
        <w:t>3. 评标程序</w:t>
      </w:r>
      <w:bookmarkEnd w:id="173"/>
      <w:bookmarkEnd w:id="174"/>
    </w:p>
    <w:p w14:paraId="71CE2E46">
      <w:pPr>
        <w:keepNext/>
        <w:keepLines/>
        <w:wordWrap w:val="0"/>
        <w:spacing w:line="360" w:lineRule="auto"/>
        <w:outlineLvl w:val="3"/>
        <w:rPr>
          <w:rFonts w:hint="eastAsia" w:ascii="宋体" w:hAnsi="宋体" w:eastAsia="宋体" w:cs="宋体"/>
          <w:b/>
          <w:color w:val="auto"/>
          <w:sz w:val="28"/>
          <w:szCs w:val="28"/>
          <w:highlight w:val="none"/>
        </w:rPr>
      </w:pPr>
      <w:bookmarkStart w:id="175" w:name="bookmark89"/>
      <w:bookmarkEnd w:id="175"/>
      <w:r>
        <w:rPr>
          <w:rFonts w:hint="eastAsia" w:ascii="宋体" w:hAnsi="宋体" w:eastAsia="宋体" w:cs="宋体"/>
          <w:b/>
          <w:color w:val="auto"/>
          <w:sz w:val="28"/>
          <w:szCs w:val="28"/>
          <w:highlight w:val="none"/>
        </w:rPr>
        <w:t>3.1初步评审</w:t>
      </w:r>
    </w:p>
    <w:p w14:paraId="5582B716">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评标委员会如认为有必要，可以要求投标人提交第二章“投标人须知”规定的有关证明和证件的原件，以便核验。评标委员会依据本章第2.1款规定的标准对投标文件进行初步评审。有一项不符合评审标准的，评标委员会应当否决其投标，未能通过初步评审的投标人，其投标不再参与后续的评审程序。如果有否决投标提议，则评标委员会成员共同表决，按照少数服从多数的原则决定是否否决其投标。若有效投标不足3个的，或当N个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持不同意见的评标委员会成员应以书面形式阐述其意见和理由并记录在案。</w:t>
      </w:r>
    </w:p>
    <w:p w14:paraId="12B6AB79">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3.1.1.1形式评审：</w:t>
      </w:r>
    </w:p>
    <w:p w14:paraId="04DD0AB1">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评标委员会根据评标办法前附表中规定的评审因素和评审标准，对投标人的文件进行形式评审。通过形式评审的投标文件方可参加下一阶段评审程序。</w:t>
      </w:r>
    </w:p>
    <w:p w14:paraId="2EEFD196">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3.1.1.2资格评审：</w:t>
      </w:r>
    </w:p>
    <w:p w14:paraId="4148448E">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评标委员会根据评标办法前附表中的规定的评审因素和评审标准，对投标人的资格审查文件进行资格评审。通过资格评审的投标文件方可参加下一阶段评审程序。</w:t>
      </w:r>
    </w:p>
    <w:p w14:paraId="0C7AC5FE">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3.1.1.3响应性评审：</w:t>
      </w:r>
    </w:p>
    <w:p w14:paraId="5D0A62E9">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评标委员会根据评标办法前附表中规定的评审因素和评审标准，对投标人的商务文件进行响应性评审。通过商务文件响应性评审的投标文件方可参加下一阶段评审程序。</w:t>
      </w:r>
    </w:p>
    <w:p w14:paraId="728162FA">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3.1.2投标人有以下情形之一的，评标委员会应当否决其投标：</w:t>
      </w:r>
    </w:p>
    <w:p w14:paraId="68BF04F5">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（1）投标文件没有对招标文件的实质性要求和条件作出响应，或者对招标文件的偏差超出招标文件规定的偏差范围或最高项数；</w:t>
      </w:r>
    </w:p>
    <w:p w14:paraId="032E19D4">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（2）有串通投标、弄虚作假、行贿等违法行为。</w:t>
      </w:r>
    </w:p>
    <w:p w14:paraId="1AA17FEF">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人设置了成本警示价的，对于低于成本警示价的投标报价，投标人必须提供详细的单价、措施、投标人成本等分析供评标委员会评审，由评标委员会判定其是否低于企业自身成本。在评标过程中，评标委员会发现投标人的报价明显低于其他投标报价或者低于成本警示价，使得其投标报价可能低于个别成本的，应当要求该投标人作出书面说明并提供相关证明材料。投标人不能合理说明或者不能提供相关说明材料的，由评标委员会认定该投标人以低于成本报价竞标，应当否决其投标。当有多个投标报价低于成本警示价时，应从低到高依次评审，对于已投标人已做说明或者已提供相关证明材料的，如有较低投标报价未被认定低于成本，则不再对较高投标报价是否低于成本进行认定。</w:t>
      </w:r>
    </w:p>
    <w:p w14:paraId="40B5A3DB">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（4）投标人与其他投标人加密打包投标文件硬件特征码一致的。</w:t>
      </w:r>
    </w:p>
    <w:p w14:paraId="135BE399">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（5）评标办法规定的其他应当否决其投标的情形。</w:t>
      </w:r>
    </w:p>
    <w:p w14:paraId="473732A8">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3.1.3投标报价有算术错误及其他错误的，评标委员会按以下原则要求投标人对投标报价进行修正，并要求投标人书面澄清确认。投标人拒不澄清确认的，投标人拒不接受的，评标委员会应当否决其投标：</w:t>
      </w:r>
    </w:p>
    <w:p w14:paraId="2B9F3B36">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（1）投标文件中的大写金额与小写金额不一致的，以大写金额为准；</w:t>
      </w:r>
    </w:p>
    <w:p w14:paraId="16AF5AD7">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603CA3E0">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评标委员会不得将文件顺序、明显文字错误等列为否决投标的情形，评标委员会发现投标文件含义不明确、对同类问题表述不一致、有明显格式或文字、计算错误、投标报价可能低于成本影响履约的，应当要求投标人作必要的澄清、说明或补正后再判定投标人是否通过审查，不得直接否决投标。评标委员会不接受投标人主动提出的澄清、说明或补正。</w:t>
      </w:r>
    </w:p>
    <w:p w14:paraId="1167A3F1">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3.1.5有效投标不足三个的，评标委员会应当对投标是否明显缺乏竞争和是否需要否决全部投标进行充分论证，并在评标报告中记载论证过程和结果。</w:t>
      </w:r>
    </w:p>
    <w:p w14:paraId="07750348">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3.1.6若评标委员会各成员对否决投标意见不一致时，则按少数服从多数的原则作出评审结论。持有不同意见的评标委员会成员应书面记录本人意见后上传至评标系统，招标人应对评标委员会的意见合法、合理性进行确认。</w:t>
      </w:r>
    </w:p>
    <w:p w14:paraId="2F0BA139">
      <w:pPr>
        <w:keepNext/>
        <w:keepLines/>
        <w:wordWrap w:val="0"/>
        <w:spacing w:line="360" w:lineRule="auto"/>
        <w:outlineLvl w:val="3"/>
        <w:rPr>
          <w:rFonts w:hint="eastAsia" w:ascii="宋体" w:hAnsi="宋体" w:eastAsia="宋体" w:cs="宋体"/>
          <w:b/>
          <w:color w:val="auto"/>
          <w:sz w:val="28"/>
          <w:szCs w:val="28"/>
          <w:highlight w:val="none"/>
        </w:rPr>
      </w:pPr>
      <w:bookmarkStart w:id="176" w:name="bookmark90"/>
      <w:bookmarkEnd w:id="176"/>
      <w:bookmarkStart w:id="177" w:name="_Toc59200693"/>
      <w:r>
        <w:rPr>
          <w:rFonts w:hint="eastAsia" w:ascii="宋体" w:hAnsi="宋体" w:eastAsia="宋体" w:cs="宋体"/>
          <w:b/>
          <w:color w:val="auto"/>
          <w:sz w:val="28"/>
          <w:szCs w:val="28"/>
          <w:highlight w:val="none"/>
        </w:rPr>
        <w:t>3.2详细评审</w:t>
      </w:r>
      <w:bookmarkEnd w:id="177"/>
    </w:p>
    <w:p w14:paraId="3BA755D4">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3.2.1评标委员会按本章第2.2款规定的量化因素和分值进行打分，并计算出综合评估得分。</w:t>
      </w:r>
    </w:p>
    <w:p w14:paraId="1D948ACC">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（1）按本章第2.2.4（1）目规定的评审因素和分值对资信业绩部分计算出得分A，资信业绩部分评审得分A为评标委员会各成员打分的算术平均值</w:t>
      </w:r>
      <w:r>
        <w:rPr>
          <w:rFonts w:hint="eastAsia" w:ascii="宋体" w:hAnsi="宋体" w:eastAsia="宋体" w:cs="宋体"/>
          <w:strike/>
          <w:color w:val="auto"/>
          <w:sz w:val="24"/>
          <w:szCs w:val="24"/>
          <w:highlight w:val="none"/>
        </w:rPr>
        <w:t>（由招标人自行设置）</w:t>
      </w:r>
      <w:r>
        <w:rPr>
          <w:rFonts w:hint="eastAsia" w:ascii="宋体" w:hAnsi="宋体" w:eastAsia="宋体" w:cs="宋体"/>
          <w:color w:val="auto"/>
          <w:sz w:val="24"/>
          <w:szCs w:val="24"/>
          <w:highlight w:val="none"/>
        </w:rPr>
        <w:t>，分数出现小数点，保留小数点后二位，第三位小数四舍五入。</w:t>
      </w:r>
    </w:p>
    <w:p w14:paraId="669D7359">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（2）按本章第2.2.4（2）目规定的评审因素和分值对监理大纲部分计算出得分B，</w:t>
      </w:r>
      <w:r>
        <w:rPr>
          <w:rFonts w:hint="eastAsia" w:ascii="宋体" w:hAnsi="宋体" w:eastAsia="宋体" w:cs="宋体"/>
          <w:strike/>
          <w:color w:val="auto"/>
          <w:sz w:val="24"/>
          <w:szCs w:val="24"/>
          <w:highlight w:val="none"/>
        </w:rPr>
        <w:t>（以下两种方法招标人自行选择）①</w:t>
      </w:r>
      <w:r>
        <w:rPr>
          <w:rFonts w:hint="eastAsia" w:ascii="宋体" w:hAnsi="宋体" w:eastAsia="宋体" w:cs="宋体"/>
          <w:strike w:val="0"/>
          <w:color w:val="auto"/>
          <w:sz w:val="24"/>
          <w:szCs w:val="24"/>
          <w:highlight w:val="none"/>
          <w:u w:val="single"/>
        </w:rPr>
        <w:t>监理大纲部分评审得分B为从评标委员会各成员打分中去掉一个最高分和去掉一个最低分后的剩余评标委员会成员打分的算术平均值</w:t>
      </w:r>
      <w:r>
        <w:rPr>
          <w:rFonts w:hint="eastAsia" w:ascii="宋体" w:hAnsi="宋体" w:eastAsia="宋体" w:cs="宋体"/>
          <w:strike/>
          <w:color w:val="auto"/>
          <w:sz w:val="24"/>
          <w:szCs w:val="24"/>
          <w:highlight w:val="none"/>
        </w:rPr>
        <w:t>或②监理大纲部分评审得分B为评标委员会各成员打分的算术平均值</w:t>
      </w:r>
      <w:r>
        <w:rPr>
          <w:rFonts w:hint="eastAsia" w:ascii="宋体" w:hAnsi="宋体" w:eastAsia="宋体" w:cs="宋体"/>
          <w:color w:val="auto"/>
          <w:sz w:val="24"/>
          <w:szCs w:val="24"/>
          <w:highlight w:val="none"/>
        </w:rPr>
        <w:t>，分数出现小数点，保留小数点后二位，第三位小数四舍五入。</w:t>
      </w:r>
    </w:p>
    <w:p w14:paraId="415F02DC">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（3）按本章第2.2.4（3）目规定的评审因素和分值对投标报价计算出得分C，分数出现小数点，保留小数点后二位，第三位小数四舍五入。</w:t>
      </w:r>
    </w:p>
    <w:p w14:paraId="74FD907A">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（4）按本章第2.2.4（4）目规定的评审因素和分值对其他部分计算出得分D，分数出现小数点，保留小数点后二位，第三位小数四舍五入。</w:t>
      </w:r>
    </w:p>
    <w:p w14:paraId="3E9CA15D">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3.2.2评分分值计算保留小数点后两位，小数点后第三位“四舍五入”。</w:t>
      </w:r>
    </w:p>
    <w:p w14:paraId="19E74F2B">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3.2.3投标人得分=A+B+C。</w:t>
      </w:r>
    </w:p>
    <w:p w14:paraId="54ABAF25">
      <w:pPr>
        <w:keepNext w:val="0"/>
        <w:keepLines w:val="0"/>
        <w:pageBreakBefore w:val="0"/>
        <w:widowControl w:val="0"/>
        <w:kinsoku w:val="0"/>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strike/>
          <w:dstrike w:val="0"/>
          <w:color w:val="auto"/>
          <w:spacing w:val="-6"/>
          <w:sz w:val="24"/>
          <w:szCs w:val="24"/>
          <w:highlight w:val="none"/>
        </w:rPr>
      </w:pPr>
      <w:r>
        <w:rPr>
          <w:rFonts w:hint="eastAsia" w:ascii="宋体" w:hAnsi="宋体" w:eastAsia="宋体" w:cs="宋体"/>
          <w:strike/>
          <w:dstrike w:val="0"/>
          <w:color w:val="auto"/>
          <w:sz w:val="24"/>
          <w:szCs w:val="24"/>
          <w:highlight w:val="none"/>
        </w:rPr>
        <w:t>3.2.4（选择性条款）在同一主观因素打分中，当评标委员会各成员对同一投标文件同时给出最高档、最低档评分时，评标委员会负责人（组长）应组织评标委员会各成员集体会商，如会商后有关评标委员会成员仍坚持同时给出最高档、最低档评分的，应各自以书面方式阐述其意见和理由并记录本人意见后上传至评标系统。招标人应对评标委员会的意见的合法性、合理性进行确认。</w:t>
      </w:r>
    </w:p>
    <w:p w14:paraId="596AFF3F">
      <w:pPr>
        <w:keepNext/>
        <w:keepLines/>
        <w:wordWrap w:val="0"/>
        <w:spacing w:line="360" w:lineRule="auto"/>
        <w:outlineLvl w:val="3"/>
        <w:rPr>
          <w:rFonts w:hint="eastAsia" w:ascii="宋体" w:hAnsi="宋体" w:eastAsia="宋体" w:cs="宋体"/>
          <w:b/>
          <w:color w:val="auto"/>
          <w:sz w:val="28"/>
          <w:szCs w:val="28"/>
          <w:highlight w:val="none"/>
        </w:rPr>
      </w:pPr>
      <w:bookmarkStart w:id="178" w:name="bookmark91"/>
      <w:bookmarkEnd w:id="178"/>
      <w:r>
        <w:rPr>
          <w:rFonts w:hint="eastAsia" w:ascii="宋体" w:hAnsi="宋体" w:eastAsia="宋体" w:cs="宋体"/>
          <w:b/>
          <w:color w:val="auto"/>
          <w:sz w:val="28"/>
          <w:szCs w:val="28"/>
          <w:highlight w:val="none"/>
        </w:rPr>
        <w:t>3.3投标文件的澄清</w:t>
      </w:r>
    </w:p>
    <w:p w14:paraId="557E008B">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在评标过程中，经评标委员会中两人以上（含两人）以书面形式提出动议，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5DE7C20A">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.2澄清、说明或补正不得超出投标文件的范围且不得改变投标文件实质性内容，并构成投标文件的组成部分。</w:t>
      </w:r>
    </w:p>
    <w:p w14:paraId="1F0BE8E7">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.3评标委员会对投标人提交的澄清、说明或补正有疑问的，可以要求投标人进一步澄清、说明或补正，直到满足评标委员会的要求。</w:t>
      </w:r>
    </w:p>
    <w:p w14:paraId="5D4D7803">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001F68B">
      <w:pPr>
        <w:keepNext/>
        <w:keepLines/>
        <w:wordWrap w:val="0"/>
        <w:spacing w:line="360" w:lineRule="auto"/>
        <w:outlineLvl w:val="3"/>
        <w:rPr>
          <w:rFonts w:hint="eastAsia" w:ascii="宋体" w:hAnsi="宋体" w:eastAsia="宋体" w:cs="宋体"/>
          <w:b/>
          <w:color w:val="auto"/>
          <w:sz w:val="28"/>
          <w:szCs w:val="28"/>
          <w:highlight w:val="none"/>
        </w:rPr>
      </w:pPr>
      <w:bookmarkStart w:id="179" w:name="bookmark92"/>
      <w:bookmarkEnd w:id="179"/>
      <w:r>
        <w:rPr>
          <w:rFonts w:hint="eastAsia" w:ascii="宋体" w:hAnsi="宋体" w:eastAsia="宋体" w:cs="宋体"/>
          <w:b/>
          <w:color w:val="auto"/>
          <w:sz w:val="28"/>
          <w:szCs w:val="28"/>
          <w:highlight w:val="none"/>
        </w:rPr>
        <w:t>3.4评标结果</w:t>
      </w:r>
    </w:p>
    <w:p w14:paraId="290CAAC9">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3.4.1除第二章“投标人须知”前附表授权直接确定中标人外，评标委员会按照得分由高到低的顺序推荐中标候选人，并标明排序。</w:t>
      </w:r>
    </w:p>
    <w:p w14:paraId="66009CCF">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3.4.2评标委员会完成评标后，应当向招标人提交书面评标报告和中标候选人名单。</w:t>
      </w:r>
    </w:p>
    <w:p w14:paraId="6B8A360C">
      <w:pPr>
        <w:keepNext w:val="0"/>
        <w:keepLines w:val="0"/>
        <w:pageBreakBefore w:val="0"/>
        <w:widowControl w:val="0"/>
        <w:kinsoku/>
        <w:wordWrap w:val="0"/>
        <w:overflowPunct w:val="0"/>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3.4.3如采用评标定标分离方法的，按相关规定执行。</w:t>
      </w:r>
    </w:p>
    <w:p w14:paraId="304851C3">
      <w:pPr>
        <w:wordWrap w:val="0"/>
        <w:spacing w:before="340" w:after="330"/>
        <w:jc w:val="center"/>
        <w:outlineLvl w:val="0"/>
        <w:rPr>
          <w:rFonts w:hint="eastAsia" w:ascii="宋体" w:hAnsi="宋体" w:eastAsia="宋体" w:cs="宋体"/>
          <w:b/>
          <w:color w:val="auto"/>
          <w:kern w:val="44"/>
          <w:sz w:val="44"/>
          <w:szCs w:val="20"/>
          <w:highlight w:val="none"/>
        </w:rPr>
      </w:pPr>
      <w:bookmarkStart w:id="180" w:name="_Toc31071"/>
      <w:bookmarkStart w:id="181" w:name="_Toc526786491"/>
      <w:r>
        <w:rPr>
          <w:rFonts w:hint="eastAsia" w:ascii="宋体" w:hAnsi="宋体" w:eastAsia="宋体" w:cs="宋体"/>
          <w:b/>
          <w:color w:val="auto"/>
          <w:kern w:val="44"/>
          <w:sz w:val="44"/>
          <w:szCs w:val="20"/>
          <w:highlight w:val="none"/>
        </w:rPr>
        <w:br w:type="page"/>
      </w:r>
      <w:bookmarkStart w:id="182" w:name="_Toc59200694"/>
      <w:r>
        <w:rPr>
          <w:rFonts w:hint="eastAsia" w:ascii="宋体" w:hAnsi="宋体" w:eastAsia="宋体" w:cs="宋体"/>
          <w:b/>
          <w:color w:val="auto"/>
          <w:kern w:val="44"/>
          <w:sz w:val="44"/>
          <w:szCs w:val="20"/>
          <w:highlight w:val="none"/>
        </w:rPr>
        <w:t>第四章 合同条款及格式</w:t>
      </w:r>
      <w:bookmarkEnd w:id="180"/>
      <w:bookmarkEnd w:id="181"/>
      <w:bookmarkEnd w:id="182"/>
    </w:p>
    <w:p w14:paraId="1FEA9049">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 同 编 号：</w:t>
      </w:r>
    </w:p>
    <w:p w14:paraId="4EE45226">
      <w:pPr>
        <w:pStyle w:val="13"/>
        <w:rPr>
          <w:rFonts w:hint="eastAsia" w:ascii="宋体" w:hAnsi="宋体" w:eastAsia="宋体" w:cs="宋体"/>
          <w:color w:val="auto"/>
          <w:highlight w:val="none"/>
        </w:rPr>
      </w:pPr>
    </w:p>
    <w:p w14:paraId="76C60BB6">
      <w:pPr>
        <w:autoSpaceDE w:val="0"/>
        <w:autoSpaceDN w:val="0"/>
        <w:adjustRightInd w:val="0"/>
        <w:spacing w:line="360" w:lineRule="auto"/>
        <w:jc w:val="center"/>
        <w:rPr>
          <w:rFonts w:hint="eastAsia" w:ascii="宋体" w:hAnsi="宋体" w:eastAsia="宋体" w:cs="宋体"/>
          <w:bCs/>
          <w:color w:val="auto"/>
          <w:spacing w:val="20"/>
          <w:sz w:val="44"/>
          <w:highlight w:val="none"/>
        </w:rPr>
      </w:pPr>
      <w:r>
        <w:rPr>
          <w:rFonts w:hint="eastAsia" w:ascii="宋体" w:hAnsi="宋体" w:eastAsia="宋体" w:cs="宋体"/>
          <w:bCs/>
          <w:color w:val="auto"/>
          <w:sz w:val="44"/>
          <w:highlight w:val="none"/>
        </w:rPr>
        <w:t>建 设 工 程 委 托 监 理 合 同</w:t>
      </w:r>
    </w:p>
    <w:p w14:paraId="1BFE84AE">
      <w:pPr>
        <w:autoSpaceDE w:val="0"/>
        <w:autoSpaceDN w:val="0"/>
        <w:adjustRightInd w:val="0"/>
        <w:spacing w:line="360" w:lineRule="auto"/>
        <w:rPr>
          <w:rFonts w:hint="eastAsia" w:ascii="宋体" w:hAnsi="宋体" w:eastAsia="宋体" w:cs="宋体"/>
          <w:color w:val="auto"/>
          <w:spacing w:val="20"/>
          <w:sz w:val="24"/>
          <w:highlight w:val="none"/>
        </w:rPr>
      </w:pPr>
    </w:p>
    <w:p w14:paraId="763E4397">
      <w:pPr>
        <w:autoSpaceDE w:val="0"/>
        <w:autoSpaceDN w:val="0"/>
        <w:adjustRightInd w:val="0"/>
        <w:spacing w:line="360" w:lineRule="auto"/>
        <w:rPr>
          <w:rFonts w:hint="eastAsia" w:ascii="宋体" w:hAnsi="宋体" w:eastAsia="宋体" w:cs="宋体"/>
          <w:color w:val="auto"/>
          <w:spacing w:val="20"/>
          <w:sz w:val="24"/>
          <w:highlight w:val="none"/>
        </w:rPr>
      </w:pPr>
    </w:p>
    <w:p w14:paraId="1DC63A0C">
      <w:pPr>
        <w:autoSpaceDE w:val="0"/>
        <w:autoSpaceDN w:val="0"/>
        <w:adjustRightInd w:val="0"/>
        <w:spacing w:line="360" w:lineRule="auto"/>
        <w:jc w:val="center"/>
        <w:rPr>
          <w:rFonts w:hint="eastAsia" w:ascii="宋体" w:hAnsi="宋体" w:eastAsia="宋体" w:cs="宋体"/>
          <w:color w:val="auto"/>
          <w:spacing w:val="20"/>
          <w:sz w:val="24"/>
          <w:highlight w:val="none"/>
        </w:rPr>
      </w:pPr>
    </w:p>
    <w:p w14:paraId="397B23FB">
      <w:pPr>
        <w:autoSpaceDE w:val="0"/>
        <w:autoSpaceDN w:val="0"/>
        <w:adjustRightInd w:val="0"/>
        <w:spacing w:line="360" w:lineRule="auto"/>
        <w:rPr>
          <w:rFonts w:hint="eastAsia" w:ascii="宋体" w:hAnsi="宋体" w:eastAsia="宋体" w:cs="宋体"/>
          <w:color w:val="auto"/>
          <w:spacing w:val="20"/>
          <w:sz w:val="24"/>
          <w:highlight w:val="none"/>
        </w:rPr>
      </w:pPr>
    </w:p>
    <w:p w14:paraId="6732B4F6">
      <w:pPr>
        <w:autoSpaceDE w:val="0"/>
        <w:autoSpaceDN w:val="0"/>
        <w:adjustRightInd w:val="0"/>
        <w:spacing w:line="360" w:lineRule="auto"/>
        <w:rPr>
          <w:rFonts w:hint="eastAsia" w:ascii="宋体" w:hAnsi="宋体" w:eastAsia="宋体" w:cs="宋体"/>
          <w:color w:val="auto"/>
          <w:spacing w:val="20"/>
          <w:sz w:val="24"/>
          <w:highlight w:val="none"/>
        </w:rPr>
      </w:pPr>
    </w:p>
    <w:p w14:paraId="71919F7C">
      <w:pPr>
        <w:autoSpaceDE w:val="0"/>
        <w:autoSpaceDN w:val="0"/>
        <w:adjustRightInd w:val="0"/>
        <w:spacing w:line="360" w:lineRule="auto"/>
        <w:rPr>
          <w:rFonts w:hint="eastAsia" w:ascii="宋体" w:hAnsi="宋体" w:eastAsia="宋体" w:cs="宋体"/>
          <w:color w:val="auto"/>
          <w:spacing w:val="20"/>
          <w:sz w:val="24"/>
          <w:highlight w:val="none"/>
        </w:rPr>
      </w:pPr>
    </w:p>
    <w:p w14:paraId="2A7E41EC">
      <w:pPr>
        <w:autoSpaceDE w:val="0"/>
        <w:autoSpaceDN w:val="0"/>
        <w:adjustRightInd w:val="0"/>
        <w:spacing w:line="360" w:lineRule="auto"/>
        <w:rPr>
          <w:rFonts w:hint="eastAsia" w:ascii="宋体" w:hAnsi="宋体" w:eastAsia="宋体" w:cs="宋体"/>
          <w:color w:val="auto"/>
          <w:spacing w:val="20"/>
          <w:sz w:val="24"/>
          <w:highlight w:val="none"/>
        </w:rPr>
      </w:pPr>
    </w:p>
    <w:p w14:paraId="622A8AC6">
      <w:pPr>
        <w:autoSpaceDE w:val="0"/>
        <w:autoSpaceDN w:val="0"/>
        <w:adjustRightInd w:val="0"/>
        <w:spacing w:line="360" w:lineRule="auto"/>
        <w:rPr>
          <w:rFonts w:hint="eastAsia" w:ascii="宋体" w:hAnsi="宋体" w:eastAsia="宋体" w:cs="宋体"/>
          <w:color w:val="auto"/>
          <w:spacing w:val="20"/>
          <w:sz w:val="24"/>
          <w:highlight w:val="none"/>
        </w:rPr>
      </w:pPr>
    </w:p>
    <w:p w14:paraId="4B56315F">
      <w:pPr>
        <w:spacing w:line="480" w:lineRule="auto"/>
        <w:ind w:left="2319" w:leftChars="590" w:hanging="1080" w:hangingChars="4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eastAsia="zh-CN"/>
        </w:rPr>
        <w:t>中共广州市天河区委党校及区人民武装部独立营院建设项目（周边道路建设工程）</w:t>
      </w:r>
      <w:r>
        <w:rPr>
          <w:rFonts w:hint="eastAsia" w:ascii="宋体" w:hAnsi="宋体" w:eastAsia="宋体" w:cs="宋体"/>
          <w:color w:val="auto"/>
          <w:sz w:val="24"/>
          <w:highlight w:val="none"/>
          <w:u w:val="single"/>
        </w:rPr>
        <w:t>监理</w:t>
      </w:r>
    </w:p>
    <w:p w14:paraId="0B392207">
      <w:pPr>
        <w:spacing w:line="480" w:lineRule="auto"/>
        <w:ind w:left="2319" w:leftChars="590" w:hanging="1080" w:hangingChars="4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工程地点：</w:t>
      </w:r>
      <w:r>
        <w:rPr>
          <w:rFonts w:hint="eastAsia" w:ascii="宋体" w:hAnsi="宋体" w:eastAsia="宋体" w:cs="宋体"/>
          <w:color w:val="auto"/>
          <w:sz w:val="24"/>
          <w:highlight w:val="none"/>
          <w:u w:val="single"/>
        </w:rPr>
        <w:t xml:space="preserve">广州市天河区  </w:t>
      </w:r>
    </w:p>
    <w:p w14:paraId="1D412DD3">
      <w:pPr>
        <w:spacing w:line="480" w:lineRule="auto"/>
        <w:ind w:left="2319" w:leftChars="590" w:hanging="1080" w:hangingChars="450"/>
        <w:rPr>
          <w:rFonts w:hint="eastAsia" w:ascii="宋体" w:hAnsi="宋体" w:eastAsia="宋体" w:cs="宋体"/>
          <w:color w:val="auto"/>
          <w:sz w:val="24"/>
          <w:highlight w:val="none"/>
        </w:rPr>
      </w:pPr>
      <w:r>
        <w:rPr>
          <w:rFonts w:hint="eastAsia" w:ascii="宋体" w:hAnsi="宋体" w:eastAsia="宋体" w:cs="宋体"/>
          <w:color w:val="auto"/>
          <w:sz w:val="24"/>
          <w:highlight w:val="none"/>
        </w:rPr>
        <w:t>委 托 人：</w:t>
      </w:r>
      <w:r>
        <w:rPr>
          <w:rFonts w:hint="eastAsia" w:ascii="宋体" w:hAnsi="宋体" w:eastAsia="宋体" w:cs="宋体"/>
          <w:color w:val="auto"/>
          <w:sz w:val="24"/>
          <w:highlight w:val="none"/>
          <w:u w:val="single"/>
        </w:rPr>
        <w:t>广州市天河区建设工程项目代建局</w:t>
      </w:r>
    </w:p>
    <w:p w14:paraId="72C892C3">
      <w:pPr>
        <w:spacing w:line="480" w:lineRule="auto"/>
        <w:ind w:left="2319" w:leftChars="590" w:hanging="1080" w:hangingChars="4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监 理 人：</w:t>
      </w:r>
      <w:r>
        <w:rPr>
          <w:rFonts w:hint="eastAsia" w:ascii="宋体" w:hAnsi="宋体" w:eastAsia="宋体" w:cs="宋体"/>
          <w:color w:val="auto"/>
          <w:sz w:val="24"/>
          <w:highlight w:val="none"/>
          <w:u w:val="single"/>
        </w:rPr>
        <w:t xml:space="preserve">                              </w:t>
      </w:r>
    </w:p>
    <w:p w14:paraId="2BE67FE8">
      <w:pPr>
        <w:autoSpaceDE w:val="0"/>
        <w:autoSpaceDN w:val="0"/>
        <w:adjustRightInd w:val="0"/>
        <w:spacing w:line="360" w:lineRule="auto"/>
        <w:rPr>
          <w:rFonts w:hint="eastAsia" w:ascii="宋体" w:hAnsi="宋体" w:eastAsia="宋体" w:cs="宋体"/>
          <w:color w:val="auto"/>
          <w:spacing w:val="20"/>
          <w:sz w:val="24"/>
          <w:highlight w:val="none"/>
        </w:rPr>
      </w:pPr>
    </w:p>
    <w:p w14:paraId="65ECFC0B">
      <w:pPr>
        <w:autoSpaceDE w:val="0"/>
        <w:autoSpaceDN w:val="0"/>
        <w:adjustRightInd w:val="0"/>
        <w:spacing w:line="360" w:lineRule="auto"/>
        <w:rPr>
          <w:rFonts w:hint="eastAsia" w:ascii="宋体" w:hAnsi="宋体" w:eastAsia="宋体" w:cs="宋体"/>
          <w:color w:val="auto"/>
          <w:spacing w:val="20"/>
          <w:sz w:val="24"/>
          <w:highlight w:val="none"/>
        </w:rPr>
      </w:pPr>
    </w:p>
    <w:p w14:paraId="3761B14D">
      <w:pPr>
        <w:autoSpaceDE w:val="0"/>
        <w:autoSpaceDN w:val="0"/>
        <w:adjustRightInd w:val="0"/>
        <w:spacing w:line="360" w:lineRule="auto"/>
        <w:rPr>
          <w:rFonts w:hint="eastAsia" w:ascii="宋体" w:hAnsi="宋体" w:eastAsia="宋体" w:cs="宋体"/>
          <w:color w:val="auto"/>
          <w:spacing w:val="20"/>
          <w:sz w:val="24"/>
          <w:highlight w:val="none"/>
        </w:rPr>
      </w:pPr>
    </w:p>
    <w:p w14:paraId="5536E25B">
      <w:pPr>
        <w:adjustRightInd w:val="0"/>
        <w:snapToGrid w:val="0"/>
        <w:spacing w:line="360" w:lineRule="auto"/>
        <w:ind w:right="11"/>
        <w:jc w:val="center"/>
        <w:rPr>
          <w:rFonts w:hint="eastAsia" w:ascii="宋体" w:hAnsi="宋体" w:eastAsia="宋体" w:cs="宋体"/>
          <w:b/>
          <w:snapToGrid w:val="0"/>
          <w:color w:val="auto"/>
          <w:kern w:val="0"/>
          <w:sz w:val="32"/>
          <w:szCs w:val="32"/>
          <w:highlight w:val="none"/>
        </w:rPr>
      </w:pPr>
      <w:r>
        <w:rPr>
          <w:rFonts w:hint="eastAsia" w:ascii="宋体" w:hAnsi="宋体" w:eastAsia="宋体" w:cs="宋体"/>
          <w:b/>
          <w:snapToGrid w:val="0"/>
          <w:color w:val="auto"/>
          <w:kern w:val="0"/>
          <w:sz w:val="32"/>
          <w:szCs w:val="32"/>
          <w:highlight w:val="none"/>
        </w:rPr>
        <w:br w:type="page"/>
      </w:r>
      <w:r>
        <w:rPr>
          <w:rFonts w:hint="eastAsia" w:ascii="宋体" w:hAnsi="宋体" w:eastAsia="宋体" w:cs="宋体"/>
          <w:b/>
          <w:snapToGrid w:val="0"/>
          <w:color w:val="auto"/>
          <w:kern w:val="0"/>
          <w:sz w:val="32"/>
          <w:szCs w:val="32"/>
          <w:highlight w:val="none"/>
        </w:rPr>
        <w:t>使 用 说 明</w:t>
      </w:r>
    </w:p>
    <w:p w14:paraId="4222FB34">
      <w:pPr>
        <w:adjustRightInd w:val="0"/>
        <w:snapToGrid w:val="0"/>
        <w:spacing w:line="360" w:lineRule="auto"/>
        <w:ind w:right="11"/>
        <w:rPr>
          <w:rFonts w:hint="eastAsia" w:ascii="宋体" w:hAnsi="宋体" w:eastAsia="宋体" w:cs="宋体"/>
          <w:snapToGrid w:val="0"/>
          <w:color w:val="auto"/>
          <w:kern w:val="0"/>
          <w:sz w:val="24"/>
          <w:highlight w:val="none"/>
        </w:rPr>
      </w:pPr>
    </w:p>
    <w:p w14:paraId="1DB68CB4">
      <w:pPr>
        <w:adjustRightInd w:val="0"/>
        <w:snapToGrid w:val="0"/>
        <w:spacing w:line="360" w:lineRule="auto"/>
        <w:ind w:right="11"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本合同范本根据广州市天河区建设工程项目代建局实际情况，以及参考《建设工程监理合同（示范文本）》（GF－2012－0202）编制，由《建设工程委托监理协议书》、《标准条件》、《专用条件》和《合同附件》四大部分组成。《建设工程委托监理协议书》中需要根据工程项目实际情况编写的内容按标准化模式设置可选项，采用“×”或“√”予以选择。合同中此部分内容，标注“×”的选项即为本合同不采用，标注“√”的选项为本合同采用。廉政合同作为本合同的附件，与合同正文一同签署、装订。</w:t>
      </w:r>
    </w:p>
    <w:p w14:paraId="66E7C30F">
      <w:pPr>
        <w:adjustRightInd w:val="0"/>
        <w:snapToGrid w:val="0"/>
        <w:spacing w:line="360" w:lineRule="auto"/>
        <w:ind w:right="11" w:firstLine="883" w:firstLineChars="200"/>
        <w:outlineLvl w:val="1"/>
        <w:rPr>
          <w:rFonts w:hint="eastAsia" w:ascii="宋体" w:hAnsi="宋体" w:eastAsia="宋体" w:cs="宋体"/>
          <w:b/>
          <w:snapToGrid w:val="0"/>
          <w:color w:val="auto"/>
          <w:kern w:val="0"/>
          <w:sz w:val="44"/>
          <w:szCs w:val="44"/>
          <w:highlight w:val="none"/>
        </w:rPr>
      </w:pPr>
      <w:r>
        <w:rPr>
          <w:rFonts w:hint="eastAsia" w:ascii="宋体" w:hAnsi="宋体" w:eastAsia="宋体" w:cs="宋体"/>
          <w:b/>
          <w:snapToGrid w:val="0"/>
          <w:color w:val="auto"/>
          <w:kern w:val="0"/>
          <w:sz w:val="44"/>
          <w:szCs w:val="44"/>
          <w:highlight w:val="none"/>
        </w:rPr>
        <w:br w:type="page"/>
      </w:r>
      <w:bookmarkStart w:id="183" w:name="_Toc2948"/>
      <w:bookmarkStart w:id="184" w:name="_Toc29530"/>
      <w:bookmarkStart w:id="185" w:name="_Toc24949"/>
      <w:bookmarkStart w:id="186" w:name="_Toc9908"/>
      <w:bookmarkStart w:id="187" w:name="_Toc7806"/>
      <w:bookmarkStart w:id="188" w:name="_Toc28742"/>
      <w:bookmarkStart w:id="189" w:name="_Toc11136"/>
      <w:bookmarkStart w:id="190" w:name="_Toc31355"/>
      <w:r>
        <w:rPr>
          <w:rFonts w:hint="eastAsia" w:ascii="宋体" w:hAnsi="宋体" w:eastAsia="宋体" w:cs="宋体"/>
          <w:b/>
          <w:snapToGrid w:val="0"/>
          <w:color w:val="auto"/>
          <w:kern w:val="0"/>
          <w:sz w:val="44"/>
          <w:szCs w:val="44"/>
          <w:highlight w:val="none"/>
        </w:rPr>
        <w:t>第一部分  建设工程委托监理协议书</w:t>
      </w:r>
      <w:bookmarkEnd w:id="183"/>
      <w:bookmarkEnd w:id="184"/>
      <w:bookmarkEnd w:id="185"/>
      <w:bookmarkEnd w:id="186"/>
      <w:bookmarkEnd w:id="187"/>
      <w:bookmarkEnd w:id="188"/>
      <w:bookmarkEnd w:id="189"/>
      <w:bookmarkEnd w:id="190"/>
    </w:p>
    <w:p w14:paraId="35302F71">
      <w:pPr>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广州市天河区建设工程项目代建局（以下称委托人）与</w:t>
      </w:r>
      <w:r>
        <w:rPr>
          <w:rFonts w:hint="eastAsia" w:ascii="宋体" w:hAnsi="宋体" w:eastAsia="宋体" w:cs="宋体"/>
          <w:color w:val="auto"/>
          <w:sz w:val="24"/>
          <w:highlight w:val="none"/>
          <w:u w:val="single"/>
        </w:rPr>
        <w:t xml:space="preserve">               </w:t>
      </w:r>
      <w:r>
        <w:rPr>
          <w:rFonts w:hint="eastAsia" w:ascii="宋体" w:hAnsi="宋体" w:eastAsia="宋体" w:cs="宋体"/>
          <w:snapToGrid w:val="0"/>
          <w:color w:val="auto"/>
          <w:kern w:val="0"/>
          <w:szCs w:val="21"/>
          <w:highlight w:val="none"/>
        </w:rPr>
        <w:t>（以下称监理人）依照《中华人民共和国民法典》、《中华人民共和国建筑法》和他有关法律、行政法规、部门规章、地方性法规、规章，以及国家和广东省、广州市、天河区的有关文件，遵循平等、自愿、公平和诚实信用的原则，双方就委托人委托监理人实施</w:t>
      </w:r>
      <w:r>
        <w:rPr>
          <w:rFonts w:hint="eastAsia" w:ascii="宋体" w:hAnsi="宋体" w:eastAsia="宋体" w:cs="宋体"/>
          <w:color w:val="auto"/>
          <w:szCs w:val="21"/>
          <w:highlight w:val="none"/>
          <w:u w:val="single"/>
          <w:lang w:eastAsia="zh-CN"/>
        </w:rPr>
        <w:t>中共广州市天河区委党校及区人民武装部独立营院建设项目（周边道路建设工程）</w:t>
      </w:r>
      <w:r>
        <w:rPr>
          <w:rFonts w:hint="eastAsia" w:ascii="宋体" w:hAnsi="宋体" w:eastAsia="宋体" w:cs="宋体"/>
          <w:color w:val="auto"/>
          <w:szCs w:val="21"/>
          <w:highlight w:val="none"/>
          <w:u w:val="single"/>
        </w:rPr>
        <w:t>监理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项目（以下简称“本项目”）</w:t>
      </w:r>
      <w:r>
        <w:rPr>
          <w:rFonts w:hint="eastAsia" w:ascii="宋体" w:hAnsi="宋体" w:eastAsia="宋体" w:cs="宋体"/>
          <w:snapToGrid w:val="0"/>
          <w:color w:val="auto"/>
          <w:kern w:val="0"/>
          <w:szCs w:val="21"/>
          <w:highlight w:val="none"/>
        </w:rPr>
        <w:t>之事宜协商达成一致，订立本合同，以资双方共同遵守。</w:t>
      </w:r>
    </w:p>
    <w:p w14:paraId="72FD05AD">
      <w:pPr>
        <w:adjustRightInd w:val="0"/>
        <w:snapToGrid w:val="0"/>
        <w:spacing w:line="360" w:lineRule="auto"/>
        <w:ind w:firstLine="422" w:firstLineChars="200"/>
        <w:rPr>
          <w:rFonts w:hint="eastAsia" w:ascii="宋体" w:hAnsi="宋体" w:eastAsia="宋体" w:cs="宋体"/>
          <w:b/>
          <w:bCs/>
          <w:snapToGrid w:val="0"/>
          <w:color w:val="auto"/>
          <w:kern w:val="0"/>
          <w:szCs w:val="21"/>
          <w:highlight w:val="none"/>
        </w:rPr>
      </w:pPr>
      <w:r>
        <w:rPr>
          <w:rFonts w:hint="eastAsia" w:ascii="宋体" w:hAnsi="宋体" w:eastAsia="宋体" w:cs="宋体"/>
          <w:b/>
          <w:bCs/>
          <w:snapToGrid w:val="0"/>
          <w:color w:val="auto"/>
          <w:kern w:val="0"/>
          <w:szCs w:val="21"/>
          <w:highlight w:val="none"/>
        </w:rPr>
        <w:t>一、</w:t>
      </w:r>
      <w:r>
        <w:rPr>
          <w:rFonts w:hint="eastAsia" w:ascii="宋体" w:hAnsi="宋体" w:eastAsia="宋体" w:cs="宋体"/>
          <w:snapToGrid w:val="0"/>
          <w:color w:val="auto"/>
          <w:kern w:val="0"/>
          <w:szCs w:val="21"/>
          <w:highlight w:val="none"/>
        </w:rPr>
        <w:t>监理工程概况</w:t>
      </w:r>
    </w:p>
    <w:p w14:paraId="592560FC">
      <w:pPr>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（1）工程名称：</w:t>
      </w:r>
      <w:r>
        <w:rPr>
          <w:rFonts w:hint="eastAsia" w:ascii="宋体" w:hAnsi="宋体" w:eastAsia="宋体" w:cs="宋体"/>
          <w:color w:val="auto"/>
          <w:szCs w:val="21"/>
          <w:highlight w:val="none"/>
          <w:u w:val="single"/>
          <w:lang w:eastAsia="zh-CN"/>
        </w:rPr>
        <w:t>中共广州市天河区委党校及区人民武装部独立营院建设项目（周边道路建设工程）</w:t>
      </w:r>
      <w:r>
        <w:rPr>
          <w:rFonts w:hint="eastAsia" w:ascii="宋体" w:hAnsi="宋体" w:eastAsia="宋体" w:cs="宋体"/>
          <w:color w:val="auto"/>
          <w:szCs w:val="21"/>
          <w:highlight w:val="none"/>
          <w:u w:val="single"/>
        </w:rPr>
        <w:t xml:space="preserve">监理（以下简称“本合同工程”或“本工程”） </w:t>
      </w:r>
    </w:p>
    <w:p w14:paraId="78B08267">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snapToGrid w:val="0"/>
          <w:color w:val="auto"/>
          <w:kern w:val="0"/>
          <w:szCs w:val="21"/>
          <w:highlight w:val="none"/>
        </w:rPr>
        <w:t>（2）工程地点：</w:t>
      </w:r>
      <w:r>
        <w:rPr>
          <w:rFonts w:hint="eastAsia" w:ascii="宋体" w:hAnsi="宋体" w:eastAsia="宋体" w:cs="宋体"/>
          <w:snapToGrid w:val="0"/>
          <w:color w:val="auto"/>
          <w:kern w:val="0"/>
          <w:szCs w:val="21"/>
          <w:highlight w:val="none"/>
          <w:u w:val="single"/>
        </w:rPr>
        <w:t>广州市天河区珠吉街道珠吉路以东，执信三路以南</w:t>
      </w:r>
      <w:r>
        <w:rPr>
          <w:rFonts w:hint="eastAsia" w:ascii="宋体" w:hAnsi="宋体" w:eastAsia="宋体" w:cs="宋体"/>
          <w:color w:val="auto"/>
          <w:szCs w:val="21"/>
          <w:highlight w:val="none"/>
          <w:u w:val="single"/>
        </w:rPr>
        <w:t>。</w:t>
      </w:r>
    </w:p>
    <w:p w14:paraId="577B99D7">
      <w:pPr>
        <w:tabs>
          <w:tab w:val="left" w:pos="7513"/>
        </w:tabs>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snapToGrid w:val="0"/>
          <w:color w:val="auto"/>
          <w:kern w:val="0"/>
          <w:szCs w:val="21"/>
          <w:highlight w:val="none"/>
        </w:rPr>
        <w:t>（3）工程规模：</w:t>
      </w:r>
      <w:r>
        <w:rPr>
          <w:rFonts w:hint="eastAsia" w:ascii="宋体" w:hAnsi="宋体" w:eastAsia="宋体" w:cs="宋体"/>
          <w:color w:val="auto"/>
          <w:sz w:val="21"/>
          <w:szCs w:val="21"/>
          <w:highlight w:val="none"/>
          <w:u w:val="single"/>
        </w:rPr>
        <w:t>项目涉及</w:t>
      </w:r>
      <w:r>
        <w:rPr>
          <w:rFonts w:hint="eastAsia" w:ascii="宋体" w:hAnsi="宋体" w:eastAsia="宋体" w:cs="宋体"/>
          <w:color w:val="auto"/>
          <w:sz w:val="21"/>
          <w:szCs w:val="21"/>
          <w:highlight w:val="none"/>
          <w:u w:val="single"/>
          <w:lang w:eastAsia="zh-CN"/>
        </w:rPr>
        <w:t>3</w:t>
      </w:r>
      <w:r>
        <w:rPr>
          <w:rFonts w:hint="eastAsia" w:ascii="宋体" w:hAnsi="宋体" w:eastAsia="宋体" w:cs="宋体"/>
          <w:color w:val="auto"/>
          <w:sz w:val="21"/>
          <w:szCs w:val="21"/>
          <w:highlight w:val="none"/>
          <w:u w:val="single"/>
        </w:rPr>
        <w:t>条</w:t>
      </w:r>
      <w:r>
        <w:rPr>
          <w:rFonts w:hint="eastAsia" w:ascii="宋体" w:hAnsi="宋体" w:eastAsia="宋体" w:cs="宋体"/>
          <w:color w:val="auto"/>
          <w:sz w:val="21"/>
          <w:szCs w:val="21"/>
          <w:highlight w:val="none"/>
          <w:u w:val="single"/>
          <w:lang w:val="en-US" w:eastAsia="zh-CN"/>
        </w:rPr>
        <w:t>城市支路，总长约487米</w:t>
      </w:r>
      <w:r>
        <w:rPr>
          <w:rFonts w:hint="eastAsia" w:ascii="宋体" w:hAnsi="宋体" w:eastAsia="宋体" w:cs="宋体"/>
          <w:color w:val="auto"/>
          <w:sz w:val="21"/>
          <w:szCs w:val="21"/>
          <w:highlight w:val="none"/>
          <w:u w:val="single"/>
        </w:rPr>
        <w:t>。其中：</w:t>
      </w:r>
    </w:p>
    <w:p w14:paraId="4B6006B6">
      <w:pPr>
        <w:shd w:val="clear" w:color="auto" w:fill="FFFFFF"/>
        <w:adjustRightInd w:val="0"/>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（一）</w:t>
      </w:r>
      <w:r>
        <w:rPr>
          <w:rFonts w:hint="eastAsia" w:ascii="宋体" w:hAnsi="宋体" w:eastAsia="宋体" w:cs="宋体"/>
          <w:color w:val="auto"/>
          <w:sz w:val="21"/>
          <w:szCs w:val="21"/>
          <w:highlight w:val="none"/>
          <w:u w:val="single"/>
          <w:lang w:val="en-US" w:eastAsia="zh-CN"/>
        </w:rPr>
        <w:t>规划纵一路南起规划横一路，北止执信三路，路线总长约174米，道路红线宽度为15米，双向二车道，设计时速为2</w:t>
      </w:r>
      <w:r>
        <w:rPr>
          <w:rFonts w:hint="eastAsia" w:ascii="宋体" w:hAnsi="宋体" w:eastAsia="宋体" w:cs="宋体"/>
          <w:color w:val="auto"/>
          <w:sz w:val="21"/>
          <w:szCs w:val="21"/>
          <w:highlight w:val="none"/>
          <w:u w:val="single"/>
        </w:rPr>
        <w:t>0km/h。</w:t>
      </w:r>
    </w:p>
    <w:p w14:paraId="033BA395">
      <w:pPr>
        <w:shd w:val="clear" w:color="auto" w:fill="FFFFFF"/>
        <w:adjustRightInd w:val="0"/>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（二）</w:t>
      </w:r>
      <w:r>
        <w:rPr>
          <w:rFonts w:hint="eastAsia" w:ascii="宋体" w:hAnsi="宋体" w:eastAsia="宋体" w:cs="宋体"/>
          <w:color w:val="auto"/>
          <w:sz w:val="21"/>
          <w:szCs w:val="21"/>
          <w:highlight w:val="none"/>
          <w:u w:val="single"/>
          <w:lang w:val="en-US" w:eastAsia="zh-CN"/>
        </w:rPr>
        <w:t>规划纵二路南起规划横一路，北止执信三路，路线总长约159米，道路红线宽度为20米（其中东侧4米宽人行道为不属于本项目建设范围），双向二车道，设计时速为2</w:t>
      </w:r>
      <w:r>
        <w:rPr>
          <w:rFonts w:hint="eastAsia" w:ascii="宋体" w:hAnsi="宋体" w:eastAsia="宋体" w:cs="宋体"/>
          <w:color w:val="auto"/>
          <w:sz w:val="21"/>
          <w:szCs w:val="21"/>
          <w:highlight w:val="none"/>
          <w:u w:val="single"/>
        </w:rPr>
        <w:t>0km/h。</w:t>
      </w:r>
    </w:p>
    <w:p w14:paraId="63A5F70F">
      <w:pPr>
        <w:shd w:val="clear" w:color="auto" w:fill="FFFFFF"/>
        <w:adjustRightInd w:val="0"/>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（三）</w:t>
      </w:r>
      <w:r>
        <w:rPr>
          <w:rFonts w:hint="eastAsia" w:ascii="宋体" w:hAnsi="宋体" w:eastAsia="宋体" w:cs="宋体"/>
          <w:color w:val="auto"/>
          <w:sz w:val="21"/>
          <w:szCs w:val="21"/>
          <w:highlight w:val="none"/>
          <w:u w:val="single"/>
          <w:lang w:val="en-US" w:eastAsia="zh-CN"/>
        </w:rPr>
        <w:t>规划横一路东接文津花园配建道路规划横一路，西止规划纵一路路口，路线总长约154米，道路红线宽度为20米，双向二车道，设计时速为2</w:t>
      </w:r>
      <w:r>
        <w:rPr>
          <w:rFonts w:hint="eastAsia" w:ascii="宋体" w:hAnsi="宋体" w:eastAsia="宋体" w:cs="宋体"/>
          <w:color w:val="auto"/>
          <w:sz w:val="21"/>
          <w:szCs w:val="21"/>
          <w:highlight w:val="none"/>
          <w:u w:val="single"/>
        </w:rPr>
        <w:t>0km/h。</w:t>
      </w:r>
    </w:p>
    <w:p w14:paraId="6E80A4C9">
      <w:pPr>
        <w:shd w:val="clear" w:color="auto" w:fill="FFFFFF"/>
        <w:adjustRightInd w:val="0"/>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建设内容主要为道路工程、交通工程、管线综合工程、</w:t>
      </w:r>
      <w:r>
        <w:rPr>
          <w:rFonts w:hint="eastAsia" w:ascii="宋体" w:hAnsi="宋体" w:eastAsia="宋体" w:cs="宋体"/>
          <w:color w:val="auto"/>
          <w:sz w:val="21"/>
          <w:szCs w:val="21"/>
          <w:highlight w:val="none"/>
          <w:u w:val="single"/>
          <w:lang w:val="en-US" w:eastAsia="zh-CN"/>
        </w:rPr>
        <w:t>给</w:t>
      </w:r>
      <w:r>
        <w:rPr>
          <w:rFonts w:hint="eastAsia" w:ascii="宋体" w:hAnsi="宋体" w:eastAsia="宋体" w:cs="宋体"/>
          <w:color w:val="auto"/>
          <w:sz w:val="21"/>
          <w:szCs w:val="21"/>
          <w:highlight w:val="none"/>
          <w:u w:val="single"/>
        </w:rPr>
        <w:t>排水工程、</w:t>
      </w:r>
      <w:r>
        <w:rPr>
          <w:rFonts w:hint="eastAsia" w:ascii="宋体" w:hAnsi="宋体" w:eastAsia="宋体" w:cs="宋体"/>
          <w:color w:val="auto"/>
          <w:sz w:val="21"/>
          <w:szCs w:val="21"/>
          <w:highlight w:val="none"/>
          <w:u w:val="single"/>
          <w:lang w:eastAsia="zh-CN"/>
        </w:rPr>
        <w:t>电力管沟工程</w:t>
      </w:r>
      <w:r>
        <w:rPr>
          <w:rFonts w:hint="eastAsia" w:ascii="宋体" w:hAnsi="宋体" w:eastAsia="宋体" w:cs="宋体"/>
          <w:color w:val="auto"/>
          <w:sz w:val="21"/>
          <w:szCs w:val="21"/>
          <w:highlight w:val="none"/>
          <w:u w:val="single"/>
        </w:rPr>
        <w:t>、照明工程、绿化工程等。</w:t>
      </w:r>
    </w:p>
    <w:p w14:paraId="52A80B38">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u w:val="single"/>
        </w:rPr>
        <w:t>本次招标的排水工程雨水管径最大为</w:t>
      </w:r>
      <w:r>
        <w:rPr>
          <w:rFonts w:hint="eastAsia" w:ascii="宋体" w:hAnsi="宋体" w:eastAsia="宋体" w:cs="宋体"/>
          <w:color w:val="auto"/>
          <w:sz w:val="21"/>
          <w:szCs w:val="21"/>
          <w:highlight w:val="none"/>
          <w:u w:val="single"/>
          <w:lang w:eastAsia="zh-CN"/>
        </w:rPr>
        <w:t>8</w:t>
      </w:r>
      <w:r>
        <w:rPr>
          <w:rFonts w:hint="eastAsia" w:ascii="宋体" w:hAnsi="宋体" w:eastAsia="宋体" w:cs="宋体"/>
          <w:color w:val="auto"/>
          <w:sz w:val="21"/>
          <w:szCs w:val="21"/>
          <w:highlight w:val="none"/>
          <w:u w:val="single"/>
        </w:rPr>
        <w:t>00mm。</w:t>
      </w:r>
    </w:p>
    <w:p w14:paraId="1D80B81F">
      <w:pPr>
        <w:adjustRightInd w:val="0"/>
        <w:snapToGrid w:val="0"/>
        <w:spacing w:line="360" w:lineRule="auto"/>
        <w:ind w:firstLine="420" w:firstLineChars="200"/>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（4）工程总投资：</w:t>
      </w:r>
      <w:r>
        <w:rPr>
          <w:rFonts w:hint="eastAsia" w:ascii="宋体" w:hAnsi="宋体" w:eastAsia="宋体" w:cs="宋体"/>
          <w:snapToGrid w:val="0"/>
          <w:color w:val="auto"/>
          <w:kern w:val="0"/>
          <w:szCs w:val="21"/>
          <w:highlight w:val="none"/>
          <w:lang w:eastAsia="zh-CN"/>
        </w:rPr>
        <w:t>项目总投资约34957万元，其中工程费用约28026万元（</w:t>
      </w:r>
      <w:r>
        <w:rPr>
          <w:rFonts w:hint="eastAsia" w:ascii="宋体" w:hAnsi="宋体" w:eastAsia="宋体" w:cs="宋体"/>
          <w:snapToGrid w:val="0"/>
          <w:color w:val="auto"/>
          <w:kern w:val="0"/>
          <w:szCs w:val="21"/>
          <w:highlight w:val="none"/>
          <w:lang w:val="en-US" w:eastAsia="zh-CN"/>
        </w:rPr>
        <w:t>房屋建筑工程部分26310.85万元，配套市政道路部分1714.95万元</w:t>
      </w:r>
      <w:r>
        <w:rPr>
          <w:rFonts w:hint="eastAsia" w:ascii="宋体" w:hAnsi="宋体" w:eastAsia="宋体" w:cs="宋体"/>
          <w:snapToGrid w:val="0"/>
          <w:color w:val="auto"/>
          <w:kern w:val="0"/>
          <w:szCs w:val="21"/>
          <w:highlight w:val="none"/>
          <w:lang w:eastAsia="zh-CN"/>
        </w:rPr>
        <w:t>），工程建设其他费用约5980万元，基本预备费约951万元</w:t>
      </w:r>
      <w:r>
        <w:rPr>
          <w:rFonts w:hint="eastAsia" w:ascii="宋体" w:hAnsi="宋体" w:eastAsia="宋体" w:cs="宋体"/>
          <w:snapToGrid w:val="0"/>
          <w:color w:val="auto"/>
          <w:kern w:val="0"/>
          <w:szCs w:val="21"/>
          <w:highlight w:val="none"/>
        </w:rPr>
        <w:t>。资金来源为天河区财政统筹资金。</w:t>
      </w:r>
    </w:p>
    <w:p w14:paraId="4E49CD16">
      <w:pPr>
        <w:adjustRightInd w:val="0"/>
        <w:snapToGrid w:val="0"/>
        <w:spacing w:line="360" w:lineRule="auto"/>
        <w:ind w:firstLine="420" w:firstLineChars="200"/>
        <w:rPr>
          <w:rFonts w:hint="eastAsia" w:ascii="宋体" w:hAnsi="宋体" w:eastAsia="宋体" w:cs="宋体"/>
          <w:bCs/>
          <w:snapToGrid w:val="0"/>
          <w:color w:val="auto"/>
          <w:kern w:val="0"/>
          <w:szCs w:val="21"/>
          <w:highlight w:val="none"/>
        </w:rPr>
      </w:pPr>
      <w:r>
        <w:rPr>
          <w:rFonts w:hint="eastAsia" w:ascii="宋体" w:hAnsi="宋体" w:eastAsia="宋体" w:cs="宋体"/>
          <w:snapToGrid w:val="0"/>
          <w:color w:val="auto"/>
          <w:kern w:val="0"/>
          <w:szCs w:val="21"/>
          <w:highlight w:val="none"/>
        </w:rPr>
        <w:t>（5）质量标准：</w:t>
      </w:r>
      <w:r>
        <w:rPr>
          <w:rFonts w:hint="eastAsia" w:ascii="宋体" w:hAnsi="宋体" w:eastAsia="宋体" w:cs="宋体"/>
          <w:bCs/>
          <w:snapToGrid w:val="0"/>
          <w:color w:val="auto"/>
          <w:kern w:val="0"/>
          <w:szCs w:val="21"/>
          <w:highlight w:val="none"/>
        </w:rPr>
        <w:t>达到工程施工质量验收规范合格标准及国家现行相关专业有关施工质量验收规范标准，一次验收合格，与施工单位承诺的质量目标一致，且：</w:t>
      </w:r>
    </w:p>
    <w:p w14:paraId="0AC3FFAA">
      <w:pPr>
        <w:adjustRightInd w:val="0"/>
        <w:snapToGrid w:val="0"/>
        <w:spacing w:line="360" w:lineRule="auto"/>
        <w:ind w:right="11" w:firstLine="420" w:firstLineChars="200"/>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  1）争创广州市优良样板工程。</w:t>
      </w:r>
    </w:p>
    <w:p w14:paraId="0EA757E4">
      <w:pPr>
        <w:adjustRightInd w:val="0"/>
        <w:snapToGrid w:val="0"/>
        <w:spacing w:line="360" w:lineRule="auto"/>
        <w:ind w:right="11" w:firstLine="420" w:firstLineChars="200"/>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  2）确保广州市优良样板工程，争创广东省优良样板工程。</w:t>
      </w:r>
    </w:p>
    <w:p w14:paraId="25EBC70B">
      <w:pPr>
        <w:adjustRightInd w:val="0"/>
        <w:snapToGrid w:val="0"/>
        <w:spacing w:line="360" w:lineRule="auto"/>
        <w:ind w:right="11" w:firstLine="420" w:firstLineChars="200"/>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  3）确保广东省优良样板工程，争创国家优质工程。</w:t>
      </w:r>
    </w:p>
    <w:p w14:paraId="1A6EC340">
      <w:pPr>
        <w:adjustRightInd w:val="0"/>
        <w:snapToGrid w:val="0"/>
        <w:spacing w:line="360" w:lineRule="auto"/>
        <w:ind w:firstLine="420" w:firstLineChars="200"/>
        <w:rPr>
          <w:rFonts w:hint="eastAsia" w:ascii="宋体" w:hAnsi="宋体" w:eastAsia="宋体" w:cs="宋体"/>
          <w:snapToGrid w:val="0"/>
          <w:color w:val="auto"/>
          <w:kern w:val="0"/>
          <w:szCs w:val="21"/>
          <w:highlight w:val="none"/>
          <w:lang w:val="zh-CN"/>
        </w:rPr>
      </w:pPr>
      <w:r>
        <w:rPr>
          <w:rFonts w:hint="eastAsia" w:ascii="宋体" w:hAnsi="宋体" w:eastAsia="宋体" w:cs="宋体"/>
          <w:bCs/>
          <w:snapToGrid w:val="0"/>
          <w:color w:val="auto"/>
          <w:kern w:val="0"/>
          <w:szCs w:val="21"/>
          <w:highlight w:val="none"/>
        </w:rPr>
        <w:t>☑  4）其他</w:t>
      </w:r>
      <w:r>
        <w:rPr>
          <w:rFonts w:hint="eastAsia" w:ascii="宋体" w:hAnsi="宋体" w:eastAsia="宋体" w:cs="宋体"/>
          <w:snapToGrid w:val="0"/>
          <w:color w:val="auto"/>
          <w:kern w:val="0"/>
          <w:szCs w:val="21"/>
          <w:highlight w:val="none"/>
          <w:lang w:val="zh-CN"/>
        </w:rPr>
        <w:t>：</w:t>
      </w:r>
      <w:r>
        <w:rPr>
          <w:rFonts w:hint="eastAsia" w:ascii="宋体" w:hAnsi="宋体" w:eastAsia="宋体" w:cs="宋体"/>
          <w:snapToGrid w:val="0"/>
          <w:color w:val="auto"/>
          <w:kern w:val="0"/>
          <w:szCs w:val="21"/>
          <w:highlight w:val="none"/>
          <w:u w:val="single"/>
          <w:lang w:val="zh-CN"/>
        </w:rPr>
        <w:t xml:space="preserve">设计质量须满足国家相关规范和合同要求 </w:t>
      </w:r>
      <w:r>
        <w:rPr>
          <w:rFonts w:hint="eastAsia" w:ascii="宋体" w:hAnsi="宋体" w:eastAsia="宋体" w:cs="宋体"/>
          <w:snapToGrid w:val="0"/>
          <w:color w:val="auto"/>
          <w:kern w:val="0"/>
          <w:szCs w:val="21"/>
          <w:highlight w:val="none"/>
          <w:lang w:val="zh-CN"/>
        </w:rPr>
        <w:t>。</w:t>
      </w:r>
    </w:p>
    <w:p w14:paraId="1D04FF5D">
      <w:pPr>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（6）合同工期：监理服务期自监理人收到中标通知书或签订监理合同（以时间最早发生的为准）之日起，至</w:t>
      </w:r>
      <w:r>
        <w:rPr>
          <w:rFonts w:hint="eastAsia" w:ascii="宋体" w:hAnsi="宋体" w:eastAsia="宋体" w:cs="宋体"/>
          <w:snapToGrid w:val="0"/>
          <w:color w:val="auto"/>
          <w:kern w:val="0"/>
          <w:szCs w:val="21"/>
          <w:highlight w:val="none"/>
          <w:lang w:eastAsia="zh-CN"/>
        </w:rPr>
        <w:t>中共广州市天河区委党校及区人民武装部独立营院建设项目（周边道路建设工程）</w:t>
      </w:r>
      <w:r>
        <w:rPr>
          <w:rFonts w:hint="eastAsia" w:ascii="宋体" w:hAnsi="宋体" w:eastAsia="宋体" w:cs="宋体"/>
          <w:snapToGrid w:val="0"/>
          <w:color w:val="auto"/>
          <w:kern w:val="0"/>
          <w:szCs w:val="21"/>
          <w:highlight w:val="none"/>
        </w:rPr>
        <w:t>工程保修期结束且工程结算经政府终审部门审定之日止。</w:t>
      </w:r>
    </w:p>
    <w:p w14:paraId="2EF522C1">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（7）投资控制目标：</w:t>
      </w:r>
      <w:r>
        <w:rPr>
          <w:rFonts w:hint="eastAsia" w:ascii="宋体" w:hAnsi="宋体" w:eastAsia="宋体" w:cs="宋体"/>
          <w:bCs/>
          <w:snapToGrid w:val="0"/>
          <w:color w:val="auto"/>
          <w:szCs w:val="21"/>
          <w:highlight w:val="none"/>
        </w:rPr>
        <w:t xml:space="preserve">□ </w:t>
      </w:r>
      <w:r>
        <w:rPr>
          <w:rFonts w:hint="eastAsia" w:ascii="宋体" w:hAnsi="宋体" w:eastAsia="宋体" w:cs="宋体"/>
          <w:snapToGrid w:val="0"/>
          <w:color w:val="auto"/>
          <w:sz w:val="21"/>
          <w:szCs w:val="21"/>
          <w:highlight w:val="none"/>
        </w:rPr>
        <w:t>设计和概预算阶段协助委托人做好按立项控制概算等投资控制工作。</w:t>
      </w:r>
      <w:r>
        <w:rPr>
          <w:rFonts w:hint="eastAsia" w:ascii="宋体" w:hAnsi="宋体" w:eastAsia="宋体" w:cs="宋体"/>
          <w:bCs/>
          <w:snapToGrid w:val="0"/>
          <w:color w:val="auto"/>
          <w:sz w:val="21"/>
          <w:szCs w:val="21"/>
          <w:highlight w:val="none"/>
        </w:rPr>
        <w:t>☑</w:t>
      </w:r>
      <w:r>
        <w:rPr>
          <w:rFonts w:hint="eastAsia" w:ascii="宋体" w:hAnsi="宋体" w:eastAsia="宋体" w:cs="宋体"/>
          <w:snapToGrid w:val="0"/>
          <w:color w:val="auto"/>
          <w:sz w:val="21"/>
          <w:szCs w:val="21"/>
          <w:highlight w:val="none"/>
        </w:rPr>
        <w:t>施工阶段所监理项目的结算的建安工程费不超过该项目概算批复中对应的建安工程费。</w:t>
      </w:r>
    </w:p>
    <w:p w14:paraId="457BC6D8">
      <w:pPr>
        <w:adjustRightInd w:val="0"/>
        <w:snapToGrid w:val="0"/>
        <w:spacing w:line="360" w:lineRule="auto"/>
        <w:ind w:firstLine="422" w:firstLineChars="200"/>
        <w:rPr>
          <w:rFonts w:hint="eastAsia" w:ascii="宋体" w:hAnsi="宋体" w:eastAsia="宋体" w:cs="宋体"/>
          <w:b/>
          <w:bCs/>
          <w:snapToGrid w:val="0"/>
          <w:color w:val="auto"/>
          <w:kern w:val="0"/>
          <w:szCs w:val="21"/>
          <w:highlight w:val="none"/>
        </w:rPr>
      </w:pPr>
      <w:r>
        <w:rPr>
          <w:rFonts w:hint="eastAsia" w:ascii="宋体" w:hAnsi="宋体" w:eastAsia="宋体" w:cs="宋体"/>
          <w:b/>
          <w:bCs/>
          <w:snapToGrid w:val="0"/>
          <w:color w:val="auto"/>
          <w:kern w:val="0"/>
          <w:szCs w:val="21"/>
          <w:highlight w:val="none"/>
        </w:rPr>
        <w:t>二、</w:t>
      </w:r>
      <w:r>
        <w:rPr>
          <w:rFonts w:hint="eastAsia" w:ascii="宋体" w:hAnsi="宋体" w:eastAsia="宋体" w:cs="宋体"/>
          <w:snapToGrid w:val="0"/>
          <w:color w:val="auto"/>
          <w:kern w:val="0"/>
          <w:szCs w:val="21"/>
          <w:highlight w:val="none"/>
        </w:rPr>
        <w:t>监理服务范围及工作内容</w:t>
      </w:r>
    </w:p>
    <w:p w14:paraId="01565D88">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负责本项目立项（含可研）范围内所有工程内容前期阶段（如有）、施工准备阶段（包含施工临时用水（如有）、施工临时用电（如有）等）、施工阶段(包含道路工程、交通工程、管线综合工程、</w:t>
      </w:r>
      <w:r>
        <w:rPr>
          <w:rFonts w:hint="eastAsia" w:ascii="宋体" w:hAnsi="宋体" w:eastAsia="宋体" w:cs="宋体"/>
          <w:color w:val="auto"/>
          <w:sz w:val="21"/>
          <w:szCs w:val="21"/>
          <w:highlight w:val="none"/>
          <w:u w:val="single"/>
          <w:lang w:val="en-US" w:eastAsia="zh-CN"/>
        </w:rPr>
        <w:t>给</w:t>
      </w:r>
      <w:r>
        <w:rPr>
          <w:rFonts w:hint="eastAsia" w:ascii="宋体" w:hAnsi="宋体" w:eastAsia="宋体" w:cs="宋体"/>
          <w:color w:val="auto"/>
          <w:sz w:val="21"/>
          <w:szCs w:val="21"/>
          <w:highlight w:val="none"/>
          <w:u w:val="single"/>
        </w:rPr>
        <w:t>排水工程、</w:t>
      </w:r>
      <w:r>
        <w:rPr>
          <w:rFonts w:hint="eastAsia" w:ascii="宋体" w:hAnsi="宋体" w:eastAsia="宋体" w:cs="宋体"/>
          <w:color w:val="auto"/>
          <w:sz w:val="21"/>
          <w:szCs w:val="21"/>
          <w:highlight w:val="none"/>
          <w:u w:val="single"/>
          <w:lang w:eastAsia="zh-CN"/>
        </w:rPr>
        <w:t>电力管沟工程</w:t>
      </w:r>
      <w:r>
        <w:rPr>
          <w:rFonts w:hint="eastAsia" w:ascii="宋体" w:hAnsi="宋体" w:eastAsia="宋体" w:cs="宋体"/>
          <w:color w:val="auto"/>
          <w:sz w:val="21"/>
          <w:szCs w:val="21"/>
          <w:highlight w:val="none"/>
          <w:u w:val="single"/>
        </w:rPr>
        <w:t>、照明工程、绿化工程等)、工程收尾阶段（包括竣工验收、整改、工程移交及工程结算）及工程质量保修期阶段的质量控制，安全生产监督管理、投资控制、进度控制、合同管理、信息收集管理、组织协调、工程创优（</w:t>
      </w:r>
      <w:bookmarkStart w:id="538" w:name="_GoBack"/>
      <w:r>
        <w:rPr>
          <w:rFonts w:hint="eastAsia" w:ascii="宋体" w:hAnsi="宋体" w:eastAsia="宋体" w:cs="宋体"/>
          <w:color w:val="auto"/>
          <w:sz w:val="21"/>
          <w:szCs w:val="21"/>
          <w:highlight w:val="none"/>
          <w:u w:val="single"/>
        </w:rPr>
        <w:t>如有</w:t>
      </w:r>
      <w:bookmarkEnd w:id="538"/>
      <w:r>
        <w:rPr>
          <w:rFonts w:hint="eastAsia" w:ascii="宋体" w:hAnsi="宋体" w:eastAsia="宋体" w:cs="宋体"/>
          <w:color w:val="auto"/>
          <w:sz w:val="21"/>
          <w:szCs w:val="21"/>
          <w:highlight w:val="none"/>
          <w:u w:val="single"/>
        </w:rPr>
        <w:t>）等全过程监理工作，包括但不限于：</w:t>
      </w:r>
    </w:p>
    <w:p w14:paraId="247F6E2E">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（1）前期阶段：统筹及协调项目各层面、各参建单位、各项工作的关系；编制项目总控计划，经委托人审定后，跟踪项目总控计划实时情况，如计划出现偏差，分析偏差原因，提出解决方案报委托人审批。</w:t>
      </w:r>
    </w:p>
    <w:p w14:paraId="1936EC97">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）施工监理：对工程建设各项内容提供监理服务，包括但不限于以下内容：前期阶段（</w:t>
      </w:r>
      <w:r>
        <w:rPr>
          <w:rFonts w:hint="eastAsia" w:ascii="宋体" w:hAnsi="宋体" w:eastAsia="宋体" w:cs="宋体"/>
          <w:color w:val="auto"/>
          <w:sz w:val="21"/>
          <w:szCs w:val="21"/>
          <w:highlight w:val="none"/>
          <w:u w:val="single"/>
          <w:lang w:val="en-US" w:eastAsia="zh-CN"/>
        </w:rPr>
        <w:t>如有</w:t>
      </w:r>
      <w:r>
        <w:rPr>
          <w:rFonts w:hint="eastAsia" w:ascii="宋体" w:hAnsi="宋体" w:eastAsia="宋体" w:cs="宋体"/>
          <w:color w:val="auto"/>
          <w:sz w:val="21"/>
          <w:szCs w:val="21"/>
          <w:highlight w:val="none"/>
          <w:u w:val="single"/>
        </w:rPr>
        <w:t>），施工准备阶段（包含施工临时用水（如有）、施工临时用电（如有）等）、施工阶段(包含道路工程、交通工程、管线综合工程、</w:t>
      </w:r>
      <w:r>
        <w:rPr>
          <w:rFonts w:hint="eastAsia" w:ascii="宋体" w:hAnsi="宋体" w:eastAsia="宋体" w:cs="宋体"/>
          <w:color w:val="auto"/>
          <w:sz w:val="21"/>
          <w:szCs w:val="21"/>
          <w:highlight w:val="none"/>
          <w:u w:val="single"/>
          <w:lang w:val="en-US" w:eastAsia="zh-CN"/>
        </w:rPr>
        <w:t>给</w:t>
      </w:r>
      <w:r>
        <w:rPr>
          <w:rFonts w:hint="eastAsia" w:ascii="宋体" w:hAnsi="宋体" w:eastAsia="宋体" w:cs="宋体"/>
          <w:color w:val="auto"/>
          <w:sz w:val="21"/>
          <w:szCs w:val="21"/>
          <w:highlight w:val="none"/>
          <w:u w:val="single"/>
        </w:rPr>
        <w:t>排水工程、</w:t>
      </w:r>
      <w:r>
        <w:rPr>
          <w:rFonts w:hint="eastAsia" w:ascii="宋体" w:hAnsi="宋体" w:eastAsia="宋体" w:cs="宋体"/>
          <w:color w:val="auto"/>
          <w:sz w:val="21"/>
          <w:szCs w:val="21"/>
          <w:highlight w:val="none"/>
          <w:u w:val="single"/>
          <w:lang w:eastAsia="zh-CN"/>
        </w:rPr>
        <w:t>电力管沟工程</w:t>
      </w:r>
      <w:r>
        <w:rPr>
          <w:rFonts w:hint="eastAsia" w:ascii="宋体" w:hAnsi="宋体" w:eastAsia="宋体" w:cs="宋体"/>
          <w:color w:val="auto"/>
          <w:sz w:val="21"/>
          <w:szCs w:val="21"/>
          <w:highlight w:val="none"/>
          <w:u w:val="single"/>
        </w:rPr>
        <w:t>、照明工程、绿化工程等)、工程收尾阶段（包括但不限于竣工验收、整改、工程移交、工程结算等）、工程质量保修阶段的质量控制、安全生产监督管理、投资控制（包括但不限于投标清单复核（清标）、施工款、设计变更、现场签证等）、进度控制、合同管理、信息管理、组织协调、设备监造、会同承包人编制检测（监测）方案以及协调委托人和工程建设有关各方的工作关系等，具体以实际实施的监理范围为准。按委托人的要求提前进场参与开工前期的准备和筹划工作，协助委托人制定各项工程管理办法及制度。监理人需严格执行委托人现行的设计变更管理办法和签证管理办法等，否则监理人还应按本合同专用条款第二十六条的约定承担违约责任。对项目的建设条件进行分析，了解场地周边情况如交通、临时设施、施工条件，向承包人作好交底工作，会同承包人共同研究施工组织方案的可行性。组织施工总承包单位完成工程开工及验收所需的各项报监、报建、报验手续，做好报批报建管理工作。监理人应组织参建各方开展工程投标清单复核（清标）工作，做到早发现，早控制，早解决，严格控制项目造价，合理使用项目资金。当增加的总造价超过50%暂列金时，监理人需向委托方提交造价控制预警报告；当增加的总造价超过暂列金时，监理人需书面向委托方报告资金使用情况。</w:t>
      </w:r>
    </w:p>
    <w:p w14:paraId="7A6216CD">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监理人应负责本项目工程竣工结算审核工作，收集和整理工程结算资料，并在收到承包人报送的结算文件后7日内提交结算审核计划，（☑30日、□60日）内向委托人出具结算审核报告，配合有权审核部门开展结算评审工作。委托人将保留监理酬金总额10%的支配权，由委托人视监理人结算审核工作质量情况在竣工结算阶段予以支付（委托人将对监理人结算审核工作进行考核，具体详见合同附件3《结算审核工作质量情况考评细则》）。监理人应确保本项目工程竣工结算审核工作质量，如监理人达不到结算审核能力，委托人有权要求监理人选择相应的造价咨询服务单位协助其完成本项目工程竣工结算审核工作，所需结算审核费用由监理人承担；监理人须无条件配合，且仍需对本项目工程竣工结算审核工作承担主要责任。若监理人审核的结算金额与有权审核部门审定的结算金额的偏差率绝对值大于5%的，监理人还应按本合同专用条款第二十六条的约定承担违约责任。</w:t>
      </w:r>
    </w:p>
    <w:p w14:paraId="595235F0">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监理人需严格审核防雷、检测、监测、施工等单位提交的请款资料（含完成工作等），并出具书面的审核意见。开工前，监理人必须组织参建各方梳理图纸深化、材料定版、样板引路的计划清单，并对深化的图纸进行审核，出具书面的意见。施工过程中，监理人需根据工程进度及计划清单组织参建各方开展材料定版、样板引路工作，做到样板先行，稳步推进。项目完成竣工验收后，监理人应在14天内向委托人报审质保期间的维保工作方案。</w:t>
      </w:r>
    </w:p>
    <w:p w14:paraId="5921E39E">
      <w:pPr>
        <w:shd w:val="clear" w:color="auto" w:fill="FFFFFF"/>
        <w:adjustRightInd w:val="0"/>
        <w:spacing w:line="360" w:lineRule="auto"/>
        <w:ind w:firstLine="367" w:firstLineChars="175"/>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）监理人需根据服务范围及项目的实际情况，严格落实合同附件2中各阶段工作成果文件的要求。监理人如未根据合同及现场实际情况及时提供给委托人，委托人有权拒绝支付监理费。</w:t>
      </w:r>
    </w:p>
    <w:p w14:paraId="4C118A53">
      <w:pPr>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p>
    <w:p w14:paraId="41467875">
      <w:pPr>
        <w:adjustRightInd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三、</w:t>
      </w:r>
      <w:r>
        <w:rPr>
          <w:rFonts w:hint="eastAsia" w:ascii="宋体" w:hAnsi="宋体" w:eastAsia="宋体" w:cs="宋体"/>
          <w:snapToGrid w:val="0"/>
          <w:color w:val="auto"/>
          <w:kern w:val="0"/>
          <w:szCs w:val="21"/>
          <w:highlight w:val="none"/>
          <w:lang w:bidi="ar"/>
        </w:rPr>
        <w:t>监理酬金及其支付方式</w:t>
      </w:r>
    </w:p>
    <w:p w14:paraId="36C45CE8">
      <w:pPr>
        <w:tabs>
          <w:tab w:val="left" w:pos="0"/>
        </w:tabs>
        <w:adjustRightInd w:val="0"/>
        <w:snapToGrid w:val="0"/>
        <w:spacing w:line="360" w:lineRule="auto"/>
        <w:ind w:left="901" w:leftChars="229" w:hanging="420" w:hanging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3.1</w:t>
      </w:r>
      <w:r>
        <w:rPr>
          <w:rFonts w:hint="eastAsia" w:ascii="宋体" w:hAnsi="宋体" w:eastAsia="宋体" w:cs="宋体"/>
          <w:snapToGrid w:val="0"/>
          <w:color w:val="auto"/>
          <w:kern w:val="0"/>
          <w:szCs w:val="21"/>
          <w:highlight w:val="none"/>
          <w:lang w:bidi="ar"/>
        </w:rPr>
        <w:t>监理酬金</w:t>
      </w:r>
      <w:r>
        <w:rPr>
          <w:rFonts w:hint="eastAsia" w:ascii="宋体" w:hAnsi="宋体" w:eastAsia="宋体" w:cs="宋体"/>
          <w:bCs/>
          <w:color w:val="auto"/>
          <w:kern w:val="0"/>
          <w:szCs w:val="21"/>
          <w:highlight w:val="none"/>
          <w:lang w:bidi="ar"/>
        </w:rPr>
        <w:t>的计取</w:t>
      </w:r>
    </w:p>
    <w:p w14:paraId="2DFB60F7">
      <w:pPr>
        <w:adjustRightInd w:val="0"/>
        <w:snapToGrid w:val="0"/>
        <w:spacing w:line="360" w:lineRule="auto"/>
        <w:ind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Cs w:val="21"/>
          <w:highlight w:val="none"/>
          <w:lang w:bidi="ar"/>
        </w:rPr>
        <w:t>3.1.1</w:t>
      </w:r>
      <w:r>
        <w:rPr>
          <w:rFonts w:hint="eastAsia" w:ascii="宋体" w:hAnsi="宋体" w:eastAsia="宋体" w:cs="宋体"/>
          <w:bCs/>
          <w:snapToGrid w:val="0"/>
          <w:color w:val="auto"/>
          <w:kern w:val="0"/>
          <w:szCs w:val="21"/>
          <w:highlight w:val="none"/>
          <w:lang w:bidi="ar"/>
        </w:rPr>
        <w:t>结合本合同工程的特点，委托人、监理人一致同意按如下约定计取监理酬金：参照《国家发展改革委、建设部关于印发</w:t>
      </w:r>
      <w:r>
        <w:rPr>
          <w:rFonts w:hint="eastAsia" w:ascii="宋体" w:hAnsi="宋体" w:eastAsia="宋体" w:cs="宋体"/>
          <w:bCs/>
          <w:color w:val="auto"/>
          <w:kern w:val="0"/>
          <w:szCs w:val="21"/>
          <w:highlight w:val="none"/>
          <w:lang w:bidi="ar"/>
        </w:rPr>
        <w:t>&lt;</w:t>
      </w:r>
      <w:r>
        <w:rPr>
          <w:rFonts w:hint="eastAsia" w:ascii="宋体" w:hAnsi="宋体" w:eastAsia="宋体" w:cs="宋体"/>
          <w:bCs/>
          <w:snapToGrid w:val="0"/>
          <w:color w:val="auto"/>
          <w:kern w:val="0"/>
          <w:szCs w:val="21"/>
          <w:highlight w:val="none"/>
          <w:lang w:bidi="ar"/>
        </w:rPr>
        <w:t>建设工程监理与相关服务收费管理规定</w:t>
      </w:r>
      <w:r>
        <w:rPr>
          <w:rFonts w:hint="eastAsia" w:ascii="宋体" w:hAnsi="宋体" w:eastAsia="宋体" w:cs="宋体"/>
          <w:bCs/>
          <w:color w:val="auto"/>
          <w:kern w:val="0"/>
          <w:szCs w:val="21"/>
          <w:highlight w:val="none"/>
          <w:lang w:bidi="ar"/>
        </w:rPr>
        <w:t>&gt;</w:t>
      </w:r>
      <w:r>
        <w:rPr>
          <w:rFonts w:hint="eastAsia" w:ascii="宋体" w:hAnsi="宋体" w:eastAsia="宋体" w:cs="宋体"/>
          <w:bCs/>
          <w:snapToGrid w:val="0"/>
          <w:color w:val="auto"/>
          <w:kern w:val="0"/>
          <w:szCs w:val="21"/>
          <w:highlight w:val="none"/>
          <w:lang w:bidi="ar"/>
        </w:rPr>
        <w:t>的通知》（发改价格〔</w:t>
      </w:r>
      <w:r>
        <w:rPr>
          <w:rFonts w:hint="eastAsia" w:ascii="宋体" w:hAnsi="宋体" w:eastAsia="宋体" w:cs="宋体"/>
          <w:bCs/>
          <w:color w:val="auto"/>
          <w:kern w:val="0"/>
          <w:szCs w:val="21"/>
          <w:highlight w:val="none"/>
          <w:lang w:bidi="ar"/>
        </w:rPr>
        <w:t>2007</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670</w:t>
      </w:r>
      <w:r>
        <w:rPr>
          <w:rFonts w:hint="eastAsia" w:ascii="宋体" w:hAnsi="宋体" w:eastAsia="宋体" w:cs="宋体"/>
          <w:bCs/>
          <w:snapToGrid w:val="0"/>
          <w:color w:val="auto"/>
          <w:kern w:val="0"/>
          <w:szCs w:val="21"/>
          <w:highlight w:val="none"/>
          <w:lang w:bidi="ar"/>
        </w:rPr>
        <w:t>号）的有关规定，经双方协商一致，具体按以下约定计算：</w:t>
      </w:r>
    </w:p>
    <w:p w14:paraId="2D0A596A">
      <w:pPr>
        <w:adjustRightInd w:val="0"/>
        <w:snapToGrid w:val="0"/>
        <w:spacing w:line="360" w:lineRule="auto"/>
        <w:ind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①监理酬金</w:t>
      </w:r>
      <w:r>
        <w:rPr>
          <w:rFonts w:hint="eastAsia" w:ascii="宋体" w:hAnsi="宋体" w:eastAsia="宋体" w:cs="宋体"/>
          <w:bCs/>
          <w:color w:val="auto"/>
          <w:kern w:val="0"/>
          <w:szCs w:val="21"/>
          <w:highlight w:val="none"/>
          <w:lang w:bidi="ar"/>
        </w:rPr>
        <w:t>=</w:t>
      </w:r>
      <w:r>
        <w:rPr>
          <w:rFonts w:hint="eastAsia" w:ascii="宋体" w:hAnsi="宋体" w:eastAsia="宋体" w:cs="宋体"/>
          <w:bCs/>
          <w:snapToGrid w:val="0"/>
          <w:color w:val="auto"/>
          <w:kern w:val="0"/>
          <w:szCs w:val="21"/>
          <w:highlight w:val="none"/>
          <w:lang w:bidi="ar"/>
        </w:rPr>
        <w:t>施工监理服务收费基准价×（</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浮动幅度值）×（</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投标下浮率</w:t>
      </w:r>
      <w:r>
        <w:rPr>
          <w:rFonts w:hint="eastAsia" w:ascii="宋体" w:hAnsi="宋体" w:eastAsia="宋体" w:cs="宋体"/>
          <w:bCs/>
          <w:color w:val="auto"/>
          <w:kern w:val="0"/>
          <w:szCs w:val="21"/>
          <w:highlight w:val="none"/>
          <w:lang w:bidi="ar"/>
        </w:rPr>
        <w:t>|</w:t>
      </w:r>
      <w:r>
        <w:rPr>
          <w:rFonts w:hint="eastAsia" w:ascii="宋体" w:hAnsi="宋体" w:eastAsia="宋体" w:cs="宋体"/>
          <w:bCs/>
          <w:snapToGrid w:val="0"/>
          <w:color w:val="auto"/>
          <w:kern w:val="0"/>
          <w:szCs w:val="21"/>
          <w:highlight w:val="none"/>
          <w:lang w:bidi="ar"/>
        </w:rPr>
        <w:t>）。</w:t>
      </w:r>
    </w:p>
    <w:p w14:paraId="0153286D">
      <w:pPr>
        <w:adjustRightInd w:val="0"/>
        <w:snapToGrid w:val="0"/>
        <w:spacing w:line="360" w:lineRule="auto"/>
        <w:ind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②施工监理服务收费基准价</w:t>
      </w:r>
      <w:r>
        <w:rPr>
          <w:rFonts w:hint="eastAsia" w:ascii="宋体" w:hAnsi="宋体" w:eastAsia="宋体" w:cs="宋体"/>
          <w:bCs/>
          <w:color w:val="auto"/>
          <w:kern w:val="0"/>
          <w:szCs w:val="21"/>
          <w:highlight w:val="none"/>
          <w:lang w:bidi="ar"/>
        </w:rPr>
        <w:t>=</w:t>
      </w:r>
      <w:r>
        <w:rPr>
          <w:rFonts w:hint="eastAsia" w:ascii="宋体" w:hAnsi="宋体" w:eastAsia="宋体" w:cs="宋体"/>
          <w:bCs/>
          <w:snapToGrid w:val="0"/>
          <w:color w:val="auto"/>
          <w:kern w:val="0"/>
          <w:szCs w:val="21"/>
          <w:highlight w:val="none"/>
          <w:lang w:bidi="ar"/>
        </w:rPr>
        <w:t>施工监理服务收费基价×专业调整系数×工程复杂程度调整系数×高程调整系数。</w:t>
      </w:r>
    </w:p>
    <w:p w14:paraId="42E3AED7">
      <w:pPr>
        <w:adjustRightInd w:val="0"/>
        <w:snapToGrid w:val="0"/>
        <w:spacing w:line="360" w:lineRule="auto"/>
        <w:ind w:left="687" w:leftChars="227" w:right="11" w:hanging="210" w:hangingChars="1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其中：</w:t>
      </w:r>
      <w:r>
        <w:rPr>
          <w:rFonts w:hint="eastAsia" w:ascii="宋体" w:hAnsi="宋体" w:eastAsia="宋体" w:cs="宋体"/>
          <w:bCs/>
          <w:color w:val="auto"/>
          <w:kern w:val="0"/>
          <w:szCs w:val="21"/>
          <w:highlight w:val="none"/>
          <w:lang w:bidi="ar"/>
        </w:rPr>
        <w:t xml:space="preserve">a) </w:t>
      </w:r>
      <w:r>
        <w:rPr>
          <w:rFonts w:hint="eastAsia" w:ascii="宋体" w:hAnsi="宋体" w:eastAsia="宋体" w:cs="宋体"/>
          <w:bCs/>
          <w:snapToGrid w:val="0"/>
          <w:color w:val="auto"/>
          <w:kern w:val="0"/>
          <w:szCs w:val="21"/>
          <w:highlight w:val="none"/>
          <w:lang w:bidi="ar"/>
        </w:rPr>
        <w:t>专业调整系数为</w:t>
      </w:r>
      <w:r>
        <w:rPr>
          <w:rFonts w:hint="eastAsia" w:ascii="宋体" w:hAnsi="宋体" w:eastAsia="宋体" w:cs="宋体"/>
          <w:bCs/>
          <w:color w:val="auto"/>
          <w:kern w:val="0"/>
          <w:szCs w:val="21"/>
          <w:highlight w:val="none"/>
          <w:u w:val="single"/>
          <w:lang w:bidi="ar"/>
        </w:rPr>
        <w:t xml:space="preserve">1.0 </w:t>
      </w:r>
      <w:r>
        <w:rPr>
          <w:rFonts w:hint="eastAsia" w:ascii="宋体" w:hAnsi="宋体" w:eastAsia="宋体" w:cs="宋体"/>
          <w:bCs/>
          <w:snapToGrid w:val="0"/>
          <w:color w:val="auto"/>
          <w:kern w:val="0"/>
          <w:szCs w:val="21"/>
          <w:highlight w:val="none"/>
          <w:lang w:bidi="ar"/>
        </w:rPr>
        <w:t>、工程复杂程度调整系数</w:t>
      </w:r>
      <w:r>
        <w:rPr>
          <w:rFonts w:hint="eastAsia" w:ascii="宋体" w:hAnsi="宋体" w:eastAsia="宋体" w:cs="宋体"/>
          <w:bCs/>
          <w:color w:val="auto"/>
          <w:kern w:val="0"/>
          <w:szCs w:val="21"/>
          <w:highlight w:val="none"/>
          <w:u w:val="single"/>
          <w:lang w:bidi="ar"/>
        </w:rPr>
        <w:t xml:space="preserve">1.0 </w:t>
      </w:r>
      <w:r>
        <w:rPr>
          <w:rFonts w:hint="eastAsia" w:ascii="宋体" w:hAnsi="宋体" w:eastAsia="宋体" w:cs="宋体"/>
          <w:bCs/>
          <w:snapToGrid w:val="0"/>
          <w:color w:val="auto"/>
          <w:kern w:val="0"/>
          <w:szCs w:val="21"/>
          <w:highlight w:val="none"/>
          <w:lang w:bidi="ar"/>
        </w:rPr>
        <w:t>、高程调整系数为</w:t>
      </w:r>
      <w:r>
        <w:rPr>
          <w:rFonts w:hint="eastAsia" w:ascii="宋体" w:hAnsi="宋体" w:eastAsia="宋体" w:cs="宋体"/>
          <w:bCs/>
          <w:color w:val="auto"/>
          <w:kern w:val="0"/>
          <w:szCs w:val="21"/>
          <w:highlight w:val="none"/>
          <w:u w:val="single"/>
          <w:lang w:bidi="ar"/>
        </w:rPr>
        <w:t>1.0</w:t>
      </w:r>
      <w:r>
        <w:rPr>
          <w:rFonts w:hint="eastAsia" w:ascii="宋体" w:hAnsi="宋体" w:eastAsia="宋体" w:cs="宋体"/>
          <w:bCs/>
          <w:snapToGrid w:val="0"/>
          <w:color w:val="auto"/>
          <w:kern w:val="0"/>
          <w:szCs w:val="21"/>
          <w:highlight w:val="none"/>
          <w:u w:val="single"/>
          <w:lang w:bidi="ar"/>
        </w:rPr>
        <w:t>。</w:t>
      </w:r>
    </w:p>
    <w:p w14:paraId="19D68CB1">
      <w:pPr>
        <w:adjustRightInd w:val="0"/>
        <w:snapToGrid w:val="0"/>
        <w:spacing w:line="360" w:lineRule="auto"/>
        <w:ind w:left="718" w:leftChars="342"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b) 施工监理服务收费的计费额指有权审核部门审定的本合同监理人实际监理范围内所有概算中的建筑安装工程费之和。</w:t>
      </w:r>
    </w:p>
    <w:p w14:paraId="307E9454">
      <w:pPr>
        <w:adjustRightInd w:val="0"/>
        <w:snapToGrid w:val="0"/>
        <w:spacing w:line="360" w:lineRule="auto"/>
        <w:ind w:left="718" w:leftChars="342"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c) 施工监理服务收费的计费额处于两个数值区间的，采用直线内插法确定施工监理服务收费基价。</w:t>
      </w:r>
    </w:p>
    <w:p w14:paraId="0509CD71">
      <w:pPr>
        <w:adjustRightInd w:val="0"/>
        <w:snapToGrid w:val="0"/>
        <w:spacing w:line="360" w:lineRule="auto"/>
        <w:ind w:left="718" w:leftChars="342"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d) 本合同浮动幅度值为</w:t>
      </w:r>
      <w:r>
        <w:rPr>
          <w:rFonts w:hint="eastAsia" w:ascii="宋体" w:hAnsi="宋体" w:eastAsia="宋体" w:cs="宋体"/>
          <w:bCs/>
          <w:snapToGrid w:val="0"/>
          <w:color w:val="auto"/>
          <w:kern w:val="0"/>
          <w:szCs w:val="21"/>
          <w:highlight w:val="none"/>
          <w:u w:val="single"/>
          <w:lang w:bidi="ar"/>
        </w:rPr>
        <w:t xml:space="preserve"> </w:t>
      </w:r>
      <w:r>
        <w:rPr>
          <w:rFonts w:hint="eastAsia" w:ascii="宋体" w:hAnsi="宋体" w:eastAsia="宋体" w:cs="宋体"/>
          <w:bCs/>
          <w:color w:val="auto"/>
          <w:kern w:val="0"/>
          <w:szCs w:val="21"/>
          <w:highlight w:val="none"/>
          <w:u w:val="single"/>
          <w:lang w:bidi="ar"/>
        </w:rPr>
        <w:t xml:space="preserve">-20%   </w:t>
      </w:r>
      <w:r>
        <w:rPr>
          <w:rFonts w:hint="eastAsia" w:ascii="宋体" w:hAnsi="宋体" w:eastAsia="宋体" w:cs="宋体"/>
          <w:bCs/>
          <w:snapToGrid w:val="0"/>
          <w:color w:val="auto"/>
          <w:kern w:val="0"/>
          <w:szCs w:val="21"/>
          <w:highlight w:val="none"/>
          <w:lang w:bidi="ar"/>
        </w:rPr>
        <w:t>。</w:t>
      </w:r>
    </w:p>
    <w:p w14:paraId="6784F102">
      <w:pPr>
        <w:adjustRightInd w:val="0"/>
        <w:snapToGrid w:val="0"/>
        <w:spacing w:line="360" w:lineRule="auto"/>
        <w:ind w:left="718" w:leftChars="342" w:right="11" w:firstLine="420" w:firstLineChars="200"/>
        <w:rPr>
          <w:rFonts w:hint="eastAsia" w:ascii="宋体" w:hAnsi="宋体" w:eastAsia="宋体" w:cs="宋体"/>
          <w:color w:val="auto"/>
          <w:highlight w:val="none"/>
        </w:rPr>
      </w:pPr>
      <w:r>
        <w:rPr>
          <w:rFonts w:hint="eastAsia" w:ascii="宋体" w:hAnsi="宋体" w:eastAsia="宋体" w:cs="宋体"/>
          <w:bCs/>
          <w:snapToGrid w:val="0"/>
          <w:color w:val="auto"/>
          <w:kern w:val="0"/>
          <w:szCs w:val="21"/>
          <w:highlight w:val="none"/>
          <w:lang w:bidi="ar"/>
        </w:rPr>
        <w:t>e) 投标下浮率为</w:t>
      </w:r>
      <w:r>
        <w:rPr>
          <w:rFonts w:hint="eastAsia" w:ascii="宋体" w:hAnsi="宋体" w:eastAsia="宋体" w:cs="宋体"/>
          <w:bCs/>
          <w:snapToGrid w:val="0"/>
          <w:color w:val="auto"/>
          <w:kern w:val="0"/>
          <w:szCs w:val="21"/>
          <w:highlight w:val="none"/>
          <w:u w:val="single"/>
          <w:lang w:bidi="ar"/>
        </w:rPr>
        <w:t xml:space="preserve"> </w:t>
      </w:r>
      <w:r>
        <w:rPr>
          <w:rFonts w:hint="eastAsia" w:ascii="宋体" w:hAnsi="宋体" w:eastAsia="宋体" w:cs="宋体"/>
          <w:bCs/>
          <w:color w:val="auto"/>
          <w:kern w:val="0"/>
          <w:szCs w:val="21"/>
          <w:highlight w:val="none"/>
          <w:u w:val="single"/>
          <w:lang w:bidi="ar"/>
        </w:rPr>
        <w:t xml:space="preserve">       </w:t>
      </w:r>
      <w:r>
        <w:rPr>
          <w:rFonts w:hint="eastAsia" w:ascii="宋体" w:hAnsi="宋体" w:eastAsia="宋体" w:cs="宋体"/>
          <w:bCs/>
          <w:snapToGrid w:val="0"/>
          <w:color w:val="auto"/>
          <w:kern w:val="0"/>
          <w:szCs w:val="21"/>
          <w:highlight w:val="none"/>
          <w:lang w:bidi="ar"/>
        </w:rPr>
        <w:t>。</w:t>
      </w:r>
    </w:p>
    <w:p w14:paraId="30AB932D">
      <w:pPr>
        <w:adjustRightInd w:val="0"/>
        <w:snapToGrid w:val="0"/>
        <w:spacing w:line="360" w:lineRule="auto"/>
        <w:ind w:left="420" w:leftChars="200" w:right="11"/>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③以本工程建安工程费</w:t>
      </w:r>
      <w:r>
        <w:rPr>
          <w:rFonts w:hint="eastAsia" w:ascii="宋体" w:hAnsi="宋体" w:eastAsia="宋体" w:cs="宋体"/>
          <w:bCs/>
          <w:snapToGrid w:val="0"/>
          <w:color w:val="auto"/>
          <w:kern w:val="0"/>
          <w:szCs w:val="21"/>
          <w:highlight w:val="none"/>
          <w:u w:val="single"/>
          <w:lang w:bidi="ar"/>
        </w:rPr>
        <w:t xml:space="preserve">￥ </w:t>
      </w:r>
      <w:r>
        <w:rPr>
          <w:rFonts w:hint="eastAsia" w:ascii="宋体" w:hAnsi="宋体" w:eastAsia="宋体" w:cs="宋体"/>
          <w:bCs/>
          <w:color w:val="auto"/>
          <w:kern w:val="0"/>
          <w:szCs w:val="21"/>
          <w:highlight w:val="none"/>
          <w:u w:val="single"/>
          <w:lang w:bidi="ar"/>
        </w:rPr>
        <w:t xml:space="preserve">       </w:t>
      </w:r>
      <w:r>
        <w:rPr>
          <w:rFonts w:hint="eastAsia" w:ascii="宋体" w:hAnsi="宋体" w:eastAsia="宋体" w:cs="宋体"/>
          <w:bCs/>
          <w:snapToGrid w:val="0"/>
          <w:color w:val="auto"/>
          <w:kern w:val="0"/>
          <w:szCs w:val="21"/>
          <w:highlight w:val="none"/>
          <w:lang w:bidi="ar"/>
        </w:rPr>
        <w:t xml:space="preserve">万计费基数计算，本工程监理酬金暂定合同总价为 </w:t>
      </w:r>
      <w:r>
        <w:rPr>
          <w:rFonts w:hint="eastAsia" w:ascii="宋体" w:hAnsi="宋体" w:eastAsia="宋体" w:cs="宋体"/>
          <w:bCs/>
          <w:snapToGrid w:val="0"/>
          <w:color w:val="auto"/>
          <w:kern w:val="0"/>
          <w:szCs w:val="21"/>
          <w:highlight w:val="none"/>
          <w:u w:val="single"/>
          <w:lang w:bidi="ar"/>
        </w:rPr>
        <w:t>￥</w:t>
      </w:r>
      <w:r>
        <w:rPr>
          <w:rFonts w:hint="eastAsia" w:ascii="宋体" w:hAnsi="宋体" w:eastAsia="宋体" w:cs="宋体"/>
          <w:bCs/>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万</w:t>
      </w:r>
      <w:r>
        <w:rPr>
          <w:rFonts w:hint="eastAsia" w:ascii="宋体" w:hAnsi="宋体" w:eastAsia="宋体" w:cs="宋体"/>
          <w:bCs/>
          <w:snapToGrid w:val="0"/>
          <w:color w:val="auto"/>
          <w:kern w:val="0"/>
          <w:szCs w:val="21"/>
          <w:highlight w:val="none"/>
          <w:lang w:bidi="ar"/>
        </w:rPr>
        <w:t>（人民币</w:t>
      </w:r>
      <w:r>
        <w:rPr>
          <w:rFonts w:hint="eastAsia" w:ascii="宋体" w:hAnsi="宋体" w:eastAsia="宋体" w:cs="宋体"/>
          <w:bCs/>
          <w:snapToGrid w:val="0"/>
          <w:color w:val="auto"/>
          <w:kern w:val="0"/>
          <w:szCs w:val="21"/>
          <w:highlight w:val="none"/>
          <w:u w:val="single"/>
          <w:lang w:bidi="ar"/>
        </w:rPr>
        <w:t xml:space="preserve">大写： </w:t>
      </w:r>
      <w:r>
        <w:rPr>
          <w:rFonts w:hint="eastAsia" w:ascii="宋体" w:hAnsi="宋体" w:eastAsia="宋体" w:cs="宋体"/>
          <w:bCs/>
          <w:color w:val="auto"/>
          <w:kern w:val="0"/>
          <w:szCs w:val="21"/>
          <w:highlight w:val="none"/>
          <w:u w:val="single"/>
          <w:lang w:bidi="ar"/>
        </w:rPr>
        <w:t xml:space="preserve">                        </w:t>
      </w:r>
      <w:r>
        <w:rPr>
          <w:rFonts w:hint="eastAsia" w:ascii="宋体" w:hAnsi="宋体" w:eastAsia="宋体" w:cs="宋体"/>
          <w:bCs/>
          <w:snapToGrid w:val="0"/>
          <w:color w:val="auto"/>
          <w:kern w:val="0"/>
          <w:szCs w:val="21"/>
          <w:highlight w:val="none"/>
          <w:lang w:bidi="ar"/>
        </w:rPr>
        <w:t>），其中并以此作为各阶段监理酬金支付的依据。</w:t>
      </w:r>
    </w:p>
    <w:p w14:paraId="5420805B">
      <w:pPr>
        <w:adjustRightInd w:val="0"/>
        <w:snapToGrid w:val="0"/>
        <w:spacing w:line="360" w:lineRule="auto"/>
        <w:ind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 xml:space="preserve">3.1.2 </w:t>
      </w:r>
      <w:r>
        <w:rPr>
          <w:rFonts w:hint="eastAsia" w:ascii="宋体" w:hAnsi="宋体" w:eastAsia="宋体" w:cs="宋体"/>
          <w:snapToGrid w:val="0"/>
          <w:color w:val="auto"/>
          <w:kern w:val="0"/>
          <w:szCs w:val="21"/>
          <w:highlight w:val="none"/>
          <w:lang w:bidi="ar"/>
        </w:rPr>
        <w:t>由于财政投资项目施工过程的特殊性，委托人有调整局部服务范围的权利，即部分解除或部分增加服务范围。</w:t>
      </w:r>
      <w:r>
        <w:rPr>
          <w:rFonts w:hint="eastAsia" w:ascii="宋体" w:hAnsi="宋体" w:eastAsia="宋体" w:cs="宋体"/>
          <w:bCs/>
          <w:color w:val="auto"/>
          <w:kern w:val="0"/>
          <w:szCs w:val="21"/>
          <w:highlight w:val="none"/>
          <w:lang w:bidi="ar"/>
        </w:rPr>
        <w:t>监理费最终按财政评审后的监理范围内的所有建筑安装工程费结算价为施工监理服务收费的计费额进行结算，但浮动幅度值不调整，且最终监理费结算</w:t>
      </w:r>
      <w:r>
        <w:rPr>
          <w:rFonts w:hint="eastAsia" w:ascii="宋体" w:hAnsi="宋体" w:eastAsia="宋体" w:cs="宋体"/>
          <w:bCs/>
          <w:snapToGrid w:val="0"/>
          <w:color w:val="auto"/>
          <w:kern w:val="0"/>
          <w:szCs w:val="21"/>
          <w:highlight w:val="none"/>
          <w:lang w:bidi="ar"/>
        </w:rPr>
        <w:t>总价不超过本工程监理酬金暂定合同总价</w:t>
      </w:r>
      <w:r>
        <w:rPr>
          <w:rFonts w:hint="eastAsia" w:ascii="宋体" w:hAnsi="宋体" w:eastAsia="宋体" w:cs="宋体"/>
          <w:snapToGrid w:val="0"/>
          <w:color w:val="auto"/>
          <w:kern w:val="0"/>
          <w:szCs w:val="21"/>
          <w:highlight w:val="none"/>
          <w:lang w:bidi="ar"/>
        </w:rPr>
        <w:t>。</w:t>
      </w:r>
    </w:p>
    <w:p w14:paraId="4CD3624E">
      <w:pPr>
        <w:adjustRightInd w:val="0"/>
        <w:snapToGrid w:val="0"/>
        <w:spacing w:line="360" w:lineRule="auto"/>
        <w:ind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3.1.3本合同约定的监理服务期间，其各种费率和费用不因物价变动导致监理酬金的增减而给予弥补或调整，双方另有约定的除外。</w:t>
      </w:r>
    </w:p>
    <w:p w14:paraId="3B3D2D40">
      <w:pPr>
        <w:adjustRightInd w:val="0"/>
        <w:snapToGrid w:val="0"/>
        <w:spacing w:line="360" w:lineRule="auto"/>
        <w:ind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3.1.4在本合同约定的监理范围内，非因监理人原因造成工程延期，致使监理服务期出现延长，监理人的责任期也应相应延长，本合同监理酬金总额不为此作调整，双方另有约定的除外。</w:t>
      </w:r>
    </w:p>
    <w:p w14:paraId="001ED873">
      <w:pPr>
        <w:adjustRightInd w:val="0"/>
        <w:snapToGrid w:val="0"/>
        <w:spacing w:line="360" w:lineRule="auto"/>
        <w:ind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3.1.5如在工程实施期间，因国家政策变化、政府对本合同工程的计划调整或不可抗力等非委托人主观原因造成本合同工程停建的，则监理人必须接受终止服务并积极配合委托人做好善后工作，按已实际完成的监理服务内容和本合同的相关约定结清监理酬金，监理人不得要求额外的费用及任何形式的补偿。</w:t>
      </w:r>
    </w:p>
    <w:p w14:paraId="1551249A">
      <w:pPr>
        <w:adjustRightInd w:val="0"/>
        <w:snapToGrid w:val="0"/>
        <w:spacing w:line="360" w:lineRule="auto"/>
        <w:ind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3.1.6如在工程实施期间，因任何原因造成本合同工程中间停工而导致监理人必须二次或多次进出场，监理酬金总额将不会因此而有所调整，相关费用亦已包含在本合同监理酬金之中。因工程中间停工而不退场的，监理人可与委托人协商减少驻场监理人员的数量，但本合同监理酬金总额不因此作调整。</w:t>
      </w:r>
    </w:p>
    <w:p w14:paraId="192983F4">
      <w:pPr>
        <w:adjustRightInd w:val="0"/>
        <w:snapToGrid w:val="0"/>
        <w:spacing w:line="360" w:lineRule="auto"/>
        <w:ind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3.2</w:t>
      </w:r>
      <w:r>
        <w:rPr>
          <w:rFonts w:hint="eastAsia" w:ascii="宋体" w:hAnsi="宋体" w:eastAsia="宋体" w:cs="宋体"/>
          <w:snapToGrid w:val="0"/>
          <w:color w:val="auto"/>
          <w:kern w:val="0"/>
          <w:szCs w:val="21"/>
          <w:highlight w:val="none"/>
          <w:lang w:bidi="ar"/>
        </w:rPr>
        <w:t>监理酬金</w:t>
      </w:r>
      <w:r>
        <w:rPr>
          <w:rFonts w:hint="eastAsia" w:ascii="宋体" w:hAnsi="宋体" w:eastAsia="宋体" w:cs="宋体"/>
          <w:bCs/>
          <w:color w:val="auto"/>
          <w:kern w:val="0"/>
          <w:szCs w:val="21"/>
          <w:highlight w:val="none"/>
          <w:lang w:bidi="ar"/>
        </w:rPr>
        <w:t>的支付</w:t>
      </w:r>
    </w:p>
    <w:p w14:paraId="3A99E219">
      <w:pPr>
        <w:tabs>
          <w:tab w:val="left" w:pos="3060"/>
        </w:tabs>
        <w:adjustRightInd w:val="0"/>
        <w:snapToGrid w:val="0"/>
        <w:spacing w:line="360" w:lineRule="auto"/>
        <w:ind w:right="11"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3.2.1 本合同价款的拨付按照广东省、广州市和天河区财政投资项目资金管理的有关规定执行。</w:t>
      </w:r>
    </w:p>
    <w:p w14:paraId="4643B574">
      <w:pPr>
        <w:tabs>
          <w:tab w:val="left" w:pos="3060"/>
        </w:tabs>
        <w:adjustRightInd w:val="0"/>
        <w:snapToGrid w:val="0"/>
        <w:spacing w:line="360" w:lineRule="auto"/>
        <w:ind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Cs w:val="21"/>
          <w:highlight w:val="none"/>
          <w:lang w:bidi="ar"/>
        </w:rPr>
        <w:t>3.2.2监理人向委托人承诺，将按照本合同的约定完成本合同监理服务的工作内容且相关的监理服务须达到令委托人满意的程度。监理人如未能</w:t>
      </w:r>
      <w:r>
        <w:rPr>
          <w:rFonts w:hint="eastAsia" w:ascii="宋体" w:hAnsi="宋体" w:eastAsia="宋体" w:cs="宋体"/>
          <w:bCs/>
          <w:color w:val="auto"/>
          <w:kern w:val="0"/>
          <w:szCs w:val="21"/>
          <w:highlight w:val="none"/>
          <w:lang w:bidi="ar"/>
        </w:rPr>
        <w:t>按</w:t>
      </w:r>
      <w:r>
        <w:rPr>
          <w:rFonts w:hint="eastAsia" w:ascii="宋体" w:hAnsi="宋体" w:eastAsia="宋体" w:cs="宋体"/>
          <w:snapToGrid w:val="0"/>
          <w:color w:val="auto"/>
          <w:kern w:val="0"/>
          <w:szCs w:val="21"/>
          <w:highlight w:val="none"/>
          <w:lang w:bidi="ar"/>
        </w:rPr>
        <w:t>合同</w:t>
      </w:r>
      <w:r>
        <w:rPr>
          <w:rFonts w:hint="eastAsia" w:ascii="宋体" w:hAnsi="宋体" w:eastAsia="宋体" w:cs="宋体"/>
          <w:bCs/>
          <w:color w:val="auto"/>
          <w:kern w:val="0"/>
          <w:szCs w:val="21"/>
          <w:highlight w:val="none"/>
          <w:lang w:bidi="ar"/>
        </w:rPr>
        <w:t>约定完成相关工作内容的工作成果，或完成的工作成果未能达到约定的支付审核标准，或委托人对监理工作情况的检查结果未能达到约定的令人满意的程度，均视为监理人对该承诺的违反，委托人将在合同监理酬金总额中扣减相关监理服务项目的酬金。监理人对于履行监理职责方面的违约责任按照本合同专用条件第二十六条的相关约定执行。</w:t>
      </w:r>
    </w:p>
    <w:p w14:paraId="408490C0">
      <w:pPr>
        <w:tabs>
          <w:tab w:val="left" w:pos="3060"/>
        </w:tabs>
        <w:adjustRightInd w:val="0"/>
        <w:snapToGrid w:val="0"/>
        <w:spacing w:line="360" w:lineRule="auto"/>
        <w:ind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3.2.3各阶段监理酬金的支付</w:t>
      </w:r>
    </w:p>
    <w:p w14:paraId="1051EE92">
      <w:pPr>
        <w:tabs>
          <w:tab w:val="left" w:pos="900"/>
        </w:tabs>
        <w:autoSpaceDE w:val="0"/>
        <w:autoSpaceDN w:val="0"/>
        <w:adjustRightIn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color w:val="auto"/>
          <w:szCs w:val="21"/>
          <w:highlight w:val="none"/>
          <w:lang w:bidi="ar"/>
        </w:rPr>
        <w:t>3.2.3.1 根据监理的服务范围，分阶段、按节点支付监理酬金。</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color w:val="auto"/>
          <w:szCs w:val="21"/>
          <w:highlight w:val="none"/>
          <w:lang w:bidi="ar"/>
        </w:rPr>
        <w:t>前期阶段：可研经相关部门批复，支付2%的监理酬金暂定合同价。</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color w:val="auto"/>
          <w:szCs w:val="21"/>
          <w:highlight w:val="none"/>
          <w:lang w:bidi="ar"/>
        </w:rPr>
        <w:t>勘察阶段：勘查单位提供勘查报告，支付1%的监理酬金暂定合同价。</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color w:val="auto"/>
          <w:szCs w:val="21"/>
          <w:highlight w:val="none"/>
          <w:lang w:bidi="ar"/>
        </w:rPr>
        <w:t>设计阶段：施工图经审查合格，支付4%的监理酬金暂定合同价。</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概算、预算阶段</w:t>
      </w:r>
      <w:r>
        <w:rPr>
          <w:rFonts w:hint="eastAsia" w:ascii="宋体" w:hAnsi="宋体" w:eastAsia="宋体" w:cs="宋体"/>
          <w:color w:val="auto"/>
          <w:szCs w:val="21"/>
          <w:highlight w:val="none"/>
          <w:lang w:bidi="ar"/>
        </w:rPr>
        <w:t>：概预算经相关部门审定，支付3%的监理酬金暂定合同价。其余监理酬金由委托人按施工进度计付，公式为：施工进度款×监理费率（监理费率=投标监理报价×90%÷施工合同价）。到工程完工时，委托人最多支付至本工程监理酬金暂定总金额的85％。</w:t>
      </w:r>
    </w:p>
    <w:p w14:paraId="55EC87E4">
      <w:pPr>
        <w:tabs>
          <w:tab w:val="left" w:pos="900"/>
        </w:tabs>
        <w:autoSpaceDE w:val="0"/>
        <w:autoSpaceDN w:val="0"/>
        <w:adjustRightIn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 xml:space="preserve">3.2.3.2 </w:t>
      </w:r>
      <w:r>
        <w:rPr>
          <w:rFonts w:hint="eastAsia" w:ascii="宋体" w:hAnsi="宋体" w:eastAsia="宋体" w:cs="宋体"/>
          <w:bCs/>
          <w:snapToGrid w:val="0"/>
          <w:color w:val="auto"/>
          <w:kern w:val="0"/>
          <w:szCs w:val="21"/>
          <w:highlight w:val="none"/>
          <w:lang w:bidi="ar"/>
        </w:rPr>
        <w:t>□ 无监理酬金预付款。☑ 有监理酬金预付款，</w:t>
      </w:r>
      <w:r>
        <w:rPr>
          <w:rFonts w:hint="eastAsia" w:ascii="宋体" w:hAnsi="宋体" w:eastAsia="宋体" w:cs="宋体"/>
          <w:color w:val="auto"/>
          <w:szCs w:val="21"/>
          <w:highlight w:val="none"/>
          <w:lang w:bidi="ar"/>
        </w:rPr>
        <w:t>自本监理合同生效之日起</w:t>
      </w:r>
      <w:r>
        <w:rPr>
          <w:rFonts w:hint="eastAsia" w:ascii="宋体" w:hAnsi="宋体" w:eastAsia="宋体" w:cs="宋体"/>
          <w:bCs/>
          <w:snapToGrid w:val="0"/>
          <w:color w:val="auto"/>
          <w:kern w:val="0"/>
          <w:szCs w:val="21"/>
          <w:highlight w:val="none"/>
          <w:lang w:bidi="ar"/>
        </w:rPr>
        <w:t>的</w:t>
      </w:r>
      <w:r>
        <w:rPr>
          <w:rFonts w:hint="eastAsia" w:ascii="宋体" w:hAnsi="宋体" w:eastAsia="宋体" w:cs="宋体"/>
          <w:bCs/>
          <w:color w:val="auto"/>
          <w:kern w:val="0"/>
          <w:szCs w:val="21"/>
          <w:highlight w:val="none"/>
          <w:lang w:bidi="ar"/>
        </w:rPr>
        <w:t>15</w:t>
      </w:r>
      <w:r>
        <w:rPr>
          <w:rFonts w:hint="eastAsia" w:ascii="宋体" w:hAnsi="宋体" w:eastAsia="宋体" w:cs="宋体"/>
          <w:bCs/>
          <w:snapToGrid w:val="0"/>
          <w:color w:val="auto"/>
          <w:kern w:val="0"/>
          <w:szCs w:val="21"/>
          <w:highlight w:val="none"/>
          <w:lang w:bidi="ar"/>
        </w:rPr>
        <w:t>日内，监理人提出书面申请，委托人办理财政集中支付手续通过银行转账或支票方式向监理人预付施</w:t>
      </w:r>
      <w:r>
        <w:rPr>
          <w:rFonts w:hint="eastAsia" w:ascii="宋体" w:hAnsi="宋体" w:eastAsia="宋体" w:cs="宋体"/>
          <w:color w:val="auto"/>
          <w:szCs w:val="21"/>
          <w:highlight w:val="none"/>
          <w:lang w:bidi="ar"/>
        </w:rPr>
        <w:t>工阶段监理酬金的10</w:t>
      </w:r>
      <w:r>
        <w:rPr>
          <w:rFonts w:hint="eastAsia" w:ascii="宋体" w:hAnsi="宋体" w:eastAsia="宋体" w:cs="宋体"/>
          <w:bCs/>
          <w:snapToGrid w:val="0"/>
          <w:color w:val="auto"/>
          <w:kern w:val="0"/>
          <w:szCs w:val="21"/>
          <w:highlight w:val="none"/>
          <w:lang w:bidi="ar"/>
        </w:rPr>
        <w:t>％即￥</w:t>
      </w:r>
      <w:r>
        <w:rPr>
          <w:rFonts w:hint="eastAsia" w:ascii="宋体" w:hAnsi="宋体" w:eastAsia="宋体" w:cs="宋体"/>
          <w:bCs/>
          <w:snapToGrid w:val="0"/>
          <w:color w:val="auto"/>
          <w:kern w:val="0"/>
          <w:szCs w:val="21"/>
          <w:highlight w:val="none"/>
          <w:u w:val="single"/>
          <w:lang w:bidi="ar"/>
        </w:rPr>
        <w:t xml:space="preserve"> </w:t>
      </w:r>
      <w:r>
        <w:rPr>
          <w:rFonts w:hint="eastAsia" w:ascii="宋体" w:hAnsi="宋体" w:eastAsia="宋体" w:cs="宋体"/>
          <w:bCs/>
          <w:color w:val="auto"/>
          <w:kern w:val="0"/>
          <w:szCs w:val="21"/>
          <w:highlight w:val="none"/>
          <w:u w:val="single"/>
          <w:lang w:bidi="ar"/>
        </w:rPr>
        <w:t xml:space="preserve">              </w:t>
      </w:r>
      <w:r>
        <w:rPr>
          <w:rFonts w:hint="eastAsia" w:ascii="宋体" w:hAnsi="宋体" w:eastAsia="宋体" w:cs="宋体"/>
          <w:bCs/>
          <w:snapToGrid w:val="0"/>
          <w:color w:val="auto"/>
          <w:kern w:val="0"/>
          <w:szCs w:val="21"/>
          <w:highlight w:val="none"/>
          <w:lang w:bidi="ar"/>
        </w:rPr>
        <w:t>（人民币大写：</w:t>
      </w:r>
      <w:r>
        <w:rPr>
          <w:rFonts w:hint="eastAsia" w:ascii="宋体" w:hAnsi="宋体" w:eastAsia="宋体" w:cs="宋体"/>
          <w:bCs/>
          <w:snapToGrid w:val="0"/>
          <w:color w:val="auto"/>
          <w:kern w:val="0"/>
          <w:szCs w:val="21"/>
          <w:highlight w:val="none"/>
          <w:u w:val="single"/>
          <w:lang w:bidi="ar"/>
        </w:rPr>
        <w:t xml:space="preserve"> </w:t>
      </w:r>
      <w:r>
        <w:rPr>
          <w:rFonts w:hint="eastAsia" w:ascii="宋体" w:hAnsi="宋体" w:eastAsia="宋体" w:cs="宋体"/>
          <w:bCs/>
          <w:color w:val="auto"/>
          <w:kern w:val="0"/>
          <w:szCs w:val="21"/>
          <w:highlight w:val="none"/>
          <w:u w:val="single"/>
          <w:lang w:bidi="ar"/>
        </w:rPr>
        <w:t xml:space="preserve">                       </w:t>
      </w:r>
      <w:r>
        <w:rPr>
          <w:rFonts w:hint="eastAsia" w:ascii="宋体" w:hAnsi="宋体" w:eastAsia="宋体" w:cs="宋体"/>
          <w:bCs/>
          <w:snapToGrid w:val="0"/>
          <w:color w:val="auto"/>
          <w:kern w:val="0"/>
          <w:szCs w:val="21"/>
          <w:highlight w:val="none"/>
          <w:lang w:bidi="ar"/>
        </w:rPr>
        <w:t>）作为预付款，其余监理酬金由委托人按施工进度计付，公式为：施工</w:t>
      </w:r>
      <w:r>
        <w:rPr>
          <w:rFonts w:hint="eastAsia" w:ascii="宋体" w:hAnsi="宋体" w:eastAsia="宋体" w:cs="宋体"/>
          <w:color w:val="auto"/>
          <w:szCs w:val="21"/>
          <w:highlight w:val="none"/>
          <w:lang w:bidi="ar"/>
        </w:rPr>
        <w:t>进度款×监理费率（监理费率=投标监理报价÷施工合同价）。到工程完工时，委托人最多支付至</w:t>
      </w:r>
      <w:r>
        <w:rPr>
          <w:rFonts w:hint="eastAsia" w:ascii="宋体" w:hAnsi="宋体" w:eastAsia="宋体" w:cs="宋体"/>
          <w:bCs/>
          <w:color w:val="auto"/>
          <w:szCs w:val="21"/>
          <w:highlight w:val="none"/>
          <w:lang w:bidi="ar"/>
        </w:rPr>
        <w:t>本工程</w:t>
      </w:r>
      <w:r>
        <w:rPr>
          <w:rFonts w:hint="eastAsia" w:ascii="宋体" w:hAnsi="宋体" w:eastAsia="宋体" w:cs="宋体"/>
          <w:color w:val="auto"/>
          <w:szCs w:val="21"/>
          <w:highlight w:val="none"/>
          <w:lang w:bidi="ar"/>
        </w:rPr>
        <w:t>监理酬金</w:t>
      </w:r>
      <w:r>
        <w:rPr>
          <w:rFonts w:hint="eastAsia" w:ascii="宋体" w:hAnsi="宋体" w:eastAsia="宋体" w:cs="宋体"/>
          <w:bCs/>
          <w:color w:val="auto"/>
          <w:szCs w:val="21"/>
          <w:highlight w:val="none"/>
          <w:lang w:bidi="ar"/>
        </w:rPr>
        <w:t>暂定总金额</w:t>
      </w:r>
      <w:r>
        <w:rPr>
          <w:rFonts w:hint="eastAsia" w:ascii="宋体" w:hAnsi="宋体" w:eastAsia="宋体" w:cs="宋体"/>
          <w:color w:val="auto"/>
          <w:szCs w:val="21"/>
          <w:highlight w:val="none"/>
          <w:lang w:bidi="ar"/>
        </w:rPr>
        <w:t>的</w:t>
      </w:r>
      <w:r>
        <w:rPr>
          <w:rFonts w:hint="eastAsia" w:ascii="宋体" w:hAnsi="宋体" w:eastAsia="宋体" w:cs="宋体"/>
          <w:bCs/>
          <w:snapToGrid w:val="0"/>
          <w:color w:val="auto"/>
          <w:kern w:val="0"/>
          <w:szCs w:val="21"/>
          <w:highlight w:val="none"/>
          <w:lang w:bidi="ar"/>
        </w:rPr>
        <w:t>85％</w:t>
      </w:r>
      <w:r>
        <w:rPr>
          <w:rFonts w:hint="eastAsia" w:ascii="宋体" w:hAnsi="宋体" w:eastAsia="宋体" w:cs="宋体"/>
          <w:color w:val="auto"/>
          <w:szCs w:val="21"/>
          <w:highlight w:val="none"/>
          <w:lang w:bidi="ar"/>
        </w:rPr>
        <w:t>。</w:t>
      </w:r>
    </w:p>
    <w:p w14:paraId="6A0CE382">
      <w:pPr>
        <w:tabs>
          <w:tab w:val="left" w:pos="3060"/>
        </w:tabs>
        <w:adjustRightInd w:val="0"/>
        <w:snapToGrid w:val="0"/>
        <w:spacing w:line="360" w:lineRule="auto"/>
        <w:ind w:right="11"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3.2.3.3当委托人累计支付的金额达到</w:t>
      </w:r>
      <w:r>
        <w:rPr>
          <w:rFonts w:hint="eastAsia" w:ascii="宋体" w:hAnsi="宋体" w:eastAsia="宋体" w:cs="宋体"/>
          <w:bCs/>
          <w:color w:val="auto"/>
          <w:kern w:val="0"/>
          <w:szCs w:val="21"/>
          <w:highlight w:val="none"/>
          <w:lang w:bidi="ar"/>
        </w:rPr>
        <w:t>本合同监理酬金暂定总金额的85%时</w:t>
      </w:r>
      <w:r>
        <w:rPr>
          <w:rFonts w:hint="eastAsia" w:ascii="宋体" w:hAnsi="宋体" w:eastAsia="宋体" w:cs="宋体"/>
          <w:snapToGrid w:val="0"/>
          <w:color w:val="auto"/>
          <w:kern w:val="0"/>
          <w:szCs w:val="21"/>
          <w:highlight w:val="none"/>
          <w:lang w:bidi="ar"/>
        </w:rPr>
        <w:t>，委托人暂停本合同任何款项的申请审核及支付，余下监理酬金的支付按本条第</w:t>
      </w:r>
      <w:r>
        <w:rPr>
          <w:rFonts w:hint="eastAsia" w:ascii="宋体" w:hAnsi="宋体" w:eastAsia="宋体" w:cs="宋体"/>
          <w:color w:val="auto"/>
          <w:kern w:val="0"/>
          <w:szCs w:val="21"/>
          <w:highlight w:val="none"/>
          <w:lang w:bidi="ar"/>
        </w:rPr>
        <w:t>3.2.3.4</w:t>
      </w:r>
      <w:r>
        <w:rPr>
          <w:rFonts w:hint="eastAsia" w:ascii="宋体" w:hAnsi="宋体" w:eastAsia="宋体" w:cs="宋体"/>
          <w:snapToGrid w:val="0"/>
          <w:color w:val="auto"/>
          <w:kern w:val="0"/>
          <w:szCs w:val="21"/>
          <w:highlight w:val="none"/>
          <w:lang w:bidi="ar"/>
        </w:rPr>
        <w:t>款的约定执行。</w:t>
      </w:r>
    </w:p>
    <w:p w14:paraId="77DC1870">
      <w:pPr>
        <w:tabs>
          <w:tab w:val="left" w:pos="3060"/>
        </w:tabs>
        <w:adjustRightInd w:val="0"/>
        <w:snapToGrid w:val="0"/>
        <w:spacing w:line="360" w:lineRule="auto"/>
        <w:ind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3.2.3.4监理人完成本合同约定的全部监理工作且本工程整体竣工结算（含本合同结算）被政府终审部门确认，监理人督促承包人按时完整移交工程竣工档案后，委托人累计支付至本工程监理酬金结算总价的</w:t>
      </w:r>
      <w:r>
        <w:rPr>
          <w:rFonts w:hint="eastAsia" w:ascii="宋体" w:hAnsi="宋体" w:eastAsia="宋体" w:cs="宋体"/>
          <w:bCs/>
          <w:color w:val="auto"/>
          <w:kern w:val="0"/>
          <w:szCs w:val="21"/>
          <w:highlight w:val="none"/>
          <w:lang w:bidi="ar"/>
        </w:rPr>
        <w:t>97%</w:t>
      </w:r>
      <w:r>
        <w:rPr>
          <w:rFonts w:hint="eastAsia" w:ascii="宋体" w:hAnsi="宋体" w:eastAsia="宋体" w:cs="宋体"/>
          <w:bCs/>
          <w:snapToGrid w:val="0"/>
          <w:color w:val="auto"/>
          <w:kern w:val="0"/>
          <w:szCs w:val="21"/>
          <w:highlight w:val="none"/>
          <w:lang w:bidi="ar"/>
        </w:rPr>
        <w:t>，留下本工程监理酬金结算总价的</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作为质量保修阶段的酬金。在工程竣工验收合格后满两年且本合同工程整体竣工结算被确认，若监理人未出现违约情形，委托人应在收到监理人的款项申请手续后</w:t>
      </w:r>
      <w:r>
        <w:rPr>
          <w:rFonts w:hint="eastAsia" w:ascii="宋体" w:hAnsi="宋体" w:eastAsia="宋体" w:cs="宋体"/>
          <w:bCs/>
          <w:color w:val="auto"/>
          <w:kern w:val="0"/>
          <w:szCs w:val="21"/>
          <w:highlight w:val="none"/>
          <w:lang w:bidi="ar"/>
        </w:rPr>
        <w:t>14</w:t>
      </w:r>
      <w:r>
        <w:rPr>
          <w:rFonts w:hint="eastAsia" w:ascii="宋体" w:hAnsi="宋体" w:eastAsia="宋体" w:cs="宋体"/>
          <w:bCs/>
          <w:snapToGrid w:val="0"/>
          <w:color w:val="auto"/>
          <w:kern w:val="0"/>
          <w:szCs w:val="21"/>
          <w:highlight w:val="none"/>
          <w:lang w:bidi="ar"/>
        </w:rPr>
        <w:t>日内将质量保修阶段的酬金即本工程监理酬金结算总价的</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支付给监理人。</w:t>
      </w:r>
    </w:p>
    <w:p w14:paraId="379E9533">
      <w:pPr>
        <w:tabs>
          <w:tab w:val="left" w:pos="3060"/>
        </w:tabs>
        <w:adjustRightInd w:val="0"/>
        <w:snapToGrid w:val="0"/>
        <w:spacing w:line="360" w:lineRule="auto"/>
        <w:ind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3.2.4本合同结算监理酬金审定后，委托人发现监理酬金超付的，则监理人必须在</w:t>
      </w:r>
      <w:r>
        <w:rPr>
          <w:rFonts w:hint="eastAsia" w:ascii="宋体" w:hAnsi="宋体" w:eastAsia="宋体" w:cs="宋体"/>
          <w:bCs/>
          <w:color w:val="auto"/>
          <w:kern w:val="0"/>
          <w:szCs w:val="21"/>
          <w:highlight w:val="none"/>
          <w:lang w:bidi="ar"/>
        </w:rPr>
        <w:t>14</w:t>
      </w:r>
      <w:r>
        <w:rPr>
          <w:rFonts w:hint="eastAsia" w:ascii="宋体" w:hAnsi="宋体" w:eastAsia="宋体" w:cs="宋体"/>
          <w:bCs/>
          <w:snapToGrid w:val="0"/>
          <w:color w:val="auto"/>
          <w:kern w:val="0"/>
          <w:szCs w:val="21"/>
          <w:highlight w:val="none"/>
          <w:lang w:bidi="ar"/>
        </w:rPr>
        <w:t>日内无条件退还委托人；若监理人迟延退还超付的监理酬金，除须继续向委托人退还超付的监理酬金外，还应每天向委托人支付该超付监理酬金</w:t>
      </w:r>
      <w:r>
        <w:rPr>
          <w:rFonts w:hint="eastAsia" w:ascii="宋体" w:hAnsi="宋体" w:eastAsia="宋体" w:cs="宋体"/>
          <w:bCs/>
          <w:color w:val="auto"/>
          <w:kern w:val="0"/>
          <w:szCs w:val="21"/>
          <w:highlight w:val="none"/>
          <w:lang w:bidi="ar"/>
        </w:rPr>
        <w:t>2</w:t>
      </w:r>
      <w:r>
        <w:rPr>
          <w:rFonts w:hint="eastAsia" w:ascii="宋体" w:hAnsi="宋体" w:eastAsia="宋体" w:cs="宋体"/>
          <w:bCs/>
          <w:snapToGrid w:val="0"/>
          <w:color w:val="auto"/>
          <w:kern w:val="0"/>
          <w:szCs w:val="21"/>
          <w:highlight w:val="none"/>
          <w:lang w:bidi="ar"/>
        </w:rPr>
        <w:t>‰的违约金。</w:t>
      </w:r>
    </w:p>
    <w:p w14:paraId="0327C208">
      <w:pPr>
        <w:tabs>
          <w:tab w:val="left" w:pos="3060"/>
        </w:tabs>
        <w:adjustRightInd w:val="0"/>
        <w:snapToGrid w:val="0"/>
        <w:spacing w:line="360" w:lineRule="auto"/>
        <w:ind w:right="11" w:firstLine="420" w:firstLineChars="200"/>
        <w:rPr>
          <w:rFonts w:hint="eastAsia" w:ascii="宋体" w:hAnsi="宋体" w:eastAsia="宋体" w:cs="宋体"/>
          <w:bCs/>
          <w:color w:val="auto"/>
          <w:kern w:val="0"/>
          <w:szCs w:val="21"/>
          <w:highlight w:val="none"/>
          <w:lang w:val="zh-TW" w:eastAsia="zh-TW"/>
        </w:rPr>
      </w:pPr>
      <w:r>
        <w:rPr>
          <w:rFonts w:hint="eastAsia" w:ascii="宋体" w:hAnsi="宋体" w:eastAsia="宋体" w:cs="宋体"/>
          <w:bCs/>
          <w:snapToGrid w:val="0"/>
          <w:color w:val="auto"/>
          <w:kern w:val="0"/>
          <w:szCs w:val="21"/>
          <w:highlight w:val="none"/>
          <w:lang w:val="zh-TW" w:eastAsia="zh-TW" w:bidi="ar"/>
        </w:rPr>
        <w:t>3.2.5</w:t>
      </w:r>
      <w:r>
        <w:rPr>
          <w:rFonts w:hint="eastAsia" w:ascii="宋体" w:hAnsi="宋体" w:eastAsia="宋体" w:cs="宋体"/>
          <w:bCs/>
          <w:snapToGrid w:val="0"/>
          <w:color w:val="auto"/>
          <w:kern w:val="0"/>
          <w:szCs w:val="21"/>
          <w:highlight w:val="none"/>
          <w:lang w:val="zh-TW" w:bidi="ar"/>
        </w:rPr>
        <w:t>监理人应在委托人每期办理财政集中支付手续前【</w:t>
      </w:r>
      <w:r>
        <w:rPr>
          <w:rFonts w:hint="eastAsia" w:ascii="宋体" w:hAnsi="宋体" w:eastAsia="宋体" w:cs="宋体"/>
          <w:bCs/>
          <w:snapToGrid w:val="0"/>
          <w:color w:val="auto"/>
          <w:kern w:val="0"/>
          <w:szCs w:val="21"/>
          <w:highlight w:val="none"/>
          <w:lang w:bidi="ar"/>
        </w:rPr>
        <w:t>7</w:t>
      </w:r>
      <w:r>
        <w:rPr>
          <w:rFonts w:hint="eastAsia" w:ascii="宋体" w:hAnsi="宋体" w:eastAsia="宋体" w:cs="宋体"/>
          <w:bCs/>
          <w:snapToGrid w:val="0"/>
          <w:color w:val="auto"/>
          <w:kern w:val="0"/>
          <w:szCs w:val="21"/>
          <w:highlight w:val="none"/>
          <w:lang w:val="zh-TW" w:bidi="ar"/>
        </w:rPr>
        <w:t>】个工作日向委托人提供与当期应付款项等额的合法有效的国家正式发票（□增值税专用发票；□增值税普通发票）及书面付款申请（一式四份），供委托人审核确认后办理财政集中支付手续。</w:t>
      </w:r>
    </w:p>
    <w:p w14:paraId="54CEA247">
      <w:pPr>
        <w:tabs>
          <w:tab w:val="left" w:pos="3060"/>
        </w:tabs>
        <w:adjustRightInd w:val="0"/>
        <w:snapToGrid w:val="0"/>
        <w:spacing w:line="360" w:lineRule="auto"/>
        <w:ind w:right="11" w:firstLine="420" w:firstLineChars="200"/>
        <w:rPr>
          <w:rFonts w:hint="eastAsia" w:ascii="宋体" w:hAnsi="宋体" w:eastAsia="宋体" w:cs="宋体"/>
          <w:bCs/>
          <w:color w:val="auto"/>
          <w:kern w:val="0"/>
          <w:szCs w:val="21"/>
          <w:highlight w:val="none"/>
          <w:lang w:val="zh-TW" w:eastAsia="zh-TW"/>
        </w:rPr>
      </w:pPr>
      <w:r>
        <w:rPr>
          <w:rFonts w:hint="eastAsia" w:ascii="宋体" w:hAnsi="宋体" w:eastAsia="宋体" w:cs="宋体"/>
          <w:bCs/>
          <w:snapToGrid w:val="0"/>
          <w:color w:val="auto"/>
          <w:kern w:val="0"/>
          <w:szCs w:val="21"/>
          <w:highlight w:val="none"/>
          <w:lang w:val="zh-TW" w:bidi="ar"/>
        </w:rPr>
        <w:t>委托人指定开具发票的基本信息如下：</w:t>
      </w:r>
    </w:p>
    <w:p w14:paraId="5E627EED">
      <w:pPr>
        <w:tabs>
          <w:tab w:val="left" w:pos="3060"/>
        </w:tabs>
        <w:adjustRightInd w:val="0"/>
        <w:snapToGrid w:val="0"/>
        <w:spacing w:line="360" w:lineRule="auto"/>
        <w:ind w:right="11" w:firstLine="420" w:firstLineChars="200"/>
        <w:rPr>
          <w:rFonts w:hint="eastAsia" w:ascii="宋体" w:hAnsi="宋体" w:eastAsia="宋体" w:cs="宋体"/>
          <w:bCs/>
          <w:color w:val="auto"/>
          <w:kern w:val="0"/>
          <w:szCs w:val="21"/>
          <w:highlight w:val="none"/>
          <w:lang w:val="zh-TW" w:eastAsia="zh-TW"/>
        </w:rPr>
      </w:pPr>
      <w:r>
        <w:rPr>
          <w:rFonts w:hint="eastAsia" w:ascii="宋体" w:hAnsi="宋体" w:eastAsia="宋体" w:cs="宋体"/>
          <w:bCs/>
          <w:snapToGrid w:val="0"/>
          <w:color w:val="auto"/>
          <w:kern w:val="0"/>
          <w:szCs w:val="21"/>
          <w:highlight w:val="none"/>
          <w:lang w:val="zh-TW" w:bidi="ar"/>
        </w:rPr>
        <w:t>名</w:t>
      </w:r>
      <w:r>
        <w:rPr>
          <w:rFonts w:hint="eastAsia" w:ascii="宋体" w:hAnsi="宋体" w:eastAsia="宋体" w:cs="宋体"/>
          <w:bCs/>
          <w:color w:val="auto"/>
          <w:kern w:val="0"/>
          <w:szCs w:val="21"/>
          <w:highlight w:val="none"/>
          <w:lang w:val="zh-TW" w:eastAsia="zh-TW" w:bidi="ar"/>
        </w:rPr>
        <w:t xml:space="preserve">        </w:t>
      </w:r>
      <w:r>
        <w:rPr>
          <w:rFonts w:hint="eastAsia" w:ascii="宋体" w:hAnsi="宋体" w:eastAsia="宋体" w:cs="宋体"/>
          <w:bCs/>
          <w:snapToGrid w:val="0"/>
          <w:color w:val="auto"/>
          <w:kern w:val="0"/>
          <w:szCs w:val="21"/>
          <w:highlight w:val="none"/>
          <w:lang w:val="zh-TW" w:bidi="ar"/>
        </w:rPr>
        <w:t>称： 广州市天河区建设工程项目代建局</w:t>
      </w:r>
    </w:p>
    <w:p w14:paraId="4C195265">
      <w:pPr>
        <w:tabs>
          <w:tab w:val="left" w:pos="3060"/>
        </w:tabs>
        <w:adjustRightInd w:val="0"/>
        <w:snapToGrid w:val="0"/>
        <w:spacing w:line="360" w:lineRule="auto"/>
        <w:ind w:right="11" w:firstLine="420" w:firstLineChars="200"/>
        <w:rPr>
          <w:rFonts w:hint="eastAsia" w:ascii="宋体" w:hAnsi="宋体" w:eastAsia="宋体" w:cs="宋体"/>
          <w:bCs/>
          <w:color w:val="auto"/>
          <w:kern w:val="0"/>
          <w:szCs w:val="21"/>
          <w:highlight w:val="none"/>
          <w:lang w:val="zh-TW" w:eastAsia="zh-TW"/>
        </w:rPr>
      </w:pPr>
      <w:r>
        <w:rPr>
          <w:rFonts w:hint="eastAsia" w:ascii="宋体" w:hAnsi="宋体" w:eastAsia="宋体" w:cs="宋体"/>
          <w:bCs/>
          <w:snapToGrid w:val="0"/>
          <w:color w:val="auto"/>
          <w:kern w:val="0"/>
          <w:szCs w:val="21"/>
          <w:highlight w:val="none"/>
          <w:lang w:val="zh-TW" w:bidi="ar"/>
        </w:rPr>
        <w:t xml:space="preserve">纳税人识别号： </w:t>
      </w:r>
      <w:r>
        <w:rPr>
          <w:rFonts w:hint="eastAsia" w:ascii="宋体" w:hAnsi="宋体" w:eastAsia="宋体" w:cs="宋体"/>
          <w:bCs/>
          <w:color w:val="auto"/>
          <w:kern w:val="0"/>
          <w:szCs w:val="21"/>
          <w:highlight w:val="none"/>
          <w:lang w:val="zh-TW" w:eastAsia="zh-TW" w:bidi="ar"/>
        </w:rPr>
        <w:t>124401066852360589</w:t>
      </w:r>
    </w:p>
    <w:p w14:paraId="4C6BB364">
      <w:pPr>
        <w:tabs>
          <w:tab w:val="left" w:pos="3060"/>
        </w:tabs>
        <w:adjustRightInd w:val="0"/>
        <w:snapToGrid w:val="0"/>
        <w:spacing w:line="360" w:lineRule="auto"/>
        <w:ind w:right="11" w:firstLine="420" w:firstLineChars="200"/>
        <w:rPr>
          <w:rFonts w:hint="eastAsia" w:ascii="宋体" w:hAnsi="宋体" w:eastAsia="宋体" w:cs="宋体"/>
          <w:bCs/>
          <w:color w:val="auto"/>
          <w:kern w:val="0"/>
          <w:szCs w:val="21"/>
          <w:highlight w:val="none"/>
          <w:lang w:val="zh-TW" w:eastAsia="zh-TW"/>
        </w:rPr>
      </w:pPr>
      <w:r>
        <w:rPr>
          <w:rFonts w:hint="eastAsia" w:ascii="宋体" w:hAnsi="宋体" w:eastAsia="宋体" w:cs="宋体"/>
          <w:bCs/>
          <w:snapToGrid w:val="0"/>
          <w:color w:val="auto"/>
          <w:kern w:val="0"/>
          <w:szCs w:val="21"/>
          <w:highlight w:val="none"/>
          <w:lang w:val="zh-TW" w:bidi="ar"/>
        </w:rPr>
        <w:t>地址、电话： 广州市天河区黄埔大道</w:t>
      </w:r>
      <w:r>
        <w:rPr>
          <w:rFonts w:hint="eastAsia" w:ascii="宋体" w:hAnsi="宋体" w:eastAsia="宋体" w:cs="宋体"/>
          <w:bCs/>
          <w:snapToGrid w:val="0"/>
          <w:color w:val="auto"/>
          <w:kern w:val="0"/>
          <w:szCs w:val="21"/>
          <w:highlight w:val="none"/>
          <w:lang w:bidi="ar"/>
        </w:rPr>
        <w:t>中</w:t>
      </w:r>
      <w:r>
        <w:rPr>
          <w:rFonts w:hint="eastAsia" w:ascii="宋体" w:hAnsi="宋体" w:eastAsia="宋体" w:cs="宋体"/>
          <w:bCs/>
          <w:snapToGrid w:val="0"/>
          <w:color w:val="auto"/>
          <w:kern w:val="0"/>
          <w:szCs w:val="21"/>
          <w:highlight w:val="none"/>
          <w:lang w:val="zh-TW" w:eastAsia="zh-TW" w:bidi="ar"/>
        </w:rPr>
        <w:t>300</w:t>
      </w:r>
      <w:r>
        <w:rPr>
          <w:rFonts w:hint="eastAsia" w:ascii="宋体" w:hAnsi="宋体" w:eastAsia="宋体" w:cs="宋体"/>
          <w:bCs/>
          <w:snapToGrid w:val="0"/>
          <w:color w:val="auto"/>
          <w:kern w:val="0"/>
          <w:szCs w:val="21"/>
          <w:highlight w:val="none"/>
          <w:lang w:val="zh-TW" w:bidi="ar"/>
        </w:rPr>
        <w:t>号润都大厦</w:t>
      </w:r>
      <w:r>
        <w:rPr>
          <w:rFonts w:hint="eastAsia" w:ascii="宋体" w:hAnsi="宋体" w:eastAsia="宋体" w:cs="宋体"/>
          <w:bCs/>
          <w:color w:val="auto"/>
          <w:kern w:val="0"/>
          <w:szCs w:val="21"/>
          <w:highlight w:val="none"/>
          <w:lang w:val="zh-TW" w:eastAsia="zh-TW" w:bidi="ar"/>
        </w:rPr>
        <w:t>15</w:t>
      </w:r>
      <w:r>
        <w:rPr>
          <w:rFonts w:hint="eastAsia" w:ascii="宋体" w:hAnsi="宋体" w:eastAsia="宋体" w:cs="宋体"/>
          <w:bCs/>
          <w:snapToGrid w:val="0"/>
          <w:color w:val="auto"/>
          <w:kern w:val="0"/>
          <w:szCs w:val="21"/>
          <w:highlight w:val="none"/>
          <w:lang w:val="zh-TW" w:bidi="ar"/>
        </w:rPr>
        <w:t>楼</w:t>
      </w:r>
    </w:p>
    <w:p w14:paraId="04C2B999">
      <w:pPr>
        <w:tabs>
          <w:tab w:val="left" w:pos="3060"/>
        </w:tabs>
        <w:adjustRightInd w:val="0"/>
        <w:snapToGrid w:val="0"/>
        <w:spacing w:line="360" w:lineRule="auto"/>
        <w:ind w:right="11" w:firstLine="420" w:firstLineChars="200"/>
        <w:rPr>
          <w:rFonts w:hint="eastAsia" w:ascii="宋体" w:hAnsi="宋体" w:eastAsia="宋体" w:cs="宋体"/>
          <w:bCs/>
          <w:snapToGrid w:val="0"/>
          <w:color w:val="auto"/>
          <w:kern w:val="0"/>
          <w:szCs w:val="21"/>
          <w:highlight w:val="none"/>
          <w:lang w:val="zh-TW" w:eastAsia="zh-TW"/>
        </w:rPr>
      </w:pPr>
      <w:r>
        <w:rPr>
          <w:rFonts w:hint="eastAsia" w:ascii="宋体" w:hAnsi="宋体" w:eastAsia="宋体" w:cs="宋体"/>
          <w:bCs/>
          <w:snapToGrid w:val="0"/>
          <w:color w:val="auto"/>
          <w:kern w:val="0"/>
          <w:szCs w:val="21"/>
          <w:highlight w:val="none"/>
          <w:lang w:val="zh-TW" w:bidi="ar"/>
        </w:rPr>
        <w:t>开户行： 工商银行广州员村支行</w:t>
      </w:r>
      <w:r>
        <w:rPr>
          <w:rFonts w:hint="eastAsia" w:ascii="宋体" w:hAnsi="宋体" w:eastAsia="宋体" w:cs="宋体"/>
          <w:bCs/>
          <w:color w:val="auto"/>
          <w:kern w:val="0"/>
          <w:szCs w:val="21"/>
          <w:highlight w:val="none"/>
          <w:lang w:bidi="ar"/>
        </w:rPr>
        <w:t xml:space="preserve">  </w:t>
      </w:r>
      <w:r>
        <w:rPr>
          <w:rFonts w:hint="eastAsia" w:ascii="宋体" w:hAnsi="宋体" w:eastAsia="宋体" w:cs="宋体"/>
          <w:bCs/>
          <w:snapToGrid w:val="0"/>
          <w:color w:val="auto"/>
          <w:kern w:val="0"/>
          <w:szCs w:val="21"/>
          <w:highlight w:val="none"/>
          <w:lang w:bidi="ar"/>
        </w:rPr>
        <w:t>账号：</w:t>
      </w:r>
      <w:r>
        <w:rPr>
          <w:rFonts w:hint="eastAsia" w:ascii="宋体" w:hAnsi="宋体" w:eastAsia="宋体" w:cs="宋体"/>
          <w:bCs/>
          <w:snapToGrid w:val="0"/>
          <w:color w:val="auto"/>
          <w:kern w:val="0"/>
          <w:szCs w:val="21"/>
          <w:highlight w:val="none"/>
          <w:lang w:val="zh-TW" w:eastAsia="zh-TW" w:bidi="ar"/>
        </w:rPr>
        <w:t>3602005309200186668</w:t>
      </w:r>
    </w:p>
    <w:p w14:paraId="30AFA412">
      <w:pPr>
        <w:tabs>
          <w:tab w:val="left" w:pos="3060"/>
        </w:tabs>
        <w:adjustRightInd w:val="0"/>
        <w:snapToGrid w:val="0"/>
        <w:spacing w:line="360" w:lineRule="auto"/>
        <w:ind w:right="11" w:firstLine="420" w:firstLineChars="200"/>
        <w:rPr>
          <w:rFonts w:hint="eastAsia" w:ascii="宋体" w:hAnsi="宋体" w:eastAsia="宋体" w:cs="宋体"/>
          <w:bCs/>
          <w:color w:val="auto"/>
          <w:kern w:val="0"/>
          <w:szCs w:val="21"/>
          <w:highlight w:val="none"/>
          <w:lang w:val="zh-TW" w:eastAsia="zh-TW"/>
        </w:rPr>
      </w:pPr>
      <w:r>
        <w:rPr>
          <w:rFonts w:hint="eastAsia" w:ascii="宋体" w:hAnsi="宋体" w:eastAsia="宋体" w:cs="宋体"/>
          <w:bCs/>
          <w:snapToGrid w:val="0"/>
          <w:color w:val="auto"/>
          <w:kern w:val="0"/>
          <w:szCs w:val="21"/>
          <w:highlight w:val="none"/>
          <w:lang w:val="zh-TW" w:bidi="ar"/>
        </w:rPr>
        <w:t>货物或应税劳务、服务名称：</w:t>
      </w:r>
    </w:p>
    <w:p w14:paraId="0A5587D2">
      <w:pPr>
        <w:tabs>
          <w:tab w:val="left" w:pos="3060"/>
        </w:tabs>
        <w:adjustRightInd w:val="0"/>
        <w:snapToGrid w:val="0"/>
        <w:spacing w:line="360" w:lineRule="auto"/>
        <w:ind w:right="11" w:firstLine="420" w:firstLineChars="200"/>
        <w:rPr>
          <w:rFonts w:hint="eastAsia" w:ascii="宋体" w:hAnsi="宋体" w:eastAsia="宋体" w:cs="宋体"/>
          <w:bCs/>
          <w:color w:val="auto"/>
          <w:kern w:val="0"/>
          <w:szCs w:val="21"/>
          <w:highlight w:val="none"/>
          <w:lang w:val="zh-TW" w:eastAsia="zh-TW"/>
        </w:rPr>
      </w:pPr>
      <w:r>
        <w:rPr>
          <w:rFonts w:hint="eastAsia" w:ascii="宋体" w:hAnsi="宋体" w:eastAsia="宋体" w:cs="宋体"/>
          <w:bCs/>
          <w:snapToGrid w:val="0"/>
          <w:color w:val="auto"/>
          <w:kern w:val="0"/>
          <w:szCs w:val="21"/>
          <w:highlight w:val="none"/>
          <w:lang w:val="zh-TW" w:eastAsia="zh-TW" w:bidi="ar"/>
        </w:rPr>
        <w:t>3.2.6</w:t>
      </w:r>
      <w:r>
        <w:rPr>
          <w:rFonts w:hint="eastAsia" w:ascii="宋体" w:hAnsi="宋体" w:eastAsia="宋体" w:cs="宋体"/>
          <w:bCs/>
          <w:snapToGrid w:val="0"/>
          <w:color w:val="auto"/>
          <w:kern w:val="0"/>
          <w:szCs w:val="21"/>
          <w:highlight w:val="none"/>
          <w:lang w:val="zh-TW" w:bidi="ar"/>
        </w:rPr>
        <w:t>监理人确认本合同落款盖章处载明的银行账户为其指定的唯一的收款账户。如监理人需更改银行账户信息须于委托人办理财政集中支付手续</w:t>
      </w:r>
      <w:r>
        <w:rPr>
          <w:rFonts w:hint="eastAsia" w:ascii="宋体" w:hAnsi="宋体" w:eastAsia="宋体" w:cs="宋体"/>
          <w:bCs/>
          <w:color w:val="auto"/>
          <w:kern w:val="0"/>
          <w:szCs w:val="21"/>
          <w:highlight w:val="none"/>
          <w:lang w:val="zh-TW" w:eastAsia="zh-TW" w:bidi="ar"/>
        </w:rPr>
        <w:t>3</w:t>
      </w:r>
      <w:r>
        <w:rPr>
          <w:rFonts w:hint="eastAsia" w:ascii="宋体" w:hAnsi="宋体" w:eastAsia="宋体" w:cs="宋体"/>
          <w:bCs/>
          <w:snapToGrid w:val="0"/>
          <w:color w:val="auto"/>
          <w:kern w:val="0"/>
          <w:szCs w:val="21"/>
          <w:highlight w:val="none"/>
          <w:lang w:val="zh-TW" w:bidi="ar"/>
        </w:rPr>
        <w:t>个工作日前以书面方式通知委托人，否则，委托人向前述账户支付款项到账后，视为已支付款项，监理人自行承担怠于通知的不利后果。</w:t>
      </w:r>
    </w:p>
    <w:p w14:paraId="04F30E55">
      <w:pPr>
        <w:tabs>
          <w:tab w:val="left" w:pos="3060"/>
        </w:tabs>
        <w:adjustRightInd w:val="0"/>
        <w:snapToGrid w:val="0"/>
        <w:spacing w:line="360" w:lineRule="auto"/>
        <w:ind w:right="11" w:firstLine="420" w:firstLineChars="200"/>
        <w:rPr>
          <w:rFonts w:hint="eastAsia" w:ascii="宋体" w:hAnsi="宋体" w:eastAsia="宋体" w:cs="宋体"/>
          <w:bCs/>
          <w:color w:val="auto"/>
          <w:kern w:val="0"/>
          <w:szCs w:val="21"/>
          <w:highlight w:val="none"/>
          <w:lang w:val="zh-TW" w:eastAsia="zh-TW"/>
        </w:rPr>
      </w:pPr>
      <w:r>
        <w:rPr>
          <w:rFonts w:hint="eastAsia" w:ascii="宋体" w:hAnsi="宋体" w:eastAsia="宋体" w:cs="宋体"/>
          <w:bCs/>
          <w:snapToGrid w:val="0"/>
          <w:color w:val="auto"/>
          <w:kern w:val="0"/>
          <w:szCs w:val="21"/>
          <w:highlight w:val="none"/>
          <w:lang w:val="zh-TW" w:eastAsia="zh-TW" w:bidi="ar"/>
        </w:rPr>
        <w:t>3.2.7</w:t>
      </w:r>
      <w:r>
        <w:rPr>
          <w:rFonts w:hint="eastAsia" w:ascii="宋体" w:hAnsi="宋体" w:eastAsia="宋体" w:cs="宋体"/>
          <w:bCs/>
          <w:snapToGrid w:val="0"/>
          <w:color w:val="auto"/>
          <w:kern w:val="0"/>
          <w:szCs w:val="21"/>
          <w:highlight w:val="none"/>
          <w:lang w:val="zh-TW" w:bidi="ar"/>
        </w:rPr>
        <w:t>鉴于委托人使用的是财政资金，委托人在第</w:t>
      </w:r>
      <w:r>
        <w:rPr>
          <w:rFonts w:hint="eastAsia" w:ascii="宋体" w:hAnsi="宋体" w:eastAsia="宋体" w:cs="宋体"/>
          <w:bCs/>
          <w:color w:val="auto"/>
          <w:kern w:val="0"/>
          <w:szCs w:val="21"/>
          <w:highlight w:val="none"/>
          <w:lang w:val="zh-TW" w:eastAsia="zh-TW" w:bidi="ar"/>
        </w:rPr>
        <w:t>3.2.3</w:t>
      </w:r>
      <w:r>
        <w:rPr>
          <w:rFonts w:hint="eastAsia" w:ascii="宋体" w:hAnsi="宋体" w:eastAsia="宋体" w:cs="宋体"/>
          <w:bCs/>
          <w:snapToGrid w:val="0"/>
          <w:color w:val="auto"/>
          <w:kern w:val="0"/>
          <w:szCs w:val="21"/>
          <w:highlight w:val="none"/>
          <w:lang w:val="zh-TW" w:bidi="ar"/>
        </w:rPr>
        <w:t>款约定的时间内办理财政集中支付手续的（不含政府财政支付部门审核的时间），视为委托人已按约支付。由于财政拨款不到位、监理人未及时提供合法有效的发票或不可抗力原因导致监理人收款延误的，委托人不承担延迟付款的责任，并且此情况不能成为监理人中止或拒绝履行本合同项下义务的理由。</w:t>
      </w:r>
    </w:p>
    <w:p w14:paraId="29E527E4">
      <w:pPr>
        <w:adjustRightInd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四、</w:t>
      </w:r>
      <w:r>
        <w:rPr>
          <w:rFonts w:hint="eastAsia" w:ascii="宋体" w:hAnsi="宋体" w:eastAsia="宋体" w:cs="宋体"/>
          <w:snapToGrid w:val="0"/>
          <w:color w:val="auto"/>
          <w:kern w:val="0"/>
          <w:szCs w:val="21"/>
          <w:highlight w:val="none"/>
          <w:lang w:bidi="ar"/>
        </w:rPr>
        <w:t>本协议书中的有关词语含义与本合同《专用条件》、《标准条件》中赋予它们的定义相同。</w:t>
      </w:r>
    </w:p>
    <w:p w14:paraId="4C6151F9">
      <w:pPr>
        <w:adjustRightInd w:val="0"/>
        <w:snapToGrid w:val="0"/>
        <w:spacing w:line="360" w:lineRule="auto"/>
        <w:ind w:right="11" w:firstLine="422" w:firstLineChars="200"/>
        <w:rPr>
          <w:rFonts w:hint="eastAsia" w:ascii="宋体" w:hAnsi="宋体" w:eastAsia="宋体" w:cs="宋体"/>
          <w:bCs/>
          <w:color w:val="auto"/>
          <w:kern w:val="0"/>
          <w:szCs w:val="21"/>
          <w:highlight w:val="none"/>
        </w:rPr>
      </w:pPr>
      <w:r>
        <w:rPr>
          <w:rFonts w:hint="eastAsia" w:ascii="宋体" w:hAnsi="宋体" w:eastAsia="宋体" w:cs="宋体"/>
          <w:b/>
          <w:snapToGrid w:val="0"/>
          <w:color w:val="auto"/>
          <w:kern w:val="0"/>
          <w:szCs w:val="21"/>
          <w:highlight w:val="none"/>
          <w:lang w:bidi="ar"/>
        </w:rPr>
        <w:t>五、</w:t>
      </w:r>
      <w:r>
        <w:rPr>
          <w:rFonts w:hint="eastAsia" w:ascii="宋体" w:hAnsi="宋体" w:eastAsia="宋体" w:cs="宋体"/>
          <w:bCs/>
          <w:snapToGrid w:val="0"/>
          <w:color w:val="auto"/>
          <w:kern w:val="0"/>
          <w:szCs w:val="21"/>
          <w:highlight w:val="none"/>
          <w:lang w:bidi="ar"/>
        </w:rPr>
        <w:t>下列文件应被认为是组成本合同的一部分，并互为补充和解释，如各文件存在冲突之处，以如下排列次序在前者优先适用：</w:t>
      </w:r>
    </w:p>
    <w:p w14:paraId="2540325D">
      <w:pPr>
        <w:adjustRightInd w:val="0"/>
        <w:snapToGrid w:val="0"/>
        <w:spacing w:line="360" w:lineRule="auto"/>
        <w:ind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）本合同履行期间委托人与监理人双方签订的补充合同（协议）或修正文件；</w:t>
      </w:r>
    </w:p>
    <w:p w14:paraId="1AFCDC0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）本协议书；</w:t>
      </w:r>
    </w:p>
    <w:p w14:paraId="6F792E2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）中标通知书（如有）；</w:t>
      </w:r>
    </w:p>
    <w:p w14:paraId="171315C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4</w:t>
      </w:r>
      <w:r>
        <w:rPr>
          <w:rFonts w:hint="eastAsia" w:ascii="宋体" w:hAnsi="宋体" w:eastAsia="宋体" w:cs="宋体"/>
          <w:snapToGrid w:val="0"/>
          <w:color w:val="auto"/>
          <w:kern w:val="0"/>
          <w:szCs w:val="21"/>
          <w:highlight w:val="none"/>
          <w:lang w:bidi="ar"/>
        </w:rPr>
        <w:t>）本合同专用条件；</w:t>
      </w:r>
    </w:p>
    <w:p w14:paraId="7898370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5</w:t>
      </w:r>
      <w:r>
        <w:rPr>
          <w:rFonts w:hint="eastAsia" w:ascii="宋体" w:hAnsi="宋体" w:eastAsia="宋体" w:cs="宋体"/>
          <w:snapToGrid w:val="0"/>
          <w:color w:val="auto"/>
          <w:kern w:val="0"/>
          <w:szCs w:val="21"/>
          <w:highlight w:val="none"/>
          <w:lang w:bidi="ar"/>
        </w:rPr>
        <w:t>）委托人制定的各项制度、规定；</w:t>
      </w:r>
    </w:p>
    <w:p w14:paraId="09F8C10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6</w:t>
      </w:r>
      <w:r>
        <w:rPr>
          <w:rFonts w:hint="eastAsia" w:ascii="宋体" w:hAnsi="宋体" w:eastAsia="宋体" w:cs="宋体"/>
          <w:snapToGrid w:val="0"/>
          <w:color w:val="auto"/>
          <w:kern w:val="0"/>
          <w:szCs w:val="21"/>
          <w:highlight w:val="none"/>
          <w:lang w:bidi="ar"/>
        </w:rPr>
        <w:t>）本合同附件；</w:t>
      </w:r>
    </w:p>
    <w:p w14:paraId="1FC03F1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7</w:t>
      </w:r>
      <w:r>
        <w:rPr>
          <w:rFonts w:hint="eastAsia" w:ascii="宋体" w:hAnsi="宋体" w:eastAsia="宋体" w:cs="宋体"/>
          <w:snapToGrid w:val="0"/>
          <w:color w:val="auto"/>
          <w:kern w:val="0"/>
          <w:szCs w:val="21"/>
          <w:highlight w:val="none"/>
          <w:lang w:bidi="ar"/>
        </w:rPr>
        <w:t>）本合同标准条件；</w:t>
      </w:r>
    </w:p>
    <w:p w14:paraId="1A297BE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8</w:t>
      </w:r>
      <w:r>
        <w:rPr>
          <w:rFonts w:hint="eastAsia" w:ascii="宋体" w:hAnsi="宋体" w:eastAsia="宋体" w:cs="宋体"/>
          <w:snapToGrid w:val="0"/>
          <w:color w:val="auto"/>
          <w:kern w:val="0"/>
          <w:szCs w:val="21"/>
          <w:highlight w:val="none"/>
          <w:lang w:bidi="ar"/>
        </w:rPr>
        <w:t>）本合同工程监理招标文件</w:t>
      </w:r>
      <w:r>
        <w:rPr>
          <w:rFonts w:hint="eastAsia" w:ascii="宋体" w:hAnsi="宋体" w:eastAsia="宋体" w:cs="宋体"/>
          <w:bCs/>
          <w:color w:val="auto"/>
          <w:kern w:val="0"/>
          <w:szCs w:val="21"/>
          <w:highlight w:val="none"/>
          <w:lang w:bidi="ar"/>
        </w:rPr>
        <w:t>（含招标文件补充文件、澄清文件、答疑文件等，属本条第7项内容的除外）</w:t>
      </w:r>
      <w:r>
        <w:rPr>
          <w:rFonts w:hint="eastAsia" w:ascii="宋体" w:hAnsi="宋体" w:eastAsia="宋体" w:cs="宋体"/>
          <w:snapToGrid w:val="0"/>
          <w:color w:val="auto"/>
          <w:kern w:val="0"/>
          <w:szCs w:val="21"/>
          <w:highlight w:val="none"/>
          <w:lang w:bidi="ar"/>
        </w:rPr>
        <w:t>；</w:t>
      </w:r>
    </w:p>
    <w:p w14:paraId="6A5AB88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9</w:t>
      </w:r>
      <w:r>
        <w:rPr>
          <w:rFonts w:hint="eastAsia" w:ascii="宋体" w:hAnsi="宋体" w:eastAsia="宋体" w:cs="宋体"/>
          <w:snapToGrid w:val="0"/>
          <w:color w:val="auto"/>
          <w:kern w:val="0"/>
          <w:szCs w:val="21"/>
          <w:highlight w:val="none"/>
          <w:lang w:bidi="ar"/>
        </w:rPr>
        <w:t>）本合同工程监理投标文件</w:t>
      </w:r>
      <w:r>
        <w:rPr>
          <w:rFonts w:hint="eastAsia" w:ascii="宋体" w:hAnsi="宋体" w:eastAsia="宋体" w:cs="宋体"/>
          <w:bCs/>
          <w:color w:val="auto"/>
          <w:kern w:val="0"/>
          <w:szCs w:val="21"/>
          <w:highlight w:val="none"/>
          <w:lang w:bidi="ar"/>
        </w:rPr>
        <w:t>（含投标文件澄清等，属本条第(7)项内容的除外）</w:t>
      </w:r>
      <w:r>
        <w:rPr>
          <w:rFonts w:hint="eastAsia" w:ascii="宋体" w:hAnsi="宋体" w:eastAsia="宋体" w:cs="宋体"/>
          <w:snapToGrid w:val="0"/>
          <w:color w:val="auto"/>
          <w:kern w:val="0"/>
          <w:szCs w:val="21"/>
          <w:highlight w:val="none"/>
          <w:lang w:bidi="ar"/>
        </w:rPr>
        <w:t>；</w:t>
      </w:r>
    </w:p>
    <w:p w14:paraId="048DEF7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10</w:t>
      </w:r>
      <w:r>
        <w:rPr>
          <w:rFonts w:hint="eastAsia" w:ascii="宋体" w:hAnsi="宋体" w:eastAsia="宋体" w:cs="宋体"/>
          <w:snapToGrid w:val="0"/>
          <w:color w:val="auto"/>
          <w:kern w:val="0"/>
          <w:szCs w:val="21"/>
          <w:highlight w:val="none"/>
          <w:lang w:bidi="ar"/>
        </w:rPr>
        <w:t>）组成本合同的其他文件。</w:t>
      </w:r>
    </w:p>
    <w:p w14:paraId="38A9580A">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Cs w:val="21"/>
          <w:highlight w:val="none"/>
          <w:lang w:bidi="ar"/>
        </w:rPr>
        <w:t>通过上述顺序解释仍无法明确的事项，由委托人与监理人协商解决；如协商不成，由委托人按照公平合理和有利于本合同工程建设的原则作出决定，监理人应无条件执行。如监理人认为因此给其造成了损失，可按</w:t>
      </w:r>
      <w:r>
        <w:rPr>
          <w:rFonts w:hint="eastAsia" w:ascii="宋体" w:hAnsi="宋体" w:eastAsia="宋体" w:cs="宋体"/>
          <w:bCs/>
          <w:color w:val="auto"/>
          <w:kern w:val="0"/>
          <w:szCs w:val="21"/>
          <w:highlight w:val="none"/>
          <w:lang w:bidi="ar"/>
        </w:rPr>
        <w:t>本合同专用条件第四十九条的约定处理。</w:t>
      </w:r>
    </w:p>
    <w:p w14:paraId="77C4562B">
      <w:pPr>
        <w:adjustRightInd w:val="0"/>
        <w:snapToGrid w:val="0"/>
        <w:spacing w:line="360" w:lineRule="auto"/>
        <w:ind w:firstLine="413" w:firstLineChars="196"/>
        <w:rPr>
          <w:rFonts w:hint="eastAsia" w:ascii="宋体" w:hAnsi="宋体" w:eastAsia="宋体" w:cs="宋体"/>
          <w:bCs/>
          <w:color w:val="auto"/>
          <w:kern w:val="0"/>
          <w:szCs w:val="21"/>
          <w:highlight w:val="none"/>
        </w:rPr>
      </w:pPr>
      <w:r>
        <w:rPr>
          <w:rFonts w:hint="eastAsia" w:ascii="宋体" w:hAnsi="宋体" w:eastAsia="宋体" w:cs="宋体"/>
          <w:b/>
          <w:snapToGrid w:val="0"/>
          <w:color w:val="auto"/>
          <w:kern w:val="0"/>
          <w:szCs w:val="21"/>
          <w:highlight w:val="none"/>
          <w:lang w:bidi="ar"/>
        </w:rPr>
        <w:t>六、</w:t>
      </w:r>
      <w:r>
        <w:rPr>
          <w:rFonts w:hint="eastAsia" w:ascii="宋体" w:hAnsi="宋体" w:eastAsia="宋体" w:cs="宋体"/>
          <w:bCs/>
          <w:snapToGrid w:val="0"/>
          <w:color w:val="auto"/>
          <w:kern w:val="0"/>
          <w:szCs w:val="21"/>
          <w:highlight w:val="none"/>
          <w:lang w:bidi="ar"/>
        </w:rPr>
        <w:t>监理人承诺遵守委托人所制订的针对本合同工程建设管理的各项制度、规定，这些管理制度、规定必须符合下列原则：</w:t>
      </w:r>
    </w:p>
    <w:p w14:paraId="450784F3">
      <w:pPr>
        <w:adjustRightInd w:val="0"/>
        <w:snapToGrid w:val="0"/>
        <w:spacing w:line="360" w:lineRule="auto"/>
        <w:ind w:left="405"/>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）符合国家、广东省、广州市的有关政策、法规、规范和标准；</w:t>
      </w:r>
    </w:p>
    <w:p w14:paraId="2F1AFC45">
      <w:pPr>
        <w:adjustRightInd w:val="0"/>
        <w:snapToGrid w:val="0"/>
        <w:spacing w:line="360" w:lineRule="auto"/>
        <w:ind w:left="405"/>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2</w:t>
      </w:r>
      <w:r>
        <w:rPr>
          <w:rFonts w:hint="eastAsia" w:ascii="宋体" w:hAnsi="宋体" w:eastAsia="宋体" w:cs="宋体"/>
          <w:bCs/>
          <w:snapToGrid w:val="0"/>
          <w:color w:val="auto"/>
          <w:kern w:val="0"/>
          <w:szCs w:val="21"/>
          <w:highlight w:val="none"/>
          <w:lang w:bidi="ar"/>
        </w:rPr>
        <w:t>）符合对本合同工程进行有效管理的基本精神和要求；</w:t>
      </w:r>
    </w:p>
    <w:p w14:paraId="772809D7">
      <w:pPr>
        <w:adjustRightInd w:val="0"/>
        <w:snapToGrid w:val="0"/>
        <w:spacing w:line="360" w:lineRule="auto"/>
        <w:ind w:left="405"/>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）为确保工程质量、进度、安全文明及职业健康管理所必须；</w:t>
      </w:r>
    </w:p>
    <w:p w14:paraId="0EB41B89">
      <w:pPr>
        <w:adjustRightInd w:val="0"/>
        <w:snapToGrid w:val="0"/>
        <w:spacing w:line="360" w:lineRule="auto"/>
        <w:ind w:left="405"/>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4</w:t>
      </w:r>
      <w:r>
        <w:rPr>
          <w:rFonts w:hint="eastAsia" w:ascii="宋体" w:hAnsi="宋体" w:eastAsia="宋体" w:cs="宋体"/>
          <w:bCs/>
          <w:snapToGrid w:val="0"/>
          <w:color w:val="auto"/>
          <w:kern w:val="0"/>
          <w:szCs w:val="21"/>
          <w:highlight w:val="none"/>
          <w:lang w:bidi="ar"/>
        </w:rPr>
        <w:t>）不是针对某一特定的监理人或承包人。</w:t>
      </w:r>
    </w:p>
    <w:p w14:paraId="6B8AA2B9">
      <w:pPr>
        <w:adjustRightInd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七、</w:t>
      </w:r>
      <w:r>
        <w:rPr>
          <w:rFonts w:hint="eastAsia" w:ascii="宋体" w:hAnsi="宋体" w:eastAsia="宋体" w:cs="宋体"/>
          <w:snapToGrid w:val="0"/>
          <w:color w:val="auto"/>
          <w:kern w:val="0"/>
          <w:szCs w:val="21"/>
          <w:highlight w:val="none"/>
          <w:lang w:bidi="ar"/>
        </w:rPr>
        <w:t>监理人应投入足够的合格人员确保及时准确地按委托人要求进行信息报送。</w:t>
      </w:r>
    </w:p>
    <w:p w14:paraId="1D99FD5A">
      <w:pPr>
        <w:adjustRightInd w:val="0"/>
        <w:snapToGrid w:val="0"/>
        <w:spacing w:line="360" w:lineRule="auto"/>
        <w:ind w:right="11" w:firstLine="422" w:firstLineChars="200"/>
        <w:rPr>
          <w:rFonts w:hint="eastAsia" w:ascii="宋体" w:hAnsi="宋体" w:eastAsia="宋体" w:cs="宋体"/>
          <w:bCs/>
          <w:color w:val="auto"/>
          <w:kern w:val="0"/>
          <w:szCs w:val="21"/>
          <w:highlight w:val="none"/>
        </w:rPr>
      </w:pPr>
      <w:r>
        <w:rPr>
          <w:rFonts w:hint="eastAsia" w:ascii="宋体" w:hAnsi="宋体" w:eastAsia="宋体" w:cs="宋体"/>
          <w:b/>
          <w:snapToGrid w:val="0"/>
          <w:color w:val="auto"/>
          <w:kern w:val="0"/>
          <w:szCs w:val="21"/>
          <w:highlight w:val="none"/>
          <w:lang w:bidi="ar"/>
        </w:rPr>
        <w:t>八、</w:t>
      </w:r>
      <w:r>
        <w:rPr>
          <w:rFonts w:hint="eastAsia" w:ascii="宋体" w:hAnsi="宋体" w:eastAsia="宋体" w:cs="宋体"/>
          <w:bCs/>
          <w:snapToGrid w:val="0"/>
          <w:color w:val="auto"/>
          <w:kern w:val="0"/>
          <w:szCs w:val="21"/>
          <w:highlight w:val="none"/>
          <w:lang w:bidi="ar"/>
        </w:rPr>
        <w:t>本合同自</w:t>
      </w:r>
      <w:r>
        <w:rPr>
          <w:rFonts w:hint="eastAsia" w:ascii="宋体" w:hAnsi="宋体" w:eastAsia="宋体" w:cs="宋体"/>
          <w:snapToGrid w:val="0"/>
          <w:color w:val="auto"/>
          <w:kern w:val="0"/>
          <w:szCs w:val="21"/>
          <w:highlight w:val="none"/>
          <w:lang w:bidi="ar"/>
        </w:rPr>
        <w:t>委托人</w:t>
      </w:r>
      <w:r>
        <w:rPr>
          <w:rFonts w:hint="eastAsia" w:ascii="宋体" w:hAnsi="宋体" w:eastAsia="宋体" w:cs="宋体"/>
          <w:bCs/>
          <w:color w:val="auto"/>
          <w:kern w:val="0"/>
          <w:szCs w:val="21"/>
          <w:highlight w:val="none"/>
          <w:lang w:bidi="ar"/>
        </w:rPr>
        <w:t>、</w:t>
      </w:r>
      <w:r>
        <w:rPr>
          <w:rFonts w:hint="eastAsia" w:ascii="宋体" w:hAnsi="宋体" w:eastAsia="宋体" w:cs="宋体"/>
          <w:snapToGrid w:val="0"/>
          <w:color w:val="auto"/>
          <w:kern w:val="0"/>
          <w:szCs w:val="21"/>
          <w:highlight w:val="none"/>
          <w:lang w:bidi="ar"/>
        </w:rPr>
        <w:t>监理人</w:t>
      </w:r>
      <w:r>
        <w:rPr>
          <w:rFonts w:hint="eastAsia" w:ascii="宋体" w:hAnsi="宋体" w:eastAsia="宋体" w:cs="宋体"/>
          <w:bCs/>
          <w:color w:val="auto"/>
          <w:kern w:val="0"/>
          <w:szCs w:val="21"/>
          <w:highlight w:val="none"/>
          <w:lang w:bidi="ar"/>
        </w:rPr>
        <w:t>双方</w:t>
      </w:r>
      <w:r>
        <w:rPr>
          <w:rFonts w:hint="eastAsia" w:ascii="宋体" w:hAnsi="宋体" w:eastAsia="宋体" w:cs="宋体"/>
          <w:snapToGrid w:val="0"/>
          <w:color w:val="auto"/>
          <w:kern w:val="0"/>
          <w:szCs w:val="21"/>
          <w:highlight w:val="none"/>
          <w:lang w:bidi="ar"/>
        </w:rPr>
        <w:t>法定代表人（或其委托代理人）签名</w:t>
      </w:r>
      <w:r>
        <w:rPr>
          <w:rFonts w:hint="eastAsia" w:ascii="宋体" w:hAnsi="宋体" w:eastAsia="宋体" w:cs="宋体"/>
          <w:snapToGrid w:val="0"/>
          <w:color w:val="auto"/>
          <w:kern w:val="0"/>
          <w:szCs w:val="21"/>
          <w:highlight w:val="none"/>
          <w:lang w:val="en-US" w:eastAsia="zh-CN" w:bidi="ar"/>
        </w:rPr>
        <w:t>并</w:t>
      </w:r>
      <w:r>
        <w:rPr>
          <w:rFonts w:hint="eastAsia" w:ascii="宋体" w:hAnsi="宋体" w:eastAsia="宋体" w:cs="宋体"/>
          <w:snapToGrid w:val="0"/>
          <w:color w:val="auto"/>
          <w:kern w:val="0"/>
          <w:szCs w:val="21"/>
          <w:highlight w:val="none"/>
          <w:lang w:bidi="ar"/>
        </w:rPr>
        <w:t>加盖公章</w:t>
      </w:r>
      <w:r>
        <w:rPr>
          <w:rFonts w:hint="eastAsia" w:ascii="宋体" w:hAnsi="宋体" w:eastAsia="宋体" w:cs="宋体"/>
          <w:bCs/>
          <w:color w:val="auto"/>
          <w:kern w:val="0"/>
          <w:szCs w:val="21"/>
          <w:highlight w:val="none"/>
          <w:lang w:bidi="ar"/>
        </w:rPr>
        <w:t>之日起生效，生效时间以在后一方签署的日期为据。若由委托代理人签署的，须提供授权委托书、委托代理人身份证明及工作证明材料作为本合同的附件。本合同至本合同工程质量保修期满、竣工结算完成、本合同工程竣工结算经政府终审部门审定满60日且同时双方的责任、义务履行完毕时终止。</w:t>
      </w:r>
    </w:p>
    <w:p w14:paraId="14DE7C70">
      <w:pPr>
        <w:adjustRightInd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九、</w:t>
      </w:r>
      <w:r>
        <w:rPr>
          <w:rFonts w:hint="eastAsia" w:ascii="宋体" w:hAnsi="宋体" w:eastAsia="宋体" w:cs="宋体"/>
          <w:bCs/>
          <w:snapToGrid w:val="0"/>
          <w:color w:val="auto"/>
          <w:kern w:val="0"/>
          <w:szCs w:val="21"/>
          <w:highlight w:val="none"/>
          <w:lang w:bidi="ar"/>
        </w:rPr>
        <w:t>本合同正本一式两份，委托人、监理人各执一份；副本八份，委托人执六份，监理人执二份。</w:t>
      </w:r>
      <w:r>
        <w:rPr>
          <w:rFonts w:hint="eastAsia" w:ascii="宋体" w:hAnsi="宋体" w:eastAsia="宋体" w:cs="宋体"/>
          <w:snapToGrid w:val="0"/>
          <w:color w:val="auto"/>
          <w:kern w:val="0"/>
          <w:szCs w:val="21"/>
          <w:highlight w:val="none"/>
          <w:lang w:bidi="ar"/>
        </w:rPr>
        <w:t>合同正、副本具有同等效力，但当合同正本与副本的表述不一致时，以合同正本为准。</w:t>
      </w:r>
    </w:p>
    <w:p w14:paraId="2C5ADBE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 xml:space="preserve">十、其他约定事项： </w:t>
      </w:r>
    </w:p>
    <w:p w14:paraId="6C019751">
      <w:pPr>
        <w:adjustRightInd w:val="0"/>
        <w:snapToGrid w:val="0"/>
        <w:spacing w:line="360" w:lineRule="auto"/>
        <w:ind w:firstLine="420" w:firstLineChars="200"/>
        <w:rPr>
          <w:rFonts w:hint="eastAsia" w:ascii="宋体" w:hAnsi="宋体" w:eastAsia="宋体" w:cs="宋体"/>
          <w:snapToGrid w:val="0"/>
          <w:color w:val="auto"/>
          <w:kern w:val="0"/>
          <w:szCs w:val="21"/>
          <w:highlight w:val="none"/>
          <w:lang w:val="zh-TW" w:eastAsia="zh-TW"/>
        </w:rPr>
      </w:pPr>
      <w:r>
        <w:rPr>
          <w:rFonts w:hint="eastAsia" w:ascii="宋体" w:hAnsi="宋体" w:eastAsia="宋体" w:cs="宋体"/>
          <w:snapToGrid w:val="0"/>
          <w:color w:val="auto"/>
          <w:kern w:val="0"/>
          <w:szCs w:val="21"/>
          <w:highlight w:val="none"/>
          <w:lang w:val="zh-TW" w:eastAsia="zh-TW" w:bidi="ar"/>
        </w:rPr>
        <w:t>10.1</w:t>
      </w:r>
      <w:r>
        <w:rPr>
          <w:rFonts w:hint="eastAsia" w:ascii="宋体" w:hAnsi="宋体" w:eastAsia="宋体" w:cs="宋体"/>
          <w:snapToGrid w:val="0"/>
          <w:color w:val="auto"/>
          <w:kern w:val="0"/>
          <w:szCs w:val="21"/>
          <w:highlight w:val="none"/>
          <w:lang w:bidi="ar"/>
        </w:rPr>
        <w:t>本合同未尽事宜，由双方友好协商并签订书面补充协议予以确定，补充协议与本合同具有同等法律效力。若补充协议与本协议就同一事项约定不一致的，除双方另有约定外， 以补充协议为准。</w:t>
      </w:r>
    </w:p>
    <w:p w14:paraId="38994C24">
      <w:pPr>
        <w:adjustRightInd w:val="0"/>
        <w:snapToGrid w:val="0"/>
        <w:spacing w:line="360" w:lineRule="auto"/>
        <w:ind w:firstLine="420" w:firstLineChars="200"/>
        <w:rPr>
          <w:rFonts w:hint="eastAsia" w:ascii="宋体" w:hAnsi="宋体" w:eastAsia="宋体" w:cs="宋体"/>
          <w:snapToGrid w:val="0"/>
          <w:color w:val="auto"/>
          <w:kern w:val="0"/>
          <w:szCs w:val="21"/>
          <w:highlight w:val="none"/>
          <w:lang w:val="zh-TW" w:eastAsia="zh-TW"/>
        </w:rPr>
      </w:pPr>
      <w:r>
        <w:rPr>
          <w:rFonts w:hint="eastAsia" w:ascii="宋体" w:hAnsi="宋体" w:eastAsia="宋体" w:cs="宋体"/>
          <w:snapToGrid w:val="0"/>
          <w:color w:val="auto"/>
          <w:kern w:val="0"/>
          <w:szCs w:val="21"/>
          <w:highlight w:val="none"/>
          <w:lang w:val="zh-TW" w:eastAsia="zh-TW" w:bidi="ar"/>
        </w:rPr>
        <w:t>10.2</w:t>
      </w:r>
      <w:r>
        <w:rPr>
          <w:rFonts w:hint="eastAsia" w:ascii="宋体" w:hAnsi="宋体" w:eastAsia="宋体" w:cs="宋体"/>
          <w:snapToGrid w:val="0"/>
          <w:color w:val="auto"/>
          <w:kern w:val="0"/>
          <w:szCs w:val="21"/>
          <w:highlight w:val="none"/>
          <w:lang w:bidi="ar"/>
        </w:rPr>
        <w:t>在执行本合同的过程中，所有经双方共同签署确认的文件（包括但不限于会议纪要、补充协议、往来信函、传真等）即成为本合同的有效组成部分，其生效日期为双方签署确认日期。前述文件与本合同之间内容应认为是互为补充和解释，但如有就同一事项（内容）约定存在互相矛盾之处</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除双方另有约定外，以形成时间在后的文件准。</w:t>
      </w:r>
    </w:p>
    <w:p w14:paraId="3FCD447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val="zh-TW" w:eastAsia="zh-TW" w:bidi="ar"/>
        </w:rPr>
        <w:t>10.3</w:t>
      </w:r>
      <w:r>
        <w:rPr>
          <w:rFonts w:hint="eastAsia" w:ascii="宋体" w:hAnsi="宋体" w:eastAsia="宋体" w:cs="宋体"/>
          <w:snapToGrid w:val="0"/>
          <w:color w:val="auto"/>
          <w:kern w:val="0"/>
          <w:szCs w:val="21"/>
          <w:highlight w:val="none"/>
          <w:lang w:bidi="ar"/>
        </w:rPr>
        <w:t>任何与本合同有关的由双方当事人发出的文件、通知及其他通讯往来，必须采取书面形式，并送达至本合同落款盖章处载明的通讯地址或双方书面通知的其他地址，任一方变更通讯地址未在变更当日按照本合同约定书面通知对方的，对方按照前述联络方式送达的，视为有效送达，怠于通知一方自行承担送达不能的不利后果。双方确认，本合同项下的所有通知和其他联系均须采取书面形式，各类通知送达的时间分别定为：</w:t>
      </w:r>
    </w:p>
    <w:p w14:paraId="6B7576C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）专人递交以收件时为准；</w:t>
      </w:r>
    </w:p>
    <w:p w14:paraId="48E2971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）要求回执的挂号邮件以投寄后满七日为准；</w:t>
      </w:r>
    </w:p>
    <w:p w14:paraId="343B37B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）传真以收到对方确认时为准。</w:t>
      </w:r>
    </w:p>
    <w:p w14:paraId="0C488F83">
      <w:pPr>
        <w:adjustRightInd w:val="0"/>
        <w:snapToGrid w:val="0"/>
        <w:spacing w:line="360" w:lineRule="auto"/>
        <w:ind w:firstLine="420" w:firstLineChars="200"/>
        <w:rPr>
          <w:rFonts w:hint="eastAsia" w:ascii="宋体" w:hAnsi="宋体" w:eastAsia="宋体" w:cs="宋体"/>
          <w:snapToGrid w:val="0"/>
          <w:color w:val="auto"/>
          <w:kern w:val="0"/>
          <w:szCs w:val="21"/>
          <w:highlight w:val="none"/>
          <w:lang w:val="zh-TW" w:eastAsia="zh-TW"/>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4</w:t>
      </w:r>
      <w:r>
        <w:rPr>
          <w:rFonts w:hint="eastAsia" w:ascii="宋体" w:hAnsi="宋体" w:eastAsia="宋体" w:cs="宋体"/>
          <w:snapToGrid w:val="0"/>
          <w:color w:val="auto"/>
          <w:kern w:val="0"/>
          <w:szCs w:val="21"/>
          <w:highlight w:val="none"/>
          <w:lang w:bidi="ar"/>
        </w:rPr>
        <w:t>）电子邮件以进入对方当事人指定的邮箱并且能够检索识别为准。</w:t>
      </w:r>
    </w:p>
    <w:p w14:paraId="3E1B4F66">
      <w:pPr>
        <w:adjustRightInd w:val="0"/>
        <w:snapToGrid w:val="0"/>
        <w:spacing w:line="360" w:lineRule="auto"/>
        <w:ind w:firstLine="420" w:firstLineChars="200"/>
        <w:rPr>
          <w:rFonts w:hint="eastAsia" w:ascii="宋体" w:hAnsi="宋体" w:eastAsia="宋体" w:cs="宋体"/>
          <w:snapToGrid w:val="0"/>
          <w:color w:val="auto"/>
          <w:kern w:val="0"/>
          <w:szCs w:val="21"/>
          <w:highlight w:val="none"/>
          <w:lang w:val="zh-TW" w:eastAsia="zh-TW"/>
        </w:rPr>
      </w:pPr>
      <w:r>
        <w:rPr>
          <w:rFonts w:hint="eastAsia" w:ascii="宋体" w:hAnsi="宋体" w:eastAsia="宋体" w:cs="宋体"/>
          <w:snapToGrid w:val="0"/>
          <w:color w:val="auto"/>
          <w:kern w:val="0"/>
          <w:szCs w:val="21"/>
          <w:highlight w:val="none"/>
          <w:lang w:val="zh-TW" w:eastAsia="zh-TW" w:bidi="ar"/>
        </w:rPr>
        <w:t>10.4</w:t>
      </w:r>
      <w:r>
        <w:rPr>
          <w:rFonts w:hint="eastAsia" w:ascii="宋体" w:hAnsi="宋体" w:eastAsia="宋体" w:cs="宋体"/>
          <w:snapToGrid w:val="0"/>
          <w:color w:val="auto"/>
          <w:kern w:val="0"/>
          <w:szCs w:val="21"/>
          <w:highlight w:val="none"/>
          <w:lang w:bidi="ar"/>
        </w:rPr>
        <w:t>未经委托人事先书面同意，监理人不得擅自将本合同项下委托监理事项转委托或分包委托给任何第三方。</w:t>
      </w:r>
    </w:p>
    <w:p w14:paraId="30FC62F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val="zh-TW" w:eastAsia="zh-TW" w:bidi="ar"/>
        </w:rPr>
        <w:t>10.5</w:t>
      </w:r>
      <w:r>
        <w:rPr>
          <w:rFonts w:hint="eastAsia" w:ascii="宋体" w:hAnsi="宋体" w:eastAsia="宋体" w:cs="宋体"/>
          <w:snapToGrid w:val="0"/>
          <w:color w:val="auto"/>
          <w:kern w:val="0"/>
          <w:szCs w:val="21"/>
          <w:highlight w:val="none"/>
          <w:lang w:bidi="ar"/>
        </w:rPr>
        <w:t>以下文件作为附件，是本合同不可或缺的重要组成部分，与本合同具有同等法律效力：</w:t>
      </w:r>
    </w:p>
    <w:p w14:paraId="3BA114D1">
      <w:pPr>
        <w:adjustRightInd w:val="0"/>
        <w:snapToGrid w:val="0"/>
        <w:spacing w:line="360" w:lineRule="auto"/>
        <w:ind w:firstLine="420" w:firstLineChars="200"/>
        <w:rPr>
          <w:rFonts w:hint="eastAsia" w:ascii="宋体" w:hAnsi="宋体" w:eastAsia="宋体" w:cs="宋体"/>
          <w:color w:val="auto"/>
          <w:kern w:val="0"/>
          <w:szCs w:val="21"/>
          <w:highlight w:val="none"/>
          <w:lang w:val="zh-TW" w:eastAsia="zh-TW"/>
        </w:rPr>
      </w:pP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kern w:val="0"/>
          <w:szCs w:val="21"/>
          <w:highlight w:val="none"/>
          <w:lang w:val="zh-TW" w:eastAsia="zh-TW" w:bidi="ar"/>
        </w:rPr>
        <w:t xml:space="preserve">  </w:t>
      </w:r>
      <w:r>
        <w:rPr>
          <w:rFonts w:hint="eastAsia" w:ascii="宋体" w:hAnsi="宋体" w:eastAsia="宋体" w:cs="宋体"/>
          <w:snapToGrid w:val="0"/>
          <w:color w:val="auto"/>
          <w:kern w:val="0"/>
          <w:szCs w:val="21"/>
          <w:highlight w:val="none"/>
          <w:lang w:val="zh-TW" w:bidi="ar"/>
        </w:rPr>
        <w:t>附件</w:t>
      </w:r>
      <w:r>
        <w:rPr>
          <w:rFonts w:hint="eastAsia" w:ascii="宋体" w:hAnsi="宋体" w:eastAsia="宋体" w:cs="宋体"/>
          <w:color w:val="auto"/>
          <w:kern w:val="0"/>
          <w:szCs w:val="21"/>
          <w:highlight w:val="none"/>
          <w:lang w:val="zh-TW" w:eastAsia="zh-TW" w:bidi="ar"/>
        </w:rPr>
        <w:t>1</w:t>
      </w:r>
      <w:r>
        <w:rPr>
          <w:rFonts w:hint="eastAsia" w:ascii="宋体" w:hAnsi="宋体" w:eastAsia="宋体" w:cs="宋体"/>
          <w:snapToGrid w:val="0"/>
          <w:color w:val="auto"/>
          <w:kern w:val="0"/>
          <w:szCs w:val="21"/>
          <w:highlight w:val="none"/>
          <w:lang w:val="zh-TW" w:bidi="ar"/>
        </w:rPr>
        <w:t>：《廉政合同》</w:t>
      </w:r>
    </w:p>
    <w:p w14:paraId="62CD3A5C">
      <w:pPr>
        <w:adjustRightInd w:val="0"/>
        <w:snapToGrid w:val="0"/>
        <w:spacing w:line="360" w:lineRule="auto"/>
        <w:ind w:firstLine="420" w:firstLineChars="200"/>
        <w:rPr>
          <w:rFonts w:hint="eastAsia" w:ascii="宋体" w:hAnsi="宋体" w:eastAsia="宋体" w:cs="宋体"/>
          <w:color w:val="auto"/>
          <w:kern w:val="0"/>
          <w:szCs w:val="21"/>
          <w:highlight w:val="none"/>
          <w:lang w:val="zh-TW" w:eastAsia="zh-TW"/>
        </w:rPr>
      </w:pPr>
      <w:r>
        <w:rPr>
          <w:rFonts w:hint="eastAsia" w:ascii="宋体" w:hAnsi="宋体" w:eastAsia="宋体" w:cs="宋体"/>
          <w:color w:val="auto"/>
          <w:kern w:val="0"/>
          <w:szCs w:val="21"/>
          <w:highlight w:val="none"/>
          <w:lang w:val="zh-TW" w:eastAsia="zh-TW" w:bidi="ar"/>
        </w:rPr>
        <w:t xml:space="preserve">    </w:t>
      </w:r>
      <w:r>
        <w:rPr>
          <w:rFonts w:hint="eastAsia" w:ascii="宋体" w:hAnsi="宋体" w:eastAsia="宋体" w:cs="宋体"/>
          <w:snapToGrid w:val="0"/>
          <w:color w:val="auto"/>
          <w:kern w:val="0"/>
          <w:szCs w:val="21"/>
          <w:highlight w:val="none"/>
          <w:lang w:val="zh-TW" w:bidi="ar"/>
        </w:rPr>
        <w:t>附件</w:t>
      </w:r>
      <w:r>
        <w:rPr>
          <w:rFonts w:hint="eastAsia" w:ascii="宋体" w:hAnsi="宋体" w:eastAsia="宋体" w:cs="宋体"/>
          <w:color w:val="auto"/>
          <w:kern w:val="0"/>
          <w:szCs w:val="21"/>
          <w:highlight w:val="none"/>
          <w:lang w:val="zh-TW" w:eastAsia="zh-TW" w:bidi="ar"/>
        </w:rPr>
        <w:t>2</w:t>
      </w:r>
      <w:r>
        <w:rPr>
          <w:rFonts w:hint="eastAsia" w:ascii="宋体" w:hAnsi="宋体" w:eastAsia="宋体" w:cs="宋体"/>
          <w:snapToGrid w:val="0"/>
          <w:color w:val="auto"/>
          <w:kern w:val="0"/>
          <w:szCs w:val="21"/>
          <w:highlight w:val="none"/>
          <w:lang w:val="zh-TW" w:bidi="ar"/>
        </w:rPr>
        <w:t>：《各阶段工作成果文件的要求》</w:t>
      </w:r>
    </w:p>
    <w:p w14:paraId="1DB8CD8B">
      <w:pPr>
        <w:adjustRightInd w:val="0"/>
        <w:snapToGrid w:val="0"/>
        <w:spacing w:line="360" w:lineRule="auto"/>
        <w:ind w:firstLine="840" w:firstLineChars="400"/>
        <w:rPr>
          <w:rFonts w:hint="eastAsia" w:ascii="宋体" w:hAnsi="宋体" w:eastAsia="宋体" w:cs="宋体"/>
          <w:color w:val="auto"/>
          <w:kern w:val="0"/>
          <w:szCs w:val="21"/>
          <w:highlight w:val="none"/>
          <w:lang w:val="zh-TW" w:eastAsia="zh-TW"/>
        </w:rPr>
      </w:pPr>
      <w:r>
        <w:rPr>
          <w:rFonts w:hint="eastAsia" w:ascii="宋体" w:hAnsi="宋体" w:eastAsia="宋体" w:cs="宋体"/>
          <w:snapToGrid w:val="0"/>
          <w:color w:val="auto"/>
          <w:kern w:val="0"/>
          <w:szCs w:val="21"/>
          <w:highlight w:val="none"/>
          <w:lang w:val="zh-TW" w:bidi="ar"/>
        </w:rPr>
        <w:t>附件</w:t>
      </w:r>
      <w:r>
        <w:rPr>
          <w:rFonts w:hint="eastAsia" w:ascii="宋体" w:hAnsi="宋体" w:eastAsia="宋体" w:cs="宋体"/>
          <w:color w:val="auto"/>
          <w:kern w:val="0"/>
          <w:szCs w:val="21"/>
          <w:highlight w:val="none"/>
          <w:lang w:val="zh-TW" w:eastAsia="zh-TW" w:bidi="ar"/>
        </w:rPr>
        <w:t>3</w:t>
      </w:r>
      <w:r>
        <w:rPr>
          <w:rFonts w:hint="eastAsia" w:ascii="宋体" w:hAnsi="宋体" w:eastAsia="宋体" w:cs="宋体"/>
          <w:snapToGrid w:val="0"/>
          <w:color w:val="auto"/>
          <w:kern w:val="0"/>
          <w:szCs w:val="21"/>
          <w:highlight w:val="none"/>
          <w:lang w:val="zh-TW" w:bidi="ar"/>
        </w:rPr>
        <w:t>：《结算审核工作质量情况考评细则》</w:t>
      </w:r>
    </w:p>
    <w:p w14:paraId="0F9E6AE0">
      <w:pPr>
        <w:adjustRightInd w:val="0"/>
        <w:snapToGrid w:val="0"/>
        <w:spacing w:line="360" w:lineRule="auto"/>
        <w:ind w:firstLine="840" w:firstLineChars="400"/>
        <w:rPr>
          <w:rFonts w:hint="eastAsia" w:ascii="宋体" w:hAnsi="宋体" w:eastAsia="宋体" w:cs="宋体"/>
          <w:snapToGrid w:val="0"/>
          <w:color w:val="auto"/>
          <w:kern w:val="0"/>
          <w:szCs w:val="21"/>
          <w:highlight w:val="none"/>
          <w:lang w:val="zh-TW" w:eastAsia="zh-TW" w:bidi="ar"/>
        </w:rPr>
      </w:pPr>
      <w:r>
        <w:rPr>
          <w:rFonts w:hint="eastAsia" w:ascii="宋体" w:hAnsi="宋体" w:eastAsia="宋体" w:cs="宋体"/>
          <w:snapToGrid w:val="0"/>
          <w:color w:val="auto"/>
          <w:kern w:val="0"/>
          <w:szCs w:val="21"/>
          <w:highlight w:val="none"/>
          <w:lang w:val="zh-TW" w:eastAsia="zh-TW" w:bidi="ar"/>
        </w:rPr>
        <w:t>附件4：《项目监理机构驻场监理人员通知书》</w:t>
      </w:r>
    </w:p>
    <w:p w14:paraId="775606D2">
      <w:pPr>
        <w:adjustRightInd w:val="0"/>
        <w:snapToGrid w:val="0"/>
        <w:spacing w:line="360" w:lineRule="auto"/>
        <w:ind w:firstLine="420" w:firstLineChars="200"/>
        <w:rPr>
          <w:rFonts w:hint="eastAsia" w:ascii="宋体" w:hAnsi="宋体" w:eastAsia="宋体" w:cs="宋体"/>
          <w:color w:val="auto"/>
          <w:kern w:val="0"/>
          <w:szCs w:val="21"/>
          <w:highlight w:val="none"/>
          <w:lang w:val="zh-TW" w:eastAsia="zh-TW"/>
        </w:rPr>
      </w:pPr>
      <w:r>
        <w:rPr>
          <w:rFonts w:hint="eastAsia" w:ascii="宋体" w:hAnsi="宋体" w:eastAsia="宋体" w:cs="宋体"/>
          <w:snapToGrid w:val="0"/>
          <w:color w:val="auto"/>
          <w:kern w:val="0"/>
          <w:szCs w:val="21"/>
          <w:highlight w:val="none"/>
          <w:lang w:val="zh-TW" w:bidi="ar"/>
        </w:rPr>
        <w:t>（以下</w:t>
      </w:r>
      <w:r>
        <w:rPr>
          <w:rFonts w:hint="eastAsia" w:ascii="宋体" w:hAnsi="宋体" w:eastAsia="宋体" w:cs="宋体"/>
          <w:snapToGrid w:val="0"/>
          <w:color w:val="auto"/>
          <w:kern w:val="0"/>
          <w:szCs w:val="21"/>
          <w:highlight w:val="none"/>
          <w:lang w:bidi="ar"/>
        </w:rPr>
        <w:t>部分</w:t>
      </w:r>
      <w:r>
        <w:rPr>
          <w:rFonts w:hint="eastAsia" w:ascii="宋体" w:hAnsi="宋体" w:eastAsia="宋体" w:cs="宋体"/>
          <w:snapToGrid w:val="0"/>
          <w:color w:val="auto"/>
          <w:kern w:val="0"/>
          <w:szCs w:val="21"/>
          <w:highlight w:val="none"/>
          <w:lang w:val="zh-TW" w:bidi="ar"/>
        </w:rPr>
        <w:t>无《建设工程委托监理合同》第一部分《建设工程委托监理协议书》正文内容，为签章处）</w:t>
      </w:r>
    </w:p>
    <w:p w14:paraId="0AA46735">
      <w:pPr>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Cs w:val="21"/>
          <w:highlight w:val="none"/>
          <w:lang w:eastAsia="zh-TW" w:bidi="ar"/>
        </w:rPr>
        <w:t xml:space="preserve"> </w:t>
      </w:r>
    </w:p>
    <w:p w14:paraId="2818F6EB">
      <w:pPr>
        <w:adjustRightInd w:val="0"/>
        <w:snapToGrid w:val="0"/>
        <w:spacing w:line="480" w:lineRule="auto"/>
        <w:ind w:right="1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bidi="ar"/>
        </w:rPr>
        <w:t>（本页无《建设工程委托监理合同》第一部分《建设工程委托监理协议书》正文内容，为签章页）</w:t>
      </w:r>
      <w:r>
        <w:rPr>
          <w:rFonts w:hint="eastAsia" w:ascii="宋体" w:hAnsi="宋体" w:eastAsia="宋体" w:cs="宋体"/>
          <w:color w:val="auto"/>
          <w:kern w:val="0"/>
          <w:szCs w:val="21"/>
          <w:highlight w:val="none"/>
          <w:lang w:bidi="ar"/>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04B2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4258" w:type="dxa"/>
            <w:tcBorders>
              <w:top w:val="single" w:color="auto" w:sz="4" w:space="0"/>
              <w:left w:val="single" w:color="auto" w:sz="4" w:space="0"/>
              <w:bottom w:val="single" w:color="auto" w:sz="4" w:space="0"/>
              <w:right w:val="single" w:color="auto" w:sz="4" w:space="0"/>
            </w:tcBorders>
            <w:noWrap w:val="0"/>
            <w:vAlign w:val="top"/>
          </w:tcPr>
          <w:p w14:paraId="2F50F5F0">
            <w:pPr>
              <w:adjustRightInd w:val="0"/>
              <w:snapToGrid w:val="0"/>
              <w:spacing w:line="360" w:lineRule="auto"/>
              <w:rPr>
                <w:rFonts w:hint="eastAsia" w:ascii="宋体" w:hAnsi="宋体" w:eastAsia="宋体" w:cs="宋体"/>
                <w:b/>
                <w:snapToGrid w:val="0"/>
                <w:color w:val="auto"/>
                <w:kern w:val="0"/>
                <w:szCs w:val="21"/>
                <w:highlight w:val="none"/>
              </w:rPr>
            </w:pPr>
            <w:r>
              <w:rPr>
                <w:rFonts w:hint="eastAsia" w:ascii="宋体" w:hAnsi="宋体" w:eastAsia="宋体" w:cs="宋体"/>
                <w:snapToGrid w:val="0"/>
                <w:color w:val="auto"/>
                <w:spacing w:val="-20"/>
                <w:kern w:val="0"/>
                <w:szCs w:val="21"/>
                <w:highlight w:val="none"/>
                <w:lang w:bidi="ar"/>
              </w:rPr>
              <w:t>委托人</w:t>
            </w:r>
            <w:r>
              <w:rPr>
                <w:rFonts w:hint="eastAsia" w:ascii="宋体" w:hAnsi="宋体" w:eastAsia="宋体" w:cs="宋体"/>
                <w:snapToGrid w:val="0"/>
                <w:color w:val="auto"/>
                <w:kern w:val="0"/>
                <w:szCs w:val="21"/>
                <w:highlight w:val="none"/>
                <w:lang w:bidi="ar"/>
              </w:rPr>
              <w:t>盖章）</w:t>
            </w:r>
            <w:r>
              <w:rPr>
                <w:rFonts w:hint="eastAsia" w:ascii="宋体" w:hAnsi="宋体" w:eastAsia="宋体" w:cs="宋体"/>
                <w:color w:val="auto"/>
                <w:spacing w:val="-20"/>
                <w:kern w:val="0"/>
                <w:szCs w:val="21"/>
                <w:highlight w:val="none"/>
                <w:lang w:bidi="ar"/>
              </w:rPr>
              <w:t>：</w:t>
            </w:r>
            <w:r>
              <w:rPr>
                <w:rFonts w:hint="eastAsia" w:ascii="宋体" w:hAnsi="宋体" w:eastAsia="宋体" w:cs="宋体"/>
                <w:color w:val="auto"/>
                <w:szCs w:val="21"/>
                <w:highlight w:val="none"/>
                <w:u w:val="single"/>
                <w:lang w:bidi="ar"/>
              </w:rPr>
              <w:t>广州市天河区建设工程项目代建局</w:t>
            </w:r>
          </w:p>
        </w:tc>
        <w:tc>
          <w:tcPr>
            <w:tcW w:w="4258" w:type="dxa"/>
            <w:tcBorders>
              <w:top w:val="single" w:color="auto" w:sz="4" w:space="0"/>
              <w:left w:val="single" w:color="auto" w:sz="4" w:space="0"/>
              <w:bottom w:val="single" w:color="auto" w:sz="4" w:space="0"/>
              <w:right w:val="single" w:color="auto" w:sz="4" w:space="0"/>
            </w:tcBorders>
            <w:noWrap w:val="0"/>
            <w:vAlign w:val="top"/>
          </w:tcPr>
          <w:p w14:paraId="20899F71">
            <w:pPr>
              <w:adjustRightInd w:val="0"/>
              <w:snapToGrid w:val="0"/>
              <w:spacing w:line="480" w:lineRule="auto"/>
              <w:ind w:right="11"/>
              <w:rPr>
                <w:rFonts w:hint="eastAsia" w:ascii="宋体" w:hAnsi="宋体" w:eastAsia="宋体" w:cs="宋体"/>
                <w:bCs/>
                <w:snapToGrid w:val="0"/>
                <w:color w:val="auto"/>
                <w:kern w:val="0"/>
                <w:szCs w:val="21"/>
                <w:highlight w:val="none"/>
              </w:rPr>
            </w:pPr>
            <w:r>
              <w:rPr>
                <w:rFonts w:hint="eastAsia" w:ascii="宋体" w:hAnsi="宋体" w:eastAsia="宋体" w:cs="宋体"/>
                <w:color w:val="auto"/>
                <w:spacing w:val="-20"/>
                <w:kern w:val="0"/>
                <w:szCs w:val="21"/>
                <w:highlight w:val="none"/>
                <w:lang w:bidi="ar"/>
              </w:rPr>
              <w:t xml:space="preserve">  </w:t>
            </w:r>
            <w:r>
              <w:rPr>
                <w:rFonts w:hint="eastAsia" w:ascii="宋体" w:hAnsi="宋体" w:eastAsia="宋体" w:cs="宋体"/>
                <w:snapToGrid w:val="0"/>
                <w:color w:val="auto"/>
                <w:spacing w:val="-20"/>
                <w:kern w:val="0"/>
                <w:szCs w:val="21"/>
                <w:highlight w:val="none"/>
                <w:lang w:bidi="ar"/>
              </w:rPr>
              <w:t xml:space="preserve">监理人 </w:t>
            </w:r>
            <w:r>
              <w:rPr>
                <w:rFonts w:hint="eastAsia" w:ascii="宋体" w:hAnsi="宋体" w:eastAsia="宋体" w:cs="宋体"/>
                <w:snapToGrid w:val="0"/>
                <w:color w:val="auto"/>
                <w:kern w:val="0"/>
                <w:szCs w:val="21"/>
                <w:highlight w:val="none"/>
                <w:lang w:bidi="ar"/>
              </w:rPr>
              <w:t>（盖章）</w:t>
            </w:r>
            <w:r>
              <w:rPr>
                <w:rFonts w:hint="eastAsia" w:ascii="宋体" w:hAnsi="宋体" w:eastAsia="宋体" w:cs="宋体"/>
                <w:color w:val="auto"/>
                <w:spacing w:val="-20"/>
                <w:kern w:val="0"/>
                <w:szCs w:val="21"/>
                <w:highlight w:val="none"/>
                <w:lang w:bidi="ar"/>
              </w:rPr>
              <w:t>：</w:t>
            </w:r>
            <w:r>
              <w:rPr>
                <w:rFonts w:hint="eastAsia" w:ascii="宋体" w:hAnsi="宋体" w:eastAsia="宋体" w:cs="宋体"/>
                <w:color w:val="auto"/>
                <w:szCs w:val="21"/>
                <w:highlight w:val="none"/>
                <w:u w:val="single"/>
                <w:lang w:bidi="ar"/>
              </w:rPr>
              <w:t xml:space="preserve">                    </w:t>
            </w:r>
          </w:p>
          <w:p w14:paraId="0684605B">
            <w:pPr>
              <w:adjustRightInd w:val="0"/>
              <w:snapToGrid w:val="0"/>
              <w:spacing w:line="360" w:lineRule="auto"/>
              <w:jc w:val="center"/>
              <w:rPr>
                <w:rFonts w:hint="eastAsia" w:ascii="宋体" w:hAnsi="宋体" w:eastAsia="宋体" w:cs="宋体"/>
                <w:b/>
                <w:snapToGrid w:val="0"/>
                <w:color w:val="auto"/>
                <w:kern w:val="0"/>
                <w:szCs w:val="21"/>
                <w:highlight w:val="none"/>
              </w:rPr>
            </w:pPr>
          </w:p>
        </w:tc>
      </w:tr>
      <w:tr w14:paraId="2276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tcBorders>
              <w:top w:val="single" w:color="auto" w:sz="4" w:space="0"/>
              <w:left w:val="single" w:color="auto" w:sz="4" w:space="0"/>
              <w:bottom w:val="single" w:color="auto" w:sz="4" w:space="0"/>
              <w:right w:val="single" w:color="auto" w:sz="4" w:space="0"/>
            </w:tcBorders>
            <w:noWrap w:val="0"/>
            <w:vAlign w:val="top"/>
          </w:tcPr>
          <w:p w14:paraId="2A8D1E82">
            <w:pPr>
              <w:adjustRightInd w:val="0"/>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snapToGrid w:val="0"/>
                <w:color w:val="auto"/>
                <w:kern w:val="0"/>
                <w:szCs w:val="21"/>
                <w:highlight w:val="none"/>
                <w:lang w:bidi="ar"/>
              </w:rPr>
              <w:t>法定代表人（签名）：</w:t>
            </w:r>
          </w:p>
        </w:tc>
        <w:tc>
          <w:tcPr>
            <w:tcW w:w="4258" w:type="dxa"/>
            <w:tcBorders>
              <w:top w:val="single" w:color="auto" w:sz="4" w:space="0"/>
              <w:left w:val="single" w:color="auto" w:sz="4" w:space="0"/>
              <w:bottom w:val="single" w:color="auto" w:sz="4" w:space="0"/>
              <w:right w:val="single" w:color="auto" w:sz="4" w:space="0"/>
            </w:tcBorders>
            <w:noWrap w:val="0"/>
            <w:vAlign w:val="top"/>
          </w:tcPr>
          <w:p w14:paraId="5209185D">
            <w:pPr>
              <w:adjustRightInd w:val="0"/>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snapToGrid w:val="0"/>
                <w:color w:val="auto"/>
                <w:kern w:val="0"/>
                <w:szCs w:val="21"/>
                <w:highlight w:val="none"/>
                <w:lang w:bidi="ar"/>
              </w:rPr>
              <w:t>法定代表人（签名）：</w:t>
            </w:r>
          </w:p>
        </w:tc>
      </w:tr>
      <w:tr w14:paraId="6DE9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tcBorders>
              <w:top w:val="single" w:color="auto" w:sz="4" w:space="0"/>
              <w:left w:val="single" w:color="auto" w:sz="4" w:space="0"/>
              <w:bottom w:val="single" w:color="auto" w:sz="4" w:space="0"/>
              <w:right w:val="single" w:color="auto" w:sz="4" w:space="0"/>
            </w:tcBorders>
            <w:noWrap w:val="0"/>
            <w:vAlign w:val="top"/>
          </w:tcPr>
          <w:p w14:paraId="61859E94">
            <w:pPr>
              <w:adjustRightInd w:val="0"/>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snapToGrid w:val="0"/>
                <w:color w:val="auto"/>
                <w:kern w:val="0"/>
                <w:szCs w:val="21"/>
                <w:highlight w:val="none"/>
                <w:lang w:bidi="ar"/>
              </w:rPr>
              <w:t>或委托代理人（签名）：</w:t>
            </w:r>
          </w:p>
        </w:tc>
        <w:tc>
          <w:tcPr>
            <w:tcW w:w="4258" w:type="dxa"/>
            <w:tcBorders>
              <w:top w:val="single" w:color="auto" w:sz="4" w:space="0"/>
              <w:left w:val="single" w:color="auto" w:sz="4" w:space="0"/>
              <w:bottom w:val="single" w:color="auto" w:sz="4" w:space="0"/>
              <w:right w:val="single" w:color="auto" w:sz="4" w:space="0"/>
            </w:tcBorders>
            <w:noWrap w:val="0"/>
            <w:vAlign w:val="top"/>
          </w:tcPr>
          <w:p w14:paraId="6ACA6FEC">
            <w:pPr>
              <w:adjustRightInd w:val="0"/>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snapToGrid w:val="0"/>
                <w:color w:val="auto"/>
                <w:kern w:val="0"/>
                <w:szCs w:val="21"/>
                <w:highlight w:val="none"/>
                <w:lang w:bidi="ar"/>
              </w:rPr>
              <w:t>或委托代理人（签名）</w:t>
            </w:r>
          </w:p>
        </w:tc>
      </w:tr>
      <w:tr w14:paraId="1EB0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tcBorders>
              <w:top w:val="single" w:color="auto" w:sz="4" w:space="0"/>
              <w:left w:val="single" w:color="auto" w:sz="4" w:space="0"/>
              <w:bottom w:val="single" w:color="auto" w:sz="4" w:space="0"/>
              <w:right w:val="single" w:color="auto" w:sz="4" w:space="0"/>
            </w:tcBorders>
            <w:noWrap w:val="0"/>
            <w:vAlign w:val="top"/>
          </w:tcPr>
          <w:p w14:paraId="57E91DF9">
            <w:pPr>
              <w:adjustRightInd w:val="0"/>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snapToGrid w:val="0"/>
                <w:color w:val="auto"/>
                <w:kern w:val="0"/>
                <w:szCs w:val="21"/>
                <w:highlight w:val="none"/>
                <w:lang w:bidi="ar"/>
              </w:rPr>
              <w:t>住所：广州市天河区黄埔大道中</w:t>
            </w:r>
            <w:r>
              <w:rPr>
                <w:rFonts w:hint="eastAsia" w:ascii="宋体" w:hAnsi="宋体" w:eastAsia="宋体" w:cs="宋体"/>
                <w:color w:val="auto"/>
                <w:kern w:val="0"/>
                <w:szCs w:val="21"/>
                <w:highlight w:val="none"/>
                <w:lang w:bidi="ar"/>
              </w:rPr>
              <w:t>300</w:t>
            </w:r>
            <w:r>
              <w:rPr>
                <w:rFonts w:hint="eastAsia" w:ascii="宋体" w:hAnsi="宋体" w:eastAsia="宋体" w:cs="宋体"/>
                <w:snapToGrid w:val="0"/>
                <w:color w:val="auto"/>
                <w:kern w:val="0"/>
                <w:szCs w:val="21"/>
                <w:highlight w:val="none"/>
                <w:lang w:bidi="ar"/>
              </w:rPr>
              <w:t>号</w:t>
            </w:r>
          </w:p>
        </w:tc>
        <w:tc>
          <w:tcPr>
            <w:tcW w:w="4258" w:type="dxa"/>
            <w:tcBorders>
              <w:top w:val="single" w:color="auto" w:sz="4" w:space="0"/>
              <w:left w:val="single" w:color="auto" w:sz="4" w:space="0"/>
              <w:bottom w:val="single" w:color="auto" w:sz="4" w:space="0"/>
              <w:right w:val="single" w:color="auto" w:sz="4" w:space="0"/>
            </w:tcBorders>
            <w:noWrap w:val="0"/>
            <w:vAlign w:val="top"/>
          </w:tcPr>
          <w:p w14:paraId="18C82DE9">
            <w:pPr>
              <w:adjustRightInd w:val="0"/>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snapToGrid w:val="0"/>
                <w:color w:val="auto"/>
                <w:kern w:val="0"/>
                <w:szCs w:val="21"/>
                <w:highlight w:val="none"/>
                <w:lang w:bidi="ar"/>
              </w:rPr>
              <w:t xml:space="preserve">住所： </w:t>
            </w:r>
            <w:r>
              <w:rPr>
                <w:rFonts w:hint="eastAsia" w:ascii="宋体" w:hAnsi="宋体" w:eastAsia="宋体" w:cs="宋体"/>
                <w:color w:val="auto"/>
                <w:kern w:val="0"/>
                <w:szCs w:val="21"/>
                <w:highlight w:val="none"/>
                <w:lang w:bidi="ar"/>
              </w:rPr>
              <w:t xml:space="preserve">         </w:t>
            </w:r>
          </w:p>
        </w:tc>
      </w:tr>
      <w:tr w14:paraId="397D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tcBorders>
              <w:top w:val="single" w:color="auto" w:sz="4" w:space="0"/>
              <w:left w:val="single" w:color="auto" w:sz="4" w:space="0"/>
              <w:bottom w:val="single" w:color="auto" w:sz="4" w:space="0"/>
              <w:right w:val="single" w:color="auto" w:sz="4" w:space="0"/>
            </w:tcBorders>
            <w:noWrap w:val="0"/>
            <w:vAlign w:val="top"/>
          </w:tcPr>
          <w:p w14:paraId="44575D7F">
            <w:pPr>
              <w:adjustRightInd w:val="0"/>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snapToGrid w:val="0"/>
                <w:color w:val="auto"/>
                <w:kern w:val="0"/>
                <w:szCs w:val="21"/>
                <w:highlight w:val="none"/>
                <w:lang w:bidi="ar"/>
              </w:rPr>
              <w:t>电话：</w:t>
            </w:r>
            <w:r>
              <w:rPr>
                <w:rFonts w:hint="eastAsia" w:ascii="宋体" w:hAnsi="宋体" w:eastAsia="宋体" w:cs="宋体"/>
                <w:color w:val="auto"/>
                <w:kern w:val="0"/>
                <w:szCs w:val="21"/>
                <w:highlight w:val="none"/>
                <w:lang w:bidi="ar"/>
              </w:rPr>
              <w:t xml:space="preserve">020-38085152    </w:t>
            </w:r>
          </w:p>
        </w:tc>
        <w:tc>
          <w:tcPr>
            <w:tcW w:w="4258" w:type="dxa"/>
            <w:tcBorders>
              <w:top w:val="single" w:color="auto" w:sz="4" w:space="0"/>
              <w:left w:val="single" w:color="auto" w:sz="4" w:space="0"/>
              <w:bottom w:val="single" w:color="auto" w:sz="4" w:space="0"/>
              <w:right w:val="single" w:color="auto" w:sz="4" w:space="0"/>
            </w:tcBorders>
            <w:noWrap w:val="0"/>
            <w:vAlign w:val="top"/>
          </w:tcPr>
          <w:p w14:paraId="10E52EB3">
            <w:pPr>
              <w:adjustRightInd w:val="0"/>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snapToGrid w:val="0"/>
                <w:color w:val="auto"/>
                <w:kern w:val="0"/>
                <w:szCs w:val="21"/>
                <w:highlight w:val="none"/>
                <w:lang w:bidi="ar"/>
              </w:rPr>
              <w:t xml:space="preserve">电话： </w:t>
            </w:r>
          </w:p>
        </w:tc>
      </w:tr>
      <w:tr w14:paraId="2A98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tcBorders>
              <w:top w:val="single" w:color="auto" w:sz="4" w:space="0"/>
              <w:left w:val="single" w:color="auto" w:sz="4" w:space="0"/>
              <w:bottom w:val="single" w:color="auto" w:sz="4" w:space="0"/>
              <w:right w:val="single" w:color="auto" w:sz="4" w:space="0"/>
            </w:tcBorders>
            <w:noWrap w:val="0"/>
            <w:vAlign w:val="top"/>
          </w:tcPr>
          <w:p w14:paraId="627BFBA0">
            <w:pPr>
              <w:adjustRightInd w:val="0"/>
              <w:snapToGrid w:val="0"/>
              <w:spacing w:line="360" w:lineRule="auto"/>
              <w:rPr>
                <w:rFonts w:hint="eastAsia" w:ascii="宋体" w:hAnsi="宋体" w:eastAsia="宋体" w:cs="宋体"/>
                <w:b/>
                <w:snapToGrid w:val="0"/>
                <w:color w:val="auto"/>
                <w:kern w:val="0"/>
                <w:szCs w:val="21"/>
                <w:highlight w:val="none"/>
              </w:rPr>
            </w:pPr>
            <w:r>
              <w:rPr>
                <w:rFonts w:hint="eastAsia" w:ascii="宋体" w:hAnsi="宋体" w:eastAsia="宋体" w:cs="宋体"/>
                <w:snapToGrid w:val="0"/>
                <w:color w:val="auto"/>
                <w:kern w:val="0"/>
                <w:szCs w:val="21"/>
                <w:highlight w:val="none"/>
                <w:lang w:bidi="ar"/>
              </w:rPr>
              <w:t xml:space="preserve">传真： </w:t>
            </w:r>
          </w:p>
        </w:tc>
        <w:tc>
          <w:tcPr>
            <w:tcW w:w="4258" w:type="dxa"/>
            <w:tcBorders>
              <w:top w:val="single" w:color="auto" w:sz="4" w:space="0"/>
              <w:left w:val="single" w:color="auto" w:sz="4" w:space="0"/>
              <w:bottom w:val="single" w:color="auto" w:sz="4" w:space="0"/>
              <w:right w:val="single" w:color="auto" w:sz="4" w:space="0"/>
            </w:tcBorders>
            <w:noWrap w:val="0"/>
            <w:vAlign w:val="top"/>
          </w:tcPr>
          <w:p w14:paraId="5074FDCF">
            <w:pPr>
              <w:adjustRightInd w:val="0"/>
              <w:snapToGrid w:val="0"/>
              <w:spacing w:line="360" w:lineRule="auto"/>
              <w:rPr>
                <w:rFonts w:hint="eastAsia" w:ascii="宋体" w:hAnsi="宋体" w:eastAsia="宋体" w:cs="宋体"/>
                <w:b/>
                <w:snapToGrid w:val="0"/>
                <w:color w:val="auto"/>
                <w:kern w:val="0"/>
                <w:szCs w:val="21"/>
                <w:highlight w:val="none"/>
              </w:rPr>
            </w:pPr>
            <w:r>
              <w:rPr>
                <w:rFonts w:hint="eastAsia" w:ascii="宋体" w:hAnsi="宋体" w:eastAsia="宋体" w:cs="宋体"/>
                <w:snapToGrid w:val="0"/>
                <w:color w:val="auto"/>
                <w:kern w:val="0"/>
                <w:szCs w:val="21"/>
                <w:highlight w:val="none"/>
                <w:lang w:bidi="ar"/>
              </w:rPr>
              <w:t>传真：</w:t>
            </w:r>
            <w:r>
              <w:rPr>
                <w:rFonts w:hint="eastAsia" w:ascii="宋体" w:hAnsi="宋体" w:eastAsia="宋体" w:cs="宋体"/>
                <w:bCs/>
                <w:color w:val="auto"/>
                <w:szCs w:val="21"/>
                <w:highlight w:val="none"/>
                <w:lang w:eastAsia="en-US" w:bidi="ar"/>
              </w:rPr>
              <w:t xml:space="preserve"> </w:t>
            </w:r>
          </w:p>
        </w:tc>
      </w:tr>
      <w:tr w14:paraId="046D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tcBorders>
              <w:top w:val="single" w:color="auto" w:sz="4" w:space="0"/>
              <w:left w:val="single" w:color="auto" w:sz="4" w:space="0"/>
              <w:bottom w:val="single" w:color="auto" w:sz="4" w:space="0"/>
              <w:right w:val="single" w:color="auto" w:sz="4" w:space="0"/>
            </w:tcBorders>
            <w:noWrap w:val="0"/>
            <w:vAlign w:val="top"/>
          </w:tcPr>
          <w:p w14:paraId="3AF79E90">
            <w:pPr>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bidi="ar"/>
              </w:rPr>
              <w:t>开户银行：工行广州员村支行</w:t>
            </w:r>
            <w:r>
              <w:rPr>
                <w:rFonts w:hint="eastAsia" w:ascii="宋体" w:hAnsi="宋体" w:eastAsia="宋体" w:cs="宋体"/>
                <w:color w:val="auto"/>
                <w:kern w:val="0"/>
                <w:szCs w:val="21"/>
                <w:highlight w:val="none"/>
                <w:lang w:bidi="ar"/>
              </w:rPr>
              <w:t xml:space="preserve">  </w:t>
            </w:r>
          </w:p>
        </w:tc>
        <w:tc>
          <w:tcPr>
            <w:tcW w:w="4258" w:type="dxa"/>
            <w:tcBorders>
              <w:top w:val="single" w:color="auto" w:sz="4" w:space="0"/>
              <w:left w:val="single" w:color="auto" w:sz="4" w:space="0"/>
              <w:bottom w:val="single" w:color="auto" w:sz="4" w:space="0"/>
              <w:right w:val="single" w:color="auto" w:sz="4" w:space="0"/>
            </w:tcBorders>
            <w:noWrap w:val="0"/>
            <w:vAlign w:val="top"/>
          </w:tcPr>
          <w:p w14:paraId="675BA6DE">
            <w:pPr>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bidi="ar"/>
              </w:rPr>
              <w:t>开户银行：</w:t>
            </w:r>
            <w:r>
              <w:rPr>
                <w:rFonts w:hint="eastAsia" w:ascii="宋体" w:hAnsi="宋体" w:eastAsia="宋体" w:cs="宋体"/>
                <w:color w:val="auto"/>
                <w:szCs w:val="21"/>
                <w:highlight w:val="none"/>
                <w:lang w:bidi="ar"/>
              </w:rPr>
              <w:t xml:space="preserve"> </w:t>
            </w:r>
          </w:p>
        </w:tc>
      </w:tr>
      <w:tr w14:paraId="0A88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tcBorders>
              <w:top w:val="single" w:color="auto" w:sz="4" w:space="0"/>
              <w:left w:val="single" w:color="auto" w:sz="4" w:space="0"/>
              <w:bottom w:val="single" w:color="auto" w:sz="4" w:space="0"/>
              <w:right w:val="single" w:color="auto" w:sz="4" w:space="0"/>
            </w:tcBorders>
            <w:noWrap w:val="0"/>
            <w:vAlign w:val="top"/>
          </w:tcPr>
          <w:p w14:paraId="27776442">
            <w:pPr>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账号：</w:t>
            </w:r>
            <w:r>
              <w:rPr>
                <w:rFonts w:hint="eastAsia" w:ascii="宋体" w:hAnsi="宋体" w:eastAsia="宋体" w:cs="宋体"/>
                <w:color w:val="auto"/>
                <w:kern w:val="0"/>
                <w:szCs w:val="21"/>
                <w:highlight w:val="none"/>
                <w:lang w:bidi="ar"/>
              </w:rPr>
              <w:t>3602005309200186668</w:t>
            </w:r>
          </w:p>
        </w:tc>
        <w:tc>
          <w:tcPr>
            <w:tcW w:w="4258" w:type="dxa"/>
            <w:tcBorders>
              <w:top w:val="single" w:color="auto" w:sz="4" w:space="0"/>
              <w:left w:val="single" w:color="auto" w:sz="4" w:space="0"/>
              <w:bottom w:val="single" w:color="auto" w:sz="4" w:space="0"/>
              <w:right w:val="single" w:color="auto" w:sz="4" w:space="0"/>
            </w:tcBorders>
            <w:noWrap w:val="0"/>
            <w:vAlign w:val="top"/>
          </w:tcPr>
          <w:p w14:paraId="7645AD81">
            <w:pPr>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bidi="ar"/>
              </w:rPr>
              <w:t>账号：</w:t>
            </w:r>
            <w:r>
              <w:rPr>
                <w:rFonts w:hint="eastAsia" w:ascii="宋体" w:hAnsi="宋体" w:eastAsia="宋体" w:cs="宋体"/>
                <w:color w:val="auto"/>
                <w:szCs w:val="21"/>
                <w:highlight w:val="none"/>
                <w:lang w:bidi="ar"/>
              </w:rPr>
              <w:t xml:space="preserve"> </w:t>
            </w:r>
          </w:p>
        </w:tc>
      </w:tr>
      <w:tr w14:paraId="6EAE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258" w:type="dxa"/>
            <w:tcBorders>
              <w:top w:val="single" w:color="auto" w:sz="4" w:space="0"/>
              <w:left w:val="single" w:color="auto" w:sz="4" w:space="0"/>
              <w:bottom w:val="single" w:color="auto" w:sz="4" w:space="0"/>
              <w:right w:val="single" w:color="auto" w:sz="4" w:space="0"/>
            </w:tcBorders>
            <w:noWrap w:val="0"/>
            <w:vAlign w:val="top"/>
          </w:tcPr>
          <w:p w14:paraId="022CFAA3">
            <w:pPr>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签约日期：</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年</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月</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日</w:t>
            </w:r>
          </w:p>
        </w:tc>
        <w:tc>
          <w:tcPr>
            <w:tcW w:w="4258" w:type="dxa"/>
            <w:tcBorders>
              <w:top w:val="single" w:color="auto" w:sz="4" w:space="0"/>
              <w:left w:val="single" w:color="auto" w:sz="4" w:space="0"/>
              <w:bottom w:val="single" w:color="auto" w:sz="4" w:space="0"/>
              <w:right w:val="single" w:color="auto" w:sz="4" w:space="0"/>
            </w:tcBorders>
            <w:noWrap w:val="0"/>
            <w:vAlign w:val="top"/>
          </w:tcPr>
          <w:p w14:paraId="03FAB0FF">
            <w:pPr>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签约日期：</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年</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月</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日</w:t>
            </w:r>
          </w:p>
          <w:p w14:paraId="52910E89">
            <w:pPr>
              <w:adjustRightInd w:val="0"/>
              <w:snapToGrid w:val="0"/>
              <w:spacing w:line="360" w:lineRule="auto"/>
              <w:rPr>
                <w:rFonts w:hint="eastAsia" w:ascii="宋体" w:hAnsi="宋体" w:eastAsia="宋体" w:cs="宋体"/>
                <w:snapToGrid w:val="0"/>
                <w:color w:val="auto"/>
                <w:kern w:val="0"/>
                <w:szCs w:val="21"/>
                <w:highlight w:val="none"/>
              </w:rPr>
            </w:pPr>
          </w:p>
        </w:tc>
      </w:tr>
      <w:tr w14:paraId="49E0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516" w:type="dxa"/>
            <w:gridSpan w:val="2"/>
            <w:tcBorders>
              <w:top w:val="single" w:color="auto" w:sz="4" w:space="0"/>
              <w:left w:val="single" w:color="auto" w:sz="4" w:space="0"/>
              <w:bottom w:val="single" w:color="auto" w:sz="4" w:space="0"/>
              <w:right w:val="single" w:color="auto" w:sz="4" w:space="0"/>
            </w:tcBorders>
            <w:noWrap w:val="0"/>
            <w:vAlign w:val="top"/>
          </w:tcPr>
          <w:p w14:paraId="746C00B8">
            <w:pPr>
              <w:adjustRightInd w:val="0"/>
              <w:snapToGrid w:val="0"/>
              <w:spacing w:line="480" w:lineRule="auto"/>
              <w:ind w:firstLine="2310" w:firstLineChars="1100"/>
              <w:jc w:val="left"/>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签订地点：广州市天河区</w:t>
            </w:r>
          </w:p>
        </w:tc>
      </w:tr>
    </w:tbl>
    <w:p w14:paraId="2A22E23D">
      <w:pPr>
        <w:adjustRightInd w:val="0"/>
        <w:snapToGrid w:val="0"/>
        <w:spacing w:line="360" w:lineRule="auto"/>
        <w:jc w:val="center"/>
        <w:rPr>
          <w:rFonts w:hint="eastAsia" w:ascii="宋体" w:hAnsi="宋体" w:eastAsia="宋体" w:cs="宋体"/>
          <w:b/>
          <w:snapToGrid w:val="0"/>
          <w:color w:val="auto"/>
          <w:kern w:val="0"/>
          <w:szCs w:val="21"/>
          <w:highlight w:val="none"/>
        </w:rPr>
      </w:pPr>
    </w:p>
    <w:p w14:paraId="73CF79D3">
      <w:pPr>
        <w:adjustRightInd w:val="0"/>
        <w:snapToGrid w:val="0"/>
        <w:spacing w:line="360" w:lineRule="auto"/>
        <w:jc w:val="center"/>
        <w:rPr>
          <w:rFonts w:hint="eastAsia" w:ascii="宋体" w:hAnsi="宋体" w:eastAsia="宋体" w:cs="宋体"/>
          <w:b/>
          <w:snapToGrid w:val="0"/>
          <w:color w:val="auto"/>
          <w:kern w:val="0"/>
          <w:szCs w:val="21"/>
          <w:highlight w:val="none"/>
        </w:rPr>
      </w:pPr>
    </w:p>
    <w:p w14:paraId="2BB53856">
      <w:pPr>
        <w:adjustRightInd w:val="0"/>
        <w:snapToGrid w:val="0"/>
        <w:spacing w:line="360" w:lineRule="auto"/>
        <w:jc w:val="center"/>
        <w:outlineLvl w:val="1"/>
        <w:rPr>
          <w:rFonts w:hint="eastAsia" w:ascii="宋体" w:hAnsi="宋体" w:eastAsia="宋体" w:cs="宋体"/>
          <w:b/>
          <w:snapToGrid w:val="0"/>
          <w:color w:val="auto"/>
          <w:kern w:val="0"/>
          <w:szCs w:val="21"/>
          <w:highlight w:val="none"/>
        </w:rPr>
      </w:pPr>
      <w:r>
        <w:rPr>
          <w:rFonts w:hint="eastAsia" w:ascii="宋体" w:hAnsi="宋体" w:eastAsia="宋体" w:cs="宋体"/>
          <w:b/>
          <w:snapToGrid w:val="0"/>
          <w:color w:val="auto"/>
          <w:szCs w:val="21"/>
          <w:highlight w:val="none"/>
          <w:lang w:bidi="ar"/>
        </w:rPr>
        <w:br w:type="page"/>
      </w:r>
      <w:bookmarkStart w:id="191" w:name="_Toc22870"/>
      <w:bookmarkStart w:id="192" w:name="_Toc6546"/>
      <w:bookmarkStart w:id="193" w:name="_Toc13926"/>
      <w:bookmarkStart w:id="194" w:name="_Toc31717"/>
      <w:bookmarkStart w:id="195" w:name="_Toc31620"/>
      <w:r>
        <w:rPr>
          <w:rFonts w:hint="eastAsia" w:ascii="宋体" w:hAnsi="宋体" w:eastAsia="宋体" w:cs="宋体"/>
          <w:b/>
          <w:snapToGrid w:val="0"/>
          <w:color w:val="auto"/>
          <w:kern w:val="0"/>
          <w:szCs w:val="21"/>
          <w:highlight w:val="none"/>
          <w:lang w:bidi="ar"/>
        </w:rPr>
        <w:t>第二部分</w:t>
      </w:r>
      <w:r>
        <w:rPr>
          <w:rFonts w:hint="eastAsia" w:ascii="宋体" w:hAnsi="宋体" w:eastAsia="宋体" w:cs="宋体"/>
          <w:b/>
          <w:color w:val="auto"/>
          <w:kern w:val="0"/>
          <w:szCs w:val="21"/>
          <w:highlight w:val="none"/>
          <w:lang w:bidi="ar"/>
        </w:rPr>
        <w:t xml:space="preserve">  </w:t>
      </w:r>
      <w:r>
        <w:rPr>
          <w:rFonts w:hint="eastAsia" w:ascii="宋体" w:hAnsi="宋体" w:eastAsia="宋体" w:cs="宋体"/>
          <w:b/>
          <w:snapToGrid w:val="0"/>
          <w:color w:val="auto"/>
          <w:kern w:val="0"/>
          <w:szCs w:val="21"/>
          <w:highlight w:val="none"/>
          <w:lang w:bidi="ar"/>
        </w:rPr>
        <w:t>标准条件</w:t>
      </w:r>
      <w:bookmarkEnd w:id="191"/>
      <w:bookmarkEnd w:id="192"/>
      <w:bookmarkEnd w:id="193"/>
      <w:bookmarkEnd w:id="194"/>
      <w:bookmarkEnd w:id="195"/>
    </w:p>
    <w:p w14:paraId="59840B5F">
      <w:pPr>
        <w:adjustRightInd w:val="0"/>
        <w:snapToGrid w:val="0"/>
        <w:spacing w:line="360" w:lineRule="auto"/>
        <w:rPr>
          <w:rFonts w:hint="eastAsia" w:ascii="宋体" w:hAnsi="宋体" w:eastAsia="宋体" w:cs="宋体"/>
          <w:snapToGrid w:val="0"/>
          <w:color w:val="auto"/>
          <w:kern w:val="0"/>
          <w:szCs w:val="21"/>
          <w:highlight w:val="none"/>
        </w:rPr>
      </w:pPr>
    </w:p>
    <w:p w14:paraId="1DD03CDD">
      <w:pPr>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b/>
          <w:snapToGrid w:val="0"/>
          <w:color w:val="auto"/>
          <w:kern w:val="0"/>
          <w:szCs w:val="21"/>
          <w:highlight w:val="none"/>
          <w:lang w:bidi="ar"/>
        </w:rPr>
        <w:t>词语定义、适用范围和法规</w:t>
      </w:r>
    </w:p>
    <w:p w14:paraId="498C0F13">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第一条</w:t>
      </w:r>
      <w:r>
        <w:rPr>
          <w:rFonts w:hint="eastAsia" w:ascii="宋体" w:hAnsi="宋体" w:eastAsia="宋体" w:cs="宋体"/>
          <w:b/>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下列名词和用语，除上下文另有规定外，有如下含义：</w:t>
      </w:r>
    </w:p>
    <w:p w14:paraId="25A27A4A">
      <w:pPr>
        <w:adjustRightInd w:val="0"/>
        <w:snapToGrid w:val="0"/>
        <w:spacing w:line="360" w:lineRule="auto"/>
        <w:ind w:firstLine="420"/>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）“工程”是指</w:t>
      </w:r>
      <w:r>
        <w:rPr>
          <w:rFonts w:hint="eastAsia" w:ascii="宋体" w:hAnsi="宋体" w:eastAsia="宋体" w:cs="宋体"/>
          <w:bCs/>
          <w:color w:val="auto"/>
          <w:kern w:val="0"/>
          <w:szCs w:val="21"/>
          <w:highlight w:val="none"/>
          <w:lang w:bidi="ar"/>
        </w:rPr>
        <w:t>按照本合同约定实施监理与相关服务的建设工程。</w:t>
      </w:r>
    </w:p>
    <w:p w14:paraId="0AC67E15">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）“委托人”是指</w:t>
      </w:r>
      <w:r>
        <w:rPr>
          <w:rFonts w:hint="eastAsia" w:ascii="宋体" w:hAnsi="宋体" w:eastAsia="宋体" w:cs="宋体"/>
          <w:bCs/>
          <w:color w:val="auto"/>
          <w:kern w:val="0"/>
          <w:szCs w:val="21"/>
          <w:highlight w:val="none"/>
          <w:lang w:bidi="ar"/>
        </w:rPr>
        <w:t>本合同中委托监理与相关服务</w:t>
      </w:r>
      <w:r>
        <w:rPr>
          <w:rFonts w:hint="eastAsia" w:ascii="宋体" w:hAnsi="宋体" w:eastAsia="宋体" w:cs="宋体"/>
          <w:snapToGrid w:val="0"/>
          <w:color w:val="auto"/>
          <w:kern w:val="0"/>
          <w:szCs w:val="21"/>
          <w:highlight w:val="none"/>
          <w:lang w:bidi="ar"/>
        </w:rPr>
        <w:t>的一方以及其合法继承人。</w:t>
      </w:r>
    </w:p>
    <w:p w14:paraId="673E450D">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）“监理人”是指承担监理业务和监理责任的一方以及其合法继承人。</w:t>
      </w:r>
    </w:p>
    <w:p w14:paraId="5D572958">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4</w:t>
      </w:r>
      <w:r>
        <w:rPr>
          <w:rFonts w:hint="eastAsia" w:ascii="宋体" w:hAnsi="宋体" w:eastAsia="宋体" w:cs="宋体"/>
          <w:snapToGrid w:val="0"/>
          <w:color w:val="auto"/>
          <w:kern w:val="0"/>
          <w:szCs w:val="21"/>
          <w:highlight w:val="none"/>
          <w:lang w:bidi="ar"/>
        </w:rPr>
        <w:t>）“项目监理机构”是指监理人派驻本合同工程现场实施监理业务的组织。</w:t>
      </w:r>
    </w:p>
    <w:p w14:paraId="03CF879D">
      <w:pPr>
        <w:adjustRightInd w:val="0"/>
        <w:snapToGrid w:val="0"/>
        <w:spacing w:line="360" w:lineRule="auto"/>
        <w:ind w:firstLine="420"/>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5</w:t>
      </w:r>
      <w:r>
        <w:rPr>
          <w:rFonts w:hint="eastAsia" w:ascii="宋体" w:hAnsi="宋体" w:eastAsia="宋体" w:cs="宋体"/>
          <w:snapToGrid w:val="0"/>
          <w:color w:val="auto"/>
          <w:kern w:val="0"/>
          <w:szCs w:val="21"/>
          <w:highlight w:val="none"/>
          <w:lang w:bidi="ar"/>
        </w:rPr>
        <w:t>）“总监理工程师”是指</w:t>
      </w:r>
      <w:r>
        <w:rPr>
          <w:rFonts w:hint="eastAsia" w:ascii="宋体" w:hAnsi="宋体" w:eastAsia="宋体" w:cs="宋体"/>
          <w:bCs/>
          <w:color w:val="auto"/>
          <w:kern w:val="0"/>
          <w:szCs w:val="21"/>
          <w:highlight w:val="none"/>
          <w:lang w:bidi="ar"/>
        </w:rPr>
        <w:t>由监理人的法定代表人书面授权，经委托人同意，全面负责履行本合同、主持项目监理机构工作的注册监理工程师。</w:t>
      </w:r>
    </w:p>
    <w:p w14:paraId="4FBFA029">
      <w:pPr>
        <w:adjustRightInd w:val="0"/>
        <w:snapToGrid w:val="0"/>
        <w:spacing w:line="360" w:lineRule="auto"/>
        <w:ind w:firstLine="420"/>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6</w:t>
      </w:r>
      <w:r>
        <w:rPr>
          <w:rFonts w:hint="eastAsia" w:ascii="宋体" w:hAnsi="宋体" w:eastAsia="宋体" w:cs="宋体"/>
          <w:snapToGrid w:val="0"/>
          <w:color w:val="auto"/>
          <w:kern w:val="0"/>
          <w:szCs w:val="21"/>
          <w:highlight w:val="none"/>
          <w:lang w:bidi="ar"/>
        </w:rPr>
        <w:t>）“承包人”是指在</w:t>
      </w:r>
      <w:r>
        <w:rPr>
          <w:rFonts w:hint="eastAsia" w:ascii="宋体" w:hAnsi="宋体" w:eastAsia="宋体" w:cs="宋体"/>
          <w:bCs/>
          <w:color w:val="auto"/>
          <w:kern w:val="0"/>
          <w:szCs w:val="21"/>
          <w:highlight w:val="none"/>
          <w:lang w:bidi="ar"/>
        </w:rPr>
        <w:t>工程范围内与委托人签订勘察、设计、施工等有关合同的当事人，及其合法的继承人。</w:t>
      </w:r>
    </w:p>
    <w:p w14:paraId="2768D198">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7</w:t>
      </w:r>
      <w:r>
        <w:rPr>
          <w:rFonts w:hint="eastAsia" w:ascii="宋体" w:hAnsi="宋体" w:eastAsia="宋体" w:cs="宋体"/>
          <w:snapToGrid w:val="0"/>
          <w:color w:val="auto"/>
          <w:kern w:val="0"/>
          <w:szCs w:val="21"/>
          <w:highlight w:val="none"/>
          <w:lang w:bidi="ar"/>
        </w:rPr>
        <w:t>）“工程监理的正常工作”是指双方在专用条件中约定，委托人委托的监理工作范围和内容。</w:t>
      </w:r>
    </w:p>
    <w:p w14:paraId="2D9E13F8">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8</w:t>
      </w:r>
      <w:r>
        <w:rPr>
          <w:rFonts w:hint="eastAsia" w:ascii="宋体" w:hAnsi="宋体" w:eastAsia="宋体" w:cs="宋体"/>
          <w:snapToGrid w:val="0"/>
          <w:color w:val="auto"/>
          <w:kern w:val="0"/>
          <w:szCs w:val="21"/>
          <w:highlight w:val="none"/>
          <w:lang w:bidi="ar"/>
        </w:rPr>
        <w:t>）“工程监理的附加工作”是指：①委托人委托监理范围以外，通过双方书面协议另外增加的工作内容；②由于委托人或承包人原因，使监理工作受到阻碍或延误，因增加工作量或持续时间而增加的工作。</w:t>
      </w:r>
    </w:p>
    <w:p w14:paraId="3B17F969">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9</w:t>
      </w:r>
      <w:r>
        <w:rPr>
          <w:rFonts w:hint="eastAsia" w:ascii="宋体" w:hAnsi="宋体" w:eastAsia="宋体" w:cs="宋体"/>
          <w:snapToGrid w:val="0"/>
          <w:color w:val="auto"/>
          <w:kern w:val="0"/>
          <w:szCs w:val="21"/>
          <w:highlight w:val="none"/>
          <w:lang w:bidi="ar"/>
        </w:rPr>
        <w:t>）“工程监理的额外工作”是指正常工作和附加工作以外，根据第三十八条规定监理人必须完成的工作，或非监理人自己的原因而暂停或终止监理业务，其善后工作及恢复监理业务的工作。</w:t>
      </w:r>
    </w:p>
    <w:p w14:paraId="624FB957">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10</w:t>
      </w:r>
      <w:r>
        <w:rPr>
          <w:rFonts w:hint="eastAsia" w:ascii="宋体" w:hAnsi="宋体" w:eastAsia="宋体" w:cs="宋体"/>
          <w:snapToGrid w:val="0"/>
          <w:color w:val="auto"/>
          <w:kern w:val="0"/>
          <w:szCs w:val="21"/>
          <w:highlight w:val="none"/>
          <w:lang w:bidi="ar"/>
        </w:rPr>
        <w:t>）“日”是指任何一日零时至第二日零时的时间段。</w:t>
      </w:r>
    </w:p>
    <w:p w14:paraId="6F796814">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11</w:t>
      </w:r>
      <w:r>
        <w:rPr>
          <w:rFonts w:hint="eastAsia" w:ascii="宋体" w:hAnsi="宋体" w:eastAsia="宋体" w:cs="宋体"/>
          <w:snapToGrid w:val="0"/>
          <w:color w:val="auto"/>
          <w:kern w:val="0"/>
          <w:szCs w:val="21"/>
          <w:highlight w:val="none"/>
          <w:lang w:bidi="ar"/>
        </w:rPr>
        <w:t>）“月”是指根据公历从一个月份中任何一日开始到下一个月相应日期的前一日的时间段。</w:t>
      </w:r>
    </w:p>
    <w:p w14:paraId="3610576F">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第二条</w:t>
      </w:r>
      <w:r>
        <w:rPr>
          <w:rFonts w:hint="eastAsia" w:ascii="宋体" w:hAnsi="宋体" w:eastAsia="宋体" w:cs="宋体"/>
          <w:b/>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建设工程施工监理合同适用的法律是指国家的法律、行政法规，以及专用条件中议定的部门规章或工程所在地的地方法规、地方规章。</w:t>
      </w:r>
    </w:p>
    <w:p w14:paraId="3FFB62EE">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第三条</w:t>
      </w:r>
      <w:r>
        <w:rPr>
          <w:rFonts w:hint="eastAsia" w:ascii="宋体" w:hAnsi="宋体" w:eastAsia="宋体" w:cs="宋体"/>
          <w:b/>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本合同文件使用汉语语言文字书写、解释和说明。如专用条件约定使用两种以上（含两种）语言文字时，汉语应为解释和说明本合同的标准语言文字。</w:t>
      </w:r>
    </w:p>
    <w:p w14:paraId="358ED959">
      <w:pPr>
        <w:adjustRightInd w:val="0"/>
        <w:snapToGrid w:val="0"/>
        <w:spacing w:line="360" w:lineRule="auto"/>
        <w:rPr>
          <w:rFonts w:hint="eastAsia" w:ascii="宋体" w:hAnsi="宋体" w:eastAsia="宋体" w:cs="宋体"/>
          <w:snapToGrid w:val="0"/>
          <w:color w:val="auto"/>
          <w:kern w:val="0"/>
          <w:szCs w:val="21"/>
          <w:highlight w:val="none"/>
        </w:rPr>
      </w:pPr>
    </w:p>
    <w:p w14:paraId="15F3DDD5">
      <w:pPr>
        <w:adjustRightInd w:val="0"/>
        <w:snapToGri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监理人义务</w:t>
      </w:r>
    </w:p>
    <w:p w14:paraId="3A019014">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第四条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监理人按合同约定派出监理工作需要的项目监理机构及监理人员，向委托人报送委派的总监理工程师及其项目监理机构主要成员名单、监理规划，完成监理合同专用条件中约定的监理工程范围内的监理业务。在履行合同义务期间，应按合同约定定期向委托人报告监理工作。</w:t>
      </w:r>
    </w:p>
    <w:p w14:paraId="36EB97A5">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第五条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监理人在履行本合同的义务期间，应认真、勤奋地工作，为委托人提供与其水平相适应的咨询意见，公正维护各方面的合法权益。</w:t>
      </w:r>
    </w:p>
    <w:p w14:paraId="186F5567">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第六条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监理人使用委托人提供的设施和物品属委托人的财产。在监理工作完成或中止时，应将其设施和剩余的物品按合同约定的时间和方式移交给委托人。</w:t>
      </w:r>
    </w:p>
    <w:p w14:paraId="41DC91B5">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第七条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在合同期内或合同终止后，未征得有关方同意，不得泄露与本合同工程、本合同业务有关的保密资料。</w:t>
      </w:r>
    </w:p>
    <w:p w14:paraId="075F2615">
      <w:pPr>
        <w:adjustRightInd w:val="0"/>
        <w:snapToGrid w:val="0"/>
        <w:spacing w:line="360" w:lineRule="auto"/>
        <w:rPr>
          <w:rFonts w:hint="eastAsia" w:ascii="宋体" w:hAnsi="宋体" w:eastAsia="宋体" w:cs="宋体"/>
          <w:b/>
          <w:snapToGrid w:val="0"/>
          <w:color w:val="auto"/>
          <w:kern w:val="0"/>
          <w:szCs w:val="21"/>
          <w:highlight w:val="none"/>
        </w:rPr>
      </w:pPr>
    </w:p>
    <w:p w14:paraId="1A390421">
      <w:pPr>
        <w:adjustRightInd w:val="0"/>
        <w:snapToGrid w:val="0"/>
        <w:spacing w:line="360" w:lineRule="auto"/>
        <w:rPr>
          <w:rFonts w:hint="eastAsia" w:ascii="宋体" w:hAnsi="宋体" w:eastAsia="宋体" w:cs="宋体"/>
          <w:b/>
          <w:snapToGrid w:val="0"/>
          <w:color w:val="auto"/>
          <w:kern w:val="0"/>
          <w:szCs w:val="21"/>
          <w:highlight w:val="none"/>
        </w:rPr>
      </w:pPr>
    </w:p>
    <w:p w14:paraId="5A76F1D4">
      <w:pPr>
        <w:adjustRightInd w:val="0"/>
        <w:snapToGri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委托人义务</w:t>
      </w:r>
    </w:p>
    <w:p w14:paraId="1E2F8136">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第八条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委托人在监理人开展监理业务之前应向监理人支付预付款。</w:t>
      </w:r>
    </w:p>
    <w:p w14:paraId="6648A2DD">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第九条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委托人应当负责工程建设的所有外部关系的协调，为监理工作提供外部条件。根据需要，如将部分或全部协调工作委托监理人承担，则应在专用条件中明确委托的工作和相应的酬金。</w:t>
      </w:r>
    </w:p>
    <w:p w14:paraId="0C0E32C4">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第十条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委托人应当在双方约定的时间内免费向监理人提供与工程有关的为监理工作所需要的工程资料。</w:t>
      </w:r>
    </w:p>
    <w:p w14:paraId="7B8AF826">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第十一条</w:t>
      </w:r>
      <w:r>
        <w:rPr>
          <w:rFonts w:hint="eastAsia" w:ascii="宋体" w:hAnsi="宋体" w:eastAsia="宋体" w:cs="宋体"/>
          <w:b/>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委托人应当在专用条件约定的时间内就监理人书面提交并要求做出决定的一切事宜作出书面决定。</w:t>
      </w:r>
    </w:p>
    <w:p w14:paraId="7EA24183">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第十二条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委托人应当授权一名熟悉工程情况、能在规定时间内做出决定的常驻代表（在专用条件中约定），负责与监理人联系。更换常驻代表，要提前通知监理人。</w:t>
      </w:r>
    </w:p>
    <w:p w14:paraId="7F145B3E">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第十三条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委托人应当将授予监理人的监理权利，以及监理人主要成员的职能分工、监理权限及时书面通知已选定的承包合同的承包人，并在与第三人签订的合同中予以明确。</w:t>
      </w:r>
    </w:p>
    <w:p w14:paraId="07ACE84B">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第十四条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委托人应在不影响监理人开展监理工作的时间内提供如下资料：</w:t>
      </w:r>
    </w:p>
    <w:p w14:paraId="0E4BD44F">
      <w:pPr>
        <w:adjustRightInd w:val="0"/>
        <w:snapToGrid w:val="0"/>
        <w:spacing w:line="360" w:lineRule="auto"/>
        <w:ind w:left="42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）与本合同工程合作的原材料、构配件、设备等生产厂家名录。</w:t>
      </w:r>
    </w:p>
    <w:p w14:paraId="6341BFA2">
      <w:pPr>
        <w:adjustRightInd w:val="0"/>
        <w:snapToGrid w:val="0"/>
        <w:spacing w:line="360" w:lineRule="auto"/>
        <w:ind w:left="42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）提供与本合同工程有关的协作单位、配合单位的名录。</w:t>
      </w:r>
    </w:p>
    <w:p w14:paraId="1F63E705">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第十五条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委托人免费向监理人提供办公用房、通讯设施、监理人员工地住房及合同专用条件约定的设施，对监理人自备的设施给予合理的经济补偿（补偿金额</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设施在工程使用时间占折旧年限的比例×设施原值</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管理费）。</w:t>
      </w:r>
    </w:p>
    <w:p w14:paraId="53E2EDA4">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第十六条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根据情况需要，如果双方约定，由委托人免费向监理人提供其他人员，应在监理合同专用条件中予以明确。</w:t>
      </w:r>
    </w:p>
    <w:p w14:paraId="4ECA13A6">
      <w:pPr>
        <w:adjustRightInd w:val="0"/>
        <w:snapToGrid w:val="0"/>
        <w:spacing w:line="360" w:lineRule="auto"/>
        <w:rPr>
          <w:rFonts w:hint="eastAsia" w:ascii="宋体" w:hAnsi="宋体" w:eastAsia="宋体" w:cs="宋体"/>
          <w:b/>
          <w:snapToGrid w:val="0"/>
          <w:color w:val="auto"/>
          <w:kern w:val="0"/>
          <w:szCs w:val="21"/>
          <w:highlight w:val="none"/>
        </w:rPr>
      </w:pPr>
    </w:p>
    <w:p w14:paraId="13141072">
      <w:pPr>
        <w:adjustRightInd w:val="0"/>
        <w:snapToGri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监理人权利</w:t>
      </w:r>
    </w:p>
    <w:p w14:paraId="215334DF">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第十七条</w:t>
      </w:r>
      <w:r>
        <w:rPr>
          <w:rFonts w:hint="eastAsia" w:ascii="宋体" w:hAnsi="宋体" w:eastAsia="宋体" w:cs="宋体"/>
          <w:b/>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监理人在委托人委托的工程范围内，享有以下权利：</w:t>
      </w:r>
    </w:p>
    <w:p w14:paraId="4B49A26A">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）选择工程总承包人的建议权。</w:t>
      </w:r>
    </w:p>
    <w:p w14:paraId="5324F021">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）选择工程分包人的认可权。</w:t>
      </w:r>
    </w:p>
    <w:p w14:paraId="6BDE5DE9">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）对工程建设有关事项包括工程规模、设计标准、规划设计、生产工艺设计和使用功能要求，向委托人的建议权。</w:t>
      </w:r>
    </w:p>
    <w:p w14:paraId="7427DDBD">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4</w:t>
      </w:r>
      <w:r>
        <w:rPr>
          <w:rFonts w:hint="eastAsia" w:ascii="宋体" w:hAnsi="宋体" w:eastAsia="宋体" w:cs="宋体"/>
          <w:snapToGrid w:val="0"/>
          <w:color w:val="auto"/>
          <w:kern w:val="0"/>
          <w:szCs w:val="21"/>
          <w:highlight w:val="none"/>
          <w:lang w:bidi="ar"/>
        </w:rPr>
        <w:t>）对工程设计中的技术问题，按照安全和优化的原则，向委托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14:paraId="17FDE1D2">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5</w:t>
      </w:r>
      <w:r>
        <w:rPr>
          <w:rFonts w:hint="eastAsia" w:ascii="宋体" w:hAnsi="宋体" w:eastAsia="宋体" w:cs="宋体"/>
          <w:snapToGrid w:val="0"/>
          <w:color w:val="auto"/>
          <w:kern w:val="0"/>
          <w:szCs w:val="21"/>
          <w:highlight w:val="none"/>
          <w:lang w:bidi="ar"/>
        </w:rPr>
        <w:t>）审批工程施工组织设计和技术方案，按照保质量、保工期和降低成本的原则，向承包人提出建议，并向委托人提出书面报告。</w:t>
      </w:r>
    </w:p>
    <w:p w14:paraId="7FDD274C">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6</w:t>
      </w:r>
      <w:r>
        <w:rPr>
          <w:rFonts w:hint="eastAsia" w:ascii="宋体" w:hAnsi="宋体" w:eastAsia="宋体" w:cs="宋体"/>
          <w:snapToGrid w:val="0"/>
          <w:color w:val="auto"/>
          <w:kern w:val="0"/>
          <w:szCs w:val="21"/>
          <w:highlight w:val="none"/>
          <w:lang w:bidi="ar"/>
        </w:rPr>
        <w:t>）主持工程建设有关协作单位的组织协调，重要协调事项应当事先向委托人报告。</w:t>
      </w:r>
    </w:p>
    <w:p w14:paraId="62DC530E">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7</w:t>
      </w:r>
      <w:r>
        <w:rPr>
          <w:rFonts w:hint="eastAsia" w:ascii="宋体" w:hAnsi="宋体" w:eastAsia="宋体" w:cs="宋体"/>
          <w:snapToGrid w:val="0"/>
          <w:color w:val="auto"/>
          <w:kern w:val="0"/>
          <w:szCs w:val="21"/>
          <w:highlight w:val="none"/>
          <w:lang w:bidi="ar"/>
        </w:rPr>
        <w:t>）征得委托人同意，监理人有权发布开工令、停工令、复工令，但应当事先向委托人报告。如在紧急情况下未能事先报告时，则应在</w:t>
      </w:r>
      <w:r>
        <w:rPr>
          <w:rFonts w:hint="eastAsia" w:ascii="宋体" w:hAnsi="宋体" w:eastAsia="宋体" w:cs="宋体"/>
          <w:color w:val="auto"/>
          <w:kern w:val="0"/>
          <w:szCs w:val="21"/>
          <w:highlight w:val="none"/>
          <w:lang w:bidi="ar"/>
        </w:rPr>
        <w:t>24</w:t>
      </w:r>
      <w:r>
        <w:rPr>
          <w:rFonts w:hint="eastAsia" w:ascii="宋体" w:hAnsi="宋体" w:eastAsia="宋体" w:cs="宋体"/>
          <w:snapToGrid w:val="0"/>
          <w:color w:val="auto"/>
          <w:kern w:val="0"/>
          <w:szCs w:val="21"/>
          <w:highlight w:val="none"/>
          <w:lang w:bidi="ar"/>
        </w:rPr>
        <w:t>小时内向委托人做出书面报告。</w:t>
      </w:r>
    </w:p>
    <w:p w14:paraId="66CE4322">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8</w:t>
      </w:r>
      <w:r>
        <w:rPr>
          <w:rFonts w:hint="eastAsia" w:ascii="宋体" w:hAnsi="宋体" w:eastAsia="宋体" w:cs="宋体"/>
          <w:snapToGrid w:val="0"/>
          <w:color w:val="auto"/>
          <w:kern w:val="0"/>
          <w:szCs w:val="21"/>
          <w:highlight w:val="none"/>
          <w:lang w:bidi="ar"/>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7813B1D0">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9</w:t>
      </w:r>
      <w:r>
        <w:rPr>
          <w:rFonts w:hint="eastAsia" w:ascii="宋体" w:hAnsi="宋体" w:eastAsia="宋体" w:cs="宋体"/>
          <w:snapToGrid w:val="0"/>
          <w:color w:val="auto"/>
          <w:kern w:val="0"/>
          <w:szCs w:val="21"/>
          <w:highlight w:val="none"/>
          <w:lang w:bidi="ar"/>
        </w:rPr>
        <w:t>）工程施工进度的检查、监督权，以及工程实际竣工日期提前或超过工程施工合同规定的竣工期限的签认权。</w:t>
      </w:r>
    </w:p>
    <w:p w14:paraId="426D38BD">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10</w:t>
      </w:r>
      <w:r>
        <w:rPr>
          <w:rFonts w:hint="eastAsia" w:ascii="宋体" w:hAnsi="宋体" w:eastAsia="宋体" w:cs="宋体"/>
          <w:snapToGrid w:val="0"/>
          <w:color w:val="auto"/>
          <w:kern w:val="0"/>
          <w:szCs w:val="21"/>
          <w:highlight w:val="none"/>
          <w:lang w:bidi="ar"/>
        </w:rPr>
        <w:t>）在工程施工合同约定的工程价格范围内，工程款支付的审核和签认权，以及工程结算的复核确认权与否决权。未经总监理工程师签名确认，委托人不支付工程款。</w:t>
      </w:r>
    </w:p>
    <w:p w14:paraId="421264AB">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第十八条</w:t>
      </w:r>
      <w:r>
        <w:rPr>
          <w:rFonts w:hint="eastAsia" w:ascii="宋体" w:hAnsi="宋体" w:eastAsia="宋体" w:cs="宋体"/>
          <w:b/>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承包人人员工作不力，项目监理机构可要求承包人调换有关人员。</w:t>
      </w:r>
    </w:p>
    <w:p w14:paraId="5A3A4A95">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第十九条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在委托的工程范围内，委托人或承包人对对方的任何意见和要求（包括索赔要求），均必须首先向项目监理机构提出，由项目监理机构研究处置意见，再同双方协商确定。当委托人和承包人发生争议时，项目监理机构应根据自己的职能，以独立的身份判断，公正地进行调解。当双方的争议由政府建设行政主管部门调解或仲裁机关仲裁时，监理人应当提供作证的事实材料。</w:t>
      </w:r>
    </w:p>
    <w:p w14:paraId="10CCB13D">
      <w:pPr>
        <w:adjustRightInd w:val="0"/>
        <w:snapToGrid w:val="0"/>
        <w:spacing w:line="360" w:lineRule="auto"/>
        <w:rPr>
          <w:rFonts w:hint="eastAsia" w:ascii="宋体" w:hAnsi="宋体" w:eastAsia="宋体" w:cs="宋体"/>
          <w:b/>
          <w:snapToGrid w:val="0"/>
          <w:color w:val="auto"/>
          <w:kern w:val="0"/>
          <w:szCs w:val="21"/>
          <w:highlight w:val="none"/>
        </w:rPr>
      </w:pPr>
    </w:p>
    <w:p w14:paraId="0B53DAAE">
      <w:pPr>
        <w:adjustRightInd w:val="0"/>
        <w:snapToGri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委托人权利</w:t>
      </w:r>
    </w:p>
    <w:p w14:paraId="3B34BD81">
      <w:pPr>
        <w:adjustRightInd w:val="0"/>
        <w:snapToGrid w:val="0"/>
        <w:spacing w:line="360" w:lineRule="auto"/>
        <w:ind w:left="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第二十条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委托人有选定工程总承包人，以及与其订立合同的权利。</w:t>
      </w:r>
    </w:p>
    <w:p w14:paraId="440E63FF">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第二十一条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委托人有对工程规模、设计标准、规划设计、生产工艺设计和设计使用功能要求的认定权，以及对工程设计变更的审批权。</w:t>
      </w:r>
    </w:p>
    <w:p w14:paraId="4BD8E3B8">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第二十二条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监理人调换总监理工程师须事先经委托人同意。</w:t>
      </w:r>
    </w:p>
    <w:p w14:paraId="0FC2DA27">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第二十三条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委托人有权要求监理人提交监理工作月报及监理业务范围内的专项报告。</w:t>
      </w:r>
    </w:p>
    <w:p w14:paraId="0AE9B59A">
      <w:pPr>
        <w:adjustRightInd w:val="0"/>
        <w:snapToGrid w:val="0"/>
        <w:spacing w:line="360" w:lineRule="auto"/>
        <w:ind w:firstLine="413" w:firstLineChars="196"/>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第二十四条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当委托人发现监理人员不按监理合同履行监理职责，或与承包人串通给委托人或工程造成损失的，委托人有权要求监理人更换监理人员，直到终止合同并要求监理人承担相应的赔偿责任或连带赔偿责任。</w:t>
      </w:r>
    </w:p>
    <w:p w14:paraId="294355D5">
      <w:pPr>
        <w:adjustRightInd w:val="0"/>
        <w:snapToGrid w:val="0"/>
        <w:spacing w:line="360" w:lineRule="auto"/>
        <w:rPr>
          <w:rFonts w:hint="eastAsia" w:ascii="宋体" w:hAnsi="宋体" w:eastAsia="宋体" w:cs="宋体"/>
          <w:b/>
          <w:snapToGrid w:val="0"/>
          <w:color w:val="auto"/>
          <w:kern w:val="0"/>
          <w:szCs w:val="21"/>
          <w:highlight w:val="none"/>
        </w:rPr>
      </w:pPr>
    </w:p>
    <w:p w14:paraId="0F3B54D3">
      <w:pPr>
        <w:adjustRightInd w:val="0"/>
        <w:snapToGri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监理人责任</w:t>
      </w:r>
    </w:p>
    <w:p w14:paraId="2184A3EC">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第二十五条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监理人的责任期即本施工监理合同有效期。在监理过程中，如果因工程建设进度的推迟或延误而超过书面约定的日期，双方应进一步约定相应延长的合同期。</w:t>
      </w:r>
    </w:p>
    <w:p w14:paraId="16E3FD3C">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第二十六条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监理人在责任期内，应当履行约定的义务，如果因监理人过失而造成了委托人的经济损失，应当向委托人赔偿。累计赔偿总额（除本合同第二十四条规定以外）不应超过监理酬金总额（除去税金）。</w:t>
      </w:r>
    </w:p>
    <w:p w14:paraId="64C278B1">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第二十七条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监理人对承包人违反合同规定的质量要求和完工（交图、交货）时限，不承担责任。因不可抗力导致施工监理合同不能全部或部分履行，监理人不承担责任。但对违反第五条规定引起的与之有关的事宜，向委托人承担赔偿责任。</w:t>
      </w:r>
    </w:p>
    <w:p w14:paraId="64E90206">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第二十八条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监理人向委托人提出赔偿要求不能成立时，监理人应当补偿由于该索赔所导致委托人的各种费用支出。</w:t>
      </w:r>
    </w:p>
    <w:p w14:paraId="17B686F8">
      <w:pPr>
        <w:adjustRightInd w:val="0"/>
        <w:snapToGrid w:val="0"/>
        <w:spacing w:line="360" w:lineRule="auto"/>
        <w:rPr>
          <w:rFonts w:hint="eastAsia" w:ascii="宋体" w:hAnsi="宋体" w:eastAsia="宋体" w:cs="宋体"/>
          <w:b/>
          <w:snapToGrid w:val="0"/>
          <w:color w:val="auto"/>
          <w:kern w:val="0"/>
          <w:szCs w:val="21"/>
          <w:highlight w:val="none"/>
        </w:rPr>
      </w:pPr>
    </w:p>
    <w:p w14:paraId="32F39AC9">
      <w:pPr>
        <w:adjustRightInd w:val="0"/>
        <w:snapToGri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委托人责任</w:t>
      </w:r>
    </w:p>
    <w:p w14:paraId="026AAE54">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第二十九条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委托人应当履行本合同约定的义务，如有违反则应当承担违约责任，赔偿给监理人造成的经济损失。</w:t>
      </w:r>
    </w:p>
    <w:p w14:paraId="72861154">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snapToGrid w:val="0"/>
          <w:color w:val="auto"/>
          <w:kern w:val="0"/>
          <w:szCs w:val="21"/>
          <w:highlight w:val="none"/>
          <w:lang w:bidi="ar"/>
        </w:rPr>
        <w:t>监理人处理委托业务时，因非监理人原因的事由受到损失的，可以向委托人要求补偿损失。</w:t>
      </w:r>
    </w:p>
    <w:p w14:paraId="0D0AA445">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第三十条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委托人如果向监理人提出赔偿的要求不能成立，则应当补偿由该索赔所引起的监理人的各种费用支出。</w:t>
      </w:r>
    </w:p>
    <w:p w14:paraId="7FA107AE">
      <w:pPr>
        <w:adjustRightInd w:val="0"/>
        <w:snapToGrid w:val="0"/>
        <w:spacing w:line="360" w:lineRule="auto"/>
        <w:rPr>
          <w:rFonts w:hint="eastAsia" w:ascii="宋体" w:hAnsi="宋体" w:eastAsia="宋体" w:cs="宋体"/>
          <w:b/>
          <w:snapToGrid w:val="0"/>
          <w:color w:val="auto"/>
          <w:kern w:val="0"/>
          <w:szCs w:val="21"/>
          <w:highlight w:val="none"/>
        </w:rPr>
      </w:pPr>
    </w:p>
    <w:p w14:paraId="335E06D0">
      <w:pPr>
        <w:adjustRightInd w:val="0"/>
        <w:snapToGri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合同生效、变更与终止</w:t>
      </w:r>
    </w:p>
    <w:p w14:paraId="30009589">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第三十一条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由于委托人或承包人的原因使监理工作受到阻碍或延误，以致发生了附加工作或延长了持续时间，则监理人应当将此情况与可能产生的影响及时通知委托人。完成监理业务的时间相应延长，并得到附加工作的酬金。</w:t>
      </w:r>
    </w:p>
    <w:p w14:paraId="26E8A015">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第三十二条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在本合同签订后，实际情况发生变化，使得监理人不能全部或部分执行监理业务时，监理人应当立即通知委托人。该监理业务的完成时间应予延长。当恢复执行监理业务时，应当增加不超过</w:t>
      </w:r>
      <w:r>
        <w:rPr>
          <w:rFonts w:hint="eastAsia" w:ascii="宋体" w:hAnsi="宋体" w:eastAsia="宋体" w:cs="宋体"/>
          <w:color w:val="auto"/>
          <w:kern w:val="0"/>
          <w:szCs w:val="21"/>
          <w:highlight w:val="none"/>
          <w:lang w:bidi="ar"/>
        </w:rPr>
        <w:t>42</w:t>
      </w:r>
      <w:r>
        <w:rPr>
          <w:rFonts w:hint="eastAsia" w:ascii="宋体" w:hAnsi="宋体" w:eastAsia="宋体" w:cs="宋体"/>
          <w:snapToGrid w:val="0"/>
          <w:color w:val="auto"/>
          <w:kern w:val="0"/>
          <w:szCs w:val="21"/>
          <w:highlight w:val="none"/>
          <w:lang w:bidi="ar"/>
        </w:rPr>
        <w:t>日的时间用于恢复执行监理业务，并按双方约定的数量支付监理酬金。</w:t>
      </w:r>
    </w:p>
    <w:p w14:paraId="17B225A1">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第三十三条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监理人向委托人办理完竣工验收或工程移交手续，承包人和委托人已签订工程保修责任书，监理人收到监理酬金尾款，本合同即终止。保修期间的责任，双方在专用条件中约定。</w:t>
      </w:r>
    </w:p>
    <w:p w14:paraId="28356596">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第三十四条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当事人一方要求变更或解除合同时，应当在</w:t>
      </w:r>
      <w:r>
        <w:rPr>
          <w:rFonts w:hint="eastAsia" w:ascii="宋体" w:hAnsi="宋体" w:eastAsia="宋体" w:cs="宋体"/>
          <w:color w:val="auto"/>
          <w:kern w:val="0"/>
          <w:szCs w:val="21"/>
          <w:highlight w:val="none"/>
          <w:lang w:bidi="ar"/>
        </w:rPr>
        <w:t>42</w:t>
      </w:r>
      <w:r>
        <w:rPr>
          <w:rFonts w:hint="eastAsia" w:ascii="宋体" w:hAnsi="宋体" w:eastAsia="宋体" w:cs="宋体"/>
          <w:snapToGrid w:val="0"/>
          <w:color w:val="auto"/>
          <w:kern w:val="0"/>
          <w:szCs w:val="21"/>
          <w:highlight w:val="none"/>
          <w:lang w:bidi="ar"/>
        </w:rPr>
        <w:t>日前通知对方，因解除合同使一方遭受损失的，除依法可以免除责任的外，应由责任方负责赔偿。</w:t>
      </w:r>
    </w:p>
    <w:p w14:paraId="37B0742C">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变更或解除合同的通知或协议必须采取书面形式，协议未达成之前，原合同仍然有效。</w:t>
      </w:r>
    </w:p>
    <w:p w14:paraId="716FB3AA">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第三十五条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监理人在应当获得监理酬金之日起</w:t>
      </w:r>
      <w:r>
        <w:rPr>
          <w:rFonts w:hint="eastAsia" w:ascii="宋体" w:hAnsi="宋体" w:eastAsia="宋体" w:cs="宋体"/>
          <w:color w:val="auto"/>
          <w:kern w:val="0"/>
          <w:szCs w:val="21"/>
          <w:highlight w:val="none"/>
          <w:lang w:bidi="ar"/>
        </w:rPr>
        <w:t>30</w:t>
      </w:r>
      <w:r>
        <w:rPr>
          <w:rFonts w:hint="eastAsia" w:ascii="宋体" w:hAnsi="宋体" w:eastAsia="宋体" w:cs="宋体"/>
          <w:snapToGrid w:val="0"/>
          <w:color w:val="auto"/>
          <w:kern w:val="0"/>
          <w:szCs w:val="21"/>
          <w:highlight w:val="none"/>
          <w:lang w:bidi="ar"/>
        </w:rPr>
        <w:t>日内仍未收到支付单据，而委托人又未对监理人提出任何书面解释时，或根据第三十三条及第三十四条已暂停执行监理业务时限超过六个月的，监理人可向委托人发出终止合同的通知，发出通知后</w:t>
      </w:r>
      <w:r>
        <w:rPr>
          <w:rFonts w:hint="eastAsia" w:ascii="宋体" w:hAnsi="宋体" w:eastAsia="宋体" w:cs="宋体"/>
          <w:color w:val="auto"/>
          <w:kern w:val="0"/>
          <w:szCs w:val="21"/>
          <w:highlight w:val="none"/>
          <w:lang w:bidi="ar"/>
        </w:rPr>
        <w:t>14</w:t>
      </w:r>
      <w:r>
        <w:rPr>
          <w:rFonts w:hint="eastAsia" w:ascii="宋体" w:hAnsi="宋体" w:eastAsia="宋体" w:cs="宋体"/>
          <w:snapToGrid w:val="0"/>
          <w:color w:val="auto"/>
          <w:kern w:val="0"/>
          <w:szCs w:val="21"/>
          <w:highlight w:val="none"/>
          <w:lang w:bidi="ar"/>
        </w:rPr>
        <w:t>日内仍未得到委托人答复，可进一步发出终止合同的通知，如果第二份通知发出后</w:t>
      </w:r>
      <w:r>
        <w:rPr>
          <w:rFonts w:hint="eastAsia" w:ascii="宋体" w:hAnsi="宋体" w:eastAsia="宋体" w:cs="宋体"/>
          <w:color w:val="auto"/>
          <w:kern w:val="0"/>
          <w:szCs w:val="21"/>
          <w:highlight w:val="none"/>
          <w:lang w:bidi="ar"/>
        </w:rPr>
        <w:t>42</w:t>
      </w:r>
      <w:r>
        <w:rPr>
          <w:rFonts w:hint="eastAsia" w:ascii="宋体" w:hAnsi="宋体" w:eastAsia="宋体" w:cs="宋体"/>
          <w:snapToGrid w:val="0"/>
          <w:color w:val="auto"/>
          <w:kern w:val="0"/>
          <w:szCs w:val="21"/>
          <w:highlight w:val="none"/>
          <w:lang w:bidi="ar"/>
        </w:rPr>
        <w:t>日内仍未得到委托人答复，可终止合同或自行暂停或继续暂停执行全部或部分监理业务。委托人承担违约责任。</w:t>
      </w:r>
    </w:p>
    <w:p w14:paraId="47D003E0">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第三十六条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监理人由于非自己的原因而暂停或终止执行监理业务，其善后工作以及恢复执行监理业务的工作，应当视为额外工作，有权得到额外的酬金。</w:t>
      </w:r>
    </w:p>
    <w:p w14:paraId="7A9CDBD7">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第三十七条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当委托人认为监理人无正当理由而又未履行监理义务时，可向监理人发出指明其未履行义务的通知。若委托人发出通知后</w:t>
      </w:r>
      <w:r>
        <w:rPr>
          <w:rFonts w:hint="eastAsia" w:ascii="宋体" w:hAnsi="宋体" w:eastAsia="宋体" w:cs="宋体"/>
          <w:color w:val="auto"/>
          <w:kern w:val="0"/>
          <w:szCs w:val="21"/>
          <w:highlight w:val="none"/>
          <w:lang w:bidi="ar"/>
        </w:rPr>
        <w:t>21</w:t>
      </w:r>
      <w:r>
        <w:rPr>
          <w:rFonts w:hint="eastAsia" w:ascii="宋体" w:hAnsi="宋体" w:eastAsia="宋体" w:cs="宋体"/>
          <w:snapToGrid w:val="0"/>
          <w:color w:val="auto"/>
          <w:kern w:val="0"/>
          <w:szCs w:val="21"/>
          <w:highlight w:val="none"/>
          <w:lang w:bidi="ar"/>
        </w:rPr>
        <w:t>日内没有收到答复，可在第一个通知发出后</w:t>
      </w:r>
      <w:r>
        <w:rPr>
          <w:rFonts w:hint="eastAsia" w:ascii="宋体" w:hAnsi="宋体" w:eastAsia="宋体" w:cs="宋体"/>
          <w:color w:val="auto"/>
          <w:kern w:val="0"/>
          <w:szCs w:val="21"/>
          <w:highlight w:val="none"/>
          <w:lang w:bidi="ar"/>
        </w:rPr>
        <w:t>35</w:t>
      </w:r>
      <w:r>
        <w:rPr>
          <w:rFonts w:hint="eastAsia" w:ascii="宋体" w:hAnsi="宋体" w:eastAsia="宋体" w:cs="宋体"/>
          <w:snapToGrid w:val="0"/>
          <w:color w:val="auto"/>
          <w:kern w:val="0"/>
          <w:szCs w:val="21"/>
          <w:highlight w:val="none"/>
          <w:lang w:bidi="ar"/>
        </w:rPr>
        <w:t>日内发出终止委托监理合同的通知，合同即行终止。监理人承担违约责任。</w:t>
      </w:r>
    </w:p>
    <w:p w14:paraId="495DF7CA">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第三十八条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合同协议的终止并不影响各方应有的权利和应当承担的责任。</w:t>
      </w:r>
    </w:p>
    <w:p w14:paraId="322D4832">
      <w:pPr>
        <w:adjustRightInd w:val="0"/>
        <w:snapToGrid w:val="0"/>
        <w:spacing w:line="360" w:lineRule="auto"/>
        <w:rPr>
          <w:rFonts w:hint="eastAsia" w:ascii="宋体" w:hAnsi="宋体" w:eastAsia="宋体" w:cs="宋体"/>
          <w:b/>
          <w:snapToGrid w:val="0"/>
          <w:color w:val="auto"/>
          <w:kern w:val="0"/>
          <w:szCs w:val="21"/>
          <w:highlight w:val="none"/>
        </w:rPr>
      </w:pPr>
    </w:p>
    <w:p w14:paraId="118868AC">
      <w:pPr>
        <w:adjustRightInd w:val="0"/>
        <w:snapToGri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监理酬金</w:t>
      </w:r>
    </w:p>
    <w:p w14:paraId="2C2AB329">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 xml:space="preserve">第三十九条 </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正常的监理工作、附加工作和额外工作的酬金，按照监理合同专用条件中第三十九条的方法计算，并按约定的时间和数额支付。</w:t>
      </w:r>
    </w:p>
    <w:p w14:paraId="07178767">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第四十条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如果委托人在规定的支付期限内未支付监理酬金，自规定之日起，还应向监理人支付滞纳金。滞纳金从规定支付期限最后一日起计算。</w:t>
      </w:r>
    </w:p>
    <w:p w14:paraId="5B5299F8">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第四十一条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支付监理酬金所采取的货币币种、汇率由合同专用条件约定。</w:t>
      </w:r>
    </w:p>
    <w:p w14:paraId="2A75FFD7">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第四十二条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如果委托人对监理人提交的支付通知中酬金或部分酬金项目提出异议，应当在收到支付通知书</w:t>
      </w:r>
      <w:r>
        <w:rPr>
          <w:rFonts w:hint="eastAsia" w:ascii="宋体" w:hAnsi="宋体" w:eastAsia="宋体" w:cs="宋体"/>
          <w:color w:val="auto"/>
          <w:kern w:val="0"/>
          <w:szCs w:val="21"/>
          <w:highlight w:val="none"/>
          <w:lang w:bidi="ar"/>
        </w:rPr>
        <w:t>24</w:t>
      </w:r>
      <w:r>
        <w:rPr>
          <w:rFonts w:hint="eastAsia" w:ascii="宋体" w:hAnsi="宋体" w:eastAsia="宋体" w:cs="宋体"/>
          <w:snapToGrid w:val="0"/>
          <w:color w:val="auto"/>
          <w:kern w:val="0"/>
          <w:szCs w:val="21"/>
          <w:highlight w:val="none"/>
          <w:lang w:bidi="ar"/>
        </w:rPr>
        <w:t>小时内向监理人发出表示异议的通知，但委托人不得拖延其他无异议酬金项目的支付。</w:t>
      </w:r>
    </w:p>
    <w:p w14:paraId="46003ABD">
      <w:pPr>
        <w:adjustRightInd w:val="0"/>
        <w:snapToGrid w:val="0"/>
        <w:spacing w:line="360" w:lineRule="auto"/>
        <w:rPr>
          <w:rFonts w:hint="eastAsia" w:ascii="宋体" w:hAnsi="宋体" w:eastAsia="宋体" w:cs="宋体"/>
          <w:b/>
          <w:snapToGrid w:val="0"/>
          <w:color w:val="auto"/>
          <w:kern w:val="0"/>
          <w:szCs w:val="21"/>
          <w:highlight w:val="none"/>
        </w:rPr>
      </w:pPr>
    </w:p>
    <w:p w14:paraId="158BE1FC">
      <w:pPr>
        <w:adjustRightInd w:val="0"/>
        <w:snapToGri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其他</w:t>
      </w:r>
    </w:p>
    <w:p w14:paraId="604D2EB8">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第四十三条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委托的建设工程监理所必要的监理人员出外考察、材料设备复试，其费用支出经委托人同意的，在预算范围内向委托人实报实销。</w:t>
      </w:r>
    </w:p>
    <w:p w14:paraId="63249BD3">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第四十四条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在监理业务范围内，如需聘用专家咨询或协助，由监理人聘用的，其费用由监理人承担；由委托人聘用的，其费用由委托人承担。</w:t>
      </w:r>
    </w:p>
    <w:p w14:paraId="49D8EAA7">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第四十五条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监理人在监理工作过程中提出的合理化建议，使委托人得到了经济效益，委托人应按专用条件中的约定给予经济奖励。</w:t>
      </w:r>
    </w:p>
    <w:p w14:paraId="5FBF2D02">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第四十六条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监理人驻地项目监理机构及其职员不得接受监理工程项目承包人的任何酬金或者经济利益。</w:t>
      </w:r>
    </w:p>
    <w:p w14:paraId="685DFE32">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snapToGrid w:val="0"/>
          <w:color w:val="auto"/>
          <w:kern w:val="0"/>
          <w:szCs w:val="21"/>
          <w:highlight w:val="none"/>
          <w:lang w:bidi="ar"/>
        </w:rPr>
        <w:t>监理人不得参与可能与合同规定的与委托人的利益相冲突的任何活动。</w:t>
      </w:r>
    </w:p>
    <w:p w14:paraId="00BBF269">
      <w:pPr>
        <w:adjustRightInd w:val="0"/>
        <w:snapToGrid w:val="0"/>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第四十七条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监理人在监理过程中，不得泄露委托人申明的秘密，监理人亦不得泄露设计人、承包人等提供并申明的秘密。</w:t>
      </w:r>
    </w:p>
    <w:p w14:paraId="11D665EC">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第四十八条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监理人对于由其编制的所有文件拥有版权，委托人仅有权为本合同工程使用或复制此类文件。</w:t>
      </w:r>
    </w:p>
    <w:p w14:paraId="0D58D46D">
      <w:pPr>
        <w:adjustRightInd w:val="0"/>
        <w:snapToGrid w:val="0"/>
        <w:spacing w:line="360" w:lineRule="auto"/>
        <w:rPr>
          <w:rFonts w:hint="eastAsia" w:ascii="宋体" w:hAnsi="宋体" w:eastAsia="宋体" w:cs="宋体"/>
          <w:b/>
          <w:snapToGrid w:val="0"/>
          <w:color w:val="auto"/>
          <w:kern w:val="0"/>
          <w:szCs w:val="21"/>
          <w:highlight w:val="none"/>
        </w:rPr>
      </w:pPr>
    </w:p>
    <w:p w14:paraId="53EFF0AE">
      <w:pPr>
        <w:adjustRightInd w:val="0"/>
        <w:snapToGri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争议的解决</w:t>
      </w:r>
    </w:p>
    <w:p w14:paraId="592F409F">
      <w:pPr>
        <w:adjustRightInd w:val="0"/>
        <w:snapToGrid w:val="0"/>
        <w:spacing w:line="360" w:lineRule="auto"/>
        <w:ind w:firstLine="413" w:firstLineChars="196"/>
        <w:rPr>
          <w:rFonts w:hint="eastAsia" w:ascii="宋体" w:hAnsi="宋体" w:eastAsia="宋体" w:cs="宋体"/>
          <w:bCs/>
          <w:color w:val="auto"/>
          <w:kern w:val="0"/>
          <w:szCs w:val="21"/>
          <w:highlight w:val="none"/>
        </w:rPr>
      </w:pPr>
      <w:r>
        <w:rPr>
          <w:rFonts w:hint="eastAsia" w:ascii="宋体" w:hAnsi="宋体" w:eastAsia="宋体" w:cs="宋体"/>
          <w:b/>
          <w:snapToGrid w:val="0"/>
          <w:color w:val="auto"/>
          <w:kern w:val="0"/>
          <w:szCs w:val="21"/>
          <w:highlight w:val="none"/>
          <w:lang w:bidi="ar"/>
        </w:rPr>
        <w:t>第四十九条</w:t>
      </w:r>
      <w:r>
        <w:rPr>
          <w:rFonts w:hint="eastAsia" w:ascii="宋体" w:hAnsi="宋体" w:eastAsia="宋体" w:cs="宋体"/>
          <w:b/>
          <w:color w:val="auto"/>
          <w:kern w:val="0"/>
          <w:szCs w:val="21"/>
          <w:highlight w:val="none"/>
          <w:lang w:bidi="ar"/>
        </w:rPr>
        <w:t xml:space="preserve">  </w:t>
      </w:r>
      <w:r>
        <w:rPr>
          <w:rFonts w:hint="eastAsia" w:ascii="宋体" w:hAnsi="宋体" w:eastAsia="宋体" w:cs="宋体"/>
          <w:bCs/>
          <w:snapToGrid w:val="0"/>
          <w:color w:val="auto"/>
          <w:kern w:val="0"/>
          <w:szCs w:val="21"/>
          <w:highlight w:val="none"/>
          <w:lang w:bidi="ar"/>
        </w:rPr>
        <w:t>因违反或终止合同而引起的对对方损失和损害的赔偿，双方应当协商解决，如未能达成一致，可提交主管部门协调，如仍未能达成一致时，根据双方约定提交仲裁机关仲裁，或向人民法院起诉。</w:t>
      </w:r>
    </w:p>
    <w:p w14:paraId="3CFAB1E5">
      <w:pPr>
        <w:pStyle w:val="20"/>
        <w:widowControl w:val="0"/>
        <w:spacing w:before="0" w:beforeAutospacing="0" w:after="0" w:afterAutospacing="0"/>
        <w:jc w:val="both"/>
        <w:rPr>
          <w:rFonts w:hint="eastAsia" w:ascii="宋体" w:hAnsi="宋体" w:eastAsia="宋体" w:cs="宋体"/>
          <w:color w:val="auto"/>
          <w:highlight w:val="none"/>
        </w:rPr>
      </w:pPr>
      <w:r>
        <w:rPr>
          <w:rFonts w:hint="eastAsia" w:ascii="宋体" w:hAnsi="宋体" w:eastAsia="宋体" w:cs="宋体"/>
          <w:snapToGrid w:val="0"/>
          <w:color w:val="auto"/>
          <w:sz w:val="21"/>
          <w:szCs w:val="21"/>
          <w:highlight w:val="none"/>
          <w:lang w:bidi="ar"/>
        </w:rPr>
        <w:t>（以下部分无《建设工程委托监理合同》第二部分标准条件正文内容）</w:t>
      </w:r>
    </w:p>
    <w:p w14:paraId="6C50CDB0">
      <w:pPr>
        <w:tabs>
          <w:tab w:val="left" w:pos="5460"/>
        </w:tabs>
        <w:adjustRightInd w:val="0"/>
        <w:snapToGrid w:val="0"/>
        <w:spacing w:line="360" w:lineRule="auto"/>
        <w:ind w:right="11"/>
        <w:jc w:val="center"/>
        <w:outlineLvl w:val="1"/>
        <w:rPr>
          <w:rFonts w:hint="eastAsia" w:ascii="宋体" w:hAnsi="宋体" w:eastAsia="宋体" w:cs="宋体"/>
          <w:b/>
          <w:snapToGrid w:val="0"/>
          <w:color w:val="auto"/>
          <w:kern w:val="0"/>
          <w:szCs w:val="21"/>
          <w:highlight w:val="none"/>
        </w:rPr>
      </w:pPr>
      <w:r>
        <w:rPr>
          <w:rFonts w:hint="eastAsia" w:ascii="宋体" w:hAnsi="宋体" w:eastAsia="宋体" w:cs="宋体"/>
          <w:snapToGrid w:val="0"/>
          <w:color w:val="auto"/>
          <w:szCs w:val="21"/>
          <w:highlight w:val="none"/>
          <w:lang w:bidi="ar"/>
        </w:rPr>
        <w:br w:type="page"/>
      </w:r>
      <w:bookmarkStart w:id="196" w:name="_Toc20792"/>
      <w:bookmarkStart w:id="197" w:name="_Toc4110"/>
      <w:bookmarkStart w:id="198" w:name="_Toc32182"/>
      <w:bookmarkStart w:id="199" w:name="_Toc18379"/>
      <w:bookmarkStart w:id="200" w:name="_Toc15643"/>
      <w:r>
        <w:rPr>
          <w:rFonts w:hint="eastAsia" w:ascii="宋体" w:hAnsi="宋体" w:eastAsia="宋体" w:cs="宋体"/>
          <w:b/>
          <w:snapToGrid w:val="0"/>
          <w:color w:val="auto"/>
          <w:kern w:val="0"/>
          <w:szCs w:val="21"/>
          <w:highlight w:val="none"/>
          <w:lang w:bidi="ar"/>
        </w:rPr>
        <w:t>第三部分</w:t>
      </w:r>
      <w:r>
        <w:rPr>
          <w:rFonts w:hint="eastAsia" w:ascii="宋体" w:hAnsi="宋体" w:eastAsia="宋体" w:cs="宋体"/>
          <w:b/>
          <w:color w:val="auto"/>
          <w:kern w:val="0"/>
          <w:szCs w:val="21"/>
          <w:highlight w:val="none"/>
          <w:lang w:bidi="ar"/>
        </w:rPr>
        <w:t xml:space="preserve">  </w:t>
      </w:r>
      <w:r>
        <w:rPr>
          <w:rFonts w:hint="eastAsia" w:ascii="宋体" w:hAnsi="宋体" w:eastAsia="宋体" w:cs="宋体"/>
          <w:b/>
          <w:snapToGrid w:val="0"/>
          <w:color w:val="auto"/>
          <w:kern w:val="0"/>
          <w:szCs w:val="21"/>
          <w:highlight w:val="none"/>
          <w:lang w:bidi="ar"/>
        </w:rPr>
        <w:t>专用条件</w:t>
      </w:r>
      <w:bookmarkEnd w:id="196"/>
      <w:bookmarkEnd w:id="197"/>
      <w:bookmarkEnd w:id="198"/>
      <w:bookmarkEnd w:id="199"/>
      <w:bookmarkEnd w:id="200"/>
    </w:p>
    <w:p w14:paraId="0E55CD52">
      <w:pPr>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本部分条款的编号与标准条件的编号相对应，是根据本合同工程的实际情况对标准条件中相对应条款进行修改、补充或否定，其适用顺序优先于标准条件。本部分条款未阐明的内容，则按标准条件的有关约定执行）</w:t>
      </w:r>
    </w:p>
    <w:p w14:paraId="71B442CC">
      <w:pPr>
        <w:adjustRightInd w:val="0"/>
        <w:snapToGrid w:val="0"/>
        <w:spacing w:line="360" w:lineRule="auto"/>
        <w:rPr>
          <w:rFonts w:hint="eastAsia" w:ascii="宋体" w:hAnsi="宋体" w:eastAsia="宋体" w:cs="宋体"/>
          <w:bCs/>
          <w:snapToGrid w:val="0"/>
          <w:color w:val="auto"/>
          <w:kern w:val="0"/>
          <w:szCs w:val="21"/>
          <w:highlight w:val="none"/>
        </w:rPr>
      </w:pPr>
    </w:p>
    <w:p w14:paraId="0AC19EA0">
      <w:pPr>
        <w:adjustRightInd w:val="0"/>
        <w:snapToGrid w:val="0"/>
        <w:spacing w:line="360" w:lineRule="auto"/>
        <w:ind w:firstLine="413" w:firstLineChars="196"/>
        <w:rPr>
          <w:rFonts w:hint="eastAsia" w:ascii="宋体" w:hAnsi="宋体" w:eastAsia="宋体" w:cs="宋体"/>
          <w:snapToGrid w:val="0"/>
          <w:color w:val="auto"/>
          <w:kern w:val="0"/>
          <w:szCs w:val="21"/>
          <w:highlight w:val="none"/>
        </w:rPr>
      </w:pPr>
      <w:r>
        <w:rPr>
          <w:rFonts w:hint="eastAsia" w:ascii="宋体" w:hAnsi="宋体" w:eastAsia="宋体" w:cs="宋体"/>
          <w:b/>
          <w:snapToGrid w:val="0"/>
          <w:color w:val="auto"/>
          <w:kern w:val="0"/>
          <w:szCs w:val="21"/>
          <w:highlight w:val="none"/>
          <w:lang w:bidi="ar"/>
        </w:rPr>
        <w:t>第一条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b/>
          <w:snapToGrid w:val="0"/>
          <w:color w:val="auto"/>
          <w:kern w:val="0"/>
          <w:szCs w:val="21"/>
          <w:highlight w:val="none"/>
          <w:lang w:bidi="ar"/>
        </w:rPr>
        <w:t>词语定义</w:t>
      </w:r>
    </w:p>
    <w:p w14:paraId="61523CA7">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）“本合同工程”指委托人委托监理人监理的工程。</w:t>
      </w:r>
    </w:p>
    <w:p w14:paraId="4E9B4B19">
      <w:pPr>
        <w:adjustRightInd w:val="0"/>
        <w:snapToGrid w:val="0"/>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）委托人</w:t>
      </w:r>
    </w:p>
    <w:p w14:paraId="4D8A3EC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1）</w:t>
      </w:r>
      <w:r>
        <w:rPr>
          <w:rFonts w:hint="eastAsia" w:ascii="宋体" w:hAnsi="宋体" w:eastAsia="宋体" w:cs="宋体"/>
          <w:snapToGrid w:val="0"/>
          <w:color w:val="auto"/>
          <w:kern w:val="0"/>
          <w:szCs w:val="21"/>
          <w:highlight w:val="none"/>
          <w:lang w:bidi="ar"/>
        </w:rPr>
        <w:t>“委托人”在本合同中特指</w:t>
      </w:r>
      <w:r>
        <w:rPr>
          <w:rFonts w:hint="eastAsia" w:ascii="宋体" w:hAnsi="宋体" w:eastAsia="宋体" w:cs="宋体"/>
          <w:color w:val="auto"/>
          <w:szCs w:val="21"/>
          <w:highlight w:val="none"/>
          <w:u w:val="single"/>
          <w:lang w:bidi="ar"/>
        </w:rPr>
        <w:t>广州市天河区建设工程项目代建局</w:t>
      </w:r>
      <w:r>
        <w:rPr>
          <w:rFonts w:hint="eastAsia" w:ascii="宋体" w:hAnsi="宋体" w:eastAsia="宋体" w:cs="宋体"/>
          <w:snapToGrid w:val="0"/>
          <w:color w:val="auto"/>
          <w:kern w:val="0"/>
          <w:szCs w:val="21"/>
          <w:highlight w:val="none"/>
          <w:lang w:bidi="ar"/>
        </w:rPr>
        <w:t>。</w:t>
      </w:r>
    </w:p>
    <w:p w14:paraId="4193FC8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2）“</w:t>
      </w:r>
      <w:r>
        <w:rPr>
          <w:rFonts w:hint="eastAsia" w:ascii="宋体" w:hAnsi="宋体" w:eastAsia="宋体" w:cs="宋体"/>
          <w:snapToGrid w:val="0"/>
          <w:color w:val="auto"/>
          <w:kern w:val="0"/>
          <w:szCs w:val="21"/>
          <w:highlight w:val="none"/>
          <w:lang w:bidi="ar"/>
        </w:rPr>
        <w:t>合法继承人”指工程竣工验收合格后，委托人依据政府部门的规定，将工程移交给其承接使用的产权管理单位。在继承生效后，合法继承人享有委托人在本合同中的一切权利及承担相应的义务。</w:t>
      </w:r>
    </w:p>
    <w:p w14:paraId="743A1733">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5</w:t>
      </w:r>
      <w:r>
        <w:rPr>
          <w:rFonts w:hint="eastAsia" w:ascii="宋体" w:hAnsi="宋体" w:eastAsia="宋体" w:cs="宋体"/>
          <w:snapToGrid w:val="0"/>
          <w:color w:val="auto"/>
          <w:kern w:val="0"/>
          <w:szCs w:val="21"/>
          <w:highlight w:val="none"/>
          <w:lang w:bidi="ar"/>
        </w:rPr>
        <w:t>）“总监理工程师代表”指经监理人法定代表人同意，由总监理工程师书面授权，代表总监理工程师行使其部分职责和权力的项目监理机构中的监理工程师。</w:t>
      </w:r>
    </w:p>
    <w:p w14:paraId="1912F823">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12</w:t>
      </w:r>
      <w:r>
        <w:rPr>
          <w:rFonts w:hint="eastAsia" w:ascii="宋体" w:hAnsi="宋体" w:eastAsia="宋体" w:cs="宋体"/>
          <w:snapToGrid w:val="0"/>
          <w:color w:val="auto"/>
          <w:kern w:val="0"/>
          <w:szCs w:val="21"/>
          <w:highlight w:val="none"/>
          <w:lang w:bidi="ar"/>
        </w:rPr>
        <w:t>）“临时延期批准”是指当发生非承包人原因造成的持续性影响工期的事件，总监理工程师所作出暂时延长合同工期的批准。</w:t>
      </w:r>
    </w:p>
    <w:p w14:paraId="059B41B6">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13</w:t>
      </w:r>
      <w:r>
        <w:rPr>
          <w:rFonts w:hint="eastAsia" w:ascii="宋体" w:hAnsi="宋体" w:eastAsia="宋体" w:cs="宋体"/>
          <w:snapToGrid w:val="0"/>
          <w:color w:val="auto"/>
          <w:kern w:val="0"/>
          <w:szCs w:val="21"/>
          <w:highlight w:val="none"/>
          <w:lang w:bidi="ar"/>
        </w:rPr>
        <w:t>）“延期批准”指当发生非承包人原因造成的持续性影响工期事件，总监理工程师所作出的最终延长合同工期的批准。</w:t>
      </w:r>
    </w:p>
    <w:p w14:paraId="1B326BA0">
      <w:pPr>
        <w:widowControl/>
        <w:adjustRightInd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14</w:t>
      </w:r>
      <w:r>
        <w:rPr>
          <w:rFonts w:hint="eastAsia" w:ascii="宋体" w:hAnsi="宋体" w:eastAsia="宋体" w:cs="宋体"/>
          <w:snapToGrid w:val="0"/>
          <w:color w:val="auto"/>
          <w:kern w:val="0"/>
          <w:szCs w:val="21"/>
          <w:highlight w:val="none"/>
          <w:lang w:bidi="ar"/>
        </w:rPr>
        <w:t>）“</w:t>
      </w:r>
      <w:r>
        <w:rPr>
          <w:rFonts w:hint="eastAsia" w:ascii="宋体" w:hAnsi="宋体" w:eastAsia="宋体" w:cs="宋体"/>
          <w:bCs/>
          <w:color w:val="auto"/>
          <w:kern w:val="0"/>
          <w:szCs w:val="21"/>
          <w:highlight w:val="none"/>
          <w:lang w:bidi="ar"/>
        </w:rPr>
        <w:t>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19910A0F">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15</w:t>
      </w:r>
      <w:r>
        <w:rPr>
          <w:rFonts w:hint="eastAsia" w:ascii="宋体" w:hAnsi="宋体" w:eastAsia="宋体" w:cs="宋体"/>
          <w:bCs/>
          <w:snapToGrid w:val="0"/>
          <w:color w:val="auto"/>
          <w:kern w:val="0"/>
          <w:szCs w:val="21"/>
          <w:highlight w:val="none"/>
          <w:lang w:bidi="ar"/>
        </w:rPr>
        <w:t>）“通知”指合同中所提及的各方之间传达意思表示的方式，包括但不限于申请、报告、同意、答复、批准、指令、证书、决定，等等。除本合同专用条件有特别约定外，只有采用书面形式的通知才有效。</w:t>
      </w:r>
    </w:p>
    <w:p w14:paraId="2FB7F7AD">
      <w:pPr>
        <w:adjustRightInd w:val="0"/>
        <w:snapToGrid w:val="0"/>
        <w:spacing w:line="360" w:lineRule="auto"/>
        <w:ind w:firstLine="420" w:firstLineChars="200"/>
        <w:rPr>
          <w:rFonts w:hint="eastAsia" w:ascii="宋体" w:hAnsi="宋体" w:eastAsia="宋体" w:cs="宋体"/>
          <w:bCs/>
          <w:strike/>
          <w:color w:val="auto"/>
          <w:kern w:val="0"/>
          <w:szCs w:val="21"/>
          <w:highlight w:val="none"/>
          <w:u w:val="singl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16</w:t>
      </w:r>
      <w:r>
        <w:rPr>
          <w:rFonts w:hint="eastAsia" w:ascii="宋体" w:hAnsi="宋体" w:eastAsia="宋体" w:cs="宋体"/>
          <w:bCs/>
          <w:snapToGrid w:val="0"/>
          <w:color w:val="auto"/>
          <w:kern w:val="0"/>
          <w:szCs w:val="21"/>
          <w:highlight w:val="none"/>
          <w:lang w:bidi="ar"/>
        </w:rPr>
        <w:t>）“重大事故”指在工程建设过程中由于责任过失造成工程倒塌或报废、机械设备毁坏和安全设施失当等原因造成人身伤亡或者重大经济损失的事故。</w:t>
      </w:r>
    </w:p>
    <w:p w14:paraId="11A0C701">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1）“一级重大事故”指死亡</w:t>
      </w:r>
      <w:r>
        <w:rPr>
          <w:rFonts w:hint="eastAsia" w:ascii="宋体" w:hAnsi="宋体" w:eastAsia="宋体" w:cs="宋体"/>
          <w:bCs/>
          <w:color w:val="auto"/>
          <w:kern w:val="0"/>
          <w:szCs w:val="21"/>
          <w:highlight w:val="none"/>
          <w:lang w:bidi="ar"/>
        </w:rPr>
        <w:t>30</w:t>
      </w:r>
      <w:r>
        <w:rPr>
          <w:rFonts w:hint="eastAsia" w:ascii="宋体" w:hAnsi="宋体" w:eastAsia="宋体" w:cs="宋体"/>
          <w:bCs/>
          <w:snapToGrid w:val="0"/>
          <w:color w:val="auto"/>
          <w:kern w:val="0"/>
          <w:szCs w:val="21"/>
          <w:highlight w:val="none"/>
          <w:lang w:bidi="ar"/>
        </w:rPr>
        <w:t>人以上或直接经济损失达</w:t>
      </w:r>
      <w:r>
        <w:rPr>
          <w:rFonts w:hint="eastAsia" w:ascii="宋体" w:hAnsi="宋体" w:eastAsia="宋体" w:cs="宋体"/>
          <w:bCs/>
          <w:color w:val="auto"/>
          <w:kern w:val="0"/>
          <w:szCs w:val="21"/>
          <w:highlight w:val="none"/>
          <w:lang w:bidi="ar"/>
        </w:rPr>
        <w:t>300</w:t>
      </w:r>
      <w:r>
        <w:rPr>
          <w:rFonts w:hint="eastAsia" w:ascii="宋体" w:hAnsi="宋体" w:eastAsia="宋体" w:cs="宋体"/>
          <w:bCs/>
          <w:snapToGrid w:val="0"/>
          <w:color w:val="auto"/>
          <w:kern w:val="0"/>
          <w:szCs w:val="21"/>
          <w:highlight w:val="none"/>
          <w:lang w:bidi="ar"/>
        </w:rPr>
        <w:t>万元以上的事故。</w:t>
      </w:r>
    </w:p>
    <w:p w14:paraId="157B93AC">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2）“二级重大事故”指死亡</w:t>
      </w:r>
      <w:r>
        <w:rPr>
          <w:rFonts w:hint="eastAsia" w:ascii="宋体" w:hAnsi="宋体" w:eastAsia="宋体" w:cs="宋体"/>
          <w:bCs/>
          <w:color w:val="auto"/>
          <w:kern w:val="0"/>
          <w:szCs w:val="21"/>
          <w:highlight w:val="none"/>
          <w:lang w:bidi="ar"/>
        </w:rPr>
        <w:t>10</w:t>
      </w:r>
      <w:r>
        <w:rPr>
          <w:rFonts w:hint="eastAsia" w:ascii="宋体" w:hAnsi="宋体" w:eastAsia="宋体" w:cs="宋体"/>
          <w:bCs/>
          <w:snapToGrid w:val="0"/>
          <w:color w:val="auto"/>
          <w:kern w:val="0"/>
          <w:szCs w:val="21"/>
          <w:highlight w:val="none"/>
          <w:lang w:bidi="ar"/>
        </w:rPr>
        <w:t>人以上</w:t>
      </w:r>
      <w:r>
        <w:rPr>
          <w:rFonts w:hint="eastAsia" w:ascii="宋体" w:hAnsi="宋体" w:eastAsia="宋体" w:cs="宋体"/>
          <w:bCs/>
          <w:color w:val="auto"/>
          <w:kern w:val="0"/>
          <w:szCs w:val="21"/>
          <w:highlight w:val="none"/>
          <w:lang w:bidi="ar"/>
        </w:rPr>
        <w:t>29</w:t>
      </w:r>
      <w:r>
        <w:rPr>
          <w:rFonts w:hint="eastAsia" w:ascii="宋体" w:hAnsi="宋体" w:eastAsia="宋体" w:cs="宋体"/>
          <w:bCs/>
          <w:snapToGrid w:val="0"/>
          <w:color w:val="auto"/>
          <w:kern w:val="0"/>
          <w:szCs w:val="21"/>
          <w:highlight w:val="none"/>
          <w:lang w:bidi="ar"/>
        </w:rPr>
        <w:t>人以下或直接经济损失达</w:t>
      </w:r>
      <w:r>
        <w:rPr>
          <w:rFonts w:hint="eastAsia" w:ascii="宋体" w:hAnsi="宋体" w:eastAsia="宋体" w:cs="宋体"/>
          <w:bCs/>
          <w:color w:val="auto"/>
          <w:kern w:val="0"/>
          <w:szCs w:val="21"/>
          <w:highlight w:val="none"/>
          <w:lang w:bidi="ar"/>
        </w:rPr>
        <w:t>100</w:t>
      </w:r>
      <w:r>
        <w:rPr>
          <w:rFonts w:hint="eastAsia" w:ascii="宋体" w:hAnsi="宋体" w:eastAsia="宋体" w:cs="宋体"/>
          <w:bCs/>
          <w:snapToGrid w:val="0"/>
          <w:color w:val="auto"/>
          <w:kern w:val="0"/>
          <w:szCs w:val="21"/>
          <w:highlight w:val="none"/>
          <w:lang w:bidi="ar"/>
        </w:rPr>
        <w:t>万元以上不满</w:t>
      </w:r>
      <w:r>
        <w:rPr>
          <w:rFonts w:hint="eastAsia" w:ascii="宋体" w:hAnsi="宋体" w:eastAsia="宋体" w:cs="宋体"/>
          <w:bCs/>
          <w:color w:val="auto"/>
          <w:kern w:val="0"/>
          <w:szCs w:val="21"/>
          <w:highlight w:val="none"/>
          <w:lang w:bidi="ar"/>
        </w:rPr>
        <w:t>300</w:t>
      </w:r>
      <w:r>
        <w:rPr>
          <w:rFonts w:hint="eastAsia" w:ascii="宋体" w:hAnsi="宋体" w:eastAsia="宋体" w:cs="宋体"/>
          <w:bCs/>
          <w:snapToGrid w:val="0"/>
          <w:color w:val="auto"/>
          <w:kern w:val="0"/>
          <w:szCs w:val="21"/>
          <w:highlight w:val="none"/>
          <w:lang w:bidi="ar"/>
        </w:rPr>
        <w:t>万元的事故。</w:t>
      </w:r>
    </w:p>
    <w:p w14:paraId="3301132B">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3）“三级重大事故”指死亡</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人以上</w:t>
      </w:r>
      <w:r>
        <w:rPr>
          <w:rFonts w:hint="eastAsia" w:ascii="宋体" w:hAnsi="宋体" w:eastAsia="宋体" w:cs="宋体"/>
          <w:bCs/>
          <w:color w:val="auto"/>
          <w:kern w:val="0"/>
          <w:szCs w:val="21"/>
          <w:highlight w:val="none"/>
          <w:lang w:bidi="ar"/>
        </w:rPr>
        <w:t>9</w:t>
      </w:r>
      <w:r>
        <w:rPr>
          <w:rFonts w:hint="eastAsia" w:ascii="宋体" w:hAnsi="宋体" w:eastAsia="宋体" w:cs="宋体"/>
          <w:bCs/>
          <w:snapToGrid w:val="0"/>
          <w:color w:val="auto"/>
          <w:kern w:val="0"/>
          <w:szCs w:val="21"/>
          <w:highlight w:val="none"/>
          <w:lang w:bidi="ar"/>
        </w:rPr>
        <w:t>人以下，或者重伤</w:t>
      </w:r>
      <w:r>
        <w:rPr>
          <w:rFonts w:hint="eastAsia" w:ascii="宋体" w:hAnsi="宋体" w:eastAsia="宋体" w:cs="宋体"/>
          <w:bCs/>
          <w:color w:val="auto"/>
          <w:kern w:val="0"/>
          <w:szCs w:val="21"/>
          <w:highlight w:val="none"/>
          <w:lang w:bidi="ar"/>
        </w:rPr>
        <w:t>20</w:t>
      </w:r>
      <w:r>
        <w:rPr>
          <w:rFonts w:hint="eastAsia" w:ascii="宋体" w:hAnsi="宋体" w:eastAsia="宋体" w:cs="宋体"/>
          <w:bCs/>
          <w:snapToGrid w:val="0"/>
          <w:color w:val="auto"/>
          <w:kern w:val="0"/>
          <w:szCs w:val="21"/>
          <w:highlight w:val="none"/>
          <w:lang w:bidi="ar"/>
        </w:rPr>
        <w:t>人以上，或直接经济损失达</w:t>
      </w:r>
      <w:r>
        <w:rPr>
          <w:rFonts w:hint="eastAsia" w:ascii="宋体" w:hAnsi="宋体" w:eastAsia="宋体" w:cs="宋体"/>
          <w:bCs/>
          <w:color w:val="auto"/>
          <w:kern w:val="0"/>
          <w:szCs w:val="21"/>
          <w:highlight w:val="none"/>
          <w:lang w:bidi="ar"/>
        </w:rPr>
        <w:t>30</w:t>
      </w:r>
      <w:r>
        <w:rPr>
          <w:rFonts w:hint="eastAsia" w:ascii="宋体" w:hAnsi="宋体" w:eastAsia="宋体" w:cs="宋体"/>
          <w:bCs/>
          <w:snapToGrid w:val="0"/>
          <w:color w:val="auto"/>
          <w:kern w:val="0"/>
          <w:szCs w:val="21"/>
          <w:highlight w:val="none"/>
          <w:lang w:bidi="ar"/>
        </w:rPr>
        <w:t>万元以上不满</w:t>
      </w:r>
      <w:r>
        <w:rPr>
          <w:rFonts w:hint="eastAsia" w:ascii="宋体" w:hAnsi="宋体" w:eastAsia="宋体" w:cs="宋体"/>
          <w:bCs/>
          <w:color w:val="auto"/>
          <w:kern w:val="0"/>
          <w:szCs w:val="21"/>
          <w:highlight w:val="none"/>
          <w:lang w:bidi="ar"/>
        </w:rPr>
        <w:t>100</w:t>
      </w:r>
      <w:r>
        <w:rPr>
          <w:rFonts w:hint="eastAsia" w:ascii="宋体" w:hAnsi="宋体" w:eastAsia="宋体" w:cs="宋体"/>
          <w:bCs/>
          <w:snapToGrid w:val="0"/>
          <w:color w:val="auto"/>
          <w:kern w:val="0"/>
          <w:szCs w:val="21"/>
          <w:highlight w:val="none"/>
          <w:lang w:bidi="ar"/>
        </w:rPr>
        <w:t>万元的事故。</w:t>
      </w:r>
    </w:p>
    <w:p w14:paraId="73EBA83B">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4）“四级重大事故”指死亡</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2</w:t>
      </w:r>
      <w:r>
        <w:rPr>
          <w:rFonts w:hint="eastAsia" w:ascii="宋体" w:hAnsi="宋体" w:eastAsia="宋体" w:cs="宋体"/>
          <w:bCs/>
          <w:snapToGrid w:val="0"/>
          <w:color w:val="auto"/>
          <w:kern w:val="0"/>
          <w:szCs w:val="21"/>
          <w:highlight w:val="none"/>
          <w:lang w:bidi="ar"/>
        </w:rPr>
        <w:t>人，或重伤</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人以上</w:t>
      </w:r>
      <w:r>
        <w:rPr>
          <w:rFonts w:hint="eastAsia" w:ascii="宋体" w:hAnsi="宋体" w:eastAsia="宋体" w:cs="宋体"/>
          <w:bCs/>
          <w:color w:val="auto"/>
          <w:kern w:val="0"/>
          <w:szCs w:val="21"/>
          <w:highlight w:val="none"/>
          <w:lang w:bidi="ar"/>
        </w:rPr>
        <w:t>19</w:t>
      </w:r>
      <w:r>
        <w:rPr>
          <w:rFonts w:hint="eastAsia" w:ascii="宋体" w:hAnsi="宋体" w:eastAsia="宋体" w:cs="宋体"/>
          <w:bCs/>
          <w:snapToGrid w:val="0"/>
          <w:color w:val="auto"/>
          <w:kern w:val="0"/>
          <w:szCs w:val="21"/>
          <w:highlight w:val="none"/>
          <w:lang w:bidi="ar"/>
        </w:rPr>
        <w:t>人以下，或直接经济损失达</w:t>
      </w:r>
      <w:r>
        <w:rPr>
          <w:rFonts w:hint="eastAsia" w:ascii="宋体" w:hAnsi="宋体" w:eastAsia="宋体" w:cs="宋体"/>
          <w:bCs/>
          <w:color w:val="auto"/>
          <w:kern w:val="0"/>
          <w:szCs w:val="21"/>
          <w:highlight w:val="none"/>
          <w:lang w:bidi="ar"/>
        </w:rPr>
        <w:t>10</w:t>
      </w:r>
      <w:r>
        <w:rPr>
          <w:rFonts w:hint="eastAsia" w:ascii="宋体" w:hAnsi="宋体" w:eastAsia="宋体" w:cs="宋体"/>
          <w:bCs/>
          <w:snapToGrid w:val="0"/>
          <w:color w:val="auto"/>
          <w:kern w:val="0"/>
          <w:szCs w:val="21"/>
          <w:highlight w:val="none"/>
          <w:lang w:bidi="ar"/>
        </w:rPr>
        <w:t>万元以上不满</w:t>
      </w:r>
      <w:r>
        <w:rPr>
          <w:rFonts w:hint="eastAsia" w:ascii="宋体" w:hAnsi="宋体" w:eastAsia="宋体" w:cs="宋体"/>
          <w:bCs/>
          <w:color w:val="auto"/>
          <w:kern w:val="0"/>
          <w:szCs w:val="21"/>
          <w:highlight w:val="none"/>
          <w:lang w:bidi="ar"/>
        </w:rPr>
        <w:t>30</w:t>
      </w:r>
      <w:r>
        <w:rPr>
          <w:rFonts w:hint="eastAsia" w:ascii="宋体" w:hAnsi="宋体" w:eastAsia="宋体" w:cs="宋体"/>
          <w:bCs/>
          <w:snapToGrid w:val="0"/>
          <w:color w:val="auto"/>
          <w:kern w:val="0"/>
          <w:szCs w:val="21"/>
          <w:highlight w:val="none"/>
          <w:lang w:bidi="ar"/>
        </w:rPr>
        <w:t>万元的事故。</w:t>
      </w:r>
    </w:p>
    <w:p w14:paraId="37F54AD8">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17</w:t>
      </w:r>
      <w:r>
        <w:rPr>
          <w:rFonts w:hint="eastAsia" w:ascii="宋体" w:hAnsi="宋体" w:eastAsia="宋体" w:cs="宋体"/>
          <w:bCs/>
          <w:snapToGrid w:val="0"/>
          <w:color w:val="auto"/>
          <w:kern w:val="0"/>
          <w:szCs w:val="21"/>
          <w:highlight w:val="none"/>
          <w:lang w:bidi="ar"/>
        </w:rPr>
        <w:t>）“质量事故”指因质量原因导致损失或造成人身伤亡的事故，包括“一般质量事故”、“严重质量事故”及“重大质量事故”。</w:t>
      </w:r>
    </w:p>
    <w:p w14:paraId="495411EA">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1)“一般质量事故”指直接经济损失达</w:t>
      </w:r>
      <w:r>
        <w:rPr>
          <w:rFonts w:hint="eastAsia" w:ascii="宋体" w:hAnsi="宋体" w:eastAsia="宋体" w:cs="宋体"/>
          <w:bCs/>
          <w:color w:val="auto"/>
          <w:kern w:val="0"/>
          <w:szCs w:val="21"/>
          <w:highlight w:val="none"/>
          <w:lang w:bidi="ar"/>
        </w:rPr>
        <w:t>5</w:t>
      </w:r>
      <w:r>
        <w:rPr>
          <w:rFonts w:hint="eastAsia" w:ascii="宋体" w:hAnsi="宋体" w:eastAsia="宋体" w:cs="宋体"/>
          <w:bCs/>
          <w:snapToGrid w:val="0"/>
          <w:color w:val="auto"/>
          <w:kern w:val="0"/>
          <w:szCs w:val="21"/>
          <w:highlight w:val="none"/>
          <w:lang w:bidi="ar"/>
        </w:rPr>
        <w:t>千元以上不满</w:t>
      </w:r>
      <w:r>
        <w:rPr>
          <w:rFonts w:hint="eastAsia" w:ascii="宋体" w:hAnsi="宋体" w:eastAsia="宋体" w:cs="宋体"/>
          <w:bCs/>
          <w:color w:val="auto"/>
          <w:kern w:val="0"/>
          <w:szCs w:val="21"/>
          <w:highlight w:val="none"/>
          <w:lang w:bidi="ar"/>
        </w:rPr>
        <w:t>5</w:t>
      </w:r>
      <w:r>
        <w:rPr>
          <w:rFonts w:hint="eastAsia" w:ascii="宋体" w:hAnsi="宋体" w:eastAsia="宋体" w:cs="宋体"/>
          <w:bCs/>
          <w:snapToGrid w:val="0"/>
          <w:color w:val="auto"/>
          <w:kern w:val="0"/>
          <w:szCs w:val="21"/>
          <w:highlight w:val="none"/>
          <w:lang w:bidi="ar"/>
        </w:rPr>
        <w:t>万元，或影响适用功能和工程结构安全造成永久质量缺陷的事故；</w:t>
      </w:r>
    </w:p>
    <w:p w14:paraId="1564C117">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2)“重大质量事故”指直接经济损失达</w:t>
      </w:r>
      <w:r>
        <w:rPr>
          <w:rFonts w:hint="eastAsia" w:ascii="宋体" w:hAnsi="宋体" w:eastAsia="宋体" w:cs="宋体"/>
          <w:bCs/>
          <w:color w:val="auto"/>
          <w:kern w:val="0"/>
          <w:szCs w:val="21"/>
          <w:highlight w:val="none"/>
          <w:lang w:bidi="ar"/>
        </w:rPr>
        <w:t>5</w:t>
      </w:r>
      <w:r>
        <w:rPr>
          <w:rFonts w:hint="eastAsia" w:ascii="宋体" w:hAnsi="宋体" w:eastAsia="宋体" w:cs="宋体"/>
          <w:bCs/>
          <w:snapToGrid w:val="0"/>
          <w:color w:val="auto"/>
          <w:kern w:val="0"/>
          <w:szCs w:val="21"/>
          <w:highlight w:val="none"/>
          <w:lang w:bidi="ar"/>
        </w:rPr>
        <w:t>万元以上不满</w:t>
      </w:r>
      <w:r>
        <w:rPr>
          <w:rFonts w:hint="eastAsia" w:ascii="宋体" w:hAnsi="宋体" w:eastAsia="宋体" w:cs="宋体"/>
          <w:bCs/>
          <w:color w:val="auto"/>
          <w:kern w:val="0"/>
          <w:szCs w:val="21"/>
          <w:highlight w:val="none"/>
          <w:lang w:bidi="ar"/>
        </w:rPr>
        <w:t>10</w:t>
      </w:r>
      <w:r>
        <w:rPr>
          <w:rFonts w:hint="eastAsia" w:ascii="宋体" w:hAnsi="宋体" w:eastAsia="宋体" w:cs="宋体"/>
          <w:bCs/>
          <w:snapToGrid w:val="0"/>
          <w:color w:val="auto"/>
          <w:kern w:val="0"/>
          <w:szCs w:val="21"/>
          <w:highlight w:val="none"/>
          <w:lang w:bidi="ar"/>
        </w:rPr>
        <w:t>万元，或事故性质恶劣，或造成</w:t>
      </w:r>
      <w:r>
        <w:rPr>
          <w:rFonts w:hint="eastAsia" w:ascii="宋体" w:hAnsi="宋体" w:eastAsia="宋体" w:cs="宋体"/>
          <w:bCs/>
          <w:color w:val="auto"/>
          <w:kern w:val="0"/>
          <w:szCs w:val="21"/>
          <w:highlight w:val="none"/>
          <w:lang w:bidi="ar"/>
        </w:rPr>
        <w:t>2</w:t>
      </w:r>
      <w:r>
        <w:rPr>
          <w:rFonts w:hint="eastAsia" w:ascii="宋体" w:hAnsi="宋体" w:eastAsia="宋体" w:cs="宋体"/>
          <w:bCs/>
          <w:snapToGrid w:val="0"/>
          <w:color w:val="auto"/>
          <w:kern w:val="0"/>
          <w:szCs w:val="21"/>
          <w:highlight w:val="none"/>
          <w:lang w:bidi="ar"/>
        </w:rPr>
        <w:t>人以下重伤，或严重影响适用功能或工程结构安全的事故；</w:t>
      </w:r>
    </w:p>
    <w:p w14:paraId="6A9EE31C">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3)“重大质量事故”指工程倒塌或报废，或造成人员死亡或重伤</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人以上，或直接经济损失</w:t>
      </w:r>
      <w:r>
        <w:rPr>
          <w:rFonts w:hint="eastAsia" w:ascii="宋体" w:hAnsi="宋体" w:eastAsia="宋体" w:cs="宋体"/>
          <w:bCs/>
          <w:color w:val="auto"/>
          <w:kern w:val="0"/>
          <w:szCs w:val="21"/>
          <w:highlight w:val="none"/>
          <w:lang w:bidi="ar"/>
        </w:rPr>
        <w:t>10</w:t>
      </w:r>
      <w:r>
        <w:rPr>
          <w:rFonts w:hint="eastAsia" w:ascii="宋体" w:hAnsi="宋体" w:eastAsia="宋体" w:cs="宋体"/>
          <w:bCs/>
          <w:snapToGrid w:val="0"/>
          <w:color w:val="auto"/>
          <w:kern w:val="0"/>
          <w:szCs w:val="21"/>
          <w:highlight w:val="none"/>
          <w:lang w:bidi="ar"/>
        </w:rPr>
        <w:t>万元以上的事故。</w:t>
      </w:r>
    </w:p>
    <w:p w14:paraId="3E8DFFAE">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18</w:t>
      </w:r>
      <w:r>
        <w:rPr>
          <w:rFonts w:hint="eastAsia" w:ascii="宋体" w:hAnsi="宋体" w:eastAsia="宋体" w:cs="宋体"/>
          <w:bCs/>
          <w:snapToGrid w:val="0"/>
          <w:color w:val="auto"/>
          <w:kern w:val="0"/>
          <w:szCs w:val="21"/>
          <w:highlight w:val="none"/>
          <w:lang w:bidi="ar"/>
        </w:rPr>
        <w:t>）“委托管理单位”指受委托人委托对本合同工程建设进行管理的单位，包括监理人和技术督导单位、</w:t>
      </w:r>
      <w:r>
        <w:rPr>
          <w:rFonts w:hint="eastAsia" w:ascii="宋体" w:hAnsi="宋体" w:eastAsia="宋体" w:cs="宋体"/>
          <w:snapToGrid w:val="0"/>
          <w:color w:val="auto"/>
          <w:kern w:val="0"/>
          <w:szCs w:val="21"/>
          <w:highlight w:val="none"/>
          <w:lang w:bidi="ar"/>
        </w:rPr>
        <w:t>材料设备管理服务单位</w:t>
      </w:r>
      <w:r>
        <w:rPr>
          <w:rFonts w:hint="eastAsia" w:ascii="宋体" w:hAnsi="宋体" w:eastAsia="宋体" w:cs="宋体"/>
          <w:bCs/>
          <w:color w:val="auto"/>
          <w:kern w:val="0"/>
          <w:szCs w:val="21"/>
          <w:highlight w:val="none"/>
          <w:lang w:bidi="ar"/>
        </w:rPr>
        <w:t>等。</w:t>
      </w:r>
    </w:p>
    <w:p w14:paraId="780A6A38">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第二条</w:t>
      </w:r>
      <w:r>
        <w:rPr>
          <w:rFonts w:hint="eastAsia" w:ascii="宋体" w:hAnsi="宋体" w:eastAsia="宋体" w:cs="宋体"/>
          <w:b/>
          <w:color w:val="auto"/>
          <w:kern w:val="0"/>
          <w:szCs w:val="21"/>
          <w:highlight w:val="none"/>
          <w:lang w:bidi="ar"/>
        </w:rPr>
        <w:t xml:space="preserve">  </w:t>
      </w:r>
      <w:r>
        <w:rPr>
          <w:rFonts w:hint="eastAsia" w:ascii="宋体" w:hAnsi="宋体" w:eastAsia="宋体" w:cs="宋体"/>
          <w:b/>
          <w:snapToGrid w:val="0"/>
          <w:color w:val="auto"/>
          <w:kern w:val="0"/>
          <w:szCs w:val="21"/>
          <w:highlight w:val="none"/>
          <w:lang w:bidi="ar"/>
        </w:rPr>
        <w:t>本合同适用的法律法规及监理依据</w:t>
      </w:r>
    </w:p>
    <w:p w14:paraId="2E340E28">
      <w:pPr>
        <w:adjustRightInd w:val="0"/>
        <w:snapToGrid w:val="0"/>
        <w:spacing w:line="360" w:lineRule="auto"/>
        <w:ind w:right="11" w:firstLine="403" w:firstLineChars="192"/>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）中华人民共和国的法律、法规、合同约定的部门规章及工程所在地的地方法规；</w:t>
      </w:r>
    </w:p>
    <w:p w14:paraId="211CB443">
      <w:pPr>
        <w:adjustRightInd w:val="0"/>
        <w:snapToGrid w:val="0"/>
        <w:spacing w:line="360" w:lineRule="auto"/>
        <w:ind w:left="428"/>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）《建设工程监理规范》（</w:t>
      </w:r>
      <w:r>
        <w:rPr>
          <w:rFonts w:hint="eastAsia" w:ascii="宋体" w:hAnsi="宋体" w:eastAsia="宋体" w:cs="宋体"/>
          <w:color w:val="auto"/>
          <w:kern w:val="0"/>
          <w:szCs w:val="21"/>
          <w:highlight w:val="none"/>
          <w:lang w:bidi="ar"/>
        </w:rPr>
        <w:t>GB/T50319-2013</w:t>
      </w:r>
      <w:r>
        <w:rPr>
          <w:rFonts w:hint="eastAsia" w:ascii="宋体" w:hAnsi="宋体" w:eastAsia="宋体" w:cs="宋体"/>
          <w:snapToGrid w:val="0"/>
          <w:color w:val="auto"/>
          <w:kern w:val="0"/>
          <w:szCs w:val="21"/>
          <w:highlight w:val="none"/>
          <w:lang w:bidi="ar"/>
        </w:rPr>
        <w:t>）；</w:t>
      </w:r>
    </w:p>
    <w:p w14:paraId="6E59036A">
      <w:pPr>
        <w:adjustRightInd w:val="0"/>
        <w:snapToGrid w:val="0"/>
        <w:spacing w:line="360" w:lineRule="auto"/>
        <w:ind w:left="428"/>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）国家和地方现行的建设工程质量评定标准、设计及施工验收规范；</w:t>
      </w:r>
    </w:p>
    <w:p w14:paraId="757C9026">
      <w:pPr>
        <w:adjustRightInd w:val="0"/>
        <w:snapToGrid w:val="0"/>
        <w:spacing w:line="360" w:lineRule="auto"/>
        <w:ind w:left="428"/>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4</w:t>
      </w:r>
      <w:r>
        <w:rPr>
          <w:rFonts w:hint="eastAsia" w:ascii="宋体" w:hAnsi="宋体" w:eastAsia="宋体" w:cs="宋体"/>
          <w:snapToGrid w:val="0"/>
          <w:color w:val="auto"/>
          <w:kern w:val="0"/>
          <w:szCs w:val="21"/>
          <w:highlight w:val="none"/>
          <w:lang w:bidi="ar"/>
        </w:rPr>
        <w:t>）经批准的施工图纸及说明，以及经图纸会审确定的修改设计通知书；</w:t>
      </w:r>
    </w:p>
    <w:p w14:paraId="6F81D47A">
      <w:pPr>
        <w:adjustRightInd w:val="0"/>
        <w:snapToGrid w:val="0"/>
        <w:spacing w:line="360" w:lineRule="auto"/>
        <w:ind w:left="428"/>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5</w:t>
      </w:r>
      <w:r>
        <w:rPr>
          <w:rFonts w:hint="eastAsia" w:ascii="宋体" w:hAnsi="宋体" w:eastAsia="宋体" w:cs="宋体"/>
          <w:snapToGrid w:val="0"/>
          <w:color w:val="auto"/>
          <w:kern w:val="0"/>
          <w:szCs w:val="21"/>
          <w:highlight w:val="none"/>
          <w:lang w:bidi="ar"/>
        </w:rPr>
        <w:t>）本合同工程的设计、施工、安装、招投标文件及合同；</w:t>
      </w:r>
    </w:p>
    <w:p w14:paraId="7E25CF42">
      <w:pPr>
        <w:adjustRightInd w:val="0"/>
        <w:snapToGrid w:val="0"/>
        <w:spacing w:line="360" w:lineRule="auto"/>
        <w:ind w:left="428"/>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6</w:t>
      </w:r>
      <w:r>
        <w:rPr>
          <w:rFonts w:hint="eastAsia" w:ascii="宋体" w:hAnsi="宋体" w:eastAsia="宋体" w:cs="宋体"/>
          <w:snapToGrid w:val="0"/>
          <w:color w:val="auto"/>
          <w:kern w:val="0"/>
          <w:szCs w:val="21"/>
          <w:highlight w:val="none"/>
          <w:lang w:bidi="ar"/>
        </w:rPr>
        <w:t>）委托人发出的有关本合同工程建设的指令；</w:t>
      </w:r>
    </w:p>
    <w:p w14:paraId="74F6F86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7</w:t>
      </w:r>
      <w:r>
        <w:rPr>
          <w:rFonts w:hint="eastAsia" w:ascii="宋体" w:hAnsi="宋体" w:eastAsia="宋体" w:cs="宋体"/>
          <w:snapToGrid w:val="0"/>
          <w:color w:val="auto"/>
          <w:kern w:val="0"/>
          <w:szCs w:val="21"/>
          <w:highlight w:val="none"/>
          <w:lang w:bidi="ar"/>
        </w:rPr>
        <w:t>）委托人制定的有关本合同工程建设的管理制度。</w:t>
      </w:r>
    </w:p>
    <w:p w14:paraId="18E4A098">
      <w:pPr>
        <w:adjustRightInd w:val="0"/>
        <w:snapToGrid w:val="0"/>
        <w:spacing w:line="360" w:lineRule="auto"/>
        <w:ind w:firstLine="480"/>
        <w:rPr>
          <w:rFonts w:hint="eastAsia" w:ascii="宋体" w:hAnsi="宋体" w:eastAsia="宋体" w:cs="宋体"/>
          <w:snapToGrid w:val="0"/>
          <w:color w:val="auto"/>
          <w:kern w:val="0"/>
          <w:szCs w:val="21"/>
          <w:highlight w:val="none"/>
        </w:rPr>
      </w:pPr>
      <w:r>
        <w:rPr>
          <w:rFonts w:hint="eastAsia" w:ascii="宋体" w:hAnsi="宋体" w:eastAsia="宋体" w:cs="宋体"/>
          <w:b/>
          <w:snapToGrid w:val="0"/>
          <w:color w:val="auto"/>
          <w:kern w:val="0"/>
          <w:szCs w:val="21"/>
          <w:highlight w:val="none"/>
          <w:lang w:bidi="ar"/>
        </w:rPr>
        <w:t>第四条</w:t>
      </w:r>
      <w:r>
        <w:rPr>
          <w:rFonts w:hint="eastAsia" w:ascii="宋体" w:hAnsi="宋体" w:eastAsia="宋体" w:cs="宋体"/>
          <w:b/>
          <w:color w:val="auto"/>
          <w:kern w:val="0"/>
          <w:szCs w:val="21"/>
          <w:highlight w:val="none"/>
          <w:lang w:bidi="ar"/>
        </w:rPr>
        <w:t xml:space="preserve">  </w:t>
      </w:r>
      <w:r>
        <w:rPr>
          <w:rFonts w:hint="eastAsia" w:ascii="宋体" w:hAnsi="宋体" w:eastAsia="宋体" w:cs="宋体"/>
          <w:b/>
          <w:snapToGrid w:val="0"/>
          <w:color w:val="auto"/>
          <w:kern w:val="0"/>
          <w:szCs w:val="21"/>
          <w:highlight w:val="none"/>
          <w:lang w:bidi="ar"/>
        </w:rPr>
        <w:t>监理工作内容、项目监理机构及监理人员</w:t>
      </w:r>
    </w:p>
    <w:p w14:paraId="30C8E844">
      <w:pPr>
        <w:adjustRightInd w:val="0"/>
        <w:snapToGrid w:val="0"/>
        <w:spacing w:line="360" w:lineRule="auto"/>
        <w:ind w:firstLine="413" w:firstLineChars="196"/>
        <w:rPr>
          <w:rFonts w:hint="eastAsia" w:ascii="宋体" w:hAnsi="宋体" w:eastAsia="宋体" w:cs="宋体"/>
          <w:bCs/>
          <w:color w:val="auto"/>
          <w:kern w:val="0"/>
          <w:szCs w:val="21"/>
          <w:highlight w:val="none"/>
        </w:rPr>
      </w:pPr>
      <w:r>
        <w:rPr>
          <w:rFonts w:hint="eastAsia" w:ascii="宋体" w:hAnsi="宋体" w:eastAsia="宋体" w:cs="宋体"/>
          <w:b/>
          <w:snapToGrid w:val="0"/>
          <w:color w:val="auto"/>
          <w:kern w:val="0"/>
          <w:szCs w:val="21"/>
          <w:highlight w:val="none"/>
          <w:lang w:bidi="ar"/>
        </w:rPr>
        <w:t>4.1监理服务工作内容</w:t>
      </w:r>
      <w:r>
        <w:rPr>
          <w:rFonts w:hint="eastAsia" w:ascii="宋体" w:hAnsi="宋体" w:eastAsia="宋体" w:cs="宋体"/>
          <w:bCs/>
          <w:snapToGrid w:val="0"/>
          <w:color w:val="auto"/>
          <w:kern w:val="0"/>
          <w:szCs w:val="21"/>
          <w:highlight w:val="none"/>
          <w:lang w:bidi="ar"/>
        </w:rPr>
        <w:t>（根据监理的服务范围，负责各阶段的监理工作）</w:t>
      </w:r>
    </w:p>
    <w:p w14:paraId="6871F4F1">
      <w:pPr>
        <w:adjustRightInd w:val="0"/>
        <w:snapToGrid w:val="0"/>
        <w:spacing w:line="360" w:lineRule="auto"/>
        <w:ind w:firstLine="413" w:firstLineChars="196"/>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4.1.1建设工程监理一般规定</w:t>
      </w:r>
    </w:p>
    <w:p w14:paraId="5E3A0DF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）实行总监理工程师负责制。</w:t>
      </w:r>
    </w:p>
    <w:p w14:paraId="4AC584B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）监理人应公正、独立、自主地开展监理工作，维护委托人和承包人的合法权益。</w:t>
      </w:r>
    </w:p>
    <w:p w14:paraId="2B3DA428">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）建设工程监理除应符合《建设工程监理规范》（</w:t>
      </w:r>
      <w:r>
        <w:rPr>
          <w:rFonts w:hint="eastAsia" w:ascii="宋体" w:hAnsi="宋体" w:eastAsia="宋体" w:cs="宋体"/>
          <w:color w:val="auto"/>
          <w:kern w:val="0"/>
          <w:szCs w:val="21"/>
          <w:highlight w:val="none"/>
          <w:lang w:bidi="ar"/>
        </w:rPr>
        <w:t>GB/T50319-2013</w:t>
      </w:r>
      <w:r>
        <w:rPr>
          <w:rFonts w:hint="eastAsia" w:ascii="宋体" w:hAnsi="宋体" w:eastAsia="宋体" w:cs="宋体"/>
          <w:snapToGrid w:val="0"/>
          <w:color w:val="auto"/>
          <w:kern w:val="0"/>
          <w:szCs w:val="21"/>
          <w:highlight w:val="none"/>
          <w:lang w:bidi="ar"/>
        </w:rPr>
        <w:t>）外，还应符合国家现行的有关强制性标准、规范的规定。</w:t>
      </w:r>
    </w:p>
    <w:p w14:paraId="69CB3CD5">
      <w:pPr>
        <w:adjustRightInd w:val="0"/>
        <w:snapToGrid w:val="0"/>
        <w:spacing w:line="360" w:lineRule="auto"/>
        <w:ind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4.1.2前期阶段的监理工作（包括但不限于以下内容）</w:t>
      </w:r>
    </w:p>
    <w:p w14:paraId="253FFFDE">
      <w:pPr>
        <w:adjustRightInd w:val="0"/>
        <w:snapToGrid w:val="0"/>
        <w:spacing w:line="360" w:lineRule="auto"/>
        <w:ind w:right="11" w:firstLine="420" w:firstLineChars="200"/>
        <w:rPr>
          <w:rFonts w:hint="eastAsia" w:ascii="宋体" w:hAnsi="宋体" w:eastAsia="宋体" w:cs="宋体"/>
          <w:bCs/>
          <w:strike/>
          <w:color w:val="auto"/>
          <w:kern w:val="0"/>
          <w:szCs w:val="21"/>
          <w:highlight w:val="none"/>
        </w:rPr>
      </w:pPr>
      <w:r>
        <w:rPr>
          <w:rFonts w:hint="eastAsia" w:ascii="宋体" w:hAnsi="宋体" w:eastAsia="宋体" w:cs="宋体"/>
          <w:bCs/>
          <w:strike/>
          <w:snapToGrid w:val="0"/>
          <w:color w:val="auto"/>
          <w:kern w:val="0"/>
          <w:szCs w:val="21"/>
          <w:highlight w:val="none"/>
          <w:lang w:bidi="ar"/>
        </w:rPr>
        <w:t>（</w:t>
      </w:r>
      <w:r>
        <w:rPr>
          <w:rFonts w:hint="eastAsia" w:ascii="宋体" w:hAnsi="宋体" w:eastAsia="宋体" w:cs="宋体"/>
          <w:bCs/>
          <w:strike/>
          <w:color w:val="auto"/>
          <w:kern w:val="0"/>
          <w:szCs w:val="21"/>
          <w:highlight w:val="none"/>
          <w:lang w:bidi="ar"/>
        </w:rPr>
        <w:t>1</w:t>
      </w:r>
      <w:r>
        <w:rPr>
          <w:rFonts w:hint="eastAsia" w:ascii="宋体" w:hAnsi="宋体" w:eastAsia="宋体" w:cs="宋体"/>
          <w:bCs/>
          <w:strike/>
          <w:snapToGrid w:val="0"/>
          <w:color w:val="auto"/>
          <w:kern w:val="0"/>
          <w:szCs w:val="21"/>
          <w:highlight w:val="none"/>
          <w:lang w:bidi="ar"/>
        </w:rPr>
        <w:t>）含前期建（构）筑物拆除、绿化及管线设施迁移、超前钻（如有）工程的监理工作等。</w:t>
      </w:r>
    </w:p>
    <w:p w14:paraId="13829307">
      <w:pPr>
        <w:adjustRightInd w:val="0"/>
        <w:snapToGrid w:val="0"/>
        <w:spacing w:line="360" w:lineRule="auto"/>
        <w:ind w:right="11" w:firstLine="420" w:firstLineChars="200"/>
        <w:rPr>
          <w:rFonts w:hint="eastAsia" w:ascii="宋体" w:hAnsi="宋体" w:eastAsia="宋体" w:cs="宋体"/>
          <w:bCs/>
          <w:strike/>
          <w:color w:val="auto"/>
          <w:kern w:val="0"/>
          <w:szCs w:val="21"/>
          <w:highlight w:val="none"/>
        </w:rPr>
      </w:pPr>
      <w:r>
        <w:rPr>
          <w:rFonts w:hint="eastAsia" w:ascii="宋体" w:hAnsi="宋体" w:eastAsia="宋体" w:cs="宋体"/>
          <w:bCs/>
          <w:strike/>
          <w:snapToGrid w:val="0"/>
          <w:color w:val="auto"/>
          <w:kern w:val="0"/>
          <w:szCs w:val="21"/>
          <w:highlight w:val="none"/>
          <w:lang w:bidi="ar"/>
        </w:rPr>
        <w:t>（</w:t>
      </w:r>
      <w:r>
        <w:rPr>
          <w:rFonts w:hint="eastAsia" w:ascii="宋体" w:hAnsi="宋体" w:eastAsia="宋体" w:cs="宋体"/>
          <w:bCs/>
          <w:strike/>
          <w:color w:val="auto"/>
          <w:kern w:val="0"/>
          <w:szCs w:val="21"/>
          <w:highlight w:val="none"/>
          <w:lang w:bidi="ar"/>
        </w:rPr>
        <w:t>2</w:t>
      </w:r>
      <w:r>
        <w:rPr>
          <w:rFonts w:hint="eastAsia" w:ascii="宋体" w:hAnsi="宋体" w:eastAsia="宋体" w:cs="宋体"/>
          <w:bCs/>
          <w:strike/>
          <w:snapToGrid w:val="0"/>
          <w:color w:val="auto"/>
          <w:kern w:val="0"/>
          <w:szCs w:val="21"/>
          <w:highlight w:val="none"/>
          <w:lang w:bidi="ar"/>
        </w:rPr>
        <w:t>）计划及统筹管理：统筹及协调项目各层面、各参建单位、各项工作的关系；编制项目总控计划，经委托人审定后，跟踪项目总控计划实时情况，如计划出现偏差，分析偏差原因，提出解决方案报委托人审批。</w:t>
      </w:r>
    </w:p>
    <w:p w14:paraId="18565DB1">
      <w:pPr>
        <w:adjustRightInd w:val="0"/>
        <w:snapToGrid w:val="0"/>
        <w:spacing w:line="360" w:lineRule="auto"/>
        <w:ind w:right="11" w:firstLine="420" w:firstLineChars="200"/>
        <w:rPr>
          <w:rFonts w:hint="eastAsia" w:ascii="宋体" w:hAnsi="宋体" w:eastAsia="宋体" w:cs="宋体"/>
          <w:bCs/>
          <w:strike/>
          <w:color w:val="auto"/>
          <w:kern w:val="0"/>
          <w:szCs w:val="21"/>
          <w:highlight w:val="none"/>
        </w:rPr>
      </w:pPr>
      <w:r>
        <w:rPr>
          <w:rFonts w:hint="eastAsia" w:ascii="宋体" w:hAnsi="宋体" w:eastAsia="宋体" w:cs="宋体"/>
          <w:bCs/>
          <w:strike/>
          <w:snapToGrid w:val="0"/>
          <w:color w:val="auto"/>
          <w:kern w:val="0"/>
          <w:szCs w:val="21"/>
          <w:highlight w:val="none"/>
          <w:lang w:bidi="ar"/>
        </w:rPr>
        <w:t>（</w:t>
      </w:r>
      <w:r>
        <w:rPr>
          <w:rFonts w:hint="eastAsia" w:ascii="宋体" w:hAnsi="宋体" w:eastAsia="宋体" w:cs="宋体"/>
          <w:bCs/>
          <w:strike/>
          <w:color w:val="auto"/>
          <w:kern w:val="0"/>
          <w:szCs w:val="21"/>
          <w:highlight w:val="none"/>
          <w:lang w:bidi="ar"/>
        </w:rPr>
        <w:t>3</w:t>
      </w:r>
      <w:r>
        <w:rPr>
          <w:rFonts w:hint="eastAsia" w:ascii="宋体" w:hAnsi="宋体" w:eastAsia="宋体" w:cs="宋体"/>
          <w:bCs/>
          <w:strike/>
          <w:snapToGrid w:val="0"/>
          <w:color w:val="auto"/>
          <w:kern w:val="0"/>
          <w:szCs w:val="21"/>
          <w:highlight w:val="none"/>
          <w:lang w:bidi="ar"/>
        </w:rPr>
        <w:t>）需求管理：对项目建设功能、规模、标准进行充分研究，实施过程中与委托人、业主单位沟通协调，将业主的功能需求落实到设计任务书、设计文件、造价文件中。</w:t>
      </w:r>
    </w:p>
    <w:p w14:paraId="14B8BBE5">
      <w:pPr>
        <w:adjustRightInd w:val="0"/>
        <w:snapToGrid w:val="0"/>
        <w:spacing w:line="360" w:lineRule="auto"/>
        <w:ind w:right="11" w:firstLine="420" w:firstLineChars="200"/>
        <w:rPr>
          <w:rFonts w:hint="eastAsia" w:ascii="宋体" w:hAnsi="宋体" w:eastAsia="宋体" w:cs="宋体"/>
          <w:bCs/>
          <w:strike/>
          <w:color w:val="auto"/>
          <w:kern w:val="0"/>
          <w:szCs w:val="21"/>
          <w:highlight w:val="none"/>
        </w:rPr>
      </w:pPr>
      <w:r>
        <w:rPr>
          <w:rFonts w:hint="eastAsia" w:ascii="宋体" w:hAnsi="宋体" w:eastAsia="宋体" w:cs="宋体"/>
          <w:bCs/>
          <w:strike/>
          <w:snapToGrid w:val="0"/>
          <w:color w:val="auto"/>
          <w:kern w:val="0"/>
          <w:szCs w:val="21"/>
          <w:highlight w:val="none"/>
          <w:lang w:bidi="ar"/>
        </w:rPr>
        <w:t>4.1.3勘察阶段的监理工作（包括但不限于以下内容）</w:t>
      </w:r>
    </w:p>
    <w:p w14:paraId="735A9647">
      <w:pPr>
        <w:adjustRightInd w:val="0"/>
        <w:snapToGrid w:val="0"/>
        <w:spacing w:line="360" w:lineRule="auto"/>
        <w:ind w:right="11" w:firstLine="420" w:firstLineChars="200"/>
        <w:rPr>
          <w:rFonts w:hint="eastAsia" w:ascii="宋体" w:hAnsi="宋体" w:eastAsia="宋体" w:cs="宋体"/>
          <w:bCs/>
          <w:strike/>
          <w:color w:val="auto"/>
          <w:kern w:val="0"/>
          <w:szCs w:val="21"/>
          <w:highlight w:val="none"/>
        </w:rPr>
      </w:pPr>
      <w:r>
        <w:rPr>
          <w:rFonts w:hint="eastAsia" w:ascii="宋体" w:hAnsi="宋体" w:eastAsia="宋体" w:cs="宋体"/>
          <w:bCs/>
          <w:strike/>
          <w:snapToGrid w:val="0"/>
          <w:color w:val="auto"/>
          <w:kern w:val="0"/>
          <w:szCs w:val="21"/>
          <w:highlight w:val="none"/>
          <w:lang w:bidi="ar"/>
        </w:rPr>
        <w:t>（</w:t>
      </w:r>
      <w:r>
        <w:rPr>
          <w:rFonts w:hint="eastAsia" w:ascii="宋体" w:hAnsi="宋体" w:eastAsia="宋体" w:cs="宋体"/>
          <w:bCs/>
          <w:strike/>
          <w:color w:val="auto"/>
          <w:kern w:val="0"/>
          <w:szCs w:val="21"/>
          <w:highlight w:val="none"/>
          <w:lang w:bidi="ar"/>
        </w:rPr>
        <w:t>1</w:t>
      </w:r>
      <w:r>
        <w:rPr>
          <w:rFonts w:hint="eastAsia" w:ascii="宋体" w:hAnsi="宋体" w:eastAsia="宋体" w:cs="宋体"/>
          <w:bCs/>
          <w:strike/>
          <w:snapToGrid w:val="0"/>
          <w:color w:val="auto"/>
          <w:kern w:val="0"/>
          <w:szCs w:val="21"/>
          <w:highlight w:val="none"/>
          <w:lang w:bidi="ar"/>
        </w:rPr>
        <w:t>）工程监理单位应检查勘察单位执行勘察方案的情况，对重要点位的勘探与测试应进行现场检查。</w:t>
      </w:r>
    </w:p>
    <w:p w14:paraId="57D5177B">
      <w:pPr>
        <w:adjustRightInd w:val="0"/>
        <w:snapToGrid w:val="0"/>
        <w:spacing w:line="360" w:lineRule="auto"/>
        <w:ind w:right="11" w:firstLine="420" w:firstLineChars="200"/>
        <w:rPr>
          <w:rFonts w:hint="eastAsia" w:ascii="宋体" w:hAnsi="宋体" w:eastAsia="宋体" w:cs="宋体"/>
          <w:bCs/>
          <w:strike/>
          <w:color w:val="auto"/>
          <w:kern w:val="0"/>
          <w:szCs w:val="21"/>
          <w:highlight w:val="none"/>
        </w:rPr>
      </w:pPr>
      <w:r>
        <w:rPr>
          <w:rFonts w:hint="eastAsia" w:ascii="宋体" w:hAnsi="宋体" w:eastAsia="宋体" w:cs="宋体"/>
          <w:bCs/>
          <w:strike/>
          <w:snapToGrid w:val="0"/>
          <w:color w:val="auto"/>
          <w:kern w:val="0"/>
          <w:szCs w:val="21"/>
          <w:highlight w:val="none"/>
          <w:lang w:bidi="ar"/>
        </w:rPr>
        <w:t>（</w:t>
      </w:r>
      <w:r>
        <w:rPr>
          <w:rFonts w:hint="eastAsia" w:ascii="宋体" w:hAnsi="宋体" w:eastAsia="宋体" w:cs="宋体"/>
          <w:bCs/>
          <w:strike/>
          <w:color w:val="auto"/>
          <w:kern w:val="0"/>
          <w:szCs w:val="21"/>
          <w:highlight w:val="none"/>
          <w:lang w:bidi="ar"/>
        </w:rPr>
        <w:t>2</w:t>
      </w:r>
      <w:r>
        <w:rPr>
          <w:rFonts w:hint="eastAsia" w:ascii="宋体" w:hAnsi="宋体" w:eastAsia="宋体" w:cs="宋体"/>
          <w:bCs/>
          <w:strike/>
          <w:snapToGrid w:val="0"/>
          <w:color w:val="auto"/>
          <w:kern w:val="0"/>
          <w:szCs w:val="21"/>
          <w:highlight w:val="none"/>
          <w:lang w:bidi="ar"/>
        </w:rPr>
        <w:t>）工程监理单位应审查勘察单位提交的勘察成果报告，向建设单位提交勘察成果评估报告，并参与勘察成果验收。</w:t>
      </w:r>
    </w:p>
    <w:p w14:paraId="395FC2E6">
      <w:pPr>
        <w:adjustRightInd w:val="0"/>
        <w:snapToGrid w:val="0"/>
        <w:spacing w:line="360" w:lineRule="auto"/>
        <w:ind w:right="11" w:firstLine="420" w:firstLineChars="200"/>
        <w:rPr>
          <w:rFonts w:hint="eastAsia" w:ascii="宋体" w:hAnsi="宋体" w:eastAsia="宋体" w:cs="宋体"/>
          <w:bCs/>
          <w:strike/>
          <w:color w:val="auto"/>
          <w:kern w:val="0"/>
          <w:szCs w:val="21"/>
          <w:highlight w:val="none"/>
        </w:rPr>
      </w:pPr>
      <w:r>
        <w:rPr>
          <w:rFonts w:hint="eastAsia" w:ascii="宋体" w:hAnsi="宋体" w:eastAsia="宋体" w:cs="宋体"/>
          <w:bCs/>
          <w:strike/>
          <w:snapToGrid w:val="0"/>
          <w:color w:val="auto"/>
          <w:kern w:val="0"/>
          <w:szCs w:val="21"/>
          <w:highlight w:val="none"/>
          <w:lang w:bidi="ar"/>
        </w:rPr>
        <w:t>（</w:t>
      </w:r>
      <w:r>
        <w:rPr>
          <w:rFonts w:hint="eastAsia" w:ascii="宋体" w:hAnsi="宋体" w:eastAsia="宋体" w:cs="宋体"/>
          <w:bCs/>
          <w:strike/>
          <w:color w:val="auto"/>
          <w:kern w:val="0"/>
          <w:szCs w:val="21"/>
          <w:highlight w:val="none"/>
          <w:lang w:bidi="ar"/>
        </w:rPr>
        <w:t>3</w:t>
      </w:r>
      <w:r>
        <w:rPr>
          <w:rFonts w:hint="eastAsia" w:ascii="宋体" w:hAnsi="宋体" w:eastAsia="宋体" w:cs="宋体"/>
          <w:bCs/>
          <w:strike/>
          <w:snapToGrid w:val="0"/>
          <w:color w:val="auto"/>
          <w:kern w:val="0"/>
          <w:szCs w:val="21"/>
          <w:highlight w:val="none"/>
          <w:lang w:bidi="ar"/>
        </w:rPr>
        <w:t>）重要点位是指勘察方案中工程勘察所需要的控制点、作为持力层的关键层和一些重要层的变化处。对重要点位的勘探与测试实施旁站并审核勘察报告。</w:t>
      </w:r>
    </w:p>
    <w:p w14:paraId="036C4BC7">
      <w:pPr>
        <w:adjustRightInd w:val="0"/>
        <w:snapToGrid w:val="0"/>
        <w:spacing w:line="360" w:lineRule="auto"/>
        <w:ind w:right="11" w:firstLine="420" w:firstLineChars="200"/>
        <w:rPr>
          <w:rFonts w:hint="eastAsia" w:ascii="宋体" w:hAnsi="宋体" w:eastAsia="宋体" w:cs="宋体"/>
          <w:bCs/>
          <w:strike/>
          <w:color w:val="auto"/>
          <w:kern w:val="0"/>
          <w:szCs w:val="21"/>
          <w:highlight w:val="none"/>
        </w:rPr>
      </w:pPr>
      <w:r>
        <w:rPr>
          <w:rFonts w:hint="eastAsia" w:ascii="宋体" w:hAnsi="宋体" w:eastAsia="宋体" w:cs="宋体"/>
          <w:bCs/>
          <w:strike/>
          <w:snapToGrid w:val="0"/>
          <w:color w:val="auto"/>
          <w:kern w:val="0"/>
          <w:szCs w:val="21"/>
          <w:highlight w:val="none"/>
          <w:lang w:bidi="ar"/>
        </w:rPr>
        <w:t>4.1.4设计阶段的监理工作（包括但不限于以下内容）</w:t>
      </w:r>
    </w:p>
    <w:p w14:paraId="4B1A72CB">
      <w:pPr>
        <w:adjustRightInd w:val="0"/>
        <w:snapToGrid w:val="0"/>
        <w:spacing w:line="360" w:lineRule="auto"/>
        <w:ind w:right="11" w:firstLine="420" w:firstLineChars="200"/>
        <w:rPr>
          <w:rFonts w:hint="eastAsia" w:ascii="宋体" w:hAnsi="宋体" w:eastAsia="宋体" w:cs="宋体"/>
          <w:bCs/>
          <w:strike/>
          <w:color w:val="auto"/>
          <w:kern w:val="0"/>
          <w:szCs w:val="21"/>
          <w:highlight w:val="none"/>
        </w:rPr>
      </w:pPr>
      <w:r>
        <w:rPr>
          <w:rFonts w:hint="eastAsia" w:ascii="宋体" w:hAnsi="宋体" w:eastAsia="宋体" w:cs="宋体"/>
          <w:bCs/>
          <w:strike/>
          <w:snapToGrid w:val="0"/>
          <w:color w:val="auto"/>
          <w:kern w:val="0"/>
          <w:szCs w:val="21"/>
          <w:highlight w:val="none"/>
          <w:lang w:bidi="ar"/>
        </w:rPr>
        <w:t>（</w:t>
      </w:r>
      <w:r>
        <w:rPr>
          <w:rFonts w:hint="eastAsia" w:ascii="宋体" w:hAnsi="宋体" w:eastAsia="宋体" w:cs="宋体"/>
          <w:bCs/>
          <w:strike/>
          <w:color w:val="auto"/>
          <w:kern w:val="0"/>
          <w:szCs w:val="21"/>
          <w:highlight w:val="none"/>
          <w:lang w:bidi="ar"/>
        </w:rPr>
        <w:t>1</w:t>
      </w:r>
      <w:r>
        <w:rPr>
          <w:rFonts w:hint="eastAsia" w:ascii="宋体" w:hAnsi="宋体" w:eastAsia="宋体" w:cs="宋体"/>
          <w:bCs/>
          <w:strike/>
          <w:snapToGrid w:val="0"/>
          <w:color w:val="auto"/>
          <w:kern w:val="0"/>
          <w:szCs w:val="21"/>
          <w:highlight w:val="none"/>
          <w:lang w:bidi="ar"/>
        </w:rPr>
        <w:t>）审查设计成果主要审查方案设计是否符合规划设计要点，初步设计是否符合方案设计要求，施工图设计是否符合初步设计要求。</w:t>
      </w:r>
    </w:p>
    <w:p w14:paraId="7D492A91">
      <w:pPr>
        <w:adjustRightInd w:val="0"/>
        <w:snapToGrid w:val="0"/>
        <w:spacing w:line="360" w:lineRule="auto"/>
        <w:ind w:right="11" w:firstLine="420" w:firstLineChars="200"/>
        <w:rPr>
          <w:rFonts w:hint="eastAsia" w:ascii="宋体" w:hAnsi="宋体" w:eastAsia="宋体" w:cs="宋体"/>
          <w:bCs/>
          <w:strike/>
          <w:color w:val="auto"/>
          <w:kern w:val="0"/>
          <w:szCs w:val="21"/>
          <w:highlight w:val="none"/>
        </w:rPr>
      </w:pPr>
      <w:r>
        <w:rPr>
          <w:rFonts w:hint="eastAsia" w:ascii="宋体" w:hAnsi="宋体" w:eastAsia="宋体" w:cs="宋体"/>
          <w:bCs/>
          <w:strike/>
          <w:snapToGrid w:val="0"/>
          <w:color w:val="auto"/>
          <w:kern w:val="0"/>
          <w:szCs w:val="21"/>
          <w:highlight w:val="none"/>
          <w:lang w:bidi="ar"/>
        </w:rPr>
        <w:t>（</w:t>
      </w:r>
      <w:r>
        <w:rPr>
          <w:rFonts w:hint="eastAsia" w:ascii="宋体" w:hAnsi="宋体" w:eastAsia="宋体" w:cs="宋体"/>
          <w:bCs/>
          <w:strike/>
          <w:color w:val="auto"/>
          <w:kern w:val="0"/>
          <w:szCs w:val="21"/>
          <w:highlight w:val="none"/>
          <w:lang w:bidi="ar"/>
        </w:rPr>
        <w:t>2</w:t>
      </w:r>
      <w:r>
        <w:rPr>
          <w:rFonts w:hint="eastAsia" w:ascii="宋体" w:hAnsi="宋体" w:eastAsia="宋体" w:cs="宋体"/>
          <w:bCs/>
          <w:strike/>
          <w:snapToGrid w:val="0"/>
          <w:color w:val="auto"/>
          <w:kern w:val="0"/>
          <w:szCs w:val="21"/>
          <w:highlight w:val="none"/>
          <w:lang w:bidi="ar"/>
        </w:rPr>
        <w:t>）根据工程规模和复杂程度，在取得建设单位同意后，对设计工作成果的评估可不区分方案设计、初步设计和施工图设计，只出具一份报告即可。</w:t>
      </w:r>
    </w:p>
    <w:p w14:paraId="6442A224">
      <w:pPr>
        <w:adjustRightInd w:val="0"/>
        <w:snapToGrid w:val="0"/>
        <w:spacing w:line="360" w:lineRule="auto"/>
        <w:ind w:right="11" w:firstLine="420" w:firstLineChars="200"/>
        <w:rPr>
          <w:rFonts w:hint="eastAsia" w:ascii="宋体" w:hAnsi="宋体" w:eastAsia="宋体" w:cs="宋体"/>
          <w:bCs/>
          <w:strike/>
          <w:color w:val="auto"/>
          <w:kern w:val="0"/>
          <w:szCs w:val="21"/>
          <w:highlight w:val="none"/>
        </w:rPr>
      </w:pPr>
      <w:r>
        <w:rPr>
          <w:rFonts w:hint="eastAsia" w:ascii="宋体" w:hAnsi="宋体" w:eastAsia="宋体" w:cs="宋体"/>
          <w:bCs/>
          <w:strike/>
          <w:snapToGrid w:val="0"/>
          <w:color w:val="auto"/>
          <w:kern w:val="0"/>
          <w:szCs w:val="21"/>
          <w:highlight w:val="none"/>
          <w:lang w:bidi="ar"/>
        </w:rPr>
        <w:t>（</w:t>
      </w:r>
      <w:r>
        <w:rPr>
          <w:rFonts w:hint="eastAsia" w:ascii="宋体" w:hAnsi="宋体" w:eastAsia="宋体" w:cs="宋体"/>
          <w:bCs/>
          <w:strike/>
          <w:color w:val="auto"/>
          <w:kern w:val="0"/>
          <w:szCs w:val="21"/>
          <w:highlight w:val="none"/>
          <w:lang w:bidi="ar"/>
        </w:rPr>
        <w:t>3</w:t>
      </w:r>
      <w:r>
        <w:rPr>
          <w:rFonts w:hint="eastAsia" w:ascii="宋体" w:hAnsi="宋体" w:eastAsia="宋体" w:cs="宋体"/>
          <w:bCs/>
          <w:strike/>
          <w:snapToGrid w:val="0"/>
          <w:color w:val="auto"/>
          <w:kern w:val="0"/>
          <w:szCs w:val="21"/>
          <w:highlight w:val="none"/>
          <w:lang w:bidi="ar"/>
        </w:rPr>
        <w:t>）对工程设计质量、进度、投资控制、合同、信息管理等进行全过程管理，协助委托人制定设计管理工作各项制度，明确设计管理的工作目标、管理模式、管理方法等，使工程项目建设达到预期的质量、工期和经济目标；参与设计方案和初步设计评审，提供相关优化意见，跟踪方案设计优化意见的落实及修改情况，并跟进设计方案和初步设计工作进度。参与施工图的审核，提供相关优化意见，跟踪审核意见的落实和修改情况，并跟进施工图审核工作进度。</w:t>
      </w:r>
    </w:p>
    <w:p w14:paraId="691AB16E">
      <w:pPr>
        <w:adjustRightInd w:val="0"/>
        <w:snapToGrid w:val="0"/>
        <w:spacing w:line="360" w:lineRule="auto"/>
        <w:ind w:right="11" w:firstLine="420" w:firstLineChars="200"/>
        <w:rPr>
          <w:rFonts w:hint="eastAsia" w:ascii="宋体" w:hAnsi="宋体" w:eastAsia="宋体" w:cs="宋体"/>
          <w:bCs/>
          <w:strike/>
          <w:color w:val="auto"/>
          <w:kern w:val="0"/>
          <w:szCs w:val="21"/>
          <w:highlight w:val="none"/>
        </w:rPr>
      </w:pPr>
      <w:r>
        <w:rPr>
          <w:rFonts w:hint="eastAsia" w:ascii="宋体" w:hAnsi="宋体" w:eastAsia="宋体" w:cs="宋体"/>
          <w:bCs/>
          <w:strike/>
          <w:snapToGrid w:val="0"/>
          <w:color w:val="auto"/>
          <w:kern w:val="0"/>
          <w:szCs w:val="21"/>
          <w:highlight w:val="none"/>
          <w:lang w:bidi="ar"/>
        </w:rPr>
        <w:t>4.1.5概算、预算阶段（包括但不限于以下内容）</w:t>
      </w:r>
    </w:p>
    <w:p w14:paraId="6C66A0AB">
      <w:pPr>
        <w:adjustRightInd w:val="0"/>
        <w:snapToGrid w:val="0"/>
        <w:spacing w:line="360" w:lineRule="auto"/>
        <w:ind w:right="11" w:firstLine="420" w:firstLineChars="200"/>
        <w:rPr>
          <w:rFonts w:hint="eastAsia" w:ascii="宋体" w:hAnsi="宋体" w:eastAsia="宋体" w:cs="宋体"/>
          <w:bCs/>
          <w:strike/>
          <w:color w:val="auto"/>
          <w:kern w:val="0"/>
          <w:szCs w:val="21"/>
          <w:highlight w:val="none"/>
        </w:rPr>
      </w:pPr>
      <w:r>
        <w:rPr>
          <w:rFonts w:hint="eastAsia" w:ascii="宋体" w:hAnsi="宋体" w:eastAsia="宋体" w:cs="宋体"/>
          <w:bCs/>
          <w:strike/>
          <w:snapToGrid w:val="0"/>
          <w:color w:val="auto"/>
          <w:kern w:val="0"/>
          <w:szCs w:val="21"/>
          <w:highlight w:val="none"/>
          <w:lang w:bidi="ar"/>
        </w:rPr>
        <w:t>参与工程概预算的编制和审核，提供相关优化意见，跟踪审核意见的落实和修改情况，并跟进概预算审核工作进度。</w:t>
      </w:r>
    </w:p>
    <w:p w14:paraId="7975E39F">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4.1.6施工准备阶段的监理工作（包括但不限于以下内容）</w:t>
      </w:r>
    </w:p>
    <w:p w14:paraId="7929BE3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）在设计交底前，总监理工程师应组织监理人员熟悉设计文件，并对图纸中存在的问题通过委托人向设计单位提出书面意见和建议。</w:t>
      </w:r>
    </w:p>
    <w:p w14:paraId="22DF5A7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）项目监理人员应参加由委托人组织的设计技术交底会，总监理工程师应组织人员编写设计技术交底会议纪要并提交给委托人。</w:t>
      </w:r>
    </w:p>
    <w:p w14:paraId="0C0C2EF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）图纸会审由委托人组织，总监理工程师应组织人员做好图纸会审记录并提交给委托人。</w:t>
      </w:r>
    </w:p>
    <w:p w14:paraId="178B335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4</w:t>
      </w:r>
      <w:r>
        <w:rPr>
          <w:rFonts w:hint="eastAsia" w:ascii="宋体" w:hAnsi="宋体" w:eastAsia="宋体" w:cs="宋体"/>
          <w:snapToGrid w:val="0"/>
          <w:color w:val="auto"/>
          <w:kern w:val="0"/>
          <w:szCs w:val="21"/>
          <w:highlight w:val="none"/>
          <w:lang w:bidi="ar"/>
        </w:rPr>
        <w:t>）工程项目开工前，总监理工程师应组织专业监理工程师审查承包人报送的施工组织设计</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方案</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报审表，提出审查意见，并经总监理工程师审核、签认后报委托人。</w:t>
      </w:r>
    </w:p>
    <w:p w14:paraId="24693AB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5</w:t>
      </w:r>
      <w:r>
        <w:rPr>
          <w:rFonts w:hint="eastAsia" w:ascii="宋体" w:hAnsi="宋体" w:eastAsia="宋体" w:cs="宋体"/>
          <w:snapToGrid w:val="0"/>
          <w:color w:val="auto"/>
          <w:kern w:val="0"/>
          <w:szCs w:val="21"/>
          <w:highlight w:val="none"/>
          <w:lang w:bidi="ar"/>
        </w:rPr>
        <w:t>）工程项目开工前，总监理工程师应审查承包人现场项目管理机构的质量管理体系、环境管理体系和安全管理体系，确能保证工程项目施工质量时予以确认。对质量管理体系、环境管理体系和安全管理体系应审核以下内容：</w:t>
      </w:r>
    </w:p>
    <w:p w14:paraId="712CE66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1）质量管理体系、环境管理体系和安全管理体系的组织及职责；</w:t>
      </w:r>
    </w:p>
    <w:p w14:paraId="3CEEE28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2）质量管理体系、环境管理体系和安全管理体系各过程的识别与管理；</w:t>
      </w:r>
    </w:p>
    <w:p w14:paraId="3E9CFC9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3）质量管理体系、环境管理体系和安全管理体系的持续改进措施。</w:t>
      </w:r>
    </w:p>
    <w:p w14:paraId="4CC4ED1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6</w:t>
      </w:r>
      <w:r>
        <w:rPr>
          <w:rFonts w:hint="eastAsia" w:ascii="宋体" w:hAnsi="宋体" w:eastAsia="宋体" w:cs="宋体"/>
          <w:snapToGrid w:val="0"/>
          <w:color w:val="auto"/>
          <w:kern w:val="0"/>
          <w:szCs w:val="21"/>
          <w:highlight w:val="none"/>
          <w:lang w:bidi="ar"/>
        </w:rPr>
        <w:t>）分包工程开工前，专业监理工程师应审查承包人报送的分包单位资格报审表和分包单位有关资质资料，符合有关规定后，由总监理工程师予以签认。对分包单位资格应审核以下内容：</w:t>
      </w:r>
    </w:p>
    <w:p w14:paraId="1065681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1）分包单位的营业执照、企业资质等级证书、特殊行业施工许可证、国外</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境外</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企业在国内承包工程许可证；</w:t>
      </w:r>
    </w:p>
    <w:p w14:paraId="69253FD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2）分包单位的业绩，尤其是类似工程施工的经验；</w:t>
      </w:r>
    </w:p>
    <w:p w14:paraId="1436DE2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3）拟分包工程的内容和范围；</w:t>
      </w:r>
    </w:p>
    <w:p w14:paraId="5A31E73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4）专职管理人员和特种作业人员的资格证、上岗证。</w:t>
      </w:r>
    </w:p>
    <w:p w14:paraId="10D7710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7</w:t>
      </w:r>
      <w:r>
        <w:rPr>
          <w:rFonts w:hint="eastAsia" w:ascii="宋体" w:hAnsi="宋体" w:eastAsia="宋体" w:cs="宋体"/>
          <w:snapToGrid w:val="0"/>
          <w:color w:val="auto"/>
          <w:kern w:val="0"/>
          <w:szCs w:val="21"/>
          <w:highlight w:val="none"/>
          <w:lang w:bidi="ar"/>
        </w:rPr>
        <w:t>）专业监理工程师应按以下要求对承包人报送的测量放线控制方案成果及保护措施进行检查，符合要求时，专业监理工程师对承包人报送的施工测量资料予以签认：</w:t>
      </w:r>
    </w:p>
    <w:p w14:paraId="04070C4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1）检查承包人专职测量人员的岗位证书及测量设备检定证书；</w:t>
      </w:r>
    </w:p>
    <w:p w14:paraId="3EBB903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2）审核承包人提交的控制测量方案；</w:t>
      </w:r>
    </w:p>
    <w:p w14:paraId="6E85844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3）复核控制桩的校核成果、控制桩的保护措施以及平面控制网、高程控制网和临时水准点的测量成果。</w:t>
      </w:r>
    </w:p>
    <w:p w14:paraId="1E1D010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8</w:t>
      </w:r>
      <w:r>
        <w:rPr>
          <w:rFonts w:hint="eastAsia" w:ascii="宋体" w:hAnsi="宋体" w:eastAsia="宋体" w:cs="宋体"/>
          <w:snapToGrid w:val="0"/>
          <w:color w:val="auto"/>
          <w:kern w:val="0"/>
          <w:szCs w:val="21"/>
          <w:highlight w:val="none"/>
          <w:lang w:bidi="ar"/>
        </w:rPr>
        <w:t>）专业监理工程师应审查承包人报送的工程开工报审表及相关资料，具备以下开工条件时，由总监理工程师签发，并报委托人：</w:t>
      </w:r>
    </w:p>
    <w:p w14:paraId="2601988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1）施工许可证已获政府主管部门批准；</w:t>
      </w:r>
    </w:p>
    <w:p w14:paraId="458BCE4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2）征地拆迁工作能满足工程进度的需要；</w:t>
      </w:r>
    </w:p>
    <w:p w14:paraId="668FC11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3）施工组织设计已获总监理工程师批准；</w:t>
      </w:r>
    </w:p>
    <w:p w14:paraId="0CB1969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4）承包人现场管理人员已到位，机具、施工人员已进场，主要工程材料已落实；</w:t>
      </w:r>
    </w:p>
    <w:p w14:paraId="7F1F6C1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5）进场道路及水、电、通讯等已满足开工要求；</w:t>
      </w:r>
    </w:p>
    <w:p w14:paraId="25EC9A9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6）施工测量、技术交底、作业指导书等各项技术准备工作是否已经完成。</w:t>
      </w:r>
    </w:p>
    <w:p w14:paraId="54D0AFB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9</w:t>
      </w:r>
      <w:r>
        <w:rPr>
          <w:rFonts w:hint="eastAsia" w:ascii="宋体" w:hAnsi="宋体" w:eastAsia="宋体" w:cs="宋体"/>
          <w:snapToGrid w:val="0"/>
          <w:color w:val="auto"/>
          <w:kern w:val="0"/>
          <w:szCs w:val="21"/>
          <w:highlight w:val="none"/>
          <w:lang w:bidi="ar"/>
        </w:rPr>
        <w:t>）工程项目开工前，监理人员应参加由委托人主持召开的第一次工地会议。工地会议应包括以下主要内容：</w:t>
      </w:r>
    </w:p>
    <w:p w14:paraId="6F992E0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1）委托人、承包人和监理人分别介绍各自驻现场的组织机构、人员及其分工；</w:t>
      </w:r>
    </w:p>
    <w:p w14:paraId="07D704D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2）委托人根据委托监理合同宣布对总监理工程师的授权；</w:t>
      </w:r>
    </w:p>
    <w:p w14:paraId="2B098D1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3）委托人介绍工程开工准备情况；</w:t>
      </w:r>
    </w:p>
    <w:p w14:paraId="0097EF8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4）承包人介绍施工准备情况；</w:t>
      </w:r>
    </w:p>
    <w:p w14:paraId="7D8192D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5）委托人和总监理工程师对施工准备情况提出意见和要求；</w:t>
      </w:r>
    </w:p>
    <w:p w14:paraId="6DD29CC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6）总监理工程师介绍监理规划的主要内容；</w:t>
      </w:r>
    </w:p>
    <w:p w14:paraId="22D3809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7）研究确定各方在施工过程中参加工地例会的主要人员，召开工地例会周期、地点及主要议题。</w:t>
      </w:r>
    </w:p>
    <w:p w14:paraId="03ED754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第一次工地会议纪要应由项目监理机构负责起草，并经与会各方代表会签。</w:t>
      </w:r>
    </w:p>
    <w:p w14:paraId="545B016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10</w:t>
      </w:r>
      <w:r>
        <w:rPr>
          <w:rFonts w:hint="eastAsia" w:ascii="宋体" w:hAnsi="宋体" w:eastAsia="宋体" w:cs="宋体"/>
          <w:snapToGrid w:val="0"/>
          <w:color w:val="auto"/>
          <w:kern w:val="0"/>
          <w:szCs w:val="21"/>
          <w:highlight w:val="none"/>
          <w:lang w:bidi="ar"/>
        </w:rPr>
        <w:t>）制定监理规划</w:t>
      </w:r>
    </w:p>
    <w:p w14:paraId="71F9E12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1）监理规划的编制应针对项目的实际情况，明确项目监理机构的工作目标，确定具体的监理工作制度、程序、方法和措施，并应具有可操作性。</w:t>
      </w:r>
    </w:p>
    <w:p w14:paraId="18CF6FB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2）监理规划编制的程序与依据应符合下列规定：</w:t>
      </w:r>
    </w:p>
    <w:p w14:paraId="56807C8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a.监理规划应在签订委托监理合同及收到设计文件后开始编制，完成后必须经监理人技术负责人审核批准，并应在召开第一次工地会议前报送委托人；</w:t>
      </w:r>
    </w:p>
    <w:p w14:paraId="41B98C2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b.监理规划应由总监理工程师主持、专业监理工程师参加编制；</w:t>
      </w:r>
    </w:p>
    <w:p w14:paraId="2C7E297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c.编制监理规划应依据：</w:t>
      </w:r>
    </w:p>
    <w:p w14:paraId="5A1CB7C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——建设工程的相关法律、法规及项目审批文件；</w:t>
      </w:r>
    </w:p>
    <w:p w14:paraId="5B6123E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——与建设工程项目有关的标准、设计文件、技术资料；</w:t>
      </w:r>
    </w:p>
    <w:p w14:paraId="5E922C1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——监理大纲、委托监理合同文件以及与建设工程项目相关的合同文件。</w:t>
      </w:r>
    </w:p>
    <w:p w14:paraId="61296EA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——委托人制定的有关本合同工程建设的管理制度。</w:t>
      </w:r>
    </w:p>
    <w:p w14:paraId="1DFE62C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3）监理规划应包括以下主要内容：</w:t>
      </w:r>
    </w:p>
    <w:p w14:paraId="79418D3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a.工程项目概况；</w:t>
      </w:r>
    </w:p>
    <w:p w14:paraId="3BDA9B8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b.监理工作范围；</w:t>
      </w:r>
    </w:p>
    <w:p w14:paraId="07E257A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c.监理工作内容；</w:t>
      </w:r>
    </w:p>
    <w:p w14:paraId="6E975F6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d.监理工作目标；</w:t>
      </w:r>
    </w:p>
    <w:p w14:paraId="1AC4ED6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e.监理工作依据；</w:t>
      </w:r>
    </w:p>
    <w:p w14:paraId="0C44491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f.项目监理机构的组织形式；</w:t>
      </w:r>
    </w:p>
    <w:p w14:paraId="73E7F47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g.项目监理机构的人员配备计划；</w:t>
      </w:r>
    </w:p>
    <w:p w14:paraId="72D8E01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h.项目监理机构的人员岗位职责；</w:t>
      </w:r>
    </w:p>
    <w:p w14:paraId="4D55CE8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i.监理工作程序；</w:t>
      </w:r>
    </w:p>
    <w:p w14:paraId="399950B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j.监理工作方法及措施；</w:t>
      </w:r>
    </w:p>
    <w:p w14:paraId="3FD729F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k.监理工作制度；</w:t>
      </w:r>
    </w:p>
    <w:p w14:paraId="7B3812B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l.监理设施。</w:t>
      </w:r>
    </w:p>
    <w:p w14:paraId="5A9C9974">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4）在监理工作实施过程中，如实际情况或条件发生重大变化而需要调整监理规划时，应由总监理工程师组织专业监理工程师研究修改，按原报审程序经过批准后报委托人。</w:t>
      </w:r>
    </w:p>
    <w:p w14:paraId="0F09F58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11</w:t>
      </w:r>
      <w:r>
        <w:rPr>
          <w:rFonts w:hint="eastAsia" w:ascii="宋体" w:hAnsi="宋体" w:eastAsia="宋体" w:cs="宋体"/>
          <w:snapToGrid w:val="0"/>
          <w:color w:val="auto"/>
          <w:kern w:val="0"/>
          <w:szCs w:val="21"/>
          <w:highlight w:val="none"/>
          <w:lang w:bidi="ar"/>
        </w:rPr>
        <w:t>）制定监理实施细则</w:t>
      </w:r>
    </w:p>
    <w:p w14:paraId="5253FEB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1）项目监理机构应编制监理实施细则。监理实施细则应符合监理规划的要求，并应结合工程项目的专业特点，做到详细具体、具有可操作性。</w:t>
      </w:r>
    </w:p>
    <w:p w14:paraId="7BDAEA6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2）监理实施细则的编制程序与依据应符合下列规定：</w:t>
      </w:r>
    </w:p>
    <w:p w14:paraId="413FD39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a.监理实施细则应在相应工程施工开始前编制完成，并必须经总监理工程师批准；</w:t>
      </w:r>
    </w:p>
    <w:p w14:paraId="0E0A3BB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b.监理实施细则应由专业监理工程师编制；</w:t>
      </w:r>
    </w:p>
    <w:p w14:paraId="06C58E4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c.编制监理实施细则的依据：</w:t>
      </w:r>
    </w:p>
    <w:p w14:paraId="4DB57C5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——已批准的监理规划；</w:t>
      </w:r>
    </w:p>
    <w:p w14:paraId="6EC336D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——与专业工程相关的标准、设计文件和技术资料；</w:t>
      </w:r>
    </w:p>
    <w:p w14:paraId="1C2264F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——施工组织设计。</w:t>
      </w:r>
    </w:p>
    <w:p w14:paraId="007657E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——本合同工程的设计、施工、安装招投标文件及合同。</w:t>
      </w:r>
    </w:p>
    <w:p w14:paraId="1B09EB3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——委托人制定的有关本合同工程建设的管理制度。</w:t>
      </w:r>
    </w:p>
    <w:p w14:paraId="0DFC304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3）监理实施细则应包括下列主要内容：</w:t>
      </w:r>
    </w:p>
    <w:p w14:paraId="1B43729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a.专业工程的特点；</w:t>
      </w:r>
    </w:p>
    <w:p w14:paraId="3DCE79D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b.监理工作的流程；</w:t>
      </w:r>
    </w:p>
    <w:p w14:paraId="7A51177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c.监理工作的控制要点及目标值；</w:t>
      </w:r>
    </w:p>
    <w:p w14:paraId="19AF150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d.监理工作的方法及措施。</w:t>
      </w:r>
    </w:p>
    <w:p w14:paraId="37465AD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4）在监理工作实施过程中，监理实施细则应根据实际情况进行补充、修改和完善。</w:t>
      </w:r>
    </w:p>
    <w:p w14:paraId="5077E3FF">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12</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对合同管理实施控制工作程序化、规范化，建立定期和不定期的协商会办制度，根据合同文件的约定及委托人要求的图纸批准程序、工程变更程序、承包人索赔程序、承包人的账单审查程序、进度付款账单的审查批准程序、工程问题的请示报告程序等制定相关表格。</w:t>
      </w:r>
    </w:p>
    <w:p w14:paraId="163CF207">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4.1.7施工阶段</w:t>
      </w:r>
      <w:r>
        <w:rPr>
          <w:rFonts w:hint="eastAsia" w:ascii="宋体" w:hAnsi="宋体" w:eastAsia="宋体" w:cs="宋体"/>
          <w:b/>
          <w:color w:val="auto"/>
          <w:kern w:val="0"/>
          <w:szCs w:val="21"/>
          <w:highlight w:val="none"/>
          <w:lang w:bidi="ar"/>
        </w:rPr>
        <w:t>(</w:t>
      </w:r>
      <w:r>
        <w:rPr>
          <w:rFonts w:hint="eastAsia" w:ascii="宋体" w:hAnsi="宋体" w:eastAsia="宋体" w:cs="宋体"/>
          <w:b/>
          <w:snapToGrid w:val="0"/>
          <w:color w:val="auto"/>
          <w:kern w:val="0"/>
          <w:szCs w:val="21"/>
          <w:highlight w:val="none"/>
          <w:lang w:bidi="ar"/>
        </w:rPr>
        <w:t>包含永久用水、永久用电（如有）</w:t>
      </w:r>
      <w:r>
        <w:rPr>
          <w:rFonts w:hint="eastAsia" w:ascii="宋体" w:hAnsi="宋体" w:eastAsia="宋体" w:cs="宋体"/>
          <w:b/>
          <w:color w:val="auto"/>
          <w:kern w:val="0"/>
          <w:szCs w:val="21"/>
          <w:highlight w:val="none"/>
          <w:lang w:bidi="ar"/>
        </w:rPr>
        <w:t>)</w:t>
      </w:r>
      <w:r>
        <w:rPr>
          <w:rFonts w:hint="eastAsia" w:ascii="宋体" w:hAnsi="宋体" w:eastAsia="宋体" w:cs="宋体"/>
          <w:b/>
          <w:snapToGrid w:val="0"/>
          <w:color w:val="auto"/>
          <w:kern w:val="0"/>
          <w:szCs w:val="21"/>
          <w:highlight w:val="none"/>
          <w:lang w:bidi="ar"/>
        </w:rPr>
        <w:t>的监理工作（包括但不限于以下内容）</w:t>
      </w:r>
    </w:p>
    <w:p w14:paraId="5D878B7B">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4.1.7.1工程质量控制工作</w:t>
      </w:r>
    </w:p>
    <w:p w14:paraId="1E0532F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）在施工过程中，当承包人对已批准的施工组织设计进行调整、补充或变动时，应经专业监理工程师审查，并应由总监理工程师签认。</w:t>
      </w:r>
    </w:p>
    <w:p w14:paraId="692C2A2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）专业监理工程师应要求承包人报送重点部位、关键工序的施工方案或作业指导和确保工程质量的措施，审核同意后予以签认。</w:t>
      </w:r>
    </w:p>
    <w:p w14:paraId="61B1FAE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）当承包人采用新材料、新工艺、新技术、新设备时，专业监理工程师应要求承包人报送相应的施工工艺措施和证明材料，组织专题论证，经审定后予以签认。</w:t>
      </w:r>
    </w:p>
    <w:p w14:paraId="663A7854">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4</w:t>
      </w:r>
      <w:r>
        <w:rPr>
          <w:rFonts w:hint="eastAsia" w:ascii="宋体" w:hAnsi="宋体" w:eastAsia="宋体" w:cs="宋体"/>
          <w:snapToGrid w:val="0"/>
          <w:color w:val="auto"/>
          <w:kern w:val="0"/>
          <w:szCs w:val="21"/>
          <w:highlight w:val="none"/>
          <w:lang w:bidi="ar"/>
        </w:rPr>
        <w:t>）项目监理机构应对承包人在施工过程中报送的施工测量放线成果进行复验和确认。</w:t>
      </w:r>
    </w:p>
    <w:p w14:paraId="15422C2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5</w:t>
      </w:r>
      <w:r>
        <w:rPr>
          <w:rFonts w:hint="eastAsia" w:ascii="宋体" w:hAnsi="宋体" w:eastAsia="宋体" w:cs="宋体"/>
          <w:snapToGrid w:val="0"/>
          <w:color w:val="auto"/>
          <w:kern w:val="0"/>
          <w:szCs w:val="21"/>
          <w:highlight w:val="none"/>
          <w:lang w:bidi="ar"/>
        </w:rPr>
        <w:t>）专业监理工程师应对承包人报送的拟进场工程材料、构配件和设备的工程材料</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构配件</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设备报审表及其质量证明资料进行审核，并对进场的实物按照委托监理合同约定或有关工程质量管理文件规定的比例采用平行检验或见证取样方式进行抽检。</w:t>
      </w:r>
    </w:p>
    <w:p w14:paraId="4A76D204">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对未经监理人员验收或验收不合格的工程材料、构配件、设备，监理人员应拒绝签认，并应签发监理工程师通知单，书面通知承包人限期将不合格的工程材料、构配件、设备撤出现场。</w:t>
      </w:r>
    </w:p>
    <w:p w14:paraId="7A86F78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6</w:t>
      </w:r>
      <w:r>
        <w:rPr>
          <w:rFonts w:hint="eastAsia" w:ascii="宋体" w:hAnsi="宋体" w:eastAsia="宋体" w:cs="宋体"/>
          <w:snapToGrid w:val="0"/>
          <w:color w:val="auto"/>
          <w:kern w:val="0"/>
          <w:szCs w:val="21"/>
          <w:highlight w:val="none"/>
          <w:lang w:bidi="ar"/>
        </w:rPr>
        <w:t>）项目监理机构应定期检查承包人的直接影响工程质量的计量设备的技术状况。</w:t>
      </w:r>
    </w:p>
    <w:p w14:paraId="2C4A42D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7</w:t>
      </w:r>
      <w:r>
        <w:rPr>
          <w:rFonts w:hint="eastAsia" w:ascii="宋体" w:hAnsi="宋体" w:eastAsia="宋体" w:cs="宋体"/>
          <w:snapToGrid w:val="0"/>
          <w:color w:val="auto"/>
          <w:kern w:val="0"/>
          <w:szCs w:val="21"/>
          <w:highlight w:val="none"/>
          <w:lang w:bidi="ar"/>
        </w:rPr>
        <w:t>）总监理工程师应安排监理人员对建筑材料设备的进场检验的全过程进行见证，对施工过程进行巡视和检查（包括重点检查、抽查及专项检查）。对工程中土方开挖回填，混凝土灌注桩浇筑，结构混凝土、防水混凝土浇筑，卷材防水层细部构造处理，钢结构安装和主体结构工程中梁柱节点钢筋隐蔽过程，混凝土浇筑，预应力张拉，装配式结构安装，钢结构安装，网架结构安装，索膜安装及业主要求的其它旁站工作等，专业监理工程师应安排监理员进行旁站，主要职责是：</w:t>
      </w:r>
    </w:p>
    <w:p w14:paraId="0EC3053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1）检查施工企业现场质检人员到岗、特殊工种人员持证上岗以及施工机械、建筑材料准备情况；</w:t>
      </w:r>
    </w:p>
    <w:p w14:paraId="22AB8CB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2）在现场跟班监督关键部位、关键工序的施工执行施工方案以及工程建设强制性标准情况；</w:t>
      </w:r>
    </w:p>
    <w:p w14:paraId="292CA0F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3）核查进场建筑材料、建筑构配件、设备和商品混凝土的质量检验报告等，并可在现场监督施工企业进行检验或者委托具有资格的第三方进行复验；</w:t>
      </w:r>
    </w:p>
    <w:p w14:paraId="3565149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4）做好旁站监理记录和监理日记，保存旁站监理原始资料。</w:t>
      </w:r>
    </w:p>
    <w:p w14:paraId="172D7F0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旁站监理人员应当认真履行职责，对需要实施旁站监理的关键部位、关键工序在施工现场跟班监督，及时发现和处理旁站监理过程中出现的质量问题，如实准确地做好旁站监理记录。凡旁站监理人员和施工企业现场质检人员未在旁站监理记录上签名的，不得进行下一道工序施工。</w:t>
      </w:r>
    </w:p>
    <w:p w14:paraId="5FCE338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旁站监理人员实施旁站监理时，发现施工企业有违反工程建设强制性标准行为的，有权责令施工企业立即整改；发现其施工活动已经或者可能危及工程质量的，应当及时向监理工程师或者总监理工程师报告，由总监理工程师下达局部暂停施工指令或者采取其他应急措施。</w:t>
      </w:r>
    </w:p>
    <w:p w14:paraId="48DFC98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旁站监理记录是监理工程师或者总监理工程师依法行使有关签名权的重要依据。对于需要旁站监理的关键部位、关键工序施工，凡没有实施旁站监理或者没有旁站监理记录的，监理工程师或者总监理工程师不得在相应文件上签名。在工程竣工验收后，监理企业应当将旁站监理记录存档备查。</w:t>
      </w:r>
    </w:p>
    <w:p w14:paraId="31C867A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8</w:t>
      </w:r>
      <w:r>
        <w:rPr>
          <w:rFonts w:hint="eastAsia" w:ascii="宋体" w:hAnsi="宋体" w:eastAsia="宋体" w:cs="宋体"/>
          <w:snapToGrid w:val="0"/>
          <w:color w:val="auto"/>
          <w:kern w:val="0"/>
          <w:szCs w:val="21"/>
          <w:highlight w:val="none"/>
          <w:lang w:bidi="ar"/>
        </w:rPr>
        <w:t>）专业监理工程师应根据承包人报送的隐蔽工程报验申请表和自检结果进行现场检查，符合要求予以签认。</w:t>
      </w:r>
    </w:p>
    <w:p w14:paraId="4DB76BA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对未经监理人员验收或验收不合格的工序，监理人员应拒绝签认，并要求承包人严禁进行下一道工序的施工。</w:t>
      </w:r>
    </w:p>
    <w:p w14:paraId="0125519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9</w:t>
      </w:r>
      <w:r>
        <w:rPr>
          <w:rFonts w:hint="eastAsia" w:ascii="宋体" w:hAnsi="宋体" w:eastAsia="宋体" w:cs="宋体"/>
          <w:snapToGrid w:val="0"/>
          <w:color w:val="auto"/>
          <w:kern w:val="0"/>
          <w:szCs w:val="21"/>
          <w:highlight w:val="none"/>
          <w:lang w:bidi="ar"/>
        </w:rPr>
        <w:t>）专业监理工程师应对承包人报送的分项工程质量验评资料进行审核，符合要求后予以签认；总监理工程师应组织监理人员对承包人报送的分部工程和单位工程质量验评资料进行审核和现场检查，符合要求后予以签认。</w:t>
      </w:r>
    </w:p>
    <w:p w14:paraId="70D8DF4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10</w:t>
      </w:r>
      <w:r>
        <w:rPr>
          <w:rFonts w:hint="eastAsia" w:ascii="宋体" w:hAnsi="宋体" w:eastAsia="宋体" w:cs="宋体"/>
          <w:snapToGrid w:val="0"/>
          <w:color w:val="auto"/>
          <w:kern w:val="0"/>
          <w:szCs w:val="21"/>
          <w:highlight w:val="none"/>
          <w:lang w:bidi="ar"/>
        </w:rPr>
        <w:t>）施工阶段的工程质量控制中的其他监理工作</w:t>
      </w:r>
    </w:p>
    <w:p w14:paraId="38D7A75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1）对施工过程中出现的质量缺陷，专业监理工程师应及时下达监理工程师通知，要求承包人整改，并检查整改结果。</w:t>
      </w:r>
    </w:p>
    <w:p w14:paraId="59C51DF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委托人报告。</w:t>
      </w:r>
    </w:p>
    <w:p w14:paraId="7F67B01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3）对需要返工处理或加固补强的质量事故，总监理工程师应责令承包人报送质量事故调查报告和经设计单位等相关单位认可的处理方案，项目监理机构应对质量事故的处理过程和处理结果进行跟踪检查和验收。</w:t>
      </w:r>
    </w:p>
    <w:p w14:paraId="2201405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4）总监理工程师应及时向委托人及本监理单位提交有关质量事故的书面报告，并应将完整的质量事故处理记录整理归档。</w:t>
      </w:r>
    </w:p>
    <w:p w14:paraId="5F581B5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5）对承包人的试验室进行考核</w:t>
      </w:r>
    </w:p>
    <w:p w14:paraId="294AED7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专业监理工程师应从以下五个方面进行考核：</w:t>
      </w:r>
    </w:p>
    <w:p w14:paraId="7A1A0CA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a.试验室的资质等级及其试验范围；</w:t>
      </w:r>
    </w:p>
    <w:p w14:paraId="38C18F7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b.法定计量部门对试验设备出具的计量检定证明；</w:t>
      </w:r>
    </w:p>
    <w:p w14:paraId="5DD10C8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c.试验室的管理制度；</w:t>
      </w:r>
    </w:p>
    <w:p w14:paraId="593EE85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d.试验人员的资格证书；</w:t>
      </w:r>
    </w:p>
    <w:p w14:paraId="01E00CE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e.本工程的试验项目及其要求。</w:t>
      </w:r>
    </w:p>
    <w:p w14:paraId="39848E80">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4.1.7.2工程造价控制工作</w:t>
      </w:r>
    </w:p>
    <w:p w14:paraId="421209C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）项目监理机构应按下列程序进行工程计量和工程款支付工作：</w:t>
      </w:r>
    </w:p>
    <w:p w14:paraId="049B02C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1）监理人应每日统计承包人实际完成的工程量，并记录于监理日志中。</w:t>
      </w:r>
    </w:p>
    <w:p w14:paraId="64802BD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2）专业监理工程师进行现场计量，复核当期验收合格的工程量，按施工合同的约定审核承包人提交的工程量清单和工程款支付申请表，并报总监理工程师审定。</w:t>
      </w:r>
    </w:p>
    <w:p w14:paraId="1F247724">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3）总监理工程师对工程量清单和工程款支付申请表进行复核，并报委托人。</w:t>
      </w:r>
    </w:p>
    <w:p w14:paraId="30B2B97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4）提交月度分包工程支付建议书给委托人。</w:t>
      </w:r>
    </w:p>
    <w:p w14:paraId="1C236C1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）项目监理机构应依据施工合同有关条款、施工图，对工程项目造价目标进行风险分析，并应制定防范性对策。</w:t>
      </w:r>
    </w:p>
    <w:p w14:paraId="2AF8A8A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）项目监理机构应按施工合同约定的工程量计算规则和支付条款进行工程量计算和工程款支付。</w:t>
      </w:r>
    </w:p>
    <w:p w14:paraId="46F1907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4</w:t>
      </w:r>
      <w:r>
        <w:rPr>
          <w:rFonts w:hint="eastAsia" w:ascii="宋体" w:hAnsi="宋体" w:eastAsia="宋体" w:cs="宋体"/>
          <w:snapToGrid w:val="0"/>
          <w:color w:val="auto"/>
          <w:kern w:val="0"/>
          <w:szCs w:val="21"/>
          <w:highlight w:val="none"/>
          <w:lang w:bidi="ar"/>
        </w:rPr>
        <w:t>）专业监理工程师应及时建立月完成工程量和工作量统计表，对实际完成量与计划完成量进行比较、分析，制定调整措施，并应在监理月报中向委托人报告。</w:t>
      </w:r>
    </w:p>
    <w:p w14:paraId="100A05C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5</w:t>
      </w:r>
      <w:r>
        <w:rPr>
          <w:rFonts w:hint="eastAsia" w:ascii="宋体" w:hAnsi="宋体" w:eastAsia="宋体" w:cs="宋体"/>
          <w:snapToGrid w:val="0"/>
          <w:color w:val="auto"/>
          <w:kern w:val="0"/>
          <w:szCs w:val="21"/>
          <w:highlight w:val="none"/>
          <w:lang w:bidi="ar"/>
        </w:rPr>
        <w:t>）未经监理人员质量验收合格的工程量，或不符合施工合同规定的工程量，监理人员应拒绝计量和该部分的工程款支付申请。</w:t>
      </w:r>
    </w:p>
    <w:p w14:paraId="0DF580B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6</w:t>
      </w:r>
      <w:r>
        <w:rPr>
          <w:rFonts w:hint="eastAsia" w:ascii="宋体" w:hAnsi="宋体" w:eastAsia="宋体" w:cs="宋体"/>
          <w:snapToGrid w:val="0"/>
          <w:color w:val="auto"/>
          <w:kern w:val="0"/>
          <w:szCs w:val="21"/>
          <w:highlight w:val="none"/>
          <w:lang w:bidi="ar"/>
        </w:rPr>
        <w:t>）工程变更的管理</w:t>
      </w:r>
    </w:p>
    <w:p w14:paraId="73BBA3B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总监理工程师应从造价、项目的功能要求、质量和工期等方面审查工程变更的方案，并在工程变更实施前与委托人、承包人协商确定工程变更的价款。</w:t>
      </w:r>
    </w:p>
    <w:p w14:paraId="0C04A8E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1）项目监理机构应按下列程序处理工程变更：</w:t>
      </w:r>
    </w:p>
    <w:p w14:paraId="6686A64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① 对承包人提出的工程变更，应提交总监理工程师，由总监理工程师组织专业监理工程师审查。审查同意后，应由委托人转交原设计单位编制设计变更文件。当工程变更涉及安全、环保等内容时，应按规定经有关部门审定。</w:t>
      </w:r>
    </w:p>
    <w:p w14:paraId="3CF6E83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② 项目监理机构应了解实际情况和收集与工程变更有关的资料。</w:t>
      </w:r>
    </w:p>
    <w:p w14:paraId="5302FB5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③ 总监理工程师必须根据实际情况、设计变更文件和其他有关资料，按照施工合同的有关条款，在指定专业监理工程师完成下列工作后，对工程变更的费用和工期作出评估：</w:t>
      </w:r>
    </w:p>
    <w:p w14:paraId="3A32431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a.审核工程变更项目与原工程项目之间的类似程度和难易程度；</w:t>
      </w:r>
    </w:p>
    <w:p w14:paraId="4039D28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b.审核工程变更项目的工程量；</w:t>
      </w:r>
    </w:p>
    <w:p w14:paraId="3B2CB40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c.审核工程变更的单价和总价；</w:t>
      </w:r>
    </w:p>
    <w:p w14:paraId="3B50425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d.审核工程变更所引起的工期变化。</w:t>
      </w:r>
    </w:p>
    <w:p w14:paraId="0B10B1E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④ 总监理工程师应就工程变更费用及工期的评估情况与承包人和委托人进行协调。</w:t>
      </w:r>
    </w:p>
    <w:p w14:paraId="21CD417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⑤ 工程变更单应包括工程变更要求、工程变更说明、工程变更费用和工期、必要的附件等内容，有设计变更文件的工程变更应附设计变更文件。</w:t>
      </w:r>
    </w:p>
    <w:p w14:paraId="7DF2F53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⑥ 项目监理机构应根据工程变更单监督承包人实施。</w:t>
      </w:r>
    </w:p>
    <w:p w14:paraId="15B9B42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2）项目监理机构处理工程变更应符合下列要求：</w:t>
      </w:r>
    </w:p>
    <w:p w14:paraId="37E7932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① 项目监理机构在工程变更的质量、费用和工期方面取得委托人授权后，应按施工合同规定与承包人进行协商，经协商达成一致后，总监理工程师应将协商结果向委托人通报，并由委托人与承包人在变更文件上签名；</w:t>
      </w:r>
    </w:p>
    <w:p w14:paraId="45DC8B2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② 在项目监理机构未能就工程变更的质量、费用和工期方面取得委托人授权时，总监理工程师应协助委托人和承包人进行协商，并达成一致；</w:t>
      </w:r>
    </w:p>
    <w:p w14:paraId="73F91CF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3）在</w:t>
      </w:r>
      <w:r>
        <w:rPr>
          <w:rFonts w:hint="eastAsia" w:ascii="宋体" w:hAnsi="宋体" w:eastAsia="宋体" w:cs="宋体"/>
          <w:bCs/>
          <w:color w:val="auto"/>
          <w:kern w:val="0"/>
          <w:szCs w:val="21"/>
          <w:highlight w:val="none"/>
          <w:lang w:bidi="ar"/>
        </w:rPr>
        <w:t>委托人</w:t>
      </w:r>
      <w:r>
        <w:rPr>
          <w:rFonts w:hint="eastAsia" w:ascii="宋体" w:hAnsi="宋体" w:eastAsia="宋体" w:cs="宋体"/>
          <w:snapToGrid w:val="0"/>
          <w:color w:val="auto"/>
          <w:kern w:val="0"/>
          <w:szCs w:val="21"/>
          <w:highlight w:val="none"/>
          <w:lang w:bidi="ar"/>
        </w:rPr>
        <w:t>签发工程变更单之前，承包人不得实施工程变更。</w:t>
      </w:r>
    </w:p>
    <w:p w14:paraId="4FBCFF5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4）未经总监理工程师审查同意而实施的工程变更，项目监理机构不得予以计量。</w:t>
      </w:r>
    </w:p>
    <w:p w14:paraId="10A15B9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 监理人必须按月度提交项目造价变更统计表给委托人。</w:t>
      </w:r>
    </w:p>
    <w:p w14:paraId="7E8075D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7</w:t>
      </w:r>
      <w:r>
        <w:rPr>
          <w:rFonts w:hint="eastAsia" w:ascii="宋体" w:hAnsi="宋体" w:eastAsia="宋体" w:cs="宋体"/>
          <w:snapToGrid w:val="0"/>
          <w:color w:val="auto"/>
          <w:kern w:val="0"/>
          <w:szCs w:val="21"/>
          <w:highlight w:val="none"/>
          <w:lang w:bidi="ar"/>
        </w:rPr>
        <w:t>）工程签证的管理</w:t>
      </w:r>
    </w:p>
    <w:p w14:paraId="3C8E407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按委托人工程签证管理的相关规定对工程的现场签证进行管理，因监理人把关不严，致使该部分工程签证所发生的费用超过合理费用的（以政府主管部门审定价对照为准），由监理人按本合同专用条件第二十六条的有关约定承担违约责任。</w:t>
      </w:r>
    </w:p>
    <w:p w14:paraId="5ED63167">
      <w:pPr>
        <w:adjustRightInd w:val="0"/>
        <w:snapToGrid w:val="0"/>
        <w:spacing w:line="360" w:lineRule="auto"/>
        <w:ind w:firstLine="413" w:firstLineChars="196"/>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4.1.7.3工程进度控制工作</w:t>
      </w:r>
    </w:p>
    <w:p w14:paraId="53F1DAB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）项目监理机构应按下列程序进行工程进度控制：</w:t>
      </w:r>
    </w:p>
    <w:p w14:paraId="0344CBD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1）总监理工程师审批承包人报送的施工总进度计划；</w:t>
      </w:r>
    </w:p>
    <w:p w14:paraId="6348701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2）总监理工程师审批承包人编制的年、季、月度施工进度计划；</w:t>
      </w:r>
    </w:p>
    <w:p w14:paraId="65B8355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3）专业监理工程师对进度计划实施情况检查、分析；</w:t>
      </w:r>
    </w:p>
    <w:p w14:paraId="5AF6522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4）当实际进度符合计划进度时，应要求承包人编制下一期进度计划；当实际进度滞后于计划进度时，专业监理工程师应书面通知承包人采取纠偏措施并监督实施。</w:t>
      </w:r>
    </w:p>
    <w:p w14:paraId="7EBDC36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）专业监理工程师应依据施工合同有关条款、施工图及经过批准的施工组织设计制定进度控制方案，对进度目标进行风险分析，制定防范性对策，经总监理工程师审定后报送委托人。</w:t>
      </w:r>
    </w:p>
    <w:p w14:paraId="436AF99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）专业监理工程师应检查进度计划的实施，并记录实际进度及其相关情况。</w:t>
      </w:r>
    </w:p>
    <w:p w14:paraId="31FB361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4</w:t>
      </w:r>
      <w:r>
        <w:rPr>
          <w:rFonts w:hint="eastAsia" w:ascii="宋体" w:hAnsi="宋体" w:eastAsia="宋体" w:cs="宋体"/>
          <w:snapToGrid w:val="0"/>
          <w:color w:val="auto"/>
          <w:kern w:val="0"/>
          <w:szCs w:val="21"/>
          <w:highlight w:val="none"/>
          <w:lang w:bidi="ar"/>
        </w:rPr>
        <w:t>）施工阶段的工程进度控制中的其他监理工作</w:t>
      </w:r>
    </w:p>
    <w:p w14:paraId="16267B6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当发现实际进度滞后于计划进度时，应签发监理工程师通知单指令承包人采取调整措施。当实际进度严重滞后于计划进度时应及时报总监理工程师，由总监理工程师与委托人商定采取进一步措施。</w:t>
      </w:r>
    </w:p>
    <w:p w14:paraId="3168DFD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总监理工程师应在监理月报中向委托人报告工程进度和所采取进度控制措施的执行情况，并提出合理预防由委托人原因导致的工程延期及其相关费用索赔的建议。</w:t>
      </w:r>
    </w:p>
    <w:p w14:paraId="3DDB137D">
      <w:pPr>
        <w:adjustRightInd w:val="0"/>
        <w:snapToGrid w:val="0"/>
        <w:spacing w:line="360" w:lineRule="auto"/>
        <w:ind w:firstLine="413" w:firstLineChars="196"/>
        <w:rPr>
          <w:rFonts w:hint="eastAsia" w:ascii="宋体" w:hAnsi="宋体" w:eastAsia="宋体" w:cs="宋体"/>
          <w:b/>
          <w:bCs/>
          <w:color w:val="auto"/>
          <w:kern w:val="0"/>
          <w:szCs w:val="21"/>
          <w:highlight w:val="none"/>
        </w:rPr>
      </w:pPr>
      <w:r>
        <w:rPr>
          <w:rFonts w:hint="eastAsia" w:ascii="宋体" w:hAnsi="宋体" w:eastAsia="宋体" w:cs="宋体"/>
          <w:b/>
          <w:snapToGrid w:val="0"/>
          <w:color w:val="auto"/>
          <w:kern w:val="0"/>
          <w:szCs w:val="21"/>
          <w:highlight w:val="none"/>
          <w:lang w:bidi="ar"/>
        </w:rPr>
        <w:t>4.1.7.4工程安全控制工作</w:t>
      </w:r>
    </w:p>
    <w:p w14:paraId="3EBA74B2">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）工程安全控制应遵循下列程序：</w:t>
      </w:r>
    </w:p>
    <w:p w14:paraId="3EBC464A">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1）确定施工安全目标。</w:t>
      </w:r>
    </w:p>
    <w:p w14:paraId="5796F2BE">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2）编制工程安全保证计划。</w:t>
      </w:r>
    </w:p>
    <w:p w14:paraId="2E5C2108">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3）实施工程安全计划。</w:t>
      </w:r>
    </w:p>
    <w:p w14:paraId="71A51961">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4）工程安全保证计划验证。</w:t>
      </w:r>
    </w:p>
    <w:p w14:paraId="2BD5B4A1">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5）持续改进。</w:t>
      </w:r>
    </w:p>
    <w:p w14:paraId="1D848D65">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）编制安全监理实施细则，对施工中人的不安全行为，物的不安全状态，作业环境的不安全因素和管理缺陷进行相应的安全控制。</w:t>
      </w:r>
    </w:p>
    <w:p w14:paraId="5831900C">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）检查项目施工安全目标的要求配置的资源是否满足需要。</w:t>
      </w:r>
    </w:p>
    <w:p w14:paraId="758CF9AC">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4</w:t>
      </w:r>
      <w:r>
        <w:rPr>
          <w:rFonts w:hint="eastAsia" w:ascii="宋体" w:hAnsi="宋体" w:eastAsia="宋体" w:cs="宋体"/>
          <w:snapToGrid w:val="0"/>
          <w:color w:val="auto"/>
          <w:kern w:val="0"/>
          <w:szCs w:val="21"/>
          <w:highlight w:val="none"/>
          <w:lang w:bidi="ar"/>
        </w:rPr>
        <w:t>）要求承包人对结构复杂、施工难度大、专业性强的项目和达到一定规模的危险性较大的分部分项工程编制专项施工方案，必要时，组织专家进行论证、审查：</w:t>
      </w:r>
    </w:p>
    <w:p w14:paraId="435D4255">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1）基坑支护及降水工程；</w:t>
      </w:r>
    </w:p>
    <w:p w14:paraId="4AB0C4BB">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2）土方开挖工程；</w:t>
      </w:r>
    </w:p>
    <w:p w14:paraId="18576E90">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3）模板工程；</w:t>
      </w:r>
    </w:p>
    <w:p w14:paraId="7CB4796F">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4）起重吊装工程；</w:t>
      </w:r>
    </w:p>
    <w:p w14:paraId="230E0A14">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5）脚手架工程；</w:t>
      </w:r>
    </w:p>
    <w:p w14:paraId="130321CA">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6）拆除、爆破工程；</w:t>
      </w:r>
    </w:p>
    <w:p w14:paraId="3040663E">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7）其他危险性较大的工程。</w:t>
      </w:r>
    </w:p>
    <w:p w14:paraId="0C70C2AA">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5</w:t>
      </w:r>
      <w:r>
        <w:rPr>
          <w:rFonts w:hint="eastAsia" w:ascii="宋体" w:hAnsi="宋体" w:eastAsia="宋体" w:cs="宋体"/>
          <w:snapToGrid w:val="0"/>
          <w:color w:val="auto"/>
          <w:kern w:val="0"/>
          <w:szCs w:val="21"/>
          <w:highlight w:val="none"/>
          <w:lang w:bidi="ar"/>
        </w:rPr>
        <w:t>）定期组织安全控制计划的执行情况并进行检查考核和评价，对施工中存在的不安全行为和隐患，分析原因并制定相应整改防范措施。</w:t>
      </w:r>
    </w:p>
    <w:p w14:paraId="7028B9C6">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6</w:t>
      </w:r>
      <w:r>
        <w:rPr>
          <w:rFonts w:hint="eastAsia" w:ascii="宋体" w:hAnsi="宋体" w:eastAsia="宋体" w:cs="宋体"/>
          <w:snapToGrid w:val="0"/>
          <w:color w:val="auto"/>
          <w:kern w:val="0"/>
          <w:szCs w:val="21"/>
          <w:highlight w:val="none"/>
          <w:lang w:bidi="ar"/>
        </w:rPr>
        <w:t>）采取随机抽样、现场观察、实地检测相结合的方法进行安全检查，并记录检测结果。对现场管理人员的违章指挥和操作人员的违章作业行为应进行纠正。</w:t>
      </w:r>
    </w:p>
    <w:p w14:paraId="4EE32583">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7</w:t>
      </w:r>
      <w:r>
        <w:rPr>
          <w:rFonts w:hint="eastAsia" w:ascii="宋体" w:hAnsi="宋体" w:eastAsia="宋体" w:cs="宋体"/>
          <w:snapToGrid w:val="0"/>
          <w:color w:val="auto"/>
          <w:kern w:val="0"/>
          <w:szCs w:val="21"/>
          <w:highlight w:val="none"/>
          <w:lang w:bidi="ar"/>
        </w:rPr>
        <w:t>）对检查结果进行分析，找出安全隐患部位，确定危险程度。</w:t>
      </w:r>
    </w:p>
    <w:p w14:paraId="1DC53DB5">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8</w:t>
      </w:r>
      <w:r>
        <w:rPr>
          <w:rFonts w:hint="eastAsia" w:ascii="宋体" w:hAnsi="宋体" w:eastAsia="宋体" w:cs="宋体"/>
          <w:snapToGrid w:val="0"/>
          <w:color w:val="auto"/>
          <w:kern w:val="0"/>
          <w:szCs w:val="21"/>
          <w:highlight w:val="none"/>
          <w:lang w:bidi="ar"/>
        </w:rPr>
        <w:t>）对检查出的隐患立即发出安全隐患整改通知单。受检单位应对安全隐患原因进行分析，制定和落实纠正和预防措施。</w:t>
      </w:r>
    </w:p>
    <w:p w14:paraId="2FC4A120">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9</w:t>
      </w:r>
      <w:r>
        <w:rPr>
          <w:rFonts w:hint="eastAsia" w:ascii="宋体" w:hAnsi="宋体" w:eastAsia="宋体" w:cs="宋体"/>
          <w:snapToGrid w:val="0"/>
          <w:color w:val="auto"/>
          <w:kern w:val="0"/>
          <w:szCs w:val="21"/>
          <w:highlight w:val="none"/>
          <w:lang w:bidi="ar"/>
        </w:rPr>
        <w:t>）对纠正预防措施的实施过程和实施效果应进行跟踪检查，保存验证记录。</w:t>
      </w:r>
    </w:p>
    <w:p w14:paraId="7836F39F">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10</w:t>
      </w:r>
      <w:r>
        <w:rPr>
          <w:rFonts w:hint="eastAsia" w:ascii="宋体" w:hAnsi="宋体" w:eastAsia="宋体" w:cs="宋体"/>
          <w:snapToGrid w:val="0"/>
          <w:color w:val="auto"/>
          <w:kern w:val="0"/>
          <w:szCs w:val="21"/>
          <w:highlight w:val="none"/>
          <w:lang w:bidi="ar"/>
        </w:rPr>
        <w:t>）安全质量事故的处理</w:t>
      </w:r>
    </w:p>
    <w:p w14:paraId="4C8E7A77">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对于发生的安全质量事故，监理人及时的向委托人及政府相关部门报告，同时应积极保护事故现场，收集相关的原始资料。监理人在调查事故情况并分析原因、责任后，应</w:t>
      </w:r>
      <w:r>
        <w:rPr>
          <w:rFonts w:hint="eastAsia" w:ascii="宋体" w:hAnsi="宋体" w:eastAsia="宋体" w:cs="宋体"/>
          <w:snapToGrid w:val="0"/>
          <w:color w:val="auto"/>
          <w:kern w:val="0"/>
          <w:szCs w:val="21"/>
          <w:highlight w:val="none"/>
          <w:u w:val="single"/>
          <w:lang w:bidi="ar"/>
        </w:rPr>
        <w:t>提交</w:t>
      </w:r>
      <w:r>
        <w:rPr>
          <w:rFonts w:hint="eastAsia" w:ascii="宋体" w:hAnsi="宋体" w:eastAsia="宋体" w:cs="宋体"/>
          <w:snapToGrid w:val="0"/>
          <w:color w:val="auto"/>
          <w:kern w:val="0"/>
          <w:szCs w:val="21"/>
          <w:highlight w:val="none"/>
          <w:lang w:bidi="ar"/>
        </w:rPr>
        <w:t>事故调查</w:t>
      </w:r>
      <w:r>
        <w:rPr>
          <w:rFonts w:hint="eastAsia" w:ascii="宋体" w:hAnsi="宋体" w:eastAsia="宋体" w:cs="宋体"/>
          <w:snapToGrid w:val="0"/>
          <w:color w:val="auto"/>
          <w:kern w:val="0"/>
          <w:szCs w:val="21"/>
          <w:highlight w:val="none"/>
          <w:u w:val="single"/>
          <w:lang w:bidi="ar"/>
        </w:rPr>
        <w:t>分析</w:t>
      </w:r>
      <w:r>
        <w:rPr>
          <w:rFonts w:hint="eastAsia" w:ascii="宋体" w:hAnsi="宋体" w:eastAsia="宋体" w:cs="宋体"/>
          <w:snapToGrid w:val="0"/>
          <w:color w:val="auto"/>
          <w:kern w:val="0"/>
          <w:szCs w:val="21"/>
          <w:highlight w:val="none"/>
          <w:lang w:bidi="ar"/>
        </w:rPr>
        <w:t>报告提交委托人及政府相关部门。监理人同时应提交相应的防范措施以防止同类事故再次发生。</w:t>
      </w:r>
    </w:p>
    <w:p w14:paraId="62791217">
      <w:pPr>
        <w:adjustRightInd w:val="0"/>
        <w:snapToGrid w:val="0"/>
        <w:spacing w:line="360" w:lineRule="auto"/>
        <w:ind w:firstLine="413" w:firstLineChars="196"/>
        <w:rPr>
          <w:rFonts w:hint="eastAsia" w:ascii="宋体" w:hAnsi="宋体" w:eastAsia="宋体" w:cs="宋体"/>
          <w:b/>
          <w:bCs/>
          <w:color w:val="auto"/>
          <w:kern w:val="0"/>
          <w:szCs w:val="21"/>
          <w:highlight w:val="none"/>
        </w:rPr>
      </w:pPr>
      <w:r>
        <w:rPr>
          <w:rFonts w:hint="eastAsia" w:ascii="宋体" w:hAnsi="宋体" w:eastAsia="宋体" w:cs="宋体"/>
          <w:b/>
          <w:snapToGrid w:val="0"/>
          <w:color w:val="auto"/>
          <w:kern w:val="0"/>
          <w:szCs w:val="21"/>
          <w:highlight w:val="none"/>
          <w:lang w:bidi="ar"/>
        </w:rPr>
        <w:t>4.1.7.5工程材料设备控制工作</w:t>
      </w:r>
    </w:p>
    <w:p w14:paraId="4F4F67A8">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）甲供材料设备的管理</w:t>
      </w:r>
    </w:p>
    <w:p w14:paraId="4262A483">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1）审核施工单位编制的机电设备安装、调试、验收计划。</w:t>
      </w:r>
    </w:p>
    <w:p w14:paraId="248B07E6">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2）主持施工图交底审查会。</w:t>
      </w:r>
    </w:p>
    <w:p w14:paraId="02280A3B">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3）检查施工单位为设备提供运输所需通道和卸货作业场地及设备仓库或符合要求的材料堆放场地的落实情况。</w:t>
      </w:r>
    </w:p>
    <w:p w14:paraId="49F17CAB">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4）参加设备的到货验收、开箱检验，并签署相关文件。</w:t>
      </w:r>
    </w:p>
    <w:p w14:paraId="08CCF735">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5）负责机电设备安装、调试、验收过程中的质量、安全、进度控制。</w:t>
      </w:r>
    </w:p>
    <w:p w14:paraId="17D6A6EC">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）甲招乙供材料设备的管理</w:t>
      </w:r>
    </w:p>
    <w:p w14:paraId="462A5A99">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1）协助委托人针对甲招乙供材料设备开展的公开招标活动。</w:t>
      </w:r>
    </w:p>
    <w:p w14:paraId="0E32A00B">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2）督促并审核施工单位签订材料设备供货合同及合同款的支付情况。</w:t>
      </w:r>
    </w:p>
    <w:p w14:paraId="48B39FF8">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3）审核并批准施工单位编制的材料设备生产和到货进度计划。</w:t>
      </w:r>
    </w:p>
    <w:p w14:paraId="5EE541EC">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4）审核施工单位编制的机电设备安装、调试、验收计划。</w:t>
      </w:r>
    </w:p>
    <w:p w14:paraId="67B37EC3">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5）检查施工单位为设备提供运输所需通道和卸货作业场地及设备仓库或符合要求的材料堆放场地的落实情况。</w:t>
      </w:r>
    </w:p>
    <w:p w14:paraId="7D1B19F4">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6）参加设备的到货验收、开箱检验，并签署相关文件。</w:t>
      </w:r>
    </w:p>
    <w:p w14:paraId="144D1F71">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7）负责机电设备安装、调试、验收过程中的投资、质量、进度控制。</w:t>
      </w:r>
    </w:p>
    <w:p w14:paraId="0FBF5DE5">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8）审核施工单位提供的材料设备的结算资料。</w:t>
      </w:r>
    </w:p>
    <w:p w14:paraId="14CF666B">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）甲管乙供材料设备的管理</w:t>
      </w:r>
    </w:p>
    <w:p w14:paraId="2759C35A">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1)协助委托人针对甲管乙供材料设备的公开择优竞价活动。</w:t>
      </w:r>
    </w:p>
    <w:p w14:paraId="72F97319">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2）督促并审核施工单位签订材料设备供货合同及合同款的支付情况。</w:t>
      </w:r>
    </w:p>
    <w:p w14:paraId="46A7BB96">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3）审核施工单位提供的材料设备数量。</w:t>
      </w:r>
    </w:p>
    <w:p w14:paraId="7AA10721">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4）审核并批准施工单位编制的材料设备生产和到货进度计划。</w:t>
      </w:r>
    </w:p>
    <w:p w14:paraId="47A9E9A3">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5）监督检查施工单位对材料设备生产的质量控制。</w:t>
      </w:r>
    </w:p>
    <w:p w14:paraId="6C9EECE8">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6）参加出厂验收。</w:t>
      </w:r>
    </w:p>
    <w:p w14:paraId="353792ED">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7）审核施工单位编制的材料设备安装、调试、验收计划。</w:t>
      </w:r>
    </w:p>
    <w:p w14:paraId="4A74C458">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8）主持施工图交底审查会。</w:t>
      </w:r>
    </w:p>
    <w:p w14:paraId="3981CDEA">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9）检查施工单位为材料设备提供运输所需通道和卸货作业场地及材料设备仓库或符合要求的材料堆放场地的落实情况。</w:t>
      </w:r>
    </w:p>
    <w:p w14:paraId="1AE9E18C">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10）参加材料设备的到货验收、开箱检验，并签署相关文件。</w:t>
      </w:r>
    </w:p>
    <w:p w14:paraId="26C22948">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11）负责材料设备安装、调试、验收过程中的投资、质量、进度控制。</w:t>
      </w:r>
    </w:p>
    <w:p w14:paraId="3FB2D333">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12）审核施工单位提供的材料设备的结算资料。</w:t>
      </w:r>
    </w:p>
    <w:p w14:paraId="4D3B86E2">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13）检查质量保证期工作。</w:t>
      </w:r>
    </w:p>
    <w:p w14:paraId="4C2C082F">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4</w:t>
      </w:r>
      <w:r>
        <w:rPr>
          <w:rFonts w:hint="eastAsia" w:ascii="宋体" w:hAnsi="宋体" w:eastAsia="宋体" w:cs="宋体"/>
          <w:snapToGrid w:val="0"/>
          <w:color w:val="auto"/>
          <w:kern w:val="0"/>
          <w:szCs w:val="21"/>
          <w:highlight w:val="none"/>
          <w:lang w:bidi="ar"/>
        </w:rPr>
        <w:t>）乙供材料设备的管理</w:t>
      </w:r>
    </w:p>
    <w:p w14:paraId="0B88A1C1">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1）审核工程总体材料设备使用计划和月度材料设备分批使用计划。</w:t>
      </w:r>
    </w:p>
    <w:p w14:paraId="4B313675">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2）审核施工单位选定的材料设备合格供货商并对样品进行封存。</w:t>
      </w:r>
    </w:p>
    <w:p w14:paraId="69C2FFA0">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3）督促并审核施工单位签订材料设备供货合同。</w:t>
      </w:r>
    </w:p>
    <w:p w14:paraId="40440264">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4）组织施工单位拟定准确的材料设备进场计划，及时进行材料设备的采购及供货。</w:t>
      </w:r>
    </w:p>
    <w:p w14:paraId="253B6AB6">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5）组织施工单位认真清点到货材料设备，在安装材料设备过程中及安装后应进行监督、检验，把好质量关。</w:t>
      </w:r>
    </w:p>
    <w:p w14:paraId="42E85E64">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6）对施工单位所定材料设备规格、型号、数量、质量必须严格把关，发现货不对板情况应及时向委托人汇报。</w:t>
      </w:r>
    </w:p>
    <w:p w14:paraId="6CF2231C">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7）负责材料设备安装、调试、验收过程中的投资、质量、进度控制。</w:t>
      </w:r>
    </w:p>
    <w:p w14:paraId="05660E66">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8）审核施工单位提供的材料设备的结算资料。</w:t>
      </w:r>
    </w:p>
    <w:p w14:paraId="2BD9A9B3">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9）检查质量保证期工作。</w:t>
      </w:r>
    </w:p>
    <w:p w14:paraId="25AB68A8">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5</w:t>
      </w:r>
      <w:r>
        <w:rPr>
          <w:rFonts w:hint="eastAsia" w:ascii="宋体" w:hAnsi="宋体" w:eastAsia="宋体" w:cs="宋体"/>
          <w:snapToGrid w:val="0"/>
          <w:color w:val="auto"/>
          <w:kern w:val="0"/>
          <w:szCs w:val="21"/>
          <w:highlight w:val="none"/>
          <w:lang w:bidi="ar"/>
        </w:rPr>
        <w:t>）建筑装饰材料的管理</w:t>
      </w:r>
    </w:p>
    <w:p w14:paraId="55CB7760">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1）协助委托人进行材料管理及采购策划。</w:t>
      </w:r>
    </w:p>
    <w:p w14:paraId="2A7EE5A4">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2）协助委托人选定合格材料供货商。</w:t>
      </w:r>
    </w:p>
    <w:p w14:paraId="6E2E6CC9">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3）协助并督促施工单位签订材料供货合同。</w:t>
      </w:r>
    </w:p>
    <w:p w14:paraId="6651FE9E">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4）督促施工单位拟定准确的分批次订货计划，及时进行材料的采购及供货。</w:t>
      </w:r>
    </w:p>
    <w:p w14:paraId="5C422A60">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5）对材料到货、施工过程中及施工后进行监督、检验，把好材料质量关。</w:t>
      </w:r>
    </w:p>
    <w:p w14:paraId="2E0693FC">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6）对材料变更费用进行预测及审核，提出专业意见及建议。</w:t>
      </w:r>
    </w:p>
    <w:p w14:paraId="02A0CF56">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7）负责供货单位与施工单位的协调。</w:t>
      </w:r>
    </w:p>
    <w:p w14:paraId="515E0DA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6)</w:t>
      </w:r>
      <w:r>
        <w:rPr>
          <w:rFonts w:hint="eastAsia" w:ascii="宋体" w:hAnsi="宋体" w:eastAsia="宋体" w:cs="宋体"/>
          <w:snapToGrid w:val="0"/>
          <w:color w:val="auto"/>
          <w:kern w:val="0"/>
          <w:szCs w:val="21"/>
          <w:highlight w:val="none"/>
          <w:lang w:bidi="ar"/>
        </w:rPr>
        <w:t>材料设备采购监理资料</w:t>
      </w:r>
    </w:p>
    <w:p w14:paraId="1E9D730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应包括以下内容：</w:t>
      </w:r>
    </w:p>
    <w:p w14:paraId="4481C9B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a.委托监理合同；</w:t>
      </w:r>
    </w:p>
    <w:p w14:paraId="0697BA2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b.设备采购方案计划；</w:t>
      </w:r>
    </w:p>
    <w:p w14:paraId="57E2479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c.设计图纸和文件；</w:t>
      </w:r>
    </w:p>
    <w:p w14:paraId="56FB889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d.市场调查、考察报告；</w:t>
      </w:r>
    </w:p>
    <w:p w14:paraId="1C7860B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e.设备采购招投标文件；</w:t>
      </w:r>
    </w:p>
    <w:p w14:paraId="3A77AD1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f.设备采购订货合同；</w:t>
      </w:r>
    </w:p>
    <w:p w14:paraId="0101238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g.设备采购监理工作总结。</w:t>
      </w:r>
    </w:p>
    <w:p w14:paraId="7B3141D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7</w:t>
      </w:r>
      <w:r>
        <w:rPr>
          <w:rFonts w:hint="eastAsia" w:ascii="宋体" w:hAnsi="宋体" w:eastAsia="宋体" w:cs="宋体"/>
          <w:snapToGrid w:val="0"/>
          <w:color w:val="auto"/>
          <w:kern w:val="0"/>
          <w:szCs w:val="21"/>
          <w:highlight w:val="none"/>
          <w:lang w:bidi="ar"/>
        </w:rPr>
        <w:t>）施工阶段材料设备控制中的其它监理工作</w:t>
      </w:r>
    </w:p>
    <w:p w14:paraId="6A88FD9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1）根据委托人的委托实施设备监造工作。</w:t>
      </w:r>
    </w:p>
    <w:p w14:paraId="6E23570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a）监理人应根据设备监造阶段的监理工作内容，成立由总监理工程师和专业监理工程师组成的项目监理机构。项目监理机构应进驻设备制造现场。</w:t>
      </w:r>
    </w:p>
    <w:p w14:paraId="3AFBD25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b）总监理工程师应组织专业监理工程师熟悉设备制造图纸及有关技术说明和标准，掌握设计意图和各项设备制造的工艺规程以及设备采购订货合同中的各项规定，并应组织或参加委托人组织的设备制造图纸的设计交底。</w:t>
      </w:r>
    </w:p>
    <w:p w14:paraId="7164D98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c）总监理工程师应组织专业监理工程师编制设备监造规划，经监理人技术负责人审核批准后，在设备制造开始前十日内报送委托人。</w:t>
      </w:r>
    </w:p>
    <w:p w14:paraId="684B125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d）总监理工程师应审查设备制造单位报送的设备制造生产计划和工艺方案，提出审查意见，符合要求后予以批准，并报委托人。</w:t>
      </w:r>
    </w:p>
    <w:p w14:paraId="6BEAC104">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e）总监理工程师应审核设备制造分包单位的资质情况、实际生产能力和质量保证体系，符合要求后予以确认。</w:t>
      </w:r>
    </w:p>
    <w:p w14:paraId="3BDEFF0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f）专业监理工程师应审查设备制造的检验计划和检验要求，确认各阶段的检验时间、内容、方法、标准以及检测手段、检测设备和仪器。</w:t>
      </w:r>
    </w:p>
    <w:p w14:paraId="47B194C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g）专业监理工程师必须对设备制造过程中拟采用的新技术、新材料、新工艺的鉴定书和试验报告进行审核，并签署意见。</w:t>
      </w:r>
    </w:p>
    <w:p w14:paraId="189E321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h）专业监理工程师应审查主要及关键零件的生产工艺设备、操作规程和相关生产人员的上岗资格，并对设备制造和装配场所的环境进行检查。</w:t>
      </w:r>
    </w:p>
    <w:p w14:paraId="5F6CB76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i）专业监理工程师应审查设备制造的原材料、外购配套件、元器件、标准件以及坯料的质量证明文件及检验报告，检查设备制造单位对外购器件、外协作加工件和材料的质量验收，并由专业监理工程师审查设备制造单位提交的报验资料，符合规定要求时予以签认。</w:t>
      </w:r>
    </w:p>
    <w:p w14:paraId="5D1937E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j）专业监理工程师应对设备制造过程进行监督和检查，对主要及关键零部件的制造工序应进行抽检或检验。</w:t>
      </w:r>
    </w:p>
    <w:p w14:paraId="453A814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k）专业监理工程师应要求设备制造单位按批准的检验计划和检验要求进行设备制造过程的检验工作，做好检验记录，并对检验结果进行审核。专业监理工程师认为不符合质量要求时，指令设备制造单位进行整改、返修或返工。当发生质量失控或重大质量事故时，必须由总监理工程师下达暂停制造指令，提出处理意见，并及时报告委托人。</w:t>
      </w:r>
    </w:p>
    <w:p w14:paraId="7A34BBE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l）专业监理工程师应检查和监督设备的装配过程，符合要求后予以签认。</w:t>
      </w:r>
    </w:p>
    <w:p w14:paraId="688CE58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m）在设备制造过程中如需要对设备的原设计进行变更，专业监理工程师应审核设计变更，并审查因变更引起的费用增减和制造工期的变化。</w:t>
      </w:r>
    </w:p>
    <w:p w14:paraId="173A8FF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n）总监理工程师应组织专业监理工程师参加设备制造过程中的调试、整机性能检测和验证，符合要求后予以签认。</w:t>
      </w:r>
    </w:p>
    <w:p w14:paraId="26496A8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o）在设备运往现场前，专业监理工程师应检查设备制造单位对待运设备采取的防护和包装措施，并应检查是否符合运输、装卸、储存、安装的要求，以及相关的随机文件、装箱单和附件是否齐全。</w:t>
      </w:r>
    </w:p>
    <w:p w14:paraId="26C6B45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p）设备全部运到现场后，总监理工程师应组织专业监理工程师参加由设备制造单位按合同规定与安装单位的交接工作，开箱清点、检查、验收、移交。</w:t>
      </w:r>
    </w:p>
    <w:p w14:paraId="4CC66F8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q）专业监理工程师应按设备采购合同的规定审核设备制造单位提交的进度付款单，提出审核意见，由总监理工程师复核后报委托人。</w:t>
      </w:r>
    </w:p>
    <w:p w14:paraId="2D35EE1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r）专业监理工程师应审查委托人或设备制造单位提出的索赔文件，提出意见后报总监理工程师，由总监理工程师与委托人、设备制造单位进行协商，并提出审核报告。</w:t>
      </w:r>
    </w:p>
    <w:p w14:paraId="21366C6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s）专业监理工程师应审核设备制造单位报送的设备制造结算文件，并提出审核意见，报总监理工程师审核，由总监理工程师与委托人、设备制造单位进行协商，并提出审核报告。</w:t>
      </w:r>
    </w:p>
    <w:p w14:paraId="1ABCDB3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t）在设备监造工作结束后，总监理工程师应组织编写设备监造工作总结。</w:t>
      </w:r>
    </w:p>
    <w:p w14:paraId="3E1D8D2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2）根据委托人委托的设备监造工作提交相关的监理资料</w:t>
      </w:r>
    </w:p>
    <w:p w14:paraId="682E01B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应包括以下内容：</w:t>
      </w:r>
    </w:p>
    <w:p w14:paraId="01904B6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a.设备采购合同及委托监理合同；</w:t>
      </w:r>
    </w:p>
    <w:p w14:paraId="6F402ED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b.设备监造规划；</w:t>
      </w:r>
    </w:p>
    <w:p w14:paraId="09DBF224">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c.设备制造的生产计划和工艺方案；</w:t>
      </w:r>
    </w:p>
    <w:p w14:paraId="6896D07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d.设备制造的检验计划和检验要求；</w:t>
      </w:r>
    </w:p>
    <w:p w14:paraId="1EA4393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e.分包单位资格报审表；</w:t>
      </w:r>
    </w:p>
    <w:p w14:paraId="4D9A1BF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f.原材料、零配件等的质量证明文件和检验报告；</w:t>
      </w:r>
    </w:p>
    <w:p w14:paraId="742CAEB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g.开工／复工报审表、暂停令；</w:t>
      </w:r>
    </w:p>
    <w:p w14:paraId="6524D83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h.检验记录及试验报告；</w:t>
      </w:r>
    </w:p>
    <w:p w14:paraId="257D908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i.报验申请表；</w:t>
      </w:r>
    </w:p>
    <w:p w14:paraId="2CF6C65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j.设计变更文件；</w:t>
      </w:r>
    </w:p>
    <w:p w14:paraId="5E76170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k.会议纪要；</w:t>
      </w:r>
    </w:p>
    <w:p w14:paraId="1518ED7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l.来往文件；</w:t>
      </w:r>
    </w:p>
    <w:p w14:paraId="3FC9CD1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m.监理日记；</w:t>
      </w:r>
    </w:p>
    <w:p w14:paraId="11B2E7C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n.监理工程师通知单；</w:t>
      </w:r>
    </w:p>
    <w:p w14:paraId="2C17B96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o.监理工作联系单；</w:t>
      </w:r>
    </w:p>
    <w:p w14:paraId="05F32A8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p.监理月报；</w:t>
      </w:r>
    </w:p>
    <w:p w14:paraId="3C22642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q.质量事故处理文件；</w:t>
      </w:r>
    </w:p>
    <w:p w14:paraId="516E4EF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r.设备制造索赔文件；</w:t>
      </w:r>
    </w:p>
    <w:p w14:paraId="5D6C771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s.设备验收文件；</w:t>
      </w:r>
    </w:p>
    <w:p w14:paraId="519A55A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t.设备交接文件；</w:t>
      </w:r>
    </w:p>
    <w:p w14:paraId="39A69B24">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u.支付证书和设备制造结算审核文件；</w:t>
      </w:r>
    </w:p>
    <w:p w14:paraId="6BCD13F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v.设备监造工作总结。</w:t>
      </w:r>
    </w:p>
    <w:p w14:paraId="68F0AB65">
      <w:pPr>
        <w:adjustRightInd w:val="0"/>
        <w:snapToGrid w:val="0"/>
        <w:spacing w:line="360" w:lineRule="auto"/>
        <w:ind w:firstLine="413" w:firstLineChars="196"/>
        <w:rPr>
          <w:rFonts w:hint="eastAsia" w:ascii="宋体" w:hAnsi="宋体" w:eastAsia="宋体" w:cs="宋体"/>
          <w:b/>
          <w:bCs/>
          <w:color w:val="auto"/>
          <w:kern w:val="0"/>
          <w:szCs w:val="21"/>
          <w:highlight w:val="none"/>
        </w:rPr>
      </w:pPr>
      <w:r>
        <w:rPr>
          <w:rFonts w:hint="eastAsia" w:ascii="宋体" w:hAnsi="宋体" w:eastAsia="宋体" w:cs="宋体"/>
          <w:b/>
          <w:snapToGrid w:val="0"/>
          <w:color w:val="auto"/>
          <w:kern w:val="0"/>
          <w:szCs w:val="21"/>
          <w:highlight w:val="none"/>
          <w:lang w:bidi="ar"/>
        </w:rPr>
        <w:t>4.1.7.6工程</w:t>
      </w:r>
      <w:r>
        <w:rPr>
          <w:rFonts w:hint="eastAsia" w:ascii="宋体" w:hAnsi="宋体" w:eastAsia="宋体" w:cs="宋体"/>
          <w:b/>
          <w:bCs/>
          <w:color w:val="auto"/>
          <w:kern w:val="0"/>
          <w:szCs w:val="21"/>
          <w:highlight w:val="none"/>
          <w:lang w:bidi="ar"/>
        </w:rPr>
        <w:t>合同管理工作</w:t>
      </w:r>
    </w:p>
    <w:p w14:paraId="6EDF5433">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）建立合同实施的保证体系，使工程项目的全部合同事件处于控制中，保证合同目标的实现。</w:t>
      </w:r>
    </w:p>
    <w:p w14:paraId="00BAAB14">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2</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建立合同管理文档系统。应建立与相适应的编码系统和文档系统，将各种合同资料能方便的进行保存与查询。</w:t>
      </w:r>
      <w:r>
        <w:rPr>
          <w:rFonts w:hint="eastAsia" w:ascii="宋体" w:hAnsi="宋体" w:eastAsia="宋体" w:cs="宋体"/>
          <w:color w:val="auto"/>
          <w:kern w:val="0"/>
          <w:szCs w:val="21"/>
          <w:highlight w:val="none"/>
          <w:lang w:bidi="ar"/>
        </w:rPr>
        <w:t xml:space="preserve"> </w:t>
      </w:r>
    </w:p>
    <w:p w14:paraId="04749544">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建立合同文件沟通方式。承包人和委托人、监理工程师、分包人之间的有关合同的文件沟通都应以书面形式进行。</w:t>
      </w:r>
    </w:p>
    <w:p w14:paraId="11DF479C">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4</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合同实施监督：监督总承包人、分包人严格执行合同，并做好各分包人的协调和管理工作。同时也应督促委托人执行其合同责任，以保证工程顺利进行。</w:t>
      </w:r>
    </w:p>
    <w:p w14:paraId="7202B251">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5</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合同跟踪和诊断</w:t>
      </w:r>
    </w:p>
    <w:p w14:paraId="35CA8C8B">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1）全面收集并分析合同实施的信息与工程资料，将合同实施情况与合同分析资料进行对比分析，找出其中的偏离。</w:t>
      </w:r>
    </w:p>
    <w:p w14:paraId="0CF4F5F0">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2）对合同履行情况做出诊断。合同诊断包括：合同执行差异的原因分析、合同差异责任分析、合同实施趋向预测。及时通报合同实施情况及问题，提出合同实施方面的意见、建议、甚至警告。</w:t>
      </w:r>
    </w:p>
    <w:p w14:paraId="12A50037">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3）对于发现的问题，及时采取对应的管理措施，防止问题的扩大和重复发生。</w:t>
      </w:r>
    </w:p>
    <w:p w14:paraId="2C82E237">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6</w:t>
      </w:r>
      <w:r>
        <w:rPr>
          <w:rFonts w:hint="eastAsia" w:ascii="宋体" w:hAnsi="宋体" w:eastAsia="宋体" w:cs="宋体"/>
          <w:snapToGrid w:val="0"/>
          <w:color w:val="auto"/>
          <w:kern w:val="0"/>
          <w:szCs w:val="21"/>
          <w:highlight w:val="none"/>
          <w:lang w:bidi="ar"/>
        </w:rPr>
        <w:t>）严格合同变更管理，包括变更谈判、变更的处理程序，落实变更的措施，修改变更相关的资料，检查变更措施的落实情况。</w:t>
      </w:r>
      <w:r>
        <w:rPr>
          <w:rFonts w:hint="eastAsia" w:ascii="宋体" w:hAnsi="宋体" w:eastAsia="宋体" w:cs="宋体"/>
          <w:color w:val="auto"/>
          <w:kern w:val="0"/>
          <w:szCs w:val="21"/>
          <w:highlight w:val="none"/>
          <w:lang w:bidi="ar"/>
        </w:rPr>
        <w:t xml:space="preserve"> </w:t>
      </w:r>
    </w:p>
    <w:p w14:paraId="7022E2B2">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7</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监理人应按委托人的要求参与本合同工程施工、采购等招投标文件（含招投标修改、澄清等文件）的审查工作，对相关合同及施工组织设计等文件进行审核，确定可能引起争议的合同条款等内容，向委托人提交关于合同执行过程的可能存在的索赔风险的报告。对收到的承包人的索赔报告应进行审查分析，收集反驳理由和证据，复核索赔值；如具备反索赔条件，应及时提出反索赔报告并附上相关证据。</w:t>
      </w:r>
    </w:p>
    <w:p w14:paraId="71624C82">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8</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合同终止和后评价：合同按约定履行结束后，合同即告终止。及时进行合同后评价，总结合同签订和执行过程中的利弊得失、经验教训，作为改进以后工程合同管理工作的借鉴。</w:t>
      </w:r>
    </w:p>
    <w:p w14:paraId="1DFE468A">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9</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合同后评估应包括如下内容：</w:t>
      </w:r>
    </w:p>
    <w:p w14:paraId="7761EA9A">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1）合同签订情况评价。</w:t>
      </w:r>
    </w:p>
    <w:p w14:paraId="51FFDD88">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2）合同执行情况评价。</w:t>
      </w:r>
    </w:p>
    <w:p w14:paraId="287ED87C">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3）合同管理工作评价。</w:t>
      </w:r>
    </w:p>
    <w:p w14:paraId="3C5533FE">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4）对本项目有重大影响的合同条款的评价。</w:t>
      </w:r>
    </w:p>
    <w:p w14:paraId="61F9E75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10</w:t>
      </w:r>
      <w:r>
        <w:rPr>
          <w:rFonts w:hint="eastAsia" w:ascii="宋体" w:hAnsi="宋体" w:eastAsia="宋体" w:cs="宋体"/>
          <w:snapToGrid w:val="0"/>
          <w:color w:val="auto"/>
          <w:kern w:val="0"/>
          <w:szCs w:val="21"/>
          <w:highlight w:val="none"/>
          <w:lang w:bidi="ar"/>
        </w:rPr>
        <w:t>）合同管理中的其他监理工作</w:t>
      </w:r>
    </w:p>
    <w:p w14:paraId="35ECCD4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1）费用索赔的处理</w:t>
      </w:r>
    </w:p>
    <w:p w14:paraId="24B385B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专业监理工程师应及时收集、整理有关的施工和监理资料，为处理可能发生的费用索赔提供证据。</w:t>
      </w:r>
    </w:p>
    <w:p w14:paraId="32C001E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a）项目监理机构处理费用索赔应依据下列内容：</w:t>
      </w:r>
    </w:p>
    <w:p w14:paraId="2CE532A4">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① 国家有关的法律、法规和工程项目所在地的地方法规；</w:t>
      </w:r>
    </w:p>
    <w:p w14:paraId="2B995D4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② 本工程的施工合同文件；</w:t>
      </w:r>
    </w:p>
    <w:p w14:paraId="6150D7F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③ 国家、部门和地方有关的标准、规范和定额；</w:t>
      </w:r>
    </w:p>
    <w:p w14:paraId="3A9C72F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④ 施工合同履行过程中与索赔事件有关的凭证。</w:t>
      </w:r>
    </w:p>
    <w:p w14:paraId="7C3EA1D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b）当承包人提出费用索赔的理由同时满足以下条件时，项目监理机构应予以受理：</w:t>
      </w:r>
    </w:p>
    <w:p w14:paraId="3D9F222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① 索赔事件造成了承包人直接经济损失；</w:t>
      </w:r>
    </w:p>
    <w:p w14:paraId="69F70C8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② 索赔事件是由于非承包人的责任发生的；</w:t>
      </w:r>
    </w:p>
    <w:p w14:paraId="797ACD6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③ 承包人已按照施工合同规定的期限和程序提出费用索赔申请表，并附有索赔凭证材料。</w:t>
      </w:r>
    </w:p>
    <w:p w14:paraId="376D3BA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c）承包人向委托人提出费用索赔，项目监理机构应按下列程序处理：</w:t>
      </w:r>
    </w:p>
    <w:p w14:paraId="6BBC9C3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① 承包人在施工合同规定的期限内向项目监理机构提交对委托人的费用索赔意向通知书；</w:t>
      </w:r>
    </w:p>
    <w:p w14:paraId="087FDC7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② 总监理工程师指定专业监理工程师收集与索赔有关的资料；</w:t>
      </w:r>
    </w:p>
    <w:p w14:paraId="602D960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③ 承包人在承包合同规定的期限内向项目监理机构提交对委托人的费用索赔申请表；</w:t>
      </w:r>
    </w:p>
    <w:p w14:paraId="208F9BD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④ 总监理工程师初步审查费用索赔申请表，符合上述</w:t>
      </w:r>
      <w:r>
        <w:rPr>
          <w:rFonts w:hint="eastAsia" w:ascii="宋体" w:hAnsi="宋体" w:eastAsia="宋体" w:cs="宋体"/>
          <w:color w:val="auto"/>
          <w:kern w:val="0"/>
          <w:szCs w:val="21"/>
          <w:highlight w:val="none"/>
          <w:lang w:bidi="ar"/>
        </w:rPr>
        <w:t>b</w:t>
      </w:r>
      <w:r>
        <w:rPr>
          <w:rFonts w:hint="eastAsia" w:ascii="宋体" w:hAnsi="宋体" w:eastAsia="宋体" w:cs="宋体"/>
          <w:snapToGrid w:val="0"/>
          <w:color w:val="auto"/>
          <w:kern w:val="0"/>
          <w:szCs w:val="21"/>
          <w:highlight w:val="none"/>
          <w:lang w:bidi="ar"/>
        </w:rPr>
        <w:t>）款规定的条件时予以受理；</w:t>
      </w:r>
    </w:p>
    <w:p w14:paraId="5A017D6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⑤ 总监理工程师进行费用索赔审查，并在初步确定一个额度后，与承包人和委托人进行协商；</w:t>
      </w:r>
    </w:p>
    <w:p w14:paraId="7F98086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⑥ 总监理工程师应在施工合同规定的期限内签署费用索赔审批表，或在施工合同规定的期限内发出要求承包人提交有关索赔报告的进一步详细资料的通知，待收到承包人提交的详细资料后，按上述的第④、⑤、⑥款的程序进行。</w:t>
      </w:r>
    </w:p>
    <w:p w14:paraId="3305AB2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d）当承包人的费用索赔要求与工程延期要求相关联时，总监理工程师在作出费用索赔的批准决定时，应与工程延期的批准联系起来，综合作出费用索赔和工程延期的决定。</w:t>
      </w:r>
    </w:p>
    <w:p w14:paraId="569E13A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e）由于承包人的原因造成委托人的额外损失，委托人向承包人提出费用索赔时，总监理工程师在审查索赔报告后，应公正地与委托人和承包人进行协商，并及时作出答复。</w:t>
      </w:r>
    </w:p>
    <w:p w14:paraId="31577CA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2）合同争议的调解</w:t>
      </w:r>
    </w:p>
    <w:p w14:paraId="458DA81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a）项目监理机构接到合同争议的调解要求后应进行以下工作：</w:t>
      </w:r>
    </w:p>
    <w:p w14:paraId="461580E4">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① 及时了解合同争议的全部情况，包括进行调查和取证；</w:t>
      </w:r>
    </w:p>
    <w:p w14:paraId="58A147D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② 及时与合同争议的双方进行磋商；</w:t>
      </w:r>
    </w:p>
    <w:p w14:paraId="49490FB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③ 在项目监理机构提出调解方案后，由总监理工程师进行争议调解；</w:t>
      </w:r>
    </w:p>
    <w:p w14:paraId="09B0F72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④ 当调解未能达成一致时，总监理工程师应在施工合同规定的期限内提出处理该合同争议的意见；</w:t>
      </w:r>
    </w:p>
    <w:p w14:paraId="1BEA626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⑤ 在争议调解过程中，除已达到了施工合同规定的暂停履行合同的条件之外，项目监理机构应要求施工合同的双方继续履行施工合同。</w:t>
      </w:r>
    </w:p>
    <w:p w14:paraId="7E0147D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b）在总监理工程师签发合同争议处理意见后，委托人或承包人在施工合同规定的期限内未对合同争议处理决定提出异议，在符合施工合同的前提下，此意见应成为最后的决定，双方必须执行。</w:t>
      </w:r>
    </w:p>
    <w:p w14:paraId="6A01AA4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c）在合同争议的仲裁或诉讼过程中，项目监理机构接到仲裁机关或法院要求提供有关证据的通知后，应公正地向仲裁机关或法院提供与争议有关的证据。</w:t>
      </w:r>
    </w:p>
    <w:p w14:paraId="38B328A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3）合同解除的相关工作</w:t>
      </w:r>
    </w:p>
    <w:p w14:paraId="4ED2568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a）施工合同的解除必须符合法律程序。</w:t>
      </w:r>
    </w:p>
    <w:p w14:paraId="0200519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b）当委托人违约导致施工合同最终解除时，项目监理机构应就承包人按施工合同规定应得到的款项与委托人和承包人进行协商，并应按施工合同的规定从下列应得的款项中确定承包人应得到的全部款项，并书面通知委托人和承包人：</w:t>
      </w:r>
    </w:p>
    <w:p w14:paraId="56DA73E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① 承包人已完成的工程量表中所列的各项工作所应得的款项；</w:t>
      </w:r>
    </w:p>
    <w:p w14:paraId="59B9E59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② 按批准的采购计划订购工程材料、设备、构配件的款项；</w:t>
      </w:r>
    </w:p>
    <w:p w14:paraId="36D1A8F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③ 承包人撤离施工设备至原基地或其他目的地的合理费用；</w:t>
      </w:r>
    </w:p>
    <w:p w14:paraId="692BADE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④ 承包人所有人员的合理遣返费用；</w:t>
      </w:r>
    </w:p>
    <w:p w14:paraId="58AB40C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⑤ 合理的利润补偿；</w:t>
      </w:r>
    </w:p>
    <w:p w14:paraId="77A2E27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⑥ 施工合同规定的委托人应支付的违约金。</w:t>
      </w:r>
    </w:p>
    <w:p w14:paraId="67515EE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c）由于承包人违约导致施工合同终止后，项目监理机构应按下列程序清理承包人的应得款项，或偿还委托人的相关款项，并书面通知委托人和承包人：</w:t>
      </w:r>
    </w:p>
    <w:p w14:paraId="39724B8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① 施工合同终止时，清理承包人已按施工合同规定实际完成的工作所应得的款项和已经得到支付的款项；</w:t>
      </w:r>
    </w:p>
    <w:p w14:paraId="56AF8C1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② 施工现场余留的材料、设备及临时工程的价值；</w:t>
      </w:r>
    </w:p>
    <w:p w14:paraId="6C19C77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③ 对已完工程进行检查和验收、移交工程资料、该部分工程的清理、质量缺陷修复等所需的费用；</w:t>
      </w:r>
    </w:p>
    <w:p w14:paraId="0AF4115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④ 施工合同规定的承包人应支付的违约金；</w:t>
      </w:r>
    </w:p>
    <w:p w14:paraId="193455D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⑤ 总监理工程师按照施工合同的规定，在与委托人和承包人协商后，书面提交承包人应得款项或偿还委托人款项的证明。</w:t>
      </w:r>
    </w:p>
    <w:p w14:paraId="52D746D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d）由于不可抗力或非委托人、承包人原因导致施工合同终止时，项目监理机构应按施工合同规定处理合同解除后的有关事宜。</w:t>
      </w:r>
    </w:p>
    <w:p w14:paraId="1741CC7C">
      <w:pPr>
        <w:adjustRightInd w:val="0"/>
        <w:snapToGrid w:val="0"/>
        <w:spacing w:line="360" w:lineRule="auto"/>
        <w:ind w:firstLine="413" w:firstLineChars="196"/>
        <w:rPr>
          <w:rFonts w:hint="eastAsia" w:ascii="宋体" w:hAnsi="宋体" w:eastAsia="宋体" w:cs="宋体"/>
          <w:b/>
          <w:bCs/>
          <w:color w:val="auto"/>
          <w:kern w:val="0"/>
          <w:szCs w:val="21"/>
          <w:highlight w:val="none"/>
        </w:rPr>
      </w:pPr>
      <w:r>
        <w:rPr>
          <w:rFonts w:hint="eastAsia" w:ascii="宋体" w:hAnsi="宋体" w:eastAsia="宋体" w:cs="宋体"/>
          <w:b/>
          <w:snapToGrid w:val="0"/>
          <w:color w:val="auto"/>
          <w:kern w:val="0"/>
          <w:szCs w:val="21"/>
          <w:highlight w:val="none"/>
          <w:lang w:bidi="ar"/>
        </w:rPr>
        <w:t>4.1.7.7工程</w:t>
      </w:r>
      <w:r>
        <w:rPr>
          <w:rFonts w:hint="eastAsia" w:ascii="宋体" w:hAnsi="宋体" w:eastAsia="宋体" w:cs="宋体"/>
          <w:b/>
          <w:bCs/>
          <w:color w:val="auto"/>
          <w:kern w:val="0"/>
          <w:szCs w:val="21"/>
          <w:highlight w:val="none"/>
          <w:lang w:bidi="ar"/>
        </w:rPr>
        <w:t>信息管理工作</w:t>
      </w:r>
    </w:p>
    <w:p w14:paraId="4BAE0FC0">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项目信息是预测项目未来、决策项目实施方案以及追溯项目实施过程的依据，是项目管理的重要基础资源，监理人要全面掌握信息源，灵活运用信息处理工具，收集相关信息资料。监理人必须进行管理的工程信息资料包括但不限于：</w:t>
      </w:r>
    </w:p>
    <w:p w14:paraId="294742E6">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1）有关政策文件、法规、技术规范、质量标准等。</w:t>
      </w:r>
    </w:p>
    <w:p w14:paraId="35BA6EC9">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2）设计及有关批准文件、图纸会审记录、设计变更设计文件等。</w:t>
      </w:r>
    </w:p>
    <w:p w14:paraId="2EDEAB27">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3）招投标文件、工程建设合同、协议、补充协议等。</w:t>
      </w:r>
    </w:p>
    <w:p w14:paraId="294AB252">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4）与委托人、承包人及工程有关单位之间的往来文件。</w:t>
      </w:r>
    </w:p>
    <w:p w14:paraId="4AED8252">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5）承包人施工组织设计、临时工程设计、方案等资料。</w:t>
      </w:r>
    </w:p>
    <w:p w14:paraId="67100FF3">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6）各种材料报验、材料、构配件、机械设备的技术资料、检测、试验报告等资料。</w:t>
      </w:r>
    </w:p>
    <w:p w14:paraId="6F064A11">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7）各种报验、验收、报告、报表、计量、支付、施工记录、现场签证、质量、进度状况记录等资料。</w:t>
      </w:r>
    </w:p>
    <w:p w14:paraId="6A6616A3">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8）监理日记、巡查、旁站记录、工程照片、事故处理资料、关键的检查资料。</w:t>
      </w:r>
    </w:p>
    <w:p w14:paraId="4DFC855C">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9）监理通知、会议记要、备忘录、合同执行情况、监理月报、监理报告、总结、评估等。</w:t>
      </w:r>
    </w:p>
    <w:p w14:paraId="474203C9">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10）工序验收、检验批验收、分项验收、分部（或子分部）验收、中间验收、竣工验收资料。</w:t>
      </w:r>
    </w:p>
    <w:p w14:paraId="7E9C4247">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11）消防验收、防疫验收、环保验收、装修室内辐射</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空气等专项验收资料。</w:t>
      </w:r>
    </w:p>
    <w:p w14:paraId="21F7CD9F">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12）监理制度、规定与管理办法等内部文件。</w:t>
      </w:r>
    </w:p>
    <w:p w14:paraId="19094800">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13）安全、文明生产控制资料等。</w:t>
      </w:r>
    </w:p>
    <w:p w14:paraId="0EDCAEE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2</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建立信息管理制度，严格信息采集、编排、查阅、归档保存的管理办法，由专人实施。监理资料的管理必须满足以下要求：</w:t>
      </w:r>
    </w:p>
    <w:p w14:paraId="4E4AE8A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1）监理资料必须及时整理、真实完整、分类有序。</w:t>
      </w:r>
    </w:p>
    <w:p w14:paraId="500E200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2）监理资料的管理应由总监理工程师负责，并指定专人具体实施。</w:t>
      </w:r>
    </w:p>
    <w:p w14:paraId="3E26F42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3）监理资料应在各阶段监理工作结束后及时整理归档。</w:t>
      </w:r>
    </w:p>
    <w:p w14:paraId="2FE322F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4）监理档案的编制及保存应按有关规定执行。</w:t>
      </w:r>
    </w:p>
    <w:p w14:paraId="74B26A75">
      <w:pPr>
        <w:keepNext/>
        <w:keepLines/>
        <w:tabs>
          <w:tab w:val="left" w:pos="540"/>
        </w:tabs>
        <w:spacing w:before="60" w:after="60" w:line="415" w:lineRule="auto"/>
        <w:ind w:left="1304" w:hanging="737"/>
        <w:jc w:val="left"/>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）计算机信息管理</w:t>
      </w:r>
    </w:p>
    <w:p w14:paraId="3CF2FF23">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监理人应及时准确地按委托人和监理工程师所要求的时限、内容和格式将相关工程信息录入并传递给委托人和监理工程师。监理人如未能按委托人的规定将信息录入或传递给委托人，可以成为委托人缓付或停付工程进度款的理由。</w:t>
      </w:r>
    </w:p>
    <w:p w14:paraId="0037AB91">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4</w:t>
      </w:r>
      <w:r>
        <w:rPr>
          <w:rFonts w:hint="eastAsia" w:ascii="宋体" w:hAnsi="宋体" w:eastAsia="宋体" w:cs="宋体"/>
          <w:snapToGrid w:val="0"/>
          <w:color w:val="auto"/>
          <w:kern w:val="0"/>
          <w:szCs w:val="21"/>
          <w:highlight w:val="none"/>
          <w:lang w:bidi="ar"/>
        </w:rPr>
        <w:t>）对所收集的信息必须进行分析，确保其准确、全面、来源可靠，且要求为正式资料。</w:t>
      </w:r>
    </w:p>
    <w:p w14:paraId="3CC949A8">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5</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及时将采集到的信息进行筛选分类，分别通报给有关领导、职能部门和有关人员审阅和签署意见。</w:t>
      </w:r>
    </w:p>
    <w:p w14:paraId="0EF7BA47">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6</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建立主体数据库系统结构，及时对信息分类保存、要求列名事件、题目、来源、概要、经办人或其他基本情况。</w:t>
      </w:r>
    </w:p>
    <w:p w14:paraId="4B8E147E">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7</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对信息资料收集和反馈进行跟踪，对信息进行动态管理。</w:t>
      </w:r>
    </w:p>
    <w:p w14:paraId="61F75ED6">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8</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涉及国家机密或各单位商业秘密的信息资料保管工作应制订保密管理细则，防止机密泄漏，避免造成经济损失和政治影响。</w:t>
      </w:r>
    </w:p>
    <w:p w14:paraId="65F17CA0">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9</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有保留价值的信息，经请示有关领导后可以消除，但应做好登记。</w:t>
      </w:r>
    </w:p>
    <w:p w14:paraId="7784603B">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10</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工程结束后，信息的保管与处理按有关规定进行整理存档、移交，并办理好移交签收手续。</w:t>
      </w:r>
    </w:p>
    <w:p w14:paraId="4AD54076">
      <w:pPr>
        <w:adjustRightInd w:val="0"/>
        <w:snapToGrid w:val="0"/>
        <w:spacing w:line="360" w:lineRule="auto"/>
        <w:ind w:firstLine="413" w:firstLineChars="196"/>
        <w:rPr>
          <w:rFonts w:hint="eastAsia" w:ascii="宋体" w:hAnsi="宋体" w:eastAsia="宋体" w:cs="宋体"/>
          <w:b/>
          <w:bCs/>
          <w:color w:val="auto"/>
          <w:kern w:val="0"/>
          <w:szCs w:val="21"/>
          <w:highlight w:val="none"/>
        </w:rPr>
      </w:pPr>
      <w:r>
        <w:rPr>
          <w:rFonts w:hint="eastAsia" w:ascii="宋体" w:hAnsi="宋体" w:eastAsia="宋体" w:cs="宋体"/>
          <w:b/>
          <w:snapToGrid w:val="0"/>
          <w:color w:val="auto"/>
          <w:kern w:val="0"/>
          <w:szCs w:val="21"/>
          <w:highlight w:val="none"/>
          <w:lang w:bidi="ar"/>
        </w:rPr>
        <w:t>4.1.7.8工程</w:t>
      </w:r>
      <w:r>
        <w:rPr>
          <w:rFonts w:hint="eastAsia" w:ascii="宋体" w:hAnsi="宋体" w:eastAsia="宋体" w:cs="宋体"/>
          <w:b/>
          <w:bCs/>
          <w:color w:val="auto"/>
          <w:kern w:val="0"/>
          <w:szCs w:val="21"/>
          <w:highlight w:val="none"/>
          <w:lang w:bidi="ar"/>
        </w:rPr>
        <w:t>项目沟通与协调</w:t>
      </w:r>
    </w:p>
    <w:p w14:paraId="2F3E619F">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建立项目沟通与协调管理系统，健全各项制度，并本着“严格守法、遵守公德”的原则，以维护各相关方的利益为前提，应用先进、实用的方法和手段，有效解决项目实施过程中的问题。</w:t>
      </w:r>
    </w:p>
    <w:p w14:paraId="3CBFBA3A">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2</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制定项目沟通管理计划，按内容分主要有：施工进度、质量、安全、成本、资金、环保、设计变更、索赔、材料供应、设备使用、人力资源、文明工地建设、思想政治工作等；按时间分主要有：项目管理实施规划、年度计划、半年计划、季度计划、月计划、旬计划、周计划等。</w:t>
      </w:r>
    </w:p>
    <w:p w14:paraId="1FAFE9C6">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项目沟通管理计划明确沟通的具体内容、对象、方式、目标、责任人、完成时间、奖罚措施等，并定期或不定期地进行检查、考核和评价，确保沟通计划落到实处。</w:t>
      </w:r>
    </w:p>
    <w:p w14:paraId="48629184">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4</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14:paraId="726197A9">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5</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定期组织召开建设单位、设计、监理、质监站、安监站、承包人参加的工地现场会，协调施工过程中出现的各种矛盾和问题，会前一日，就质量、安全</w:t>
      </w:r>
      <w:r>
        <w:rPr>
          <w:rFonts w:hint="eastAsia" w:ascii="宋体" w:hAnsi="宋体" w:eastAsia="宋体" w:cs="宋体"/>
          <w:snapToGrid w:val="0"/>
          <w:color w:val="auto"/>
          <w:kern w:val="0"/>
          <w:szCs w:val="21"/>
          <w:highlight w:val="none"/>
          <w:u w:val="single"/>
          <w:lang w:bidi="ar"/>
        </w:rPr>
        <w:t>、</w:t>
      </w:r>
      <w:r>
        <w:rPr>
          <w:rFonts w:hint="eastAsia" w:ascii="宋体" w:hAnsi="宋体" w:eastAsia="宋体" w:cs="宋体"/>
          <w:snapToGrid w:val="0"/>
          <w:color w:val="auto"/>
          <w:kern w:val="0"/>
          <w:szCs w:val="21"/>
          <w:highlight w:val="none"/>
          <w:lang w:bidi="ar"/>
        </w:rPr>
        <w:t>进度、资金、技术、材料等需要协调的问题等议题征求意见，分送有关单位，以便会前做好充分准备，会后写出会议纪要发与会各单位，并督促执行。</w:t>
      </w:r>
    </w:p>
    <w:p w14:paraId="3A92FEEA">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6</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妥善处理各分项工程之间的施工配合，要求各承包人提出需要配合的问题，如施工场地的要求、施工用水、用电、交叉作业的相互影响，施工收口处理、建筑成品保护要求及需要采取的配合措施等。</w:t>
      </w:r>
    </w:p>
    <w:p w14:paraId="3F545165">
      <w:pPr>
        <w:adjustRightInd w:val="0"/>
        <w:snapToGrid w:val="0"/>
        <w:spacing w:line="360" w:lineRule="auto"/>
        <w:ind w:firstLine="413" w:firstLineChars="196"/>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4.1.7.9 环境管理工作</w:t>
      </w:r>
    </w:p>
    <w:p w14:paraId="4BE63417">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监理人应对施工过程中影响环境的活动进行监督管理，以满足相关的法律法规对环境保护的要求。监理人环境管理工作的主要工作内容如下：</w:t>
      </w:r>
    </w:p>
    <w:p w14:paraId="3DEB2F93">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）制定相关的监督检查工作的程序及制度提交委托人及政府相关部门核准；</w:t>
      </w:r>
    </w:p>
    <w:p w14:paraId="25511B6F">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　　（</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）根据相关的法律、法规、制度及程序等，对工程建设过程中污染环境、破坏生态的行为进行监督管理，如噪声、废气、污水等污染物排放应达标、减少水土流失和生态环境破坏；</w:t>
      </w:r>
    </w:p>
    <w:p w14:paraId="61D10239">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）对配套的环保工程进行施工监理，如对水处理设施、声屏障、绿化工程、水源保护区的保护等进行监理。</w:t>
      </w:r>
    </w:p>
    <w:p w14:paraId="2143447C">
      <w:pPr>
        <w:adjustRightInd w:val="0"/>
        <w:snapToGrid w:val="0"/>
        <w:spacing w:line="360" w:lineRule="auto"/>
        <w:ind w:firstLine="422" w:firstLineChars="200"/>
        <w:rPr>
          <w:rFonts w:hint="eastAsia" w:ascii="宋体" w:hAnsi="宋体" w:eastAsia="宋体" w:cs="宋体"/>
          <w:bCs/>
          <w:snapToGrid w:val="0"/>
          <w:color w:val="auto"/>
          <w:kern w:val="0"/>
          <w:szCs w:val="21"/>
          <w:highlight w:val="none"/>
        </w:rPr>
      </w:pPr>
      <w:r>
        <w:rPr>
          <w:rFonts w:hint="eastAsia" w:ascii="宋体" w:hAnsi="宋体" w:eastAsia="宋体" w:cs="宋体"/>
          <w:b/>
          <w:snapToGrid w:val="0"/>
          <w:color w:val="auto"/>
          <w:kern w:val="0"/>
          <w:szCs w:val="21"/>
          <w:highlight w:val="none"/>
          <w:lang w:bidi="ar"/>
        </w:rPr>
        <w:t>4.1.7.10提交监理周报、月报</w:t>
      </w:r>
    </w:p>
    <w:p w14:paraId="6477E1C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监理周</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月报应包括以下内容：</w:t>
      </w:r>
    </w:p>
    <w:p w14:paraId="21BC6D4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）本周</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月工程概况；</w:t>
      </w:r>
    </w:p>
    <w:p w14:paraId="520E3CB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）本周</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月工程形象进度；</w:t>
      </w:r>
    </w:p>
    <w:p w14:paraId="068599C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）工程进度：</w:t>
      </w:r>
    </w:p>
    <w:p w14:paraId="786C972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1)本周</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月实际完成情况与计划进度比较；</w:t>
      </w:r>
    </w:p>
    <w:p w14:paraId="6BF80C6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2)对进度完成情况及采取措施效果的分析。</w:t>
      </w:r>
    </w:p>
    <w:p w14:paraId="36DA082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4</w:t>
      </w:r>
      <w:r>
        <w:rPr>
          <w:rFonts w:hint="eastAsia" w:ascii="宋体" w:hAnsi="宋体" w:eastAsia="宋体" w:cs="宋体"/>
          <w:snapToGrid w:val="0"/>
          <w:color w:val="auto"/>
          <w:kern w:val="0"/>
          <w:szCs w:val="21"/>
          <w:highlight w:val="none"/>
          <w:lang w:bidi="ar"/>
        </w:rPr>
        <w:t>）工程质量：</w:t>
      </w:r>
    </w:p>
    <w:p w14:paraId="418E67D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1)本周</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月工程质量情况分析；</w:t>
      </w:r>
    </w:p>
    <w:p w14:paraId="00C67B9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2)本周</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月采取的工程质量措施及效果。</w:t>
      </w:r>
    </w:p>
    <w:p w14:paraId="5219AB5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5</w:t>
      </w:r>
      <w:r>
        <w:rPr>
          <w:rFonts w:hint="eastAsia" w:ascii="宋体" w:hAnsi="宋体" w:eastAsia="宋体" w:cs="宋体"/>
          <w:snapToGrid w:val="0"/>
          <w:color w:val="auto"/>
          <w:kern w:val="0"/>
          <w:szCs w:val="21"/>
          <w:highlight w:val="none"/>
          <w:lang w:bidi="ar"/>
        </w:rPr>
        <w:t>）工程计量与工程款支付：</w:t>
      </w:r>
    </w:p>
    <w:p w14:paraId="189DBBB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1)工程量审核情况；</w:t>
      </w:r>
    </w:p>
    <w:p w14:paraId="563087A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2)工程款审批情况及支付情况；</w:t>
      </w:r>
    </w:p>
    <w:p w14:paraId="27CF7C4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3)工程款支付情况分析；</w:t>
      </w:r>
    </w:p>
    <w:p w14:paraId="35DD3F7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4)本周</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月采取的措施及效果。</w:t>
      </w:r>
    </w:p>
    <w:p w14:paraId="55204DD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6</w:t>
      </w:r>
      <w:r>
        <w:rPr>
          <w:rFonts w:hint="eastAsia" w:ascii="宋体" w:hAnsi="宋体" w:eastAsia="宋体" w:cs="宋体"/>
          <w:snapToGrid w:val="0"/>
          <w:color w:val="auto"/>
          <w:kern w:val="0"/>
          <w:szCs w:val="21"/>
          <w:highlight w:val="none"/>
          <w:lang w:bidi="ar"/>
        </w:rPr>
        <w:t>）合同其他事项的处理情况：</w:t>
      </w:r>
    </w:p>
    <w:p w14:paraId="2D7D880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1)工程变更；</w:t>
      </w:r>
    </w:p>
    <w:p w14:paraId="75C4EBE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2)工程延期；</w:t>
      </w:r>
    </w:p>
    <w:p w14:paraId="2FD15D2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3)费用索赔。</w:t>
      </w:r>
    </w:p>
    <w:p w14:paraId="07630C1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7</w:t>
      </w:r>
      <w:r>
        <w:rPr>
          <w:rFonts w:hint="eastAsia" w:ascii="宋体" w:hAnsi="宋体" w:eastAsia="宋体" w:cs="宋体"/>
          <w:snapToGrid w:val="0"/>
          <w:color w:val="auto"/>
          <w:kern w:val="0"/>
          <w:szCs w:val="21"/>
          <w:highlight w:val="none"/>
          <w:lang w:bidi="ar"/>
        </w:rPr>
        <w:t>）本周</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月职业健康安全及环境等情况的综合评价及相关意见或建议。</w:t>
      </w:r>
    </w:p>
    <w:p w14:paraId="75404BC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8</w:t>
      </w:r>
      <w:r>
        <w:rPr>
          <w:rFonts w:hint="eastAsia" w:ascii="宋体" w:hAnsi="宋体" w:eastAsia="宋体" w:cs="宋体"/>
          <w:snapToGrid w:val="0"/>
          <w:color w:val="auto"/>
          <w:kern w:val="0"/>
          <w:szCs w:val="21"/>
          <w:highlight w:val="none"/>
          <w:lang w:bidi="ar"/>
        </w:rPr>
        <w:t>）本周</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月监理工作小结：</w:t>
      </w:r>
    </w:p>
    <w:p w14:paraId="34CE232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1)对本周</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月进度、质量、工程款支付、安全文明施工等方面情况的综合评价；</w:t>
      </w:r>
    </w:p>
    <w:p w14:paraId="7C7ABDE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2)本周</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月监理工作情况；</w:t>
      </w:r>
    </w:p>
    <w:p w14:paraId="553DD82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3)有关本工程的意见和建议；</w:t>
      </w:r>
    </w:p>
    <w:p w14:paraId="2642753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4)下周</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月监理工作的重点。</w:t>
      </w:r>
    </w:p>
    <w:p w14:paraId="132AF51D">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监理周</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月报应由总监理工程师组织编制及签认，签认后报委托人和本监理人总部。</w:t>
      </w:r>
    </w:p>
    <w:p w14:paraId="60106B89">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4.1.7.11施工阶段的其他监理工作</w:t>
      </w:r>
    </w:p>
    <w:p w14:paraId="3810B3A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）工地例会</w:t>
      </w:r>
    </w:p>
    <w:p w14:paraId="659EBDE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1）在施工过程中，总监理工程师应定期主持召开工地例会。工地例会应按委托人提供的例会细则执行。会议纪要应由项目监理机构负责起草，并经与会各方代表会签。</w:t>
      </w:r>
    </w:p>
    <w:p w14:paraId="6841C89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2）工地例会应包括以下主要内容：</w:t>
      </w:r>
    </w:p>
    <w:p w14:paraId="6EC8859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① 检查上次例会议定事项的落实情况，分析未完事项原因；</w:t>
      </w:r>
    </w:p>
    <w:p w14:paraId="1A9F432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② 检查分析工程项目进度计划完成情况，提出下一阶段进度目标及其落实措施；</w:t>
      </w:r>
    </w:p>
    <w:p w14:paraId="48DD98C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③ 检查分析工程项目质量状况，针对存在的质量问题提出改进措施；</w:t>
      </w:r>
    </w:p>
    <w:p w14:paraId="4D1B660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④ 检查工程量核定及工程款支付情况；</w:t>
      </w:r>
    </w:p>
    <w:p w14:paraId="1725079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⑤ 检讨工作联系单的相关内容的执行情况，解决需要协调的有关事项；</w:t>
      </w:r>
    </w:p>
    <w:p w14:paraId="01ABFE1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⑥ 本周职业健康安全及环境、文明施工等方面的综合情况，解决需要协调的有关事项。</w:t>
      </w:r>
    </w:p>
    <w:p w14:paraId="7F8A301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⑦ 其他有关事宜。</w:t>
      </w:r>
    </w:p>
    <w:p w14:paraId="795FEF6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3）总监理工程师或专业监理工程师应根据需要及时组织专题会议，解决施工过程中的各种专项问题。</w:t>
      </w:r>
    </w:p>
    <w:p w14:paraId="725F01E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4）对于工地例会上提出的有关设计问题，监理人应积极把关控制，不应随意对相关问题做出定论。工地例会上的相关结论必须以设计变更的方式确定后方可实施。</w:t>
      </w:r>
    </w:p>
    <w:p w14:paraId="58C891A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）工程暂停及复工的相关工作</w:t>
      </w:r>
    </w:p>
    <w:p w14:paraId="4677836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1）总监理工程师在签发工程暂停令时，应根据暂停工程的影响范围和影响程度，按照施工合同和委托监理合同的约定签发。</w:t>
      </w:r>
    </w:p>
    <w:p w14:paraId="438522A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2）在发生下列情况之一时，总监理工程师可签发工程暂停令：</w:t>
      </w:r>
    </w:p>
    <w:p w14:paraId="3AFC617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① 委托人要求暂停施工且工程需要暂停施工；</w:t>
      </w:r>
    </w:p>
    <w:p w14:paraId="0051FF4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② 为了保证工程质量而需要进行停工处理；</w:t>
      </w:r>
    </w:p>
    <w:p w14:paraId="16FBF36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③ 施工出现了安全隐患，总监理工程师认为有必要停工以消除隐患；</w:t>
      </w:r>
    </w:p>
    <w:p w14:paraId="621484B4">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④ 发生了必须暂时停止施工的紧急事件；</w:t>
      </w:r>
    </w:p>
    <w:p w14:paraId="4CC44F6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⑤ 承包人未经许可擅自施工或拒绝项目监理机构管理。</w:t>
      </w:r>
    </w:p>
    <w:p w14:paraId="35EB0724">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3）总监理工程师在签发工程暂停令时，应根据停工原因的影响范围和影响程度，确定工程项目停工范围。</w:t>
      </w:r>
    </w:p>
    <w:p w14:paraId="3A62F88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4）由于非承包人且非上述</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）项中②、③、④、⑤款原因时，总监理工程师在签发工程暂停令之前，应就有关工期和费用等事宜与承包人进行协商。</w:t>
      </w:r>
    </w:p>
    <w:p w14:paraId="01BAFBF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5）由于委托人原因或其他非承包人原因导致工程暂停时，项目监理机构应如实记录所发生的实际情况。总监理工程师应在施工暂停原因消失、具备复工条件时，及时签署工程复工报审表，指令承包人继续施工。</w:t>
      </w:r>
    </w:p>
    <w:p w14:paraId="7C5067A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6）由于承包人原因导致工程暂停，在具备恢复施工条件时，项目监理机构应审查承包人报送的复工申请及有关材料，同意后由总监理工程师签署工程复工报审表，指令承包人继续施工。</w:t>
      </w:r>
    </w:p>
    <w:p w14:paraId="52E0A97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7）总监理工程师在签发工程暂停令到签发工程复工报审表之间的时间内，应会同有关各方按照施工合同的约定，处理因工程暂停引起的与工期、费用等有关的问题。</w:t>
      </w:r>
    </w:p>
    <w:p w14:paraId="27C7743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）工程延期及工程延误的处理工作</w:t>
      </w:r>
    </w:p>
    <w:p w14:paraId="28008624">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1）当承包人提出工程延期要求符合施工合同文件的规定条件时，项目监理机构应予以受理。</w:t>
      </w:r>
    </w:p>
    <w:p w14:paraId="1BD3196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当影响工期事件具有持续性时，项目监理机构可在收到承包人提交的阶段性工程延期申请表并经过审查后，先由总监理工程师签署工程临时延期审批表并通报委托人。当承包人提交最终的工程延期申请表后，项目监理机构应复查工程延期及临时延期情况，并由总监理工程师签署工程最终延期审批表。</w:t>
      </w:r>
    </w:p>
    <w:p w14:paraId="3E89D4C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3）项目监理机构在作出临时工程延期批准或最终的工程延期批准之前，均应与委托人和承包人进行协商。</w:t>
      </w:r>
    </w:p>
    <w:p w14:paraId="363E1E7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4）项目监理机构在审查工程延期时，应依下列情况确定批准工程延期的时间：</w:t>
      </w:r>
    </w:p>
    <w:p w14:paraId="3594635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① 施工合同中有关工程延期的约定；</w:t>
      </w:r>
    </w:p>
    <w:p w14:paraId="631FCB5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② 工期拖延和影响工期事件的事实和程度；</w:t>
      </w:r>
    </w:p>
    <w:p w14:paraId="7F8C24B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③ 影响工期事件对工期影响的量化程度。</w:t>
      </w:r>
    </w:p>
    <w:p w14:paraId="58D9BBE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5）工程延期造成承包人提出费用索赔时，项目监理机构应按本条</w:t>
      </w:r>
      <w:r>
        <w:rPr>
          <w:rFonts w:hint="eastAsia" w:ascii="宋体" w:hAnsi="宋体" w:eastAsia="宋体" w:cs="宋体"/>
          <w:color w:val="auto"/>
          <w:kern w:val="0"/>
          <w:szCs w:val="21"/>
          <w:highlight w:val="none"/>
          <w:lang w:bidi="ar"/>
        </w:rPr>
        <w:t>4.1.3.6-</w:t>
      </w: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10</w:t>
      </w: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）款的约定处理。</w:t>
      </w:r>
    </w:p>
    <w:p w14:paraId="5234B02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6）当承包人未能按照施工合同要求的工期竣工交付造成工期延误时，项目监理机构应按施工合同规定从承包人应得款项中扣除误期损害赔偿费。</w:t>
      </w:r>
    </w:p>
    <w:p w14:paraId="72257D80">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4.1.8工程收尾阶段的监理工作（包括但不限于以下内容）</w:t>
      </w:r>
    </w:p>
    <w:p w14:paraId="605917F6">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4.1.8.1工程收尾阶段包括竣工扫尾、验收、整改、移交、结算、考核评价等方面的管理。监理人应制定工作计划，提出各项管理要求。项目结束阶段管理应包括以下内容：</w:t>
      </w:r>
    </w:p>
    <w:p w14:paraId="037399EC">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项目的竣工扫尾；</w:t>
      </w:r>
    </w:p>
    <w:p w14:paraId="5313CB4D">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2</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项目的竣工验收、整改及移交；</w:t>
      </w:r>
    </w:p>
    <w:p w14:paraId="25F34069">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项目的竣工结算；</w:t>
      </w:r>
    </w:p>
    <w:p w14:paraId="71B96B10">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4</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项目的回访保修；</w:t>
      </w:r>
    </w:p>
    <w:p w14:paraId="14B6CD60">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5</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snapToGrid w:val="0"/>
          <w:color w:val="auto"/>
          <w:kern w:val="0"/>
          <w:szCs w:val="21"/>
          <w:highlight w:val="none"/>
          <w:lang w:bidi="ar"/>
        </w:rPr>
        <w:t>项目的考核评价。</w:t>
      </w:r>
    </w:p>
    <w:p w14:paraId="03798C0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4.1.8.2竣工验收</w:t>
      </w:r>
    </w:p>
    <w:p w14:paraId="5CDECEC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总监理工程师应组织专业监理工程师，依据有关法律、法规、工程建设强制性标准、设计文件及施工合同，对承包人报送的竣工资料进行审查，并对工程质量进行竣工预验收。对存在的问题，应及时要求承包人整改。整改完毕由总监理工程师签署工程竣工报验单，并应在此基础上提出工程质量评估报告。工程质量评估报告应经总监理工程师和监理人技术负责人审核签名。</w:t>
      </w:r>
    </w:p>
    <w:p w14:paraId="37066AC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项目监理机构应参加由委托人组织的竣工验收，并提供相关监理资料。对验收中提出的整改问题，项目监理机构应要求承包人进行整改。工程质量符合要求，由总监理工程师会同参加验收的各方签署竣工验收报告。</w:t>
      </w:r>
    </w:p>
    <w:p w14:paraId="1D43A13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）组织或协助委托人、承包人和产权管理单位对项目进行移交。</w:t>
      </w:r>
    </w:p>
    <w:p w14:paraId="33A86C3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4</w:t>
      </w:r>
      <w:r>
        <w:rPr>
          <w:rFonts w:hint="eastAsia" w:ascii="宋体" w:hAnsi="宋体" w:eastAsia="宋体" w:cs="宋体"/>
          <w:snapToGrid w:val="0"/>
          <w:color w:val="auto"/>
          <w:kern w:val="0"/>
          <w:szCs w:val="21"/>
          <w:highlight w:val="none"/>
          <w:lang w:bidi="ar"/>
        </w:rPr>
        <w:t>）根据现场的实际竣工情况对承包人提交的竣工图纸（包括设备移交资料等）进行复核确认。</w:t>
      </w:r>
    </w:p>
    <w:p w14:paraId="28899AB9">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snapToGrid w:val="0"/>
          <w:color w:val="auto"/>
          <w:kern w:val="0"/>
          <w:szCs w:val="21"/>
          <w:highlight w:val="none"/>
          <w:lang w:bidi="ar"/>
        </w:rPr>
        <w:t>4.1.8.3审核竣工结算</w:t>
      </w:r>
    </w:p>
    <w:p w14:paraId="2ACAC9B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）结算的总体要求</w:t>
      </w:r>
    </w:p>
    <w:p w14:paraId="189DDFF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监理人应根据有关合同约定及工程进展的实际情况，于竣工后</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周内编制工程竣工结算计划报委托人批准后实施。监理人负责组织有关单位按核准的结算计划中的时间要求提交竣工结算书及竣工结算资料。</w:t>
      </w:r>
    </w:p>
    <w:p w14:paraId="4D31EAE4">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）工程结算资料必须实事求是、完整、真实准确，并按财政评审部门的要求及时提交。</w:t>
      </w:r>
    </w:p>
    <w:p w14:paraId="5074D9C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）财政评审部门结算审核过程中的相关工作</w:t>
      </w:r>
    </w:p>
    <w:p w14:paraId="298DB21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1）监理人应积极组织并督促承包人配合政府主管部门对本合同工程结算书（结算资料）的审核工作，以推动结算工作的顺利进行。</w:t>
      </w:r>
    </w:p>
    <w:p w14:paraId="5466663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2）监理人应按委托人要求，派出相关人员参加政府主管部门组织的针对本合同工程结算审核工作的相关会议（如结算工作会议、结算工程量核对会议等）。</w:t>
      </w:r>
    </w:p>
    <w:p w14:paraId="47056584">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3）监理人应根据政府主管部门对本合同工程结算提出的意见，向委托人提出解决本合同工程结算争议的合理建议。</w:t>
      </w:r>
    </w:p>
    <w:p w14:paraId="503657A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4.1.8.4提交监理工作总结</w:t>
      </w:r>
    </w:p>
    <w:p w14:paraId="728B4E9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监理工作结束时，监理人应向委托人提交监理工作总结。监理工作总结包括但不限于以下内容：</w:t>
      </w:r>
    </w:p>
    <w:p w14:paraId="48B5344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）工程概况；</w:t>
      </w:r>
    </w:p>
    <w:p w14:paraId="1150A12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）监理组织机构、监理人员和投入的监理设施；</w:t>
      </w:r>
    </w:p>
    <w:p w14:paraId="78DDD3A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）监理合同履行情况；</w:t>
      </w:r>
    </w:p>
    <w:p w14:paraId="386FCD1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4</w:t>
      </w:r>
      <w:r>
        <w:rPr>
          <w:rFonts w:hint="eastAsia" w:ascii="宋体" w:hAnsi="宋体" w:eastAsia="宋体" w:cs="宋体"/>
          <w:snapToGrid w:val="0"/>
          <w:color w:val="auto"/>
          <w:kern w:val="0"/>
          <w:szCs w:val="21"/>
          <w:highlight w:val="none"/>
          <w:lang w:bidi="ar"/>
        </w:rPr>
        <w:t>）监理工作成效；</w:t>
      </w:r>
    </w:p>
    <w:p w14:paraId="14FCFAC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5</w:t>
      </w:r>
      <w:r>
        <w:rPr>
          <w:rFonts w:hint="eastAsia" w:ascii="宋体" w:hAnsi="宋体" w:eastAsia="宋体" w:cs="宋体"/>
          <w:snapToGrid w:val="0"/>
          <w:color w:val="auto"/>
          <w:kern w:val="0"/>
          <w:szCs w:val="21"/>
          <w:highlight w:val="none"/>
          <w:lang w:bidi="ar"/>
        </w:rPr>
        <w:t>）施工过程中出现的问题及其处理情况和建议；</w:t>
      </w:r>
    </w:p>
    <w:p w14:paraId="7A1F6EB4">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6</w:t>
      </w:r>
      <w:r>
        <w:rPr>
          <w:rFonts w:hint="eastAsia" w:ascii="宋体" w:hAnsi="宋体" w:eastAsia="宋体" w:cs="宋体"/>
          <w:snapToGrid w:val="0"/>
          <w:color w:val="auto"/>
          <w:kern w:val="0"/>
          <w:szCs w:val="21"/>
          <w:highlight w:val="none"/>
          <w:lang w:bidi="ar"/>
        </w:rPr>
        <w:t>）工程照片</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有必要时</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w:t>
      </w:r>
    </w:p>
    <w:p w14:paraId="634C6025">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4.1.9工程质量保修期的监理工作</w:t>
      </w:r>
    </w:p>
    <w:p w14:paraId="1EED937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）监理人应依据委托监理合同约定的工程质量保修期监理工作的时间、范围和内容开展工作。</w:t>
      </w:r>
    </w:p>
    <w:p w14:paraId="137B771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）承担质量保修期监理工作时，监理人应安排监理人员对委托人提出的工程质量缺陷进行检查和记录，对承包人进行修复的工程质量进行验收，合格后予以签认。</w:t>
      </w:r>
    </w:p>
    <w:p w14:paraId="32A43432">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）监理人员应对工程质量缺陷原因进行调查分析并确定责任归属，对非承包人原因造成的工程质量缺陷，监理人员应核实修复工程的费用和签署工程款支付证书，并报委托人。</w:t>
      </w:r>
    </w:p>
    <w:p w14:paraId="073EE207">
      <w:pPr>
        <w:autoSpaceDE w:val="0"/>
        <w:autoSpaceDN w:val="0"/>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4.2项目监理机构</w:t>
      </w:r>
    </w:p>
    <w:p w14:paraId="3F510827">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4.2.1项目监理机构</w:t>
      </w:r>
    </w:p>
    <w:p w14:paraId="21E6727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）监理人必须在施工现场建立项目监理机构。项目监理机构在完成委托监理合同约定的监理工作后可撤离施工现场。</w:t>
      </w:r>
    </w:p>
    <w:p w14:paraId="6F00834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）监理人必须在委托人发出进场通知后，按委托人具体的要求进场，并立即开始履行本合同约定的服务。监理人必须按照其投标文件和监理规划的承诺，足额、按时派驻监理人员和投入设备。</w:t>
      </w:r>
    </w:p>
    <w:p w14:paraId="287DC9C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）监理人员应包括总监理工程师、专业监理工程师和监理员，必要时可配备总监理工程师代表。</w:t>
      </w:r>
    </w:p>
    <w:p w14:paraId="482A473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4</w:t>
      </w:r>
      <w:r>
        <w:rPr>
          <w:rFonts w:hint="eastAsia" w:ascii="宋体" w:hAnsi="宋体" w:eastAsia="宋体" w:cs="宋体"/>
          <w:snapToGrid w:val="0"/>
          <w:color w:val="auto"/>
          <w:kern w:val="0"/>
          <w:szCs w:val="21"/>
          <w:highlight w:val="none"/>
          <w:lang w:bidi="ar"/>
        </w:rPr>
        <w:t>）项目监理机构的监理人员应专业配套、数量满足工程项目监理工作的需要，保证足够的监理人员从事要求的施工准备期至工程收尾、工程整改、工程竣工、工程移交、工程结算、工程竣工备案、工程质量保修期的监理工作。</w:t>
      </w:r>
    </w:p>
    <w:p w14:paraId="2507AB8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5</w:t>
      </w:r>
      <w:r>
        <w:rPr>
          <w:rFonts w:hint="eastAsia" w:ascii="宋体" w:hAnsi="宋体" w:eastAsia="宋体" w:cs="宋体"/>
          <w:snapToGrid w:val="0"/>
          <w:color w:val="auto"/>
          <w:kern w:val="0"/>
          <w:szCs w:val="21"/>
          <w:highlight w:val="none"/>
          <w:lang w:bidi="ar"/>
        </w:rPr>
        <w:t>）监理人派驻到项目所在地履行监理服务的监理人员，必须常驻现场。</w:t>
      </w:r>
    </w:p>
    <w:p w14:paraId="20366E4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6</w:t>
      </w:r>
      <w:r>
        <w:rPr>
          <w:rFonts w:hint="eastAsia" w:ascii="宋体" w:hAnsi="宋体" w:eastAsia="宋体" w:cs="宋体"/>
          <w:snapToGrid w:val="0"/>
          <w:color w:val="auto"/>
          <w:kern w:val="0"/>
          <w:szCs w:val="21"/>
          <w:highlight w:val="none"/>
          <w:lang w:bidi="ar"/>
        </w:rPr>
        <w:t>）考虑到本合同项目的重要性、特殊性、复杂性，委托人将监理人的人员落实、驻场人员的到位作为监理管理工作考核的内容之一。如监理人的人员投入、驻场工作的安排、落实，未能达到合同要求，委托人将严格按本合同的相关约定作出处理。</w:t>
      </w:r>
    </w:p>
    <w:p w14:paraId="5C1A1D0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7</w:t>
      </w:r>
      <w:r>
        <w:rPr>
          <w:rFonts w:hint="eastAsia" w:ascii="宋体" w:hAnsi="宋体" w:eastAsia="宋体" w:cs="宋体"/>
          <w:snapToGrid w:val="0"/>
          <w:color w:val="auto"/>
          <w:kern w:val="0"/>
          <w:szCs w:val="21"/>
          <w:highlight w:val="none"/>
          <w:lang w:bidi="ar"/>
        </w:rPr>
        <w:t>）监理人必须保证参与本项目监理人员的稳定性，未征得委托人同意不可撤换，否则必须承担相应责任。监理人因工作安排或其他原因，需要更换派驻到项目所在地履行监理服务的主要监理人员的，应事先得到委托人的同意。</w:t>
      </w:r>
    </w:p>
    <w:p w14:paraId="50E47F0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8</w:t>
      </w:r>
      <w:r>
        <w:rPr>
          <w:rFonts w:hint="eastAsia" w:ascii="宋体" w:hAnsi="宋体" w:eastAsia="宋体" w:cs="宋体"/>
          <w:snapToGrid w:val="0"/>
          <w:color w:val="auto"/>
          <w:kern w:val="0"/>
          <w:szCs w:val="21"/>
          <w:highlight w:val="none"/>
          <w:lang w:bidi="ar"/>
        </w:rPr>
        <w:t>）委托人有权以书面形式要求监理人更换不能按照本合同约定履行监理服务的派驻人员。</w:t>
      </w:r>
    </w:p>
    <w:p w14:paraId="1DD7271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9</w:t>
      </w:r>
      <w:r>
        <w:rPr>
          <w:rFonts w:hint="eastAsia" w:ascii="宋体" w:hAnsi="宋体" w:eastAsia="宋体" w:cs="宋体"/>
          <w:snapToGrid w:val="0"/>
          <w:color w:val="auto"/>
          <w:kern w:val="0"/>
          <w:szCs w:val="21"/>
          <w:highlight w:val="none"/>
          <w:lang w:bidi="ar"/>
        </w:rPr>
        <w:t>）即使是委托人要求或同意更换的监理人员，其替代人员的资质仍应得到委托人的认可。由于更换人员引起的费用由监理人承担。</w:t>
      </w:r>
    </w:p>
    <w:p w14:paraId="2645ED60">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10</w:t>
      </w:r>
      <w:r>
        <w:rPr>
          <w:rFonts w:hint="eastAsia" w:ascii="宋体" w:hAnsi="宋体" w:eastAsia="宋体" w:cs="宋体"/>
          <w:snapToGrid w:val="0"/>
          <w:color w:val="auto"/>
          <w:kern w:val="0"/>
          <w:szCs w:val="21"/>
          <w:highlight w:val="none"/>
          <w:lang w:bidi="ar"/>
        </w:rPr>
        <w:t>）监理工程师在本监理合同授权范围内行使合同规定的权利，履行相应的职责。</w:t>
      </w:r>
    </w:p>
    <w:p w14:paraId="5622D32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12</w:t>
      </w:r>
      <w:r>
        <w:rPr>
          <w:rFonts w:hint="eastAsia" w:ascii="宋体" w:hAnsi="宋体" w:eastAsia="宋体" w:cs="宋体"/>
          <w:snapToGrid w:val="0"/>
          <w:color w:val="auto"/>
          <w:kern w:val="0"/>
          <w:szCs w:val="21"/>
          <w:highlight w:val="none"/>
          <w:lang w:bidi="ar"/>
        </w:rPr>
        <w:t>）如委托人认为监理人员的数量、监理人员的业务水平、监理人员的专业配置不能满足监理工作所需时，委托人有权另行聘请符合工作需要的监理人员；所聘请监理人员的工资已包括在本合同监理酬金内，此费用由监理人向所聘监理人员支付。必要时委托人有权从本合同监理酬金中直接支付。</w:t>
      </w:r>
    </w:p>
    <w:p w14:paraId="60B0350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13</w:t>
      </w:r>
      <w:r>
        <w:rPr>
          <w:rFonts w:hint="eastAsia" w:ascii="宋体" w:hAnsi="宋体" w:eastAsia="宋体" w:cs="宋体"/>
          <w:snapToGrid w:val="0"/>
          <w:color w:val="auto"/>
          <w:kern w:val="0"/>
          <w:szCs w:val="21"/>
          <w:highlight w:val="none"/>
          <w:lang w:bidi="ar"/>
        </w:rPr>
        <w:t>）委托人根据工程推进实际情况，有权要求监理人的项目负责人必须调用其资源保证落实本项目监理工作。</w:t>
      </w:r>
    </w:p>
    <w:p w14:paraId="2BB69B7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14</w:t>
      </w:r>
      <w:r>
        <w:rPr>
          <w:rFonts w:hint="eastAsia" w:ascii="宋体" w:hAnsi="宋体" w:eastAsia="宋体" w:cs="宋体"/>
          <w:snapToGrid w:val="0"/>
          <w:color w:val="auto"/>
          <w:kern w:val="0"/>
          <w:szCs w:val="21"/>
          <w:highlight w:val="none"/>
          <w:lang w:bidi="ar"/>
        </w:rPr>
        <w:t>）监理人应对其驻地监理人员的人身安全承担责任。</w:t>
      </w:r>
    </w:p>
    <w:p w14:paraId="5F99DD7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15</w:t>
      </w:r>
      <w:r>
        <w:rPr>
          <w:rFonts w:hint="eastAsia" w:ascii="宋体" w:hAnsi="宋体" w:eastAsia="宋体" w:cs="宋体"/>
          <w:snapToGrid w:val="0"/>
          <w:color w:val="auto"/>
          <w:kern w:val="0"/>
          <w:szCs w:val="21"/>
          <w:highlight w:val="none"/>
          <w:lang w:bidi="ar"/>
        </w:rPr>
        <w:t>）监理人应于委托监理合同签订后十日内将项目监理机构的组织形式、人员构成及对总监理工程师的任命书面通知委托人。当总监理工程师需要调整时，监理人应征事先书面征得委托人的同意；当专业监理工程师需要调整时，总监理工程师应书面通知委托人和承包人。</w:t>
      </w:r>
    </w:p>
    <w:p w14:paraId="2E3D97ED">
      <w:pPr>
        <w:adjustRightInd w:val="0"/>
        <w:snapToGrid w:val="0"/>
        <w:spacing w:line="360" w:lineRule="auto"/>
        <w:ind w:right="11" w:firstLine="422" w:firstLineChars="200"/>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4.2.2总监理工程师的委派和指令</w:t>
      </w:r>
    </w:p>
    <w:p w14:paraId="6A06E949">
      <w:pPr>
        <w:adjustRightInd w:val="0"/>
        <w:snapToGrid w:val="0"/>
        <w:spacing w:line="360" w:lineRule="auto"/>
        <w:ind w:right="11" w:firstLine="403" w:firstLineChars="192"/>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w:t>
      </w:r>
      <w:r>
        <w:rPr>
          <w:rFonts w:hint="eastAsia" w:ascii="宋体" w:hAnsi="宋体" w:eastAsia="宋体" w:cs="宋体"/>
          <w:bCs/>
          <w:color w:val="auto"/>
          <w:kern w:val="0"/>
          <w:szCs w:val="21"/>
          <w:highlight w:val="none"/>
          <w:lang w:bidi="ar"/>
        </w:rPr>
        <w:t>总监理工程师可以授权监理人员负责执行其指派的一项或多项监管工作。总监理工程师应将这些监理人员的姓名及其授权范围通知承包人。被授权的监理人员在授权范围内发出的指令视为已得到总监理工程师的同意，与总监理工程师发出的指令具有同等效力。总监理工程师撤销对监理人员某项授权的，应将撤销授权的决定及时通知承包人。</w:t>
      </w:r>
    </w:p>
    <w:p w14:paraId="6C7B7BFF">
      <w:pPr>
        <w:adjustRightInd w:val="0"/>
        <w:snapToGrid w:val="0"/>
        <w:spacing w:line="360" w:lineRule="auto"/>
        <w:ind w:right="11" w:firstLine="403" w:firstLineChars="192"/>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w:t>
      </w:r>
      <w:r>
        <w:rPr>
          <w:rFonts w:hint="eastAsia" w:ascii="宋体" w:hAnsi="宋体" w:eastAsia="宋体" w:cs="宋体"/>
          <w:bCs/>
          <w:color w:val="auto"/>
          <w:kern w:val="0"/>
          <w:szCs w:val="21"/>
          <w:highlight w:val="none"/>
          <w:lang w:bidi="ar"/>
        </w:rPr>
        <w:t>除特别指明外，监理人员对承包人的任何工作、工程或其采用的材料和工程设备未提出否定意见的，不应视为已获批准，也不影响总监理工程师或监理人员在以后拒绝该项工作、工程、材料或工程设备的权利。</w:t>
      </w:r>
    </w:p>
    <w:p w14:paraId="00107024">
      <w:pPr>
        <w:adjustRightInd w:val="0"/>
        <w:snapToGrid w:val="0"/>
        <w:spacing w:line="360" w:lineRule="auto"/>
        <w:ind w:right="11" w:firstLine="403" w:firstLineChars="192"/>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w:t>
      </w:r>
      <w:r>
        <w:rPr>
          <w:rFonts w:hint="eastAsia" w:ascii="宋体" w:hAnsi="宋体" w:eastAsia="宋体" w:cs="宋体"/>
          <w:bCs/>
          <w:color w:val="auto"/>
          <w:kern w:val="0"/>
          <w:szCs w:val="21"/>
          <w:highlight w:val="none"/>
          <w:lang w:bidi="ar"/>
        </w:rPr>
        <w:t>总监理工程师应按相关合同的约定向承包人发出指令，总监理工程师的指令应盖有监理人授权的施工场地机构章，并由总监理工程师或总监理工程师按上述（1）项约定授权的监理人员签名。</w:t>
      </w:r>
    </w:p>
    <w:p w14:paraId="2BDB7501">
      <w:pPr>
        <w:adjustRightInd w:val="0"/>
        <w:snapToGrid w:val="0"/>
        <w:spacing w:line="360" w:lineRule="auto"/>
        <w:ind w:right="11" w:firstLine="403" w:firstLineChars="192"/>
        <w:rPr>
          <w:rFonts w:hint="eastAsia" w:ascii="宋体" w:hAnsi="宋体" w:eastAsia="宋体" w:cs="宋体"/>
          <w:bCs/>
          <w:strike/>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4</w:t>
      </w:r>
      <w:r>
        <w:rPr>
          <w:rFonts w:hint="eastAsia" w:ascii="宋体" w:hAnsi="宋体" w:eastAsia="宋体" w:cs="宋体"/>
          <w:snapToGrid w:val="0"/>
          <w:color w:val="auto"/>
          <w:kern w:val="0"/>
          <w:szCs w:val="21"/>
          <w:highlight w:val="none"/>
          <w:lang w:bidi="ar"/>
        </w:rPr>
        <w:t>）</w:t>
      </w:r>
      <w:r>
        <w:rPr>
          <w:rFonts w:hint="eastAsia" w:ascii="宋体" w:hAnsi="宋体" w:eastAsia="宋体" w:cs="宋体"/>
          <w:bCs/>
          <w:color w:val="auto"/>
          <w:kern w:val="0"/>
          <w:szCs w:val="21"/>
          <w:highlight w:val="none"/>
          <w:lang w:bidi="ar"/>
        </w:rPr>
        <w:t>承包人收到总监理工程师按上述（3）项约定作出的指令后应遵照执行。承包人对总监理工程师的指令有异议的，可向总监理工程师提出书面意见，但应先遵照执行。总监理工程师研究承包人的书面意见后，应在48小时内对该指令予以确认、更改或撤销，并通知承包人。若总监理工程师再次决定继续执行原指令，承包人应遵照执行，承包人如仍有异议，可报委托人裁决。</w:t>
      </w:r>
    </w:p>
    <w:p w14:paraId="324ACC4C">
      <w:pPr>
        <w:adjustRightInd w:val="0"/>
        <w:snapToGrid w:val="0"/>
        <w:spacing w:line="360" w:lineRule="auto"/>
        <w:ind w:right="11" w:firstLine="403" w:firstLineChars="192"/>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5</w:t>
      </w:r>
      <w:r>
        <w:rPr>
          <w:rFonts w:hint="eastAsia" w:ascii="宋体" w:hAnsi="宋体" w:eastAsia="宋体" w:cs="宋体"/>
          <w:snapToGrid w:val="0"/>
          <w:color w:val="auto"/>
          <w:kern w:val="0"/>
          <w:szCs w:val="21"/>
          <w:highlight w:val="none"/>
          <w:lang w:bidi="ar"/>
        </w:rPr>
        <w:t>）</w:t>
      </w:r>
      <w:r>
        <w:rPr>
          <w:rFonts w:hint="eastAsia" w:ascii="宋体" w:hAnsi="宋体" w:eastAsia="宋体" w:cs="宋体"/>
          <w:bCs/>
          <w:color w:val="auto"/>
          <w:kern w:val="0"/>
          <w:szCs w:val="21"/>
          <w:highlight w:val="none"/>
          <w:lang w:bidi="ar"/>
        </w:rPr>
        <w:t>在紧急情况下，总监理工程师或被授权的监理人员可以当场发出口头指令，承包人应遵照执行。监理人应在发出口头指令后24小时内发出书面指令予以确认。</w:t>
      </w:r>
    </w:p>
    <w:p w14:paraId="28269D25">
      <w:pPr>
        <w:adjustRightInd w:val="0"/>
        <w:snapToGrid w:val="0"/>
        <w:spacing w:line="360" w:lineRule="auto"/>
        <w:ind w:right="11" w:firstLine="403" w:firstLineChars="192"/>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6</w:t>
      </w:r>
      <w:r>
        <w:rPr>
          <w:rFonts w:hint="eastAsia" w:ascii="宋体" w:hAnsi="宋体" w:eastAsia="宋体" w:cs="宋体"/>
          <w:snapToGrid w:val="0"/>
          <w:color w:val="auto"/>
          <w:kern w:val="0"/>
          <w:szCs w:val="21"/>
          <w:highlight w:val="none"/>
          <w:lang w:bidi="ar"/>
        </w:rPr>
        <w:t>）</w:t>
      </w:r>
      <w:r>
        <w:rPr>
          <w:rFonts w:hint="eastAsia" w:ascii="宋体" w:hAnsi="宋体" w:eastAsia="宋体" w:cs="宋体"/>
          <w:bCs/>
          <w:color w:val="auto"/>
          <w:kern w:val="0"/>
          <w:szCs w:val="21"/>
          <w:highlight w:val="none"/>
          <w:lang w:bidi="ar"/>
        </w:rPr>
        <w:t>除合同另有约定外，承包人只从总监理工程师或按上述（1）项被授权的监理人员处取得指令。</w:t>
      </w:r>
    </w:p>
    <w:p w14:paraId="56595F64">
      <w:pPr>
        <w:adjustRightInd w:val="0"/>
        <w:snapToGrid w:val="0"/>
        <w:spacing w:line="360" w:lineRule="auto"/>
        <w:ind w:right="11" w:firstLine="403" w:firstLineChars="192"/>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7</w:t>
      </w:r>
      <w:r>
        <w:rPr>
          <w:rFonts w:hint="eastAsia" w:ascii="宋体" w:hAnsi="宋体" w:eastAsia="宋体" w:cs="宋体"/>
          <w:snapToGrid w:val="0"/>
          <w:color w:val="auto"/>
          <w:kern w:val="0"/>
          <w:szCs w:val="21"/>
          <w:highlight w:val="none"/>
          <w:lang w:bidi="ar"/>
        </w:rPr>
        <w:t>）</w:t>
      </w:r>
      <w:r>
        <w:rPr>
          <w:rFonts w:hint="eastAsia" w:ascii="宋体" w:hAnsi="宋体" w:eastAsia="宋体" w:cs="宋体"/>
          <w:bCs/>
          <w:color w:val="auto"/>
          <w:kern w:val="0"/>
          <w:szCs w:val="21"/>
          <w:highlight w:val="none"/>
          <w:lang w:bidi="ar"/>
        </w:rPr>
        <w:t>由于总监理工程师未能按合同约定履行职责或总监理工程师指令错误而延误工期的，工期顺延情形只适用于一般节点工期。</w:t>
      </w:r>
    </w:p>
    <w:p w14:paraId="58BBBD38">
      <w:pPr>
        <w:adjustRightInd w:val="0"/>
        <w:snapToGrid w:val="0"/>
        <w:spacing w:line="360" w:lineRule="auto"/>
        <w:ind w:firstLine="480"/>
        <w:rPr>
          <w:rFonts w:hint="eastAsia" w:ascii="宋体" w:hAnsi="宋体" w:eastAsia="宋体" w:cs="宋体"/>
          <w:snapToGrid w:val="0"/>
          <w:color w:val="auto"/>
          <w:kern w:val="0"/>
          <w:szCs w:val="21"/>
          <w:highlight w:val="none"/>
        </w:rPr>
      </w:pPr>
      <w:r>
        <w:rPr>
          <w:rFonts w:hint="eastAsia" w:ascii="宋体" w:hAnsi="宋体" w:eastAsia="宋体" w:cs="宋体"/>
          <w:b/>
          <w:snapToGrid w:val="0"/>
          <w:color w:val="auto"/>
          <w:kern w:val="0"/>
          <w:szCs w:val="21"/>
          <w:highlight w:val="none"/>
          <w:lang w:bidi="ar"/>
        </w:rPr>
        <w:t>第五条　监理人义务</w:t>
      </w:r>
    </w:p>
    <w:p w14:paraId="6A8B279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5.1监理人应对其派驻的项目监理机构在监理业务范围内的工作全面负责，并提供一切必要的支持。</w:t>
      </w:r>
    </w:p>
    <w:p w14:paraId="139418D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5.2监理人在本合同履行期内必须接受委托人有关项目管理机构职权规定的约束，监理人应对提供给本项目服务的人员经常进行检查、指导、管理及后方支持，对他们完成的服务承担责任。</w:t>
      </w:r>
    </w:p>
    <w:p w14:paraId="13E0BD0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5.3监理人必须在收到图纸、勘察资料等技术文件后</w:t>
      </w:r>
      <w:r>
        <w:rPr>
          <w:rFonts w:hint="eastAsia" w:ascii="宋体" w:hAnsi="宋体" w:eastAsia="宋体" w:cs="宋体"/>
          <w:color w:val="auto"/>
          <w:kern w:val="0"/>
          <w:szCs w:val="21"/>
          <w:highlight w:val="none"/>
          <w:lang w:bidi="ar"/>
        </w:rPr>
        <w:t>14</w:t>
      </w:r>
      <w:r>
        <w:rPr>
          <w:rFonts w:hint="eastAsia" w:ascii="宋体" w:hAnsi="宋体" w:eastAsia="宋体" w:cs="宋体"/>
          <w:snapToGrid w:val="0"/>
          <w:color w:val="auto"/>
          <w:kern w:val="0"/>
          <w:szCs w:val="21"/>
          <w:highlight w:val="none"/>
          <w:lang w:bidi="ar"/>
        </w:rPr>
        <w:t>日内向委托人提供针对本合同工程特点、重点、难点的《监理规划》、相应的《监理实施细则》，经委托人审核批准后执行，委托人以此具体考核监理人的监理工作。如委托人要求监理人对《监理规划》等进行调整，监理人必须在</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个日内完成调整并报委托人审批。</w:t>
      </w:r>
    </w:p>
    <w:p w14:paraId="3534F74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5.4委托人委托监理人代表委托人组织施工前期手续的办理工作，直至具备施工条件。委托人委托监理人承担本合同工程范围内的协调管理工作，包括工程施工的进场、设计、退场、质量、进度及其他相关工作。</w:t>
      </w:r>
    </w:p>
    <w:p w14:paraId="4008199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5.5监理工程师在本合同工程中，对工程质量、投资与进度进行控制，办理合同约定的各项手续。监理工程师在办理各种手续时，不得扣压和延误。</w:t>
      </w:r>
    </w:p>
    <w:p w14:paraId="073F27F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5.6在任何情况下（包括合同另有约定的情况），凡涉及工程变更、工程量增减、议价、索赔、处理事故、改变工期、改变技术标准、改变重大施工方案等及一切有关费用的问题，均需与委托人共同商定，报委托人批准。</w:t>
      </w:r>
    </w:p>
    <w:p w14:paraId="5C1C214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5.7本合同工程质量实行承包人自检、监理人、委托人和政府监督的多级管理体制。对工程质量出现问题返工而造成的一切经济和工期损失，由承包人承担，并按合同约定承担相应的违约责任。监理人根据本合同约定承担相应的责任。监理人对某一分部或分项工程的认可不影响政府监督机构或委托人在事后的否定。</w:t>
      </w:r>
    </w:p>
    <w:p w14:paraId="12D0E0B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5.8监理人应尽一切努力，高效又经济地按照合同约定及行业通常接受的技术和惯例履行服务，遵守正确的管理和工程惯例，使用适当的先进技术和安全有效的设备、仪器、材料和方法，就与施工合同中服务有关的事宜，监理人始终作为委托人的忠实顾问，认真、充分履行其监理职责。在与承包人的交往中维护委托人的合法利益，力争使其服务达到委托人满意。</w:t>
      </w:r>
    </w:p>
    <w:p w14:paraId="26FD8C88">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5.9监理人必须不折不扣地履行其工作职责，不得推托或耽误，不能有不履行或不完全履行职务的行为，否则，必须承担相应的违约责任。</w:t>
      </w:r>
    </w:p>
    <w:p w14:paraId="3CBA246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5.10对于委托人及承包人书面提交并要求作出决定的事宜，监理人应在</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日内作出书面答复，对影响施工现场进度的事项应在</w:t>
      </w:r>
      <w:r>
        <w:rPr>
          <w:rFonts w:hint="eastAsia" w:ascii="宋体" w:hAnsi="宋体" w:eastAsia="宋体" w:cs="宋体"/>
          <w:color w:val="auto"/>
          <w:kern w:val="0"/>
          <w:szCs w:val="21"/>
          <w:highlight w:val="none"/>
          <w:lang w:bidi="ar"/>
        </w:rPr>
        <w:t>24</w:t>
      </w:r>
      <w:r>
        <w:rPr>
          <w:rFonts w:hint="eastAsia" w:ascii="宋体" w:hAnsi="宋体" w:eastAsia="宋体" w:cs="宋体"/>
          <w:snapToGrid w:val="0"/>
          <w:color w:val="auto"/>
          <w:kern w:val="0"/>
          <w:szCs w:val="21"/>
          <w:highlight w:val="none"/>
          <w:lang w:bidi="ar"/>
        </w:rPr>
        <w:t>小时内作出具有明确处理意见的书面答复。</w:t>
      </w:r>
    </w:p>
    <w:p w14:paraId="43CE6F64">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5.11监理人应在监理服务期内，办理派驻到项目所在地人员人身和自备财产的有关保险，保险时间应随服务时间的延长而顺延，并在出险后自行办理索赔。如果监理人不办理上述保险，则应对有关风险及后果自负其责。同时，监理人应该尽一切合理的努力，按委托人可接受的条件对监理人的责任、第三方的责任以及委托人为监理服务提供的财产等进行保险。上述有关费用由监理人承担。</w:t>
      </w:r>
    </w:p>
    <w:p w14:paraId="26B2FBD2">
      <w:pPr>
        <w:adjustRightInd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第九条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委托人根据需要有权指令监理人协调部分外部关系，委托人对此无需支付任何酬金。</w:t>
      </w:r>
    </w:p>
    <w:p w14:paraId="709F3F76">
      <w:pPr>
        <w:adjustRightInd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第十条</w:t>
      </w:r>
      <w:r>
        <w:rPr>
          <w:rFonts w:hint="eastAsia" w:ascii="宋体" w:hAnsi="宋体" w:eastAsia="宋体" w:cs="宋体"/>
          <w:b/>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委托人在本合同生效后</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日内向监理人免费提供下述文件、资料：</w:t>
      </w:r>
    </w:p>
    <w:p w14:paraId="2764D876">
      <w:pPr>
        <w:tabs>
          <w:tab w:val="left" w:pos="0"/>
        </w:tabs>
        <w:autoSpaceDE w:val="0"/>
        <w:autoSpaceDN w:val="0"/>
        <w:adjustRightInd w:val="0"/>
        <w:snapToGrid w:val="0"/>
        <w:spacing w:line="360" w:lineRule="auto"/>
        <w:ind w:firstLine="54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）委托人与承包人签订的合同文件</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份；</w:t>
      </w:r>
    </w:p>
    <w:p w14:paraId="2253ACF5">
      <w:pPr>
        <w:tabs>
          <w:tab w:val="left" w:pos="0"/>
        </w:tabs>
        <w:autoSpaceDE w:val="0"/>
        <w:autoSpaceDN w:val="0"/>
        <w:adjustRightInd w:val="0"/>
        <w:snapToGrid w:val="0"/>
        <w:spacing w:line="360" w:lineRule="auto"/>
        <w:ind w:firstLine="54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）施工图纸及说明</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套；</w:t>
      </w:r>
    </w:p>
    <w:p w14:paraId="13D02971">
      <w:pPr>
        <w:tabs>
          <w:tab w:val="left" w:pos="0"/>
        </w:tabs>
        <w:autoSpaceDE w:val="0"/>
        <w:autoSpaceDN w:val="0"/>
        <w:adjustRightInd w:val="0"/>
        <w:snapToGrid w:val="0"/>
        <w:spacing w:line="360" w:lineRule="auto"/>
        <w:ind w:firstLine="54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）委托人结合本项目实际编写的技术规范</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套；</w:t>
      </w:r>
    </w:p>
    <w:p w14:paraId="3F5F1C26">
      <w:pPr>
        <w:tabs>
          <w:tab w:val="left" w:pos="0"/>
        </w:tabs>
        <w:autoSpaceDE w:val="0"/>
        <w:autoSpaceDN w:val="0"/>
        <w:adjustRightInd w:val="0"/>
        <w:snapToGrid w:val="0"/>
        <w:spacing w:line="360" w:lineRule="auto"/>
        <w:ind w:firstLine="54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4</w:t>
      </w:r>
      <w:r>
        <w:rPr>
          <w:rFonts w:hint="eastAsia" w:ascii="宋体" w:hAnsi="宋体" w:eastAsia="宋体" w:cs="宋体"/>
          <w:snapToGrid w:val="0"/>
          <w:color w:val="auto"/>
          <w:kern w:val="0"/>
          <w:szCs w:val="21"/>
          <w:highlight w:val="none"/>
          <w:lang w:bidi="ar"/>
        </w:rPr>
        <w:t>）监理人完成本合同监理工作所必须的其他文件和资料。</w:t>
      </w:r>
    </w:p>
    <w:p w14:paraId="329979C0">
      <w:pPr>
        <w:adjustRightInd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第十一条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委托人应在</w:t>
      </w:r>
      <w:r>
        <w:rPr>
          <w:rFonts w:hint="eastAsia" w:ascii="宋体" w:hAnsi="宋体" w:eastAsia="宋体" w:cs="宋体"/>
          <w:color w:val="auto"/>
          <w:kern w:val="0"/>
          <w:szCs w:val="21"/>
          <w:highlight w:val="none"/>
          <w:lang w:bidi="ar"/>
        </w:rPr>
        <w:t>7</w:t>
      </w:r>
      <w:r>
        <w:rPr>
          <w:rFonts w:hint="eastAsia" w:ascii="宋体" w:hAnsi="宋体" w:eastAsia="宋体" w:cs="宋体"/>
          <w:snapToGrid w:val="0"/>
          <w:color w:val="auto"/>
          <w:kern w:val="0"/>
          <w:szCs w:val="21"/>
          <w:highlight w:val="none"/>
          <w:lang w:bidi="ar"/>
        </w:rPr>
        <w:t>日内对监理人书面提交并要求作出决定的事宜作出书面答复</w:t>
      </w:r>
      <w:r>
        <w:rPr>
          <w:rFonts w:hint="eastAsia" w:ascii="宋体" w:hAnsi="宋体" w:eastAsia="宋体" w:cs="宋体"/>
          <w:color w:val="auto"/>
          <w:szCs w:val="21"/>
          <w:highlight w:val="none"/>
          <w:lang w:bidi="ar"/>
        </w:rPr>
        <w:t>，重大事件回复时间可以适当延长</w:t>
      </w:r>
      <w:r>
        <w:rPr>
          <w:rFonts w:hint="eastAsia" w:ascii="宋体" w:hAnsi="宋体" w:eastAsia="宋体" w:cs="宋体"/>
          <w:snapToGrid w:val="0"/>
          <w:color w:val="auto"/>
          <w:kern w:val="0"/>
          <w:szCs w:val="21"/>
          <w:highlight w:val="none"/>
          <w:lang w:bidi="ar"/>
        </w:rPr>
        <w:t>。</w:t>
      </w:r>
    </w:p>
    <w:p w14:paraId="3F6460ED">
      <w:pPr>
        <w:adjustRightInd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第十二条</w:t>
      </w:r>
      <w:r>
        <w:rPr>
          <w:rFonts w:hint="eastAsia" w:ascii="宋体" w:hAnsi="宋体" w:eastAsia="宋体" w:cs="宋体"/>
          <w:snapToGrid w:val="0"/>
          <w:color w:val="auto"/>
          <w:kern w:val="0"/>
          <w:szCs w:val="21"/>
          <w:highlight w:val="none"/>
          <w:lang w:bidi="ar"/>
        </w:rPr>
        <w:t>委托人的常驻代表为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snapToGrid w:val="0"/>
          <w:color w:val="auto"/>
          <w:kern w:val="0"/>
          <w:szCs w:val="21"/>
          <w:highlight w:val="none"/>
          <w:u w:val="single"/>
          <w:lang w:bidi="ar"/>
        </w:rPr>
        <w:t>，联系电话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snapToGrid w:val="0"/>
          <w:color w:val="auto"/>
          <w:kern w:val="0"/>
          <w:szCs w:val="21"/>
          <w:highlight w:val="none"/>
          <w:lang w:bidi="ar"/>
        </w:rPr>
        <w:t>。</w:t>
      </w:r>
    </w:p>
    <w:p w14:paraId="78A526F9">
      <w:pPr>
        <w:adjustRightInd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第十五条</w:t>
      </w:r>
      <w:r>
        <w:rPr>
          <w:rFonts w:hint="eastAsia" w:ascii="宋体" w:hAnsi="宋体" w:eastAsia="宋体" w:cs="宋体"/>
          <w:b/>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委托人仅向监理人提供项目监理机构办公用房（不包括房内的办公设施）及接通水电，其他满足本合同约定监理工作需要的办公、交通、通讯、生活等设施全部由监理人自行解决，其费用已包含在监理酬金中。监理人应自行解决食宿，不得与承包人同食同住。</w:t>
      </w:r>
    </w:p>
    <w:p w14:paraId="1E6D42A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对监理人自备的设施，双方一致同意不适用本合同标准条件第十五条的约定，监理人不得向委托人索取任何经济补偿。</w:t>
      </w:r>
    </w:p>
    <w:p w14:paraId="4EAF77A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项目监理机构应根据工程项目类别、规模、技术复杂程度、工程项目所在地的环境条件，按委托监理合同的约定，配备满足监理工作需要的常规检测设备和工具。</w:t>
      </w:r>
    </w:p>
    <w:p w14:paraId="2F0180D7">
      <w:pPr>
        <w:adjustRightInd w:val="0"/>
        <w:snapToGrid w:val="0"/>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项目监理机构应配备足够实施监理工作的计算机辅助管理。</w:t>
      </w:r>
    </w:p>
    <w:p w14:paraId="4544DB2E">
      <w:pPr>
        <w:adjustRightInd w:val="0"/>
        <w:snapToGrid w:val="0"/>
        <w:spacing w:line="360" w:lineRule="auto"/>
        <w:ind w:firstLine="413" w:firstLineChars="196"/>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第十六条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在监理服务期间，委托人不免费向监理人提供工作人员和服务人员。</w:t>
      </w:r>
    </w:p>
    <w:p w14:paraId="3ACB6668">
      <w:pPr>
        <w:adjustRightInd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第十七条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除选择工程分包单位的认可权由委托人行使外，监理人可以行使本合同标准条件第十七条约定的权利及下列权利：</w:t>
      </w:r>
    </w:p>
    <w:p w14:paraId="7D14BF2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）工程质量与分项分部工程（含隐蔽工程）质量的检验权。未经监理工程师现场检验确认质量的工程，委托人有权拒绝支付工程款。</w:t>
      </w:r>
    </w:p>
    <w:p w14:paraId="42412C8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）对完工的分项分部工程的计量权。承包人已完工且要求支付工程款的项目，应首先由监理工程师与承包人共同到现场进行计量。未经监理工程师计量的工程，委托人不予支付工程款。</w:t>
      </w:r>
    </w:p>
    <w:p w14:paraId="4F0B8B3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）工程质量事故的调查权和处理建议权。当工程出现质量事故时，监理工程师应组织质量听证会，结合现场调查的结果，提出调查报告和处理建议。</w:t>
      </w:r>
    </w:p>
    <w:p w14:paraId="671CA30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4</w:t>
      </w:r>
      <w:r>
        <w:rPr>
          <w:rFonts w:hint="eastAsia" w:ascii="宋体" w:hAnsi="宋体" w:eastAsia="宋体" w:cs="宋体"/>
          <w:snapToGrid w:val="0"/>
          <w:color w:val="auto"/>
          <w:kern w:val="0"/>
          <w:szCs w:val="21"/>
          <w:highlight w:val="none"/>
          <w:lang w:bidi="ar"/>
        </w:rPr>
        <w:t>）监理人依据本合同约定的权限对承包人在施工质量、建设工期和建设资金使用等方面实施监管。监理人在行使合同约定的职权时不必事前征得委托人的批准，但监理人行使职权时下列事项必须取得委托人的批准（包括但不限于）：</w:t>
      </w:r>
    </w:p>
    <w:p w14:paraId="1CA076A2">
      <w:pPr>
        <w:adjustRightInd w:val="0"/>
        <w:snapToGrid w:val="0"/>
        <w:spacing w:line="360" w:lineRule="auto"/>
        <w:ind w:left="210" w:leftChars="100" w:right="10" w:rightChars="5"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1）同意本合同工程任何部分的分包合同；</w:t>
      </w:r>
    </w:p>
    <w:p w14:paraId="5E48B517">
      <w:pPr>
        <w:adjustRightInd w:val="0"/>
        <w:snapToGrid w:val="0"/>
        <w:spacing w:line="360" w:lineRule="auto"/>
        <w:ind w:left="210" w:leftChars="100" w:right="10" w:rightChars="5"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2）工程款、材料款以及其他费用的支付；</w:t>
      </w:r>
    </w:p>
    <w:p w14:paraId="35C1297E">
      <w:pPr>
        <w:adjustRightInd w:val="0"/>
        <w:snapToGrid w:val="0"/>
        <w:spacing w:line="360" w:lineRule="auto"/>
        <w:ind w:left="210" w:leftChars="100" w:right="10" w:rightChars="5"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3）施工进度更改或对工程延期的决定；</w:t>
      </w:r>
    </w:p>
    <w:p w14:paraId="3392AFEF">
      <w:pPr>
        <w:adjustRightInd w:val="0"/>
        <w:snapToGrid w:val="0"/>
        <w:spacing w:line="360" w:lineRule="auto"/>
        <w:ind w:left="210" w:leftChars="100" w:right="10" w:rightChars="5"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4）发布变更指令及签发现场签证；</w:t>
      </w:r>
    </w:p>
    <w:p w14:paraId="3D57A6E0">
      <w:pPr>
        <w:adjustRightInd w:val="0"/>
        <w:snapToGrid w:val="0"/>
        <w:spacing w:line="360" w:lineRule="auto"/>
        <w:ind w:left="210" w:leftChars="100" w:right="10" w:rightChars="5"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5）确定变更工程和新增工程的单价、费率、价格；</w:t>
      </w:r>
    </w:p>
    <w:p w14:paraId="20518D26">
      <w:pPr>
        <w:adjustRightInd w:val="0"/>
        <w:snapToGrid w:val="0"/>
        <w:spacing w:line="360" w:lineRule="auto"/>
        <w:ind w:left="210" w:leftChars="100" w:right="10" w:rightChars="5"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6）承包人提出合理化建议或提出采用新工艺、新材料、新技术，涉及重大设计变更或施工方案调整的（这些变更或调整将改变原设计的基本功能或工期或投资等）；</w:t>
      </w:r>
    </w:p>
    <w:p w14:paraId="5B8D4DD8">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5</w:t>
      </w:r>
      <w:r>
        <w:rPr>
          <w:rFonts w:hint="eastAsia" w:ascii="宋体" w:hAnsi="宋体" w:eastAsia="宋体" w:cs="宋体"/>
          <w:snapToGrid w:val="0"/>
          <w:color w:val="auto"/>
          <w:kern w:val="0"/>
          <w:szCs w:val="21"/>
          <w:highlight w:val="none"/>
          <w:lang w:bidi="ar"/>
        </w:rPr>
        <w:t>）监理人根据委托人的相关规定（制度、实施细则等）对所本合同工程范围内的技术督导单位、材料设备管理服务单位进行协调管理。</w:t>
      </w:r>
    </w:p>
    <w:p w14:paraId="2D3128AA">
      <w:pPr>
        <w:adjustRightInd w:val="0"/>
        <w:snapToGrid w:val="0"/>
        <w:spacing w:line="360" w:lineRule="auto"/>
        <w:ind w:right="11"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6</w:t>
      </w:r>
      <w:r>
        <w:rPr>
          <w:rFonts w:hint="eastAsia" w:ascii="宋体" w:hAnsi="宋体" w:eastAsia="宋体" w:cs="宋体"/>
          <w:snapToGrid w:val="0"/>
          <w:color w:val="auto"/>
          <w:kern w:val="0"/>
          <w:szCs w:val="21"/>
          <w:highlight w:val="none"/>
          <w:lang w:bidi="ar"/>
        </w:rPr>
        <w:t>）委托人授权监理人行使的其他职权。</w:t>
      </w:r>
    </w:p>
    <w:p w14:paraId="58B2A67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监理人对工程款支付的审核必须在承包人申报计量后</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日内完成。</w:t>
      </w:r>
    </w:p>
    <w:p w14:paraId="1006E724">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本合同中约定的监理人的权利应当理解为委托人赋予监理人的职权，监理人必须履行，委托人另有要求的除外。</w:t>
      </w:r>
    </w:p>
    <w:p w14:paraId="482262E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监理人对委托人有关人员（包括委托人授权代表）违规干扰其正常监理工作和吃拿卡要等行为，有权向委托人纪检监察部门投诉或举报。</w:t>
      </w:r>
    </w:p>
    <w:p w14:paraId="0459BED3">
      <w:pPr>
        <w:adjustRightInd w:val="0"/>
        <w:snapToGrid w:val="0"/>
        <w:spacing w:line="360" w:lineRule="auto"/>
        <w:ind w:firstLine="413" w:firstLineChars="196"/>
        <w:rPr>
          <w:rFonts w:hint="eastAsia" w:ascii="宋体" w:hAnsi="宋体" w:eastAsia="宋体" w:cs="宋体"/>
          <w:bCs/>
          <w:color w:val="auto"/>
          <w:kern w:val="0"/>
          <w:szCs w:val="21"/>
          <w:highlight w:val="none"/>
        </w:rPr>
      </w:pPr>
      <w:r>
        <w:rPr>
          <w:rFonts w:hint="eastAsia" w:ascii="宋体" w:hAnsi="宋体" w:eastAsia="宋体" w:cs="宋体"/>
          <w:b/>
          <w:snapToGrid w:val="0"/>
          <w:color w:val="auto"/>
          <w:kern w:val="0"/>
          <w:szCs w:val="21"/>
          <w:highlight w:val="none"/>
          <w:lang w:bidi="ar"/>
        </w:rPr>
        <w:t>第二十五条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监理服务的期限自委托人通知进场工作之日起，至本合同工程项目结束且办理完竣工验收手续并双方同时履行完本合同的责任和义务时止。</w:t>
      </w:r>
    </w:p>
    <w:p w14:paraId="42776F0B">
      <w:pPr>
        <w:adjustRightInd w:val="0"/>
        <w:snapToGrid w:val="0"/>
        <w:spacing w:line="360" w:lineRule="auto"/>
        <w:ind w:left="43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第二十六条</w:t>
      </w:r>
      <w:r>
        <w:rPr>
          <w:rFonts w:hint="eastAsia" w:ascii="宋体" w:hAnsi="宋体" w:eastAsia="宋体" w:cs="宋体"/>
          <w:b/>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监理人的违约责任：</w:t>
      </w:r>
    </w:p>
    <w:p w14:paraId="6A566B96">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26.1监理人违反本合同的约定，应当按约定向委托人承担相应的违约责任，承担违约责任方式包括但不限于：</w:t>
      </w:r>
    </w:p>
    <w:p w14:paraId="726C8CB6">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）书面警告。监理人未履行或未按时履行或未按质履行义务或不执行委托人（含主管人员）的指令时，委托人有权向监理人发出书面警告。监理人必须在书面警告限定的时间内履行义务，否则应承担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次一般违约责任。</w:t>
      </w:r>
    </w:p>
    <w:p w14:paraId="701D50F4">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2</w:t>
      </w:r>
      <w:r>
        <w:rPr>
          <w:rFonts w:hint="eastAsia" w:ascii="宋体" w:hAnsi="宋体" w:eastAsia="宋体" w:cs="宋体"/>
          <w:bCs/>
          <w:snapToGrid w:val="0"/>
          <w:color w:val="auto"/>
          <w:kern w:val="0"/>
          <w:szCs w:val="21"/>
          <w:highlight w:val="none"/>
          <w:lang w:bidi="ar"/>
        </w:rPr>
        <w:t>）一般违约责任。监理人按本合同约定应当承担一般违约责任时，第一次应向委托人交纳违约金，具体违约金见下表。同一违约性质的一般违约责任为第二次时，监理人应向委托人交纳的违约金为第一次交纳金额的</w:t>
      </w:r>
      <w:r>
        <w:rPr>
          <w:rFonts w:hint="eastAsia" w:ascii="宋体" w:hAnsi="宋体" w:eastAsia="宋体" w:cs="宋体"/>
          <w:bCs/>
          <w:color w:val="auto"/>
          <w:kern w:val="0"/>
          <w:szCs w:val="21"/>
          <w:highlight w:val="none"/>
          <w:lang w:bidi="ar"/>
        </w:rPr>
        <w:t>2</w:t>
      </w:r>
      <w:r>
        <w:rPr>
          <w:rFonts w:hint="eastAsia" w:ascii="宋体" w:hAnsi="宋体" w:eastAsia="宋体" w:cs="宋体"/>
          <w:bCs/>
          <w:snapToGrid w:val="0"/>
          <w:color w:val="auto"/>
          <w:kern w:val="0"/>
          <w:szCs w:val="21"/>
          <w:highlight w:val="none"/>
          <w:lang w:bidi="ar"/>
        </w:rPr>
        <w:t>倍；第三次时，监理人应向委托人交纳的违约金为第一次交纳金额的</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倍；以此类推，最高不超过第一次交纳违约金金额的</w:t>
      </w:r>
      <w:r>
        <w:rPr>
          <w:rFonts w:hint="eastAsia" w:ascii="宋体" w:hAnsi="宋体" w:eastAsia="宋体" w:cs="宋体"/>
          <w:bCs/>
          <w:color w:val="auto"/>
          <w:kern w:val="0"/>
          <w:szCs w:val="21"/>
          <w:highlight w:val="none"/>
          <w:lang w:bidi="ar"/>
        </w:rPr>
        <w:t>5</w:t>
      </w:r>
      <w:r>
        <w:rPr>
          <w:rFonts w:hint="eastAsia" w:ascii="宋体" w:hAnsi="宋体" w:eastAsia="宋体" w:cs="宋体"/>
          <w:bCs/>
          <w:snapToGrid w:val="0"/>
          <w:color w:val="auto"/>
          <w:kern w:val="0"/>
          <w:szCs w:val="21"/>
          <w:highlight w:val="none"/>
          <w:lang w:bidi="ar"/>
        </w:rPr>
        <w:t>倍。</w:t>
      </w:r>
    </w:p>
    <w:p w14:paraId="2AAC2534">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）严重违约责任。监理人按本合同约定应当承担严重违约责任时，应向委托人交纳违约金，具体违约金见下表。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2837"/>
        <w:gridCol w:w="2789"/>
        <w:gridCol w:w="2464"/>
      </w:tblGrid>
      <w:tr w14:paraId="0EE1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F18CF3F">
            <w:pPr>
              <w:adjustRightInd w:val="0"/>
              <w:snapToGrid w:val="0"/>
              <w:spacing w:line="360" w:lineRule="auto"/>
              <w:ind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序号</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13724C68">
            <w:pPr>
              <w:adjustRightInd w:val="0"/>
              <w:snapToGrid w:val="0"/>
              <w:spacing w:line="360" w:lineRule="auto"/>
              <w:ind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施工合同价</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79D6B6A5">
            <w:pPr>
              <w:adjustRightInd w:val="0"/>
              <w:snapToGrid w:val="0"/>
              <w:spacing w:line="360" w:lineRule="auto"/>
              <w:ind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一般违约</w:t>
            </w:r>
            <w:r>
              <w:rPr>
                <w:rFonts w:hint="eastAsia" w:ascii="宋体" w:hAnsi="宋体" w:eastAsia="宋体" w:cs="宋体"/>
                <w:bCs/>
                <w:snapToGrid w:val="0"/>
                <w:color w:val="auto"/>
                <w:kern w:val="0"/>
                <w:szCs w:val="21"/>
                <w:highlight w:val="none"/>
                <w:lang w:eastAsia="zh-CN" w:bidi="ar"/>
              </w:rPr>
              <w:t>（</w:t>
            </w:r>
            <w:r>
              <w:rPr>
                <w:rFonts w:hint="eastAsia" w:ascii="宋体" w:hAnsi="宋体" w:eastAsia="宋体" w:cs="宋体"/>
                <w:bCs/>
                <w:snapToGrid w:val="0"/>
                <w:color w:val="auto"/>
                <w:kern w:val="0"/>
                <w:szCs w:val="21"/>
                <w:highlight w:val="none"/>
                <w:lang w:val="en-US" w:eastAsia="zh-CN" w:bidi="ar"/>
              </w:rPr>
              <w:t>元/次）</w:t>
            </w:r>
          </w:p>
        </w:tc>
        <w:tc>
          <w:tcPr>
            <w:tcW w:w="2464" w:type="dxa"/>
            <w:tcBorders>
              <w:top w:val="single" w:color="auto" w:sz="4" w:space="0"/>
              <w:left w:val="single" w:color="auto" w:sz="4" w:space="0"/>
              <w:bottom w:val="single" w:color="auto" w:sz="4" w:space="0"/>
              <w:right w:val="single" w:color="auto" w:sz="4" w:space="0"/>
            </w:tcBorders>
            <w:noWrap w:val="0"/>
            <w:vAlign w:val="center"/>
          </w:tcPr>
          <w:p w14:paraId="693A6195">
            <w:pPr>
              <w:adjustRightInd w:val="0"/>
              <w:snapToGrid w:val="0"/>
              <w:spacing w:line="360" w:lineRule="auto"/>
              <w:ind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严重违约</w:t>
            </w:r>
            <w:r>
              <w:rPr>
                <w:rFonts w:hint="eastAsia" w:ascii="宋体" w:hAnsi="宋体" w:eastAsia="宋体" w:cs="宋体"/>
                <w:bCs/>
                <w:snapToGrid w:val="0"/>
                <w:color w:val="auto"/>
                <w:kern w:val="0"/>
                <w:szCs w:val="21"/>
                <w:highlight w:val="none"/>
                <w:lang w:eastAsia="zh-CN" w:bidi="ar"/>
              </w:rPr>
              <w:t>（</w:t>
            </w:r>
            <w:r>
              <w:rPr>
                <w:rFonts w:hint="eastAsia" w:ascii="宋体" w:hAnsi="宋体" w:eastAsia="宋体" w:cs="宋体"/>
                <w:bCs/>
                <w:snapToGrid w:val="0"/>
                <w:color w:val="auto"/>
                <w:kern w:val="0"/>
                <w:szCs w:val="21"/>
                <w:highlight w:val="none"/>
                <w:lang w:val="en-US" w:eastAsia="zh-CN" w:bidi="ar"/>
              </w:rPr>
              <w:t>元/次）</w:t>
            </w:r>
          </w:p>
        </w:tc>
      </w:tr>
      <w:tr w14:paraId="746A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ABBBCC3">
            <w:pPr>
              <w:adjustRightInd w:val="0"/>
              <w:snapToGrid w:val="0"/>
              <w:spacing w:line="360" w:lineRule="auto"/>
              <w:ind w:right="11" w:firstLine="420" w:firstLineChars="200"/>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lang w:bidi="ar"/>
              </w:rPr>
              <w:t>1</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2318B79E">
            <w:pPr>
              <w:adjustRightInd w:val="0"/>
              <w:snapToGrid w:val="0"/>
              <w:spacing w:line="360" w:lineRule="auto"/>
              <w:ind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亿</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56B9CE82">
            <w:pPr>
              <w:adjustRightInd w:val="0"/>
              <w:snapToGrid w:val="0"/>
              <w:spacing w:line="360" w:lineRule="auto"/>
              <w:ind w:right="11" w:firstLine="420" w:firstLineChars="200"/>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lang w:bidi="ar"/>
              </w:rPr>
              <w:t>1000</w:t>
            </w:r>
          </w:p>
        </w:tc>
        <w:tc>
          <w:tcPr>
            <w:tcW w:w="2464" w:type="dxa"/>
            <w:tcBorders>
              <w:top w:val="single" w:color="auto" w:sz="4" w:space="0"/>
              <w:left w:val="single" w:color="auto" w:sz="4" w:space="0"/>
              <w:bottom w:val="single" w:color="auto" w:sz="4" w:space="0"/>
              <w:right w:val="single" w:color="auto" w:sz="4" w:space="0"/>
            </w:tcBorders>
            <w:noWrap w:val="0"/>
            <w:vAlign w:val="center"/>
          </w:tcPr>
          <w:p w14:paraId="6B943051">
            <w:pPr>
              <w:adjustRightInd w:val="0"/>
              <w:snapToGrid w:val="0"/>
              <w:spacing w:line="360" w:lineRule="auto"/>
              <w:ind w:right="11" w:firstLine="420" w:firstLineChars="200"/>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lang w:bidi="ar"/>
              </w:rPr>
              <w:t>5000</w:t>
            </w:r>
          </w:p>
        </w:tc>
      </w:tr>
      <w:tr w14:paraId="5770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32A8A1B4">
            <w:pPr>
              <w:adjustRightInd w:val="0"/>
              <w:snapToGrid w:val="0"/>
              <w:spacing w:line="360" w:lineRule="auto"/>
              <w:ind w:right="11" w:firstLine="420" w:firstLineChars="200"/>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lang w:bidi="ar"/>
              </w:rPr>
              <w:t>2</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29767A16">
            <w:pPr>
              <w:adjustRightInd w:val="0"/>
              <w:snapToGrid w:val="0"/>
              <w:spacing w:line="360" w:lineRule="auto"/>
              <w:ind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1亿</w:t>
            </w:r>
            <w:r>
              <w:rPr>
                <w:rFonts w:hint="eastAsia" w:ascii="宋体" w:hAnsi="宋体" w:eastAsia="宋体" w:cs="宋体"/>
                <w:bCs/>
                <w:color w:val="auto"/>
                <w:kern w:val="0"/>
                <w:szCs w:val="21"/>
                <w:highlight w:val="none"/>
                <w:lang w:bidi="ar"/>
              </w:rPr>
              <w:t>&lt;</w:t>
            </w:r>
            <w:r>
              <w:rPr>
                <w:rFonts w:hint="eastAsia" w:ascii="宋体" w:hAnsi="宋体" w:eastAsia="宋体" w:cs="宋体"/>
                <w:bCs/>
                <w:snapToGrid w:val="0"/>
                <w:color w:val="auto"/>
                <w:kern w:val="0"/>
                <w:szCs w:val="21"/>
                <w:highlight w:val="none"/>
                <w:lang w:bidi="ar"/>
              </w:rPr>
              <w:t>且≤</w:t>
            </w:r>
            <w:r>
              <w:rPr>
                <w:rFonts w:hint="eastAsia" w:ascii="宋体" w:hAnsi="宋体" w:eastAsia="宋体" w:cs="宋体"/>
                <w:bCs/>
                <w:color w:val="auto"/>
                <w:kern w:val="0"/>
                <w:szCs w:val="21"/>
                <w:highlight w:val="none"/>
                <w:lang w:bidi="ar"/>
              </w:rPr>
              <w:t>5</w:t>
            </w:r>
            <w:r>
              <w:rPr>
                <w:rFonts w:hint="eastAsia" w:ascii="宋体" w:hAnsi="宋体" w:eastAsia="宋体" w:cs="宋体"/>
                <w:bCs/>
                <w:snapToGrid w:val="0"/>
                <w:color w:val="auto"/>
                <w:kern w:val="0"/>
                <w:szCs w:val="21"/>
                <w:highlight w:val="none"/>
                <w:lang w:bidi="ar"/>
              </w:rPr>
              <w:t>亿</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7E9E96A2">
            <w:pPr>
              <w:adjustRightInd w:val="0"/>
              <w:snapToGrid w:val="0"/>
              <w:spacing w:line="360" w:lineRule="auto"/>
              <w:ind w:right="11" w:firstLine="420" w:firstLineChars="200"/>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lang w:bidi="ar"/>
              </w:rPr>
              <w:t>2000</w:t>
            </w:r>
          </w:p>
        </w:tc>
        <w:tc>
          <w:tcPr>
            <w:tcW w:w="2464" w:type="dxa"/>
            <w:tcBorders>
              <w:top w:val="single" w:color="auto" w:sz="4" w:space="0"/>
              <w:left w:val="single" w:color="auto" w:sz="4" w:space="0"/>
              <w:bottom w:val="single" w:color="auto" w:sz="4" w:space="0"/>
              <w:right w:val="single" w:color="auto" w:sz="4" w:space="0"/>
            </w:tcBorders>
            <w:noWrap w:val="0"/>
            <w:vAlign w:val="center"/>
          </w:tcPr>
          <w:p w14:paraId="4CB06C2A">
            <w:pPr>
              <w:adjustRightInd w:val="0"/>
              <w:snapToGrid w:val="0"/>
              <w:spacing w:line="360" w:lineRule="auto"/>
              <w:ind w:right="11" w:firstLine="420" w:firstLineChars="200"/>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lang w:bidi="ar"/>
              </w:rPr>
              <w:t>10000</w:t>
            </w:r>
          </w:p>
        </w:tc>
      </w:tr>
      <w:tr w14:paraId="0486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22C19F4">
            <w:pPr>
              <w:adjustRightInd w:val="0"/>
              <w:snapToGrid w:val="0"/>
              <w:spacing w:line="360" w:lineRule="auto"/>
              <w:ind w:right="11" w:firstLine="420" w:firstLineChars="200"/>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lang w:bidi="ar"/>
              </w:rPr>
              <w:t>3</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5EADFCF8">
            <w:pPr>
              <w:adjustRightInd w:val="0"/>
              <w:snapToGrid w:val="0"/>
              <w:spacing w:line="360" w:lineRule="auto"/>
              <w:ind w:right="11"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&gt;5亿</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5F6B1D58">
            <w:pPr>
              <w:adjustRightInd w:val="0"/>
              <w:snapToGrid w:val="0"/>
              <w:spacing w:line="360" w:lineRule="auto"/>
              <w:ind w:right="11" w:firstLine="420" w:firstLineChars="200"/>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lang w:bidi="ar"/>
              </w:rPr>
              <w:t>3000</w:t>
            </w:r>
          </w:p>
        </w:tc>
        <w:tc>
          <w:tcPr>
            <w:tcW w:w="2464" w:type="dxa"/>
            <w:tcBorders>
              <w:top w:val="single" w:color="auto" w:sz="4" w:space="0"/>
              <w:left w:val="single" w:color="auto" w:sz="4" w:space="0"/>
              <w:bottom w:val="single" w:color="auto" w:sz="4" w:space="0"/>
              <w:right w:val="single" w:color="auto" w:sz="4" w:space="0"/>
            </w:tcBorders>
            <w:noWrap w:val="0"/>
            <w:vAlign w:val="center"/>
          </w:tcPr>
          <w:p w14:paraId="7CE980FA">
            <w:pPr>
              <w:adjustRightInd w:val="0"/>
              <w:snapToGrid w:val="0"/>
              <w:spacing w:line="360" w:lineRule="auto"/>
              <w:ind w:right="11" w:firstLine="420" w:firstLineChars="200"/>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lang w:bidi="ar"/>
              </w:rPr>
              <w:t>15000</w:t>
            </w:r>
          </w:p>
        </w:tc>
      </w:tr>
    </w:tbl>
    <w:p w14:paraId="27BFA3CB">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4</w:t>
      </w:r>
      <w:r>
        <w:rPr>
          <w:rFonts w:hint="eastAsia" w:ascii="宋体" w:hAnsi="宋体" w:eastAsia="宋体" w:cs="宋体"/>
          <w:bCs/>
          <w:snapToGrid w:val="0"/>
          <w:color w:val="auto"/>
          <w:kern w:val="0"/>
          <w:szCs w:val="21"/>
          <w:highlight w:val="none"/>
          <w:lang w:bidi="ar"/>
        </w:rPr>
        <w:t>）部分解除合同。委托人向监理人发出部分解除合同的通知后，本合同部分解除即生效，监理人必须在</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日内停止被解除部分的工作，</w:t>
      </w:r>
      <w:r>
        <w:rPr>
          <w:rFonts w:hint="eastAsia" w:ascii="宋体" w:hAnsi="宋体" w:eastAsia="宋体" w:cs="宋体"/>
          <w:bCs/>
          <w:color w:val="auto"/>
          <w:kern w:val="0"/>
          <w:szCs w:val="21"/>
          <w:highlight w:val="none"/>
          <w:lang w:bidi="ar"/>
        </w:rPr>
        <w:t>5</w:t>
      </w:r>
      <w:r>
        <w:rPr>
          <w:rFonts w:hint="eastAsia" w:ascii="宋体" w:hAnsi="宋体" w:eastAsia="宋体" w:cs="宋体"/>
          <w:bCs/>
          <w:snapToGrid w:val="0"/>
          <w:color w:val="auto"/>
          <w:kern w:val="0"/>
          <w:szCs w:val="21"/>
          <w:highlight w:val="none"/>
          <w:lang w:bidi="ar"/>
        </w:rPr>
        <w:t>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w:t>
      </w:r>
      <w:r>
        <w:rPr>
          <w:rFonts w:hint="eastAsia" w:ascii="宋体" w:hAnsi="宋体" w:eastAsia="宋体" w:cs="宋体"/>
          <w:bCs/>
          <w:snapToGrid w:val="0"/>
          <w:color w:val="auto"/>
          <w:kern w:val="0"/>
          <w:szCs w:val="21"/>
          <w:highlight w:val="none"/>
          <w:lang w:eastAsia="zh-CN" w:bidi="ar"/>
        </w:rPr>
        <w:t>，</w:t>
      </w:r>
      <w:r>
        <w:rPr>
          <w:rFonts w:hint="eastAsia" w:ascii="宋体" w:hAnsi="宋体" w:eastAsia="宋体" w:cs="宋体"/>
          <w:bCs/>
          <w:snapToGrid w:val="0"/>
          <w:color w:val="auto"/>
          <w:kern w:val="0"/>
          <w:szCs w:val="21"/>
          <w:highlight w:val="none"/>
          <w:lang w:val="en-US" w:eastAsia="zh-CN" w:bidi="ar"/>
        </w:rPr>
        <w:t>要求监理人按</w:t>
      </w:r>
      <w:r>
        <w:rPr>
          <w:rFonts w:hint="eastAsia" w:ascii="宋体" w:hAnsi="宋体" w:eastAsia="宋体" w:cs="宋体"/>
          <w:bCs/>
          <w:snapToGrid w:val="0"/>
          <w:color w:val="auto"/>
          <w:kern w:val="0"/>
          <w:szCs w:val="21"/>
          <w:highlight w:val="none"/>
          <w:lang w:bidi="ar"/>
        </w:rPr>
        <w:t>本工程监理酬金总额</w:t>
      </w:r>
      <w:r>
        <w:rPr>
          <w:rFonts w:hint="eastAsia" w:ascii="宋体" w:hAnsi="宋体" w:eastAsia="宋体" w:cs="宋体"/>
          <w:bCs/>
          <w:snapToGrid w:val="0"/>
          <w:color w:val="auto"/>
          <w:kern w:val="0"/>
          <w:szCs w:val="21"/>
          <w:highlight w:val="none"/>
          <w:lang w:val="en-US" w:eastAsia="zh-CN" w:bidi="ar"/>
        </w:rPr>
        <w:t>的20%支付违约金</w:t>
      </w:r>
      <w:r>
        <w:rPr>
          <w:rFonts w:hint="eastAsia" w:ascii="宋体" w:hAnsi="宋体" w:eastAsia="宋体" w:cs="宋体"/>
          <w:bCs/>
          <w:snapToGrid w:val="0"/>
          <w:color w:val="auto"/>
          <w:kern w:val="0"/>
          <w:szCs w:val="21"/>
          <w:highlight w:val="none"/>
          <w:lang w:bidi="ar"/>
        </w:rPr>
        <w:t>。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7CD80FE8">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5</w:t>
      </w:r>
      <w:r>
        <w:rPr>
          <w:rFonts w:hint="eastAsia" w:ascii="宋体" w:hAnsi="宋体" w:eastAsia="宋体" w:cs="宋体"/>
          <w:bCs/>
          <w:snapToGrid w:val="0"/>
          <w:color w:val="auto"/>
          <w:kern w:val="0"/>
          <w:szCs w:val="21"/>
          <w:highlight w:val="none"/>
          <w:lang w:bidi="ar"/>
        </w:rPr>
        <w:t>）解除合同。委托人向监理人发出解除合同的通知后，本合同即解除，委托人有权要求监理人按本工程监理酬金总额的20%支付违约金。监理人必须在</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日内停止全部工作，</w:t>
      </w:r>
      <w:r>
        <w:rPr>
          <w:rFonts w:hint="eastAsia" w:ascii="宋体" w:hAnsi="宋体" w:eastAsia="宋体" w:cs="宋体"/>
          <w:bCs/>
          <w:color w:val="auto"/>
          <w:kern w:val="0"/>
          <w:szCs w:val="21"/>
          <w:highlight w:val="none"/>
          <w:lang w:bidi="ar"/>
        </w:rPr>
        <w:t>5</w:t>
      </w:r>
      <w:r>
        <w:rPr>
          <w:rFonts w:hint="eastAsia" w:ascii="宋体" w:hAnsi="宋体" w:eastAsia="宋体" w:cs="宋体"/>
          <w:bCs/>
          <w:snapToGrid w:val="0"/>
          <w:color w:val="auto"/>
          <w:kern w:val="0"/>
          <w:szCs w:val="21"/>
          <w:highlight w:val="none"/>
          <w:lang w:bidi="ar"/>
        </w:rPr>
        <w:t>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由此造成的一切损失。委托人在发出解除合同的通知后，委托人即可委托新的监理人承接该工程，监理人不得影响或阻碍新的监理人办理进场手续和相关工作。</w:t>
      </w:r>
    </w:p>
    <w:p w14:paraId="17A66EED">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6</w:t>
      </w:r>
      <w:r>
        <w:rPr>
          <w:rFonts w:hint="eastAsia" w:ascii="宋体" w:hAnsi="宋体" w:eastAsia="宋体" w:cs="宋体"/>
          <w:bCs/>
          <w:snapToGrid w:val="0"/>
          <w:color w:val="auto"/>
          <w:kern w:val="0"/>
          <w:szCs w:val="21"/>
          <w:highlight w:val="none"/>
          <w:lang w:bidi="ar"/>
        </w:rPr>
        <w:t>）赔偿损失。因监理人违约或工作失误给委托人造成损失的，监理人应向委托人赔偿与违约有直接或间接因果关系的所有损失，但损失赔偿总额不应超过本工程监理酬金总额。如果损失是由于监理人故意或严重渎职造成的，监理人应承担全部赔偿责任且损失赔偿总额不受本工程监理酬金总额的限制。</w:t>
      </w:r>
    </w:p>
    <w:p w14:paraId="73237885">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26.2三次书面警告则另行追加一次一般违约责任，三次一般违约责任则另行追加一次严重违约责任。当累计出现三次严重违约或者工程进度严重滞后时，委托人有权要求监理人的法定代表人驻场办公代行项目总监职责，直至其监理工作达到委托人满意时方可离场。</w:t>
      </w:r>
    </w:p>
    <w:p w14:paraId="3AC6D440">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26.3当监理人违约需向委托人支付违约金或赔偿金时，委托人将书面通知监理人交纳，监理人拒绝交纳的，委托人将从应支付给监理人的监理酬金中直接扣除，扣除款项计入累计监理酬金进度款，结算时不予退还，监理人不得有异议。同时，委托人保留进一步依法追究监理人及其保证人有关责任的权利。</w:t>
      </w:r>
    </w:p>
    <w:p w14:paraId="2FCDE27A">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26.4当监理人无正当理由而不履行或没有充分履行其相关承诺及监理义务时，委托人有权书面通知监理人，指明其未能履约的内容和委托人要求其承担违约责任的等级。</w:t>
      </w:r>
    </w:p>
    <w:p w14:paraId="20BF7D41">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26.4.1监理组织管理方面的违约责任：</w:t>
      </w:r>
    </w:p>
    <w:p w14:paraId="4CDF26E9">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监理人承诺主动支持委托人的工作，对委托人的指令和书面通知，若无正当理由又未提前报告、得到认可，而公开或变相拒不执行的，第一次按一般违约处理；第二次以后，每违反一次按一次严重违约处理；同时，监理人须承担由此造成的一切经济损失。情节较轻的，可给予书面警告；情节特别严重的，委托人有权单方面部分解除合同或解除合同，并要求监理人按本合同专用条件26.1条的约定承担违约责任。</w:t>
      </w:r>
    </w:p>
    <w:p w14:paraId="5DC1F00F">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2</w:t>
      </w:r>
      <w:r>
        <w:rPr>
          <w:rFonts w:hint="eastAsia" w:ascii="宋体" w:hAnsi="宋体" w:eastAsia="宋体" w:cs="宋体"/>
          <w:bCs/>
          <w:snapToGrid w:val="0"/>
          <w:color w:val="auto"/>
          <w:kern w:val="0"/>
          <w:szCs w:val="21"/>
          <w:highlight w:val="none"/>
          <w:lang w:bidi="ar"/>
        </w:rPr>
        <w:t>）监理人不遵守委托人依据本合同协议书第六条约定所制订的各项制度、规定的，由监理人按所违反制度、规定的有关规定承担违约责任。所触犯制度、规定没有明确规定的，由委托人参照本条第</w:t>
      </w:r>
      <w:r>
        <w:rPr>
          <w:rFonts w:hint="eastAsia" w:ascii="宋体" w:hAnsi="宋体" w:eastAsia="宋体" w:cs="宋体"/>
          <w:bCs/>
          <w:color w:val="auto"/>
          <w:kern w:val="0"/>
          <w:szCs w:val="21"/>
          <w:highlight w:val="none"/>
          <w:lang w:bidi="ar"/>
        </w:rPr>
        <w:t>26.4.1-</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）款的约定处理。</w:t>
      </w:r>
    </w:p>
    <w:p w14:paraId="2F0F338E">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）监理人未按承诺建立组织架构、派驻监理人员和投入设备，监理人必须按委托人要求限期整改，并承担相应违约责任。具体约定为：</w:t>
      </w:r>
    </w:p>
    <w:p w14:paraId="0A415585">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1）在委托人书面通知监理人进场后</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日内，监理人承诺的项目总监不到位，或到位后又离开，造成该岗位空缺。委托人一旦发现，将要求监理人做出书面解释并保证人员限期到位，同时将要求监理人承担一般违约责任</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次；如果监理人拒不配合，未在委托人提出限期改正的期限内进行整改的，监理人应承担严重违约责任</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次，委托人有权单方面提出解除合同，并要求监理人按本合同专用条件26.1条的约定承担违约责任。</w:t>
      </w:r>
    </w:p>
    <w:p w14:paraId="6134E3BD">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2）在委托人书面通知监理人进场后</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日内，监理人在投标文件中承诺的主要监理人员（指专业监理工程师、造价工程师及同等级别以上的监理人员）未能足额到位，或到位后又离开，造成该岗位空缺，或未按承诺依时、足额投入有关设备，委托人一旦发现将要求监理人做出书面解释并保证人员、设备限期到位；如果监理人拒不配合，未在委托人提出限期改正的期限内进行整改的，监理人应承担严重违约责任</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次，直至解除合同，并按本合同专用条件26.1条的约定承担违约责任。</w:t>
      </w:r>
    </w:p>
    <w:p w14:paraId="395C66D9">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4</w:t>
      </w:r>
      <w:r>
        <w:rPr>
          <w:rFonts w:hint="eastAsia" w:ascii="宋体" w:hAnsi="宋体" w:eastAsia="宋体" w:cs="宋体"/>
          <w:bCs/>
          <w:snapToGrid w:val="0"/>
          <w:color w:val="auto"/>
          <w:kern w:val="0"/>
          <w:szCs w:val="21"/>
          <w:highlight w:val="none"/>
          <w:lang w:bidi="ar"/>
        </w:rPr>
        <w:t>）监理人必须严格按照投标承诺投入监理人员，调换监理人员必须提出书面报告并附上替代人员的所有证明资料，经委托人审核书面同意后才能调换。委托人要求监理人更换个别监理人员时，监理人在接到委托人通知后三日内安排更换到位，否则，委托人将有权延期支付监理酬金，并由委托人直接聘请，聘请人员所需费用按本合同专用条件第</w:t>
      </w:r>
      <w:r>
        <w:rPr>
          <w:rFonts w:hint="eastAsia" w:ascii="宋体" w:hAnsi="宋体" w:eastAsia="宋体" w:cs="宋体"/>
          <w:bCs/>
          <w:color w:val="auto"/>
          <w:kern w:val="0"/>
          <w:szCs w:val="21"/>
          <w:highlight w:val="none"/>
          <w:lang w:bidi="ar"/>
        </w:rPr>
        <w:t>4.2.1-</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12</w:t>
      </w:r>
      <w:r>
        <w:rPr>
          <w:rFonts w:hint="eastAsia" w:ascii="宋体" w:hAnsi="宋体" w:eastAsia="宋体" w:cs="宋体"/>
          <w:bCs/>
          <w:snapToGrid w:val="0"/>
          <w:color w:val="auto"/>
          <w:kern w:val="0"/>
          <w:szCs w:val="21"/>
          <w:highlight w:val="none"/>
          <w:lang w:bidi="ar"/>
        </w:rPr>
        <w:t>）款的约定执行。同时，监理人应按下表的约定承担违约责任；情节严重的，委托人有权单方面解除合同</w:t>
      </w:r>
      <w:r>
        <w:rPr>
          <w:rFonts w:hint="eastAsia" w:ascii="宋体" w:hAnsi="宋体" w:eastAsia="宋体" w:cs="宋体"/>
          <w:bCs/>
          <w:snapToGrid w:val="0"/>
          <w:color w:val="auto"/>
          <w:kern w:val="0"/>
          <w:szCs w:val="21"/>
          <w:highlight w:val="none"/>
          <w:lang w:eastAsia="zh-CN" w:bidi="ar"/>
        </w:rPr>
        <w:t>，并要求监理人按本合同专用条件26.1条的约定承担违约责任</w:t>
      </w:r>
      <w:r>
        <w:rPr>
          <w:rFonts w:hint="eastAsia" w:ascii="宋体" w:hAnsi="宋体" w:eastAsia="宋体" w:cs="宋体"/>
          <w:bCs/>
          <w:snapToGrid w:val="0"/>
          <w:color w:val="auto"/>
          <w:kern w:val="0"/>
          <w:szCs w:val="21"/>
          <w:highlight w:val="none"/>
          <w:lang w:bidi="ar"/>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500"/>
        <w:gridCol w:w="4433"/>
      </w:tblGrid>
      <w:tr w14:paraId="1C70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69B6C4F4">
            <w:pPr>
              <w:tabs>
                <w:tab w:val="left" w:pos="360"/>
              </w:tabs>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序号</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2D0A8D72">
            <w:pPr>
              <w:tabs>
                <w:tab w:val="left" w:pos="360"/>
              </w:tabs>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违约项目</w:t>
            </w:r>
          </w:p>
        </w:tc>
        <w:tc>
          <w:tcPr>
            <w:tcW w:w="4433" w:type="dxa"/>
            <w:tcBorders>
              <w:top w:val="single" w:color="auto" w:sz="4" w:space="0"/>
              <w:left w:val="single" w:color="auto" w:sz="4" w:space="0"/>
              <w:bottom w:val="single" w:color="auto" w:sz="4" w:space="0"/>
              <w:right w:val="single" w:color="auto" w:sz="4" w:space="0"/>
            </w:tcBorders>
            <w:noWrap w:val="0"/>
            <w:vAlign w:val="center"/>
          </w:tcPr>
          <w:p w14:paraId="503D82ED">
            <w:pPr>
              <w:tabs>
                <w:tab w:val="left" w:pos="360"/>
              </w:tabs>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违约金</w:t>
            </w:r>
          </w:p>
          <w:p w14:paraId="6EC27D80">
            <w:pPr>
              <w:tabs>
                <w:tab w:val="left" w:pos="360"/>
              </w:tabs>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（元</w:t>
            </w:r>
            <w:r>
              <w:rPr>
                <w:rFonts w:hint="eastAsia" w:ascii="宋体" w:hAnsi="宋体" w:eastAsia="宋体" w:cs="宋体"/>
                <w:color w:val="auto"/>
                <w:kern w:val="0"/>
                <w:szCs w:val="21"/>
                <w:highlight w:val="none"/>
                <w:lang w:bidi="ar"/>
              </w:rPr>
              <w:t>/</w:t>
            </w:r>
            <w:r>
              <w:rPr>
                <w:rFonts w:hint="eastAsia" w:ascii="宋体" w:hAnsi="宋体" w:eastAsia="宋体" w:cs="宋体"/>
                <w:snapToGrid w:val="0"/>
                <w:color w:val="auto"/>
                <w:kern w:val="0"/>
                <w:szCs w:val="21"/>
                <w:highlight w:val="none"/>
                <w:lang w:bidi="ar"/>
              </w:rPr>
              <w:t>人·次）</w:t>
            </w:r>
          </w:p>
        </w:tc>
      </w:tr>
      <w:tr w14:paraId="5D66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292A3376">
            <w:pPr>
              <w:tabs>
                <w:tab w:val="left" w:pos="360"/>
              </w:tabs>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bidi="ar"/>
              </w:rPr>
              <w:t>1</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09154C28">
            <w:pPr>
              <w:tabs>
                <w:tab w:val="left" w:pos="360"/>
              </w:tabs>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监理人自行调换或未按照委托人要求及时更换项目总监</w:t>
            </w:r>
          </w:p>
        </w:tc>
        <w:tc>
          <w:tcPr>
            <w:tcW w:w="4433" w:type="dxa"/>
            <w:tcBorders>
              <w:top w:val="single" w:color="auto" w:sz="4" w:space="0"/>
              <w:left w:val="single" w:color="auto" w:sz="4" w:space="0"/>
              <w:bottom w:val="single" w:color="auto" w:sz="4" w:space="0"/>
              <w:right w:val="single" w:color="auto" w:sz="4" w:space="0"/>
            </w:tcBorders>
            <w:noWrap w:val="0"/>
            <w:vAlign w:val="center"/>
          </w:tcPr>
          <w:p w14:paraId="1777C8FA">
            <w:pPr>
              <w:tabs>
                <w:tab w:val="left" w:pos="360"/>
              </w:tabs>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bCs/>
                <w:snapToGrid w:val="0"/>
                <w:color w:val="auto"/>
                <w:kern w:val="0"/>
                <w:szCs w:val="21"/>
                <w:highlight w:val="none"/>
                <w:lang w:bidi="ar"/>
              </w:rPr>
              <w:t>本合同监理酬金总额的</w:t>
            </w:r>
            <w:r>
              <w:rPr>
                <w:rFonts w:hint="eastAsia" w:ascii="宋体" w:hAnsi="宋体" w:eastAsia="宋体" w:cs="宋体"/>
                <w:bCs/>
                <w:color w:val="auto"/>
                <w:kern w:val="0"/>
                <w:szCs w:val="21"/>
                <w:highlight w:val="none"/>
                <w:lang w:bidi="ar"/>
              </w:rPr>
              <w:t>2%</w:t>
            </w:r>
          </w:p>
        </w:tc>
      </w:tr>
      <w:tr w14:paraId="1B23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79F5CD0B">
            <w:pPr>
              <w:tabs>
                <w:tab w:val="left" w:pos="360"/>
              </w:tabs>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bidi="ar"/>
              </w:rPr>
              <w:t>2</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38C85D70">
            <w:pPr>
              <w:tabs>
                <w:tab w:val="left" w:pos="360"/>
              </w:tabs>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监理人自行调换或未按照委托人要求及时更换项目副总监、项目总工或总监代表</w:t>
            </w:r>
          </w:p>
        </w:tc>
        <w:tc>
          <w:tcPr>
            <w:tcW w:w="4433" w:type="dxa"/>
            <w:tcBorders>
              <w:top w:val="single" w:color="auto" w:sz="4" w:space="0"/>
              <w:left w:val="single" w:color="auto" w:sz="4" w:space="0"/>
              <w:bottom w:val="single" w:color="auto" w:sz="4" w:space="0"/>
              <w:right w:val="single" w:color="auto" w:sz="4" w:space="0"/>
            </w:tcBorders>
            <w:noWrap w:val="0"/>
            <w:vAlign w:val="center"/>
          </w:tcPr>
          <w:p w14:paraId="3EFC1684">
            <w:pPr>
              <w:tabs>
                <w:tab w:val="left" w:pos="360"/>
              </w:tabs>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bCs/>
                <w:snapToGrid w:val="0"/>
                <w:color w:val="auto"/>
                <w:kern w:val="0"/>
                <w:szCs w:val="21"/>
                <w:highlight w:val="none"/>
                <w:lang w:bidi="ar"/>
              </w:rPr>
              <w:t>本合同监理酬金总额的</w:t>
            </w:r>
            <w:r>
              <w:rPr>
                <w:rFonts w:hint="eastAsia" w:ascii="宋体" w:hAnsi="宋体" w:eastAsia="宋体" w:cs="宋体"/>
                <w:bCs/>
                <w:color w:val="auto"/>
                <w:kern w:val="0"/>
                <w:szCs w:val="21"/>
                <w:highlight w:val="none"/>
                <w:lang w:bidi="ar"/>
              </w:rPr>
              <w:t>1%</w:t>
            </w:r>
          </w:p>
        </w:tc>
      </w:tr>
      <w:tr w14:paraId="3881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29F10443">
            <w:pPr>
              <w:tabs>
                <w:tab w:val="left" w:pos="360"/>
              </w:tabs>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bidi="ar"/>
              </w:rPr>
              <w:t>3</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0A68E8DA">
            <w:pPr>
              <w:tabs>
                <w:tab w:val="left" w:pos="360"/>
              </w:tabs>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监理人自行调换或未按照委托人要求及时更换专业监理工程师</w:t>
            </w:r>
          </w:p>
        </w:tc>
        <w:tc>
          <w:tcPr>
            <w:tcW w:w="4433" w:type="dxa"/>
            <w:tcBorders>
              <w:top w:val="single" w:color="auto" w:sz="4" w:space="0"/>
              <w:left w:val="single" w:color="auto" w:sz="4" w:space="0"/>
              <w:bottom w:val="single" w:color="auto" w:sz="4" w:space="0"/>
              <w:right w:val="single" w:color="auto" w:sz="4" w:space="0"/>
            </w:tcBorders>
            <w:noWrap w:val="0"/>
            <w:vAlign w:val="center"/>
          </w:tcPr>
          <w:p w14:paraId="1B078D12">
            <w:pPr>
              <w:tabs>
                <w:tab w:val="left" w:pos="360"/>
              </w:tabs>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bCs/>
                <w:snapToGrid w:val="0"/>
                <w:color w:val="auto"/>
                <w:kern w:val="0"/>
                <w:szCs w:val="21"/>
                <w:highlight w:val="none"/>
                <w:lang w:bidi="ar"/>
              </w:rPr>
              <w:t>本合同监理酬金总额的</w:t>
            </w:r>
            <w:r>
              <w:rPr>
                <w:rFonts w:hint="eastAsia" w:ascii="宋体" w:hAnsi="宋体" w:eastAsia="宋体" w:cs="宋体"/>
                <w:bCs/>
                <w:color w:val="auto"/>
                <w:kern w:val="0"/>
                <w:szCs w:val="21"/>
                <w:highlight w:val="none"/>
                <w:lang w:bidi="ar"/>
              </w:rPr>
              <w:t>0.5%</w:t>
            </w:r>
          </w:p>
        </w:tc>
      </w:tr>
      <w:tr w14:paraId="1ED0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20A9CCD3">
            <w:pPr>
              <w:tabs>
                <w:tab w:val="left" w:pos="360"/>
              </w:tabs>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bidi="ar"/>
              </w:rPr>
              <w:t>4</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0CB95368">
            <w:pPr>
              <w:tabs>
                <w:tab w:val="left" w:pos="360"/>
              </w:tabs>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监理人自行调换或未按照委托人要求及时更换造价工程师</w:t>
            </w:r>
          </w:p>
        </w:tc>
        <w:tc>
          <w:tcPr>
            <w:tcW w:w="4433" w:type="dxa"/>
            <w:tcBorders>
              <w:top w:val="single" w:color="auto" w:sz="4" w:space="0"/>
              <w:left w:val="single" w:color="auto" w:sz="4" w:space="0"/>
              <w:bottom w:val="single" w:color="auto" w:sz="4" w:space="0"/>
              <w:right w:val="single" w:color="auto" w:sz="4" w:space="0"/>
            </w:tcBorders>
            <w:noWrap w:val="0"/>
            <w:vAlign w:val="center"/>
          </w:tcPr>
          <w:p w14:paraId="27B73E6A">
            <w:pPr>
              <w:tabs>
                <w:tab w:val="left" w:pos="360"/>
              </w:tabs>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bCs/>
                <w:snapToGrid w:val="0"/>
                <w:color w:val="auto"/>
                <w:kern w:val="0"/>
                <w:szCs w:val="21"/>
                <w:highlight w:val="none"/>
                <w:lang w:bidi="ar"/>
              </w:rPr>
              <w:t>本合同监理酬金总额的</w:t>
            </w:r>
            <w:r>
              <w:rPr>
                <w:rFonts w:hint="eastAsia" w:ascii="宋体" w:hAnsi="宋体" w:eastAsia="宋体" w:cs="宋体"/>
                <w:bCs/>
                <w:color w:val="auto"/>
                <w:kern w:val="0"/>
                <w:szCs w:val="21"/>
                <w:highlight w:val="none"/>
                <w:lang w:bidi="ar"/>
              </w:rPr>
              <w:t>0.5%</w:t>
            </w:r>
          </w:p>
        </w:tc>
      </w:tr>
    </w:tbl>
    <w:p w14:paraId="38258EBA">
      <w:pPr>
        <w:adjustRightInd w:val="0"/>
        <w:snapToGrid w:val="0"/>
        <w:spacing w:line="360" w:lineRule="auto"/>
        <w:ind w:firstLine="420" w:firstLineChars="200"/>
        <w:rPr>
          <w:rFonts w:hint="eastAsia" w:ascii="宋体" w:hAnsi="宋体" w:eastAsia="宋体" w:cs="宋体"/>
          <w:bCs/>
          <w:snapToGrid w:val="0"/>
          <w:color w:val="auto"/>
          <w:kern w:val="0"/>
          <w:szCs w:val="21"/>
          <w:highlight w:val="none"/>
        </w:rPr>
      </w:pPr>
    </w:p>
    <w:p w14:paraId="18989B67">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5</w:t>
      </w:r>
      <w:r>
        <w:rPr>
          <w:rFonts w:hint="eastAsia" w:ascii="宋体" w:hAnsi="宋体" w:eastAsia="宋体" w:cs="宋体"/>
          <w:bCs/>
          <w:snapToGrid w:val="0"/>
          <w:color w:val="auto"/>
          <w:kern w:val="0"/>
          <w:szCs w:val="21"/>
          <w:highlight w:val="none"/>
          <w:lang w:bidi="ar"/>
        </w:rPr>
        <w:t>）项目总监若需离开施工现场需报委托人批准，在其请假离开的时间段内应书面委托其他驻场监理工程师（需具有相应资质和能力）全权代表其行使职权；否则每违约一次，委托人将要求监理人承担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次一般违约责任。</w:t>
      </w:r>
    </w:p>
    <w:p w14:paraId="57F98BD8">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6</w:t>
      </w:r>
      <w:r>
        <w:rPr>
          <w:rFonts w:hint="eastAsia" w:ascii="宋体" w:hAnsi="宋体" w:eastAsia="宋体" w:cs="宋体"/>
          <w:bCs/>
          <w:snapToGrid w:val="0"/>
          <w:color w:val="auto"/>
          <w:kern w:val="0"/>
          <w:szCs w:val="21"/>
          <w:highlight w:val="none"/>
          <w:lang w:bidi="ar"/>
        </w:rPr>
        <w:t>）其他监理人员需离开施工现场</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日以上需报委托人批准，在其请假离开的时间段内应书面委托其他驻场监理代表全权代表其行使相应职权；否则，每违约一次，委托人将要求监理人承担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次一般违约责任。</w:t>
      </w:r>
    </w:p>
    <w:p w14:paraId="55E3B10C">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7</w:t>
      </w:r>
      <w:r>
        <w:rPr>
          <w:rFonts w:hint="eastAsia" w:ascii="宋体" w:hAnsi="宋体" w:eastAsia="宋体" w:cs="宋体"/>
          <w:bCs/>
          <w:snapToGrid w:val="0"/>
          <w:color w:val="auto"/>
          <w:kern w:val="0"/>
          <w:szCs w:val="21"/>
          <w:highlight w:val="none"/>
          <w:lang w:bidi="ar"/>
        </w:rPr>
        <w:t>）委托人将对驻场监理人员进行考勤，如项目总监每月请假日数累计超过</w:t>
      </w:r>
      <w:r>
        <w:rPr>
          <w:rFonts w:hint="eastAsia" w:ascii="宋体" w:hAnsi="宋体" w:eastAsia="宋体" w:cs="宋体"/>
          <w:bCs/>
          <w:color w:val="auto"/>
          <w:kern w:val="0"/>
          <w:szCs w:val="21"/>
          <w:highlight w:val="none"/>
          <w:lang w:bidi="ar"/>
        </w:rPr>
        <w:t>4</w:t>
      </w:r>
      <w:r>
        <w:rPr>
          <w:rFonts w:hint="eastAsia" w:ascii="宋体" w:hAnsi="宋体" w:eastAsia="宋体" w:cs="宋体"/>
          <w:bCs/>
          <w:snapToGrid w:val="0"/>
          <w:color w:val="auto"/>
          <w:kern w:val="0"/>
          <w:szCs w:val="21"/>
          <w:highlight w:val="none"/>
          <w:lang w:bidi="ar"/>
        </w:rPr>
        <w:t>日，监理人必须承担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次一般违约责任；如其他监理人员每月请假日数累计超过</w:t>
      </w:r>
      <w:r>
        <w:rPr>
          <w:rFonts w:hint="eastAsia" w:ascii="宋体" w:hAnsi="宋体" w:eastAsia="宋体" w:cs="宋体"/>
          <w:bCs/>
          <w:color w:val="auto"/>
          <w:kern w:val="0"/>
          <w:szCs w:val="21"/>
          <w:highlight w:val="none"/>
          <w:lang w:bidi="ar"/>
        </w:rPr>
        <w:t>6</w:t>
      </w:r>
      <w:r>
        <w:rPr>
          <w:rFonts w:hint="eastAsia" w:ascii="宋体" w:hAnsi="宋体" w:eastAsia="宋体" w:cs="宋体"/>
          <w:bCs/>
          <w:snapToGrid w:val="0"/>
          <w:color w:val="auto"/>
          <w:kern w:val="0"/>
          <w:szCs w:val="21"/>
          <w:highlight w:val="none"/>
          <w:lang w:bidi="ar"/>
        </w:rPr>
        <w:t>日，且请假总人数全月累计超过监理人数的</w:t>
      </w:r>
      <w:r>
        <w:rPr>
          <w:rFonts w:hint="eastAsia" w:ascii="宋体" w:hAnsi="宋体" w:eastAsia="宋体" w:cs="宋体"/>
          <w:bCs/>
          <w:color w:val="auto"/>
          <w:kern w:val="0"/>
          <w:szCs w:val="21"/>
          <w:highlight w:val="none"/>
          <w:lang w:bidi="ar"/>
        </w:rPr>
        <w:t>10%</w:t>
      </w:r>
      <w:r>
        <w:rPr>
          <w:rFonts w:hint="eastAsia" w:ascii="宋体" w:hAnsi="宋体" w:eastAsia="宋体" w:cs="宋体"/>
          <w:bCs/>
          <w:snapToGrid w:val="0"/>
          <w:color w:val="auto"/>
          <w:kern w:val="0"/>
          <w:szCs w:val="21"/>
          <w:highlight w:val="none"/>
          <w:lang w:bidi="ar"/>
        </w:rPr>
        <w:t>，监理人必须承担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次一般违约责任。</w:t>
      </w:r>
    </w:p>
    <w:p w14:paraId="10445C71">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8</w:t>
      </w:r>
      <w:r>
        <w:rPr>
          <w:rFonts w:hint="eastAsia" w:ascii="宋体" w:hAnsi="宋体" w:eastAsia="宋体" w:cs="宋体"/>
          <w:bCs/>
          <w:snapToGrid w:val="0"/>
          <w:color w:val="auto"/>
          <w:kern w:val="0"/>
          <w:szCs w:val="21"/>
          <w:highlight w:val="none"/>
          <w:lang w:bidi="ar"/>
        </w:rPr>
        <w:t>）委托人要求项目总监、项目副总监等主要监理人员必须参加的会议，项目总监、项目副总监等主要监理人员必须到会。未经委托人同意不到会或不按期到会的，应向委托人说明理由，拒不说明理由的，监理人应当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次一般违约责任。</w:t>
      </w:r>
    </w:p>
    <w:p w14:paraId="55BC6927">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9</w:t>
      </w:r>
      <w:r>
        <w:rPr>
          <w:rFonts w:hint="eastAsia" w:ascii="宋体" w:hAnsi="宋体" w:eastAsia="宋体" w:cs="宋体"/>
          <w:bCs/>
          <w:snapToGrid w:val="0"/>
          <w:color w:val="auto"/>
          <w:kern w:val="0"/>
          <w:szCs w:val="21"/>
          <w:highlight w:val="none"/>
          <w:lang w:bidi="ar"/>
        </w:rPr>
        <w:t>）监理人应该定期或不定期组织、主持召开工地例会及各种技术专题会，以及监理大纲、监理规划、监理实施细则和委托人要求必须召开的会议，如有违反，监理人应当承担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次一般违约责任</w:t>
      </w:r>
      <w:r>
        <w:rPr>
          <w:rFonts w:hint="eastAsia" w:ascii="宋体" w:hAnsi="宋体" w:eastAsia="宋体" w:cs="宋体"/>
          <w:bCs/>
          <w:color w:val="auto"/>
          <w:kern w:val="0"/>
          <w:szCs w:val="21"/>
          <w:highlight w:val="none"/>
          <w:lang w:bidi="ar"/>
        </w:rPr>
        <w:t>/</w:t>
      </w:r>
      <w:r>
        <w:rPr>
          <w:rFonts w:hint="eastAsia" w:ascii="宋体" w:hAnsi="宋体" w:eastAsia="宋体" w:cs="宋体"/>
          <w:bCs/>
          <w:snapToGrid w:val="0"/>
          <w:color w:val="auto"/>
          <w:kern w:val="0"/>
          <w:szCs w:val="21"/>
          <w:highlight w:val="none"/>
          <w:lang w:bidi="ar"/>
        </w:rPr>
        <w:t>次。</w:t>
      </w:r>
    </w:p>
    <w:p w14:paraId="2280DCD8">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26.4.2履行监理职责方面的违约责任：</w:t>
      </w:r>
    </w:p>
    <w:p w14:paraId="1084CBF9">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）监理人在自己职责范围内应当作出决定的事项故意拖延或者不作出明确的处理意见，委托人发出书面警告后监理人在整改期限内仍不加以改正的，委托人有权要求监理人承担一般违约责任</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次，造成损失的监理人应承担相应的责任，并赔偿由此造成委托人的损失。</w:t>
      </w:r>
    </w:p>
    <w:p w14:paraId="4F3E3A65">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2</w:t>
      </w:r>
      <w:r>
        <w:rPr>
          <w:rFonts w:hint="eastAsia" w:ascii="宋体" w:hAnsi="宋体" w:eastAsia="宋体" w:cs="宋体"/>
          <w:bCs/>
          <w:snapToGrid w:val="0"/>
          <w:color w:val="auto"/>
          <w:kern w:val="0"/>
          <w:szCs w:val="21"/>
          <w:highlight w:val="none"/>
          <w:lang w:bidi="ar"/>
        </w:rPr>
        <w:t>）对于承包人现场的管理机构人员不到位、擅自离场，管理人员工作能力存在严重不足，监理人不进行检查、督促、处理，不向委托人报告，被委托人发现后，委托人有权给予书面警告并限期改正，监理人拒不限期改正的，应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次一般违约责任。</w:t>
      </w:r>
    </w:p>
    <w:p w14:paraId="2C6F5746">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）承包人未按投标文件所作的承诺投入机械、设备、材料等，监理人对此不进行有效检查、督促、处理，不向委托人报告，被委托人发现后，委托人有权给予书面警告并限期改正，监理人拒不限期改正的，应承担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次一般违约责任。</w:t>
      </w:r>
    </w:p>
    <w:p w14:paraId="17817FB1">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4</w:t>
      </w:r>
      <w:r>
        <w:rPr>
          <w:rFonts w:hint="eastAsia" w:ascii="宋体" w:hAnsi="宋体" w:eastAsia="宋体" w:cs="宋体"/>
          <w:bCs/>
          <w:snapToGrid w:val="0"/>
          <w:color w:val="auto"/>
          <w:kern w:val="0"/>
          <w:szCs w:val="21"/>
          <w:highlight w:val="none"/>
          <w:lang w:bidi="ar"/>
        </w:rPr>
        <w:t>）对于承包人每次进场材料，监理人不进行检查和登记；对已进场的材料，监理人不按有关规定及时进行抽查、送检，监理人承担一般违约责任</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次。如由此出现不合格材料使用于工程上并造成质量缺陷，监理人必须承担一般违约责任</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次。若出现质量事故或经济损失一次</w:t>
      </w:r>
      <w:r>
        <w:rPr>
          <w:rFonts w:hint="eastAsia" w:ascii="宋体" w:hAnsi="宋体" w:eastAsia="宋体" w:cs="宋体"/>
          <w:bCs/>
          <w:color w:val="auto"/>
          <w:kern w:val="0"/>
          <w:szCs w:val="21"/>
          <w:highlight w:val="none"/>
          <w:lang w:bidi="ar"/>
        </w:rPr>
        <w:t>10</w:t>
      </w:r>
      <w:r>
        <w:rPr>
          <w:rFonts w:hint="eastAsia" w:ascii="宋体" w:hAnsi="宋体" w:eastAsia="宋体" w:cs="宋体"/>
          <w:bCs/>
          <w:snapToGrid w:val="0"/>
          <w:color w:val="auto"/>
          <w:kern w:val="0"/>
          <w:szCs w:val="21"/>
          <w:highlight w:val="none"/>
          <w:lang w:bidi="ar"/>
        </w:rPr>
        <w:t>万元以上的，监理人必须承担严重违约责任</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次。造成重大质量安全事故（按国家规定界定），委托人视情况的严重程度有权部分或全部解除合同，并要求监理人按本合同专用条件26.1条的约定承担违约责任。同时，不免除追究承包人和监理人的法律责任。</w:t>
      </w:r>
    </w:p>
    <w:p w14:paraId="41AE5C41">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5</w:t>
      </w:r>
      <w:r>
        <w:rPr>
          <w:rFonts w:hint="eastAsia" w:ascii="宋体" w:hAnsi="宋体" w:eastAsia="宋体" w:cs="宋体"/>
          <w:bCs/>
          <w:snapToGrid w:val="0"/>
          <w:color w:val="auto"/>
          <w:kern w:val="0"/>
          <w:szCs w:val="21"/>
          <w:highlight w:val="none"/>
          <w:lang w:bidi="ar"/>
        </w:rPr>
        <w:t>）监理人在编制项目实施细则中，应按监理规范列明需监理人旁站的工序，并应得到委托人的批准。工程施工过程中，需要监理人进行旁站监督的，监理人没有到场，或者到场后没有进行监督，或发现质量问题后没有及时处理，没有向委托人报告，被委托人发现后，委托人有权给予书面警告并限期改正，监理人拒不限期改正的，应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次一般违约责任。</w:t>
      </w:r>
    </w:p>
    <w:p w14:paraId="1812304F">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6</w:t>
      </w:r>
      <w:r>
        <w:rPr>
          <w:rFonts w:hint="eastAsia" w:ascii="宋体" w:hAnsi="宋体" w:eastAsia="宋体" w:cs="宋体"/>
          <w:bCs/>
          <w:snapToGrid w:val="0"/>
          <w:color w:val="auto"/>
          <w:kern w:val="0"/>
          <w:szCs w:val="21"/>
          <w:highlight w:val="none"/>
          <w:lang w:bidi="ar"/>
        </w:rPr>
        <w:t>）监理人不按本合同专用条件第</w:t>
      </w:r>
      <w:r>
        <w:rPr>
          <w:rFonts w:hint="eastAsia" w:ascii="宋体" w:hAnsi="宋体" w:eastAsia="宋体" w:cs="宋体"/>
          <w:bCs/>
          <w:color w:val="auto"/>
          <w:kern w:val="0"/>
          <w:szCs w:val="21"/>
          <w:highlight w:val="none"/>
          <w:lang w:bidi="ar"/>
        </w:rPr>
        <w:t>5.11</w:t>
      </w:r>
      <w:r>
        <w:rPr>
          <w:rFonts w:hint="eastAsia" w:ascii="宋体" w:hAnsi="宋体" w:eastAsia="宋体" w:cs="宋体"/>
          <w:bCs/>
          <w:snapToGrid w:val="0"/>
          <w:color w:val="auto"/>
          <w:kern w:val="0"/>
          <w:szCs w:val="21"/>
          <w:highlight w:val="none"/>
          <w:lang w:bidi="ar"/>
        </w:rPr>
        <w:t>款的约定办理有关保险事宜的，委托人有权给予书面警告并限期改正，监理人拒不限期改正的，应承担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次严重违约责任并承担由此产生的一切后果。</w:t>
      </w:r>
    </w:p>
    <w:p w14:paraId="2A9E856E">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7</w:t>
      </w:r>
      <w:r>
        <w:rPr>
          <w:rFonts w:hint="eastAsia" w:ascii="宋体" w:hAnsi="宋体" w:eastAsia="宋体" w:cs="宋体"/>
          <w:bCs/>
          <w:snapToGrid w:val="0"/>
          <w:color w:val="auto"/>
          <w:kern w:val="0"/>
          <w:szCs w:val="21"/>
          <w:highlight w:val="none"/>
          <w:lang w:bidi="ar"/>
        </w:rPr>
        <w:t>）监理人对承包人的施工质量应每月定期或不定期组织大检查并作出报告给委托人。承包人的施工质量经监理人检验为合格，但经委托人或工程质量监督机构抽查，发现质量有不合格或未按设计要求和有关规范进行施工的，监理人应承担一般违约</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次，情节严重的承担严重违约责任</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次，同时，承包人和监理人应赔偿委托人的经济损失。</w:t>
      </w:r>
    </w:p>
    <w:p w14:paraId="6FDBC94C">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8</w:t>
      </w:r>
      <w:r>
        <w:rPr>
          <w:rFonts w:hint="eastAsia" w:ascii="宋体" w:hAnsi="宋体" w:eastAsia="宋体" w:cs="宋体"/>
          <w:bCs/>
          <w:snapToGrid w:val="0"/>
          <w:color w:val="auto"/>
          <w:kern w:val="0"/>
          <w:szCs w:val="21"/>
          <w:highlight w:val="none"/>
          <w:lang w:bidi="ar"/>
        </w:rPr>
        <w:t>）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线路工期比计划滞后</w:t>
      </w:r>
      <w:r>
        <w:rPr>
          <w:rFonts w:hint="eastAsia" w:ascii="宋体" w:hAnsi="宋体" w:eastAsia="宋体" w:cs="宋体"/>
          <w:bCs/>
          <w:color w:val="auto"/>
          <w:kern w:val="0"/>
          <w:szCs w:val="21"/>
          <w:highlight w:val="none"/>
          <w:lang w:bidi="ar"/>
        </w:rPr>
        <w:t>7</w:t>
      </w:r>
      <w:r>
        <w:rPr>
          <w:rFonts w:hint="eastAsia" w:ascii="宋体" w:hAnsi="宋体" w:eastAsia="宋体" w:cs="宋体"/>
          <w:bCs/>
          <w:snapToGrid w:val="0"/>
          <w:color w:val="auto"/>
          <w:kern w:val="0"/>
          <w:szCs w:val="21"/>
          <w:highlight w:val="none"/>
          <w:lang w:bidi="ar"/>
        </w:rPr>
        <w:t>日以上（含</w:t>
      </w:r>
      <w:r>
        <w:rPr>
          <w:rFonts w:hint="eastAsia" w:ascii="宋体" w:hAnsi="宋体" w:eastAsia="宋体" w:cs="宋体"/>
          <w:bCs/>
          <w:color w:val="auto"/>
          <w:kern w:val="0"/>
          <w:szCs w:val="21"/>
          <w:highlight w:val="none"/>
          <w:lang w:bidi="ar"/>
        </w:rPr>
        <w:t>7</w:t>
      </w:r>
      <w:r>
        <w:rPr>
          <w:rFonts w:hint="eastAsia" w:ascii="宋体" w:hAnsi="宋体" w:eastAsia="宋体" w:cs="宋体"/>
          <w:bCs/>
          <w:snapToGrid w:val="0"/>
          <w:color w:val="auto"/>
          <w:kern w:val="0"/>
          <w:szCs w:val="21"/>
          <w:highlight w:val="none"/>
          <w:lang w:bidi="ar"/>
        </w:rPr>
        <w:t>日）的，监理人必须承担一般违约责任</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次；出现关键工期滞后</w:t>
      </w:r>
      <w:r>
        <w:rPr>
          <w:rFonts w:hint="eastAsia" w:ascii="宋体" w:hAnsi="宋体" w:eastAsia="宋体" w:cs="宋体"/>
          <w:bCs/>
          <w:color w:val="auto"/>
          <w:kern w:val="0"/>
          <w:szCs w:val="21"/>
          <w:highlight w:val="none"/>
          <w:lang w:bidi="ar"/>
        </w:rPr>
        <w:t>14</w:t>
      </w:r>
      <w:r>
        <w:rPr>
          <w:rFonts w:hint="eastAsia" w:ascii="宋体" w:hAnsi="宋体" w:eastAsia="宋体" w:cs="宋体"/>
          <w:bCs/>
          <w:snapToGrid w:val="0"/>
          <w:color w:val="auto"/>
          <w:kern w:val="0"/>
          <w:szCs w:val="21"/>
          <w:highlight w:val="none"/>
          <w:lang w:bidi="ar"/>
        </w:rPr>
        <w:t>日以上（含</w:t>
      </w:r>
      <w:r>
        <w:rPr>
          <w:rFonts w:hint="eastAsia" w:ascii="宋体" w:hAnsi="宋体" w:eastAsia="宋体" w:cs="宋体"/>
          <w:bCs/>
          <w:color w:val="auto"/>
          <w:kern w:val="0"/>
          <w:szCs w:val="21"/>
          <w:highlight w:val="none"/>
          <w:lang w:bidi="ar"/>
        </w:rPr>
        <w:t>14</w:t>
      </w:r>
      <w:r>
        <w:rPr>
          <w:rFonts w:hint="eastAsia" w:ascii="宋体" w:hAnsi="宋体" w:eastAsia="宋体" w:cs="宋体"/>
          <w:bCs/>
          <w:snapToGrid w:val="0"/>
          <w:color w:val="auto"/>
          <w:kern w:val="0"/>
          <w:szCs w:val="21"/>
          <w:highlight w:val="none"/>
          <w:lang w:bidi="ar"/>
        </w:rPr>
        <w:t>日）的，监理人必须承担严重违约责任</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次；出现关键线路工期滞后</w:t>
      </w:r>
      <w:r>
        <w:rPr>
          <w:rFonts w:hint="eastAsia" w:ascii="宋体" w:hAnsi="宋体" w:eastAsia="宋体" w:cs="宋体"/>
          <w:bCs/>
          <w:color w:val="auto"/>
          <w:kern w:val="0"/>
          <w:szCs w:val="21"/>
          <w:highlight w:val="none"/>
          <w:lang w:bidi="ar"/>
        </w:rPr>
        <w:t>21</w:t>
      </w:r>
      <w:r>
        <w:rPr>
          <w:rFonts w:hint="eastAsia" w:ascii="宋体" w:hAnsi="宋体" w:eastAsia="宋体" w:cs="宋体"/>
          <w:bCs/>
          <w:snapToGrid w:val="0"/>
          <w:color w:val="auto"/>
          <w:kern w:val="0"/>
          <w:szCs w:val="21"/>
          <w:highlight w:val="none"/>
          <w:lang w:bidi="ar"/>
        </w:rPr>
        <w:t>日以上（含</w:t>
      </w:r>
      <w:r>
        <w:rPr>
          <w:rFonts w:hint="eastAsia" w:ascii="宋体" w:hAnsi="宋体" w:eastAsia="宋体" w:cs="宋体"/>
          <w:bCs/>
          <w:color w:val="auto"/>
          <w:kern w:val="0"/>
          <w:szCs w:val="21"/>
          <w:highlight w:val="none"/>
          <w:lang w:bidi="ar"/>
        </w:rPr>
        <w:t>21</w:t>
      </w:r>
      <w:r>
        <w:rPr>
          <w:rFonts w:hint="eastAsia" w:ascii="宋体" w:hAnsi="宋体" w:eastAsia="宋体" w:cs="宋体"/>
          <w:bCs/>
          <w:snapToGrid w:val="0"/>
          <w:color w:val="auto"/>
          <w:kern w:val="0"/>
          <w:szCs w:val="21"/>
          <w:highlight w:val="none"/>
          <w:lang w:bidi="ar"/>
        </w:rPr>
        <w:t>日）的，委托人有权部分或全部解除合同，并要求监理人按本合同专用条件26.1条的约定承担违约责任。</w:t>
      </w:r>
    </w:p>
    <w:p w14:paraId="62AF1A20">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9</w:t>
      </w:r>
      <w:r>
        <w:rPr>
          <w:rFonts w:hint="eastAsia" w:ascii="宋体" w:hAnsi="宋体" w:eastAsia="宋体" w:cs="宋体"/>
          <w:bCs/>
          <w:snapToGrid w:val="0"/>
          <w:color w:val="auto"/>
          <w:kern w:val="0"/>
          <w:szCs w:val="21"/>
          <w:highlight w:val="none"/>
          <w:lang w:bidi="ar"/>
        </w:rPr>
        <w:t>）对于承包人提交的现场签证资料，监理人未有准确、真实的现场原始记录或不进行现场复核就给予签认，经委托人检查，发现签认的文件有误的，除必须立即改正外，监理人必须承担一般违约责任</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次；对签证错误有可能给委托人造成直接经济损失</w:t>
      </w:r>
      <w:r>
        <w:rPr>
          <w:rFonts w:hint="eastAsia" w:ascii="宋体" w:hAnsi="宋体" w:eastAsia="宋体" w:cs="宋体"/>
          <w:bCs/>
          <w:color w:val="auto"/>
          <w:kern w:val="0"/>
          <w:szCs w:val="21"/>
          <w:highlight w:val="none"/>
          <w:lang w:bidi="ar"/>
        </w:rPr>
        <w:t>10</w:t>
      </w:r>
      <w:r>
        <w:rPr>
          <w:rFonts w:hint="eastAsia" w:ascii="宋体" w:hAnsi="宋体" w:eastAsia="宋体" w:cs="宋体"/>
          <w:bCs/>
          <w:snapToGrid w:val="0"/>
          <w:color w:val="auto"/>
          <w:kern w:val="0"/>
          <w:szCs w:val="21"/>
          <w:highlight w:val="none"/>
          <w:lang w:bidi="ar"/>
        </w:rPr>
        <w:t>万元（含</w:t>
      </w:r>
      <w:r>
        <w:rPr>
          <w:rFonts w:hint="eastAsia" w:ascii="宋体" w:hAnsi="宋体" w:eastAsia="宋体" w:cs="宋体"/>
          <w:bCs/>
          <w:color w:val="auto"/>
          <w:kern w:val="0"/>
          <w:szCs w:val="21"/>
          <w:highlight w:val="none"/>
          <w:lang w:bidi="ar"/>
        </w:rPr>
        <w:t>10</w:t>
      </w:r>
      <w:r>
        <w:rPr>
          <w:rFonts w:hint="eastAsia" w:ascii="宋体" w:hAnsi="宋体" w:eastAsia="宋体" w:cs="宋体"/>
          <w:bCs/>
          <w:snapToGrid w:val="0"/>
          <w:color w:val="auto"/>
          <w:kern w:val="0"/>
          <w:szCs w:val="21"/>
          <w:highlight w:val="none"/>
          <w:lang w:bidi="ar"/>
        </w:rPr>
        <w:t>万元）以上的按严重违约</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次处理，如因监理人故意造成的则按本合同专用条件第</w:t>
      </w:r>
      <w:r>
        <w:rPr>
          <w:rFonts w:hint="eastAsia" w:ascii="宋体" w:hAnsi="宋体" w:eastAsia="宋体" w:cs="宋体"/>
          <w:bCs/>
          <w:color w:val="auto"/>
          <w:kern w:val="0"/>
          <w:szCs w:val="21"/>
          <w:highlight w:val="none"/>
          <w:lang w:bidi="ar"/>
        </w:rPr>
        <w:t>26.1-</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6</w:t>
      </w:r>
      <w:r>
        <w:rPr>
          <w:rFonts w:hint="eastAsia" w:ascii="宋体" w:hAnsi="宋体" w:eastAsia="宋体" w:cs="宋体"/>
          <w:bCs/>
          <w:snapToGrid w:val="0"/>
          <w:color w:val="auto"/>
          <w:kern w:val="0"/>
          <w:szCs w:val="21"/>
          <w:highlight w:val="none"/>
          <w:lang w:bidi="ar"/>
        </w:rPr>
        <w:t>）款执行；对于现场签证（含工程数量、单价等）未经过注册造价工程师审核、或经过注册造价工程师审核但未在规定时间内报送委托人，除必须立即改正外，每累计出现</w:t>
      </w:r>
      <w:r>
        <w:rPr>
          <w:rFonts w:hint="eastAsia" w:ascii="宋体" w:hAnsi="宋体" w:eastAsia="宋体" w:cs="宋体"/>
          <w:bCs/>
          <w:color w:val="auto"/>
          <w:kern w:val="0"/>
          <w:szCs w:val="21"/>
          <w:highlight w:val="none"/>
          <w:lang w:bidi="ar"/>
        </w:rPr>
        <w:t>2</w:t>
      </w:r>
      <w:r>
        <w:rPr>
          <w:rFonts w:hint="eastAsia" w:ascii="宋体" w:hAnsi="宋体" w:eastAsia="宋体" w:cs="宋体"/>
          <w:bCs/>
          <w:snapToGrid w:val="0"/>
          <w:color w:val="auto"/>
          <w:kern w:val="0"/>
          <w:szCs w:val="21"/>
          <w:highlight w:val="none"/>
          <w:lang w:bidi="ar"/>
        </w:rPr>
        <w:t>次监理人必须承担一般违约责任</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w:t>
      </w:r>
    </w:p>
    <w:p w14:paraId="13455C82">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10</w:t>
      </w:r>
      <w:r>
        <w:rPr>
          <w:rFonts w:hint="eastAsia" w:ascii="宋体" w:hAnsi="宋体" w:eastAsia="宋体" w:cs="宋体"/>
          <w:bCs/>
          <w:snapToGrid w:val="0"/>
          <w:color w:val="auto"/>
          <w:kern w:val="0"/>
          <w:szCs w:val="21"/>
          <w:highlight w:val="none"/>
          <w:lang w:bidi="ar"/>
        </w:rPr>
        <w:t>）对承包人提交的施工方案、设计变更等技术文件，监理人对其中明显不符合现场实际的部分，或者与招投标文件不符、会引起委托人投资增加和工期延误的部分，不进行认真审核、不进行优化就给予同意，经审查发现后，除必须限期改正外，监理人必须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次一般违约责任，情节严重的应承担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次严重违约责任。对承包人提交的施工方案、设计变更等技术文件，监理人应当在</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日内予以批复，因监理人未及时批复而影响工程进度、质量的，监理人必须承担严重违约责任</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次；须转报委托人审批的，监理人应在</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日内出具审核意见报委托人，监理人未在</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日内报委托人或未出具审核意见的，监理人除必须限期改正外，监理人必须承担一般违约责任</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承包人提交给监理人审核的资料或文件存在错误须承包人改正的，监理人应将所有错误一次性要求承包人改正，监理人要求承包人反复修改拖延时间的，委托人有权给予书面警告并限期改正，监理人拒不限期改正的，应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次一般违约责任。</w:t>
      </w:r>
    </w:p>
    <w:p w14:paraId="48F29DC4">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11</w:t>
      </w:r>
      <w:r>
        <w:rPr>
          <w:rFonts w:hint="eastAsia" w:ascii="宋体" w:hAnsi="宋体" w:eastAsia="宋体" w:cs="宋体"/>
          <w:bCs/>
          <w:snapToGrid w:val="0"/>
          <w:color w:val="auto"/>
          <w:kern w:val="0"/>
          <w:szCs w:val="21"/>
          <w:highlight w:val="none"/>
          <w:lang w:bidi="ar"/>
        </w:rPr>
        <w:t>）监理人应当按时对承包人（含施工、防雷、检测、监测、白蚁防治等单位）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次，情节严重的应承担严重违约责任</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次，给委托人造成损失的，应当赔偿损失。</w:t>
      </w:r>
    </w:p>
    <w:p w14:paraId="78BC1213">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12</w:t>
      </w:r>
      <w:r>
        <w:rPr>
          <w:rFonts w:hint="eastAsia" w:ascii="宋体" w:hAnsi="宋体" w:eastAsia="宋体" w:cs="宋体"/>
          <w:bCs/>
          <w:snapToGrid w:val="0"/>
          <w:color w:val="auto"/>
          <w:kern w:val="0"/>
          <w:szCs w:val="21"/>
          <w:highlight w:val="none"/>
          <w:lang w:bidi="ar"/>
        </w:rPr>
        <w:t>）对于承包人（含施工、防雷、检测、监测、白蚁防治等单位）提交的请款报告，监理人不按实际完成的工作量进行审核，或不按本合同要求签署拨款意见，经审查发现后，除必须限期改正外，每出现</w:t>
      </w:r>
      <w:r>
        <w:rPr>
          <w:rFonts w:hint="eastAsia" w:ascii="宋体" w:hAnsi="宋体" w:eastAsia="宋体" w:cs="宋体"/>
          <w:bCs/>
          <w:color w:val="auto"/>
          <w:kern w:val="0"/>
          <w:szCs w:val="21"/>
          <w:highlight w:val="none"/>
          <w:lang w:bidi="ar"/>
        </w:rPr>
        <w:t>2</w:t>
      </w:r>
      <w:r>
        <w:rPr>
          <w:rFonts w:hint="eastAsia" w:ascii="宋体" w:hAnsi="宋体" w:eastAsia="宋体" w:cs="宋体"/>
          <w:bCs/>
          <w:snapToGrid w:val="0"/>
          <w:color w:val="auto"/>
          <w:kern w:val="0"/>
          <w:szCs w:val="21"/>
          <w:highlight w:val="none"/>
          <w:lang w:bidi="ar"/>
        </w:rPr>
        <w:t>次，监理人必须承担一般违约责任</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次；如造成委托人超形象进度、超合同支付工程款</w:t>
      </w:r>
      <w:r>
        <w:rPr>
          <w:rFonts w:hint="eastAsia" w:ascii="宋体" w:hAnsi="宋体" w:eastAsia="宋体" w:cs="宋体"/>
          <w:bCs/>
          <w:color w:val="auto"/>
          <w:kern w:val="0"/>
          <w:szCs w:val="21"/>
          <w:highlight w:val="none"/>
          <w:lang w:bidi="ar"/>
        </w:rPr>
        <w:t>10</w:t>
      </w:r>
      <w:r>
        <w:rPr>
          <w:rFonts w:hint="eastAsia" w:ascii="宋体" w:hAnsi="宋体" w:eastAsia="宋体" w:cs="宋体"/>
          <w:bCs/>
          <w:snapToGrid w:val="0"/>
          <w:color w:val="auto"/>
          <w:kern w:val="0"/>
          <w:szCs w:val="21"/>
          <w:highlight w:val="none"/>
          <w:lang w:bidi="ar"/>
        </w:rPr>
        <w:t>万元以上，或监理人审核的当期支付金额与经过复核的实际应付金额存在正负</w:t>
      </w:r>
      <w:r>
        <w:rPr>
          <w:rFonts w:hint="eastAsia" w:ascii="宋体" w:hAnsi="宋体" w:eastAsia="宋体" w:cs="宋体"/>
          <w:bCs/>
          <w:color w:val="auto"/>
          <w:kern w:val="0"/>
          <w:szCs w:val="21"/>
          <w:highlight w:val="none"/>
          <w:lang w:bidi="ar"/>
        </w:rPr>
        <w:t>10</w:t>
      </w:r>
      <w:r>
        <w:rPr>
          <w:rFonts w:hint="eastAsia" w:ascii="宋体" w:hAnsi="宋体" w:eastAsia="宋体" w:cs="宋体"/>
          <w:bCs/>
          <w:snapToGrid w:val="0"/>
          <w:color w:val="auto"/>
          <w:kern w:val="0"/>
          <w:szCs w:val="21"/>
          <w:highlight w:val="none"/>
          <w:lang w:bidi="ar"/>
        </w:rPr>
        <w:t>％以上误差的，监理人必须承担一般违约责任</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次，情节严重的应承担严重违约责任</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次。若由此给委托人造成</w:t>
      </w:r>
      <w:r>
        <w:rPr>
          <w:rFonts w:hint="eastAsia" w:ascii="宋体" w:hAnsi="宋体" w:eastAsia="宋体" w:cs="宋体"/>
          <w:bCs/>
          <w:color w:val="auto"/>
          <w:kern w:val="0"/>
          <w:szCs w:val="21"/>
          <w:highlight w:val="none"/>
          <w:lang w:bidi="ar"/>
        </w:rPr>
        <w:t>10</w:t>
      </w:r>
      <w:r>
        <w:rPr>
          <w:rFonts w:hint="eastAsia" w:ascii="宋体" w:hAnsi="宋体" w:eastAsia="宋体" w:cs="宋体"/>
          <w:bCs/>
          <w:snapToGrid w:val="0"/>
          <w:color w:val="auto"/>
          <w:kern w:val="0"/>
          <w:szCs w:val="21"/>
          <w:highlight w:val="none"/>
          <w:lang w:bidi="ar"/>
        </w:rPr>
        <w:t>万元以上（含</w:t>
      </w:r>
      <w:r>
        <w:rPr>
          <w:rFonts w:hint="eastAsia" w:ascii="宋体" w:hAnsi="宋体" w:eastAsia="宋体" w:cs="宋体"/>
          <w:bCs/>
          <w:color w:val="auto"/>
          <w:kern w:val="0"/>
          <w:szCs w:val="21"/>
          <w:highlight w:val="none"/>
          <w:lang w:bidi="ar"/>
        </w:rPr>
        <w:t>10</w:t>
      </w:r>
      <w:r>
        <w:rPr>
          <w:rFonts w:hint="eastAsia" w:ascii="宋体" w:hAnsi="宋体" w:eastAsia="宋体" w:cs="宋体"/>
          <w:bCs/>
          <w:snapToGrid w:val="0"/>
          <w:color w:val="auto"/>
          <w:kern w:val="0"/>
          <w:szCs w:val="21"/>
          <w:highlight w:val="none"/>
          <w:lang w:bidi="ar"/>
        </w:rPr>
        <w:t>万元）损失的，监理人除必须承担相应的经济赔偿外，委托人将视情况部分或全部解除合同，并要求监理人按本合同专用条件26.1条的约定承担违约责任。</w:t>
      </w:r>
    </w:p>
    <w:p w14:paraId="27D9DBF4">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13</w:t>
      </w:r>
      <w:r>
        <w:rPr>
          <w:rFonts w:hint="eastAsia" w:ascii="宋体" w:hAnsi="宋体" w:eastAsia="宋体" w:cs="宋体"/>
          <w:bCs/>
          <w:snapToGrid w:val="0"/>
          <w:color w:val="auto"/>
          <w:kern w:val="0"/>
          <w:szCs w:val="21"/>
          <w:highlight w:val="none"/>
          <w:lang w:bidi="ar"/>
        </w:rPr>
        <w:t>）监理人同时发生本合同专用条件第</w:t>
      </w:r>
      <w:r>
        <w:rPr>
          <w:rFonts w:hint="eastAsia" w:ascii="宋体" w:hAnsi="宋体" w:eastAsia="宋体" w:cs="宋体"/>
          <w:bCs/>
          <w:color w:val="auto"/>
          <w:kern w:val="0"/>
          <w:szCs w:val="21"/>
          <w:highlight w:val="none"/>
          <w:lang w:bidi="ar"/>
        </w:rPr>
        <w:t>26.4.2-</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9</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10</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11</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12</w:t>
      </w:r>
      <w:r>
        <w:rPr>
          <w:rFonts w:hint="eastAsia" w:ascii="宋体" w:hAnsi="宋体" w:eastAsia="宋体" w:cs="宋体"/>
          <w:bCs/>
          <w:snapToGrid w:val="0"/>
          <w:color w:val="auto"/>
          <w:kern w:val="0"/>
          <w:szCs w:val="21"/>
          <w:highlight w:val="none"/>
          <w:lang w:bidi="ar"/>
        </w:rPr>
        <w:t>）款约定的违约行为且情节严重的，视同监理人和承包人串通作假，委托人有权单方解除合同，并要求监理人按本合同专用条件26.1条的约定承担违约责任。</w:t>
      </w:r>
    </w:p>
    <w:p w14:paraId="7960DBDD">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14</w:t>
      </w:r>
      <w:r>
        <w:rPr>
          <w:rFonts w:hint="eastAsia" w:ascii="宋体" w:hAnsi="宋体" w:eastAsia="宋体" w:cs="宋体"/>
          <w:bCs/>
          <w:snapToGrid w:val="0"/>
          <w:color w:val="auto"/>
          <w:kern w:val="0"/>
          <w:szCs w:val="21"/>
          <w:highlight w:val="none"/>
          <w:lang w:bidi="ar"/>
        </w:rPr>
        <w:t>）监理人应设立专职的职业健康安全与环境管理人员，督促承包人建立安全生产保障体系，并要求各施工标段设立专职安全员，将安全责任制度落实到人。监理人应每月定期或不定期组织安全文明施工大检查，并将检查结果向委托人报告。承包人没有按投标承诺做好安全文明施工措施，没有按有关规定做到安全生产，或存在安全隐患，监理人未及时发现、不督促承包人进行整改，不作及时处理，不及时向委托人报告，被委托人发现后，委托人有权给予书面警告并限期改正，监理人拒不限期改正的，应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次一般违约责任。由此而发生安全生产事故，或被上级主管部门通报批评、被新闻媒体曝光的，监理人应承担严重违约责任</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情节严重的，委托人有权部分或全部解除合同，并要求监理人按本合同专用条件26.1条的约定承担违约责任。所监理的工程发生重大安全质量事故（按国家及本合同有关规定界定）的，委托人有权要求监理人承担违约赔偿责任，赔偿金为本合同监理酬金总额的</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5%</w:t>
      </w:r>
      <w:r>
        <w:rPr>
          <w:rFonts w:hint="eastAsia" w:ascii="宋体" w:hAnsi="宋体" w:eastAsia="宋体" w:cs="宋体"/>
          <w:bCs/>
          <w:snapToGrid w:val="0"/>
          <w:color w:val="auto"/>
          <w:kern w:val="0"/>
          <w:szCs w:val="21"/>
          <w:highlight w:val="none"/>
          <w:lang w:bidi="ar"/>
        </w:rPr>
        <w:t>。</w:t>
      </w:r>
    </w:p>
    <w:p w14:paraId="1F140576">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15</w:t>
      </w:r>
      <w:r>
        <w:rPr>
          <w:rFonts w:hint="eastAsia" w:ascii="宋体" w:hAnsi="宋体" w:eastAsia="宋体" w:cs="宋体"/>
          <w:bCs/>
          <w:snapToGrid w:val="0"/>
          <w:color w:val="auto"/>
          <w:kern w:val="0"/>
          <w:szCs w:val="21"/>
          <w:highlight w:val="none"/>
          <w:lang w:bidi="ar"/>
        </w:rPr>
        <w:t>）监理人因下列原因：</w:t>
      </w:r>
    </w:p>
    <w:p w14:paraId="633FE4A1">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1）在施工过程中，监理人发出错误指令；</w:t>
      </w:r>
    </w:p>
    <w:p w14:paraId="04706082">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2）监理人越权审批设计变更；</w:t>
      </w:r>
    </w:p>
    <w:p w14:paraId="508615B8">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3）其他因监理人自身失误或失职。</w:t>
      </w:r>
    </w:p>
    <w:p w14:paraId="68D3B896">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使本合同工程在投资、工期、质量等方面给委托人造成损失的，委托人将要求监理人进行赔偿，累计赔偿总额不应超过监理酬金总额（除去税金）。具体约定为：</w:t>
      </w:r>
    </w:p>
    <w:p w14:paraId="20926513">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① 因监理人原因造成工程投资增加的，委托人将根据工程投资的增加额与原计划投资额的比例，按相应比例双倍扣减监理酬金；若增加工程投资比例超过原计划投资额的</w:t>
      </w:r>
      <w:r>
        <w:rPr>
          <w:rFonts w:hint="eastAsia" w:ascii="宋体" w:hAnsi="宋体" w:eastAsia="宋体" w:cs="宋体"/>
          <w:bCs/>
          <w:color w:val="auto"/>
          <w:kern w:val="0"/>
          <w:szCs w:val="21"/>
          <w:highlight w:val="none"/>
          <w:lang w:bidi="ar"/>
        </w:rPr>
        <w:t>20%</w:t>
      </w:r>
      <w:r>
        <w:rPr>
          <w:rFonts w:hint="eastAsia" w:ascii="宋体" w:hAnsi="宋体" w:eastAsia="宋体" w:cs="宋体"/>
          <w:bCs/>
          <w:snapToGrid w:val="0"/>
          <w:color w:val="auto"/>
          <w:kern w:val="0"/>
          <w:szCs w:val="21"/>
          <w:highlight w:val="none"/>
          <w:lang w:bidi="ar"/>
        </w:rPr>
        <w:t>时，委托人有权单方解除本合同，并要求监理人按本合同专用条件26.1条的约定承担违约责任。</w:t>
      </w:r>
    </w:p>
    <w:p w14:paraId="28A9D9E6">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② 因监理人责任导致工期延误，其中分段工期延误日数占该段总工期的</w:t>
      </w:r>
      <w:r>
        <w:rPr>
          <w:rFonts w:hint="eastAsia" w:ascii="宋体" w:hAnsi="宋体" w:eastAsia="宋体" w:cs="宋体"/>
          <w:bCs/>
          <w:color w:val="auto"/>
          <w:kern w:val="0"/>
          <w:szCs w:val="21"/>
          <w:highlight w:val="none"/>
          <w:lang w:bidi="ar"/>
        </w:rPr>
        <w:t>30%</w:t>
      </w:r>
      <w:r>
        <w:rPr>
          <w:rFonts w:hint="eastAsia" w:ascii="宋体" w:hAnsi="宋体" w:eastAsia="宋体" w:cs="宋体"/>
          <w:bCs/>
          <w:snapToGrid w:val="0"/>
          <w:color w:val="auto"/>
          <w:kern w:val="0"/>
          <w:szCs w:val="21"/>
          <w:highlight w:val="none"/>
          <w:lang w:bidi="ar"/>
        </w:rPr>
        <w:t>时，则委托人有权扣除该分段工程监理酬金的</w:t>
      </w:r>
      <w:r>
        <w:rPr>
          <w:rFonts w:hint="eastAsia" w:ascii="宋体" w:hAnsi="宋体" w:eastAsia="宋体" w:cs="宋体"/>
          <w:bCs/>
          <w:color w:val="auto"/>
          <w:kern w:val="0"/>
          <w:szCs w:val="21"/>
          <w:highlight w:val="none"/>
          <w:lang w:bidi="ar"/>
        </w:rPr>
        <w:t>60%</w:t>
      </w:r>
      <w:r>
        <w:rPr>
          <w:rFonts w:hint="eastAsia" w:ascii="宋体" w:hAnsi="宋体" w:eastAsia="宋体" w:cs="宋体"/>
          <w:bCs/>
          <w:snapToGrid w:val="0"/>
          <w:color w:val="auto"/>
          <w:kern w:val="0"/>
          <w:szCs w:val="21"/>
          <w:highlight w:val="none"/>
          <w:lang w:bidi="ar"/>
        </w:rPr>
        <w:t>；分段工期延误日数达到该段总工期的</w:t>
      </w:r>
      <w:r>
        <w:rPr>
          <w:rFonts w:hint="eastAsia" w:ascii="宋体" w:hAnsi="宋体" w:eastAsia="宋体" w:cs="宋体"/>
          <w:bCs/>
          <w:color w:val="auto"/>
          <w:kern w:val="0"/>
          <w:szCs w:val="21"/>
          <w:highlight w:val="none"/>
          <w:lang w:bidi="ar"/>
        </w:rPr>
        <w:t>50%</w:t>
      </w:r>
      <w:r>
        <w:rPr>
          <w:rFonts w:hint="eastAsia" w:ascii="宋体" w:hAnsi="宋体" w:eastAsia="宋体" w:cs="宋体"/>
          <w:bCs/>
          <w:snapToGrid w:val="0"/>
          <w:color w:val="auto"/>
          <w:kern w:val="0"/>
          <w:szCs w:val="21"/>
          <w:highlight w:val="none"/>
          <w:lang w:bidi="ar"/>
        </w:rPr>
        <w:t>时，则委托人有权单方解除本合同，并要求监理人按本合同专用条件26.1条的约定承担违约责任。因监理人责任导致工程竣工拖延的，依据拖延的日数，监理人应每日按监理酬金总额的</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向委托人支付违约金。由于监理人责任导致工期延误，致使委托人要承担赔偿第三方责任的，监理人必须承担赔偿委托人由此遭受的全部损失，损失赔偿总额不受本工程监理酬金总额的限制。</w:t>
      </w:r>
    </w:p>
    <w:p w14:paraId="20F2D01F">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③ 因监理人责任造成质量事故，需要返工的，监理人应承担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严重违约责任并双倍扣减该部分的监理酬金，同时监理人应赔偿委托人的实际损失；情节严重的，委托人有权单方面解除合同，并有权要求监理人按本合同专用条件26.1条的约定承担违约责任。监理人的损失赔偿总额不受本工程监理酬金总额的限制。</w:t>
      </w:r>
    </w:p>
    <w:p w14:paraId="522B0E54">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④ 因监理人责任导致工程（含各分部、单位及整体工程，下同）质量一次性验收不符合质量目标时，按相应工程占总工程的比例扣除监理人监理酬金；若导致工程质量一次性验收不合格而造成委托人的直接损失达</w:t>
      </w:r>
      <w:r>
        <w:rPr>
          <w:rFonts w:hint="eastAsia" w:ascii="宋体" w:hAnsi="宋体" w:eastAsia="宋体" w:cs="宋体"/>
          <w:bCs/>
          <w:color w:val="auto"/>
          <w:kern w:val="0"/>
          <w:szCs w:val="21"/>
          <w:highlight w:val="none"/>
          <w:lang w:bidi="ar"/>
        </w:rPr>
        <w:t>100</w:t>
      </w:r>
      <w:r>
        <w:rPr>
          <w:rFonts w:hint="eastAsia" w:ascii="宋体" w:hAnsi="宋体" w:eastAsia="宋体" w:cs="宋体"/>
          <w:bCs/>
          <w:snapToGrid w:val="0"/>
          <w:color w:val="auto"/>
          <w:kern w:val="0"/>
          <w:szCs w:val="21"/>
          <w:highlight w:val="none"/>
          <w:lang w:bidi="ar"/>
        </w:rPr>
        <w:t>万元以上时，委托人有权单方解除本合同并要求监理人按本合同专用条件26.1条的约定承担违约责任。监理人的损失赔偿总额不受本工程监理酬金总额的限制。</w:t>
      </w:r>
    </w:p>
    <w:p w14:paraId="5AB5E3FB">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16</w:t>
      </w:r>
      <w:r>
        <w:rPr>
          <w:rFonts w:hint="eastAsia" w:ascii="宋体" w:hAnsi="宋体" w:eastAsia="宋体" w:cs="宋体"/>
          <w:bCs/>
          <w:snapToGrid w:val="0"/>
          <w:color w:val="auto"/>
          <w:kern w:val="0"/>
          <w:szCs w:val="21"/>
          <w:highlight w:val="none"/>
          <w:lang w:bidi="ar"/>
        </w:rPr>
        <w:t>）监理人提供的《监理规划》和相应的《监理实施细则》，经委托人审核认为未能针对本合同工程特点、难点和重点，需要退回修改的，若连续两次修改后仍未能达到委托人要求的，监理人应承担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次一般违约责任。</w:t>
      </w:r>
    </w:p>
    <w:p w14:paraId="3D86FBAF">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17</w:t>
      </w:r>
      <w:r>
        <w:rPr>
          <w:rFonts w:hint="eastAsia" w:ascii="宋体" w:hAnsi="宋体" w:eastAsia="宋体" w:cs="宋体"/>
          <w:bCs/>
          <w:snapToGrid w:val="0"/>
          <w:color w:val="auto"/>
          <w:kern w:val="0"/>
          <w:szCs w:val="21"/>
          <w:highlight w:val="none"/>
          <w:lang w:bidi="ar"/>
        </w:rPr>
        <w:t>）如果监理人在服务期内未能按要求提供本合同约定的监理服务（包括监理人员缺额、监理深度不足及监理资料不齐等），委托人有权酌情扣减监理酬金。</w:t>
      </w:r>
    </w:p>
    <w:p w14:paraId="27382881">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(18)由委托人确定的工程变更、现场签证的总价较监理人审定的总价的差值大于正负</w:t>
      </w:r>
      <w:r>
        <w:rPr>
          <w:rFonts w:hint="eastAsia" w:ascii="宋体" w:hAnsi="宋体" w:eastAsia="宋体" w:cs="宋体"/>
          <w:bCs/>
          <w:color w:val="auto"/>
          <w:kern w:val="0"/>
          <w:szCs w:val="21"/>
          <w:highlight w:val="none"/>
          <w:lang w:bidi="ar"/>
        </w:rPr>
        <w:t>10%</w:t>
      </w:r>
      <w:r>
        <w:rPr>
          <w:rFonts w:hint="eastAsia" w:ascii="宋体" w:hAnsi="宋体" w:eastAsia="宋体" w:cs="宋体"/>
          <w:bCs/>
          <w:snapToGrid w:val="0"/>
          <w:color w:val="auto"/>
          <w:kern w:val="0"/>
          <w:szCs w:val="21"/>
          <w:highlight w:val="none"/>
          <w:lang w:bidi="ar"/>
        </w:rPr>
        <w:t>以上的情况累计出现</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宗以上，监理人应当承担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次一般违约责任。当监理人未在设计变更和现场签证管理办法的时限内完成设计变更和现场签证审批工作，每累计出现</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宗，监理人需提交书面的整改报告，采取有效的整改措施，委托人有权追究监理人承担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次一般违约责任。当增加的总造价超过</w:t>
      </w:r>
      <w:r>
        <w:rPr>
          <w:rFonts w:hint="eastAsia" w:ascii="宋体" w:hAnsi="宋体" w:eastAsia="宋体" w:cs="宋体"/>
          <w:bCs/>
          <w:color w:val="auto"/>
          <w:kern w:val="0"/>
          <w:szCs w:val="21"/>
          <w:highlight w:val="none"/>
          <w:lang w:bidi="ar"/>
        </w:rPr>
        <w:t>50%</w:t>
      </w:r>
      <w:r>
        <w:rPr>
          <w:rFonts w:hint="eastAsia" w:ascii="宋体" w:hAnsi="宋体" w:eastAsia="宋体" w:cs="宋体"/>
          <w:bCs/>
          <w:snapToGrid w:val="0"/>
          <w:color w:val="auto"/>
          <w:kern w:val="0"/>
          <w:szCs w:val="21"/>
          <w:highlight w:val="none"/>
          <w:lang w:bidi="ar"/>
        </w:rPr>
        <w:t>暂列金时，监理人未根据工程实际情况按时提交造价控制预警报告，监理人应当承担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次一般违约责任；当增加的总造价超过暂列金时，监理人未根据工程实际情况按时提交资金使用情况说明，监理人应当承担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次严重违约责任；未按时提交投标清单复核（清标）报告，监理人应当承担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次一般违约责任；未按时提交结算审核报告，监理人应当承担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次严重违约责任。针对以上时限违约，监理人除了承担违约责任，还需在委托人的要求时限内进行整改。</w:t>
      </w:r>
    </w:p>
    <w:p w14:paraId="6F76871C">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19</w:t>
      </w:r>
      <w:r>
        <w:rPr>
          <w:rFonts w:hint="eastAsia" w:ascii="宋体" w:hAnsi="宋体" w:eastAsia="宋体" w:cs="宋体"/>
          <w:bCs/>
          <w:snapToGrid w:val="0"/>
          <w:color w:val="auto"/>
          <w:kern w:val="0"/>
          <w:szCs w:val="21"/>
          <w:highlight w:val="none"/>
          <w:lang w:bidi="ar"/>
        </w:rPr>
        <w:t>）因监理人原因，造成竣工图纸（包括设备移交资料等）与竣工时现场的实际情况不符，导致相关的工程结算出现偏差，监理人必须承担一般违约责任</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次；如由此可能给委托人造成直接经济损失</w:t>
      </w:r>
      <w:r>
        <w:rPr>
          <w:rFonts w:hint="eastAsia" w:ascii="宋体" w:hAnsi="宋体" w:eastAsia="宋体" w:cs="宋体"/>
          <w:bCs/>
          <w:color w:val="auto"/>
          <w:kern w:val="0"/>
          <w:szCs w:val="21"/>
          <w:highlight w:val="none"/>
          <w:lang w:bidi="ar"/>
        </w:rPr>
        <w:t>10</w:t>
      </w:r>
      <w:r>
        <w:rPr>
          <w:rFonts w:hint="eastAsia" w:ascii="宋体" w:hAnsi="宋体" w:eastAsia="宋体" w:cs="宋体"/>
          <w:bCs/>
          <w:snapToGrid w:val="0"/>
          <w:color w:val="auto"/>
          <w:kern w:val="0"/>
          <w:szCs w:val="21"/>
          <w:highlight w:val="none"/>
          <w:lang w:bidi="ar"/>
        </w:rPr>
        <w:t>万元（含</w:t>
      </w:r>
      <w:r>
        <w:rPr>
          <w:rFonts w:hint="eastAsia" w:ascii="宋体" w:hAnsi="宋体" w:eastAsia="宋体" w:cs="宋体"/>
          <w:bCs/>
          <w:color w:val="auto"/>
          <w:kern w:val="0"/>
          <w:szCs w:val="21"/>
          <w:highlight w:val="none"/>
          <w:lang w:bidi="ar"/>
        </w:rPr>
        <w:t>10</w:t>
      </w:r>
      <w:r>
        <w:rPr>
          <w:rFonts w:hint="eastAsia" w:ascii="宋体" w:hAnsi="宋体" w:eastAsia="宋体" w:cs="宋体"/>
          <w:bCs/>
          <w:snapToGrid w:val="0"/>
          <w:color w:val="auto"/>
          <w:kern w:val="0"/>
          <w:szCs w:val="21"/>
          <w:highlight w:val="none"/>
          <w:lang w:bidi="ar"/>
        </w:rPr>
        <w:t>万元）以上的，按严重违约</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次处理；如因监理人故意造成的，则按本合同专用条件第</w:t>
      </w:r>
      <w:r>
        <w:rPr>
          <w:rFonts w:hint="eastAsia" w:ascii="宋体" w:hAnsi="宋体" w:eastAsia="宋体" w:cs="宋体"/>
          <w:bCs/>
          <w:color w:val="auto"/>
          <w:kern w:val="0"/>
          <w:szCs w:val="21"/>
          <w:highlight w:val="none"/>
          <w:lang w:bidi="ar"/>
        </w:rPr>
        <w:t>26.1-</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6</w:t>
      </w:r>
      <w:r>
        <w:rPr>
          <w:rFonts w:hint="eastAsia" w:ascii="宋体" w:hAnsi="宋体" w:eastAsia="宋体" w:cs="宋体"/>
          <w:bCs/>
          <w:snapToGrid w:val="0"/>
          <w:color w:val="auto"/>
          <w:kern w:val="0"/>
          <w:szCs w:val="21"/>
          <w:highlight w:val="none"/>
          <w:lang w:bidi="ar"/>
        </w:rPr>
        <w:t>）款执行。</w:t>
      </w:r>
    </w:p>
    <w:p w14:paraId="737160DB">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20</w:t>
      </w:r>
      <w:r>
        <w:rPr>
          <w:rFonts w:hint="eastAsia" w:ascii="宋体" w:hAnsi="宋体" w:eastAsia="宋体" w:cs="宋体"/>
          <w:bCs/>
          <w:snapToGrid w:val="0"/>
          <w:color w:val="auto"/>
          <w:kern w:val="0"/>
          <w:szCs w:val="21"/>
          <w:highlight w:val="none"/>
          <w:lang w:bidi="ar"/>
        </w:rPr>
        <w:t>）监理人根据合同约定对承包人提交的工程结算书（结算资料）进行审核，如最终由监理人审定的结算金额较由政府终审部门或有权审核部门审定的结算金额的偏差率绝对值大于</w:t>
      </w:r>
      <w:r>
        <w:rPr>
          <w:rFonts w:hint="eastAsia" w:ascii="宋体" w:hAnsi="宋体" w:eastAsia="宋体" w:cs="宋体"/>
          <w:bCs/>
          <w:color w:val="auto"/>
          <w:kern w:val="0"/>
          <w:szCs w:val="21"/>
          <w:highlight w:val="none"/>
          <w:lang w:bidi="ar"/>
        </w:rPr>
        <w:t>5%</w:t>
      </w:r>
      <w:r>
        <w:rPr>
          <w:rFonts w:hint="eastAsia" w:ascii="宋体" w:hAnsi="宋体" w:eastAsia="宋体" w:cs="宋体"/>
          <w:bCs/>
          <w:snapToGrid w:val="0"/>
          <w:color w:val="auto"/>
          <w:kern w:val="0"/>
          <w:szCs w:val="21"/>
          <w:highlight w:val="none"/>
          <w:lang w:bidi="ar"/>
        </w:rPr>
        <w:t>，且小于或等于</w:t>
      </w:r>
      <w:r>
        <w:rPr>
          <w:rFonts w:hint="eastAsia" w:ascii="宋体" w:hAnsi="宋体" w:eastAsia="宋体" w:cs="宋体"/>
          <w:bCs/>
          <w:color w:val="auto"/>
          <w:kern w:val="0"/>
          <w:szCs w:val="21"/>
          <w:highlight w:val="none"/>
          <w:lang w:bidi="ar"/>
        </w:rPr>
        <w:t>10%</w:t>
      </w:r>
      <w:r>
        <w:rPr>
          <w:rFonts w:hint="eastAsia" w:ascii="宋体" w:hAnsi="宋体" w:eastAsia="宋体" w:cs="宋体"/>
          <w:bCs/>
          <w:snapToGrid w:val="0"/>
          <w:color w:val="auto"/>
          <w:kern w:val="0"/>
          <w:szCs w:val="21"/>
          <w:highlight w:val="none"/>
          <w:lang w:bidi="ar"/>
        </w:rPr>
        <w:t>，监理人应承担一般违约</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次。如最终由监理人审定的结算金额较由政府终审部门或有权审核部门审定的结算金额的偏差率绝对值大于</w:t>
      </w:r>
      <w:r>
        <w:rPr>
          <w:rFonts w:hint="eastAsia" w:ascii="宋体" w:hAnsi="宋体" w:eastAsia="宋体" w:cs="宋体"/>
          <w:bCs/>
          <w:color w:val="auto"/>
          <w:kern w:val="0"/>
          <w:szCs w:val="21"/>
          <w:highlight w:val="none"/>
          <w:lang w:bidi="ar"/>
        </w:rPr>
        <w:t>10%</w:t>
      </w:r>
      <w:r>
        <w:rPr>
          <w:rFonts w:hint="eastAsia" w:ascii="宋体" w:hAnsi="宋体" w:eastAsia="宋体" w:cs="宋体"/>
          <w:bCs/>
          <w:snapToGrid w:val="0"/>
          <w:color w:val="auto"/>
          <w:kern w:val="0"/>
          <w:szCs w:val="21"/>
          <w:highlight w:val="none"/>
          <w:lang w:bidi="ar"/>
        </w:rPr>
        <w:t>，则由监理人按下列计算方法向委托人支付违约金，最多不超过本合同监理酬金总额的</w:t>
      </w:r>
      <w:r>
        <w:rPr>
          <w:rFonts w:hint="eastAsia" w:ascii="宋体" w:hAnsi="宋体" w:eastAsia="宋体" w:cs="宋体"/>
          <w:bCs/>
          <w:color w:val="auto"/>
          <w:kern w:val="0"/>
          <w:szCs w:val="21"/>
          <w:highlight w:val="none"/>
          <w:lang w:bidi="ar"/>
        </w:rPr>
        <w:t>10%</w:t>
      </w:r>
      <w:r>
        <w:rPr>
          <w:rFonts w:hint="eastAsia" w:ascii="宋体" w:hAnsi="宋体" w:eastAsia="宋体" w:cs="宋体"/>
          <w:bCs/>
          <w:snapToGrid w:val="0"/>
          <w:color w:val="auto"/>
          <w:kern w:val="0"/>
          <w:szCs w:val="21"/>
          <w:highlight w:val="none"/>
          <w:lang w:bidi="ar"/>
        </w:rPr>
        <w:t>：</w:t>
      </w:r>
    </w:p>
    <w:p w14:paraId="7D3B7930">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违约金</w:t>
      </w:r>
      <w:r>
        <w:rPr>
          <w:rFonts w:hint="eastAsia" w:ascii="宋体" w:hAnsi="宋体" w:eastAsia="宋体" w:cs="宋体"/>
          <w:bCs/>
          <w:color w:val="auto"/>
          <w:kern w:val="0"/>
          <w:szCs w:val="21"/>
          <w:highlight w:val="none"/>
          <w:lang w:bidi="ar"/>
        </w:rPr>
        <w:t>=[</w:t>
      </w:r>
      <w:r>
        <w:rPr>
          <w:rFonts w:hint="eastAsia" w:ascii="宋体" w:hAnsi="宋体" w:eastAsia="宋体" w:cs="宋体"/>
          <w:bCs/>
          <w:snapToGrid w:val="0"/>
          <w:color w:val="auto"/>
          <w:kern w:val="0"/>
          <w:szCs w:val="21"/>
          <w:highlight w:val="none"/>
          <w:lang w:bidi="ar"/>
        </w:rPr>
        <w:t>（〡</w:t>
      </w:r>
      <w:r>
        <w:rPr>
          <w:rFonts w:hint="eastAsia" w:ascii="宋体" w:hAnsi="宋体" w:eastAsia="宋体" w:cs="宋体"/>
          <w:bCs/>
          <w:color w:val="auto"/>
          <w:kern w:val="0"/>
          <w:szCs w:val="21"/>
          <w:highlight w:val="none"/>
          <w:lang w:bidi="ar"/>
        </w:rPr>
        <w:t>A</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B</w:t>
      </w:r>
      <w:r>
        <w:rPr>
          <w:rFonts w:hint="eastAsia" w:ascii="宋体" w:hAnsi="宋体" w:eastAsia="宋体" w:cs="宋体"/>
          <w:bCs/>
          <w:snapToGrid w:val="0"/>
          <w:color w:val="auto"/>
          <w:kern w:val="0"/>
          <w:szCs w:val="21"/>
          <w:highlight w:val="none"/>
          <w:lang w:bidi="ar"/>
        </w:rPr>
        <w:t>〡</w:t>
      </w:r>
      <w:r>
        <w:rPr>
          <w:rFonts w:hint="eastAsia" w:ascii="宋体" w:hAnsi="宋体" w:eastAsia="宋体" w:cs="宋体"/>
          <w:bCs/>
          <w:color w:val="auto"/>
          <w:kern w:val="0"/>
          <w:szCs w:val="21"/>
          <w:highlight w:val="none"/>
          <w:lang w:bidi="ar"/>
        </w:rPr>
        <w:t>/B</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%-10%]</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C</w:t>
      </w:r>
    </w:p>
    <w:p w14:paraId="19D919FB">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其中：</w:t>
      </w:r>
      <w:r>
        <w:rPr>
          <w:rFonts w:hint="eastAsia" w:ascii="宋体" w:hAnsi="宋体" w:eastAsia="宋体" w:cs="宋体"/>
          <w:bCs/>
          <w:color w:val="auto"/>
          <w:kern w:val="0"/>
          <w:szCs w:val="21"/>
          <w:highlight w:val="none"/>
          <w:lang w:bidi="ar"/>
        </w:rPr>
        <w:t>A-</w:t>
      </w:r>
      <w:r>
        <w:rPr>
          <w:rFonts w:hint="eastAsia" w:ascii="宋体" w:hAnsi="宋体" w:eastAsia="宋体" w:cs="宋体"/>
          <w:bCs/>
          <w:snapToGrid w:val="0"/>
          <w:color w:val="auto"/>
          <w:kern w:val="0"/>
          <w:szCs w:val="21"/>
          <w:highlight w:val="none"/>
          <w:lang w:bidi="ar"/>
        </w:rPr>
        <w:t>监理人审定的工程结算金额；</w:t>
      </w:r>
    </w:p>
    <w:p w14:paraId="2A77EF72">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B-政府结算终审部门（或有权审核部门）审定的工程结算金额；</w:t>
      </w:r>
    </w:p>
    <w:p w14:paraId="69C49552">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C-监理合同酬金总额。</w:t>
      </w:r>
    </w:p>
    <w:p w14:paraId="74539370">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26.4.3其他方面的违约责任：</w:t>
      </w:r>
    </w:p>
    <w:p w14:paraId="5F589F69">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）监理人必须加强对监理人员职业操守、廉政建设的培训和教育，本项目监理人员需共同遵守监理人员职业道德守则，并严格遵守以下规定：</w:t>
      </w:r>
    </w:p>
    <w:p w14:paraId="0B3A4B9A">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1）禁止向委托人及承包人推销材料、设备，或以倾向性、排他性变相推销；</w:t>
      </w:r>
    </w:p>
    <w:p w14:paraId="56705870">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2）禁止与承包人串通，对不合格材料、产品、工程进行包庇及验收；</w:t>
      </w:r>
    </w:p>
    <w:p w14:paraId="57641ACB">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3）禁止与承包人串通，对材料用量、工程量进行虚假签认；</w:t>
      </w:r>
    </w:p>
    <w:p w14:paraId="36BDB2E3">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4）禁止与承包人串通，不合理提高施工难度及增加材料用量，以增大施工费用，获取不正当收益。</w:t>
      </w:r>
    </w:p>
    <w:p w14:paraId="660218A8">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5）禁止接受承包人的请吃送礼或变相受礼；</w:t>
      </w:r>
    </w:p>
    <w:p w14:paraId="502ECB02">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6）禁止向承包人介绍分包或推销材料、设备等；</w:t>
      </w:r>
    </w:p>
    <w:p w14:paraId="4837CE44">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7）禁止故意刁难承包人以谋取私利，损害委托人的合法利益。</w:t>
      </w:r>
    </w:p>
    <w:p w14:paraId="169FB069">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凡违反以上任一规定者，一经查实，监理人应立即清退该监理人员，并按</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次严重违约处理，情节严重的，委托人有权部分或全部解除合同，要求监理人按本合同专用条件26.1条的约定承担违约责任</w:t>
      </w:r>
      <w:r>
        <w:rPr>
          <w:rFonts w:hint="eastAsia" w:ascii="宋体" w:hAnsi="宋体" w:eastAsia="宋体" w:cs="宋体"/>
          <w:bCs/>
          <w:snapToGrid w:val="0"/>
          <w:color w:val="auto"/>
          <w:kern w:val="0"/>
          <w:szCs w:val="21"/>
          <w:highlight w:val="none"/>
          <w:lang w:eastAsia="zh-CN" w:bidi="ar"/>
        </w:rPr>
        <w:t>，</w:t>
      </w:r>
      <w:r>
        <w:rPr>
          <w:rFonts w:hint="eastAsia" w:ascii="宋体" w:hAnsi="宋体" w:eastAsia="宋体" w:cs="宋体"/>
          <w:bCs/>
          <w:snapToGrid w:val="0"/>
          <w:color w:val="auto"/>
          <w:kern w:val="0"/>
          <w:szCs w:val="21"/>
          <w:highlight w:val="none"/>
          <w:lang w:bidi="ar"/>
        </w:rPr>
        <w:t>并有权向有关部门反映情况，追究监理人及有关责任人相关责任，要求赔偿相应损失，同时将上述违反职业道德的行为通过新闻媒体公诸于众，情节严重者移交司法机关追究法律责任，监理人的损失赔偿总额不受本工程监理酬金总额的限制。</w:t>
      </w:r>
    </w:p>
    <w:p w14:paraId="6CF62603">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2</w:t>
      </w:r>
      <w:r>
        <w:rPr>
          <w:rFonts w:hint="eastAsia" w:ascii="宋体" w:hAnsi="宋体" w:eastAsia="宋体" w:cs="宋体"/>
          <w:bCs/>
          <w:snapToGrid w:val="0"/>
          <w:color w:val="auto"/>
          <w:kern w:val="0"/>
          <w:szCs w:val="21"/>
          <w:highlight w:val="none"/>
          <w:lang w:bidi="ar"/>
        </w:rPr>
        <w:t>）监理人违约行为的直接责任人，其违约行为达到严重违约（或相当于严重违约）</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次，主管人员因其下属的严重违约（或相当于严重违约）累计次数达到</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次，则委托人有权认为该直接责任人或主管人员已不适于继续担任本合同工程的监理工作，并有权要求监理人限期更换该人员，监理人必须无条件接受，并承担由此引起的后果及费用；如监理人拒不执行，则自收到委托人的更换要求</w:t>
      </w:r>
      <w:r>
        <w:rPr>
          <w:rFonts w:hint="eastAsia" w:ascii="宋体" w:hAnsi="宋体" w:eastAsia="宋体" w:cs="宋体"/>
          <w:bCs/>
          <w:color w:val="auto"/>
          <w:kern w:val="0"/>
          <w:szCs w:val="21"/>
          <w:highlight w:val="none"/>
          <w:lang w:bidi="ar"/>
        </w:rPr>
        <w:t>7</w:t>
      </w:r>
      <w:r>
        <w:rPr>
          <w:rFonts w:hint="eastAsia" w:ascii="宋体" w:hAnsi="宋体" w:eastAsia="宋体" w:cs="宋体"/>
          <w:bCs/>
          <w:snapToGrid w:val="0"/>
          <w:color w:val="auto"/>
          <w:kern w:val="0"/>
          <w:szCs w:val="21"/>
          <w:highlight w:val="none"/>
          <w:lang w:bidi="ar"/>
        </w:rPr>
        <w:t>日后，委托人可认为该岗位已空缺，并按本合同专用条件第</w:t>
      </w:r>
      <w:r>
        <w:rPr>
          <w:rFonts w:hint="eastAsia" w:ascii="宋体" w:hAnsi="宋体" w:eastAsia="宋体" w:cs="宋体"/>
          <w:bCs/>
          <w:color w:val="auto"/>
          <w:kern w:val="0"/>
          <w:szCs w:val="21"/>
          <w:highlight w:val="none"/>
          <w:lang w:bidi="ar"/>
        </w:rPr>
        <w:t>26.4.1-</w:t>
      </w: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）款的约定处理。</w:t>
      </w:r>
    </w:p>
    <w:p w14:paraId="0C582609">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w:t>
      </w:r>
      <w:r>
        <w:rPr>
          <w:rFonts w:hint="eastAsia" w:ascii="宋体" w:hAnsi="宋体" w:eastAsia="宋体" w:cs="宋体"/>
          <w:bCs/>
          <w:color w:val="auto"/>
          <w:kern w:val="0"/>
          <w:szCs w:val="21"/>
          <w:highlight w:val="none"/>
          <w:lang w:bidi="ar"/>
        </w:rPr>
        <w:t>3</w:t>
      </w:r>
      <w:r>
        <w:rPr>
          <w:rFonts w:hint="eastAsia" w:ascii="宋体" w:hAnsi="宋体" w:eastAsia="宋体" w:cs="宋体"/>
          <w:bCs/>
          <w:snapToGrid w:val="0"/>
          <w:color w:val="auto"/>
          <w:kern w:val="0"/>
          <w:szCs w:val="21"/>
          <w:highlight w:val="none"/>
          <w:lang w:bidi="ar"/>
        </w:rPr>
        <w:t>）除上述约定之外，监理人有违反合同约定的其他义务的，均构成违约，委托人有权视具体情况给予书面警告并限期改正，监理人拒不限期改正的，应承担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次一般违约责任，情节严重的，应承担</w:t>
      </w:r>
      <w:r>
        <w:rPr>
          <w:rFonts w:hint="eastAsia" w:ascii="宋体" w:hAnsi="宋体" w:eastAsia="宋体" w:cs="宋体"/>
          <w:bCs/>
          <w:color w:val="auto"/>
          <w:kern w:val="0"/>
          <w:szCs w:val="21"/>
          <w:highlight w:val="none"/>
          <w:lang w:bidi="ar"/>
        </w:rPr>
        <w:t>1</w:t>
      </w:r>
      <w:r>
        <w:rPr>
          <w:rFonts w:hint="eastAsia" w:ascii="宋体" w:hAnsi="宋体" w:eastAsia="宋体" w:cs="宋体"/>
          <w:bCs/>
          <w:snapToGrid w:val="0"/>
          <w:color w:val="auto"/>
          <w:kern w:val="0"/>
          <w:szCs w:val="21"/>
          <w:highlight w:val="none"/>
          <w:lang w:bidi="ar"/>
        </w:rPr>
        <w:t>次严重违约责任。</w:t>
      </w:r>
    </w:p>
    <w:p w14:paraId="4B906EE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lang w:bidi="ar"/>
        </w:rPr>
        <w:t>26.5监理人违约责任的认定方式及送达程序：</w:t>
      </w:r>
    </w:p>
    <w:p w14:paraId="1FBEE43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lang w:bidi="ar"/>
        </w:rPr>
        <w:t>26.5.1认定方式：以委托人发出的通知、通报、会议纪要等书面文件确定的内容为准。</w:t>
      </w:r>
    </w:p>
    <w:p w14:paraId="251648B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lang w:bidi="ar"/>
        </w:rPr>
        <w:t>26.5.2送达程序：委托人以下列方式之一将书面违约处理决定送达监理人：</w:t>
      </w:r>
    </w:p>
    <w:p w14:paraId="35A0F27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lang w:bidi="ar"/>
        </w:rPr>
        <w:t>（</w:t>
      </w:r>
      <w:r>
        <w:rPr>
          <w:rFonts w:hint="eastAsia" w:ascii="宋体" w:hAnsi="宋体" w:eastAsia="宋体" w:cs="宋体"/>
          <w:color w:val="auto"/>
          <w:szCs w:val="21"/>
          <w:highlight w:val="none"/>
          <w:lang w:bidi="ar"/>
        </w:rPr>
        <w:t>1</w:t>
      </w:r>
      <w:r>
        <w:rPr>
          <w:rFonts w:hint="eastAsia" w:ascii="宋体" w:hAnsi="宋体" w:eastAsia="宋体" w:cs="宋体"/>
          <w:snapToGrid w:val="0"/>
          <w:color w:val="auto"/>
          <w:szCs w:val="21"/>
          <w:highlight w:val="none"/>
          <w:lang w:bidi="ar"/>
        </w:rPr>
        <w:t>）监理人现场管理机构工作人员签收。</w:t>
      </w:r>
    </w:p>
    <w:p w14:paraId="3678E8D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lang w:bidi="ar"/>
        </w:rPr>
        <w:t>（</w:t>
      </w:r>
      <w:r>
        <w:rPr>
          <w:rFonts w:hint="eastAsia" w:ascii="宋体" w:hAnsi="宋体" w:eastAsia="宋体" w:cs="宋体"/>
          <w:color w:val="auto"/>
          <w:szCs w:val="21"/>
          <w:highlight w:val="none"/>
          <w:lang w:bidi="ar"/>
        </w:rPr>
        <w:t>2</w:t>
      </w:r>
      <w:r>
        <w:rPr>
          <w:rFonts w:hint="eastAsia" w:ascii="宋体" w:hAnsi="宋体" w:eastAsia="宋体" w:cs="宋体"/>
          <w:snapToGrid w:val="0"/>
          <w:color w:val="auto"/>
          <w:szCs w:val="21"/>
          <w:highlight w:val="none"/>
          <w:lang w:bidi="ar"/>
        </w:rPr>
        <w:t>）监理人其他工作人员签收。</w:t>
      </w:r>
    </w:p>
    <w:p w14:paraId="28818A8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lang w:bidi="ar"/>
        </w:rPr>
        <w:t>（</w:t>
      </w:r>
      <w:r>
        <w:rPr>
          <w:rFonts w:hint="eastAsia" w:ascii="宋体" w:hAnsi="宋体" w:eastAsia="宋体" w:cs="宋体"/>
          <w:color w:val="auto"/>
          <w:szCs w:val="21"/>
          <w:highlight w:val="none"/>
          <w:lang w:bidi="ar"/>
        </w:rPr>
        <w:t>3</w:t>
      </w:r>
      <w:r>
        <w:rPr>
          <w:rFonts w:hint="eastAsia" w:ascii="宋体" w:hAnsi="宋体" w:eastAsia="宋体" w:cs="宋体"/>
          <w:snapToGrid w:val="0"/>
          <w:color w:val="auto"/>
          <w:szCs w:val="21"/>
          <w:highlight w:val="none"/>
          <w:lang w:bidi="ar"/>
        </w:rPr>
        <w:t>）委托人邮寄送达。</w:t>
      </w:r>
    </w:p>
    <w:p w14:paraId="7C972F9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lang w:bidi="ar"/>
        </w:rPr>
        <w:t>26.5.3委托人以书面形式作出的违约处理决定一经送达监理人立即生效。监理人如有足够证据证明不应由其承担违约责任的，应在收到违约处理决定后</w:t>
      </w:r>
      <w:r>
        <w:rPr>
          <w:rFonts w:hint="eastAsia" w:ascii="宋体" w:hAnsi="宋体" w:eastAsia="宋体" w:cs="宋体"/>
          <w:color w:val="auto"/>
          <w:szCs w:val="21"/>
          <w:highlight w:val="none"/>
          <w:lang w:bidi="ar"/>
        </w:rPr>
        <w:t>3</w:t>
      </w:r>
      <w:r>
        <w:rPr>
          <w:rFonts w:hint="eastAsia" w:ascii="宋体" w:hAnsi="宋体" w:eastAsia="宋体" w:cs="宋体"/>
          <w:snapToGrid w:val="0"/>
          <w:color w:val="auto"/>
          <w:szCs w:val="21"/>
          <w:highlight w:val="none"/>
          <w:lang w:bidi="ar"/>
        </w:rPr>
        <w:t>日内以书面形式向委托人提出异议并附上有关证据；委托人在收到监理人的异议后</w:t>
      </w:r>
      <w:r>
        <w:rPr>
          <w:rFonts w:hint="eastAsia" w:ascii="宋体" w:hAnsi="宋体" w:eastAsia="宋体" w:cs="宋体"/>
          <w:color w:val="auto"/>
          <w:szCs w:val="21"/>
          <w:highlight w:val="none"/>
          <w:lang w:bidi="ar"/>
        </w:rPr>
        <w:t>15</w:t>
      </w:r>
      <w:r>
        <w:rPr>
          <w:rFonts w:hint="eastAsia" w:ascii="宋体" w:hAnsi="宋体" w:eastAsia="宋体" w:cs="宋体"/>
          <w:snapToGrid w:val="0"/>
          <w:color w:val="auto"/>
          <w:szCs w:val="21"/>
          <w:highlight w:val="none"/>
          <w:lang w:bidi="ar"/>
        </w:rPr>
        <w:t>日内审核完毕且作出书面决定并通知监理人。</w:t>
      </w:r>
    </w:p>
    <w:p w14:paraId="579BDF7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lang w:bidi="ar"/>
        </w:rPr>
        <w:t>26.5.4监理人承诺严格按照合同和招投标文件规定履行义务，并同意委托人将其执行国家强制性规范、标准和履行合同、招投标文件义务的情况（包括但不限于由委托人组织的考核、考评通报、违约责任处理决定等）在委托人网站或其他媒体上公开披露。</w:t>
      </w:r>
    </w:p>
    <w:p w14:paraId="7E9C9D73">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26.6监理人违约罚款的扣除方式</w:t>
      </w:r>
    </w:p>
    <w:p w14:paraId="20E2B097">
      <w:pPr>
        <w:adjustRightInd w:val="0"/>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监理人违约罚款一经生效，委托人可以在下期的监理费中予以扣除，或者在监理费结算时一并扣减。</w:t>
      </w:r>
    </w:p>
    <w:p w14:paraId="0E3DEC1E">
      <w:pPr>
        <w:adjustRightInd w:val="0"/>
        <w:snapToGrid w:val="0"/>
        <w:spacing w:line="360" w:lineRule="auto"/>
        <w:ind w:firstLine="413" w:firstLineChars="196"/>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第二十七条</w:t>
      </w:r>
      <w:r>
        <w:rPr>
          <w:rFonts w:hint="eastAsia" w:ascii="宋体" w:hAnsi="宋体" w:eastAsia="宋体" w:cs="宋体"/>
          <w:b/>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双方一致同意不适用本合同标准条件第</w:t>
      </w:r>
      <w:r>
        <w:rPr>
          <w:rFonts w:hint="eastAsia" w:ascii="宋体" w:hAnsi="宋体" w:eastAsia="宋体" w:cs="宋体"/>
          <w:color w:val="auto"/>
          <w:kern w:val="0"/>
          <w:szCs w:val="21"/>
          <w:highlight w:val="none"/>
          <w:lang w:bidi="ar"/>
        </w:rPr>
        <w:t>27</w:t>
      </w:r>
      <w:r>
        <w:rPr>
          <w:rFonts w:hint="eastAsia" w:ascii="宋体" w:hAnsi="宋体" w:eastAsia="宋体" w:cs="宋体"/>
          <w:snapToGrid w:val="0"/>
          <w:color w:val="auto"/>
          <w:kern w:val="0"/>
          <w:szCs w:val="21"/>
          <w:highlight w:val="none"/>
          <w:lang w:bidi="ar"/>
        </w:rPr>
        <w:t>条的约定，监理人对承包人违反合同约定的质量、安全、文明施工等方面的要求时，监理人应按照本合同专用条件第</w:t>
      </w:r>
      <w:r>
        <w:rPr>
          <w:rFonts w:hint="eastAsia" w:ascii="宋体" w:hAnsi="宋体" w:eastAsia="宋体" w:cs="宋体"/>
          <w:color w:val="auto"/>
          <w:kern w:val="0"/>
          <w:szCs w:val="21"/>
          <w:highlight w:val="none"/>
          <w:lang w:bidi="ar"/>
        </w:rPr>
        <w:t>26.4.2-</w:t>
      </w: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7</w:t>
      </w:r>
      <w:r>
        <w:rPr>
          <w:rFonts w:hint="eastAsia" w:ascii="宋体" w:hAnsi="宋体" w:eastAsia="宋体" w:cs="宋体"/>
          <w:snapToGrid w:val="0"/>
          <w:color w:val="auto"/>
          <w:kern w:val="0"/>
          <w:szCs w:val="21"/>
          <w:highlight w:val="none"/>
          <w:lang w:bidi="ar"/>
        </w:rPr>
        <w:t>）、（</w:t>
      </w:r>
      <w:r>
        <w:rPr>
          <w:rFonts w:hint="eastAsia" w:ascii="宋体" w:hAnsi="宋体" w:eastAsia="宋体" w:cs="宋体"/>
          <w:color w:val="auto"/>
          <w:kern w:val="0"/>
          <w:szCs w:val="21"/>
          <w:highlight w:val="none"/>
          <w:lang w:bidi="ar"/>
        </w:rPr>
        <w:t>14</w:t>
      </w:r>
      <w:r>
        <w:rPr>
          <w:rFonts w:hint="eastAsia" w:ascii="宋体" w:hAnsi="宋体" w:eastAsia="宋体" w:cs="宋体"/>
          <w:snapToGrid w:val="0"/>
          <w:color w:val="auto"/>
          <w:kern w:val="0"/>
          <w:szCs w:val="21"/>
          <w:highlight w:val="none"/>
          <w:lang w:bidi="ar"/>
        </w:rPr>
        <w:t>）款的有关约定承担违约责任，除非有充分的证据证明监理人严格履行了本合同的责任和义务且上述问题的发生仅为承包人自身原因所致。</w:t>
      </w:r>
    </w:p>
    <w:p w14:paraId="4A1D58C7">
      <w:pPr>
        <w:adjustRightInd w:val="0"/>
        <w:snapToGrid w:val="0"/>
        <w:spacing w:line="360" w:lineRule="auto"/>
        <w:ind w:left="43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第二十九条</w:t>
      </w:r>
      <w:r>
        <w:rPr>
          <w:rFonts w:hint="eastAsia" w:ascii="宋体" w:hAnsi="宋体" w:eastAsia="宋体" w:cs="宋体"/>
          <w:b/>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委托人的违约责任：</w:t>
      </w:r>
    </w:p>
    <w:p w14:paraId="37E5206C">
      <w:pPr>
        <w:adjustRightInd w:val="0"/>
        <w:snapToGrid w:val="0"/>
        <w:spacing w:line="360" w:lineRule="auto"/>
        <w:ind w:right="11" w:firstLine="403" w:firstLineChars="192"/>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29.1监理人充分理解财政资金的拨付规定，委托人已按约定向财政部门递交监理酬金支付证明资料的，则监理人不得以监理酬金未及时到账的原因追究委托人违约责任。</w:t>
      </w:r>
    </w:p>
    <w:p w14:paraId="12A3DA8E">
      <w:pPr>
        <w:adjustRightInd w:val="0"/>
        <w:snapToGrid w:val="0"/>
        <w:spacing w:line="360" w:lineRule="auto"/>
        <w:ind w:right="11" w:firstLine="403" w:firstLineChars="192"/>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29.2因委托人原因给监理人造成损失的，在监理人能够提交足够证据并经查证属实的情况下，委托人应赔偿其直接经济损失。</w:t>
      </w:r>
    </w:p>
    <w:p w14:paraId="19254827">
      <w:pPr>
        <w:adjustRightInd w:val="0"/>
        <w:snapToGrid w:val="0"/>
        <w:spacing w:line="360" w:lineRule="auto"/>
        <w:ind w:firstLine="413" w:firstLineChars="196"/>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第三十一条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双方一致同意不适用本合同标准条件第</w:t>
      </w:r>
      <w:r>
        <w:rPr>
          <w:rFonts w:hint="eastAsia" w:ascii="宋体" w:hAnsi="宋体" w:eastAsia="宋体" w:cs="宋体"/>
          <w:color w:val="auto"/>
          <w:kern w:val="0"/>
          <w:szCs w:val="21"/>
          <w:highlight w:val="none"/>
          <w:lang w:bidi="ar"/>
        </w:rPr>
        <w:t>31</w:t>
      </w:r>
      <w:r>
        <w:rPr>
          <w:rFonts w:hint="eastAsia" w:ascii="宋体" w:hAnsi="宋体" w:eastAsia="宋体" w:cs="宋体"/>
          <w:snapToGrid w:val="0"/>
          <w:color w:val="auto"/>
          <w:kern w:val="0"/>
          <w:szCs w:val="21"/>
          <w:highlight w:val="none"/>
          <w:lang w:bidi="ar"/>
        </w:rPr>
        <w:t>条的约定，由于委托人或承包人的原因使监理工作受到阻碍或延误，则监理人应当将此情况与可能产生的影响及时通知委托人，完成监理业务的时间相应延长，监理人的酬金不变。</w:t>
      </w:r>
    </w:p>
    <w:p w14:paraId="22CC9958">
      <w:pPr>
        <w:adjustRightInd w:val="0"/>
        <w:snapToGrid w:val="0"/>
        <w:spacing w:line="360" w:lineRule="auto"/>
        <w:ind w:firstLine="413" w:firstLineChars="196"/>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第三十二条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双方一致同意不适用本合同标准条件第</w:t>
      </w:r>
      <w:r>
        <w:rPr>
          <w:rFonts w:hint="eastAsia" w:ascii="宋体" w:hAnsi="宋体" w:eastAsia="宋体" w:cs="宋体"/>
          <w:color w:val="auto"/>
          <w:kern w:val="0"/>
          <w:szCs w:val="21"/>
          <w:highlight w:val="none"/>
          <w:lang w:bidi="ar"/>
        </w:rPr>
        <w:t>32</w:t>
      </w:r>
      <w:r>
        <w:rPr>
          <w:rFonts w:hint="eastAsia" w:ascii="宋体" w:hAnsi="宋体" w:eastAsia="宋体" w:cs="宋体"/>
          <w:snapToGrid w:val="0"/>
          <w:color w:val="auto"/>
          <w:kern w:val="0"/>
          <w:szCs w:val="21"/>
          <w:highlight w:val="none"/>
          <w:lang w:bidi="ar"/>
        </w:rPr>
        <w:t>条的约定，在实际情况发生变化，使得监理人不能全部或部分执行监理业务时，监理人应当立即通知委托人，该监理业务的完成时间应予延长。当恢复执行监理业务时，监理人应当立即恢复执行监理业务，监理人的酬金不变。</w:t>
      </w:r>
    </w:p>
    <w:p w14:paraId="3472B9D9">
      <w:pPr>
        <w:adjustRightInd w:val="0"/>
        <w:snapToGrid w:val="0"/>
        <w:spacing w:line="360" w:lineRule="auto"/>
        <w:ind w:firstLine="413" w:firstLineChars="196"/>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第三十三条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双方一致同意不适用本合同标准条件第</w:t>
      </w:r>
      <w:r>
        <w:rPr>
          <w:rFonts w:hint="eastAsia" w:ascii="宋体" w:hAnsi="宋体" w:eastAsia="宋体" w:cs="宋体"/>
          <w:color w:val="auto"/>
          <w:kern w:val="0"/>
          <w:szCs w:val="21"/>
          <w:highlight w:val="none"/>
          <w:lang w:bidi="ar"/>
        </w:rPr>
        <w:t>33</w:t>
      </w:r>
      <w:r>
        <w:rPr>
          <w:rFonts w:hint="eastAsia" w:ascii="宋体" w:hAnsi="宋体" w:eastAsia="宋体" w:cs="宋体"/>
          <w:snapToGrid w:val="0"/>
          <w:color w:val="auto"/>
          <w:kern w:val="0"/>
          <w:szCs w:val="21"/>
          <w:highlight w:val="none"/>
          <w:lang w:bidi="ar"/>
        </w:rPr>
        <w:t>条的约定，本合同的有效期一直至本合同工程保修期间届满、竣工结算完成且双方的责任、义务履行完毕时才终止。本合同工程保修期间，监理人仍须承担监理责任。</w:t>
      </w:r>
    </w:p>
    <w:p w14:paraId="3D06AE30">
      <w:pPr>
        <w:adjustRightInd w:val="0"/>
        <w:snapToGrid w:val="0"/>
        <w:spacing w:line="360" w:lineRule="auto"/>
        <w:ind w:firstLine="413" w:firstLineChars="196"/>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第三十四条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双方一致同意不适用本合同标准条件第</w:t>
      </w:r>
      <w:r>
        <w:rPr>
          <w:rFonts w:hint="eastAsia" w:ascii="宋体" w:hAnsi="宋体" w:eastAsia="宋体" w:cs="宋体"/>
          <w:color w:val="auto"/>
          <w:kern w:val="0"/>
          <w:szCs w:val="21"/>
          <w:highlight w:val="none"/>
          <w:lang w:bidi="ar"/>
        </w:rPr>
        <w:t>34</w:t>
      </w:r>
      <w:r>
        <w:rPr>
          <w:rFonts w:hint="eastAsia" w:ascii="宋体" w:hAnsi="宋体" w:eastAsia="宋体" w:cs="宋体"/>
          <w:snapToGrid w:val="0"/>
          <w:color w:val="auto"/>
          <w:kern w:val="0"/>
          <w:szCs w:val="21"/>
          <w:highlight w:val="none"/>
          <w:lang w:bidi="ar"/>
        </w:rPr>
        <w:t>条的约定，本合同未经双方协商一致，不得变更或解除。委托人根据本合同的约定单方面部分或全部解除本合同的，自委托人书面通知监理人时起部分或全部解除本合同即生效。</w:t>
      </w:r>
    </w:p>
    <w:p w14:paraId="3B27938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本合同的修改（包括服务范围的修改），只能以双方书面同意的方式进行。由于财政投资项目施工过程的特殊性，委托人有调整局部服务范围的权利，即部分解除或部分增加服务范围。监理费最终按财政评审后的监理范围内的施工合同结算总价为施工监理服务收费的计费额进行结算，但浮动幅度值不调整，且最终监理费总价不超过本工程监理酬金暂定合同总价。</w:t>
      </w:r>
    </w:p>
    <w:p w14:paraId="03B24D05">
      <w:pPr>
        <w:adjustRightInd w:val="0"/>
        <w:snapToGrid w:val="0"/>
        <w:spacing w:line="360" w:lineRule="auto"/>
        <w:ind w:left="43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第三十五条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双方一致同意不适用本合同标准条件第</w:t>
      </w:r>
      <w:r>
        <w:rPr>
          <w:rFonts w:hint="eastAsia" w:ascii="宋体" w:hAnsi="宋体" w:eastAsia="宋体" w:cs="宋体"/>
          <w:color w:val="auto"/>
          <w:kern w:val="0"/>
          <w:szCs w:val="21"/>
          <w:highlight w:val="none"/>
          <w:lang w:bidi="ar"/>
        </w:rPr>
        <w:t>35</w:t>
      </w:r>
      <w:r>
        <w:rPr>
          <w:rFonts w:hint="eastAsia" w:ascii="宋体" w:hAnsi="宋体" w:eastAsia="宋体" w:cs="宋体"/>
          <w:snapToGrid w:val="0"/>
          <w:color w:val="auto"/>
          <w:kern w:val="0"/>
          <w:szCs w:val="21"/>
          <w:highlight w:val="none"/>
          <w:lang w:bidi="ar"/>
        </w:rPr>
        <w:t>条的约定。</w:t>
      </w:r>
    </w:p>
    <w:p w14:paraId="24399A7A">
      <w:pPr>
        <w:adjustRightInd w:val="0"/>
        <w:snapToGrid w:val="0"/>
        <w:spacing w:line="360" w:lineRule="auto"/>
        <w:ind w:left="430"/>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第三十六条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双方一致同意不适用本合同标准条件第</w:t>
      </w:r>
      <w:r>
        <w:rPr>
          <w:rFonts w:hint="eastAsia" w:ascii="宋体" w:hAnsi="宋体" w:eastAsia="宋体" w:cs="宋体"/>
          <w:color w:val="auto"/>
          <w:kern w:val="0"/>
          <w:szCs w:val="21"/>
          <w:highlight w:val="none"/>
          <w:lang w:bidi="ar"/>
        </w:rPr>
        <w:t>36</w:t>
      </w:r>
      <w:r>
        <w:rPr>
          <w:rFonts w:hint="eastAsia" w:ascii="宋体" w:hAnsi="宋体" w:eastAsia="宋体" w:cs="宋体"/>
          <w:snapToGrid w:val="0"/>
          <w:color w:val="auto"/>
          <w:kern w:val="0"/>
          <w:szCs w:val="21"/>
          <w:highlight w:val="none"/>
          <w:lang w:bidi="ar"/>
        </w:rPr>
        <w:t>条的约定。</w:t>
      </w:r>
    </w:p>
    <w:p w14:paraId="7B6D291F">
      <w:pPr>
        <w:adjustRightInd w:val="0"/>
        <w:snapToGrid w:val="0"/>
        <w:spacing w:line="360" w:lineRule="auto"/>
        <w:ind w:firstLine="413" w:firstLineChars="196"/>
        <w:rPr>
          <w:rFonts w:hint="eastAsia" w:ascii="宋体" w:hAnsi="宋体" w:eastAsia="宋体" w:cs="宋体"/>
          <w:color w:val="auto"/>
          <w:kern w:val="0"/>
          <w:szCs w:val="21"/>
          <w:highlight w:val="none"/>
        </w:rPr>
      </w:pPr>
      <w:r>
        <w:rPr>
          <w:rFonts w:hint="eastAsia" w:ascii="宋体" w:hAnsi="宋体" w:eastAsia="宋体" w:cs="宋体"/>
          <w:b/>
          <w:snapToGrid w:val="0"/>
          <w:color w:val="auto"/>
          <w:kern w:val="0"/>
          <w:szCs w:val="21"/>
          <w:highlight w:val="none"/>
          <w:lang w:bidi="ar"/>
        </w:rPr>
        <w:t>第三十七条</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双方一致同意不适用本合同标准条件第</w:t>
      </w:r>
      <w:r>
        <w:rPr>
          <w:rFonts w:hint="eastAsia" w:ascii="宋体" w:hAnsi="宋体" w:eastAsia="宋体" w:cs="宋体"/>
          <w:color w:val="auto"/>
          <w:kern w:val="0"/>
          <w:szCs w:val="21"/>
          <w:highlight w:val="none"/>
          <w:lang w:bidi="ar"/>
        </w:rPr>
        <w:t>37</w:t>
      </w:r>
      <w:r>
        <w:rPr>
          <w:rFonts w:hint="eastAsia" w:ascii="宋体" w:hAnsi="宋体" w:eastAsia="宋体" w:cs="宋体"/>
          <w:snapToGrid w:val="0"/>
          <w:color w:val="auto"/>
          <w:kern w:val="0"/>
          <w:szCs w:val="21"/>
          <w:highlight w:val="none"/>
          <w:lang w:bidi="ar"/>
        </w:rPr>
        <w:t>条的约定，当委托人认为监理人无正当理由而又未履行监理义务时，按本合同专用条件第</w:t>
      </w:r>
      <w:r>
        <w:rPr>
          <w:rFonts w:hint="eastAsia" w:ascii="宋体" w:hAnsi="宋体" w:eastAsia="宋体" w:cs="宋体"/>
          <w:color w:val="auto"/>
          <w:kern w:val="0"/>
          <w:szCs w:val="21"/>
          <w:highlight w:val="none"/>
          <w:lang w:bidi="ar"/>
        </w:rPr>
        <w:t>26</w:t>
      </w:r>
      <w:r>
        <w:rPr>
          <w:rFonts w:hint="eastAsia" w:ascii="宋体" w:hAnsi="宋体" w:eastAsia="宋体" w:cs="宋体"/>
          <w:snapToGrid w:val="0"/>
          <w:color w:val="auto"/>
          <w:kern w:val="0"/>
          <w:szCs w:val="21"/>
          <w:highlight w:val="none"/>
          <w:lang w:bidi="ar"/>
        </w:rPr>
        <w:t>条的约定处理。</w:t>
      </w:r>
    </w:p>
    <w:p w14:paraId="715AF1C0">
      <w:pPr>
        <w:adjustRightInd w:val="0"/>
        <w:snapToGrid w:val="0"/>
        <w:spacing w:line="360" w:lineRule="auto"/>
        <w:ind w:firstLine="413" w:firstLineChars="196"/>
        <w:rPr>
          <w:rFonts w:hint="eastAsia" w:ascii="宋体" w:hAnsi="宋体" w:eastAsia="宋体" w:cs="宋体"/>
          <w:b/>
          <w:bCs/>
          <w:color w:val="auto"/>
          <w:kern w:val="0"/>
          <w:szCs w:val="21"/>
          <w:highlight w:val="none"/>
        </w:rPr>
      </w:pPr>
      <w:r>
        <w:rPr>
          <w:rFonts w:hint="eastAsia" w:ascii="宋体" w:hAnsi="宋体" w:eastAsia="宋体" w:cs="宋体"/>
          <w:b/>
          <w:snapToGrid w:val="0"/>
          <w:color w:val="auto"/>
          <w:kern w:val="0"/>
          <w:szCs w:val="21"/>
          <w:highlight w:val="none"/>
          <w:lang w:bidi="ar"/>
        </w:rPr>
        <w:t>第三十九条</w:t>
      </w:r>
      <w:r>
        <w:rPr>
          <w:rFonts w:hint="eastAsia" w:ascii="宋体" w:hAnsi="宋体" w:eastAsia="宋体" w:cs="宋体"/>
          <w:b/>
          <w:color w:val="auto"/>
          <w:kern w:val="0"/>
          <w:szCs w:val="21"/>
          <w:highlight w:val="none"/>
          <w:lang w:bidi="ar"/>
        </w:rPr>
        <w:t xml:space="preserve">  </w:t>
      </w:r>
      <w:r>
        <w:rPr>
          <w:rFonts w:hint="eastAsia" w:ascii="宋体" w:hAnsi="宋体" w:eastAsia="宋体" w:cs="宋体"/>
          <w:bCs/>
          <w:snapToGrid w:val="0"/>
          <w:color w:val="auto"/>
          <w:kern w:val="0"/>
          <w:szCs w:val="21"/>
          <w:highlight w:val="none"/>
          <w:lang w:bidi="ar"/>
        </w:rPr>
        <w:t>双方一致同意不适用本合同标准条件第</w:t>
      </w:r>
      <w:r>
        <w:rPr>
          <w:rFonts w:hint="eastAsia" w:ascii="宋体" w:hAnsi="宋体" w:eastAsia="宋体" w:cs="宋体"/>
          <w:bCs/>
          <w:color w:val="auto"/>
          <w:kern w:val="0"/>
          <w:szCs w:val="21"/>
          <w:highlight w:val="none"/>
          <w:lang w:bidi="ar"/>
        </w:rPr>
        <w:t>39</w:t>
      </w:r>
      <w:r>
        <w:rPr>
          <w:rFonts w:hint="eastAsia" w:ascii="宋体" w:hAnsi="宋体" w:eastAsia="宋体" w:cs="宋体"/>
          <w:bCs/>
          <w:snapToGrid w:val="0"/>
          <w:color w:val="auto"/>
          <w:kern w:val="0"/>
          <w:szCs w:val="21"/>
          <w:highlight w:val="none"/>
          <w:lang w:bidi="ar"/>
        </w:rPr>
        <w:t>条的约定，监理酬金的计算方法、支付时间与金额按委托监理协议书第三条的约定执行。</w:t>
      </w:r>
    </w:p>
    <w:p w14:paraId="2429AB4A">
      <w:pPr>
        <w:adjustRightInd w:val="0"/>
        <w:snapToGrid w:val="0"/>
        <w:spacing w:line="360" w:lineRule="auto"/>
        <w:ind w:firstLine="413" w:firstLineChars="196"/>
        <w:rPr>
          <w:rFonts w:hint="eastAsia" w:ascii="宋体" w:hAnsi="宋体" w:eastAsia="宋体" w:cs="宋体"/>
          <w:b/>
          <w:snapToGrid w:val="0"/>
          <w:color w:val="auto"/>
          <w:kern w:val="0"/>
          <w:szCs w:val="21"/>
          <w:highlight w:val="none"/>
        </w:rPr>
      </w:pPr>
      <w:r>
        <w:rPr>
          <w:rFonts w:hint="eastAsia" w:ascii="宋体" w:hAnsi="宋体" w:eastAsia="宋体" w:cs="宋体"/>
          <w:b/>
          <w:snapToGrid w:val="0"/>
          <w:color w:val="auto"/>
          <w:kern w:val="0"/>
          <w:szCs w:val="21"/>
          <w:highlight w:val="none"/>
          <w:lang w:bidi="ar"/>
        </w:rPr>
        <w:t>第四十一条</w:t>
      </w:r>
      <w:r>
        <w:rPr>
          <w:rFonts w:hint="eastAsia" w:ascii="宋体" w:hAnsi="宋体" w:eastAsia="宋体" w:cs="宋体"/>
          <w:bCs/>
          <w:color w:val="auto"/>
          <w:kern w:val="0"/>
          <w:szCs w:val="21"/>
          <w:highlight w:val="none"/>
          <w:lang w:bidi="ar"/>
        </w:rPr>
        <w:t xml:space="preserve">  </w:t>
      </w:r>
      <w:r>
        <w:rPr>
          <w:rFonts w:hint="eastAsia" w:ascii="宋体" w:hAnsi="宋体" w:eastAsia="宋体" w:cs="宋体"/>
          <w:bCs/>
          <w:snapToGrid w:val="0"/>
          <w:color w:val="auto"/>
          <w:spacing w:val="-4"/>
          <w:kern w:val="0"/>
          <w:szCs w:val="21"/>
          <w:highlight w:val="none"/>
          <w:lang w:bidi="ar"/>
        </w:rPr>
        <w:t>委托人与监理人双方同意用人民币支付本合同涉及的相关款项。</w:t>
      </w:r>
    </w:p>
    <w:p w14:paraId="47E9CEED">
      <w:pPr>
        <w:tabs>
          <w:tab w:val="left" w:pos="1800"/>
        </w:tabs>
        <w:adjustRightInd w:val="0"/>
        <w:snapToGrid w:val="0"/>
        <w:spacing w:line="360" w:lineRule="auto"/>
        <w:ind w:firstLine="413" w:firstLineChars="196"/>
        <w:rPr>
          <w:rFonts w:hint="eastAsia" w:ascii="宋体" w:hAnsi="宋体" w:eastAsia="宋体" w:cs="宋体"/>
          <w:b/>
          <w:color w:val="auto"/>
          <w:kern w:val="0"/>
          <w:szCs w:val="21"/>
          <w:highlight w:val="none"/>
        </w:rPr>
      </w:pPr>
      <w:r>
        <w:rPr>
          <w:rFonts w:hint="eastAsia" w:ascii="宋体" w:hAnsi="宋体" w:eastAsia="宋体" w:cs="宋体"/>
          <w:b/>
          <w:snapToGrid w:val="0"/>
          <w:color w:val="auto"/>
          <w:kern w:val="0"/>
          <w:szCs w:val="21"/>
          <w:highlight w:val="none"/>
          <w:lang w:bidi="ar"/>
        </w:rPr>
        <w:t>第四十二条</w:t>
      </w:r>
      <w:r>
        <w:rPr>
          <w:rFonts w:hint="eastAsia" w:ascii="宋体" w:hAnsi="宋体" w:eastAsia="宋体" w:cs="宋体"/>
          <w:b/>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双方一致同意不适用本合同标准条件第</w:t>
      </w:r>
      <w:r>
        <w:rPr>
          <w:rFonts w:hint="eastAsia" w:ascii="宋体" w:hAnsi="宋体" w:eastAsia="宋体" w:cs="宋体"/>
          <w:color w:val="auto"/>
          <w:kern w:val="0"/>
          <w:szCs w:val="21"/>
          <w:highlight w:val="none"/>
          <w:lang w:bidi="ar"/>
        </w:rPr>
        <w:t>42</w:t>
      </w:r>
      <w:r>
        <w:rPr>
          <w:rFonts w:hint="eastAsia" w:ascii="宋体" w:hAnsi="宋体" w:eastAsia="宋体" w:cs="宋体"/>
          <w:snapToGrid w:val="0"/>
          <w:color w:val="auto"/>
          <w:kern w:val="0"/>
          <w:szCs w:val="21"/>
          <w:highlight w:val="none"/>
          <w:lang w:bidi="ar"/>
        </w:rPr>
        <w:t>条的约定。监理人应在委托人每期办理财政集中支付手续前【 】个工作日向委托人提供与当期应付款项等额的合法有效的国家</w:t>
      </w:r>
      <w:r>
        <w:rPr>
          <w:rFonts w:hint="eastAsia" w:ascii="宋体" w:hAnsi="宋体" w:eastAsia="宋体" w:cs="宋体"/>
          <w:snapToGrid w:val="0"/>
          <w:color w:val="auto"/>
          <w:kern w:val="0"/>
          <w:szCs w:val="21"/>
          <w:highlight w:val="none"/>
          <w:lang w:val="en-US" w:eastAsia="zh-CN" w:bidi="ar"/>
        </w:rPr>
        <w:t>增值税</w:t>
      </w:r>
      <w:r>
        <w:rPr>
          <w:rFonts w:hint="eastAsia" w:ascii="宋体" w:hAnsi="宋体" w:eastAsia="宋体" w:cs="宋体"/>
          <w:snapToGrid w:val="0"/>
          <w:color w:val="auto"/>
          <w:kern w:val="0"/>
          <w:szCs w:val="21"/>
          <w:highlight w:val="none"/>
          <w:lang w:bidi="ar"/>
        </w:rPr>
        <w:t>发票及书面付款申请（一式四份），以供委托人审核确认后办理财政集中支付手续。委托人在收到监理人附有证明材料的付款申请并经委托人审核确认后</w:t>
      </w:r>
      <w:r>
        <w:rPr>
          <w:rFonts w:hint="eastAsia" w:ascii="宋体" w:hAnsi="宋体" w:eastAsia="宋体" w:cs="宋体"/>
          <w:color w:val="auto"/>
          <w:kern w:val="0"/>
          <w:szCs w:val="21"/>
          <w:highlight w:val="none"/>
          <w:lang w:bidi="ar"/>
        </w:rPr>
        <w:t>30</w:t>
      </w:r>
      <w:r>
        <w:rPr>
          <w:rFonts w:hint="eastAsia" w:ascii="宋体" w:hAnsi="宋体" w:eastAsia="宋体" w:cs="宋体"/>
          <w:snapToGrid w:val="0"/>
          <w:color w:val="auto"/>
          <w:kern w:val="0"/>
          <w:szCs w:val="21"/>
          <w:highlight w:val="none"/>
          <w:lang w:bidi="ar"/>
        </w:rPr>
        <w:t>日内进行支付。</w:t>
      </w:r>
    </w:p>
    <w:p w14:paraId="4C8A6A4E">
      <w:pPr>
        <w:adjustRightInd w:val="0"/>
        <w:snapToGrid w:val="0"/>
        <w:spacing w:line="360" w:lineRule="auto"/>
        <w:ind w:firstLine="413" w:firstLineChars="196"/>
        <w:rPr>
          <w:rFonts w:hint="eastAsia" w:ascii="宋体" w:hAnsi="宋体" w:eastAsia="宋体" w:cs="宋体"/>
          <w:color w:val="auto"/>
          <w:kern w:val="0"/>
          <w:szCs w:val="21"/>
          <w:highlight w:val="none"/>
        </w:rPr>
      </w:pPr>
      <w:r>
        <w:rPr>
          <w:rFonts w:hint="eastAsia" w:ascii="宋体" w:hAnsi="宋体" w:eastAsia="宋体" w:cs="宋体"/>
          <w:b/>
          <w:smallCaps/>
          <w:snapToGrid w:val="0"/>
          <w:color w:val="auto"/>
          <w:kern w:val="0"/>
          <w:szCs w:val="21"/>
          <w:highlight w:val="none"/>
          <w:lang w:bidi="ar"/>
        </w:rPr>
        <w:t>第四十三条</w:t>
      </w:r>
      <w:r>
        <w:rPr>
          <w:rFonts w:hint="eastAsia" w:ascii="宋体" w:hAnsi="宋体" w:eastAsia="宋体" w:cs="宋体"/>
          <w:b/>
          <w:smallCaps/>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双方一致同意不适用本合同标准条件第</w:t>
      </w:r>
      <w:r>
        <w:rPr>
          <w:rFonts w:hint="eastAsia" w:ascii="宋体" w:hAnsi="宋体" w:eastAsia="宋体" w:cs="宋体"/>
          <w:color w:val="auto"/>
          <w:kern w:val="0"/>
          <w:szCs w:val="21"/>
          <w:highlight w:val="none"/>
          <w:lang w:bidi="ar"/>
        </w:rPr>
        <w:t>43</w:t>
      </w:r>
      <w:r>
        <w:rPr>
          <w:rFonts w:hint="eastAsia" w:ascii="宋体" w:hAnsi="宋体" w:eastAsia="宋体" w:cs="宋体"/>
          <w:snapToGrid w:val="0"/>
          <w:color w:val="auto"/>
          <w:kern w:val="0"/>
          <w:szCs w:val="21"/>
          <w:highlight w:val="none"/>
          <w:lang w:bidi="ar"/>
        </w:rPr>
        <w:t>条的约定，委托的建设工程监理所必要的监理人员出外考察、材料设备复试、监造，其费用支出由监理人负责解决。</w:t>
      </w:r>
    </w:p>
    <w:p w14:paraId="28832DD2">
      <w:pPr>
        <w:adjustRightInd w:val="0"/>
        <w:snapToGrid w:val="0"/>
        <w:spacing w:line="360" w:lineRule="auto"/>
        <w:ind w:firstLine="413" w:firstLineChars="196"/>
        <w:rPr>
          <w:rFonts w:hint="eastAsia" w:ascii="宋体" w:hAnsi="宋体" w:eastAsia="宋体" w:cs="宋体"/>
          <w:b/>
          <w:bCs/>
          <w:color w:val="auto"/>
          <w:kern w:val="0"/>
          <w:szCs w:val="21"/>
          <w:highlight w:val="none"/>
        </w:rPr>
      </w:pPr>
      <w:r>
        <w:rPr>
          <w:rFonts w:hint="eastAsia" w:ascii="宋体" w:hAnsi="宋体" w:eastAsia="宋体" w:cs="宋体"/>
          <w:b/>
          <w:snapToGrid w:val="0"/>
          <w:color w:val="auto"/>
          <w:kern w:val="0"/>
          <w:szCs w:val="21"/>
          <w:highlight w:val="none"/>
          <w:lang w:bidi="ar"/>
        </w:rPr>
        <w:t>第四十四条</w:t>
      </w:r>
      <w:r>
        <w:rPr>
          <w:rFonts w:hint="eastAsia" w:ascii="宋体" w:hAnsi="宋体" w:eastAsia="宋体" w:cs="宋体"/>
          <w:b/>
          <w:color w:val="auto"/>
          <w:kern w:val="0"/>
          <w:szCs w:val="21"/>
          <w:highlight w:val="none"/>
          <w:lang w:bidi="ar"/>
        </w:rPr>
        <w:t xml:space="preserve">  </w:t>
      </w:r>
      <w:r>
        <w:rPr>
          <w:rFonts w:hint="eastAsia" w:ascii="宋体" w:hAnsi="宋体" w:eastAsia="宋体" w:cs="宋体"/>
          <w:bCs/>
          <w:snapToGrid w:val="0"/>
          <w:color w:val="auto"/>
          <w:kern w:val="0"/>
          <w:szCs w:val="21"/>
          <w:highlight w:val="none"/>
          <w:lang w:bidi="ar"/>
        </w:rPr>
        <w:t>为了使本工程施工监理工作更合理、有序地进行，委托人有权对本合同约定的监理范围、监理内容作适当的调整，特别是对本合同监理范围内专业性较强的、有特殊要求的施工内容，委托人将视监理人能力、水平等实际情况，保留另行选择专业技术管理服务队伍的权利，但不因此免除原监理人应有的责任。监理人必须严格地按照《建设工程监理规范》</w:t>
      </w:r>
      <w:r>
        <w:rPr>
          <w:rFonts w:hint="eastAsia" w:ascii="宋体" w:hAnsi="宋体" w:eastAsia="宋体" w:cs="宋体"/>
          <w:bCs/>
          <w:snapToGrid w:val="0"/>
          <w:color w:val="auto"/>
          <w:kern w:val="0"/>
          <w:szCs w:val="21"/>
          <w:highlight w:val="none"/>
          <w:lang w:val="zh-TW" w:bidi="ar"/>
        </w:rPr>
        <w:t>（</w:t>
      </w:r>
      <w:r>
        <w:rPr>
          <w:rFonts w:hint="eastAsia" w:ascii="宋体" w:hAnsi="宋体" w:eastAsia="宋体" w:cs="宋体"/>
          <w:snapToGrid w:val="0"/>
          <w:color w:val="auto"/>
          <w:kern w:val="0"/>
          <w:szCs w:val="21"/>
          <w:highlight w:val="none"/>
          <w:lang w:bidi="ar"/>
        </w:rPr>
        <w:t>GB/T50319-2013</w:t>
      </w:r>
      <w:r>
        <w:rPr>
          <w:rFonts w:hint="eastAsia" w:ascii="宋体" w:hAnsi="宋体" w:eastAsia="宋体" w:cs="宋体"/>
          <w:bCs/>
          <w:snapToGrid w:val="0"/>
          <w:color w:val="auto"/>
          <w:kern w:val="0"/>
          <w:szCs w:val="21"/>
          <w:highlight w:val="none"/>
          <w:lang w:val="zh-TW" w:bidi="ar"/>
        </w:rPr>
        <w:t>）</w:t>
      </w:r>
      <w:r>
        <w:rPr>
          <w:rFonts w:hint="eastAsia" w:ascii="宋体" w:hAnsi="宋体" w:eastAsia="宋体" w:cs="宋体"/>
          <w:bCs/>
          <w:snapToGrid w:val="0"/>
          <w:color w:val="auto"/>
          <w:kern w:val="0"/>
          <w:szCs w:val="21"/>
          <w:highlight w:val="none"/>
          <w:lang w:bidi="ar"/>
        </w:rPr>
        <w:t>的规定对本合同工程实施全过程监理，不因委托人另行委托了技术督导等技术管理服务单位而减轻或免除监理人的任何责任及义务，并由其负责技术督导等技术管理服务单位的协调管理工作。</w:t>
      </w:r>
    </w:p>
    <w:p w14:paraId="2871C8F6">
      <w:pPr>
        <w:adjustRightInd w:val="0"/>
        <w:snapToGrid w:val="0"/>
        <w:spacing w:line="360" w:lineRule="auto"/>
        <w:ind w:firstLine="413" w:firstLineChars="196"/>
        <w:rPr>
          <w:rFonts w:hint="eastAsia" w:ascii="宋体" w:hAnsi="宋体" w:eastAsia="宋体" w:cs="宋体"/>
          <w:bCs/>
          <w:color w:val="auto"/>
          <w:kern w:val="0"/>
          <w:szCs w:val="21"/>
          <w:highlight w:val="none"/>
        </w:rPr>
      </w:pPr>
      <w:r>
        <w:rPr>
          <w:rFonts w:hint="eastAsia" w:ascii="宋体" w:hAnsi="宋体" w:eastAsia="宋体" w:cs="宋体"/>
          <w:b/>
          <w:snapToGrid w:val="0"/>
          <w:color w:val="auto"/>
          <w:kern w:val="0"/>
          <w:szCs w:val="21"/>
          <w:highlight w:val="none"/>
          <w:lang w:bidi="ar"/>
        </w:rPr>
        <w:t>第四十九条</w:t>
      </w:r>
      <w:r>
        <w:rPr>
          <w:rFonts w:hint="eastAsia" w:ascii="宋体" w:hAnsi="宋体" w:eastAsia="宋体" w:cs="宋体"/>
          <w:b/>
          <w:color w:val="auto"/>
          <w:kern w:val="0"/>
          <w:szCs w:val="21"/>
          <w:highlight w:val="none"/>
          <w:lang w:bidi="ar"/>
        </w:rPr>
        <w:t xml:space="preserve">  </w:t>
      </w:r>
      <w:r>
        <w:rPr>
          <w:rFonts w:hint="eastAsia" w:ascii="宋体" w:hAnsi="宋体" w:eastAsia="宋体" w:cs="宋体"/>
          <w:bCs/>
          <w:snapToGrid w:val="0"/>
          <w:color w:val="auto"/>
          <w:kern w:val="0"/>
          <w:szCs w:val="21"/>
          <w:highlight w:val="none"/>
          <w:lang w:bidi="ar"/>
        </w:rPr>
        <w:t>因履行本合同发生或与本合同有关的争议，双方当事人应友好协商解决。如在一周内未能解决，委托人可先行单方面作出处理决定，任何一方均可向广州市天河区人民法院提起诉讼，但诉讼不影响委托人同其他监理单位另行签订监理合同。在诉讼期间，除有争议部分的事项外，合同其他部分仍应继续履行。</w:t>
      </w:r>
    </w:p>
    <w:p w14:paraId="73B344C6">
      <w:pPr>
        <w:adjustRightInd w:val="0"/>
        <w:snapToGrid w:val="0"/>
        <w:spacing w:line="360" w:lineRule="auto"/>
        <w:ind w:firstLine="411" w:firstLineChars="196"/>
        <w:rPr>
          <w:rFonts w:hint="eastAsia" w:ascii="宋体" w:hAnsi="宋体" w:eastAsia="宋体" w:cs="宋体"/>
          <w:bCs/>
          <w:snapToGrid w:val="0"/>
          <w:color w:val="auto"/>
          <w:kern w:val="0"/>
          <w:szCs w:val="21"/>
          <w:highlight w:val="none"/>
          <w:lang w:val="zh-TW" w:eastAsia="zh-TW"/>
        </w:rPr>
      </w:pPr>
      <w:r>
        <w:rPr>
          <w:rFonts w:hint="eastAsia" w:ascii="宋体" w:hAnsi="宋体" w:eastAsia="宋体" w:cs="宋体"/>
          <w:bCs/>
          <w:snapToGrid w:val="0"/>
          <w:color w:val="auto"/>
          <w:kern w:val="0"/>
          <w:szCs w:val="21"/>
          <w:highlight w:val="none"/>
          <w:lang w:bidi="ar"/>
        </w:rPr>
        <w:t>（以下部分无</w:t>
      </w:r>
      <w:r>
        <w:rPr>
          <w:rFonts w:hint="eastAsia" w:ascii="宋体" w:hAnsi="宋体" w:eastAsia="宋体" w:cs="宋体"/>
          <w:snapToGrid w:val="0"/>
          <w:color w:val="auto"/>
          <w:kern w:val="0"/>
          <w:szCs w:val="21"/>
          <w:highlight w:val="none"/>
          <w:lang w:bidi="ar"/>
        </w:rPr>
        <w:t>《建设工程委托监理合同》</w:t>
      </w:r>
      <w:r>
        <w:rPr>
          <w:rFonts w:hint="eastAsia" w:ascii="宋体" w:hAnsi="宋体" w:eastAsia="宋体" w:cs="宋体"/>
          <w:bCs/>
          <w:color w:val="auto"/>
          <w:kern w:val="0"/>
          <w:szCs w:val="21"/>
          <w:highlight w:val="none"/>
          <w:lang w:bidi="ar"/>
        </w:rPr>
        <w:t>第三部分专用条件正文内容）</w:t>
      </w:r>
    </w:p>
    <w:p w14:paraId="6EF04603">
      <w:pPr>
        <w:adjustRightInd w:val="0"/>
        <w:snapToGrid w:val="0"/>
        <w:spacing w:line="360" w:lineRule="auto"/>
        <w:ind w:firstLine="411" w:firstLineChars="196"/>
        <w:rPr>
          <w:rFonts w:hint="eastAsia" w:ascii="宋体" w:hAnsi="宋体" w:eastAsia="宋体" w:cs="宋体"/>
          <w:bCs/>
          <w:snapToGrid w:val="0"/>
          <w:color w:val="auto"/>
          <w:kern w:val="0"/>
          <w:szCs w:val="21"/>
          <w:highlight w:val="none"/>
          <w:lang w:eastAsia="zh-TW"/>
        </w:rPr>
      </w:pPr>
    </w:p>
    <w:p w14:paraId="373D1050">
      <w:pPr>
        <w:spacing w:after="360" w:afterLines="150" w:line="360" w:lineRule="auto"/>
        <w:jc w:val="center"/>
        <w:rPr>
          <w:rFonts w:hint="eastAsia" w:ascii="宋体" w:hAnsi="宋体" w:eastAsia="宋体" w:cs="宋体"/>
          <w:b/>
          <w:color w:val="auto"/>
          <w:szCs w:val="21"/>
          <w:highlight w:val="none"/>
        </w:rPr>
      </w:pPr>
    </w:p>
    <w:p w14:paraId="4F083415">
      <w:pPr>
        <w:pStyle w:val="20"/>
        <w:widowControl w:val="0"/>
        <w:spacing w:before="0" w:beforeAutospacing="0" w:after="120" w:afterAutospacing="0"/>
        <w:jc w:val="both"/>
        <w:rPr>
          <w:rFonts w:hint="eastAsia" w:ascii="宋体" w:hAnsi="宋体" w:eastAsia="宋体" w:cs="宋体"/>
          <w:b/>
          <w:color w:val="auto"/>
          <w:kern w:val="2"/>
          <w:sz w:val="28"/>
          <w:szCs w:val="28"/>
          <w:highlight w:val="none"/>
        </w:rPr>
      </w:pPr>
      <w:r>
        <w:rPr>
          <w:rFonts w:hint="eastAsia" w:ascii="宋体" w:hAnsi="宋体" w:eastAsia="宋体" w:cs="宋体"/>
          <w:b/>
          <w:color w:val="auto"/>
          <w:sz w:val="20"/>
          <w:szCs w:val="21"/>
          <w:highlight w:val="none"/>
          <w:lang w:bidi="ar"/>
        </w:rPr>
        <w:br w:type="page"/>
      </w:r>
      <w:r>
        <w:rPr>
          <w:rFonts w:hint="eastAsia" w:ascii="宋体" w:hAnsi="宋体" w:eastAsia="宋体" w:cs="宋体"/>
          <w:b/>
          <w:color w:val="auto"/>
          <w:kern w:val="2"/>
          <w:sz w:val="28"/>
          <w:szCs w:val="28"/>
          <w:highlight w:val="none"/>
          <w:lang w:bidi="ar"/>
        </w:rPr>
        <w:t xml:space="preserve">附件1                                    </w:t>
      </w:r>
    </w:p>
    <w:p w14:paraId="512B4DD6">
      <w:pPr>
        <w:pStyle w:val="20"/>
        <w:widowControl w:val="0"/>
        <w:spacing w:before="0" w:beforeAutospacing="0" w:after="120" w:afterAutospacing="0"/>
        <w:jc w:val="center"/>
        <w:rPr>
          <w:rFonts w:hint="eastAsia" w:ascii="宋体" w:hAnsi="宋体" w:eastAsia="宋体" w:cs="宋体"/>
          <w:b/>
          <w:color w:val="auto"/>
          <w:szCs w:val="21"/>
          <w:highlight w:val="none"/>
        </w:rPr>
      </w:pPr>
      <w:r>
        <w:rPr>
          <w:rFonts w:hint="eastAsia" w:ascii="宋体" w:hAnsi="宋体" w:eastAsia="宋体" w:cs="宋体"/>
          <w:b/>
          <w:color w:val="auto"/>
          <w:kern w:val="2"/>
          <w:sz w:val="28"/>
          <w:szCs w:val="28"/>
          <w:highlight w:val="none"/>
          <w:lang w:bidi="ar"/>
        </w:rPr>
        <w:t>廉政合同</w:t>
      </w:r>
    </w:p>
    <w:p w14:paraId="2835B8C8">
      <w:pPr>
        <w:spacing w:line="380" w:lineRule="exact"/>
        <w:rPr>
          <w:rFonts w:hint="eastAsia" w:ascii="宋体" w:hAnsi="宋体" w:eastAsia="宋体" w:cs="宋体"/>
          <w:color w:val="auto"/>
          <w:szCs w:val="21"/>
          <w:highlight w:val="none"/>
          <w:u w:val="single" w:color="000000"/>
        </w:rPr>
      </w:pPr>
      <w:r>
        <w:rPr>
          <w:rFonts w:hint="eastAsia" w:ascii="宋体" w:hAnsi="宋体" w:eastAsia="宋体" w:cs="宋体"/>
          <w:color w:val="auto"/>
          <w:szCs w:val="21"/>
          <w:highlight w:val="none"/>
          <w:lang w:bidi="ar"/>
        </w:rPr>
        <w:t>委托人：（全称）</w:t>
      </w:r>
      <w:r>
        <w:rPr>
          <w:rFonts w:hint="eastAsia" w:ascii="宋体" w:hAnsi="宋体" w:eastAsia="宋体" w:cs="宋体"/>
          <w:color w:val="auto"/>
          <w:szCs w:val="21"/>
          <w:highlight w:val="none"/>
          <w:u w:val="single" w:color="000000"/>
          <w:lang w:bidi="ar"/>
        </w:rPr>
        <w:t>广州市天河区建设工程项目代建局</w:t>
      </w:r>
    </w:p>
    <w:p w14:paraId="0DD93C69">
      <w:pPr>
        <w:spacing w:line="380" w:lineRule="exact"/>
        <w:rPr>
          <w:rFonts w:hint="eastAsia" w:ascii="宋体" w:hAnsi="宋体" w:eastAsia="宋体" w:cs="宋体"/>
          <w:color w:val="auto"/>
          <w:szCs w:val="21"/>
          <w:highlight w:val="none"/>
          <w:u w:val="single" w:color="000000"/>
        </w:rPr>
      </w:pPr>
      <w:r>
        <w:rPr>
          <w:rFonts w:hint="eastAsia" w:ascii="宋体" w:hAnsi="宋体" w:eastAsia="宋体" w:cs="宋体"/>
          <w:color w:val="auto"/>
          <w:szCs w:val="21"/>
          <w:highlight w:val="none"/>
          <w:lang w:bidi="ar"/>
        </w:rPr>
        <w:t>监理人：（全称）</w:t>
      </w:r>
      <w:r>
        <w:rPr>
          <w:rFonts w:hint="eastAsia" w:ascii="宋体" w:hAnsi="宋体" w:eastAsia="宋体" w:cs="宋体"/>
          <w:color w:val="auto"/>
          <w:szCs w:val="21"/>
          <w:highlight w:val="none"/>
          <w:u w:val="single" w:color="000000"/>
          <w:lang w:bidi="ar"/>
        </w:rPr>
        <w:t xml:space="preserve">                              </w:t>
      </w:r>
    </w:p>
    <w:p w14:paraId="23F23C77">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根据国家、省工程建设和廉政建设的有关规定，为做好</w:t>
      </w:r>
      <w:r>
        <w:rPr>
          <w:rFonts w:hint="eastAsia" w:ascii="宋体" w:hAnsi="宋体" w:eastAsia="宋体" w:cs="宋体"/>
          <w:snapToGrid w:val="0"/>
          <w:color w:val="auto"/>
          <w:kern w:val="0"/>
          <w:szCs w:val="21"/>
          <w:highlight w:val="none"/>
          <w:u w:val="single"/>
          <w:lang w:bidi="ar"/>
        </w:rPr>
        <w:t xml:space="preserve"> </w:t>
      </w:r>
      <w:r>
        <w:rPr>
          <w:rFonts w:hint="eastAsia" w:ascii="宋体" w:hAnsi="宋体" w:eastAsia="宋体" w:cs="宋体"/>
          <w:snapToGrid w:val="0"/>
          <w:color w:val="auto"/>
          <w:kern w:val="0"/>
          <w:szCs w:val="21"/>
          <w:highlight w:val="none"/>
          <w:u w:val="single"/>
          <w:lang w:eastAsia="zh-CN" w:bidi="ar"/>
        </w:rPr>
        <w:t>中共广州市天河区委党校及区人民武装部独立营院建设项目（周边道路建设工程）监理</w:t>
      </w:r>
      <w:r>
        <w:rPr>
          <w:rFonts w:hint="eastAsia" w:ascii="宋体" w:hAnsi="宋体" w:eastAsia="宋体" w:cs="宋体"/>
          <w:snapToGrid w:val="0"/>
          <w:color w:val="auto"/>
          <w:kern w:val="0"/>
          <w:szCs w:val="21"/>
          <w:highlight w:val="none"/>
          <w:u w:val="single"/>
          <w:lang w:bidi="ar"/>
        </w:rPr>
        <w:t xml:space="preserve"> </w:t>
      </w:r>
      <w:r>
        <w:rPr>
          <w:rFonts w:hint="eastAsia" w:ascii="宋体" w:hAnsi="宋体" w:eastAsia="宋体" w:cs="宋体"/>
          <w:snapToGrid w:val="0"/>
          <w:color w:val="auto"/>
          <w:kern w:val="0"/>
          <w:szCs w:val="21"/>
          <w:highlight w:val="none"/>
          <w:lang w:bidi="ar"/>
        </w:rPr>
        <w:t>工程的廉政建设，保证工程质量与施工安全，提高建设资金的有效使用和投资效益，委托人与监理人就加强</w:t>
      </w:r>
      <w:r>
        <w:rPr>
          <w:rFonts w:hint="eastAsia" w:ascii="宋体" w:hAnsi="宋体" w:eastAsia="宋体" w:cs="宋体"/>
          <w:snapToGrid w:val="0"/>
          <w:color w:val="auto"/>
          <w:kern w:val="0"/>
          <w:szCs w:val="21"/>
          <w:highlight w:val="none"/>
          <w:u w:val="single"/>
          <w:lang w:bidi="ar"/>
        </w:rPr>
        <w:t xml:space="preserve"> </w:t>
      </w:r>
      <w:r>
        <w:rPr>
          <w:rFonts w:hint="eastAsia" w:ascii="宋体" w:hAnsi="宋体" w:eastAsia="宋体" w:cs="宋体"/>
          <w:snapToGrid w:val="0"/>
          <w:color w:val="auto"/>
          <w:kern w:val="0"/>
          <w:szCs w:val="21"/>
          <w:highlight w:val="none"/>
          <w:u w:val="single"/>
          <w:lang w:eastAsia="zh-CN" w:bidi="ar"/>
        </w:rPr>
        <w:t>中共广州市天河区委党校及区人民武装部独立营院建设项目（周边道路建设工程）监理</w:t>
      </w:r>
      <w:r>
        <w:rPr>
          <w:rFonts w:hint="eastAsia" w:ascii="宋体" w:hAnsi="宋体" w:eastAsia="宋体" w:cs="宋体"/>
          <w:snapToGrid w:val="0"/>
          <w:color w:val="auto"/>
          <w:kern w:val="0"/>
          <w:szCs w:val="21"/>
          <w:highlight w:val="none"/>
          <w:u w:val="single"/>
          <w:lang w:bidi="ar"/>
        </w:rPr>
        <w:t xml:space="preserve"> </w:t>
      </w:r>
      <w:r>
        <w:rPr>
          <w:rFonts w:hint="eastAsia" w:ascii="宋体" w:hAnsi="宋体" w:eastAsia="宋体" w:cs="宋体"/>
          <w:snapToGrid w:val="0"/>
          <w:color w:val="auto"/>
          <w:kern w:val="0"/>
          <w:szCs w:val="21"/>
          <w:highlight w:val="none"/>
          <w:lang w:bidi="ar"/>
        </w:rPr>
        <w:t>工程的廉政建设，订立本合同，以资双方共同遵守。</w:t>
      </w:r>
    </w:p>
    <w:p w14:paraId="3C736FBC">
      <w:pPr>
        <w:adjustRightInd w:val="0"/>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 双方的权利和义务</w:t>
      </w:r>
    </w:p>
    <w:p w14:paraId="7E99D973">
      <w:pPr>
        <w:adjustRightInd w:val="0"/>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1.1 严格遵守国家有关法律法规的规定。</w:t>
      </w:r>
    </w:p>
    <w:p w14:paraId="679BF8D9">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1.2 严格执行一切合同文件，自觉按合同办事。</w:t>
      </w:r>
    </w:p>
    <w:p w14:paraId="7491BEB1">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1.3 双方的业务活动坚持公平、公开、公正和诚信的原则（法律认定的商业秘密和合同文件另有规定除外），不得损害国家和集体利益，不得违反工程建设管理规章制度。</w:t>
      </w:r>
    </w:p>
    <w:p w14:paraId="5E9B9F7B">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1.4 建立健全廉政制度，开展廉政教育，设立廉政告示牌，公布举报电话，监督并认真查处违法违纪行为。</w:t>
      </w:r>
    </w:p>
    <w:p w14:paraId="65DFFB4A">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1.5 发现对方在业务活动中有违反廉政建设规定的行为，应及时给予提醒和纠正。</w:t>
      </w:r>
    </w:p>
    <w:p w14:paraId="3A30D1B9">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1.6 发现对方严重违反合同的行为，有向其上级部门举报、建议给予处理并要求告知处理结果的权利。没有上级部门的，可按施工合同通用条款第</w:t>
      </w:r>
      <w:r>
        <w:rPr>
          <w:rFonts w:hint="eastAsia" w:ascii="宋体" w:hAnsi="宋体" w:eastAsia="宋体" w:cs="宋体"/>
          <w:color w:val="auto"/>
          <w:kern w:val="0"/>
          <w:szCs w:val="21"/>
          <w:highlight w:val="none"/>
          <w:lang w:bidi="ar"/>
        </w:rPr>
        <w:t>70</w:t>
      </w:r>
      <w:r>
        <w:rPr>
          <w:rFonts w:hint="eastAsia" w:ascii="宋体" w:hAnsi="宋体" w:eastAsia="宋体" w:cs="宋体"/>
          <w:snapToGrid w:val="0"/>
          <w:color w:val="auto"/>
          <w:kern w:val="0"/>
          <w:szCs w:val="21"/>
          <w:highlight w:val="none"/>
          <w:lang w:bidi="ar"/>
        </w:rPr>
        <w:t>条规定处理。</w:t>
      </w:r>
    </w:p>
    <w:p w14:paraId="7BC6FE41">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 委托人义务</w:t>
      </w:r>
    </w:p>
    <w:p w14:paraId="6E309909">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2.1 委托人及其工作人员不得索要或接受监理人的礼金、有价证券和贵重物品，不得在承包人报销任何应由委托人或工作人员个人支付的费用等。</w:t>
      </w:r>
    </w:p>
    <w:p w14:paraId="0438EE25">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2.2 委托人及其工作人员不得参加监理人安排的宴请（工作餐除外）和娱乐活动；不得接受监理人提供的通讯工具、交通工具和高档办公用品等。</w:t>
      </w:r>
    </w:p>
    <w:p w14:paraId="109EC2A9">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2.3 委托人及其工作人员不得要求或者接受监理人为其住房装修、婚丧嫁娶活动、配偶子女的工作安排以及出国出境、旅游等提供方便等。</w:t>
      </w:r>
    </w:p>
    <w:p w14:paraId="36345A9C">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2.4 委托人及其工作人员及其配偶、子女不得从事与委托人有关的工程材料设备供应、工程分包、劳务等经济活动。</w:t>
      </w:r>
    </w:p>
    <w:p w14:paraId="54BC7202">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2.5 委托人及其工作人员不得以任何理由向监理人推荐分包单位或推销材料，不得要求承包人购买合同约定外的材料和设备。</w:t>
      </w:r>
    </w:p>
    <w:p w14:paraId="7A340D78">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2.6 委托人及其工作人员要秉公办事，不准营私舞弊，不准利用职权从事各种个人有偿中介活动和安排个人施工队伍。</w:t>
      </w:r>
    </w:p>
    <w:p w14:paraId="624FF17D">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 监理人义务</w:t>
      </w:r>
    </w:p>
    <w:p w14:paraId="2E2A7A7C">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3.1 监理人不得以任何理由向委托人及其工作人员行贿或馈赠礼金、有价证券、贵重礼品。</w:t>
      </w:r>
    </w:p>
    <w:p w14:paraId="5DE6D312">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3.2 监理人不得以任何名义为委托人及其工作人员报销应由委托人或工作人员个人支付的任何费用。</w:t>
      </w:r>
    </w:p>
    <w:p w14:paraId="0EF8F074">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3.3 监理人不得以任何理由安排委托人及其工作人员参加宴请（工作餐除外）及娱乐活动。</w:t>
      </w:r>
    </w:p>
    <w:p w14:paraId="238CDAC0">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3.4监理人不得为委托人和个人购置或提供通讯工具、交通工具和高档办公用品等。</w:t>
      </w:r>
    </w:p>
    <w:p w14:paraId="6CA12037">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 违约责任</w:t>
      </w:r>
    </w:p>
    <w:p w14:paraId="4864A6DB">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4.1 委托人及其工作人员违反本合同第</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条和第</w:t>
      </w:r>
      <w:r>
        <w:rPr>
          <w:rFonts w:hint="eastAsia" w:ascii="宋体" w:hAnsi="宋体" w:eastAsia="宋体" w:cs="宋体"/>
          <w:color w:val="auto"/>
          <w:kern w:val="0"/>
          <w:szCs w:val="21"/>
          <w:highlight w:val="none"/>
          <w:lang w:bidi="ar"/>
        </w:rPr>
        <w:t>2</w:t>
      </w:r>
      <w:r>
        <w:rPr>
          <w:rFonts w:hint="eastAsia" w:ascii="宋体" w:hAnsi="宋体" w:eastAsia="宋体" w:cs="宋体"/>
          <w:snapToGrid w:val="0"/>
          <w:color w:val="auto"/>
          <w:kern w:val="0"/>
          <w:szCs w:val="21"/>
          <w:highlight w:val="none"/>
          <w:lang w:bidi="ar"/>
        </w:rPr>
        <w:t>条规定，应依据有关规定给予廉政建设规定的处分；涉嫌犯罪的，移交司法机关追究刑事责任；给监理人造成经济损失的，应予赔偿。</w:t>
      </w:r>
    </w:p>
    <w:p w14:paraId="2AA9AFED">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4.2 监理人及其工作人员违反本合同第</w:t>
      </w:r>
      <w:r>
        <w:rPr>
          <w:rFonts w:hint="eastAsia" w:ascii="宋体" w:hAnsi="宋体" w:eastAsia="宋体" w:cs="宋体"/>
          <w:color w:val="auto"/>
          <w:kern w:val="0"/>
          <w:szCs w:val="21"/>
          <w:highlight w:val="none"/>
          <w:lang w:bidi="ar"/>
        </w:rPr>
        <w:t>1</w:t>
      </w:r>
      <w:r>
        <w:rPr>
          <w:rFonts w:hint="eastAsia" w:ascii="宋体" w:hAnsi="宋体" w:eastAsia="宋体" w:cs="宋体"/>
          <w:snapToGrid w:val="0"/>
          <w:color w:val="auto"/>
          <w:kern w:val="0"/>
          <w:szCs w:val="21"/>
          <w:highlight w:val="none"/>
          <w:lang w:bidi="ar"/>
        </w:rPr>
        <w:t>条和第</w:t>
      </w:r>
      <w:r>
        <w:rPr>
          <w:rFonts w:hint="eastAsia" w:ascii="宋体" w:hAnsi="宋体" w:eastAsia="宋体" w:cs="宋体"/>
          <w:color w:val="auto"/>
          <w:kern w:val="0"/>
          <w:szCs w:val="21"/>
          <w:highlight w:val="none"/>
          <w:lang w:bidi="ar"/>
        </w:rPr>
        <w:t>3</w:t>
      </w:r>
      <w:r>
        <w:rPr>
          <w:rFonts w:hint="eastAsia" w:ascii="宋体" w:hAnsi="宋体" w:eastAsia="宋体" w:cs="宋体"/>
          <w:snapToGrid w:val="0"/>
          <w:color w:val="auto"/>
          <w:kern w:val="0"/>
          <w:szCs w:val="21"/>
          <w:highlight w:val="none"/>
          <w:lang w:bidi="ar"/>
        </w:rPr>
        <w:t>条规定，应依据有关规定给予廉政建设规定的处分；给委托人造成经济损失的，应予赔偿；情节严重的，给予监理人一至三年内不得进入工程建设市场的处罚。</w:t>
      </w:r>
    </w:p>
    <w:p w14:paraId="0833F18B">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5. 双方约定</w:t>
      </w:r>
    </w:p>
    <w:p w14:paraId="59A014E2">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本合同由双方或其上级部门负责监督执行，并由双方或其上级部门相互约请对本合同执行情况进行检查。</w:t>
      </w:r>
    </w:p>
    <w:p w14:paraId="17E3DD23">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6. 合同生效</w:t>
      </w:r>
    </w:p>
    <w:p w14:paraId="12E80637">
      <w:pPr>
        <w:adjustRightInd w:val="0"/>
        <w:snapToGrid w:val="0"/>
        <w:spacing w:line="38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snapToGrid w:val="0"/>
          <w:color w:val="auto"/>
          <w:kern w:val="0"/>
          <w:szCs w:val="21"/>
          <w:highlight w:val="none"/>
          <w:lang w:bidi="ar"/>
        </w:rPr>
        <w:t>本合同自双方法定代表人或委托代理人签名或加盖公章之日起长期有效。</w:t>
      </w:r>
    </w:p>
    <w:p w14:paraId="7EF06C40">
      <w:pPr>
        <w:adjustRightInd w:val="0"/>
        <w:snapToGrid w:val="0"/>
        <w:spacing w:line="380" w:lineRule="exact"/>
        <w:ind w:firstLine="411" w:firstLineChars="196"/>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7. 合同法律效力</w:t>
      </w:r>
    </w:p>
    <w:p w14:paraId="556C930A">
      <w:pPr>
        <w:spacing w:line="380" w:lineRule="exact"/>
        <w:ind w:left="-105" w:leftChars="-50" w:right="-44" w:rightChars="-21" w:firstLine="525" w:firstLineChars="25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本合同作为</w:t>
      </w:r>
      <w:r>
        <w:rPr>
          <w:rFonts w:hint="eastAsia" w:ascii="宋体" w:hAnsi="宋体" w:eastAsia="宋体" w:cs="宋体"/>
          <w:snapToGrid w:val="0"/>
          <w:color w:val="auto"/>
          <w:kern w:val="0"/>
          <w:szCs w:val="21"/>
          <w:highlight w:val="none"/>
          <w:u w:val="single"/>
          <w:lang w:bidi="ar"/>
        </w:rPr>
        <w:t xml:space="preserve"> </w:t>
      </w:r>
      <w:r>
        <w:rPr>
          <w:rFonts w:hint="eastAsia" w:ascii="宋体" w:hAnsi="宋体" w:eastAsia="宋体" w:cs="宋体"/>
          <w:snapToGrid w:val="0"/>
          <w:color w:val="auto"/>
          <w:kern w:val="0"/>
          <w:szCs w:val="21"/>
          <w:highlight w:val="none"/>
          <w:u w:val="single"/>
          <w:lang w:eastAsia="zh-CN" w:bidi="ar"/>
        </w:rPr>
        <w:t>中共广州市天河区委党校及区人民武装部独立营院建设项目（周边道路建设工程）监理</w:t>
      </w:r>
      <w:r>
        <w:rPr>
          <w:rFonts w:hint="eastAsia" w:ascii="宋体" w:hAnsi="宋体" w:eastAsia="宋体" w:cs="宋体"/>
          <w:snapToGrid w:val="0"/>
          <w:color w:val="auto"/>
          <w:kern w:val="0"/>
          <w:szCs w:val="21"/>
          <w:highlight w:val="none"/>
          <w:u w:val="single"/>
          <w:lang w:bidi="ar"/>
        </w:rPr>
        <w:t xml:space="preserve"> 项目</w:t>
      </w:r>
      <w:r>
        <w:rPr>
          <w:rFonts w:hint="eastAsia" w:ascii="宋体" w:hAnsi="宋体" w:eastAsia="宋体" w:cs="宋体"/>
          <w:snapToGrid w:val="0"/>
          <w:color w:val="auto"/>
          <w:kern w:val="0"/>
          <w:szCs w:val="21"/>
          <w:highlight w:val="none"/>
          <w:lang w:bidi="ar"/>
        </w:rPr>
        <w:t xml:space="preserve"> 《建设工程委托监理合同》的附件，与《建设工程委托监理合同》具有同等的法律效力。</w:t>
      </w:r>
    </w:p>
    <w:p w14:paraId="78E411A0">
      <w:pPr>
        <w:adjustRightInd w:val="0"/>
        <w:snapToGrid w:val="0"/>
        <w:spacing w:line="380" w:lineRule="exact"/>
        <w:ind w:firstLine="411" w:firstLineChars="196"/>
        <w:rPr>
          <w:rFonts w:hint="eastAsia" w:ascii="宋体" w:hAnsi="宋体" w:eastAsia="宋体" w:cs="宋体"/>
          <w:bCs/>
          <w:color w:val="auto"/>
          <w:kern w:val="0"/>
          <w:szCs w:val="21"/>
          <w:highlight w:val="none"/>
          <w:lang w:val="zh-TW" w:eastAsia="zh-TW"/>
        </w:rPr>
      </w:pPr>
      <w:r>
        <w:rPr>
          <w:rFonts w:hint="eastAsia" w:ascii="宋体" w:hAnsi="宋体" w:eastAsia="宋体" w:cs="宋体"/>
          <w:bCs/>
          <w:snapToGrid w:val="0"/>
          <w:color w:val="auto"/>
          <w:kern w:val="0"/>
          <w:szCs w:val="21"/>
          <w:highlight w:val="none"/>
          <w:lang w:val="zh-TW" w:bidi="ar"/>
        </w:rPr>
        <w:t>（以下部分无廉政合同正文内容，为签章处）</w:t>
      </w:r>
    </w:p>
    <w:p w14:paraId="0E5AEF64">
      <w:pPr>
        <w:adjustRightInd w:val="0"/>
        <w:snapToGrid w:val="0"/>
        <w:spacing w:line="380" w:lineRule="exact"/>
        <w:rPr>
          <w:rFonts w:hint="eastAsia" w:ascii="宋体" w:hAnsi="宋体" w:eastAsia="宋体" w:cs="宋体"/>
          <w:bCs/>
          <w:snapToGrid w:val="0"/>
          <w:color w:val="auto"/>
          <w:kern w:val="0"/>
          <w:szCs w:val="21"/>
          <w:highlight w:val="none"/>
        </w:rPr>
      </w:pPr>
    </w:p>
    <w:p w14:paraId="76EBBDE5">
      <w:pPr>
        <w:adjustRightInd w:val="0"/>
        <w:snapToGrid w:val="0"/>
        <w:spacing w:line="380" w:lineRule="exact"/>
        <w:rPr>
          <w:rFonts w:hint="eastAsia" w:ascii="宋体" w:hAnsi="宋体" w:eastAsia="宋体" w:cs="宋体"/>
          <w:bCs/>
          <w:snapToGrid w:val="0"/>
          <w:color w:val="auto"/>
          <w:kern w:val="0"/>
          <w:szCs w:val="21"/>
          <w:highlight w:val="none"/>
        </w:rPr>
      </w:pPr>
      <w:r>
        <w:rPr>
          <w:rFonts w:hint="eastAsia" w:ascii="宋体" w:hAnsi="宋体" w:eastAsia="宋体" w:cs="宋体"/>
          <w:snapToGrid w:val="0"/>
          <w:color w:val="auto"/>
          <w:spacing w:val="-20"/>
          <w:kern w:val="0"/>
          <w:szCs w:val="21"/>
          <w:highlight w:val="none"/>
          <w:lang w:bidi="ar"/>
        </w:rPr>
        <w:t>委托人：</w:t>
      </w:r>
      <w:r>
        <w:rPr>
          <w:rFonts w:hint="eastAsia" w:ascii="宋体" w:hAnsi="宋体" w:eastAsia="宋体" w:cs="宋体"/>
          <w:color w:val="auto"/>
          <w:szCs w:val="21"/>
          <w:highlight w:val="none"/>
          <w:u w:val="single"/>
          <w:lang w:bidi="ar"/>
        </w:rPr>
        <w:t>广州市天河区建设工程项目代建局</w:t>
      </w:r>
      <w:r>
        <w:rPr>
          <w:rFonts w:hint="eastAsia" w:ascii="宋体" w:hAnsi="宋体" w:eastAsia="宋体" w:cs="宋体"/>
          <w:bCs/>
          <w:snapToGrid w:val="0"/>
          <w:color w:val="auto"/>
          <w:kern w:val="0"/>
          <w:szCs w:val="21"/>
          <w:highlight w:val="none"/>
          <w:lang w:bidi="ar"/>
        </w:rPr>
        <w:t xml:space="preserve"> </w:t>
      </w:r>
      <w:r>
        <w:rPr>
          <w:rFonts w:hint="eastAsia" w:ascii="宋体" w:hAnsi="宋体" w:eastAsia="宋体" w:cs="宋体"/>
          <w:color w:val="auto"/>
          <w:spacing w:val="-20"/>
          <w:kern w:val="0"/>
          <w:szCs w:val="21"/>
          <w:highlight w:val="none"/>
          <w:lang w:bidi="ar"/>
        </w:rPr>
        <w:t xml:space="preserve">    </w:t>
      </w:r>
      <w:r>
        <w:rPr>
          <w:rFonts w:hint="eastAsia" w:ascii="宋体" w:hAnsi="宋体" w:eastAsia="宋体" w:cs="宋体"/>
          <w:snapToGrid w:val="0"/>
          <w:color w:val="auto"/>
          <w:spacing w:val="-20"/>
          <w:kern w:val="0"/>
          <w:szCs w:val="21"/>
          <w:highlight w:val="none"/>
          <w:lang w:bidi="ar"/>
        </w:rPr>
        <w:t>监理人：</w:t>
      </w:r>
      <w:r>
        <w:rPr>
          <w:rFonts w:hint="eastAsia" w:ascii="宋体" w:hAnsi="宋体" w:eastAsia="宋体" w:cs="宋体"/>
          <w:color w:val="auto"/>
          <w:szCs w:val="21"/>
          <w:highlight w:val="none"/>
          <w:u w:val="single"/>
          <w:lang w:bidi="ar"/>
        </w:rPr>
        <w:t xml:space="preserve">                                   </w:t>
      </w:r>
    </w:p>
    <w:p w14:paraId="6F9791FD">
      <w:pPr>
        <w:adjustRightInd w:val="0"/>
        <w:snapToGrid w:val="0"/>
        <w:spacing w:line="380" w:lineRule="exact"/>
        <w:ind w:right="11"/>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（盖章）</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（盖章）</w:t>
      </w:r>
    </w:p>
    <w:p w14:paraId="64194884">
      <w:pPr>
        <w:adjustRightInd w:val="0"/>
        <w:snapToGrid w:val="0"/>
        <w:spacing w:line="380" w:lineRule="exact"/>
        <w:ind w:right="11"/>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法定代表人（签名）：</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法定代表人（签名）：</w:t>
      </w:r>
    </w:p>
    <w:p w14:paraId="18F9CE58">
      <w:pPr>
        <w:tabs>
          <w:tab w:val="left" w:pos="5460"/>
        </w:tabs>
        <w:adjustRightInd w:val="0"/>
        <w:snapToGrid w:val="0"/>
        <w:spacing w:line="380" w:lineRule="exact"/>
        <w:ind w:left="-2" w:leftChars="-1" w:right="11"/>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或委托代理人（签名）：</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或 委托代理人（签名）：</w:t>
      </w:r>
    </w:p>
    <w:p w14:paraId="26582757">
      <w:pPr>
        <w:adjustRightInd w:val="0"/>
        <w:snapToGrid w:val="0"/>
        <w:spacing w:line="380" w:lineRule="exact"/>
        <w:ind w:right="11"/>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住所：广州市天河区黄埔大道中</w:t>
      </w:r>
      <w:r>
        <w:rPr>
          <w:rFonts w:hint="eastAsia" w:ascii="宋体" w:hAnsi="宋体" w:eastAsia="宋体" w:cs="宋体"/>
          <w:color w:val="auto"/>
          <w:kern w:val="0"/>
          <w:szCs w:val="21"/>
          <w:highlight w:val="none"/>
          <w:lang w:bidi="ar"/>
        </w:rPr>
        <w:t>300</w:t>
      </w:r>
      <w:r>
        <w:rPr>
          <w:rFonts w:hint="eastAsia" w:ascii="宋体" w:hAnsi="宋体" w:eastAsia="宋体" w:cs="宋体"/>
          <w:snapToGrid w:val="0"/>
          <w:color w:val="auto"/>
          <w:kern w:val="0"/>
          <w:szCs w:val="21"/>
          <w:highlight w:val="none"/>
          <w:lang w:bidi="ar"/>
        </w:rPr>
        <w:t>号</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 xml:space="preserve">住所： </w:t>
      </w:r>
    </w:p>
    <w:p w14:paraId="0724F8E1">
      <w:pPr>
        <w:pStyle w:val="20"/>
        <w:widowControl w:val="0"/>
        <w:spacing w:before="0" w:beforeAutospacing="0" w:after="120" w:afterAutospacing="0"/>
        <w:jc w:val="both"/>
        <w:rPr>
          <w:rFonts w:hint="eastAsia" w:ascii="宋体" w:hAnsi="宋体" w:eastAsia="宋体" w:cs="宋体"/>
          <w:color w:val="auto"/>
          <w:szCs w:val="21"/>
          <w:highlight w:val="none"/>
        </w:rPr>
      </w:pPr>
      <w:r>
        <w:rPr>
          <w:rFonts w:hint="eastAsia" w:ascii="宋体" w:hAnsi="宋体" w:eastAsia="宋体" w:cs="宋体"/>
          <w:color w:val="auto"/>
          <w:sz w:val="20"/>
          <w:szCs w:val="21"/>
          <w:highlight w:val="none"/>
          <w:lang w:bidi="ar"/>
        </w:rPr>
        <w:t xml:space="preserve">      </w:t>
      </w:r>
      <w:r>
        <w:rPr>
          <w:rFonts w:hint="eastAsia" w:ascii="宋体" w:hAnsi="宋体" w:eastAsia="宋体" w:cs="宋体"/>
          <w:snapToGrid w:val="0"/>
          <w:color w:val="auto"/>
          <w:sz w:val="20"/>
          <w:szCs w:val="21"/>
          <w:highlight w:val="none"/>
          <w:lang w:bidi="ar"/>
        </w:rPr>
        <w:t>润都大厦</w:t>
      </w:r>
    </w:p>
    <w:p w14:paraId="72E4781E">
      <w:pPr>
        <w:adjustRightInd w:val="0"/>
        <w:snapToGrid w:val="0"/>
        <w:spacing w:line="380" w:lineRule="exact"/>
        <w:ind w:right="11"/>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电话：</w:t>
      </w:r>
      <w:r>
        <w:rPr>
          <w:rFonts w:hint="eastAsia" w:ascii="宋体" w:hAnsi="宋体" w:eastAsia="宋体" w:cs="宋体"/>
          <w:color w:val="auto"/>
          <w:kern w:val="0"/>
          <w:szCs w:val="21"/>
          <w:highlight w:val="none"/>
          <w:lang w:bidi="ar"/>
        </w:rPr>
        <w:t xml:space="preserve">020-38085152                     </w:t>
      </w:r>
      <w:r>
        <w:rPr>
          <w:rFonts w:hint="eastAsia" w:ascii="宋体" w:hAnsi="宋体" w:eastAsia="宋体" w:cs="宋体"/>
          <w:snapToGrid w:val="0"/>
          <w:color w:val="auto"/>
          <w:kern w:val="0"/>
          <w:szCs w:val="21"/>
          <w:highlight w:val="none"/>
          <w:lang w:bidi="ar"/>
        </w:rPr>
        <w:t xml:space="preserve">电话： </w:t>
      </w:r>
    </w:p>
    <w:p w14:paraId="1FB7F2A9">
      <w:pPr>
        <w:adjustRightInd w:val="0"/>
        <w:snapToGrid w:val="0"/>
        <w:spacing w:line="380" w:lineRule="exact"/>
        <w:ind w:right="1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bidi="ar"/>
        </w:rPr>
        <w:t>传真：</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传真：</w:t>
      </w:r>
      <w:r>
        <w:rPr>
          <w:rFonts w:hint="eastAsia" w:ascii="宋体" w:hAnsi="宋体" w:eastAsia="宋体" w:cs="宋体"/>
          <w:bCs/>
          <w:color w:val="auto"/>
          <w:szCs w:val="21"/>
          <w:highlight w:val="none"/>
          <w:lang w:bidi="ar"/>
        </w:rPr>
        <w:t xml:space="preserve"> </w:t>
      </w:r>
    </w:p>
    <w:p w14:paraId="1A2143A2">
      <w:pPr>
        <w:tabs>
          <w:tab w:val="left" w:pos="5460"/>
        </w:tabs>
        <w:adjustRightInd w:val="0"/>
        <w:snapToGrid w:val="0"/>
        <w:spacing w:line="380" w:lineRule="exact"/>
        <w:ind w:left="-2" w:leftChars="-1" w:right="1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bidi="ar"/>
        </w:rPr>
        <w:t>开户银行：工行广州员村支行</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 w:val="18"/>
          <w:szCs w:val="18"/>
          <w:highlight w:val="none"/>
          <w:lang w:bidi="ar"/>
        </w:rPr>
        <w:t>开户银行：</w:t>
      </w:r>
      <w:r>
        <w:rPr>
          <w:rFonts w:hint="eastAsia" w:ascii="宋体" w:hAnsi="宋体" w:eastAsia="宋体" w:cs="宋体"/>
          <w:color w:val="auto"/>
          <w:sz w:val="18"/>
          <w:szCs w:val="18"/>
          <w:highlight w:val="none"/>
          <w:lang w:bidi="ar"/>
        </w:rPr>
        <w:t xml:space="preserve"> </w:t>
      </w:r>
    </w:p>
    <w:p w14:paraId="6F482F21">
      <w:pPr>
        <w:tabs>
          <w:tab w:val="left" w:pos="5460"/>
        </w:tabs>
        <w:adjustRightInd w:val="0"/>
        <w:snapToGrid w:val="0"/>
        <w:spacing w:line="380" w:lineRule="exact"/>
        <w:ind w:left="-2" w:leftChars="-1" w:right="1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bidi="ar"/>
        </w:rPr>
        <w:t>帐号：</w:t>
      </w:r>
      <w:r>
        <w:rPr>
          <w:rFonts w:hint="eastAsia" w:ascii="宋体" w:hAnsi="宋体" w:eastAsia="宋体" w:cs="宋体"/>
          <w:color w:val="auto"/>
          <w:kern w:val="0"/>
          <w:szCs w:val="21"/>
          <w:highlight w:val="none"/>
          <w:lang w:bidi="ar"/>
        </w:rPr>
        <w:t xml:space="preserve">3602005309200186668              </w:t>
      </w:r>
      <w:r>
        <w:rPr>
          <w:rFonts w:hint="eastAsia" w:ascii="宋体" w:hAnsi="宋体" w:eastAsia="宋体" w:cs="宋体"/>
          <w:snapToGrid w:val="0"/>
          <w:color w:val="auto"/>
          <w:kern w:val="0"/>
          <w:szCs w:val="21"/>
          <w:highlight w:val="none"/>
          <w:lang w:bidi="ar"/>
        </w:rPr>
        <w:t>帐号：</w:t>
      </w:r>
      <w:r>
        <w:rPr>
          <w:rFonts w:hint="eastAsia" w:ascii="宋体" w:hAnsi="宋体" w:eastAsia="宋体" w:cs="宋体"/>
          <w:color w:val="auto"/>
          <w:szCs w:val="21"/>
          <w:highlight w:val="none"/>
          <w:lang w:bidi="ar"/>
        </w:rPr>
        <w:t xml:space="preserve"> </w:t>
      </w:r>
    </w:p>
    <w:p w14:paraId="55855CBC">
      <w:pPr>
        <w:tabs>
          <w:tab w:val="left" w:pos="5460"/>
        </w:tabs>
        <w:adjustRightInd w:val="0"/>
        <w:snapToGrid w:val="0"/>
        <w:spacing w:line="380" w:lineRule="exact"/>
        <w:ind w:left="-2" w:leftChars="-1" w:right="11"/>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签约日期：</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年</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月</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日</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签约日期：</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年</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月</w:t>
      </w:r>
      <w:r>
        <w:rPr>
          <w:rFonts w:hint="eastAsia" w:ascii="宋体" w:hAnsi="宋体" w:eastAsia="宋体" w:cs="宋体"/>
          <w:color w:val="auto"/>
          <w:kern w:val="0"/>
          <w:szCs w:val="21"/>
          <w:highlight w:val="none"/>
          <w:lang w:bidi="ar"/>
        </w:rPr>
        <w:t xml:space="preserve">   </w:t>
      </w:r>
      <w:r>
        <w:rPr>
          <w:rFonts w:hint="eastAsia" w:ascii="宋体" w:hAnsi="宋体" w:eastAsia="宋体" w:cs="宋体"/>
          <w:snapToGrid w:val="0"/>
          <w:color w:val="auto"/>
          <w:kern w:val="0"/>
          <w:szCs w:val="21"/>
          <w:highlight w:val="none"/>
          <w:lang w:bidi="ar"/>
        </w:rPr>
        <w:t>日</w:t>
      </w:r>
    </w:p>
    <w:p w14:paraId="72DC27C5">
      <w:pPr>
        <w:spacing w:line="380" w:lineRule="exact"/>
        <w:jc w:val="center"/>
        <w:rPr>
          <w:rFonts w:hint="eastAsia" w:ascii="宋体" w:hAnsi="宋体" w:eastAsia="宋体" w:cs="宋体"/>
          <w:snapToGrid w:val="0"/>
          <w:color w:val="auto"/>
          <w:kern w:val="0"/>
          <w:szCs w:val="21"/>
          <w:highlight w:val="none"/>
        </w:rPr>
      </w:pPr>
    </w:p>
    <w:p w14:paraId="63254884">
      <w:pPr>
        <w:adjustRightInd w:val="0"/>
        <w:snapToGrid w:val="0"/>
        <w:spacing w:line="380" w:lineRule="exact"/>
        <w:jc w:val="center"/>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lang w:bidi="ar"/>
        </w:rPr>
        <w:t>签订地点：广州市天河区</w:t>
      </w:r>
    </w:p>
    <w:p w14:paraId="13410410">
      <w:pPr>
        <w:jc w:val="left"/>
        <w:rPr>
          <w:rFonts w:hint="eastAsia" w:ascii="宋体" w:hAnsi="宋体" w:eastAsia="宋体" w:cs="宋体"/>
          <w:b/>
          <w:color w:val="auto"/>
          <w:sz w:val="28"/>
          <w:szCs w:val="28"/>
          <w:highlight w:val="none"/>
        </w:rPr>
      </w:pPr>
    </w:p>
    <w:p w14:paraId="05316BCA">
      <w:pPr>
        <w:jc w:val="left"/>
        <w:rPr>
          <w:rFonts w:hint="eastAsia" w:ascii="宋体" w:hAnsi="宋体" w:eastAsia="宋体" w:cs="宋体"/>
          <w:b/>
          <w:color w:val="auto"/>
          <w:sz w:val="28"/>
          <w:szCs w:val="28"/>
          <w:highlight w:val="none"/>
        </w:rPr>
      </w:pPr>
    </w:p>
    <w:p w14:paraId="5E59C33E">
      <w:pPr>
        <w:jc w:val="left"/>
        <w:rPr>
          <w:rFonts w:hint="eastAsia" w:ascii="宋体" w:hAnsi="宋体" w:eastAsia="宋体" w:cs="宋体"/>
          <w:b/>
          <w:color w:val="auto"/>
          <w:sz w:val="28"/>
          <w:szCs w:val="28"/>
          <w:highlight w:val="none"/>
        </w:rPr>
      </w:pPr>
    </w:p>
    <w:p w14:paraId="76238689">
      <w:pPr>
        <w:pStyle w:val="20"/>
        <w:widowControl w:val="0"/>
        <w:spacing w:before="0" w:beforeAutospacing="0" w:after="120" w:afterAutospacing="0"/>
        <w:jc w:val="both"/>
        <w:rPr>
          <w:rFonts w:hint="eastAsia" w:ascii="宋体" w:hAnsi="宋体" w:eastAsia="宋体" w:cs="宋体"/>
          <w:color w:val="auto"/>
          <w:highlight w:val="none"/>
        </w:rPr>
      </w:pPr>
    </w:p>
    <w:p w14:paraId="27D56654">
      <w:pPr>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br w:type="page"/>
      </w:r>
      <w:r>
        <w:rPr>
          <w:rFonts w:hint="eastAsia" w:ascii="宋体" w:hAnsi="宋体" w:eastAsia="宋体" w:cs="宋体"/>
          <w:b/>
          <w:color w:val="auto"/>
          <w:sz w:val="28"/>
          <w:szCs w:val="28"/>
          <w:highlight w:val="none"/>
          <w:lang w:bidi="ar"/>
        </w:rPr>
        <w:t>附件2</w:t>
      </w:r>
    </w:p>
    <w:p w14:paraId="18F67074">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各阶段工作成果文件</w:t>
      </w:r>
    </w:p>
    <w:tbl>
      <w:tblPr>
        <w:tblStyle w:val="25"/>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7212"/>
        <w:gridCol w:w="670"/>
      </w:tblGrid>
      <w:tr w14:paraId="71DF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CF7EDC3">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0FB1C611">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工作成果</w:t>
            </w:r>
          </w:p>
          <w:p w14:paraId="740F931B">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（报告、记录、计算书、审核书等）</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21DD15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备注</w:t>
            </w:r>
          </w:p>
        </w:tc>
      </w:tr>
      <w:tr w14:paraId="21AE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069E9A3">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一</w:t>
            </w:r>
          </w:p>
        </w:tc>
        <w:tc>
          <w:tcPr>
            <w:tcW w:w="7882" w:type="dxa"/>
            <w:gridSpan w:val="2"/>
            <w:tcBorders>
              <w:top w:val="single" w:color="auto" w:sz="4" w:space="0"/>
              <w:left w:val="single" w:color="auto" w:sz="4" w:space="0"/>
              <w:bottom w:val="single" w:color="auto" w:sz="4" w:space="0"/>
              <w:right w:val="single" w:color="auto" w:sz="4" w:space="0"/>
            </w:tcBorders>
            <w:noWrap w:val="0"/>
            <w:vAlign w:val="center"/>
          </w:tcPr>
          <w:p w14:paraId="77F29406">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前期、勘察、设计、概预算阶段</w:t>
            </w:r>
          </w:p>
        </w:tc>
      </w:tr>
      <w:tr w14:paraId="772A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63C671B">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4B853E1">
            <w:pPr>
              <w:widowControl/>
              <w:jc w:val="left"/>
              <w:rPr>
                <w:rFonts w:hint="eastAsia" w:ascii="宋体" w:hAnsi="宋体" w:eastAsia="宋体" w:cs="宋体"/>
                <w:b/>
                <w:color w:val="auto"/>
                <w:szCs w:val="21"/>
                <w:highlight w:val="none"/>
              </w:rPr>
            </w:pPr>
            <w:r>
              <w:rPr>
                <w:rFonts w:hint="eastAsia" w:ascii="宋体" w:hAnsi="宋体" w:eastAsia="宋体" w:cs="宋体"/>
                <w:color w:val="auto"/>
                <w:kern w:val="0"/>
                <w:sz w:val="18"/>
                <w:szCs w:val="18"/>
                <w:highlight w:val="none"/>
                <w:lang w:bidi="ar"/>
              </w:rPr>
              <w:t>提交项目总体管理方案及各阶段目标计划</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51D73648">
            <w:pPr>
              <w:jc w:val="center"/>
              <w:rPr>
                <w:rFonts w:hint="eastAsia" w:ascii="宋体" w:hAnsi="宋体" w:eastAsia="宋体" w:cs="宋体"/>
                <w:b/>
                <w:color w:val="auto"/>
                <w:szCs w:val="21"/>
                <w:highlight w:val="none"/>
              </w:rPr>
            </w:pPr>
          </w:p>
        </w:tc>
      </w:tr>
      <w:tr w14:paraId="6E64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B46476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2</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31A762D">
            <w:pPr>
              <w:jc w:val="center"/>
              <w:rPr>
                <w:rFonts w:hint="eastAsia" w:ascii="宋体" w:hAnsi="宋体" w:eastAsia="宋体" w:cs="宋体"/>
                <w:b/>
                <w:color w:val="auto"/>
                <w:szCs w:val="21"/>
                <w:highlight w:val="none"/>
              </w:rPr>
            </w:pPr>
            <w:r>
              <w:rPr>
                <w:rFonts w:hint="eastAsia" w:ascii="宋体" w:hAnsi="宋体" w:eastAsia="宋体" w:cs="宋体"/>
                <w:color w:val="auto"/>
                <w:kern w:val="0"/>
                <w:sz w:val="18"/>
                <w:szCs w:val="18"/>
                <w:highlight w:val="none"/>
                <w:lang w:bidi="ar"/>
              </w:rPr>
              <w:t>负责审核承包单位提交的既有建筑物（构筑物）拆除方案，配合完成拆除手续的办理；对拆除工程的进度、安全文明施工进行全过程旁站监理；完成拆除工作的计量计价审核工作。（如需）</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4DECF382">
            <w:pPr>
              <w:jc w:val="center"/>
              <w:rPr>
                <w:rFonts w:hint="eastAsia" w:ascii="宋体" w:hAnsi="宋体" w:eastAsia="宋体" w:cs="宋体"/>
                <w:b/>
                <w:color w:val="auto"/>
                <w:szCs w:val="21"/>
                <w:highlight w:val="none"/>
              </w:rPr>
            </w:pPr>
          </w:p>
        </w:tc>
      </w:tr>
      <w:tr w14:paraId="1591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50F0E176">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3</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09F11F70">
            <w:pPr>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提供可行性研究报告的优化意见（如需）</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30EFE54B">
            <w:pPr>
              <w:jc w:val="center"/>
              <w:rPr>
                <w:rFonts w:hint="eastAsia" w:ascii="宋体" w:hAnsi="宋体" w:eastAsia="宋体" w:cs="宋体"/>
                <w:b/>
                <w:color w:val="auto"/>
                <w:szCs w:val="21"/>
                <w:highlight w:val="none"/>
              </w:rPr>
            </w:pPr>
          </w:p>
        </w:tc>
      </w:tr>
      <w:tr w14:paraId="3E6B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A5B3AC4">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4</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393CF00C">
            <w:pPr>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分别提供设计方案、初步设计、施工图设计的优化意见</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10D004F">
            <w:pPr>
              <w:jc w:val="center"/>
              <w:rPr>
                <w:rFonts w:hint="eastAsia" w:ascii="宋体" w:hAnsi="宋体" w:eastAsia="宋体" w:cs="宋体"/>
                <w:b/>
                <w:color w:val="auto"/>
                <w:szCs w:val="21"/>
                <w:highlight w:val="none"/>
              </w:rPr>
            </w:pPr>
          </w:p>
        </w:tc>
      </w:tr>
      <w:tr w14:paraId="1652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6808EA9">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5</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27115E51">
            <w:pPr>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提供概算、预算的优化意见</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49FE23F2">
            <w:pPr>
              <w:jc w:val="center"/>
              <w:rPr>
                <w:rFonts w:hint="eastAsia" w:ascii="宋体" w:hAnsi="宋体" w:eastAsia="宋体" w:cs="宋体"/>
                <w:b/>
                <w:color w:val="auto"/>
                <w:szCs w:val="21"/>
                <w:highlight w:val="none"/>
              </w:rPr>
            </w:pPr>
          </w:p>
        </w:tc>
      </w:tr>
      <w:tr w14:paraId="6D4F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B897A59">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二</w:t>
            </w:r>
          </w:p>
        </w:tc>
        <w:tc>
          <w:tcPr>
            <w:tcW w:w="7882" w:type="dxa"/>
            <w:gridSpan w:val="2"/>
            <w:tcBorders>
              <w:top w:val="single" w:color="auto" w:sz="4" w:space="0"/>
              <w:left w:val="single" w:color="auto" w:sz="4" w:space="0"/>
              <w:bottom w:val="single" w:color="auto" w:sz="4" w:space="0"/>
              <w:right w:val="single" w:color="auto" w:sz="4" w:space="0"/>
            </w:tcBorders>
            <w:noWrap w:val="0"/>
            <w:vAlign w:val="center"/>
          </w:tcPr>
          <w:p w14:paraId="6D4A8029">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工程施工准备阶段</w:t>
            </w:r>
          </w:p>
        </w:tc>
      </w:tr>
      <w:tr w14:paraId="5DAC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9046DA7">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1F8B467">
            <w:pPr>
              <w:widowControl/>
              <w:jc w:val="left"/>
              <w:rPr>
                <w:rFonts w:hint="eastAsia" w:ascii="宋体" w:hAnsi="宋体" w:eastAsia="宋体" w:cs="宋体"/>
                <w:b/>
                <w:color w:val="auto"/>
                <w:szCs w:val="21"/>
                <w:highlight w:val="none"/>
              </w:rPr>
            </w:pPr>
            <w:r>
              <w:rPr>
                <w:rFonts w:hint="eastAsia" w:ascii="宋体" w:hAnsi="宋体" w:eastAsia="宋体" w:cs="宋体"/>
                <w:color w:val="auto"/>
                <w:kern w:val="0"/>
                <w:sz w:val="18"/>
                <w:szCs w:val="18"/>
                <w:highlight w:val="none"/>
                <w:lang w:bidi="ar"/>
              </w:rPr>
              <w:t>提交《（各专业）设计技术交底会议纪要》</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D0B2C29">
            <w:pPr>
              <w:jc w:val="center"/>
              <w:rPr>
                <w:rFonts w:hint="eastAsia" w:ascii="宋体" w:hAnsi="宋体" w:eastAsia="宋体" w:cs="宋体"/>
                <w:b/>
                <w:color w:val="auto"/>
                <w:szCs w:val="21"/>
                <w:highlight w:val="none"/>
              </w:rPr>
            </w:pPr>
          </w:p>
        </w:tc>
      </w:tr>
      <w:tr w14:paraId="6AF3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77AB0BA">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2</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4B6B7C9">
            <w:pPr>
              <w:widowControl/>
              <w:jc w:val="left"/>
              <w:rPr>
                <w:rFonts w:hint="eastAsia" w:ascii="宋体" w:hAnsi="宋体" w:eastAsia="宋体" w:cs="宋体"/>
                <w:b/>
                <w:color w:val="auto"/>
                <w:szCs w:val="21"/>
                <w:highlight w:val="none"/>
              </w:rPr>
            </w:pPr>
            <w:r>
              <w:rPr>
                <w:rFonts w:hint="eastAsia" w:ascii="宋体" w:hAnsi="宋体" w:eastAsia="宋体" w:cs="宋体"/>
                <w:color w:val="auto"/>
                <w:kern w:val="0"/>
                <w:sz w:val="18"/>
                <w:szCs w:val="18"/>
                <w:highlight w:val="none"/>
                <w:lang w:bidi="ar"/>
              </w:rPr>
              <w:t>提交《（各专业）施工图会审记录》</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3F47158B">
            <w:pPr>
              <w:jc w:val="center"/>
              <w:rPr>
                <w:rFonts w:hint="eastAsia" w:ascii="宋体" w:hAnsi="宋体" w:eastAsia="宋体" w:cs="宋体"/>
                <w:b/>
                <w:color w:val="auto"/>
                <w:szCs w:val="21"/>
                <w:highlight w:val="none"/>
              </w:rPr>
            </w:pPr>
          </w:p>
        </w:tc>
      </w:tr>
      <w:tr w14:paraId="3668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3DFE2D3">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3</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21EFC499">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提交《对承包人提交的施工组织设计方案的审查报告》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50085BF8">
            <w:pPr>
              <w:jc w:val="center"/>
              <w:rPr>
                <w:rFonts w:hint="eastAsia" w:ascii="宋体" w:hAnsi="宋体" w:eastAsia="宋体" w:cs="宋体"/>
                <w:b/>
                <w:color w:val="auto"/>
                <w:szCs w:val="21"/>
                <w:highlight w:val="none"/>
              </w:rPr>
            </w:pPr>
          </w:p>
        </w:tc>
      </w:tr>
      <w:tr w14:paraId="73C1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B506FF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4</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249E60B2">
            <w:pPr>
              <w:widowControl/>
              <w:jc w:val="left"/>
              <w:rPr>
                <w:rFonts w:hint="eastAsia" w:ascii="宋体" w:hAnsi="宋体" w:eastAsia="宋体" w:cs="宋体"/>
                <w:b/>
                <w:color w:val="auto"/>
                <w:szCs w:val="21"/>
                <w:highlight w:val="none"/>
              </w:rPr>
            </w:pPr>
            <w:r>
              <w:rPr>
                <w:rFonts w:hint="eastAsia" w:ascii="宋体" w:hAnsi="宋体" w:eastAsia="宋体" w:cs="宋体"/>
                <w:color w:val="auto"/>
                <w:kern w:val="0"/>
                <w:sz w:val="18"/>
                <w:szCs w:val="18"/>
                <w:highlight w:val="none"/>
                <w:lang w:bidi="ar"/>
              </w:rPr>
              <w:t>提交《对承包人提交的质量管理体系、环境管理体系及安全管理体系的检查审核报告》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5B518C81">
            <w:pPr>
              <w:jc w:val="center"/>
              <w:rPr>
                <w:rFonts w:hint="eastAsia" w:ascii="宋体" w:hAnsi="宋体" w:eastAsia="宋体" w:cs="宋体"/>
                <w:b/>
                <w:color w:val="auto"/>
                <w:szCs w:val="21"/>
                <w:highlight w:val="none"/>
              </w:rPr>
            </w:pPr>
          </w:p>
        </w:tc>
      </w:tr>
      <w:tr w14:paraId="6E28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DA180F2">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5</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15D226B4">
            <w:pPr>
              <w:widowControl/>
              <w:jc w:val="left"/>
              <w:rPr>
                <w:rFonts w:hint="eastAsia" w:ascii="宋体" w:hAnsi="宋体" w:eastAsia="宋体" w:cs="宋体"/>
                <w:b/>
                <w:color w:val="auto"/>
                <w:szCs w:val="21"/>
                <w:highlight w:val="none"/>
              </w:rPr>
            </w:pPr>
            <w:r>
              <w:rPr>
                <w:rFonts w:hint="eastAsia" w:ascii="宋体" w:hAnsi="宋体" w:eastAsia="宋体" w:cs="宋体"/>
                <w:color w:val="auto"/>
                <w:kern w:val="0"/>
                <w:sz w:val="18"/>
                <w:szCs w:val="18"/>
                <w:highlight w:val="none"/>
                <w:lang w:bidi="ar"/>
              </w:rPr>
              <w:t>提交《承包人的资格（资质）报审表》、《专业分包的资格（资质）报审表》的审核资料</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4AF8A15C">
            <w:pPr>
              <w:jc w:val="center"/>
              <w:rPr>
                <w:rFonts w:hint="eastAsia" w:ascii="宋体" w:hAnsi="宋体" w:eastAsia="宋体" w:cs="宋体"/>
                <w:b/>
                <w:color w:val="auto"/>
                <w:szCs w:val="21"/>
                <w:highlight w:val="none"/>
              </w:rPr>
            </w:pPr>
          </w:p>
        </w:tc>
      </w:tr>
      <w:tr w14:paraId="175F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94D0D0D">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6</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52112149">
            <w:pPr>
              <w:widowControl/>
              <w:jc w:val="left"/>
              <w:rPr>
                <w:rFonts w:hint="eastAsia" w:ascii="宋体" w:hAnsi="宋体" w:eastAsia="宋体" w:cs="宋体"/>
                <w:b/>
                <w:color w:val="auto"/>
                <w:szCs w:val="21"/>
                <w:highlight w:val="none"/>
              </w:rPr>
            </w:pPr>
            <w:r>
              <w:rPr>
                <w:rFonts w:hint="eastAsia" w:ascii="宋体" w:hAnsi="宋体" w:eastAsia="宋体" w:cs="宋体"/>
                <w:color w:val="auto"/>
                <w:kern w:val="0"/>
                <w:sz w:val="18"/>
                <w:szCs w:val="18"/>
                <w:highlight w:val="none"/>
                <w:lang w:bidi="ar"/>
              </w:rPr>
              <w:t>提交对承包人提交的《进场施工测量成果报验申请表》的审核报告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4528F97E">
            <w:pPr>
              <w:jc w:val="center"/>
              <w:rPr>
                <w:rFonts w:hint="eastAsia" w:ascii="宋体" w:hAnsi="宋体" w:eastAsia="宋体" w:cs="宋体"/>
                <w:b/>
                <w:color w:val="auto"/>
                <w:szCs w:val="21"/>
                <w:highlight w:val="none"/>
              </w:rPr>
            </w:pPr>
          </w:p>
        </w:tc>
      </w:tr>
      <w:tr w14:paraId="44CA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79FA10F">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7</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2433455B">
            <w:pPr>
              <w:widowControl/>
              <w:jc w:val="left"/>
              <w:rPr>
                <w:rFonts w:hint="eastAsia" w:ascii="宋体" w:hAnsi="宋体" w:eastAsia="宋体" w:cs="宋体"/>
                <w:b/>
                <w:color w:val="auto"/>
                <w:szCs w:val="21"/>
                <w:highlight w:val="none"/>
              </w:rPr>
            </w:pPr>
            <w:r>
              <w:rPr>
                <w:rFonts w:hint="eastAsia" w:ascii="宋体" w:hAnsi="宋体" w:eastAsia="宋体" w:cs="宋体"/>
                <w:color w:val="auto"/>
                <w:kern w:val="0"/>
                <w:sz w:val="18"/>
                <w:szCs w:val="18"/>
                <w:highlight w:val="none"/>
                <w:lang w:bidi="ar"/>
              </w:rPr>
              <w:t>提交经过批核的《工程开工报审表》</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5E5C172">
            <w:pPr>
              <w:jc w:val="center"/>
              <w:rPr>
                <w:rFonts w:hint="eastAsia" w:ascii="宋体" w:hAnsi="宋体" w:eastAsia="宋体" w:cs="宋体"/>
                <w:b/>
                <w:color w:val="auto"/>
                <w:szCs w:val="21"/>
                <w:highlight w:val="none"/>
              </w:rPr>
            </w:pPr>
          </w:p>
        </w:tc>
      </w:tr>
      <w:tr w14:paraId="0414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D08D09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8</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2A8BFFD6">
            <w:pPr>
              <w:widowControl/>
              <w:jc w:val="left"/>
              <w:rPr>
                <w:rFonts w:hint="eastAsia" w:ascii="宋体" w:hAnsi="宋体" w:eastAsia="宋体" w:cs="宋体"/>
                <w:b/>
                <w:color w:val="auto"/>
                <w:szCs w:val="21"/>
                <w:highlight w:val="none"/>
              </w:rPr>
            </w:pPr>
            <w:r>
              <w:rPr>
                <w:rFonts w:hint="eastAsia" w:ascii="宋体" w:hAnsi="宋体" w:eastAsia="宋体" w:cs="宋体"/>
                <w:color w:val="auto"/>
                <w:kern w:val="0"/>
                <w:sz w:val="18"/>
                <w:szCs w:val="18"/>
                <w:highlight w:val="none"/>
                <w:lang w:bidi="ar"/>
              </w:rPr>
              <w:t>提交首次工地会议的会议记录</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31C7D22E">
            <w:pPr>
              <w:jc w:val="center"/>
              <w:rPr>
                <w:rFonts w:hint="eastAsia" w:ascii="宋体" w:hAnsi="宋体" w:eastAsia="宋体" w:cs="宋体"/>
                <w:b/>
                <w:color w:val="auto"/>
                <w:szCs w:val="21"/>
                <w:highlight w:val="none"/>
              </w:rPr>
            </w:pPr>
          </w:p>
        </w:tc>
      </w:tr>
      <w:tr w14:paraId="415C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CBC736D">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9</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2F7C10B4">
            <w:pPr>
              <w:widowControl/>
              <w:jc w:val="left"/>
              <w:rPr>
                <w:rFonts w:hint="eastAsia" w:ascii="宋体" w:hAnsi="宋体" w:eastAsia="宋体" w:cs="宋体"/>
                <w:b/>
                <w:color w:val="auto"/>
                <w:szCs w:val="21"/>
                <w:highlight w:val="none"/>
              </w:rPr>
            </w:pPr>
            <w:r>
              <w:rPr>
                <w:rFonts w:hint="eastAsia" w:ascii="宋体" w:hAnsi="宋体" w:eastAsia="宋体" w:cs="宋体"/>
                <w:color w:val="auto"/>
                <w:kern w:val="0"/>
                <w:sz w:val="18"/>
                <w:szCs w:val="18"/>
                <w:highlight w:val="none"/>
                <w:lang w:bidi="ar"/>
              </w:rPr>
              <w:t>提交《监理规划》</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FD7C0AA">
            <w:pPr>
              <w:jc w:val="center"/>
              <w:rPr>
                <w:rFonts w:hint="eastAsia" w:ascii="宋体" w:hAnsi="宋体" w:eastAsia="宋体" w:cs="宋体"/>
                <w:b/>
                <w:color w:val="auto"/>
                <w:szCs w:val="21"/>
                <w:highlight w:val="none"/>
              </w:rPr>
            </w:pPr>
          </w:p>
        </w:tc>
      </w:tr>
      <w:tr w14:paraId="5CA3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6A28A53">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10</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836C74F">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提交《监理实施细则》（含安全监理实施细则）</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D0AD63E">
            <w:pPr>
              <w:jc w:val="center"/>
              <w:rPr>
                <w:rFonts w:hint="eastAsia" w:ascii="宋体" w:hAnsi="宋体" w:eastAsia="宋体" w:cs="宋体"/>
                <w:b/>
                <w:color w:val="auto"/>
                <w:szCs w:val="21"/>
                <w:highlight w:val="none"/>
              </w:rPr>
            </w:pPr>
          </w:p>
        </w:tc>
      </w:tr>
      <w:tr w14:paraId="178C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24FD311">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11</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103136F4">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项目监理机构驻场监理人员通知书（至少含一名造价工程师，详见附件4）</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5D3AA335">
            <w:pPr>
              <w:jc w:val="center"/>
              <w:rPr>
                <w:rFonts w:hint="eastAsia" w:ascii="宋体" w:hAnsi="宋体" w:eastAsia="宋体" w:cs="宋体"/>
                <w:b/>
                <w:color w:val="auto"/>
                <w:szCs w:val="21"/>
                <w:highlight w:val="none"/>
              </w:rPr>
            </w:pPr>
          </w:p>
        </w:tc>
      </w:tr>
      <w:tr w14:paraId="52AE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0615F4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12</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115082E8">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提交投标清单复核（清标）报告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FD13734">
            <w:pPr>
              <w:jc w:val="center"/>
              <w:rPr>
                <w:rFonts w:hint="eastAsia" w:ascii="宋体" w:hAnsi="宋体" w:eastAsia="宋体" w:cs="宋体"/>
                <w:b/>
                <w:color w:val="auto"/>
                <w:szCs w:val="21"/>
                <w:highlight w:val="none"/>
              </w:rPr>
            </w:pPr>
          </w:p>
        </w:tc>
      </w:tr>
      <w:tr w14:paraId="7270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1F74631D">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13</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098B3710">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提交材料定版计划、样板引路计划</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54983E6B">
            <w:pPr>
              <w:jc w:val="center"/>
              <w:rPr>
                <w:rFonts w:hint="eastAsia" w:ascii="宋体" w:hAnsi="宋体" w:eastAsia="宋体" w:cs="宋体"/>
                <w:b/>
                <w:color w:val="auto"/>
                <w:szCs w:val="21"/>
                <w:highlight w:val="none"/>
              </w:rPr>
            </w:pPr>
          </w:p>
        </w:tc>
      </w:tr>
      <w:tr w14:paraId="3F3C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6E6D9A4">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三</w:t>
            </w:r>
          </w:p>
        </w:tc>
        <w:tc>
          <w:tcPr>
            <w:tcW w:w="7882" w:type="dxa"/>
            <w:gridSpan w:val="2"/>
            <w:tcBorders>
              <w:top w:val="single" w:color="auto" w:sz="4" w:space="0"/>
              <w:left w:val="single" w:color="auto" w:sz="4" w:space="0"/>
              <w:bottom w:val="single" w:color="auto" w:sz="4" w:space="0"/>
              <w:right w:val="single" w:color="auto" w:sz="4" w:space="0"/>
            </w:tcBorders>
            <w:noWrap w:val="0"/>
            <w:vAlign w:val="center"/>
          </w:tcPr>
          <w:p w14:paraId="248BFEF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工程施工阶段</w:t>
            </w:r>
          </w:p>
        </w:tc>
      </w:tr>
      <w:tr w14:paraId="7EC4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13F2521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299EABC6">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提交经审批的施工组织设计方案 </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51E3D70D">
            <w:pPr>
              <w:jc w:val="center"/>
              <w:rPr>
                <w:rFonts w:hint="eastAsia" w:ascii="宋体" w:hAnsi="宋体" w:eastAsia="宋体" w:cs="宋体"/>
                <w:b/>
                <w:color w:val="auto"/>
                <w:szCs w:val="21"/>
                <w:highlight w:val="none"/>
              </w:rPr>
            </w:pPr>
          </w:p>
        </w:tc>
      </w:tr>
      <w:tr w14:paraId="356D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68F3C7C">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2</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0745C249">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提交材料进场审核资料</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857EF73">
            <w:pPr>
              <w:jc w:val="center"/>
              <w:rPr>
                <w:rFonts w:hint="eastAsia" w:ascii="宋体" w:hAnsi="宋体" w:eastAsia="宋体" w:cs="宋体"/>
                <w:b/>
                <w:color w:val="auto"/>
                <w:szCs w:val="21"/>
                <w:highlight w:val="none"/>
              </w:rPr>
            </w:pPr>
          </w:p>
        </w:tc>
      </w:tr>
      <w:tr w14:paraId="2506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6BB773E">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3</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23BF04D4">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《旁站监理记录》、《监理日记》</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4B0D96A5">
            <w:pPr>
              <w:jc w:val="center"/>
              <w:rPr>
                <w:rFonts w:hint="eastAsia" w:ascii="宋体" w:hAnsi="宋体" w:eastAsia="宋体" w:cs="宋体"/>
                <w:b/>
                <w:color w:val="auto"/>
                <w:szCs w:val="21"/>
                <w:highlight w:val="none"/>
              </w:rPr>
            </w:pPr>
          </w:p>
        </w:tc>
      </w:tr>
      <w:tr w14:paraId="0A6F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D0CE36C">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4</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23B95CD">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提交经审批的《隐蔽工程报验申请表》</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394EF7CC">
            <w:pPr>
              <w:jc w:val="center"/>
              <w:rPr>
                <w:rFonts w:hint="eastAsia" w:ascii="宋体" w:hAnsi="宋体" w:eastAsia="宋体" w:cs="宋体"/>
                <w:b/>
                <w:color w:val="auto"/>
                <w:szCs w:val="21"/>
                <w:highlight w:val="none"/>
              </w:rPr>
            </w:pPr>
          </w:p>
        </w:tc>
      </w:tr>
      <w:tr w14:paraId="2D6B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F7C07D4">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5</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0E7D2EE4">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分部验收、分部归档（含施工日记）资料</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E40DE1F">
            <w:pPr>
              <w:jc w:val="center"/>
              <w:rPr>
                <w:rFonts w:hint="eastAsia" w:ascii="宋体" w:hAnsi="宋体" w:eastAsia="宋体" w:cs="宋体"/>
                <w:b/>
                <w:color w:val="auto"/>
                <w:szCs w:val="21"/>
                <w:highlight w:val="none"/>
              </w:rPr>
            </w:pPr>
          </w:p>
        </w:tc>
      </w:tr>
      <w:tr w14:paraId="588A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24FA13B">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6</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693F21B9">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对承包人编制的机电设备安装、调试、验收计划的审核报告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2BDCD3F">
            <w:pPr>
              <w:jc w:val="center"/>
              <w:rPr>
                <w:rFonts w:hint="eastAsia" w:ascii="宋体" w:hAnsi="宋体" w:eastAsia="宋体" w:cs="宋体"/>
                <w:b/>
                <w:color w:val="auto"/>
                <w:szCs w:val="21"/>
                <w:highlight w:val="none"/>
              </w:rPr>
            </w:pPr>
          </w:p>
        </w:tc>
      </w:tr>
      <w:tr w14:paraId="5C7D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3BC3B08">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7</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0BFDA47F">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提交设备监造规划；设备制造的生产计划及工艺方案；设备制造的检验计划和检验要求；设备监造工作总结报告（如有）</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3B9FE7D">
            <w:pPr>
              <w:jc w:val="center"/>
              <w:rPr>
                <w:rFonts w:hint="eastAsia" w:ascii="宋体" w:hAnsi="宋体" w:eastAsia="宋体" w:cs="宋体"/>
                <w:b/>
                <w:color w:val="auto"/>
                <w:szCs w:val="21"/>
                <w:highlight w:val="none"/>
              </w:rPr>
            </w:pPr>
          </w:p>
        </w:tc>
      </w:tr>
      <w:tr w14:paraId="28FF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E253973">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8</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54ACB3EE">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提交工地例会的会议纪要</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2603A40">
            <w:pPr>
              <w:jc w:val="center"/>
              <w:rPr>
                <w:rFonts w:hint="eastAsia" w:ascii="宋体" w:hAnsi="宋体" w:eastAsia="宋体" w:cs="宋体"/>
                <w:b/>
                <w:color w:val="auto"/>
                <w:szCs w:val="21"/>
                <w:highlight w:val="none"/>
              </w:rPr>
            </w:pPr>
          </w:p>
        </w:tc>
      </w:tr>
      <w:tr w14:paraId="76D9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52A6FAB6">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9</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9EA937A">
            <w:pPr>
              <w:pStyle w:val="20"/>
              <w:widowControl w:val="0"/>
              <w:spacing w:before="0" w:beforeAutospacing="0" w:after="120" w:afterAutospacing="0"/>
              <w:jc w:val="both"/>
              <w:rPr>
                <w:rFonts w:hint="eastAsia" w:ascii="宋体" w:hAnsi="宋体" w:eastAsia="宋体" w:cs="宋体"/>
                <w:color w:val="auto"/>
                <w:highlight w:val="none"/>
              </w:rPr>
            </w:pPr>
            <w:r>
              <w:rPr>
                <w:rFonts w:hint="eastAsia" w:ascii="宋体" w:hAnsi="宋体" w:eastAsia="宋体" w:cs="宋体"/>
                <w:color w:val="auto"/>
                <w:sz w:val="18"/>
                <w:szCs w:val="18"/>
                <w:highlight w:val="none"/>
                <w:lang w:bidi="ar"/>
              </w:rPr>
              <w:t>提交监理周报和月报（包括但不限于进度、造价、质量、安全控制等方面的报告）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61396D6">
            <w:pPr>
              <w:jc w:val="center"/>
              <w:rPr>
                <w:rFonts w:hint="eastAsia" w:ascii="宋体" w:hAnsi="宋体" w:eastAsia="宋体" w:cs="宋体"/>
                <w:b/>
                <w:color w:val="auto"/>
                <w:szCs w:val="21"/>
                <w:highlight w:val="none"/>
              </w:rPr>
            </w:pPr>
          </w:p>
        </w:tc>
      </w:tr>
      <w:tr w14:paraId="1F05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5333C719">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10</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0FD52D03">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工期延误纠偏措施建议（如有）、工期顺延确认单（如有）</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0FA281DA">
            <w:pPr>
              <w:jc w:val="center"/>
              <w:rPr>
                <w:rFonts w:hint="eastAsia" w:ascii="宋体" w:hAnsi="宋体" w:eastAsia="宋体" w:cs="宋体"/>
                <w:b/>
                <w:color w:val="auto"/>
                <w:szCs w:val="21"/>
                <w:highlight w:val="none"/>
              </w:rPr>
            </w:pPr>
          </w:p>
        </w:tc>
      </w:tr>
      <w:tr w14:paraId="3406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53A92F04">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11</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096C892">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批核工程请款资料</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BFE7C1B">
            <w:pPr>
              <w:jc w:val="center"/>
              <w:rPr>
                <w:rFonts w:hint="eastAsia" w:ascii="宋体" w:hAnsi="宋体" w:eastAsia="宋体" w:cs="宋体"/>
                <w:b/>
                <w:color w:val="auto"/>
                <w:szCs w:val="21"/>
                <w:highlight w:val="none"/>
              </w:rPr>
            </w:pPr>
          </w:p>
        </w:tc>
      </w:tr>
      <w:tr w14:paraId="5753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8C84AC4">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12</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00CCE560">
            <w:pPr>
              <w:widowControl/>
              <w:jc w:val="left"/>
              <w:rPr>
                <w:rFonts w:hint="eastAsia" w:ascii="宋体" w:hAnsi="宋体" w:eastAsia="宋体" w:cs="宋体"/>
                <w:strike/>
                <w:color w:val="auto"/>
                <w:kern w:val="0"/>
                <w:sz w:val="18"/>
                <w:szCs w:val="18"/>
                <w:highlight w:val="none"/>
                <w:lang w:bidi="ar"/>
              </w:rPr>
            </w:pPr>
            <w:r>
              <w:rPr>
                <w:rFonts w:hint="eastAsia" w:ascii="宋体" w:hAnsi="宋体" w:eastAsia="宋体" w:cs="宋体"/>
                <w:color w:val="auto"/>
                <w:kern w:val="0"/>
                <w:sz w:val="18"/>
                <w:szCs w:val="18"/>
                <w:highlight w:val="none"/>
                <w:lang w:bidi="ar"/>
              </w:rPr>
              <w:t>提交月度设计变更、现场签证的台账</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0EBF43EB">
            <w:pPr>
              <w:jc w:val="center"/>
              <w:rPr>
                <w:rFonts w:hint="eastAsia" w:ascii="宋体" w:hAnsi="宋体" w:eastAsia="宋体" w:cs="宋体"/>
                <w:b/>
                <w:color w:val="auto"/>
                <w:szCs w:val="21"/>
                <w:highlight w:val="none"/>
              </w:rPr>
            </w:pPr>
          </w:p>
        </w:tc>
      </w:tr>
      <w:tr w14:paraId="4F05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C14DAE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13</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01C0F6D2">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提交经过审核的由承包人提出的费用索赔申请（如有）</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98135A6">
            <w:pPr>
              <w:jc w:val="center"/>
              <w:rPr>
                <w:rFonts w:hint="eastAsia" w:ascii="宋体" w:hAnsi="宋体" w:eastAsia="宋体" w:cs="宋体"/>
                <w:b/>
                <w:color w:val="auto"/>
                <w:szCs w:val="21"/>
                <w:highlight w:val="none"/>
              </w:rPr>
            </w:pPr>
          </w:p>
        </w:tc>
      </w:tr>
      <w:tr w14:paraId="6E26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C5D7ED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14</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2349B01C">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提交《合同争议调解方案》（如有）</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00298878">
            <w:pPr>
              <w:jc w:val="center"/>
              <w:rPr>
                <w:rFonts w:hint="eastAsia" w:ascii="宋体" w:hAnsi="宋体" w:eastAsia="宋体" w:cs="宋体"/>
                <w:b/>
                <w:color w:val="auto"/>
                <w:szCs w:val="21"/>
                <w:highlight w:val="none"/>
              </w:rPr>
            </w:pPr>
          </w:p>
        </w:tc>
      </w:tr>
      <w:tr w14:paraId="0138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45BD606">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15</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3AFE69D6">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提交《合同解除（终止）处理方案书》（如有）</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3562596E">
            <w:pPr>
              <w:jc w:val="center"/>
              <w:rPr>
                <w:rFonts w:hint="eastAsia" w:ascii="宋体" w:hAnsi="宋体" w:eastAsia="宋体" w:cs="宋体"/>
                <w:b/>
                <w:color w:val="auto"/>
                <w:szCs w:val="21"/>
                <w:highlight w:val="none"/>
              </w:rPr>
            </w:pPr>
          </w:p>
        </w:tc>
      </w:tr>
      <w:tr w14:paraId="78DD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4FC6A91">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16</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63F658F6">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工人实名制及工人工资发放的监管报告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E1B06BE">
            <w:pPr>
              <w:jc w:val="center"/>
              <w:rPr>
                <w:rFonts w:hint="eastAsia" w:ascii="宋体" w:hAnsi="宋体" w:eastAsia="宋体" w:cs="宋体"/>
                <w:b/>
                <w:color w:val="auto"/>
                <w:szCs w:val="21"/>
                <w:highlight w:val="none"/>
              </w:rPr>
            </w:pPr>
          </w:p>
        </w:tc>
      </w:tr>
      <w:tr w14:paraId="61F1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1B76F4A">
            <w:pPr>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17</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316E5469">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各分部工程实际完成量造价偏差分析报告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7A3818F8">
            <w:pPr>
              <w:jc w:val="center"/>
              <w:rPr>
                <w:rFonts w:hint="eastAsia" w:ascii="宋体" w:hAnsi="宋体" w:eastAsia="宋体" w:cs="宋体"/>
                <w:b/>
                <w:color w:val="auto"/>
                <w:szCs w:val="21"/>
                <w:highlight w:val="none"/>
              </w:rPr>
            </w:pPr>
          </w:p>
        </w:tc>
      </w:tr>
      <w:tr w14:paraId="54AB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59E0BC06">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18</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20CDFC8">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提交质量、安全整改单</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9CD61FC">
            <w:pPr>
              <w:jc w:val="center"/>
              <w:rPr>
                <w:rFonts w:hint="eastAsia" w:ascii="宋体" w:hAnsi="宋体" w:eastAsia="宋体" w:cs="宋体"/>
                <w:b/>
                <w:color w:val="auto"/>
                <w:szCs w:val="21"/>
                <w:highlight w:val="none"/>
              </w:rPr>
            </w:pPr>
          </w:p>
        </w:tc>
      </w:tr>
      <w:tr w14:paraId="2418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5E1C4CED">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19</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E1BF5EC">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当增加的总造价超过50%暂列金时，监理人需向委托方提交造价控制预警报告；当增加的总造价超过暂列金时，监理人需书面向委托方报告资金使用情况。</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0C1D65E6">
            <w:pPr>
              <w:jc w:val="center"/>
              <w:rPr>
                <w:rFonts w:hint="eastAsia" w:ascii="宋体" w:hAnsi="宋体" w:eastAsia="宋体" w:cs="宋体"/>
                <w:b/>
                <w:color w:val="auto"/>
                <w:szCs w:val="21"/>
                <w:highlight w:val="none"/>
              </w:rPr>
            </w:pPr>
          </w:p>
        </w:tc>
      </w:tr>
      <w:tr w14:paraId="4D1F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1E03F6F">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四</w:t>
            </w:r>
          </w:p>
        </w:tc>
        <w:tc>
          <w:tcPr>
            <w:tcW w:w="7882" w:type="dxa"/>
            <w:gridSpan w:val="2"/>
            <w:tcBorders>
              <w:top w:val="single" w:color="auto" w:sz="4" w:space="0"/>
              <w:left w:val="single" w:color="auto" w:sz="4" w:space="0"/>
              <w:bottom w:val="single" w:color="auto" w:sz="4" w:space="0"/>
              <w:right w:val="single" w:color="auto" w:sz="4" w:space="0"/>
            </w:tcBorders>
            <w:noWrap w:val="0"/>
            <w:vAlign w:val="center"/>
          </w:tcPr>
          <w:p w14:paraId="13BCDAA9">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收尾阶段</w:t>
            </w:r>
          </w:p>
        </w:tc>
      </w:tr>
      <w:tr w14:paraId="4FA4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665D7DB">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62028BFB">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提交《工程验收监理工作计划》及《工程结算审核计划》、审批安全评价申请、竣工验收报告等</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41393D2B">
            <w:pPr>
              <w:jc w:val="center"/>
              <w:rPr>
                <w:rFonts w:hint="eastAsia" w:ascii="宋体" w:hAnsi="宋体" w:eastAsia="宋体" w:cs="宋体"/>
                <w:b/>
                <w:color w:val="auto"/>
                <w:szCs w:val="21"/>
                <w:highlight w:val="none"/>
              </w:rPr>
            </w:pPr>
          </w:p>
        </w:tc>
      </w:tr>
      <w:tr w14:paraId="68F3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5657FC69">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2</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17E80845">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提交竣工图修订记录、设计变更索引记录</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05A2C924">
            <w:pPr>
              <w:jc w:val="center"/>
              <w:rPr>
                <w:rFonts w:hint="eastAsia" w:ascii="宋体" w:hAnsi="宋体" w:eastAsia="宋体" w:cs="宋体"/>
                <w:b/>
                <w:color w:val="auto"/>
                <w:szCs w:val="21"/>
                <w:highlight w:val="none"/>
              </w:rPr>
            </w:pPr>
          </w:p>
        </w:tc>
      </w:tr>
      <w:tr w14:paraId="2183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8EF5610">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3</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098FDDDA">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提交《工程质量评估报告》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5A9E7765">
            <w:pPr>
              <w:jc w:val="center"/>
              <w:rPr>
                <w:rFonts w:hint="eastAsia" w:ascii="宋体" w:hAnsi="宋体" w:eastAsia="宋体" w:cs="宋体"/>
                <w:b/>
                <w:color w:val="auto"/>
                <w:szCs w:val="21"/>
                <w:highlight w:val="none"/>
              </w:rPr>
            </w:pPr>
          </w:p>
        </w:tc>
      </w:tr>
      <w:tr w14:paraId="4028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8E17227">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4</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0FF8E7F5">
            <w:pPr>
              <w:widowControl/>
              <w:jc w:val="left"/>
              <w:rPr>
                <w:rFonts w:hint="eastAsia" w:ascii="宋体" w:hAnsi="宋体" w:eastAsia="宋体" w:cs="宋体"/>
                <w:strike/>
                <w:color w:val="auto"/>
                <w:kern w:val="0"/>
                <w:sz w:val="18"/>
                <w:szCs w:val="18"/>
                <w:highlight w:val="none"/>
                <w:lang w:bidi="ar"/>
              </w:rPr>
            </w:pPr>
            <w:r>
              <w:rPr>
                <w:rFonts w:hint="eastAsia" w:ascii="宋体" w:hAnsi="宋体" w:eastAsia="宋体" w:cs="宋体"/>
                <w:color w:val="auto"/>
                <w:kern w:val="0"/>
                <w:sz w:val="18"/>
                <w:szCs w:val="18"/>
                <w:highlight w:val="none"/>
                <w:lang w:bidi="ar"/>
              </w:rPr>
              <w:t>提交结算审核计划</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5E20B28">
            <w:pPr>
              <w:jc w:val="center"/>
              <w:rPr>
                <w:rFonts w:hint="eastAsia" w:ascii="宋体" w:hAnsi="宋体" w:eastAsia="宋体" w:cs="宋体"/>
                <w:b/>
                <w:color w:val="auto"/>
                <w:szCs w:val="21"/>
                <w:highlight w:val="none"/>
              </w:rPr>
            </w:pPr>
          </w:p>
        </w:tc>
      </w:tr>
      <w:tr w14:paraId="5ECB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388CF2F">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5</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D0AE943">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提交竣工结算审核报告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51F2FBE1">
            <w:pPr>
              <w:jc w:val="center"/>
              <w:rPr>
                <w:rFonts w:hint="eastAsia" w:ascii="宋体" w:hAnsi="宋体" w:eastAsia="宋体" w:cs="宋体"/>
                <w:b/>
                <w:color w:val="auto"/>
                <w:szCs w:val="21"/>
                <w:highlight w:val="none"/>
              </w:rPr>
            </w:pPr>
          </w:p>
        </w:tc>
      </w:tr>
      <w:tr w14:paraId="780B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102BF6A">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6</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B8FE47F">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配合有关部门的结算审核工作，向委托人提出解决工程结算争议的合理建议</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6749FB2">
            <w:pPr>
              <w:jc w:val="center"/>
              <w:rPr>
                <w:rFonts w:hint="eastAsia" w:ascii="宋体" w:hAnsi="宋体" w:eastAsia="宋体" w:cs="宋体"/>
                <w:b/>
                <w:color w:val="auto"/>
                <w:szCs w:val="21"/>
                <w:highlight w:val="none"/>
              </w:rPr>
            </w:pPr>
          </w:p>
        </w:tc>
      </w:tr>
      <w:tr w14:paraId="6104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4547CB9">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7</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681E1EE1">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提交《监理工作项目总结》</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504253FA">
            <w:pPr>
              <w:jc w:val="center"/>
              <w:rPr>
                <w:rFonts w:hint="eastAsia" w:ascii="宋体" w:hAnsi="宋体" w:eastAsia="宋体" w:cs="宋体"/>
                <w:b/>
                <w:color w:val="auto"/>
                <w:szCs w:val="21"/>
                <w:highlight w:val="none"/>
              </w:rPr>
            </w:pPr>
          </w:p>
        </w:tc>
      </w:tr>
      <w:tr w14:paraId="15FD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8BE30BC">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8</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046ECCB0">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提交《质保期间的维保工作方案》</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72EF08A3">
            <w:pPr>
              <w:jc w:val="center"/>
              <w:rPr>
                <w:rFonts w:hint="eastAsia" w:ascii="宋体" w:hAnsi="宋体" w:eastAsia="宋体" w:cs="宋体"/>
                <w:b/>
                <w:color w:val="auto"/>
                <w:szCs w:val="21"/>
                <w:highlight w:val="none"/>
              </w:rPr>
            </w:pPr>
          </w:p>
        </w:tc>
      </w:tr>
    </w:tbl>
    <w:p w14:paraId="3D0D2F4A">
      <w:pPr>
        <w:pStyle w:val="20"/>
        <w:widowControl w:val="0"/>
        <w:spacing w:before="0" w:beforeAutospacing="0" w:after="120" w:afterAutospacing="0"/>
        <w:jc w:val="both"/>
        <w:rPr>
          <w:rFonts w:hint="eastAsia" w:ascii="宋体" w:hAnsi="宋体" w:eastAsia="宋体" w:cs="宋体"/>
          <w:b/>
          <w:color w:val="auto"/>
          <w:sz w:val="30"/>
          <w:szCs w:val="30"/>
          <w:highlight w:val="none"/>
        </w:rPr>
      </w:pPr>
    </w:p>
    <w:p w14:paraId="791B4BB1">
      <w:pPr>
        <w:pStyle w:val="20"/>
        <w:widowControl w:val="0"/>
        <w:spacing w:before="0" w:beforeAutospacing="0" w:after="120" w:afterAutospacing="0"/>
        <w:jc w:val="both"/>
        <w:rPr>
          <w:rFonts w:hint="eastAsia" w:ascii="宋体" w:hAnsi="宋体" w:eastAsia="宋体" w:cs="宋体"/>
          <w:b/>
          <w:color w:val="auto"/>
          <w:sz w:val="30"/>
          <w:szCs w:val="30"/>
          <w:highlight w:val="none"/>
        </w:rPr>
      </w:pPr>
    </w:p>
    <w:p w14:paraId="03B7EBB4">
      <w:pPr>
        <w:pStyle w:val="20"/>
        <w:widowControl w:val="0"/>
        <w:spacing w:before="0" w:beforeAutospacing="0" w:after="120" w:afterAutospacing="0"/>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br w:type="page"/>
      </w:r>
      <w:r>
        <w:rPr>
          <w:rFonts w:hint="eastAsia" w:ascii="宋体" w:hAnsi="宋体" w:eastAsia="宋体" w:cs="宋体"/>
          <w:b/>
          <w:color w:val="auto"/>
          <w:sz w:val="28"/>
          <w:szCs w:val="28"/>
          <w:highlight w:val="none"/>
          <w:lang w:bidi="ar"/>
        </w:rPr>
        <w:t>附件3</w:t>
      </w:r>
    </w:p>
    <w:p w14:paraId="0832B649">
      <w:pPr>
        <w:widowControl/>
        <w:jc w:val="center"/>
        <w:rPr>
          <w:rFonts w:hint="eastAsia"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结算审核工作质量情况考评细则</w:t>
      </w:r>
    </w:p>
    <w:p w14:paraId="29E14E85">
      <w:pPr>
        <w:widowControl/>
        <w:ind w:firstLine="632" w:firstLineChars="300"/>
        <w:rPr>
          <w:rFonts w:hint="eastAsia"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项目名称：                            监理人：               考评日期：</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3078"/>
        <w:gridCol w:w="1842"/>
        <w:gridCol w:w="837"/>
        <w:gridCol w:w="894"/>
        <w:gridCol w:w="676"/>
        <w:gridCol w:w="938"/>
      </w:tblGrid>
      <w:tr w14:paraId="5F65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7ED127C2">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3078" w:type="dxa"/>
            <w:tcBorders>
              <w:top w:val="single" w:color="auto" w:sz="4" w:space="0"/>
              <w:left w:val="single" w:color="auto" w:sz="4" w:space="0"/>
              <w:bottom w:val="single" w:color="auto" w:sz="4" w:space="0"/>
              <w:right w:val="single" w:color="auto" w:sz="4" w:space="0"/>
            </w:tcBorders>
            <w:noWrap w:val="0"/>
            <w:vAlign w:val="center"/>
          </w:tcPr>
          <w:p w14:paraId="10BDF060">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考评分项</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1B57BAE">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考评标准</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4AF38C69">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分值标准</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BB3189E">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监理人自评分</w:t>
            </w:r>
          </w:p>
        </w:tc>
        <w:tc>
          <w:tcPr>
            <w:tcW w:w="676" w:type="dxa"/>
            <w:tcBorders>
              <w:top w:val="single" w:color="auto" w:sz="4" w:space="0"/>
              <w:left w:val="single" w:color="auto" w:sz="4" w:space="0"/>
              <w:bottom w:val="single" w:color="auto" w:sz="4" w:space="0"/>
              <w:right w:val="single" w:color="auto" w:sz="4" w:space="0"/>
            </w:tcBorders>
            <w:noWrap w:val="0"/>
            <w:vAlign w:val="center"/>
          </w:tcPr>
          <w:p w14:paraId="5A8F6686">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委托人复核情况评价</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601B98F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备注</w:t>
            </w:r>
          </w:p>
        </w:tc>
      </w:tr>
      <w:tr w14:paraId="0878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6ED11738">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一</w:t>
            </w:r>
          </w:p>
        </w:tc>
        <w:tc>
          <w:tcPr>
            <w:tcW w:w="3078" w:type="dxa"/>
            <w:tcBorders>
              <w:top w:val="single" w:color="auto" w:sz="4" w:space="0"/>
              <w:left w:val="single" w:color="auto" w:sz="4" w:space="0"/>
              <w:bottom w:val="single" w:color="auto" w:sz="4" w:space="0"/>
              <w:right w:val="single" w:color="auto" w:sz="4" w:space="0"/>
            </w:tcBorders>
            <w:noWrap w:val="0"/>
            <w:vAlign w:val="center"/>
          </w:tcPr>
          <w:p w14:paraId="6ACFBD20">
            <w:pPr>
              <w:widowControl/>
              <w:jc w:val="left"/>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经监理审核后的竣工图纸（包括设备移交资料等）与现场的实际竣工情况不一致。</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DA37165">
            <w:pPr>
              <w:widowControl/>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每发现一处不一致情况扣 2 分。</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646037D7">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20</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C38B556">
            <w:pPr>
              <w:jc w:val="center"/>
              <w:rPr>
                <w:rFonts w:hint="eastAsia" w:ascii="宋体" w:hAnsi="宋体" w:eastAsia="宋体" w:cs="宋体"/>
                <w:b/>
                <w:color w:val="auto"/>
                <w:szCs w:val="21"/>
                <w:highlight w:val="none"/>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40B3B53C">
            <w:pPr>
              <w:jc w:val="center"/>
              <w:rPr>
                <w:rFonts w:hint="eastAsia" w:ascii="宋体" w:hAnsi="宋体" w:eastAsia="宋体" w:cs="宋体"/>
                <w:b/>
                <w:color w:val="auto"/>
                <w:szCs w:val="21"/>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3419B083">
            <w:pPr>
              <w:jc w:val="center"/>
              <w:rPr>
                <w:rFonts w:hint="eastAsia" w:ascii="宋体" w:hAnsi="宋体" w:eastAsia="宋体" w:cs="宋体"/>
                <w:b/>
                <w:color w:val="auto"/>
                <w:szCs w:val="21"/>
                <w:highlight w:val="none"/>
              </w:rPr>
            </w:pPr>
          </w:p>
        </w:tc>
      </w:tr>
      <w:tr w14:paraId="478D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1010648A">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二</w:t>
            </w:r>
          </w:p>
        </w:tc>
        <w:tc>
          <w:tcPr>
            <w:tcW w:w="3078" w:type="dxa"/>
            <w:tcBorders>
              <w:top w:val="single" w:color="auto" w:sz="4" w:space="0"/>
              <w:left w:val="single" w:color="auto" w:sz="4" w:space="0"/>
              <w:bottom w:val="single" w:color="auto" w:sz="4" w:space="0"/>
              <w:right w:val="single" w:color="auto" w:sz="4" w:space="0"/>
            </w:tcBorders>
            <w:noWrap w:val="0"/>
            <w:vAlign w:val="center"/>
          </w:tcPr>
          <w:p w14:paraId="54431848">
            <w:pPr>
              <w:widowControl/>
              <w:jc w:val="left"/>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工程结算资料不齐备，经委托人或政府有权审核部门审核后被退回的。</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3042ADC">
            <w:pPr>
              <w:widowControl/>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每退回一次扣 5 分。</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356EB60B">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25</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C492388">
            <w:pPr>
              <w:jc w:val="center"/>
              <w:rPr>
                <w:rFonts w:hint="eastAsia" w:ascii="宋体" w:hAnsi="宋体" w:eastAsia="宋体" w:cs="宋体"/>
                <w:b/>
                <w:color w:val="auto"/>
                <w:szCs w:val="21"/>
                <w:highlight w:val="none"/>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453EA7B7">
            <w:pPr>
              <w:jc w:val="center"/>
              <w:rPr>
                <w:rFonts w:hint="eastAsia" w:ascii="宋体" w:hAnsi="宋体" w:eastAsia="宋体" w:cs="宋体"/>
                <w:b/>
                <w:color w:val="auto"/>
                <w:szCs w:val="21"/>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736141F3">
            <w:pPr>
              <w:jc w:val="center"/>
              <w:rPr>
                <w:rFonts w:hint="eastAsia" w:ascii="宋体" w:hAnsi="宋体" w:eastAsia="宋体" w:cs="宋体"/>
                <w:b/>
                <w:color w:val="auto"/>
                <w:szCs w:val="21"/>
                <w:highlight w:val="none"/>
              </w:rPr>
            </w:pPr>
          </w:p>
        </w:tc>
      </w:tr>
      <w:tr w14:paraId="28DB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22BDF384">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三</w:t>
            </w:r>
          </w:p>
        </w:tc>
        <w:tc>
          <w:tcPr>
            <w:tcW w:w="3078" w:type="dxa"/>
            <w:tcBorders>
              <w:top w:val="single" w:color="auto" w:sz="4" w:space="0"/>
              <w:left w:val="single" w:color="auto" w:sz="4" w:space="0"/>
              <w:bottom w:val="single" w:color="auto" w:sz="4" w:space="0"/>
              <w:right w:val="single" w:color="auto" w:sz="4" w:space="0"/>
            </w:tcBorders>
            <w:noWrap w:val="0"/>
            <w:vAlign w:val="center"/>
          </w:tcPr>
          <w:p w14:paraId="576F7B11">
            <w:pPr>
              <w:widowControl/>
              <w:jc w:val="left"/>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对委托人指令拒绝响应或不及时响应，且在委托人要求的时间节点前未完成本项目工程竣工结算审核工作。</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FC15222">
            <w:pPr>
              <w:widowControl/>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对委托人指令每拒绝响应或不及时响应一次扣 5分，每延迟一个日历天扣 1 分，不封顶。</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51E312CC">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25</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10CE014">
            <w:pPr>
              <w:jc w:val="center"/>
              <w:rPr>
                <w:rFonts w:hint="eastAsia" w:ascii="宋体" w:hAnsi="宋体" w:eastAsia="宋体" w:cs="宋体"/>
                <w:b/>
                <w:color w:val="auto"/>
                <w:szCs w:val="21"/>
                <w:highlight w:val="none"/>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17D9BA59">
            <w:pPr>
              <w:jc w:val="center"/>
              <w:rPr>
                <w:rFonts w:hint="eastAsia" w:ascii="宋体" w:hAnsi="宋体" w:eastAsia="宋体" w:cs="宋体"/>
                <w:b/>
                <w:color w:val="auto"/>
                <w:szCs w:val="21"/>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0BAA160B">
            <w:pPr>
              <w:jc w:val="center"/>
              <w:rPr>
                <w:rFonts w:hint="eastAsia" w:ascii="宋体" w:hAnsi="宋体" w:eastAsia="宋体" w:cs="宋体"/>
                <w:b/>
                <w:color w:val="auto"/>
                <w:szCs w:val="21"/>
                <w:highlight w:val="none"/>
              </w:rPr>
            </w:pPr>
          </w:p>
        </w:tc>
      </w:tr>
      <w:tr w14:paraId="518F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486A9FE8">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四</w:t>
            </w:r>
          </w:p>
        </w:tc>
        <w:tc>
          <w:tcPr>
            <w:tcW w:w="3078" w:type="dxa"/>
            <w:tcBorders>
              <w:top w:val="single" w:color="auto" w:sz="4" w:space="0"/>
              <w:left w:val="single" w:color="auto" w:sz="4" w:space="0"/>
              <w:bottom w:val="single" w:color="auto" w:sz="4" w:space="0"/>
              <w:right w:val="single" w:color="auto" w:sz="4" w:space="0"/>
            </w:tcBorders>
            <w:noWrap w:val="0"/>
            <w:vAlign w:val="center"/>
          </w:tcPr>
          <w:p w14:paraId="4CCAB655">
            <w:pPr>
              <w:widowControl/>
              <w:jc w:val="left"/>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结算审核工作不专业，结果不准确；工程结算资料出现计价错误、计价无依据或增项、漏项等情况。</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F93801D">
            <w:pPr>
              <w:widowControl/>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若监理人审核的结算金额与有权审核部门审定的结算金额的偏差率绝对值大于5%，每增加1%，扣6分，不足1%按1%计算，上不封顶。</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17BFC44F">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30</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1D4B782">
            <w:pPr>
              <w:jc w:val="center"/>
              <w:rPr>
                <w:rFonts w:hint="eastAsia" w:ascii="宋体" w:hAnsi="宋体" w:eastAsia="宋体" w:cs="宋体"/>
                <w:b/>
                <w:color w:val="auto"/>
                <w:szCs w:val="21"/>
                <w:highlight w:val="none"/>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690FE215">
            <w:pPr>
              <w:jc w:val="center"/>
              <w:rPr>
                <w:rFonts w:hint="eastAsia" w:ascii="宋体" w:hAnsi="宋体" w:eastAsia="宋体" w:cs="宋体"/>
                <w:b/>
                <w:color w:val="auto"/>
                <w:szCs w:val="21"/>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59A12843">
            <w:pPr>
              <w:jc w:val="center"/>
              <w:rPr>
                <w:rFonts w:hint="eastAsia" w:ascii="宋体" w:hAnsi="宋体" w:eastAsia="宋体" w:cs="宋体"/>
                <w:b/>
                <w:color w:val="auto"/>
                <w:szCs w:val="21"/>
                <w:highlight w:val="none"/>
              </w:rPr>
            </w:pPr>
          </w:p>
        </w:tc>
      </w:tr>
      <w:tr w14:paraId="4CF2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2FD388F4">
            <w:pPr>
              <w:jc w:val="center"/>
              <w:rPr>
                <w:rFonts w:hint="eastAsia" w:ascii="宋体" w:hAnsi="宋体" w:eastAsia="宋体" w:cs="宋体"/>
                <w:b/>
                <w:color w:val="auto"/>
                <w:szCs w:val="21"/>
                <w:highlight w:val="none"/>
              </w:rPr>
            </w:pPr>
          </w:p>
        </w:tc>
        <w:tc>
          <w:tcPr>
            <w:tcW w:w="3078" w:type="dxa"/>
            <w:tcBorders>
              <w:top w:val="single" w:color="auto" w:sz="4" w:space="0"/>
              <w:left w:val="single" w:color="auto" w:sz="4" w:space="0"/>
              <w:bottom w:val="single" w:color="auto" w:sz="4" w:space="0"/>
              <w:right w:val="single" w:color="auto" w:sz="4" w:space="0"/>
            </w:tcBorders>
            <w:noWrap w:val="0"/>
            <w:vAlign w:val="center"/>
          </w:tcPr>
          <w:p w14:paraId="6205C70C">
            <w:pPr>
              <w:widowControl/>
              <w:jc w:val="left"/>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监理人自评分总分</w:t>
            </w:r>
          </w:p>
        </w:tc>
        <w:tc>
          <w:tcPr>
            <w:tcW w:w="4249" w:type="dxa"/>
            <w:gridSpan w:val="4"/>
            <w:tcBorders>
              <w:top w:val="single" w:color="auto" w:sz="4" w:space="0"/>
              <w:left w:val="single" w:color="auto" w:sz="4" w:space="0"/>
              <w:bottom w:val="single" w:color="auto" w:sz="4" w:space="0"/>
              <w:right w:val="single" w:color="auto" w:sz="4" w:space="0"/>
            </w:tcBorders>
            <w:noWrap w:val="0"/>
            <w:vAlign w:val="center"/>
          </w:tcPr>
          <w:p w14:paraId="52EEB014">
            <w:pPr>
              <w:jc w:val="center"/>
              <w:rPr>
                <w:rFonts w:hint="eastAsia" w:ascii="宋体" w:hAnsi="宋体" w:eastAsia="宋体" w:cs="宋体"/>
                <w:b/>
                <w:color w:val="auto"/>
                <w:szCs w:val="21"/>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37917156">
            <w:pPr>
              <w:jc w:val="center"/>
              <w:rPr>
                <w:rFonts w:hint="eastAsia" w:ascii="宋体" w:hAnsi="宋体" w:eastAsia="宋体" w:cs="宋体"/>
                <w:b/>
                <w:color w:val="auto"/>
                <w:szCs w:val="21"/>
                <w:highlight w:val="none"/>
              </w:rPr>
            </w:pPr>
          </w:p>
        </w:tc>
      </w:tr>
      <w:tr w14:paraId="4439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64B279FC">
            <w:pPr>
              <w:jc w:val="center"/>
              <w:rPr>
                <w:rFonts w:hint="eastAsia" w:ascii="宋体" w:hAnsi="宋体" w:eastAsia="宋体" w:cs="宋体"/>
                <w:b/>
                <w:color w:val="auto"/>
                <w:szCs w:val="21"/>
                <w:highlight w:val="none"/>
              </w:rPr>
            </w:pPr>
          </w:p>
        </w:tc>
        <w:tc>
          <w:tcPr>
            <w:tcW w:w="3078" w:type="dxa"/>
            <w:tcBorders>
              <w:top w:val="single" w:color="auto" w:sz="4" w:space="0"/>
              <w:left w:val="single" w:color="auto" w:sz="4" w:space="0"/>
              <w:bottom w:val="single" w:color="auto" w:sz="4" w:space="0"/>
              <w:right w:val="single" w:color="auto" w:sz="4" w:space="0"/>
            </w:tcBorders>
            <w:noWrap w:val="0"/>
            <w:vAlign w:val="center"/>
          </w:tcPr>
          <w:p w14:paraId="566CE40E">
            <w:pPr>
              <w:widowControl/>
              <w:jc w:val="left"/>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结算审核工作质量最终总得分</w:t>
            </w:r>
          </w:p>
        </w:tc>
        <w:tc>
          <w:tcPr>
            <w:tcW w:w="4249" w:type="dxa"/>
            <w:gridSpan w:val="4"/>
            <w:tcBorders>
              <w:top w:val="single" w:color="auto" w:sz="4" w:space="0"/>
              <w:left w:val="single" w:color="auto" w:sz="4" w:space="0"/>
              <w:bottom w:val="single" w:color="auto" w:sz="4" w:space="0"/>
              <w:right w:val="single" w:color="auto" w:sz="4" w:space="0"/>
            </w:tcBorders>
            <w:noWrap w:val="0"/>
            <w:vAlign w:val="center"/>
          </w:tcPr>
          <w:p w14:paraId="0BF17969">
            <w:pPr>
              <w:jc w:val="center"/>
              <w:rPr>
                <w:rFonts w:hint="eastAsia" w:ascii="宋体" w:hAnsi="宋体" w:eastAsia="宋体" w:cs="宋体"/>
                <w:b/>
                <w:color w:val="auto"/>
                <w:szCs w:val="21"/>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35307729">
            <w:pPr>
              <w:widowControl/>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以委托人复核得分为最终得分</w:t>
            </w:r>
          </w:p>
        </w:tc>
      </w:tr>
      <w:tr w14:paraId="61EE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0E20F295">
            <w:pPr>
              <w:jc w:val="center"/>
              <w:rPr>
                <w:rFonts w:hint="eastAsia" w:ascii="宋体" w:hAnsi="宋体" w:eastAsia="宋体" w:cs="宋体"/>
                <w:b/>
                <w:color w:val="auto"/>
                <w:szCs w:val="21"/>
                <w:highlight w:val="none"/>
              </w:rPr>
            </w:pPr>
          </w:p>
        </w:tc>
        <w:tc>
          <w:tcPr>
            <w:tcW w:w="3078" w:type="dxa"/>
            <w:tcBorders>
              <w:top w:val="single" w:color="auto" w:sz="4" w:space="0"/>
              <w:left w:val="single" w:color="auto" w:sz="4" w:space="0"/>
              <w:bottom w:val="single" w:color="auto" w:sz="4" w:space="0"/>
              <w:right w:val="single" w:color="auto" w:sz="4" w:space="0"/>
            </w:tcBorders>
            <w:noWrap w:val="0"/>
            <w:vAlign w:val="center"/>
          </w:tcPr>
          <w:p w14:paraId="3F3AECD0">
            <w:pPr>
              <w:widowControl/>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监理人确认（盖章）</w:t>
            </w:r>
          </w:p>
        </w:tc>
        <w:tc>
          <w:tcPr>
            <w:tcW w:w="5187" w:type="dxa"/>
            <w:gridSpan w:val="5"/>
            <w:tcBorders>
              <w:top w:val="single" w:color="auto" w:sz="4" w:space="0"/>
              <w:left w:val="single" w:color="auto" w:sz="4" w:space="0"/>
              <w:bottom w:val="single" w:color="auto" w:sz="4" w:space="0"/>
              <w:right w:val="single" w:color="auto" w:sz="4" w:space="0"/>
            </w:tcBorders>
            <w:noWrap w:val="0"/>
            <w:vAlign w:val="center"/>
          </w:tcPr>
          <w:p w14:paraId="6340B0D4">
            <w:pPr>
              <w:jc w:val="center"/>
              <w:rPr>
                <w:rFonts w:hint="eastAsia" w:ascii="宋体" w:hAnsi="宋体" w:eastAsia="宋体" w:cs="宋体"/>
                <w:b/>
                <w:color w:val="auto"/>
                <w:szCs w:val="21"/>
                <w:highlight w:val="none"/>
              </w:rPr>
            </w:pPr>
          </w:p>
        </w:tc>
      </w:tr>
      <w:tr w14:paraId="13D2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0F44695B">
            <w:pPr>
              <w:jc w:val="center"/>
              <w:rPr>
                <w:rFonts w:hint="eastAsia" w:ascii="宋体" w:hAnsi="宋体" w:eastAsia="宋体" w:cs="宋体"/>
                <w:b/>
                <w:color w:val="auto"/>
                <w:szCs w:val="21"/>
                <w:highlight w:val="none"/>
              </w:rPr>
            </w:pPr>
          </w:p>
        </w:tc>
        <w:tc>
          <w:tcPr>
            <w:tcW w:w="3078" w:type="dxa"/>
            <w:tcBorders>
              <w:top w:val="single" w:color="auto" w:sz="4" w:space="0"/>
              <w:left w:val="single" w:color="auto" w:sz="4" w:space="0"/>
              <w:bottom w:val="single" w:color="auto" w:sz="4" w:space="0"/>
              <w:right w:val="single" w:color="auto" w:sz="4" w:space="0"/>
            </w:tcBorders>
            <w:noWrap w:val="0"/>
            <w:vAlign w:val="center"/>
          </w:tcPr>
          <w:p w14:paraId="395A94EB">
            <w:pPr>
              <w:widowControl/>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bidi="ar"/>
              </w:rPr>
              <w:t>委托人确认（盖章）</w:t>
            </w:r>
          </w:p>
        </w:tc>
        <w:tc>
          <w:tcPr>
            <w:tcW w:w="5187" w:type="dxa"/>
            <w:gridSpan w:val="5"/>
            <w:tcBorders>
              <w:top w:val="single" w:color="auto" w:sz="4" w:space="0"/>
              <w:left w:val="single" w:color="auto" w:sz="4" w:space="0"/>
              <w:bottom w:val="single" w:color="auto" w:sz="4" w:space="0"/>
              <w:right w:val="single" w:color="auto" w:sz="4" w:space="0"/>
            </w:tcBorders>
            <w:noWrap w:val="0"/>
            <w:vAlign w:val="center"/>
          </w:tcPr>
          <w:p w14:paraId="6EBBE80C">
            <w:pPr>
              <w:jc w:val="center"/>
              <w:rPr>
                <w:rFonts w:hint="eastAsia" w:ascii="宋体" w:hAnsi="宋体" w:eastAsia="宋体" w:cs="宋体"/>
                <w:b/>
                <w:color w:val="auto"/>
                <w:szCs w:val="21"/>
                <w:highlight w:val="none"/>
              </w:rPr>
            </w:pPr>
          </w:p>
        </w:tc>
      </w:tr>
    </w:tbl>
    <w:p w14:paraId="39054E9E">
      <w:pPr>
        <w:widowControl/>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注：满分为 100 分，按照各考评分项，根据监理人竣工结算审核工作完成程度给予打分。</w:t>
      </w:r>
    </w:p>
    <w:p w14:paraId="25BBCB32">
      <w:pPr>
        <w:pStyle w:val="20"/>
        <w:widowControl w:val="0"/>
        <w:spacing w:before="0" w:beforeAutospacing="0" w:after="120" w:afterAutospacing="0"/>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br w:type="page"/>
      </w:r>
      <w:r>
        <w:rPr>
          <w:rFonts w:hint="eastAsia" w:ascii="宋体" w:hAnsi="宋体" w:eastAsia="宋体" w:cs="宋体"/>
          <w:b/>
          <w:color w:val="auto"/>
          <w:sz w:val="28"/>
          <w:szCs w:val="28"/>
          <w:highlight w:val="none"/>
          <w:lang w:bidi="ar"/>
        </w:rPr>
        <w:t>附件4</w:t>
      </w:r>
    </w:p>
    <w:p w14:paraId="71C19E20">
      <w:pPr>
        <w:wordWrap w:val="0"/>
        <w:rPr>
          <w:rFonts w:hint="eastAsia" w:ascii="宋体" w:hAnsi="宋体" w:eastAsia="宋体" w:cs="宋体"/>
          <w:b/>
          <w:color w:val="auto"/>
          <w:highlight w:val="none"/>
        </w:rPr>
      </w:pPr>
      <w:r>
        <w:rPr>
          <w:rFonts w:hint="eastAsia" w:ascii="宋体" w:hAnsi="宋体" w:eastAsia="宋体" w:cs="宋体"/>
          <w:color w:val="auto"/>
          <w:highlight w:val="none"/>
          <w:lang w:bidi="ar"/>
        </w:rPr>
        <w:drawing>
          <wp:inline distT="0" distB="0" distL="114300" distR="114300">
            <wp:extent cx="5191125" cy="76581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191125" cy="7658100"/>
                    </a:xfrm>
                    <a:prstGeom prst="rect">
                      <a:avLst/>
                    </a:prstGeom>
                    <a:noFill/>
                    <a:ln>
                      <a:noFill/>
                    </a:ln>
                  </pic:spPr>
                </pic:pic>
              </a:graphicData>
            </a:graphic>
          </wp:inline>
        </w:drawing>
      </w:r>
    </w:p>
    <w:p w14:paraId="2BDC1D4C">
      <w:pPr>
        <w:wordWrap w:val="0"/>
        <w:spacing w:before="340" w:after="330"/>
        <w:jc w:val="center"/>
        <w:outlineLvl w:val="0"/>
        <w:rPr>
          <w:rFonts w:hint="eastAsia" w:ascii="宋体" w:hAnsi="宋体" w:eastAsia="宋体" w:cs="宋体"/>
          <w:b/>
          <w:color w:val="auto"/>
          <w:kern w:val="44"/>
          <w:sz w:val="44"/>
          <w:szCs w:val="20"/>
          <w:highlight w:val="none"/>
        </w:rPr>
      </w:pPr>
      <w:r>
        <w:rPr>
          <w:rFonts w:hint="eastAsia" w:ascii="宋体" w:hAnsi="宋体" w:eastAsia="宋体" w:cs="宋体"/>
          <w:b/>
          <w:color w:val="auto"/>
          <w:kern w:val="44"/>
          <w:sz w:val="44"/>
          <w:szCs w:val="20"/>
          <w:highlight w:val="none"/>
        </w:rPr>
        <w:br w:type="page"/>
      </w:r>
      <w:bookmarkStart w:id="201" w:name="_Toc25312"/>
      <w:bookmarkStart w:id="202" w:name="_Toc59200695"/>
      <w:bookmarkStart w:id="203" w:name="_Toc526786492"/>
      <w:bookmarkStart w:id="204" w:name="_Toc246997081"/>
      <w:bookmarkStart w:id="205" w:name="_Toc247085853"/>
      <w:bookmarkStart w:id="206" w:name="_Toc246996338"/>
      <w:bookmarkStart w:id="207" w:name="_Toc179632787"/>
      <w:bookmarkStart w:id="208" w:name="_Toc144974829"/>
      <w:bookmarkStart w:id="209" w:name="_Toc247514197"/>
      <w:bookmarkStart w:id="210" w:name="_Toc152042388"/>
      <w:bookmarkStart w:id="211" w:name="_Toc152042549"/>
      <w:bookmarkStart w:id="212" w:name="_Toc300835199"/>
      <w:bookmarkStart w:id="213" w:name="_Toc152045610"/>
      <w:bookmarkStart w:id="214" w:name="_Toc184635122"/>
      <w:bookmarkStart w:id="215" w:name="_Toc144974578"/>
      <w:bookmarkStart w:id="216" w:name="_Toc247527798"/>
      <w:r>
        <w:rPr>
          <w:rFonts w:hint="eastAsia" w:ascii="宋体" w:hAnsi="宋体" w:eastAsia="宋体" w:cs="宋体"/>
          <w:b/>
          <w:color w:val="auto"/>
          <w:kern w:val="44"/>
          <w:sz w:val="44"/>
          <w:szCs w:val="20"/>
          <w:highlight w:val="none"/>
        </w:rPr>
        <w:t>第二卷</w:t>
      </w:r>
      <w:bookmarkEnd w:id="201"/>
      <w:bookmarkEnd w:id="202"/>
      <w:bookmarkEnd w:id="203"/>
    </w:p>
    <w:p w14:paraId="365CC733">
      <w:pPr>
        <w:wordWrap w:val="0"/>
        <w:spacing w:before="340" w:after="330"/>
        <w:jc w:val="center"/>
        <w:outlineLvl w:val="0"/>
        <w:rPr>
          <w:rFonts w:hint="eastAsia" w:ascii="宋体" w:hAnsi="宋体" w:eastAsia="宋体" w:cs="宋体"/>
          <w:b/>
          <w:color w:val="auto"/>
          <w:kern w:val="44"/>
          <w:sz w:val="44"/>
          <w:szCs w:val="20"/>
          <w:highlight w:val="none"/>
        </w:rPr>
      </w:pPr>
      <w:bookmarkStart w:id="217" w:name="_Toc59200696"/>
      <w:bookmarkStart w:id="218" w:name="_Toc526786493"/>
      <w:r>
        <w:rPr>
          <w:rFonts w:hint="eastAsia" w:ascii="宋体" w:hAnsi="宋体" w:eastAsia="宋体" w:cs="宋体"/>
          <w:b/>
          <w:color w:val="auto"/>
          <w:kern w:val="44"/>
          <w:sz w:val="44"/>
          <w:szCs w:val="20"/>
          <w:highlight w:val="none"/>
        </w:rPr>
        <w:t>第五章 委托人要求</w:t>
      </w:r>
      <w:bookmarkEnd w:id="217"/>
    </w:p>
    <w:p w14:paraId="60CE8414">
      <w:pPr>
        <w:pStyle w:val="3"/>
        <w:keepNext w:val="0"/>
        <w:keepLines w:val="0"/>
        <w:spacing w:line="240" w:lineRule="auto"/>
        <w:rPr>
          <w:rFonts w:hint="eastAsia" w:ascii="宋体" w:hAnsi="宋体" w:eastAsia="宋体" w:cs="宋体"/>
          <w:b w:val="0"/>
          <w:color w:val="auto"/>
          <w:sz w:val="28"/>
          <w:szCs w:val="28"/>
          <w:highlight w:val="none"/>
        </w:rPr>
      </w:pPr>
      <w:r>
        <w:rPr>
          <w:rFonts w:hint="eastAsia" w:ascii="宋体" w:hAnsi="宋体" w:eastAsia="宋体" w:cs="宋体"/>
          <w:b/>
          <w:color w:val="auto"/>
          <w:sz w:val="28"/>
          <w:szCs w:val="28"/>
          <w:highlight w:val="none"/>
        </w:rPr>
        <w:br w:type="page"/>
      </w:r>
      <w:bookmarkStart w:id="219" w:name="_Toc14966893"/>
      <w:bookmarkStart w:id="220" w:name="_Toc3926"/>
      <w:bookmarkStart w:id="221" w:name="_Toc7613"/>
      <w:bookmarkStart w:id="222" w:name="_Toc24590"/>
      <w:bookmarkStart w:id="223" w:name="_Toc7356"/>
      <w:bookmarkStart w:id="224" w:name="_Toc17024"/>
      <w:bookmarkStart w:id="225" w:name="_Toc13824"/>
      <w:bookmarkStart w:id="226" w:name="_Toc6588"/>
      <w:bookmarkStart w:id="227" w:name="_Toc511557110"/>
      <w:bookmarkStart w:id="228" w:name="_Toc25581"/>
      <w:bookmarkStart w:id="229" w:name="_Toc482188637"/>
      <w:bookmarkStart w:id="230" w:name="_Toc18633"/>
      <w:bookmarkStart w:id="231" w:name="_Toc18178"/>
      <w:bookmarkStart w:id="232" w:name="_Toc24178"/>
      <w:bookmarkStart w:id="233" w:name="_Toc30965"/>
      <w:bookmarkStart w:id="234" w:name="_Toc17306"/>
      <w:bookmarkStart w:id="235" w:name="_Toc16086"/>
      <w:bookmarkStart w:id="236" w:name="_Toc28853"/>
      <w:bookmarkStart w:id="237" w:name="_Toc749"/>
      <w:bookmarkStart w:id="238" w:name="_Toc1249"/>
      <w:bookmarkStart w:id="239" w:name="_Toc27577"/>
      <w:bookmarkStart w:id="240" w:name="_Toc59200697"/>
      <w:r>
        <w:rPr>
          <w:rFonts w:hint="eastAsia" w:ascii="宋体" w:hAnsi="宋体" w:eastAsia="宋体" w:cs="宋体"/>
          <w:b w:val="0"/>
          <w:color w:val="auto"/>
          <w:sz w:val="28"/>
          <w:szCs w:val="28"/>
          <w:highlight w:val="none"/>
        </w:rPr>
        <w:t>一、监理要求</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4F2E7694">
      <w:pPr>
        <w:spacing w:line="440" w:lineRule="exact"/>
        <w:ind w:firstLine="361" w:firstLineChars="171"/>
        <w:rPr>
          <w:rFonts w:hint="eastAsia" w:ascii="宋体" w:hAnsi="宋体" w:eastAsia="宋体" w:cs="宋体"/>
          <w:b/>
          <w:color w:val="auto"/>
          <w:highlight w:val="none"/>
        </w:rPr>
      </w:pPr>
      <w:r>
        <w:rPr>
          <w:rFonts w:hint="eastAsia" w:ascii="宋体" w:hAnsi="宋体" w:eastAsia="宋体" w:cs="宋体"/>
          <w:b/>
          <w:color w:val="auto"/>
          <w:highlight w:val="none"/>
        </w:rPr>
        <w:t>招标人应当根据项目情况在本章中明确相应的监理要求，一般应包括以下内容：</w:t>
      </w:r>
    </w:p>
    <w:p w14:paraId="32BEE16A">
      <w:pPr>
        <w:spacing w:line="44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1. 项目概况</w:t>
      </w:r>
    </w:p>
    <w:p w14:paraId="0B479982">
      <w:pPr>
        <w:tabs>
          <w:tab w:val="left" w:pos="7513"/>
        </w:tabs>
        <w:spacing w:line="360" w:lineRule="auto"/>
        <w:ind w:firstLine="371" w:firstLineChars="177"/>
        <w:rPr>
          <w:rFonts w:hint="eastAsia" w:ascii="宋体" w:hAnsi="宋体" w:eastAsia="宋体" w:cs="宋体"/>
          <w:color w:val="auto"/>
          <w:sz w:val="21"/>
          <w:szCs w:val="21"/>
          <w:highlight w:val="none"/>
          <w:u w:val="single"/>
        </w:rPr>
      </w:pPr>
      <w:bookmarkStart w:id="241" w:name="_Hlk149039115"/>
      <w:r>
        <w:rPr>
          <w:rFonts w:hint="eastAsia" w:ascii="宋体" w:hAnsi="宋体" w:eastAsia="宋体" w:cs="宋体"/>
          <w:color w:val="auto"/>
          <w:sz w:val="21"/>
          <w:szCs w:val="21"/>
          <w:highlight w:val="none"/>
          <w:u w:val="single"/>
        </w:rPr>
        <w:t>项目涉及</w:t>
      </w:r>
      <w:r>
        <w:rPr>
          <w:rFonts w:hint="eastAsia" w:ascii="宋体" w:hAnsi="宋体" w:eastAsia="宋体" w:cs="宋体"/>
          <w:color w:val="auto"/>
          <w:sz w:val="21"/>
          <w:szCs w:val="21"/>
          <w:highlight w:val="none"/>
          <w:u w:val="single"/>
          <w:lang w:eastAsia="zh-CN"/>
        </w:rPr>
        <w:t>3</w:t>
      </w:r>
      <w:r>
        <w:rPr>
          <w:rFonts w:hint="eastAsia" w:ascii="宋体" w:hAnsi="宋体" w:eastAsia="宋体" w:cs="宋体"/>
          <w:color w:val="auto"/>
          <w:sz w:val="21"/>
          <w:szCs w:val="21"/>
          <w:highlight w:val="none"/>
          <w:u w:val="single"/>
        </w:rPr>
        <w:t>条</w:t>
      </w:r>
      <w:r>
        <w:rPr>
          <w:rFonts w:hint="eastAsia" w:ascii="宋体" w:hAnsi="宋体" w:eastAsia="宋体" w:cs="宋体"/>
          <w:color w:val="auto"/>
          <w:sz w:val="21"/>
          <w:szCs w:val="21"/>
          <w:highlight w:val="none"/>
          <w:u w:val="single"/>
          <w:lang w:val="en-US" w:eastAsia="zh-CN"/>
        </w:rPr>
        <w:t>城市支路，总长约487米</w:t>
      </w:r>
      <w:r>
        <w:rPr>
          <w:rFonts w:hint="eastAsia" w:ascii="宋体" w:hAnsi="宋体" w:eastAsia="宋体" w:cs="宋体"/>
          <w:color w:val="auto"/>
          <w:sz w:val="21"/>
          <w:szCs w:val="21"/>
          <w:highlight w:val="none"/>
          <w:u w:val="single"/>
        </w:rPr>
        <w:t>。其中：</w:t>
      </w:r>
    </w:p>
    <w:p w14:paraId="190507F6">
      <w:pPr>
        <w:shd w:val="clear" w:color="auto" w:fill="FFFFFF"/>
        <w:adjustRightInd w:val="0"/>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（一）</w:t>
      </w:r>
      <w:r>
        <w:rPr>
          <w:rFonts w:hint="eastAsia" w:ascii="宋体" w:hAnsi="宋体" w:eastAsia="宋体" w:cs="宋体"/>
          <w:color w:val="auto"/>
          <w:sz w:val="21"/>
          <w:szCs w:val="21"/>
          <w:highlight w:val="none"/>
          <w:u w:val="single"/>
          <w:lang w:val="en-US" w:eastAsia="zh-CN"/>
        </w:rPr>
        <w:t>规划纵一路南起规划横一路，北止执信三路，路线总长约174米，道路红线宽度为15米，双向二车道，设计时速为2</w:t>
      </w:r>
      <w:r>
        <w:rPr>
          <w:rFonts w:hint="eastAsia" w:ascii="宋体" w:hAnsi="宋体" w:eastAsia="宋体" w:cs="宋体"/>
          <w:color w:val="auto"/>
          <w:sz w:val="21"/>
          <w:szCs w:val="21"/>
          <w:highlight w:val="none"/>
          <w:u w:val="single"/>
        </w:rPr>
        <w:t>0km/h。</w:t>
      </w:r>
    </w:p>
    <w:p w14:paraId="31B70774">
      <w:pPr>
        <w:shd w:val="clear" w:color="auto" w:fill="FFFFFF"/>
        <w:adjustRightInd w:val="0"/>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（二）</w:t>
      </w:r>
      <w:r>
        <w:rPr>
          <w:rFonts w:hint="eastAsia" w:ascii="宋体" w:hAnsi="宋体" w:eastAsia="宋体" w:cs="宋体"/>
          <w:color w:val="auto"/>
          <w:sz w:val="21"/>
          <w:szCs w:val="21"/>
          <w:highlight w:val="none"/>
          <w:u w:val="single"/>
          <w:lang w:val="en-US" w:eastAsia="zh-CN"/>
        </w:rPr>
        <w:t>规划纵二路南起规划横一路，北止执信三路，路线总长约159米，道路红线宽度为20米（其中东侧4米宽人行道为不属于本项目建设范围），双向二车道，设计时速为2</w:t>
      </w:r>
      <w:r>
        <w:rPr>
          <w:rFonts w:hint="eastAsia" w:ascii="宋体" w:hAnsi="宋体" w:eastAsia="宋体" w:cs="宋体"/>
          <w:color w:val="auto"/>
          <w:sz w:val="21"/>
          <w:szCs w:val="21"/>
          <w:highlight w:val="none"/>
          <w:u w:val="single"/>
        </w:rPr>
        <w:t>0km/h。</w:t>
      </w:r>
    </w:p>
    <w:p w14:paraId="33699782">
      <w:pPr>
        <w:shd w:val="clear" w:color="auto" w:fill="FFFFFF"/>
        <w:adjustRightInd w:val="0"/>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（三）</w:t>
      </w:r>
      <w:r>
        <w:rPr>
          <w:rFonts w:hint="eastAsia" w:ascii="宋体" w:hAnsi="宋体" w:eastAsia="宋体" w:cs="宋体"/>
          <w:color w:val="auto"/>
          <w:sz w:val="21"/>
          <w:szCs w:val="21"/>
          <w:highlight w:val="none"/>
          <w:u w:val="single"/>
          <w:lang w:val="en-US" w:eastAsia="zh-CN"/>
        </w:rPr>
        <w:t>规划横一路东接文津花园配建道路规划横一路，西止规划纵一路路口，路线总长约154米，道路红线宽度为20米，双向二车道，设计时速为2</w:t>
      </w:r>
      <w:r>
        <w:rPr>
          <w:rFonts w:hint="eastAsia" w:ascii="宋体" w:hAnsi="宋体" w:eastAsia="宋体" w:cs="宋体"/>
          <w:color w:val="auto"/>
          <w:sz w:val="21"/>
          <w:szCs w:val="21"/>
          <w:highlight w:val="none"/>
          <w:u w:val="single"/>
        </w:rPr>
        <w:t>0km/h。</w:t>
      </w:r>
    </w:p>
    <w:p w14:paraId="320261B0">
      <w:pPr>
        <w:shd w:val="clear" w:color="auto" w:fill="FFFFFF"/>
        <w:adjustRightInd w:val="0"/>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建设内容主要为道路工程、交通工程、管线综合工程、</w:t>
      </w:r>
      <w:r>
        <w:rPr>
          <w:rFonts w:hint="eastAsia" w:ascii="宋体" w:hAnsi="宋体" w:eastAsia="宋体" w:cs="宋体"/>
          <w:color w:val="auto"/>
          <w:sz w:val="21"/>
          <w:szCs w:val="21"/>
          <w:highlight w:val="none"/>
          <w:u w:val="single"/>
          <w:lang w:val="en-US" w:eastAsia="zh-CN"/>
        </w:rPr>
        <w:t>给</w:t>
      </w:r>
      <w:r>
        <w:rPr>
          <w:rFonts w:hint="eastAsia" w:ascii="宋体" w:hAnsi="宋体" w:eastAsia="宋体" w:cs="宋体"/>
          <w:color w:val="auto"/>
          <w:sz w:val="21"/>
          <w:szCs w:val="21"/>
          <w:highlight w:val="none"/>
          <w:u w:val="single"/>
        </w:rPr>
        <w:t>排水工程、</w:t>
      </w:r>
      <w:r>
        <w:rPr>
          <w:rFonts w:hint="eastAsia" w:ascii="宋体" w:hAnsi="宋体" w:eastAsia="宋体" w:cs="宋体"/>
          <w:color w:val="auto"/>
          <w:sz w:val="21"/>
          <w:szCs w:val="21"/>
          <w:highlight w:val="none"/>
          <w:u w:val="single"/>
          <w:lang w:eastAsia="zh-CN"/>
        </w:rPr>
        <w:t>电力管沟工程</w:t>
      </w:r>
      <w:r>
        <w:rPr>
          <w:rFonts w:hint="eastAsia" w:ascii="宋体" w:hAnsi="宋体" w:eastAsia="宋体" w:cs="宋体"/>
          <w:color w:val="auto"/>
          <w:sz w:val="21"/>
          <w:szCs w:val="21"/>
          <w:highlight w:val="none"/>
          <w:u w:val="single"/>
        </w:rPr>
        <w:t>、照明工程、绿化工程等。</w:t>
      </w:r>
    </w:p>
    <w:p w14:paraId="225BB371">
      <w:pPr>
        <w:shd w:val="clear" w:color="auto" w:fill="FFFFFF"/>
        <w:adjustRightIn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u w:val="single"/>
        </w:rPr>
        <w:t>本次招标的排水工程雨水管径最大为</w:t>
      </w:r>
      <w:r>
        <w:rPr>
          <w:rFonts w:hint="eastAsia" w:ascii="宋体" w:hAnsi="宋体" w:eastAsia="宋体" w:cs="宋体"/>
          <w:color w:val="auto"/>
          <w:sz w:val="21"/>
          <w:szCs w:val="21"/>
          <w:highlight w:val="none"/>
          <w:u w:val="single"/>
          <w:lang w:eastAsia="zh-CN"/>
        </w:rPr>
        <w:t>8</w:t>
      </w:r>
      <w:r>
        <w:rPr>
          <w:rFonts w:hint="eastAsia" w:ascii="宋体" w:hAnsi="宋体" w:eastAsia="宋体" w:cs="宋体"/>
          <w:color w:val="auto"/>
          <w:sz w:val="21"/>
          <w:szCs w:val="21"/>
          <w:highlight w:val="none"/>
          <w:u w:val="single"/>
        </w:rPr>
        <w:t>00mm</w:t>
      </w:r>
      <w:r>
        <w:rPr>
          <w:rFonts w:hint="eastAsia" w:ascii="宋体" w:hAnsi="宋体" w:eastAsia="宋体" w:cs="宋体"/>
          <w:color w:val="auto"/>
          <w:szCs w:val="21"/>
          <w:highlight w:val="none"/>
          <w:u w:val="single"/>
        </w:rPr>
        <w:t>。</w:t>
      </w:r>
    </w:p>
    <w:bookmarkEnd w:id="241"/>
    <w:p w14:paraId="5E803EB1">
      <w:pPr>
        <w:adjustRightInd w:val="0"/>
        <w:snapToGrid w:val="0"/>
        <w:spacing w:line="360" w:lineRule="auto"/>
        <w:ind w:firstLine="420" w:firstLineChars="200"/>
        <w:rPr>
          <w:rFonts w:hint="eastAsia" w:ascii="宋体" w:hAnsi="宋体" w:eastAsia="宋体" w:cs="宋体"/>
          <w:snapToGrid w:val="0"/>
          <w:color w:val="auto"/>
          <w:kern w:val="0"/>
          <w:szCs w:val="21"/>
          <w:highlight w:val="none"/>
          <w:u w:val="single"/>
        </w:rPr>
      </w:pPr>
      <w:bookmarkStart w:id="242" w:name="_Hlk35723109"/>
      <w:r>
        <w:rPr>
          <w:rFonts w:hint="eastAsia" w:ascii="宋体" w:hAnsi="宋体" w:eastAsia="宋体" w:cs="宋体"/>
          <w:color w:val="auto"/>
          <w:szCs w:val="21"/>
          <w:highlight w:val="none"/>
        </w:rPr>
        <w:t>工程总投资：</w:t>
      </w:r>
      <w:bookmarkEnd w:id="242"/>
      <w:r>
        <w:rPr>
          <w:rFonts w:hint="eastAsia" w:ascii="宋体" w:hAnsi="宋体" w:eastAsia="宋体" w:cs="宋体"/>
          <w:color w:val="auto"/>
          <w:sz w:val="21"/>
          <w:szCs w:val="21"/>
          <w:highlight w:val="none"/>
          <w:u w:val="single"/>
          <w:lang w:eastAsia="zh-CN"/>
        </w:rPr>
        <w:t>项目总投资约34957万元，其中工程费用约28026万元（</w:t>
      </w:r>
      <w:r>
        <w:rPr>
          <w:rFonts w:hint="eastAsia" w:ascii="宋体" w:hAnsi="宋体" w:eastAsia="宋体" w:cs="宋体"/>
          <w:color w:val="auto"/>
          <w:sz w:val="21"/>
          <w:szCs w:val="21"/>
          <w:highlight w:val="none"/>
          <w:u w:val="single"/>
          <w:lang w:val="en-US" w:eastAsia="zh-CN"/>
        </w:rPr>
        <w:t>房屋建筑工程部分26310.85万元，配套市政道路部分1714.95万元</w:t>
      </w:r>
      <w:r>
        <w:rPr>
          <w:rFonts w:hint="eastAsia" w:ascii="宋体" w:hAnsi="宋体" w:eastAsia="宋体" w:cs="宋体"/>
          <w:color w:val="auto"/>
          <w:sz w:val="21"/>
          <w:szCs w:val="21"/>
          <w:highlight w:val="none"/>
          <w:u w:val="single"/>
          <w:lang w:eastAsia="zh-CN"/>
        </w:rPr>
        <w:t>），工程建设其他费用约5980万元，基本预备费约951万元</w:t>
      </w:r>
      <w:r>
        <w:rPr>
          <w:rFonts w:hint="eastAsia" w:ascii="宋体" w:hAnsi="宋体" w:eastAsia="宋体" w:cs="宋体"/>
          <w:color w:val="auto"/>
          <w:sz w:val="21"/>
          <w:szCs w:val="21"/>
          <w:highlight w:val="none"/>
          <w:u w:val="single"/>
        </w:rPr>
        <w:t>。资金来源为天河区财政资金</w:t>
      </w:r>
      <w:r>
        <w:rPr>
          <w:rFonts w:hint="eastAsia" w:ascii="宋体" w:hAnsi="宋体" w:eastAsia="宋体" w:cs="宋体"/>
          <w:color w:val="auto"/>
          <w:szCs w:val="21"/>
          <w:highlight w:val="none"/>
        </w:rPr>
        <w:t>。</w:t>
      </w:r>
    </w:p>
    <w:p w14:paraId="229F7EAF">
      <w:pPr>
        <w:shd w:val="clear" w:color="auto" w:fill="FFFFFF"/>
        <w:adjustRightInd w:val="0"/>
        <w:spacing w:line="360" w:lineRule="auto"/>
        <w:ind w:firstLine="367" w:firstLineChars="17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监理范围及内容</w:t>
      </w:r>
    </w:p>
    <w:p w14:paraId="634CB7AE">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负责本项目立项（含可研）范围内所有工程内容前期阶段（如有）、施工准备阶段（包含施工临时用水（如有）、施工临时用电（如有）等）、施工阶段(包含道路工程、交通工程、管线综合工程、</w:t>
      </w:r>
      <w:r>
        <w:rPr>
          <w:rFonts w:hint="eastAsia" w:ascii="宋体" w:hAnsi="宋体" w:eastAsia="宋体" w:cs="宋体"/>
          <w:color w:val="auto"/>
          <w:sz w:val="21"/>
          <w:szCs w:val="21"/>
          <w:highlight w:val="none"/>
          <w:u w:val="single"/>
          <w:lang w:val="en-US" w:eastAsia="zh-CN"/>
        </w:rPr>
        <w:t>给</w:t>
      </w:r>
      <w:r>
        <w:rPr>
          <w:rFonts w:hint="eastAsia" w:ascii="宋体" w:hAnsi="宋体" w:eastAsia="宋体" w:cs="宋体"/>
          <w:color w:val="auto"/>
          <w:sz w:val="21"/>
          <w:szCs w:val="21"/>
          <w:highlight w:val="none"/>
          <w:u w:val="single"/>
        </w:rPr>
        <w:t>排水工程、</w:t>
      </w:r>
      <w:r>
        <w:rPr>
          <w:rFonts w:hint="eastAsia" w:ascii="宋体" w:hAnsi="宋体" w:eastAsia="宋体" w:cs="宋体"/>
          <w:color w:val="auto"/>
          <w:sz w:val="21"/>
          <w:szCs w:val="21"/>
          <w:highlight w:val="none"/>
          <w:u w:val="single"/>
          <w:lang w:eastAsia="zh-CN"/>
        </w:rPr>
        <w:t>电力管沟工程</w:t>
      </w:r>
      <w:r>
        <w:rPr>
          <w:rFonts w:hint="eastAsia" w:ascii="宋体" w:hAnsi="宋体" w:eastAsia="宋体" w:cs="宋体"/>
          <w:color w:val="auto"/>
          <w:sz w:val="21"/>
          <w:szCs w:val="21"/>
          <w:highlight w:val="none"/>
          <w:u w:val="single"/>
        </w:rPr>
        <w:t>、照明工程、绿化工程等)、工程收尾阶段（包括竣工验收、整改、工程移交及工程结算）及工程质量保修期阶段的质量控制，安全生产监督管理、投资控制、进度控制、合同管理、信息收集管理、组织协调、工程创优（如有）等全过程监理工作，包括但不限于：</w:t>
      </w:r>
    </w:p>
    <w:p w14:paraId="61EC4BE6">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（1）前期阶段：统筹及协调项目各层面、各参建单位、各项工作的关系；编制项目总控计划，经委托人审定后，跟踪项目总控计划实时情况，如计划出现偏差，分析偏差原因，提出解决方案报委托人审批。</w:t>
      </w:r>
    </w:p>
    <w:p w14:paraId="18EDF3FD">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）施工监理：对工程建设各项内容提供监理服务，包括但不限于以下内容：前期阶段（</w:t>
      </w:r>
      <w:r>
        <w:rPr>
          <w:rFonts w:hint="eastAsia" w:ascii="宋体" w:hAnsi="宋体" w:eastAsia="宋体" w:cs="宋体"/>
          <w:color w:val="auto"/>
          <w:sz w:val="21"/>
          <w:szCs w:val="21"/>
          <w:highlight w:val="none"/>
          <w:u w:val="single"/>
          <w:lang w:val="en-US" w:eastAsia="zh-CN"/>
        </w:rPr>
        <w:t>如有</w:t>
      </w:r>
      <w:r>
        <w:rPr>
          <w:rFonts w:hint="eastAsia" w:ascii="宋体" w:hAnsi="宋体" w:eastAsia="宋体" w:cs="宋体"/>
          <w:color w:val="auto"/>
          <w:sz w:val="21"/>
          <w:szCs w:val="21"/>
          <w:highlight w:val="none"/>
          <w:u w:val="single"/>
        </w:rPr>
        <w:t>），施工准备阶段（包含施工临时用水（如有）、施工临时用电（如有）等）、施工阶段(包含道路工程、交通工程、管线综合工程、</w:t>
      </w:r>
      <w:r>
        <w:rPr>
          <w:rFonts w:hint="eastAsia" w:ascii="宋体" w:hAnsi="宋体" w:eastAsia="宋体" w:cs="宋体"/>
          <w:color w:val="auto"/>
          <w:sz w:val="21"/>
          <w:szCs w:val="21"/>
          <w:highlight w:val="none"/>
          <w:u w:val="single"/>
          <w:lang w:val="en-US" w:eastAsia="zh-CN"/>
        </w:rPr>
        <w:t>给</w:t>
      </w:r>
      <w:r>
        <w:rPr>
          <w:rFonts w:hint="eastAsia" w:ascii="宋体" w:hAnsi="宋体" w:eastAsia="宋体" w:cs="宋体"/>
          <w:color w:val="auto"/>
          <w:sz w:val="21"/>
          <w:szCs w:val="21"/>
          <w:highlight w:val="none"/>
          <w:u w:val="single"/>
        </w:rPr>
        <w:t>排水工程、</w:t>
      </w:r>
      <w:r>
        <w:rPr>
          <w:rFonts w:hint="eastAsia" w:ascii="宋体" w:hAnsi="宋体" w:eastAsia="宋体" w:cs="宋体"/>
          <w:color w:val="auto"/>
          <w:sz w:val="21"/>
          <w:szCs w:val="21"/>
          <w:highlight w:val="none"/>
          <w:u w:val="single"/>
          <w:lang w:eastAsia="zh-CN"/>
        </w:rPr>
        <w:t>电力管沟工程</w:t>
      </w:r>
      <w:r>
        <w:rPr>
          <w:rFonts w:hint="eastAsia" w:ascii="宋体" w:hAnsi="宋体" w:eastAsia="宋体" w:cs="宋体"/>
          <w:color w:val="auto"/>
          <w:sz w:val="21"/>
          <w:szCs w:val="21"/>
          <w:highlight w:val="none"/>
          <w:u w:val="single"/>
        </w:rPr>
        <w:t>、照明工程、绿化工程等)、工程收尾阶段（包括但不限于竣工验收、整改、工程移交、工程结算等）、工程质量保修阶段的质量控制、安全生产监督管理、投资控制（包括但不限于投标清单复核（清标）、施工款、设计变更、现场签证等）、进度控制、合同管理、信息管理、组织协调、设备监造、会同承包人编制检测（监测）方案以及协调委托人和工程建设有关各方的工作关系等，具体以实际实施的监理范围为准。按委托人的要求提前进场参与开工前期的准备和筹划工作，协助委托人制定各项工程管理办法及制度。监理人需严格执行委托人现行的设计变更管理办法和签证管理办法等，否则监理人还应按本合同专用条款第二十六条的约定承担违约责任。对项目的建设条件进行分析，了解场地周边情况如交通、临时设施、施工条件，向承包人作好交底工作，会同承包人共同研究施工组织方案的可行性。组织施工总承包单位完成工程开工及验收所需的各项报监、报建、报验手续，做好报批报建管理工作。监理人应组织参建各方开展工程投标清单复核（清标）工作，做到早发现，早控制，早解决，严格控制项目造价，合理使用项目资金。当增加的总造价超过50%暂列金时，监理人需向委托方提交造价控制预警报告；当增加的总造价超过暂列金时，监理人需书面向委托方报告资金使用情况。</w:t>
      </w:r>
    </w:p>
    <w:p w14:paraId="719E24BF">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监理人应负责本项目工程竣工结算审核工作，收集和整理工程结算资料，并在收到承包人报送的结算文件后7日内提交结算审核计划，（☑30日、□60日）内向委托人出具结算审核报告，配合有权审核部门开展结算评审工作。委托人将保留监理酬金总额10%的支配权，由委托人视监理人结算审核工作质量情况在竣工结算阶段予以支付（委托人将对监理人结算审核工作进行考核，具体详见合同附件3《结算审核工作质量情况考评细则》）。监理人应确保本项目工程竣工结算审核工作质量，如监理人达不到结算审核能力，委托人有权要求监理人选择相应的造价咨询服务单位协助其完成本项目工程竣工结算审核工作，所需结算审核费用由监理人承担；监理人须无条件配合，且仍需对本项目工程竣工结算审核工作承担主要责任。若监理人审核的结算金额与有权审核部门审定的结算金额的偏差率绝对值大于5%的，监理人还应按本合同专用条款第二十六条的约定承担违约责任。</w:t>
      </w:r>
    </w:p>
    <w:p w14:paraId="1CA88E49">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监理人需严格审核防雷、检测、监测、施工等单位提交的请款资料（含完成工作等），并出具书面的审核意见。开工前，监理人必须组织参建各方梳理图纸深化、材料定版、样板引路的计划清单，并对深化的图纸进行审核，出具书面的意见。施工过程中，监理人需根据工程进度及计划清单组织参建各方开展材料定版、样板引路工作，做到样板先行，稳步推进。项目完成竣工验收后，监理人应在14天内向委托人报审质保期间的维保工作方案。</w:t>
      </w:r>
    </w:p>
    <w:p w14:paraId="79B76743">
      <w:pPr>
        <w:shd w:val="clear" w:color="auto" w:fill="FFFFFF"/>
        <w:adjustRightInd w:val="0"/>
        <w:spacing w:line="360" w:lineRule="auto"/>
        <w:ind w:firstLine="367" w:firstLineChars="175"/>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）监理人需根据服务范围及项目的实际情况，严格落实合同附件2中各阶段工作成果文件的要求。监理人如未根据合同及现场实际情况及时提供给委托人，委托人有权拒绝支付监理费。</w:t>
      </w:r>
    </w:p>
    <w:p w14:paraId="01B912C2">
      <w:pPr>
        <w:tabs>
          <w:tab w:val="left" w:pos="7513"/>
        </w:tabs>
        <w:spacing w:line="360" w:lineRule="auto"/>
        <w:ind w:firstLine="371" w:firstLineChars="177"/>
        <w:rPr>
          <w:rFonts w:hint="eastAsia" w:ascii="宋体" w:hAnsi="宋体" w:eastAsia="宋体" w:cs="宋体"/>
          <w:color w:val="auto"/>
          <w:highlight w:val="none"/>
        </w:rPr>
      </w:pPr>
      <w:r>
        <w:rPr>
          <w:rFonts w:hint="eastAsia" w:ascii="宋体" w:hAnsi="宋体" w:eastAsia="宋体" w:cs="宋体"/>
          <w:color w:val="auto"/>
          <w:highlight w:val="none"/>
        </w:rPr>
        <w:t>监理服务期：</w:t>
      </w:r>
      <w:r>
        <w:rPr>
          <w:rFonts w:hint="eastAsia" w:ascii="宋体" w:hAnsi="宋体" w:eastAsia="宋体" w:cs="宋体"/>
          <w:color w:val="auto"/>
          <w:sz w:val="21"/>
          <w:szCs w:val="21"/>
          <w:highlight w:val="none"/>
          <w:u w:val="single"/>
        </w:rPr>
        <w:t>自监理人收到中标通知书或签订监理合同（以时间最早发生的为准）之日起，至</w:t>
      </w:r>
      <w:r>
        <w:rPr>
          <w:rFonts w:hint="eastAsia" w:ascii="宋体" w:hAnsi="宋体" w:eastAsia="宋体" w:cs="宋体"/>
          <w:color w:val="auto"/>
          <w:sz w:val="21"/>
          <w:szCs w:val="21"/>
          <w:highlight w:val="none"/>
          <w:u w:val="single"/>
          <w:lang w:eastAsia="zh-CN"/>
        </w:rPr>
        <w:t>中共广州市天河区委党校及区人民武装部独立营院建设项目（周边道路建设工程）</w:t>
      </w:r>
      <w:r>
        <w:rPr>
          <w:rFonts w:hint="eastAsia" w:ascii="宋体" w:hAnsi="宋体" w:eastAsia="宋体" w:cs="宋体"/>
          <w:color w:val="auto"/>
          <w:sz w:val="21"/>
          <w:szCs w:val="21"/>
          <w:highlight w:val="none"/>
          <w:u w:val="single"/>
        </w:rPr>
        <w:t>保修期结束且工程结算经政府终审部门审定之日止</w:t>
      </w:r>
      <w:r>
        <w:rPr>
          <w:rFonts w:hint="eastAsia" w:ascii="宋体" w:hAnsi="宋体" w:eastAsia="宋体" w:cs="宋体"/>
          <w:color w:val="auto"/>
          <w:szCs w:val="21"/>
          <w:highlight w:val="none"/>
          <w:u w:val="single"/>
        </w:rPr>
        <w:t>。</w:t>
      </w:r>
    </w:p>
    <w:p w14:paraId="297C4D6F">
      <w:pPr>
        <w:spacing w:line="44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3. 监理依据：</w:t>
      </w:r>
    </w:p>
    <w:p w14:paraId="4929FF6C">
      <w:pPr>
        <w:spacing w:line="44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（1）适用的法律、行政法规及部门规章；</w:t>
      </w:r>
    </w:p>
    <w:p w14:paraId="1F60C69B">
      <w:pPr>
        <w:spacing w:line="44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（2）与工程有关的规范、标准、规程；</w:t>
      </w:r>
    </w:p>
    <w:p w14:paraId="3C70C26B">
      <w:pPr>
        <w:spacing w:line="44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（3）工程勘察文件、设计文件及其他文件；</w:t>
      </w:r>
    </w:p>
    <w:p w14:paraId="4B4F4098">
      <w:pPr>
        <w:spacing w:line="44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（4）本工程监理的委托合同及补充合同；</w:t>
      </w:r>
    </w:p>
    <w:p w14:paraId="65E08312">
      <w:pPr>
        <w:spacing w:line="44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（5）委托人签订的勘察、设计和施工承包合同；</w:t>
      </w:r>
    </w:p>
    <w:p w14:paraId="71189F3B">
      <w:pPr>
        <w:spacing w:line="44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（6）合同履行中与监理服务有关的来往函件；</w:t>
      </w:r>
    </w:p>
    <w:p w14:paraId="2A6D6C8C">
      <w:pPr>
        <w:spacing w:line="44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（7）其他监理依据。</w:t>
      </w:r>
    </w:p>
    <w:p w14:paraId="7B7A43C6">
      <w:pPr>
        <w:spacing w:line="44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4.监理的技术要求：</w:t>
      </w:r>
    </w:p>
    <w:p w14:paraId="3601CE57">
      <w:pPr>
        <w:spacing w:line="44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（1）符合法律、行政法规及部门规章；</w:t>
      </w:r>
    </w:p>
    <w:p w14:paraId="2B2E6A14">
      <w:pPr>
        <w:spacing w:line="44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（2）符合本工程有关的规范、标准、规程；</w:t>
      </w:r>
    </w:p>
    <w:p w14:paraId="29A77084">
      <w:pPr>
        <w:spacing w:line="44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5.监理人员：</w:t>
      </w:r>
    </w:p>
    <w:p w14:paraId="6A209003">
      <w:pPr>
        <w:spacing w:line="440" w:lineRule="exact"/>
        <w:ind w:firstLine="359" w:firstLineChars="171"/>
        <w:jc w:val="left"/>
        <w:rPr>
          <w:rFonts w:hint="eastAsia" w:ascii="宋体" w:hAnsi="宋体" w:eastAsia="宋体" w:cs="宋体"/>
          <w:color w:val="auto"/>
          <w:highlight w:val="none"/>
        </w:rPr>
      </w:pPr>
      <w:r>
        <w:rPr>
          <w:rFonts w:hint="eastAsia" w:ascii="宋体" w:hAnsi="宋体" w:eastAsia="宋体" w:cs="宋体"/>
          <w:color w:val="auto"/>
          <w:highlight w:val="none"/>
        </w:rPr>
        <w:t>配备的监理机构人员须满足下表要求（最低要求）：</w:t>
      </w:r>
    </w:p>
    <w:p w14:paraId="4FD8AC0A">
      <w:pPr>
        <w:tabs>
          <w:tab w:val="left" w:pos="105"/>
        </w:tabs>
        <w:spacing w:line="360" w:lineRule="auto"/>
        <w:ind w:left="72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监理机构人员配备要求表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539"/>
        <w:gridCol w:w="1027"/>
        <w:gridCol w:w="3054"/>
        <w:gridCol w:w="2300"/>
      </w:tblGrid>
      <w:tr w14:paraId="50C6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3B2FAC9F">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79B3A142">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岗位</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0DC83B26">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最低要求数量</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2F3BB1B3">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基本要求</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41B63F62">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备注（包括但不限于提供如下证明材料等）</w:t>
            </w:r>
          </w:p>
        </w:tc>
      </w:tr>
      <w:tr w14:paraId="64ED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27187D3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184BE7E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6301FA0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1名</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7629E5E2">
            <w:pPr>
              <w:adjustRightInd w:val="0"/>
              <w:snapToGrid w:val="0"/>
              <w:rPr>
                <w:rFonts w:hint="eastAsia" w:ascii="宋体" w:hAnsi="宋体" w:eastAsia="宋体" w:cs="宋体"/>
                <w:color w:val="auto"/>
                <w:highlight w:val="none"/>
              </w:rPr>
            </w:pPr>
            <w:r>
              <w:rPr>
                <w:rFonts w:hint="eastAsia" w:ascii="宋体" w:hAnsi="宋体" w:eastAsia="宋体" w:cs="宋体"/>
                <w:color w:val="auto"/>
                <w:szCs w:val="21"/>
                <w:highlight w:val="none"/>
              </w:rPr>
              <w:t>资格要求与招标公告要求一致；</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676EC3C9">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注册监理工程师执业证书、职称证书</w:t>
            </w:r>
          </w:p>
        </w:tc>
      </w:tr>
      <w:tr w14:paraId="017E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7F0EF6F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17AFD2D5">
            <w:pPr>
              <w:jc w:val="center"/>
              <w:rPr>
                <w:rFonts w:hint="eastAsia" w:ascii="宋体" w:hAnsi="宋体" w:eastAsia="宋体" w:cs="宋体"/>
                <w:color w:val="auto"/>
                <w:highlight w:val="none"/>
              </w:rPr>
            </w:pPr>
            <w:r>
              <w:rPr>
                <w:rFonts w:hint="eastAsia" w:ascii="宋体" w:hAnsi="宋体" w:eastAsia="宋体" w:cs="宋体"/>
                <w:color w:val="auto"/>
                <w:highlight w:val="none"/>
              </w:rPr>
              <w:t>总监理工程师代表</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6845E5C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1名</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37B44DE2">
            <w:pPr>
              <w:pStyle w:val="24"/>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color w:val="auto"/>
                <w:kern w:val="0"/>
                <w:szCs w:val="21"/>
                <w:highlight w:val="none"/>
                <w:lang w:eastAsia="zh-CN"/>
              </w:rPr>
              <w:t>持有</w:t>
            </w:r>
            <w:r>
              <w:rPr>
                <w:rFonts w:hint="eastAsia" w:ascii="宋体" w:hAnsi="宋体" w:eastAsia="宋体" w:cs="宋体"/>
                <w:color w:val="auto"/>
                <w:szCs w:val="21"/>
                <w:highlight w:val="none"/>
                <w:lang w:eastAsia="zh-CN"/>
              </w:rPr>
              <w:t>省级或以上专业监理工程师上岗证或</w:t>
            </w:r>
            <w:r>
              <w:rPr>
                <w:rFonts w:hint="eastAsia" w:ascii="宋体" w:hAnsi="宋体" w:eastAsia="宋体" w:cs="宋体"/>
                <w:color w:val="auto"/>
                <w:kern w:val="0"/>
                <w:szCs w:val="21"/>
                <w:highlight w:val="none"/>
                <w:lang w:eastAsia="zh-CN"/>
              </w:rPr>
              <w:t>持有注册监理工程师证书，专业为</w:t>
            </w:r>
            <w:r>
              <w:rPr>
                <w:rFonts w:hint="eastAsia" w:ascii="宋体" w:hAnsi="宋体" w:eastAsia="宋体" w:cs="宋体"/>
                <w:color w:val="auto"/>
                <w:szCs w:val="21"/>
                <w:highlight w:val="none"/>
                <w:lang w:eastAsia="zh-CN"/>
              </w:rPr>
              <w:t>市政公用工程</w:t>
            </w:r>
            <w:r>
              <w:rPr>
                <w:rFonts w:hint="eastAsia" w:ascii="宋体" w:hAnsi="宋体" w:eastAsia="宋体" w:cs="宋体"/>
                <w:color w:val="auto"/>
                <w:szCs w:val="21"/>
                <w:highlight w:val="none"/>
                <w:lang w:eastAsia="zh-CN"/>
              </w:rPr>
              <w:t>相关专业。</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175FA092">
            <w:pPr>
              <w:adjustRightInd w:val="0"/>
              <w:snapToGrid w:val="0"/>
              <w:rPr>
                <w:rFonts w:hint="eastAsia" w:ascii="宋体" w:hAnsi="宋体" w:eastAsia="宋体" w:cs="宋体"/>
                <w:color w:val="auto"/>
                <w:highlight w:val="none"/>
              </w:rPr>
            </w:pPr>
            <w:r>
              <w:rPr>
                <w:rFonts w:hint="eastAsia" w:ascii="宋体" w:hAnsi="宋体" w:eastAsia="宋体" w:cs="宋体"/>
                <w:color w:val="auto"/>
                <w:szCs w:val="21"/>
                <w:highlight w:val="none"/>
              </w:rPr>
              <w:t>上岗证或注册监理工程师执业证书</w:t>
            </w:r>
          </w:p>
        </w:tc>
      </w:tr>
      <w:tr w14:paraId="1647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26B9AFFE">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684703B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专业监理工程师</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10D54D1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1名</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572BC87E">
            <w:pPr>
              <w:adjustRightInd w:val="0"/>
              <w:snapToGri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持有</w:t>
            </w:r>
            <w:r>
              <w:rPr>
                <w:rFonts w:hint="eastAsia" w:ascii="宋体" w:hAnsi="宋体" w:eastAsia="宋体" w:cs="宋体"/>
                <w:color w:val="auto"/>
                <w:szCs w:val="21"/>
                <w:highlight w:val="none"/>
                <w:lang w:bidi="ar"/>
              </w:rPr>
              <w:t>省级或以上专业监理工程师上岗证或</w:t>
            </w:r>
            <w:r>
              <w:rPr>
                <w:rFonts w:hint="eastAsia" w:ascii="宋体" w:hAnsi="宋体" w:eastAsia="宋体" w:cs="宋体"/>
                <w:color w:val="auto"/>
                <w:kern w:val="0"/>
                <w:szCs w:val="21"/>
                <w:highlight w:val="none"/>
                <w:lang w:bidi="ar"/>
              </w:rPr>
              <w:t>持有注册监理工程师证书，专业为</w:t>
            </w:r>
            <w:r>
              <w:rPr>
                <w:rFonts w:hint="eastAsia" w:ascii="宋体" w:hAnsi="宋体" w:eastAsia="宋体" w:cs="宋体"/>
                <w:color w:val="auto"/>
                <w:szCs w:val="21"/>
                <w:highlight w:val="none"/>
                <w:lang w:bidi="ar"/>
              </w:rPr>
              <w:t>道路与桥梁相关专业或</w:t>
            </w:r>
            <w:r>
              <w:rPr>
                <w:rFonts w:hint="eastAsia" w:ascii="宋体" w:hAnsi="宋体" w:eastAsia="宋体" w:cs="宋体"/>
                <w:color w:val="auto"/>
                <w:szCs w:val="21"/>
                <w:highlight w:val="none"/>
              </w:rPr>
              <w:t>市政公用工程专业</w:t>
            </w:r>
            <w:r>
              <w:rPr>
                <w:rFonts w:hint="eastAsia" w:ascii="宋体" w:hAnsi="宋体" w:eastAsia="宋体" w:cs="宋体"/>
                <w:color w:val="auto"/>
                <w:szCs w:val="21"/>
                <w:highlight w:val="none"/>
                <w:lang w:bidi="ar"/>
              </w:rPr>
              <w:t>。</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4432D8EE">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上岗证或注册监理工程师执业证书</w:t>
            </w:r>
          </w:p>
        </w:tc>
      </w:tr>
      <w:tr w14:paraId="551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93" w:type="dxa"/>
            <w:noWrap w:val="0"/>
            <w:vAlign w:val="center"/>
          </w:tcPr>
          <w:p w14:paraId="22094985">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39" w:type="dxa"/>
            <w:noWrap w:val="0"/>
            <w:vAlign w:val="center"/>
          </w:tcPr>
          <w:p w14:paraId="103D667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监理员</w:t>
            </w:r>
          </w:p>
        </w:tc>
        <w:tc>
          <w:tcPr>
            <w:tcW w:w="1027" w:type="dxa"/>
            <w:noWrap w:val="0"/>
            <w:vAlign w:val="center"/>
          </w:tcPr>
          <w:p w14:paraId="4B484B0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名</w:t>
            </w:r>
          </w:p>
        </w:tc>
        <w:tc>
          <w:tcPr>
            <w:tcW w:w="3054" w:type="dxa"/>
            <w:noWrap w:val="0"/>
            <w:vAlign w:val="center"/>
          </w:tcPr>
          <w:p w14:paraId="1635F0FA">
            <w:pPr>
              <w:pStyle w:val="15"/>
              <w:rPr>
                <w:rFonts w:hint="eastAsia" w:ascii="宋体" w:hAnsi="宋体" w:eastAsia="宋体" w:cs="宋体"/>
                <w:color w:val="auto"/>
                <w:highlight w:val="none"/>
              </w:rPr>
            </w:pPr>
            <w:r>
              <w:rPr>
                <w:rFonts w:hint="eastAsia" w:ascii="宋体" w:hAnsi="宋体" w:eastAsia="宋体" w:cs="宋体"/>
                <w:color w:val="auto"/>
                <w:highlight w:val="none"/>
              </w:rPr>
              <w:t>持有监理员上岗证或培训证，专业为市政公用工程相关专业。</w:t>
            </w:r>
          </w:p>
        </w:tc>
        <w:tc>
          <w:tcPr>
            <w:tcW w:w="2300" w:type="dxa"/>
            <w:noWrap w:val="0"/>
            <w:vAlign w:val="center"/>
          </w:tcPr>
          <w:p w14:paraId="02A679E7">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上岗证或培训证</w:t>
            </w:r>
          </w:p>
        </w:tc>
      </w:tr>
    </w:tbl>
    <w:p w14:paraId="272F4E29">
      <w:pPr>
        <w:spacing w:line="360" w:lineRule="auto"/>
        <w:rPr>
          <w:rFonts w:hint="eastAsia" w:ascii="宋体" w:hAnsi="宋体" w:eastAsia="宋体" w:cs="宋体"/>
          <w:b/>
          <w:color w:val="auto"/>
          <w:szCs w:val="21"/>
          <w:highlight w:val="none"/>
        </w:rPr>
      </w:pPr>
    </w:p>
    <w:p w14:paraId="1EA80369">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备注：</w:t>
      </w:r>
      <w:r>
        <w:rPr>
          <w:rFonts w:hint="eastAsia" w:ascii="宋体" w:hAnsi="宋体" w:eastAsia="宋体" w:cs="宋体"/>
          <w:color w:val="auto"/>
          <w:szCs w:val="21"/>
          <w:highlight w:val="none"/>
        </w:rPr>
        <w:t>①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可承担相应专业监理工程师岗位。</w:t>
      </w:r>
    </w:p>
    <w:p w14:paraId="50C533A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②总监理工程师及监理机构人员资格、证书及社保证明等方面内容必须提供相应的证明材料；所投入人员必须为投标人本单位人员，所有人员须提供近一个月（指2025年</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月）在本投标单位购买社保缴纳证明材料，提供证明资料的清晰扫描件并加盖投标单位电子印章，否则不计分；专业以上岗证或培训证或注册证所列专业为准，若相关证书没有显示专业的，则需提供可证明专业的其他证明材料。</w:t>
      </w:r>
    </w:p>
    <w:p w14:paraId="6437D67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③</w:t>
      </w:r>
      <w:r>
        <w:rPr>
          <w:rFonts w:hint="eastAsia" w:ascii="宋体" w:hAnsi="宋体" w:eastAsia="宋体" w:cs="宋体"/>
          <w:color w:val="auto"/>
          <w:szCs w:val="21"/>
          <w:highlight w:val="none"/>
        </w:rPr>
        <w:t>除总监理工程师外，上述人员要求不作为形式评审、资格评审、响应性评审的审查依据，只作为综合评分表中的评审依据。</w:t>
      </w:r>
    </w:p>
    <w:p w14:paraId="08CE44FC">
      <w:pPr>
        <w:spacing w:line="44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6.监理文件要求：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14:paraId="34513708">
      <w:pPr>
        <w:spacing w:line="44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 xml:space="preserve"> 7.监理工作目标要求</w:t>
      </w:r>
    </w:p>
    <w:p w14:paraId="78AD53BE">
      <w:pPr>
        <w:spacing w:line="440" w:lineRule="exact"/>
        <w:ind w:firstLine="359" w:firstLineChars="171"/>
        <w:rPr>
          <w:rFonts w:hint="eastAsia" w:ascii="宋体" w:hAnsi="宋体" w:eastAsia="宋体" w:cs="宋体"/>
          <w:color w:val="auto"/>
          <w:szCs w:val="21"/>
          <w:highlight w:val="none"/>
        </w:rPr>
      </w:pPr>
      <w:r>
        <w:rPr>
          <w:rFonts w:hint="eastAsia" w:ascii="宋体" w:hAnsi="宋体" w:eastAsia="宋体" w:cs="宋体"/>
          <w:color w:val="auto"/>
          <w:highlight w:val="none"/>
        </w:rPr>
        <w:t>①质量控制目标</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工程质量达到工程施工质量验收规范合格标准及国家现行相关专业有关施工质量验收规范标准，一次验收合格，与施工单位承诺的质量目标一致；设计质量须满足国家相关规范和合同要求。</w:t>
      </w:r>
    </w:p>
    <w:p w14:paraId="5A05912B">
      <w:pPr>
        <w:spacing w:line="440" w:lineRule="exact"/>
        <w:ind w:left="315" w:leftChars="150" w:firstLine="44" w:firstLineChars="21"/>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②进度控制目标：</w:t>
      </w:r>
      <w:r>
        <w:rPr>
          <w:rFonts w:hint="eastAsia" w:ascii="宋体" w:hAnsi="宋体" w:eastAsia="宋体" w:cs="宋体"/>
          <w:color w:val="auto"/>
          <w:szCs w:val="21"/>
          <w:highlight w:val="none"/>
          <w:u w:val="single"/>
        </w:rPr>
        <w:t>按委托人对工期的要求进行进度目标控制。</w:t>
      </w:r>
    </w:p>
    <w:p w14:paraId="05A0729A">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③投资控制目标：</w:t>
      </w:r>
      <w:r>
        <w:rPr>
          <w:rFonts w:hint="eastAsia" w:ascii="宋体" w:hAnsi="宋体" w:eastAsia="宋体" w:cs="宋体"/>
          <w:color w:val="auto"/>
          <w:szCs w:val="21"/>
          <w:highlight w:val="none"/>
          <w:u w:val="single"/>
        </w:rPr>
        <w:t>施工阶段所监理项目的结算的建安工程费不超过该项目概算批复中对应的建安工程费。</w:t>
      </w:r>
    </w:p>
    <w:p w14:paraId="64199C09">
      <w:pPr>
        <w:spacing w:line="440" w:lineRule="exact"/>
        <w:ind w:firstLine="357" w:firstLineChars="17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④安全生产文明施工控制目标：</w:t>
      </w:r>
      <w:r>
        <w:rPr>
          <w:rFonts w:hint="eastAsia" w:ascii="宋体" w:hAnsi="宋体" w:eastAsia="宋体" w:cs="宋体"/>
          <w:color w:val="auto"/>
          <w:szCs w:val="21"/>
          <w:highlight w:val="none"/>
          <w:u w:val="single"/>
        </w:rPr>
        <w:t>安全生产文明施工控制目标：确保工程无人员死亡事故；确保实施期内有关建设人员不违反委托人安全监管规定；现场安全文明施工管理达到国家、广东省、广州市以及天河区相关规定要求。</w:t>
      </w:r>
    </w:p>
    <w:p w14:paraId="2AAA62E9">
      <w:pPr>
        <w:spacing w:line="440" w:lineRule="exact"/>
        <w:ind w:firstLine="357" w:firstLineChars="17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⑤</w:t>
      </w:r>
      <w:r>
        <w:rPr>
          <w:rFonts w:hint="eastAsia" w:ascii="宋体" w:hAnsi="宋体" w:eastAsia="宋体" w:cs="宋体"/>
          <w:color w:val="auto"/>
          <w:szCs w:val="21"/>
          <w:highlight w:val="none"/>
          <w:u w:val="single"/>
        </w:rPr>
        <w:t>职业健康安全管理目标：杜绝一般事故等级以上的伤亡事故且工伤责任事故死亡人数为零。</w:t>
      </w:r>
    </w:p>
    <w:p w14:paraId="60BA0F89">
      <w:pPr>
        <w:spacing w:line="440" w:lineRule="exact"/>
        <w:ind w:left="315" w:leftChars="150" w:firstLine="44" w:firstLineChars="21"/>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⑥合同管理目标：/</w:t>
      </w:r>
    </w:p>
    <w:p w14:paraId="36D7EA7F">
      <w:pPr>
        <w:spacing w:line="440" w:lineRule="exact"/>
        <w:ind w:left="315" w:leftChars="150" w:firstLine="44" w:firstLineChars="21"/>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⑦信息管理目标：/</w:t>
      </w:r>
    </w:p>
    <w:p w14:paraId="2AA747B7">
      <w:pPr>
        <w:spacing w:line="440" w:lineRule="exact"/>
        <w:ind w:left="315" w:leftChars="150" w:firstLine="44" w:firstLineChars="21"/>
        <w:rPr>
          <w:rFonts w:hint="eastAsia" w:ascii="宋体" w:hAnsi="宋体" w:eastAsia="宋体" w:cs="宋体"/>
          <w:color w:val="auto"/>
          <w:szCs w:val="21"/>
          <w:highlight w:val="none"/>
        </w:rPr>
      </w:pPr>
      <w:r>
        <w:rPr>
          <w:rFonts w:hint="eastAsia" w:ascii="宋体" w:hAnsi="宋体" w:eastAsia="宋体" w:cs="宋体"/>
          <w:color w:val="auto"/>
          <w:szCs w:val="21"/>
          <w:highlight w:val="none"/>
        </w:rPr>
        <w:t>⑧建筑节能目标：/</w:t>
      </w:r>
    </w:p>
    <w:p w14:paraId="492657F6">
      <w:pPr>
        <w:spacing w:line="440" w:lineRule="exact"/>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8. 其他要求</w:t>
      </w:r>
    </w:p>
    <w:p w14:paraId="229CD0EC">
      <w:pPr>
        <w:pStyle w:val="3"/>
        <w:keepNext w:val="0"/>
        <w:keepLines w:val="0"/>
        <w:spacing w:line="240" w:lineRule="auto"/>
        <w:rPr>
          <w:rFonts w:hint="eastAsia" w:ascii="宋体" w:hAnsi="宋体" w:eastAsia="宋体" w:cs="宋体"/>
          <w:b w:val="0"/>
          <w:color w:val="auto"/>
          <w:sz w:val="28"/>
          <w:szCs w:val="28"/>
          <w:highlight w:val="none"/>
        </w:rPr>
      </w:pPr>
      <w:bookmarkStart w:id="243" w:name="_Toc14770"/>
      <w:bookmarkStart w:id="244" w:name="_Toc511557111"/>
      <w:bookmarkStart w:id="245" w:name="_Toc32501"/>
      <w:bookmarkStart w:id="246" w:name="_Toc21387"/>
      <w:bookmarkStart w:id="247" w:name="_Toc21295"/>
      <w:bookmarkStart w:id="248" w:name="_Toc1291"/>
      <w:bookmarkStart w:id="249" w:name="_Toc22688"/>
      <w:bookmarkStart w:id="250" w:name="_Toc25293"/>
      <w:bookmarkStart w:id="251" w:name="_Toc14411"/>
      <w:bookmarkStart w:id="252" w:name="_Toc24680"/>
      <w:bookmarkStart w:id="253" w:name="_Toc14966894"/>
      <w:bookmarkStart w:id="254" w:name="_Toc25049"/>
      <w:bookmarkStart w:id="255" w:name="_Toc28309"/>
      <w:bookmarkStart w:id="256" w:name="_Toc7080"/>
      <w:bookmarkStart w:id="257" w:name="_Toc482188638"/>
      <w:bookmarkStart w:id="258" w:name="_Toc2687"/>
      <w:bookmarkStart w:id="259" w:name="_Toc27672"/>
      <w:r>
        <w:rPr>
          <w:rFonts w:hint="eastAsia" w:ascii="宋体" w:hAnsi="宋体" w:eastAsia="宋体" w:cs="宋体"/>
          <w:b w:val="0"/>
          <w:color w:val="auto"/>
          <w:sz w:val="28"/>
          <w:szCs w:val="28"/>
          <w:highlight w:val="none"/>
        </w:rPr>
        <w:t>二、适用规范标准</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408213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国家、行业、项目所在地规范名录：</w:t>
      </w:r>
      <w:r>
        <w:rPr>
          <w:rFonts w:hint="eastAsia" w:ascii="宋体" w:hAnsi="宋体" w:eastAsia="宋体" w:cs="宋体"/>
          <w:color w:val="auto"/>
          <w:szCs w:val="21"/>
          <w:highlight w:val="none"/>
          <w:u w:val="single"/>
        </w:rPr>
        <w:t>《建设工程监理规范》GB/T50319-2013，按国家、行业、项目所在地规范名录执行。</w:t>
      </w:r>
    </w:p>
    <w:p w14:paraId="7F9CE7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国家、行业、项目所在地标准名录：</w:t>
      </w:r>
      <w:r>
        <w:rPr>
          <w:rFonts w:hint="eastAsia" w:ascii="宋体" w:hAnsi="宋体" w:eastAsia="宋体" w:cs="宋体"/>
          <w:color w:val="auto"/>
          <w:szCs w:val="21"/>
          <w:highlight w:val="none"/>
          <w:u w:val="single"/>
        </w:rPr>
        <w:t>按国家、行业、项目所在地规范标准执行。</w:t>
      </w:r>
    </w:p>
    <w:p w14:paraId="7EFD61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国家、行业、项目所在地规程名录：</w:t>
      </w:r>
      <w:r>
        <w:rPr>
          <w:rFonts w:hint="eastAsia" w:ascii="宋体" w:hAnsi="宋体" w:eastAsia="宋体" w:cs="宋体"/>
          <w:color w:val="auto"/>
          <w:szCs w:val="21"/>
          <w:highlight w:val="none"/>
          <w:u w:val="single"/>
        </w:rPr>
        <w:t>按国家、行业、项目所在地规范规程执行。</w:t>
      </w:r>
    </w:p>
    <w:p w14:paraId="5E08EE81">
      <w:pPr>
        <w:pStyle w:val="3"/>
        <w:keepNext w:val="0"/>
        <w:keepLines w:val="0"/>
        <w:spacing w:line="240" w:lineRule="auto"/>
        <w:rPr>
          <w:rFonts w:hint="eastAsia" w:ascii="宋体" w:hAnsi="宋体" w:eastAsia="宋体" w:cs="宋体"/>
          <w:b w:val="0"/>
          <w:color w:val="auto"/>
          <w:sz w:val="28"/>
          <w:szCs w:val="28"/>
          <w:highlight w:val="none"/>
        </w:rPr>
      </w:pPr>
      <w:bookmarkStart w:id="260" w:name="_Toc2495"/>
      <w:bookmarkStart w:id="261" w:name="_Toc21264"/>
      <w:bookmarkStart w:id="262" w:name="_Toc17112"/>
      <w:bookmarkStart w:id="263" w:name="_Toc22990"/>
      <w:bookmarkStart w:id="264" w:name="_Toc11734"/>
      <w:bookmarkStart w:id="265" w:name="_Toc511557112"/>
      <w:bookmarkStart w:id="266" w:name="_Toc924"/>
      <w:bookmarkStart w:id="267" w:name="_Toc13199"/>
      <w:bookmarkStart w:id="268" w:name="_Toc27853"/>
      <w:bookmarkStart w:id="269" w:name="_Toc25252"/>
      <w:bookmarkStart w:id="270" w:name="_Toc23154"/>
      <w:bookmarkStart w:id="271" w:name="_Toc15663"/>
      <w:bookmarkStart w:id="272" w:name="_Toc16806"/>
      <w:bookmarkStart w:id="273" w:name="_Toc14966895"/>
      <w:bookmarkStart w:id="274" w:name="_Toc7789"/>
      <w:bookmarkStart w:id="275" w:name="_Toc5808"/>
      <w:bookmarkStart w:id="276" w:name="_Toc482188639"/>
      <w:bookmarkStart w:id="277" w:name="_Toc8714"/>
      <w:r>
        <w:rPr>
          <w:rFonts w:hint="eastAsia" w:ascii="宋体" w:hAnsi="宋体" w:eastAsia="宋体" w:cs="宋体"/>
          <w:b w:val="0"/>
          <w:color w:val="auto"/>
          <w:sz w:val="28"/>
          <w:szCs w:val="28"/>
          <w:highlight w:val="none"/>
        </w:rPr>
        <w:t>三、成果文件要求</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27D7233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按《建设工程监理规范》（GB/T50319-2013）和招标人要求</w:t>
      </w:r>
    </w:p>
    <w:p w14:paraId="1C1EF0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成果文件的组成：详见</w:t>
      </w:r>
      <w:r>
        <w:rPr>
          <w:rFonts w:hint="eastAsia" w:ascii="宋体" w:hAnsi="宋体" w:eastAsia="宋体" w:cs="宋体"/>
          <w:color w:val="auto"/>
          <w:highlight w:val="none"/>
        </w:rPr>
        <w:t>第四章合同条款及格式</w:t>
      </w:r>
      <w:r>
        <w:rPr>
          <w:rFonts w:hint="eastAsia" w:ascii="宋体" w:hAnsi="宋体" w:eastAsia="宋体" w:cs="宋体"/>
          <w:color w:val="auto"/>
          <w:szCs w:val="21"/>
          <w:highlight w:val="none"/>
        </w:rPr>
        <w:t>监理合同附件2各阶段工作成果文件</w:t>
      </w:r>
    </w:p>
    <w:p w14:paraId="3714EA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 成果文件的深度</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满足本项目监理服务要求。</w:t>
      </w:r>
    </w:p>
    <w:p w14:paraId="0FF4FC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成果文件的格式要求</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满足本项目监理服务要求。</w:t>
      </w:r>
    </w:p>
    <w:p w14:paraId="3BB7881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 成果文件的份数要求</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一式六份，</w:t>
      </w:r>
    </w:p>
    <w:p w14:paraId="2439D8B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 成果文件的载体要求</w:t>
      </w:r>
    </w:p>
    <w:p w14:paraId="6A1DA1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（1）纸质版的要求：</w:t>
      </w:r>
      <w:r>
        <w:rPr>
          <w:rFonts w:hint="eastAsia" w:ascii="宋体" w:hAnsi="宋体" w:eastAsia="宋体" w:cs="宋体"/>
          <w:color w:val="auto"/>
          <w:szCs w:val="21"/>
          <w:highlight w:val="none"/>
          <w:u w:val="single"/>
        </w:rPr>
        <w:t xml:space="preserve"> 一式六份，</w:t>
      </w:r>
    </w:p>
    <w:p w14:paraId="4BF77A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（2）电子版的要求：</w:t>
      </w:r>
      <w:r>
        <w:rPr>
          <w:rFonts w:hint="eastAsia" w:ascii="宋体" w:hAnsi="宋体" w:eastAsia="宋体" w:cs="宋体"/>
          <w:color w:val="auto"/>
          <w:szCs w:val="21"/>
          <w:highlight w:val="none"/>
          <w:u w:val="single"/>
        </w:rPr>
        <w:t xml:space="preserve"> 与纸质版一致的电子版文件</w:t>
      </w:r>
    </w:p>
    <w:p w14:paraId="174EB09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（3）其他要求。</w:t>
      </w:r>
    </w:p>
    <w:p w14:paraId="4F07BE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6. 成果文件的其他要求: </w:t>
      </w:r>
      <w:r>
        <w:rPr>
          <w:rFonts w:hint="eastAsia" w:ascii="宋体" w:hAnsi="宋体" w:eastAsia="宋体" w:cs="宋体"/>
          <w:color w:val="auto"/>
          <w:szCs w:val="21"/>
          <w:highlight w:val="none"/>
          <w:u w:val="single"/>
        </w:rPr>
        <w:t xml:space="preserve"> 满足本项目监理服务要求。</w:t>
      </w:r>
    </w:p>
    <w:p w14:paraId="27C153A7">
      <w:pPr>
        <w:pStyle w:val="3"/>
        <w:keepNext w:val="0"/>
        <w:keepLines w:val="0"/>
        <w:spacing w:line="240" w:lineRule="auto"/>
        <w:rPr>
          <w:rFonts w:hint="eastAsia" w:ascii="宋体" w:hAnsi="宋体" w:eastAsia="宋体" w:cs="宋体"/>
          <w:b w:val="0"/>
          <w:color w:val="auto"/>
          <w:sz w:val="28"/>
          <w:szCs w:val="28"/>
          <w:highlight w:val="none"/>
        </w:rPr>
      </w:pPr>
      <w:bookmarkStart w:id="278" w:name="_Toc10537"/>
      <w:bookmarkStart w:id="279" w:name="_Toc4586"/>
      <w:bookmarkStart w:id="280" w:name="_Toc26599"/>
      <w:bookmarkStart w:id="281" w:name="_Toc482188640"/>
      <w:bookmarkStart w:id="282" w:name="_Toc11436"/>
      <w:bookmarkStart w:id="283" w:name="_Toc20084"/>
      <w:bookmarkStart w:id="284" w:name="_Toc9060"/>
      <w:bookmarkStart w:id="285" w:name="_Toc21673"/>
      <w:bookmarkStart w:id="286" w:name="_Toc511557113"/>
      <w:bookmarkStart w:id="287" w:name="_Toc27951"/>
      <w:bookmarkStart w:id="288" w:name="_Toc14966896"/>
      <w:bookmarkStart w:id="289" w:name="_Toc20911"/>
      <w:bookmarkStart w:id="290" w:name="_Toc11475"/>
      <w:bookmarkStart w:id="291" w:name="_Toc2407"/>
      <w:bookmarkStart w:id="292" w:name="_Toc25638"/>
      <w:bookmarkStart w:id="293" w:name="_Toc12228"/>
      <w:bookmarkStart w:id="294" w:name="_Toc4693"/>
      <w:bookmarkStart w:id="295" w:name="_Toc8779"/>
      <w:bookmarkStart w:id="296" w:name="_Toc15330"/>
      <w:r>
        <w:rPr>
          <w:rFonts w:hint="eastAsia" w:ascii="宋体" w:hAnsi="宋体" w:eastAsia="宋体" w:cs="宋体"/>
          <w:b w:val="0"/>
          <w:color w:val="auto"/>
          <w:sz w:val="28"/>
          <w:szCs w:val="28"/>
          <w:highlight w:val="none"/>
        </w:rPr>
        <w:t>四、委托人财产清单</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525ADFBE">
      <w:pPr>
        <w:pStyle w:val="4"/>
        <w:keepNext w:val="0"/>
        <w:keepLines w:val="0"/>
        <w:ind w:firstLine="137"/>
        <w:rPr>
          <w:rFonts w:hint="eastAsia" w:ascii="宋体" w:hAnsi="宋体" w:eastAsia="宋体" w:cs="宋体"/>
          <w:color w:val="auto"/>
          <w:highlight w:val="none"/>
        </w:rPr>
      </w:pPr>
      <w:bookmarkStart w:id="297" w:name="_Toc5680"/>
      <w:bookmarkStart w:id="298" w:name="_Toc7533"/>
      <w:bookmarkStart w:id="299" w:name="_Toc32407"/>
      <w:bookmarkStart w:id="300" w:name="_Toc18517"/>
      <w:bookmarkStart w:id="301" w:name="_Toc14966897"/>
      <w:bookmarkStart w:id="302" w:name="_Toc26545"/>
      <w:bookmarkStart w:id="303" w:name="_Toc482188641"/>
      <w:bookmarkStart w:id="304" w:name="_Toc1280"/>
      <w:bookmarkStart w:id="305" w:name="_Toc23984"/>
      <w:bookmarkStart w:id="306" w:name="_Toc30026"/>
      <w:bookmarkStart w:id="307" w:name="_Toc366"/>
      <w:bookmarkStart w:id="308" w:name="_Toc13912"/>
      <w:bookmarkStart w:id="309" w:name="_Toc511557114"/>
      <w:bookmarkStart w:id="310" w:name="_Toc8865"/>
      <w:bookmarkStart w:id="311" w:name="_Toc17925"/>
      <w:bookmarkStart w:id="312" w:name="_Toc30195"/>
      <w:bookmarkStart w:id="313" w:name="_Toc2436"/>
      <w:r>
        <w:rPr>
          <w:rFonts w:hint="eastAsia" w:ascii="宋体" w:hAnsi="宋体" w:eastAsia="宋体" w:cs="宋体"/>
          <w:color w:val="auto"/>
          <w:highlight w:val="none"/>
        </w:rPr>
        <w:t>（一）委托人提供的设备、设施</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3768E593">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 委托人提供的办公房屋及冷暖设施：</w:t>
      </w:r>
      <w:r>
        <w:rPr>
          <w:rFonts w:hint="eastAsia" w:ascii="宋体" w:hAnsi="宋体" w:eastAsia="宋体" w:cs="宋体"/>
          <w:color w:val="auto"/>
          <w:highlight w:val="none"/>
          <w:u w:val="single"/>
        </w:rPr>
        <w:t>无；</w:t>
      </w:r>
    </w:p>
    <w:p w14:paraId="42307A33">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 委托人提供的设备清单：</w:t>
      </w:r>
      <w:r>
        <w:rPr>
          <w:rFonts w:hint="eastAsia" w:ascii="宋体" w:hAnsi="宋体" w:eastAsia="宋体" w:cs="宋体"/>
          <w:color w:val="auto"/>
          <w:highlight w:val="none"/>
          <w:u w:val="single"/>
        </w:rPr>
        <w:t>无；</w:t>
      </w:r>
    </w:p>
    <w:p w14:paraId="7EAC0B9B">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 委托人提供的设施清单：</w:t>
      </w:r>
      <w:r>
        <w:rPr>
          <w:rFonts w:hint="eastAsia" w:ascii="宋体" w:hAnsi="宋体" w:eastAsia="宋体" w:cs="宋体"/>
          <w:color w:val="auto"/>
          <w:highlight w:val="none"/>
          <w:u w:val="single"/>
        </w:rPr>
        <w:t>无；</w:t>
      </w:r>
    </w:p>
    <w:p w14:paraId="2D9C12AE">
      <w:pPr>
        <w:spacing w:line="360" w:lineRule="auto"/>
        <w:ind w:firstLine="420" w:firstLineChars="200"/>
        <w:rPr>
          <w:rFonts w:hint="eastAsia" w:ascii="宋体" w:hAnsi="宋体" w:eastAsia="宋体" w:cs="宋体"/>
          <w:color w:val="auto"/>
          <w:highlight w:val="none"/>
        </w:rPr>
      </w:pPr>
    </w:p>
    <w:p w14:paraId="1DD211B0">
      <w:pPr>
        <w:pStyle w:val="4"/>
        <w:keepNext w:val="0"/>
        <w:keepLines w:val="0"/>
        <w:ind w:firstLine="54" w:firstLineChars="17"/>
        <w:rPr>
          <w:rFonts w:hint="eastAsia" w:ascii="宋体" w:hAnsi="宋体" w:eastAsia="宋体" w:cs="宋体"/>
          <w:color w:val="auto"/>
          <w:highlight w:val="none"/>
        </w:rPr>
      </w:pPr>
      <w:bookmarkStart w:id="314" w:name="_Toc17341"/>
      <w:bookmarkStart w:id="315" w:name="_Toc16819"/>
      <w:bookmarkStart w:id="316" w:name="_Toc15810"/>
      <w:bookmarkStart w:id="317" w:name="_Toc482188642"/>
      <w:bookmarkStart w:id="318" w:name="_Toc2108"/>
      <w:bookmarkStart w:id="319" w:name="_Toc29233"/>
      <w:bookmarkStart w:id="320" w:name="_Toc27220"/>
      <w:bookmarkStart w:id="321" w:name="_Toc21188"/>
      <w:bookmarkStart w:id="322" w:name="_Toc12999"/>
      <w:bookmarkStart w:id="323" w:name="_Toc22462"/>
      <w:bookmarkStart w:id="324" w:name="_Toc5507"/>
      <w:bookmarkStart w:id="325" w:name="_Toc21448"/>
      <w:bookmarkStart w:id="326" w:name="_Toc18739"/>
      <w:bookmarkStart w:id="327" w:name="_Toc14966898"/>
      <w:bookmarkStart w:id="328" w:name="_Toc511557115"/>
      <w:bookmarkStart w:id="329" w:name="_Toc10258"/>
      <w:bookmarkStart w:id="330" w:name="_Toc26577"/>
      <w:bookmarkStart w:id="331" w:name="_Toc17967"/>
      <w:bookmarkStart w:id="332" w:name="_Toc4541"/>
      <w:r>
        <w:rPr>
          <w:rFonts w:hint="eastAsia" w:ascii="宋体" w:hAnsi="宋体" w:eastAsia="宋体" w:cs="宋体"/>
          <w:color w:val="auto"/>
          <w:highlight w:val="none"/>
        </w:rPr>
        <w:t>（二）委托人提供的资料</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6E39A24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 施工场地及毗邻区域内的供水、排水、供电、供气、供热、通信、广播电视等地下管线资料、气象和水文观测资料，相邻建筑物和构筑物、地下工程的有关资料，以及其他与建设工程有关的原始资料</w:t>
      </w:r>
    </w:p>
    <w:p w14:paraId="03A11BF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 定位放线的基准点、基准线和基准标高</w:t>
      </w:r>
    </w:p>
    <w:p w14:paraId="11DEB60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委托人取得的有关审批、核准和备案材料</w:t>
      </w:r>
    </w:p>
    <w:p w14:paraId="71FD75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 勘察文件、设计文件等资料</w:t>
      </w:r>
    </w:p>
    <w:p w14:paraId="7299F2C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 技术标准、规范</w:t>
      </w:r>
    </w:p>
    <w:p w14:paraId="0170033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 工程承包合同及其他相关合同</w:t>
      </w:r>
    </w:p>
    <w:p w14:paraId="1262BAF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 其他资料</w:t>
      </w:r>
    </w:p>
    <w:p w14:paraId="3727ECFD">
      <w:pPr>
        <w:spacing w:line="360" w:lineRule="auto"/>
        <w:ind w:firstLine="420" w:firstLineChars="200"/>
        <w:rPr>
          <w:rFonts w:hint="eastAsia" w:ascii="宋体" w:hAnsi="宋体" w:eastAsia="宋体" w:cs="宋体"/>
          <w:color w:val="auto"/>
          <w:highlight w:val="none"/>
        </w:rPr>
      </w:pPr>
      <w:bookmarkStart w:id="333" w:name="_Toc482188643"/>
      <w:r>
        <w:rPr>
          <w:rFonts w:hint="eastAsia" w:ascii="宋体" w:hAnsi="宋体" w:eastAsia="宋体" w:cs="宋体"/>
          <w:color w:val="auto"/>
          <w:highlight w:val="none"/>
        </w:rPr>
        <w:t>……</w:t>
      </w:r>
    </w:p>
    <w:p w14:paraId="6C907F5A">
      <w:pPr>
        <w:pStyle w:val="4"/>
        <w:keepNext w:val="0"/>
        <w:keepLines w:val="0"/>
        <w:ind w:firstLine="137"/>
        <w:rPr>
          <w:rFonts w:hint="eastAsia" w:ascii="宋体" w:hAnsi="宋体" w:eastAsia="宋体" w:cs="宋体"/>
          <w:color w:val="auto"/>
          <w:highlight w:val="none"/>
        </w:rPr>
      </w:pPr>
      <w:bookmarkStart w:id="334" w:name="_Toc3941"/>
      <w:bookmarkStart w:id="335" w:name="_Toc1379"/>
      <w:bookmarkStart w:id="336" w:name="_Toc11183"/>
      <w:bookmarkStart w:id="337" w:name="_Toc9452"/>
      <w:bookmarkStart w:id="338" w:name="_Toc17327"/>
      <w:bookmarkStart w:id="339" w:name="_Toc14966899"/>
      <w:bookmarkStart w:id="340" w:name="_Toc20192"/>
      <w:bookmarkStart w:id="341" w:name="_Toc32699"/>
      <w:bookmarkStart w:id="342" w:name="_Toc21165"/>
      <w:bookmarkStart w:id="343" w:name="_Toc23786"/>
      <w:bookmarkStart w:id="344" w:name="_Toc28269"/>
      <w:bookmarkStart w:id="345" w:name="_Toc13848"/>
      <w:bookmarkStart w:id="346" w:name="_Toc511557116"/>
      <w:bookmarkStart w:id="347" w:name="_Toc31247"/>
      <w:bookmarkStart w:id="348" w:name="_Toc3097"/>
      <w:bookmarkStart w:id="349" w:name="_Toc22207"/>
      <w:r>
        <w:rPr>
          <w:rFonts w:hint="eastAsia" w:ascii="宋体" w:hAnsi="宋体" w:eastAsia="宋体" w:cs="宋体"/>
          <w:color w:val="auto"/>
          <w:highlight w:val="none"/>
        </w:rPr>
        <w:t>（三）委托人财产使用要求及退还要求</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638916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委托人财产使用要求：</w:t>
      </w:r>
      <w:r>
        <w:rPr>
          <w:rFonts w:hint="eastAsia" w:ascii="宋体" w:hAnsi="宋体" w:eastAsia="宋体" w:cs="宋体"/>
          <w:color w:val="auto"/>
          <w:szCs w:val="21"/>
          <w:highlight w:val="none"/>
          <w:u w:val="single"/>
        </w:rPr>
        <w:t>监理人对委托人财产保存完好，避免有损坏或丢失等情况发生；</w:t>
      </w:r>
    </w:p>
    <w:p w14:paraId="1EDC2D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委托人财产退还要求：</w:t>
      </w:r>
      <w:r>
        <w:rPr>
          <w:rFonts w:hint="eastAsia" w:ascii="宋体" w:hAnsi="宋体" w:eastAsia="宋体" w:cs="宋体"/>
          <w:color w:val="auto"/>
          <w:szCs w:val="21"/>
          <w:highlight w:val="none"/>
          <w:u w:val="single"/>
        </w:rPr>
        <w:t>工程完工后监理人将委托人财产全数完好地退还给委托人。</w:t>
      </w:r>
    </w:p>
    <w:p w14:paraId="4BE03005">
      <w:pPr>
        <w:spacing w:line="360" w:lineRule="auto"/>
        <w:ind w:firstLine="420" w:firstLineChars="200"/>
        <w:rPr>
          <w:rFonts w:hint="eastAsia" w:ascii="宋体" w:hAnsi="宋体" w:eastAsia="宋体" w:cs="宋体"/>
          <w:color w:val="auto"/>
          <w:highlight w:val="none"/>
        </w:rPr>
      </w:pPr>
      <w:bookmarkStart w:id="350" w:name="_Toc482188644"/>
      <w:r>
        <w:rPr>
          <w:rFonts w:hint="eastAsia" w:ascii="宋体" w:hAnsi="宋体" w:eastAsia="宋体" w:cs="宋体"/>
          <w:color w:val="auto"/>
          <w:highlight w:val="none"/>
        </w:rPr>
        <w:t>……</w:t>
      </w:r>
    </w:p>
    <w:p w14:paraId="14BB313B">
      <w:pPr>
        <w:pStyle w:val="3"/>
        <w:keepNext w:val="0"/>
        <w:keepLines w:val="0"/>
        <w:spacing w:line="240" w:lineRule="auto"/>
        <w:rPr>
          <w:rFonts w:hint="eastAsia" w:ascii="宋体" w:hAnsi="宋体" w:eastAsia="宋体" w:cs="宋体"/>
          <w:b w:val="0"/>
          <w:color w:val="auto"/>
          <w:sz w:val="28"/>
          <w:szCs w:val="28"/>
          <w:highlight w:val="none"/>
        </w:rPr>
      </w:pPr>
      <w:bookmarkStart w:id="351" w:name="_Toc23065"/>
      <w:bookmarkStart w:id="352" w:name="_Toc7684"/>
      <w:bookmarkStart w:id="353" w:name="_Toc19374"/>
      <w:bookmarkStart w:id="354" w:name="_Toc9363"/>
      <w:bookmarkStart w:id="355" w:name="_Toc21433"/>
      <w:bookmarkStart w:id="356" w:name="_Toc14896"/>
      <w:bookmarkStart w:id="357" w:name="_Toc511557117"/>
      <w:bookmarkStart w:id="358" w:name="_Toc14966900"/>
      <w:bookmarkStart w:id="359" w:name="_Toc21920"/>
      <w:bookmarkStart w:id="360" w:name="_Toc31629"/>
      <w:bookmarkStart w:id="361" w:name="_Toc6456"/>
      <w:bookmarkStart w:id="362" w:name="_Toc19515"/>
      <w:bookmarkStart w:id="363" w:name="_Toc28842"/>
      <w:bookmarkStart w:id="364" w:name="_Toc4628"/>
      <w:bookmarkStart w:id="365" w:name="_Toc8193"/>
      <w:bookmarkStart w:id="366" w:name="_Toc27418"/>
      <w:bookmarkStart w:id="367" w:name="_Toc27620"/>
      <w:bookmarkStart w:id="368" w:name="_Toc29967"/>
      <w:r>
        <w:rPr>
          <w:rFonts w:hint="eastAsia" w:ascii="宋体" w:hAnsi="宋体" w:eastAsia="宋体" w:cs="宋体"/>
          <w:b w:val="0"/>
          <w:color w:val="auto"/>
          <w:sz w:val="28"/>
          <w:szCs w:val="28"/>
          <w:highlight w:val="none"/>
        </w:rPr>
        <w:t>五、委托人提供的便利条件</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656766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委托人提供的生活条件：</w:t>
      </w:r>
      <w:r>
        <w:rPr>
          <w:rFonts w:hint="eastAsia" w:ascii="宋体" w:hAnsi="宋体" w:eastAsia="宋体" w:cs="宋体"/>
          <w:color w:val="auto"/>
          <w:highlight w:val="none"/>
          <w:u w:val="single"/>
        </w:rPr>
        <w:t>无；</w:t>
      </w:r>
    </w:p>
    <w:p w14:paraId="19CD8D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委托人提供的交通条件：</w:t>
      </w:r>
      <w:r>
        <w:rPr>
          <w:rFonts w:hint="eastAsia" w:ascii="宋体" w:hAnsi="宋体" w:eastAsia="宋体" w:cs="宋体"/>
          <w:color w:val="auto"/>
          <w:highlight w:val="none"/>
          <w:u w:val="single"/>
        </w:rPr>
        <w:t>无</w:t>
      </w:r>
    </w:p>
    <w:p w14:paraId="46880B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委托人提供的网络、通讯条件：</w:t>
      </w:r>
      <w:r>
        <w:rPr>
          <w:rFonts w:hint="eastAsia" w:ascii="宋体" w:hAnsi="宋体" w:eastAsia="宋体" w:cs="宋体"/>
          <w:color w:val="auto"/>
          <w:highlight w:val="none"/>
          <w:u w:val="single"/>
        </w:rPr>
        <w:t>无</w:t>
      </w:r>
    </w:p>
    <w:p w14:paraId="6076412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4. 委托人提供的协助人员：</w:t>
      </w:r>
      <w:r>
        <w:rPr>
          <w:rFonts w:hint="eastAsia" w:ascii="宋体" w:hAnsi="宋体" w:eastAsia="宋体" w:cs="宋体"/>
          <w:color w:val="auto"/>
          <w:highlight w:val="none"/>
          <w:u w:val="single"/>
        </w:rPr>
        <w:t>无</w:t>
      </w:r>
      <w:bookmarkStart w:id="369" w:name="_Toc482188645"/>
      <w:r>
        <w:rPr>
          <w:rFonts w:hint="eastAsia" w:ascii="宋体" w:hAnsi="宋体" w:eastAsia="宋体" w:cs="宋体"/>
          <w:color w:val="auto"/>
          <w:highlight w:val="none"/>
        </w:rPr>
        <w:t>……</w:t>
      </w:r>
    </w:p>
    <w:p w14:paraId="7671FDDB">
      <w:pPr>
        <w:pStyle w:val="3"/>
        <w:keepNext w:val="0"/>
        <w:keepLines w:val="0"/>
        <w:spacing w:line="240" w:lineRule="auto"/>
        <w:rPr>
          <w:rFonts w:hint="eastAsia" w:ascii="宋体" w:hAnsi="宋体" w:eastAsia="宋体" w:cs="宋体"/>
          <w:b w:val="0"/>
          <w:color w:val="auto"/>
          <w:sz w:val="28"/>
          <w:szCs w:val="28"/>
          <w:highlight w:val="none"/>
        </w:rPr>
      </w:pPr>
      <w:bookmarkStart w:id="370" w:name="_Toc14366"/>
      <w:bookmarkStart w:id="371" w:name="_Toc32646"/>
      <w:bookmarkStart w:id="372" w:name="_Toc31848"/>
      <w:bookmarkStart w:id="373" w:name="_Toc27974"/>
      <w:bookmarkStart w:id="374" w:name="_Toc8258"/>
      <w:bookmarkStart w:id="375" w:name="_Toc511557118"/>
      <w:bookmarkStart w:id="376" w:name="_Toc6552"/>
      <w:bookmarkStart w:id="377" w:name="_Toc25266"/>
      <w:bookmarkStart w:id="378" w:name="_Toc5135"/>
      <w:bookmarkStart w:id="379" w:name="_Toc773"/>
      <w:bookmarkStart w:id="380" w:name="_Toc26350"/>
      <w:bookmarkStart w:id="381" w:name="_Toc20731"/>
      <w:bookmarkStart w:id="382" w:name="_Toc16246"/>
      <w:bookmarkStart w:id="383" w:name="_Toc4254"/>
      <w:bookmarkStart w:id="384" w:name="_Toc7499"/>
      <w:bookmarkStart w:id="385" w:name="_Toc31706"/>
      <w:bookmarkStart w:id="386" w:name="_Toc14966901"/>
      <w:r>
        <w:rPr>
          <w:rFonts w:hint="eastAsia" w:ascii="宋体" w:hAnsi="宋体" w:eastAsia="宋体" w:cs="宋体"/>
          <w:b w:val="0"/>
          <w:color w:val="auto"/>
          <w:sz w:val="28"/>
          <w:szCs w:val="28"/>
          <w:highlight w:val="none"/>
        </w:rPr>
        <w:t>六、监理人需要自备的工作条件</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31D67E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监理人自备的工作手册：</w:t>
      </w:r>
      <w:r>
        <w:rPr>
          <w:rFonts w:hint="eastAsia" w:ascii="宋体" w:hAnsi="宋体" w:eastAsia="宋体" w:cs="宋体"/>
          <w:color w:val="auto"/>
          <w:szCs w:val="21"/>
          <w:highlight w:val="none"/>
          <w:u w:val="single"/>
        </w:rPr>
        <w:t>本项目必备的规范标准、图集等。</w:t>
      </w:r>
    </w:p>
    <w:p w14:paraId="2B672E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监理人自备的办公设备：</w:t>
      </w:r>
      <w:r>
        <w:rPr>
          <w:rFonts w:hint="eastAsia" w:ascii="宋体" w:hAnsi="宋体" w:eastAsia="宋体" w:cs="宋体"/>
          <w:color w:val="auto"/>
          <w:szCs w:val="21"/>
          <w:highlight w:val="none"/>
          <w:u w:val="single"/>
        </w:rPr>
        <w:t>电脑、软件、投影、打印机、复印机、照相机等。</w:t>
      </w:r>
    </w:p>
    <w:p w14:paraId="392B3A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监理人自备的交通工具：</w:t>
      </w:r>
      <w:r>
        <w:rPr>
          <w:rFonts w:hint="eastAsia" w:ascii="宋体" w:hAnsi="宋体" w:eastAsia="宋体" w:cs="宋体"/>
          <w:color w:val="auto"/>
          <w:szCs w:val="21"/>
          <w:highlight w:val="none"/>
          <w:u w:val="single"/>
        </w:rPr>
        <w:t>出行车辆等。</w:t>
      </w:r>
    </w:p>
    <w:p w14:paraId="5EF2B1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监理人自备的现场办公设施：</w:t>
      </w:r>
      <w:r>
        <w:rPr>
          <w:rFonts w:hint="eastAsia" w:ascii="宋体" w:hAnsi="宋体" w:eastAsia="宋体" w:cs="宋体"/>
          <w:color w:val="auto"/>
          <w:szCs w:val="21"/>
          <w:highlight w:val="none"/>
          <w:u w:val="single"/>
        </w:rPr>
        <w:t>办公桌椅、文件柜等。</w:t>
      </w:r>
    </w:p>
    <w:p w14:paraId="1216B1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监理人自备的安全设施：</w:t>
      </w:r>
      <w:r>
        <w:rPr>
          <w:rFonts w:hint="eastAsia" w:ascii="宋体" w:hAnsi="宋体" w:eastAsia="宋体" w:cs="宋体"/>
          <w:color w:val="auto"/>
          <w:szCs w:val="21"/>
          <w:highlight w:val="none"/>
          <w:u w:val="single"/>
        </w:rPr>
        <w:t>安全帽、安全鞋、手电筒等。</w:t>
      </w:r>
    </w:p>
    <w:p w14:paraId="25BA74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监理人自备的试验检测仪器、设备、工具：</w:t>
      </w:r>
      <w:r>
        <w:rPr>
          <w:rFonts w:hint="eastAsia" w:ascii="宋体" w:hAnsi="宋体" w:eastAsia="宋体" w:cs="宋体"/>
          <w:color w:val="auto"/>
          <w:szCs w:val="21"/>
          <w:highlight w:val="none"/>
          <w:u w:val="single"/>
        </w:rPr>
        <w:t>满足本项目监理服务要求。</w:t>
      </w:r>
    </w:p>
    <w:p w14:paraId="269352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 监理人自备的试验用房、样品用房：</w:t>
      </w:r>
      <w:r>
        <w:rPr>
          <w:rFonts w:hint="eastAsia" w:ascii="宋体" w:hAnsi="宋体" w:eastAsia="宋体" w:cs="宋体"/>
          <w:color w:val="auto"/>
          <w:szCs w:val="21"/>
          <w:highlight w:val="none"/>
          <w:u w:val="single"/>
        </w:rPr>
        <w:t>监理人根据现场实际情况自行准备。</w:t>
      </w:r>
    </w:p>
    <w:p w14:paraId="2D55D88B">
      <w:pPr>
        <w:spacing w:line="360" w:lineRule="auto"/>
        <w:ind w:firstLine="420" w:firstLineChars="200"/>
        <w:rPr>
          <w:rFonts w:hint="eastAsia" w:ascii="宋体" w:hAnsi="宋体" w:eastAsia="宋体" w:cs="宋体"/>
          <w:color w:val="auto"/>
          <w:highlight w:val="none"/>
        </w:rPr>
      </w:pPr>
      <w:bookmarkStart w:id="387" w:name="_Toc482188646"/>
      <w:r>
        <w:rPr>
          <w:rFonts w:hint="eastAsia" w:ascii="宋体" w:hAnsi="宋体" w:eastAsia="宋体" w:cs="宋体"/>
          <w:color w:val="auto"/>
          <w:highlight w:val="none"/>
        </w:rPr>
        <w:t>……</w:t>
      </w:r>
    </w:p>
    <w:p w14:paraId="0B3DE8D0">
      <w:pPr>
        <w:pStyle w:val="3"/>
        <w:keepNext w:val="0"/>
        <w:keepLines w:val="0"/>
        <w:spacing w:line="240" w:lineRule="auto"/>
        <w:rPr>
          <w:rFonts w:hint="eastAsia" w:ascii="宋体" w:hAnsi="宋体" w:eastAsia="宋体" w:cs="宋体"/>
          <w:b w:val="0"/>
          <w:color w:val="auto"/>
          <w:sz w:val="28"/>
          <w:szCs w:val="28"/>
          <w:highlight w:val="none"/>
        </w:rPr>
      </w:pPr>
      <w:bookmarkStart w:id="388" w:name="_Toc14966902"/>
      <w:bookmarkStart w:id="389" w:name="_Toc1564"/>
      <w:bookmarkStart w:id="390" w:name="_Toc32376"/>
      <w:bookmarkStart w:id="391" w:name="_Toc13811"/>
      <w:bookmarkStart w:id="392" w:name="_Toc22582"/>
      <w:bookmarkStart w:id="393" w:name="_Toc23648"/>
      <w:bookmarkStart w:id="394" w:name="_Toc8851"/>
      <w:bookmarkStart w:id="395" w:name="_Toc511557119"/>
      <w:bookmarkStart w:id="396" w:name="_Toc20992"/>
      <w:bookmarkStart w:id="397" w:name="_Toc30065"/>
      <w:bookmarkStart w:id="398" w:name="_Toc32137"/>
      <w:bookmarkStart w:id="399" w:name="_Toc13067"/>
      <w:bookmarkStart w:id="400" w:name="_Toc26274"/>
      <w:bookmarkStart w:id="401" w:name="_Toc16488"/>
      <w:bookmarkStart w:id="402" w:name="_Toc27134"/>
      <w:bookmarkStart w:id="403" w:name="_Toc7751"/>
      <w:r>
        <w:rPr>
          <w:rFonts w:hint="eastAsia" w:ascii="宋体" w:hAnsi="宋体" w:eastAsia="宋体" w:cs="宋体"/>
          <w:b w:val="0"/>
          <w:color w:val="auto"/>
          <w:sz w:val="28"/>
          <w:szCs w:val="28"/>
          <w:highlight w:val="none"/>
        </w:rPr>
        <w:t>七、委托人的其他要求</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69AEF763">
      <w:pPr>
        <w:wordWrap w:val="0"/>
        <w:spacing w:line="360" w:lineRule="auto"/>
        <w:ind w:firstLine="42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Cs w:val="21"/>
          <w:highlight w:val="none"/>
        </w:rPr>
        <w:t>委托人的其他要求：</w:t>
      </w:r>
      <w:r>
        <w:rPr>
          <w:rFonts w:hint="eastAsia" w:ascii="宋体" w:hAnsi="宋体" w:eastAsia="宋体" w:cs="宋体"/>
          <w:color w:val="auto"/>
          <w:szCs w:val="21"/>
          <w:highlight w:val="none"/>
          <w:u w:val="none"/>
        </w:rPr>
        <w:t>其他要求详见监理合同</w:t>
      </w:r>
      <w:r>
        <w:rPr>
          <w:rFonts w:hint="eastAsia" w:ascii="宋体" w:hAnsi="宋体" w:eastAsia="宋体" w:cs="宋体"/>
          <w:color w:val="auto"/>
          <w:szCs w:val="21"/>
          <w:highlight w:val="none"/>
          <w:u w:val="single"/>
        </w:rPr>
        <w:t>。</w:t>
      </w:r>
      <w:bookmarkEnd w:id="240"/>
    </w:p>
    <w:bookmarkEnd w:id="204"/>
    <w:bookmarkEnd w:id="205"/>
    <w:bookmarkEnd w:id="206"/>
    <w:bookmarkEnd w:id="207"/>
    <w:bookmarkEnd w:id="218"/>
    <w:p w14:paraId="78558866">
      <w:pPr>
        <w:wordWrap w:val="0"/>
        <w:spacing w:before="340" w:after="330"/>
        <w:jc w:val="center"/>
        <w:outlineLvl w:val="0"/>
        <w:rPr>
          <w:rFonts w:hint="eastAsia" w:ascii="宋体" w:hAnsi="宋体" w:eastAsia="宋体" w:cs="宋体"/>
          <w:b/>
          <w:color w:val="auto"/>
          <w:kern w:val="44"/>
          <w:sz w:val="44"/>
          <w:szCs w:val="20"/>
          <w:highlight w:val="none"/>
        </w:rPr>
      </w:pPr>
      <w:r>
        <w:rPr>
          <w:rFonts w:hint="eastAsia" w:ascii="宋体" w:hAnsi="宋体" w:eastAsia="宋体" w:cs="宋体"/>
          <w:b/>
          <w:color w:val="auto"/>
          <w:kern w:val="44"/>
          <w:sz w:val="44"/>
          <w:szCs w:val="20"/>
          <w:highlight w:val="none"/>
        </w:rPr>
        <w:br w:type="page"/>
      </w:r>
      <w:bookmarkStart w:id="404" w:name="_Toc526786504"/>
      <w:bookmarkStart w:id="405" w:name="_Toc59200707"/>
      <w:bookmarkStart w:id="406" w:name="_Toc27929"/>
      <w:r>
        <w:rPr>
          <w:rFonts w:hint="eastAsia" w:ascii="宋体" w:hAnsi="宋体" w:eastAsia="宋体" w:cs="宋体"/>
          <w:b/>
          <w:color w:val="auto"/>
          <w:kern w:val="44"/>
          <w:sz w:val="44"/>
          <w:szCs w:val="20"/>
          <w:highlight w:val="none"/>
        </w:rPr>
        <w:t>第三卷</w:t>
      </w:r>
      <w:bookmarkEnd w:id="404"/>
      <w:bookmarkEnd w:id="405"/>
      <w:bookmarkEnd w:id="406"/>
    </w:p>
    <w:p w14:paraId="045E9F6E">
      <w:pPr>
        <w:wordWrap w:val="0"/>
        <w:spacing w:before="340" w:after="330"/>
        <w:jc w:val="center"/>
        <w:outlineLvl w:val="0"/>
        <w:rPr>
          <w:rFonts w:hint="eastAsia" w:ascii="宋体" w:hAnsi="宋体" w:eastAsia="宋体" w:cs="宋体"/>
          <w:b/>
          <w:color w:val="auto"/>
          <w:kern w:val="44"/>
          <w:sz w:val="44"/>
          <w:szCs w:val="20"/>
          <w:highlight w:val="none"/>
        </w:rPr>
      </w:pPr>
      <w:bookmarkStart w:id="407" w:name="_Toc5259"/>
      <w:bookmarkStart w:id="408" w:name="_Toc526786505"/>
      <w:bookmarkStart w:id="409" w:name="_Toc59200708"/>
      <w:r>
        <w:rPr>
          <w:rFonts w:hint="eastAsia" w:ascii="宋体" w:hAnsi="宋体" w:eastAsia="宋体" w:cs="宋体"/>
          <w:b/>
          <w:color w:val="auto"/>
          <w:kern w:val="44"/>
          <w:sz w:val="44"/>
          <w:szCs w:val="20"/>
          <w:highlight w:val="none"/>
        </w:rPr>
        <w:t>第六章 投标文件格式</w:t>
      </w:r>
      <w:bookmarkEnd w:id="407"/>
      <w:bookmarkEnd w:id="408"/>
      <w:bookmarkEnd w:id="409"/>
    </w:p>
    <w:p w14:paraId="3D16E181">
      <w:pPr>
        <w:wordWrap w:val="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1D5E197">
      <w:pPr>
        <w:wordWrap w:val="0"/>
        <w:spacing w:line="400" w:lineRule="exact"/>
        <w:rPr>
          <w:rFonts w:hint="eastAsia" w:ascii="宋体" w:hAnsi="宋体" w:eastAsia="宋体" w:cs="宋体"/>
          <w:color w:val="auto"/>
          <w:highlight w:val="none"/>
        </w:rPr>
      </w:pPr>
    </w:p>
    <w:p w14:paraId="753C1B85">
      <w:pPr>
        <w:wordWrap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招标项目</w:t>
      </w:r>
    </w:p>
    <w:p w14:paraId="1DF8A9F7">
      <w:pPr>
        <w:wordWrap w:val="0"/>
        <w:rPr>
          <w:rFonts w:hint="eastAsia" w:ascii="宋体" w:hAnsi="宋体" w:eastAsia="宋体" w:cs="宋体"/>
          <w:color w:val="auto"/>
          <w:sz w:val="20"/>
          <w:highlight w:val="none"/>
        </w:rPr>
      </w:pPr>
    </w:p>
    <w:p w14:paraId="679D2AE4">
      <w:pPr>
        <w:wordWrap w:val="0"/>
        <w:rPr>
          <w:rFonts w:hint="eastAsia" w:ascii="宋体" w:hAnsi="宋体" w:eastAsia="宋体" w:cs="宋体"/>
          <w:color w:val="auto"/>
          <w:sz w:val="20"/>
          <w:highlight w:val="none"/>
        </w:rPr>
      </w:pPr>
    </w:p>
    <w:p w14:paraId="13835595">
      <w:pPr>
        <w:wordWrap w:val="0"/>
        <w:rPr>
          <w:rFonts w:hint="eastAsia" w:ascii="宋体" w:hAnsi="宋体" w:eastAsia="宋体" w:cs="宋体"/>
          <w:color w:val="auto"/>
          <w:sz w:val="20"/>
          <w:highlight w:val="none"/>
        </w:rPr>
      </w:pPr>
    </w:p>
    <w:p w14:paraId="3076E60F">
      <w:pPr>
        <w:wordWrap w:val="0"/>
        <w:rPr>
          <w:rFonts w:hint="eastAsia" w:ascii="宋体" w:hAnsi="宋体" w:eastAsia="宋体" w:cs="宋体"/>
          <w:color w:val="auto"/>
          <w:sz w:val="20"/>
          <w:highlight w:val="none"/>
        </w:rPr>
      </w:pPr>
    </w:p>
    <w:p w14:paraId="5C649860">
      <w:pPr>
        <w:wordWrap w:val="0"/>
        <w:rPr>
          <w:rFonts w:hint="eastAsia" w:ascii="宋体" w:hAnsi="宋体" w:eastAsia="宋体" w:cs="宋体"/>
          <w:color w:val="auto"/>
          <w:sz w:val="20"/>
          <w:highlight w:val="none"/>
        </w:rPr>
      </w:pPr>
    </w:p>
    <w:p w14:paraId="1A368D4B">
      <w:pPr>
        <w:wordWrap w:val="0"/>
        <w:rPr>
          <w:rFonts w:hint="eastAsia" w:ascii="宋体" w:hAnsi="宋体" w:eastAsia="宋体" w:cs="宋体"/>
          <w:color w:val="auto"/>
          <w:sz w:val="20"/>
          <w:highlight w:val="none"/>
        </w:rPr>
      </w:pPr>
    </w:p>
    <w:p w14:paraId="39D737BC">
      <w:pPr>
        <w:wordWrap w:val="0"/>
        <w:rPr>
          <w:rFonts w:hint="eastAsia" w:ascii="宋体" w:hAnsi="宋体" w:eastAsia="宋体" w:cs="宋体"/>
          <w:color w:val="auto"/>
          <w:sz w:val="20"/>
          <w:highlight w:val="none"/>
        </w:rPr>
      </w:pPr>
    </w:p>
    <w:p w14:paraId="1081F7B3">
      <w:pPr>
        <w:wordWrap w:val="0"/>
        <w:rPr>
          <w:rFonts w:hint="eastAsia" w:ascii="宋体" w:hAnsi="宋体" w:eastAsia="宋体" w:cs="宋体"/>
          <w:color w:val="auto"/>
          <w:sz w:val="20"/>
          <w:highlight w:val="none"/>
        </w:rPr>
      </w:pPr>
    </w:p>
    <w:p w14:paraId="65083DAE">
      <w:pPr>
        <w:wordWrap w:val="0"/>
        <w:rPr>
          <w:rFonts w:hint="eastAsia" w:ascii="宋体" w:hAnsi="宋体" w:eastAsia="宋体" w:cs="宋体"/>
          <w:color w:val="auto"/>
          <w:sz w:val="20"/>
          <w:highlight w:val="none"/>
        </w:rPr>
      </w:pPr>
    </w:p>
    <w:p w14:paraId="08332A22">
      <w:pPr>
        <w:wordWrap w:val="0"/>
        <w:rPr>
          <w:rFonts w:hint="eastAsia" w:ascii="宋体" w:hAnsi="宋体" w:eastAsia="宋体" w:cs="宋体"/>
          <w:color w:val="auto"/>
          <w:sz w:val="20"/>
          <w:highlight w:val="none"/>
        </w:rPr>
      </w:pPr>
    </w:p>
    <w:p w14:paraId="2DE41FBD">
      <w:pPr>
        <w:wordWrap w:val="0"/>
        <w:rPr>
          <w:rFonts w:hint="eastAsia" w:ascii="宋体" w:hAnsi="宋体" w:eastAsia="宋体" w:cs="宋体"/>
          <w:color w:val="auto"/>
          <w:sz w:val="20"/>
          <w:highlight w:val="none"/>
        </w:rPr>
      </w:pPr>
    </w:p>
    <w:p w14:paraId="23A250C8">
      <w:pPr>
        <w:wordWrap w:val="0"/>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投 标 文 件</w:t>
      </w:r>
    </w:p>
    <w:p w14:paraId="2501C833">
      <w:pPr>
        <w:wordWrap w:val="0"/>
        <w:jc w:val="center"/>
        <w:rPr>
          <w:rFonts w:hint="eastAsia" w:ascii="宋体" w:hAnsi="宋体" w:eastAsia="宋体" w:cs="宋体"/>
          <w:color w:val="auto"/>
          <w:sz w:val="44"/>
          <w:highlight w:val="none"/>
        </w:rPr>
      </w:pPr>
    </w:p>
    <w:p w14:paraId="506A0134">
      <w:pPr>
        <w:wordWrap w:val="0"/>
        <w:rPr>
          <w:rFonts w:hint="eastAsia" w:ascii="宋体" w:hAnsi="宋体" w:eastAsia="宋体" w:cs="宋体"/>
          <w:color w:val="auto"/>
          <w:sz w:val="28"/>
          <w:highlight w:val="none"/>
        </w:rPr>
      </w:pPr>
    </w:p>
    <w:p w14:paraId="0DBCF5F8">
      <w:pPr>
        <w:wordWrap w:val="0"/>
        <w:rPr>
          <w:rFonts w:hint="eastAsia" w:ascii="宋体" w:hAnsi="宋体" w:eastAsia="宋体" w:cs="宋体"/>
          <w:color w:val="auto"/>
          <w:sz w:val="28"/>
          <w:highlight w:val="none"/>
        </w:rPr>
      </w:pPr>
    </w:p>
    <w:p w14:paraId="2534E8E9">
      <w:pPr>
        <w:wordWrap w:val="0"/>
        <w:rPr>
          <w:rFonts w:hint="eastAsia" w:ascii="宋体" w:hAnsi="宋体" w:eastAsia="宋体" w:cs="宋体"/>
          <w:color w:val="auto"/>
          <w:sz w:val="28"/>
          <w:highlight w:val="none"/>
        </w:rPr>
      </w:pPr>
    </w:p>
    <w:p w14:paraId="79D806DC">
      <w:pPr>
        <w:wordWrap w:val="0"/>
        <w:rPr>
          <w:rFonts w:hint="eastAsia" w:ascii="宋体" w:hAnsi="宋体" w:eastAsia="宋体" w:cs="宋体"/>
          <w:color w:val="auto"/>
          <w:sz w:val="28"/>
          <w:highlight w:val="none"/>
        </w:rPr>
      </w:pPr>
    </w:p>
    <w:p w14:paraId="6F8C2C6A">
      <w:pPr>
        <w:wordWrap w:val="0"/>
        <w:rPr>
          <w:rFonts w:hint="eastAsia" w:ascii="宋体" w:hAnsi="宋体" w:eastAsia="宋体" w:cs="宋体"/>
          <w:color w:val="auto"/>
          <w:sz w:val="28"/>
          <w:highlight w:val="none"/>
        </w:rPr>
      </w:pPr>
    </w:p>
    <w:p w14:paraId="6F90E081">
      <w:pPr>
        <w:wordWrap w:val="0"/>
        <w:rPr>
          <w:rFonts w:hint="eastAsia" w:ascii="宋体" w:hAnsi="宋体" w:eastAsia="宋体" w:cs="宋体"/>
          <w:color w:val="auto"/>
          <w:sz w:val="28"/>
          <w:highlight w:val="none"/>
        </w:rPr>
      </w:pPr>
    </w:p>
    <w:p w14:paraId="2401BAC3">
      <w:pPr>
        <w:wordWrap w:val="0"/>
        <w:rPr>
          <w:rFonts w:hint="eastAsia" w:ascii="宋体" w:hAnsi="宋体" w:eastAsia="宋体" w:cs="宋体"/>
          <w:color w:val="auto"/>
          <w:sz w:val="28"/>
          <w:highlight w:val="none"/>
        </w:rPr>
      </w:pPr>
    </w:p>
    <w:p w14:paraId="71669517">
      <w:pPr>
        <w:wordWrap w:val="0"/>
        <w:spacing w:line="360" w:lineRule="auto"/>
        <w:rPr>
          <w:rFonts w:hint="eastAsia" w:ascii="宋体" w:hAnsi="宋体" w:eastAsia="宋体" w:cs="宋体"/>
          <w:color w:val="auto"/>
          <w:sz w:val="28"/>
          <w:highlight w:val="none"/>
        </w:rPr>
      </w:pPr>
    </w:p>
    <w:p w14:paraId="7EF1B870">
      <w:pPr>
        <w:wordWrap w:val="0"/>
        <w:spacing w:line="360" w:lineRule="auto"/>
        <w:ind w:firstLine="1120" w:firstLineChars="400"/>
        <w:rPr>
          <w:rFonts w:hint="eastAsia" w:ascii="宋体" w:hAnsi="宋体" w:eastAsia="宋体" w:cs="宋体"/>
          <w:color w:val="auto"/>
          <w:sz w:val="28"/>
          <w:highlight w:val="none"/>
        </w:rPr>
      </w:pPr>
    </w:p>
    <w:p w14:paraId="0A1942F3">
      <w:pPr>
        <w:wordWrap w:val="0"/>
        <w:spacing w:line="360" w:lineRule="auto"/>
        <w:ind w:firstLine="1120" w:firstLineChars="400"/>
        <w:rPr>
          <w:rFonts w:hint="eastAsia" w:ascii="宋体" w:hAnsi="宋体" w:eastAsia="宋体" w:cs="宋体"/>
          <w:color w:val="auto"/>
          <w:sz w:val="28"/>
          <w:highlight w:val="none"/>
        </w:rPr>
      </w:pPr>
    </w:p>
    <w:p w14:paraId="196F844A">
      <w:pPr>
        <w:wordWrap w:val="0"/>
        <w:spacing w:line="360" w:lineRule="auto"/>
        <w:ind w:firstLine="1120" w:firstLineChars="400"/>
        <w:rPr>
          <w:rFonts w:hint="eastAsia" w:ascii="宋体" w:hAnsi="宋体" w:eastAsia="宋体" w:cs="宋体"/>
          <w:color w:val="auto"/>
          <w:sz w:val="28"/>
          <w:highlight w:val="none"/>
        </w:rPr>
      </w:pPr>
    </w:p>
    <w:p w14:paraId="49E5A006">
      <w:pPr>
        <w:wordWrap w:val="0"/>
        <w:spacing w:line="360" w:lineRule="auto"/>
        <w:ind w:firstLine="1120" w:firstLineChars="400"/>
        <w:rPr>
          <w:rFonts w:hint="eastAsia" w:ascii="宋体" w:hAnsi="宋体" w:eastAsia="宋体" w:cs="宋体"/>
          <w:color w:val="auto"/>
          <w:sz w:val="28"/>
          <w:highlight w:val="none"/>
        </w:rPr>
      </w:pPr>
    </w:p>
    <w:p w14:paraId="72540B28">
      <w:pPr>
        <w:wordWrap w:val="0"/>
        <w:spacing w:line="360" w:lineRule="auto"/>
        <w:ind w:firstLine="1120" w:firstLineChars="400"/>
        <w:rPr>
          <w:rFonts w:hint="eastAsia" w:ascii="宋体" w:hAnsi="宋体" w:eastAsia="宋体" w:cs="宋体"/>
          <w:color w:val="auto"/>
          <w:sz w:val="28"/>
          <w:highlight w:val="none"/>
        </w:rPr>
      </w:pPr>
    </w:p>
    <w:p w14:paraId="2F6C6F9E">
      <w:pPr>
        <w:wordWrap w:val="0"/>
        <w:spacing w:line="360" w:lineRule="auto"/>
        <w:ind w:firstLine="1120" w:firstLineChars="400"/>
        <w:rPr>
          <w:rFonts w:hint="eastAsia" w:ascii="宋体" w:hAnsi="宋体" w:eastAsia="宋体" w:cs="宋体"/>
          <w:color w:val="auto"/>
          <w:sz w:val="28"/>
          <w:highlight w:val="none"/>
        </w:rPr>
      </w:pPr>
    </w:p>
    <w:p w14:paraId="077293C9">
      <w:pPr>
        <w:wordWrap w:val="0"/>
        <w:spacing w:line="360" w:lineRule="auto"/>
        <w:ind w:firstLine="1120" w:firstLineChars="400"/>
        <w:rPr>
          <w:rFonts w:hint="eastAsia" w:ascii="宋体" w:hAnsi="宋体" w:eastAsia="宋体" w:cs="宋体"/>
          <w:color w:val="auto"/>
          <w:sz w:val="28"/>
          <w:highlight w:val="none"/>
          <w:u w:val="none"/>
        </w:rPr>
      </w:pPr>
      <w:r>
        <w:rPr>
          <w:rFonts w:hint="eastAsia" w:ascii="宋体" w:hAnsi="宋体" w:eastAsia="宋体" w:cs="宋体"/>
          <w:color w:val="auto"/>
          <w:sz w:val="28"/>
          <w:highlight w:val="none"/>
        </w:rPr>
        <w:t>投标人：</w:t>
      </w:r>
      <w:r>
        <w:rPr>
          <w:rFonts w:hint="eastAsia" w:ascii="宋体" w:hAnsi="宋体" w:eastAsia="宋体" w:cs="宋体"/>
          <w:color w:val="auto"/>
          <w:sz w:val="28"/>
          <w:highlight w:val="none"/>
          <w:u w:val="none"/>
        </w:rPr>
        <w:t xml:space="preserve">                                            （盖单位章）</w:t>
      </w:r>
    </w:p>
    <w:p w14:paraId="519C4662">
      <w:pPr>
        <w:wordWrap w:val="0"/>
        <w:spacing w:line="360" w:lineRule="auto"/>
        <w:ind w:firstLine="1120" w:firstLineChars="400"/>
        <w:jc w:val="left"/>
        <w:rPr>
          <w:rFonts w:hint="eastAsia" w:ascii="宋体" w:hAnsi="宋体" w:eastAsia="宋体" w:cs="宋体"/>
          <w:color w:val="auto"/>
          <w:sz w:val="28"/>
          <w:highlight w:val="none"/>
        </w:rPr>
      </w:pPr>
    </w:p>
    <w:p w14:paraId="7344F890">
      <w:pPr>
        <w:wordWrap w:val="0"/>
        <w:spacing w:line="360" w:lineRule="auto"/>
        <w:ind w:firstLine="0" w:firstLineChars="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年</w:t>
      </w:r>
      <w:r>
        <w:rPr>
          <w:rFonts w:hint="eastAsia" w:ascii="宋体" w:hAnsi="宋体" w:eastAsia="宋体" w:cs="宋体"/>
          <w:color w:val="auto"/>
          <w:sz w:val="28"/>
          <w:highlight w:val="none"/>
          <w:u w:val="none"/>
        </w:rPr>
        <w:t xml:space="preserve">       </w:t>
      </w:r>
      <w:r>
        <w:rPr>
          <w:rFonts w:hint="eastAsia" w:ascii="宋体" w:hAnsi="宋体" w:eastAsia="宋体" w:cs="宋体"/>
          <w:color w:val="auto"/>
          <w:sz w:val="28"/>
          <w:highlight w:val="none"/>
        </w:rPr>
        <w:t>月</w:t>
      </w:r>
      <w:r>
        <w:rPr>
          <w:rFonts w:hint="eastAsia" w:ascii="宋体" w:hAnsi="宋体" w:eastAsia="宋体" w:cs="宋体"/>
          <w:color w:val="auto"/>
          <w:sz w:val="28"/>
          <w:highlight w:val="none"/>
          <w:u w:val="none"/>
        </w:rPr>
        <w:t xml:space="preserve">       </w:t>
      </w:r>
      <w:r>
        <w:rPr>
          <w:rFonts w:hint="eastAsia" w:ascii="宋体" w:hAnsi="宋体" w:eastAsia="宋体" w:cs="宋体"/>
          <w:color w:val="auto"/>
          <w:sz w:val="28"/>
          <w:highlight w:val="none"/>
        </w:rPr>
        <w:t>日</w:t>
      </w:r>
    </w:p>
    <w:p w14:paraId="380099C9">
      <w:pPr>
        <w:wordWrap w:val="0"/>
        <w:rPr>
          <w:rFonts w:hint="eastAsia" w:ascii="宋体" w:hAnsi="宋体" w:eastAsia="宋体" w:cs="宋体"/>
          <w:color w:val="auto"/>
          <w:highlight w:val="none"/>
        </w:rPr>
      </w:pPr>
    </w:p>
    <w:p w14:paraId="0A187609">
      <w:pPr>
        <w:wordWrap w:val="0"/>
        <w:rPr>
          <w:rFonts w:hint="eastAsia" w:ascii="宋体" w:hAnsi="宋体" w:eastAsia="宋体" w:cs="宋体"/>
          <w:color w:val="auto"/>
          <w:highlight w:val="none"/>
        </w:rPr>
      </w:pPr>
    </w:p>
    <w:p w14:paraId="6774EBB8">
      <w:pPr>
        <w:wordWrap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highlight w:val="none"/>
        </w:rPr>
        <w:br w:type="page"/>
      </w:r>
      <w:bookmarkStart w:id="410" w:name="_Toc20964"/>
      <w:bookmarkStart w:id="411" w:name="_Toc526786506"/>
      <w:bookmarkStart w:id="412" w:name="_Toc4037"/>
      <w:bookmarkStart w:id="413" w:name="_Toc59200709"/>
      <w:r>
        <w:rPr>
          <w:rFonts w:hint="eastAsia" w:ascii="宋体" w:hAnsi="宋体" w:eastAsia="宋体" w:cs="宋体"/>
          <w:b/>
          <w:color w:val="auto"/>
          <w:sz w:val="24"/>
          <w:szCs w:val="24"/>
          <w:highlight w:val="none"/>
        </w:rPr>
        <w:t>目 录</w:t>
      </w:r>
      <w:bookmarkEnd w:id="410"/>
      <w:bookmarkEnd w:id="411"/>
      <w:bookmarkEnd w:id="412"/>
      <w:bookmarkEnd w:id="413"/>
    </w:p>
    <w:p w14:paraId="0B83D161">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一、投标函及投标函附录</w:t>
      </w:r>
    </w:p>
    <w:p w14:paraId="5B04406A">
      <w:pPr>
        <w:wordWrap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二、法定代表人证明或授权委托书</w:t>
      </w:r>
    </w:p>
    <w:p w14:paraId="4D281BF7">
      <w:pPr>
        <w:wordWrap w:val="0"/>
        <w:spacing w:line="360" w:lineRule="auto"/>
        <w:rPr>
          <w:rFonts w:hint="eastAsia" w:ascii="宋体" w:hAnsi="宋体" w:eastAsia="宋体" w:cs="Times New Roman"/>
          <w:strike/>
          <w:color w:val="auto"/>
          <w:sz w:val="24"/>
          <w:szCs w:val="24"/>
          <w:highlight w:val="none"/>
        </w:rPr>
      </w:pPr>
      <w:r>
        <w:rPr>
          <w:rFonts w:hint="eastAsia" w:ascii="宋体" w:hAnsi="宋体" w:eastAsia="宋体" w:cs="Times New Roman"/>
          <w:strike/>
          <w:color w:val="auto"/>
          <w:sz w:val="24"/>
          <w:szCs w:val="24"/>
          <w:highlight w:val="none"/>
        </w:rPr>
        <w:t>三、联合体协议书</w:t>
      </w:r>
    </w:p>
    <w:p w14:paraId="16C5BD6E">
      <w:pPr>
        <w:wordWrap w:val="0"/>
        <w:spacing w:line="360" w:lineRule="auto"/>
        <w:rPr>
          <w:rFonts w:hint="eastAsia" w:ascii="宋体" w:hAnsi="宋体" w:eastAsia="宋体" w:cs="Times New Roman"/>
          <w:strike/>
          <w:color w:val="auto"/>
          <w:sz w:val="24"/>
          <w:szCs w:val="24"/>
          <w:highlight w:val="none"/>
        </w:rPr>
      </w:pPr>
      <w:r>
        <w:rPr>
          <w:rFonts w:hint="eastAsia" w:ascii="宋体" w:hAnsi="宋体" w:eastAsia="宋体" w:cs="Times New Roman"/>
          <w:strike/>
          <w:color w:val="auto"/>
          <w:sz w:val="24"/>
          <w:szCs w:val="24"/>
          <w:highlight w:val="none"/>
        </w:rPr>
        <w:t>四、投标保证金</w:t>
      </w:r>
    </w:p>
    <w:p w14:paraId="3B00F19D">
      <w:pPr>
        <w:wordWrap w:val="0"/>
        <w:spacing w:line="360" w:lineRule="auto"/>
        <w:rPr>
          <w:rFonts w:hint="eastAsia"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五</w:t>
      </w:r>
      <w:r>
        <w:rPr>
          <w:rFonts w:hint="eastAsia" w:ascii="宋体" w:hAnsi="宋体" w:eastAsia="宋体" w:cs="Times New Roman"/>
          <w:color w:val="auto"/>
          <w:sz w:val="24"/>
          <w:szCs w:val="24"/>
          <w:highlight w:val="none"/>
        </w:rPr>
        <w:t>、监理报酬清单</w:t>
      </w:r>
    </w:p>
    <w:p w14:paraId="2E41E6E8">
      <w:pPr>
        <w:wordWrap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六、资格审查资料</w:t>
      </w:r>
    </w:p>
    <w:p w14:paraId="31442813">
      <w:pPr>
        <w:wordWrap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七、监理大纲</w:t>
      </w:r>
    </w:p>
    <w:p w14:paraId="1EC239EB">
      <w:pPr>
        <w:wordWrap w:val="0"/>
        <w:spacing w:line="360" w:lineRule="auto"/>
        <w:rPr>
          <w:rFonts w:hint="eastAsia" w:ascii="宋体" w:hAnsi="宋体" w:eastAsia="宋体" w:cs="Times New Roman"/>
          <w:color w:val="auto"/>
          <w:sz w:val="20"/>
          <w:highlight w:val="none"/>
        </w:rPr>
      </w:pPr>
      <w:bookmarkStart w:id="414" w:name="_Toc369531691"/>
      <w:bookmarkStart w:id="415" w:name="_Toc352691655"/>
      <w:bookmarkStart w:id="416" w:name="_Toc7039"/>
      <w:r>
        <w:rPr>
          <w:rFonts w:hint="eastAsia" w:ascii="宋体" w:hAnsi="宋体" w:eastAsia="宋体" w:cs="Times New Roman"/>
          <w:color w:val="auto"/>
          <w:sz w:val="24"/>
          <w:szCs w:val="24"/>
          <w:highlight w:val="none"/>
        </w:rPr>
        <w:t>八、其他资料</w:t>
      </w:r>
    </w:p>
    <w:p w14:paraId="1C34BE1F">
      <w:pPr>
        <w:wordWrap w:val="0"/>
        <w:spacing w:line="540" w:lineRule="exact"/>
        <w:rPr>
          <w:rFonts w:hint="eastAsia" w:ascii="宋体" w:hAnsi="宋体" w:eastAsia="宋体" w:cs="Times New Roman"/>
          <w:color w:val="auto"/>
          <w:sz w:val="20"/>
          <w:highlight w:val="none"/>
        </w:rPr>
      </w:pPr>
    </w:p>
    <w:p w14:paraId="2E6E6542">
      <w:pPr>
        <w:wordWrap w:val="0"/>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br w:type="page"/>
      </w:r>
      <w:bookmarkEnd w:id="414"/>
      <w:bookmarkEnd w:id="415"/>
      <w:bookmarkEnd w:id="416"/>
      <w:bookmarkStart w:id="417" w:name="_Toc22776"/>
      <w:bookmarkStart w:id="418" w:name="_Toc59200710"/>
      <w:bookmarkStart w:id="419" w:name="_Toc526786507"/>
      <w:r>
        <w:rPr>
          <w:rFonts w:hint="eastAsia" w:ascii="宋体" w:hAnsi="宋体" w:eastAsia="宋体" w:cs="宋体"/>
          <w:b/>
          <w:color w:val="auto"/>
          <w:sz w:val="32"/>
          <w:szCs w:val="20"/>
          <w:highlight w:val="none"/>
        </w:rPr>
        <w:t>一、投标</w:t>
      </w:r>
      <w:bookmarkStart w:id="420" w:name="_Toc6931"/>
      <w:bookmarkStart w:id="421" w:name="_Toc352691656"/>
      <w:bookmarkStart w:id="422" w:name="_Toc369531692"/>
      <w:r>
        <w:rPr>
          <w:rFonts w:hint="eastAsia" w:ascii="宋体" w:hAnsi="宋体" w:eastAsia="宋体" w:cs="宋体"/>
          <w:b/>
          <w:color w:val="auto"/>
          <w:sz w:val="32"/>
          <w:szCs w:val="20"/>
          <w:highlight w:val="none"/>
        </w:rPr>
        <w:t>函及投标函附录</w:t>
      </w:r>
      <w:bookmarkEnd w:id="417"/>
      <w:bookmarkEnd w:id="418"/>
      <w:bookmarkEnd w:id="419"/>
    </w:p>
    <w:bookmarkEnd w:id="420"/>
    <w:bookmarkEnd w:id="421"/>
    <w:bookmarkEnd w:id="422"/>
    <w:p w14:paraId="5C2F5F14">
      <w:pPr>
        <w:keepNext/>
        <w:keepLines/>
        <w:wordWrap w:val="0"/>
        <w:spacing w:line="360" w:lineRule="auto"/>
        <w:outlineLvl w:val="2"/>
        <w:rPr>
          <w:rFonts w:hint="eastAsia" w:ascii="宋体" w:hAnsi="宋体" w:eastAsia="宋体" w:cs="宋体"/>
          <w:b/>
          <w:color w:val="auto"/>
          <w:sz w:val="28"/>
          <w:szCs w:val="20"/>
          <w:highlight w:val="none"/>
        </w:rPr>
      </w:pPr>
      <w:bookmarkStart w:id="423" w:name="_Toc526786508"/>
      <w:bookmarkStart w:id="424" w:name="_Toc391394111"/>
      <w:bookmarkStart w:id="425" w:name="_Toc482188651"/>
      <w:bookmarkStart w:id="426" w:name="_Toc385943065"/>
      <w:bookmarkStart w:id="427" w:name="_Toc359594235"/>
      <w:bookmarkStart w:id="428" w:name="_Toc14291"/>
      <w:bookmarkStart w:id="429" w:name="_Toc59200711"/>
      <w:bookmarkStart w:id="430" w:name="_Toc370676426"/>
      <w:bookmarkStart w:id="431" w:name="_Toc30766"/>
      <w:r>
        <w:rPr>
          <w:rFonts w:hint="eastAsia" w:ascii="宋体" w:hAnsi="宋体" w:eastAsia="宋体" w:cs="宋体"/>
          <w:b/>
          <w:color w:val="auto"/>
          <w:sz w:val="28"/>
          <w:szCs w:val="20"/>
          <w:highlight w:val="none"/>
        </w:rPr>
        <w:t>（一）投标函</w:t>
      </w:r>
      <w:bookmarkEnd w:id="423"/>
      <w:bookmarkEnd w:id="424"/>
      <w:bookmarkEnd w:id="425"/>
      <w:bookmarkEnd w:id="426"/>
      <w:bookmarkEnd w:id="427"/>
      <w:bookmarkEnd w:id="428"/>
      <w:bookmarkEnd w:id="429"/>
      <w:bookmarkEnd w:id="430"/>
      <w:bookmarkEnd w:id="431"/>
    </w:p>
    <w:p w14:paraId="205F74C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（招标人名称）：</w:t>
      </w:r>
    </w:p>
    <w:p w14:paraId="090EFEF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1.我方已仔细研究了</w:t>
      </w:r>
      <w:r>
        <w:rPr>
          <w:rFonts w:hint="eastAsia" w:ascii="宋体" w:hAnsi="宋体" w:eastAsia="宋体" w:cs="宋体"/>
          <w:color w:val="auto"/>
          <w:sz w:val="24"/>
          <w:szCs w:val="24"/>
          <w:highlight w:val="none"/>
          <w:u w:val="single"/>
        </w:rPr>
        <w:t>（项目名称）      的</w:t>
      </w:r>
      <w:r>
        <w:rPr>
          <w:rFonts w:hint="eastAsia" w:ascii="宋体" w:hAnsi="宋体" w:eastAsia="宋体" w:cs="宋体"/>
          <w:color w:val="auto"/>
          <w:sz w:val="24"/>
          <w:szCs w:val="24"/>
          <w:highlight w:val="none"/>
        </w:rPr>
        <w:t>监理招标项目招标文件的全部内容，愿意以人民币（大写）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元）的投标报价，监理下浮率为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，监理服务期限：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，按合同约定完成监理工作。</w:t>
      </w:r>
    </w:p>
    <w:p w14:paraId="1F56E31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我方的投标文件包括下列内容：</w:t>
      </w:r>
    </w:p>
    <w:p w14:paraId="6FB7D75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7ACC3E4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（2）法定代表人证明或授权委托书；</w:t>
      </w:r>
    </w:p>
    <w:p w14:paraId="087D18F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（3）联合体协议书（如有）；</w:t>
      </w:r>
    </w:p>
    <w:p w14:paraId="423344A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（4）投标保证金（如有）；</w:t>
      </w:r>
    </w:p>
    <w:p w14:paraId="43DD5F6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（5）监理报酬清单；</w:t>
      </w:r>
    </w:p>
    <w:p w14:paraId="1EA10C9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（6）资格审查资料；</w:t>
      </w:r>
    </w:p>
    <w:p w14:paraId="1C1CF85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（7）监理大纲；</w:t>
      </w:r>
    </w:p>
    <w:p w14:paraId="3D411E4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（7）其他资料。投标文件的上述组成部分如存在内容不一致的，以投标函为准。</w:t>
      </w:r>
    </w:p>
    <w:p w14:paraId="063315E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3．我方承诺在招标文件规定的投标有效期内不撤销投标文件。</w:t>
      </w:r>
    </w:p>
    <w:p w14:paraId="70DD35A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4．如我方中标，我方承诺：</w:t>
      </w:r>
    </w:p>
    <w:p w14:paraId="715F707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（1）在收到中标通知书后，在中标通知书规定的期限内与你方签订合同；</w:t>
      </w:r>
    </w:p>
    <w:p w14:paraId="7569DB7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（2）在签订合同时不向你方提出附加条件；</w:t>
      </w:r>
    </w:p>
    <w:p w14:paraId="2904987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432" w:name="_Toc352691658"/>
      <w:bookmarkStart w:id="433" w:name="_Toc1187"/>
      <w:bookmarkStart w:id="434" w:name="_Toc369531694"/>
      <w:r>
        <w:rPr>
          <w:rFonts w:hint="eastAsia" w:ascii="宋体" w:hAnsi="宋体" w:eastAsia="宋体" w:cs="宋体"/>
          <w:color w:val="auto"/>
          <w:sz w:val="24"/>
          <w:szCs w:val="24"/>
          <w:highlight w:val="none"/>
        </w:rPr>
        <w:t>（3）按照招标文件要求提交履约保证金（如要求）；</w:t>
      </w:r>
    </w:p>
    <w:p w14:paraId="79166A6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（4）在合</w:t>
      </w:r>
      <w:bookmarkEnd w:id="432"/>
      <w:bookmarkEnd w:id="433"/>
      <w:bookmarkEnd w:id="434"/>
      <w:r>
        <w:rPr>
          <w:rFonts w:hint="eastAsia" w:ascii="宋体" w:hAnsi="宋体" w:eastAsia="宋体" w:cs="宋体"/>
          <w:color w:val="auto"/>
          <w:sz w:val="24"/>
          <w:szCs w:val="24"/>
          <w:highlight w:val="none"/>
        </w:rPr>
        <w:t>同约定的期限内完成合同规定的全部义务。</w:t>
      </w:r>
    </w:p>
    <w:p w14:paraId="23C8C38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（5）承诺本项目拟投入的人员为本单位人员，并已按规定购买社保。</w:t>
      </w:r>
    </w:p>
    <w:p w14:paraId="6BFC03F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5．我方在此声明，所递交的投标文件及有关资料内容完整、真实和准确，且不存在第二章“投标人须知”第1.4.3项规定的任何一种情形。</w:t>
      </w:r>
    </w:p>
    <w:p w14:paraId="3E304CB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（其他补充说明）。</w:t>
      </w:r>
    </w:p>
    <w:bookmarkEnd w:id="208"/>
    <w:bookmarkEnd w:id="209"/>
    <w:bookmarkEnd w:id="210"/>
    <w:bookmarkEnd w:id="211"/>
    <w:bookmarkEnd w:id="212"/>
    <w:bookmarkEnd w:id="213"/>
    <w:bookmarkEnd w:id="214"/>
    <w:bookmarkEnd w:id="215"/>
    <w:bookmarkEnd w:id="216"/>
    <w:p w14:paraId="39A6B24B">
      <w:pPr>
        <w:keepNext w:val="0"/>
        <w:keepLines w:val="0"/>
        <w:pageBreakBefore w:val="0"/>
        <w:widowControl w:val="0"/>
        <w:kinsoku/>
        <w:wordWrap w:val="0"/>
        <w:overflowPunct/>
        <w:topLinePunct w:val="0"/>
        <w:autoSpaceDE/>
        <w:autoSpaceDN/>
        <w:bidi w:val="0"/>
        <w:adjustRightInd/>
        <w:snapToGrid/>
        <w:spacing w:line="360" w:lineRule="auto"/>
        <w:ind w:firstLine="2880" w:firstLineChars="1200"/>
        <w:jc w:val="left"/>
        <w:textAlignment w:val="auto"/>
        <w:rPr>
          <w:rFonts w:hint="eastAsia" w:ascii="宋体" w:hAnsi="宋体" w:eastAsia="宋体" w:cs="宋体"/>
          <w:color w:val="auto"/>
          <w:sz w:val="24"/>
          <w:szCs w:val="24"/>
          <w:highlight w:val="none"/>
          <w:u w:val="single"/>
        </w:rPr>
      </w:pPr>
      <w:bookmarkStart w:id="435" w:name="_Toc369531695"/>
      <w:bookmarkEnd w:id="435"/>
      <w:bookmarkStart w:id="436" w:name="_Toc16824"/>
      <w:bookmarkEnd w:id="436"/>
      <w:bookmarkStart w:id="437" w:name="_Toc369531696"/>
      <w:bookmarkEnd w:id="437"/>
      <w:bookmarkStart w:id="438" w:name="_Toc352691659"/>
      <w:bookmarkEnd w:id="438"/>
      <w:bookmarkStart w:id="439" w:name="_Toc352691660"/>
      <w:bookmarkEnd w:id="439"/>
      <w:bookmarkStart w:id="440" w:name="_Toc16568"/>
      <w:bookmarkEnd w:id="440"/>
      <w:r>
        <w:rPr>
          <w:rFonts w:hint="eastAsia" w:ascii="宋体" w:hAnsi="宋体" w:eastAsia="宋体" w:cs="宋体"/>
          <w:color w:val="auto"/>
          <w:sz w:val="24"/>
          <w:szCs w:val="24"/>
          <w:highlight w:val="none"/>
        </w:rPr>
        <w:t>投 标 人：（盖单位章）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6E5D5601">
      <w:pPr>
        <w:keepNext w:val="0"/>
        <w:keepLines w:val="0"/>
        <w:pageBreakBefore w:val="0"/>
        <w:widowControl w:val="0"/>
        <w:kinsoku/>
        <w:wordWrap w:val="0"/>
        <w:overflowPunct/>
        <w:topLinePunct w:val="0"/>
        <w:autoSpaceDE/>
        <w:autoSpaceDN/>
        <w:bidi w:val="0"/>
        <w:adjustRightInd/>
        <w:snapToGrid/>
        <w:spacing w:line="360" w:lineRule="auto"/>
        <w:ind w:firstLine="2880" w:firstLineChars="1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法定代表人或授权委托人（签字或盖章）：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B12B625">
      <w:pPr>
        <w:keepNext w:val="0"/>
        <w:keepLines w:val="0"/>
        <w:pageBreakBefore w:val="0"/>
        <w:widowControl w:val="0"/>
        <w:kinsoku/>
        <w:wordWrap w:val="0"/>
        <w:overflowPunct/>
        <w:topLinePunct w:val="0"/>
        <w:autoSpaceDE/>
        <w:autoSpaceDN/>
        <w:bidi w:val="0"/>
        <w:adjustRightInd/>
        <w:snapToGrid/>
        <w:spacing w:line="360" w:lineRule="auto"/>
        <w:ind w:firstLine="2880" w:firstLineChars="1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27E28D8C">
      <w:pPr>
        <w:keepNext w:val="0"/>
        <w:keepLines w:val="0"/>
        <w:pageBreakBefore w:val="0"/>
        <w:widowControl w:val="0"/>
        <w:kinsoku/>
        <w:wordWrap w:val="0"/>
        <w:overflowPunct/>
        <w:topLinePunct w:val="0"/>
        <w:autoSpaceDE/>
        <w:autoSpaceDN/>
        <w:bidi w:val="0"/>
        <w:adjustRightInd/>
        <w:snapToGrid/>
        <w:spacing w:line="360" w:lineRule="auto"/>
        <w:ind w:firstLine="2880" w:firstLineChars="1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395D011C">
      <w:pPr>
        <w:keepNext w:val="0"/>
        <w:keepLines w:val="0"/>
        <w:pageBreakBefore w:val="0"/>
        <w:widowControl w:val="0"/>
        <w:kinsoku/>
        <w:wordWrap w:val="0"/>
        <w:overflowPunct/>
        <w:topLinePunct w:val="0"/>
        <w:autoSpaceDE/>
        <w:autoSpaceDN/>
        <w:bidi w:val="0"/>
        <w:adjustRightInd/>
        <w:snapToGrid/>
        <w:spacing w:line="360" w:lineRule="auto"/>
        <w:ind w:firstLine="2880" w:firstLineChars="1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4000736D">
      <w:pPr>
        <w:keepNext w:val="0"/>
        <w:keepLines w:val="0"/>
        <w:pageBreakBefore w:val="0"/>
        <w:widowControl w:val="0"/>
        <w:kinsoku/>
        <w:wordWrap w:val="0"/>
        <w:overflowPunct/>
        <w:topLinePunct w:val="0"/>
        <w:autoSpaceDE/>
        <w:autoSpaceDN/>
        <w:bidi w:val="0"/>
        <w:adjustRightInd/>
        <w:snapToGrid/>
        <w:spacing w:line="360" w:lineRule="auto"/>
        <w:ind w:firstLine="2880" w:firstLineChars="1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6C58F7C8">
      <w:pPr>
        <w:keepNext w:val="0"/>
        <w:keepLines w:val="0"/>
        <w:pageBreakBefore w:val="0"/>
        <w:widowControl w:val="0"/>
        <w:kinsoku/>
        <w:wordWrap w:val="0"/>
        <w:overflowPunct/>
        <w:topLinePunct w:val="0"/>
        <w:autoSpaceDE/>
        <w:autoSpaceDN/>
        <w:bidi w:val="0"/>
        <w:adjustRightInd/>
        <w:snapToGrid/>
        <w:spacing w:line="360" w:lineRule="auto"/>
        <w:ind w:firstLine="5400" w:firstLineChars="225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bookmarkStart w:id="441" w:name="_Toc369531697"/>
      <w:bookmarkStart w:id="442" w:name="_Toc144974856"/>
      <w:bookmarkStart w:id="443" w:name="_Toc152045787"/>
      <w:bookmarkStart w:id="444" w:name="_Toc152042576"/>
      <w:bookmarkStart w:id="445" w:name="_Toc17960"/>
      <w:bookmarkStart w:id="446" w:name="_Toc361508752"/>
      <w:bookmarkStart w:id="447" w:name="_Toc247527827"/>
      <w:bookmarkStart w:id="448" w:name="_Toc247514246"/>
      <w:bookmarkStart w:id="449" w:name="_Toc300835209"/>
      <w:bookmarkStart w:id="450" w:name="_Toc352691661"/>
      <w:bookmarkStart w:id="451" w:name="_Toc384308375"/>
    </w:p>
    <w:p w14:paraId="2C26B608">
      <w:pPr>
        <w:keepNext/>
        <w:keepLines/>
        <w:wordWrap w:val="0"/>
        <w:spacing w:line="360" w:lineRule="auto"/>
        <w:outlineLvl w:val="2"/>
        <w:rPr>
          <w:rFonts w:hint="eastAsia" w:ascii="宋体" w:hAnsi="宋体" w:eastAsia="宋体" w:cs="宋体"/>
          <w:b/>
          <w:color w:val="auto"/>
          <w:sz w:val="28"/>
          <w:szCs w:val="20"/>
          <w:highlight w:val="none"/>
        </w:rPr>
      </w:pPr>
      <w:bookmarkStart w:id="452" w:name="_Toc391394112"/>
      <w:bookmarkStart w:id="453" w:name="_Toc359594236"/>
      <w:bookmarkStart w:id="454" w:name="_Toc370676427"/>
      <w:bookmarkStart w:id="455" w:name="_Toc526786509"/>
      <w:bookmarkStart w:id="456" w:name="_Toc385943066"/>
      <w:bookmarkStart w:id="457" w:name="_Toc27307"/>
      <w:bookmarkStart w:id="458" w:name="_Toc59200712"/>
      <w:bookmarkStart w:id="459" w:name="_Toc4306"/>
      <w:bookmarkStart w:id="460" w:name="_Toc482188652"/>
      <w:r>
        <w:rPr>
          <w:rFonts w:hint="eastAsia" w:ascii="宋体" w:hAnsi="宋体" w:eastAsia="宋体" w:cs="宋体"/>
          <w:b/>
          <w:color w:val="auto"/>
          <w:sz w:val="28"/>
          <w:szCs w:val="20"/>
          <w:highlight w:val="none"/>
        </w:rPr>
        <w:br w:type="page"/>
      </w:r>
      <w:r>
        <w:rPr>
          <w:rFonts w:hint="eastAsia" w:ascii="宋体" w:hAnsi="宋体" w:eastAsia="宋体" w:cs="宋体"/>
          <w:b/>
          <w:color w:val="auto"/>
          <w:sz w:val="28"/>
          <w:szCs w:val="20"/>
          <w:highlight w:val="none"/>
        </w:rPr>
        <w:t>（二）投标函附录</w:t>
      </w:r>
      <w:bookmarkEnd w:id="452"/>
      <w:bookmarkEnd w:id="453"/>
      <w:bookmarkEnd w:id="454"/>
      <w:bookmarkEnd w:id="455"/>
      <w:bookmarkEnd w:id="456"/>
      <w:bookmarkEnd w:id="457"/>
      <w:bookmarkEnd w:id="458"/>
      <w:bookmarkEnd w:id="459"/>
      <w:bookmarkEnd w:id="460"/>
    </w:p>
    <w:tbl>
      <w:tblPr>
        <w:tblStyle w:val="25"/>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2308"/>
        <w:gridCol w:w="4103"/>
        <w:gridCol w:w="2721"/>
      </w:tblGrid>
      <w:tr w14:paraId="7863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93" w:type="pct"/>
            <w:vAlign w:val="center"/>
          </w:tcPr>
          <w:p w14:paraId="64222CD7">
            <w:pPr>
              <w:wordWrap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164" w:type="pct"/>
            <w:vAlign w:val="center"/>
          </w:tcPr>
          <w:p w14:paraId="0E1F2F71">
            <w:pPr>
              <w:wordWrap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2069" w:type="pct"/>
            <w:vAlign w:val="center"/>
          </w:tcPr>
          <w:p w14:paraId="5D6BB4C7">
            <w:pPr>
              <w:wordWrap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约定内容</w:t>
            </w:r>
          </w:p>
        </w:tc>
        <w:tc>
          <w:tcPr>
            <w:tcW w:w="1372" w:type="pct"/>
            <w:vAlign w:val="center"/>
          </w:tcPr>
          <w:p w14:paraId="08030F03">
            <w:pPr>
              <w:wordWrap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6AC1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93" w:type="pct"/>
            <w:vAlign w:val="center"/>
          </w:tcPr>
          <w:p w14:paraId="20631D36">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64" w:type="pct"/>
            <w:vAlign w:val="center"/>
          </w:tcPr>
          <w:p w14:paraId="15646960">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w:t>
            </w:r>
          </w:p>
        </w:tc>
        <w:tc>
          <w:tcPr>
            <w:tcW w:w="2069" w:type="pct"/>
            <w:vAlign w:val="center"/>
          </w:tcPr>
          <w:p w14:paraId="482B49A9">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p>
          <w:p w14:paraId="3FB5C4AB">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r>
              <w:rPr>
                <w:rFonts w:hint="eastAsia" w:ascii="宋体" w:hAnsi="宋体" w:eastAsia="宋体" w:cs="宋体"/>
                <w:color w:val="auto"/>
                <w:szCs w:val="21"/>
                <w:highlight w:val="none"/>
                <w:u w:val="single"/>
              </w:rPr>
              <w:t xml:space="preserve">                         </w:t>
            </w:r>
          </w:p>
          <w:p w14:paraId="3B4699A8">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注册证号：</w:t>
            </w:r>
            <w:r>
              <w:rPr>
                <w:rFonts w:hint="eastAsia" w:ascii="宋体" w:hAnsi="宋体" w:eastAsia="宋体" w:cs="宋体"/>
                <w:color w:val="auto"/>
                <w:szCs w:val="21"/>
                <w:highlight w:val="none"/>
                <w:u w:val="single"/>
              </w:rPr>
              <w:t xml:space="preserve">                         </w:t>
            </w:r>
          </w:p>
        </w:tc>
        <w:tc>
          <w:tcPr>
            <w:tcW w:w="1372" w:type="pct"/>
            <w:vAlign w:val="center"/>
          </w:tcPr>
          <w:p w14:paraId="1E818B17">
            <w:pPr>
              <w:wordWrap w:val="0"/>
              <w:spacing w:line="276" w:lineRule="auto"/>
              <w:jc w:val="left"/>
              <w:rPr>
                <w:rFonts w:hint="eastAsia" w:ascii="宋体" w:hAnsi="宋体" w:eastAsia="宋体" w:cs="宋体"/>
                <w:color w:val="auto"/>
                <w:szCs w:val="21"/>
                <w:highlight w:val="none"/>
              </w:rPr>
            </w:pPr>
          </w:p>
        </w:tc>
      </w:tr>
      <w:tr w14:paraId="71D3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93" w:type="pct"/>
            <w:vAlign w:val="center"/>
          </w:tcPr>
          <w:p w14:paraId="226FEA75">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64" w:type="pct"/>
            <w:vAlign w:val="center"/>
          </w:tcPr>
          <w:p w14:paraId="3A825189">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监理服务期限</w:t>
            </w:r>
          </w:p>
        </w:tc>
        <w:tc>
          <w:tcPr>
            <w:tcW w:w="2069" w:type="pct"/>
            <w:vAlign w:val="center"/>
          </w:tcPr>
          <w:p w14:paraId="347ED61A">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按招标文件要求</w:t>
            </w:r>
          </w:p>
        </w:tc>
        <w:tc>
          <w:tcPr>
            <w:tcW w:w="1372" w:type="pct"/>
            <w:vAlign w:val="center"/>
          </w:tcPr>
          <w:p w14:paraId="00E87B6A">
            <w:pPr>
              <w:wordWrap w:val="0"/>
              <w:spacing w:line="276" w:lineRule="auto"/>
              <w:jc w:val="left"/>
              <w:rPr>
                <w:rFonts w:hint="eastAsia" w:ascii="宋体" w:hAnsi="宋体" w:eastAsia="宋体" w:cs="宋体"/>
                <w:color w:val="auto"/>
                <w:szCs w:val="21"/>
                <w:highlight w:val="none"/>
              </w:rPr>
            </w:pPr>
          </w:p>
        </w:tc>
      </w:tr>
      <w:tr w14:paraId="622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93" w:type="pct"/>
            <w:vAlign w:val="center"/>
          </w:tcPr>
          <w:p w14:paraId="527478ED">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64" w:type="pct"/>
            <w:vAlign w:val="center"/>
          </w:tcPr>
          <w:p w14:paraId="594FEC7F">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合同价款确定方式</w:t>
            </w:r>
          </w:p>
        </w:tc>
        <w:tc>
          <w:tcPr>
            <w:tcW w:w="2069" w:type="pct"/>
            <w:vAlign w:val="center"/>
          </w:tcPr>
          <w:p w14:paraId="6A309A27">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按招标文件要求</w:t>
            </w:r>
          </w:p>
        </w:tc>
        <w:tc>
          <w:tcPr>
            <w:tcW w:w="1372" w:type="pct"/>
            <w:vAlign w:val="center"/>
          </w:tcPr>
          <w:p w14:paraId="6596B816">
            <w:pPr>
              <w:wordWrap w:val="0"/>
              <w:spacing w:line="276" w:lineRule="auto"/>
              <w:jc w:val="left"/>
              <w:rPr>
                <w:rFonts w:hint="eastAsia" w:ascii="宋体" w:hAnsi="宋体" w:eastAsia="宋体" w:cs="宋体"/>
                <w:color w:val="auto"/>
                <w:szCs w:val="21"/>
                <w:highlight w:val="none"/>
              </w:rPr>
            </w:pPr>
          </w:p>
        </w:tc>
      </w:tr>
      <w:tr w14:paraId="238D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93" w:type="pct"/>
            <w:vAlign w:val="center"/>
          </w:tcPr>
          <w:p w14:paraId="2965A725">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64" w:type="pct"/>
            <w:vAlign w:val="center"/>
          </w:tcPr>
          <w:p w14:paraId="3BC9F5FB">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2069" w:type="pct"/>
            <w:vAlign w:val="center"/>
          </w:tcPr>
          <w:p w14:paraId="4DEE7939">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合格</w:t>
            </w:r>
          </w:p>
        </w:tc>
        <w:tc>
          <w:tcPr>
            <w:tcW w:w="1372" w:type="pct"/>
            <w:vAlign w:val="center"/>
          </w:tcPr>
          <w:p w14:paraId="50AD4DC8">
            <w:pPr>
              <w:wordWrap w:val="0"/>
              <w:spacing w:line="276" w:lineRule="auto"/>
              <w:jc w:val="left"/>
              <w:rPr>
                <w:rFonts w:hint="eastAsia" w:ascii="宋体" w:hAnsi="宋体" w:eastAsia="宋体" w:cs="宋体"/>
                <w:color w:val="auto"/>
                <w:szCs w:val="21"/>
                <w:highlight w:val="none"/>
              </w:rPr>
            </w:pPr>
          </w:p>
        </w:tc>
      </w:tr>
      <w:tr w14:paraId="202D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3" w:type="pct"/>
            <w:vAlign w:val="center"/>
          </w:tcPr>
          <w:p w14:paraId="135146F7">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64" w:type="pct"/>
            <w:vAlign w:val="center"/>
          </w:tcPr>
          <w:p w14:paraId="301C2B80">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监理人员</w:t>
            </w:r>
          </w:p>
        </w:tc>
        <w:tc>
          <w:tcPr>
            <w:tcW w:w="2069" w:type="pct"/>
            <w:vAlign w:val="center"/>
          </w:tcPr>
          <w:p w14:paraId="43BDA910">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驻场监理人数：</w:t>
            </w:r>
            <w:r>
              <w:rPr>
                <w:rFonts w:hint="eastAsia" w:ascii="宋体" w:hAnsi="宋体" w:eastAsia="宋体" w:cs="宋体"/>
                <w:color w:val="auto"/>
                <w:szCs w:val="21"/>
                <w:highlight w:val="none"/>
                <w:u w:val="single"/>
              </w:rPr>
              <w:t xml:space="preserve">      </w:t>
            </w:r>
          </w:p>
          <w:p w14:paraId="5E0BA34D">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监理工程师人数:</w:t>
            </w:r>
            <w:r>
              <w:rPr>
                <w:rFonts w:hint="eastAsia" w:ascii="宋体" w:hAnsi="宋体" w:eastAsia="宋体" w:cs="宋体"/>
                <w:color w:val="auto"/>
                <w:szCs w:val="21"/>
                <w:highlight w:val="none"/>
                <w:u w:val="single"/>
              </w:rPr>
              <w:t xml:space="preserve">     </w:t>
            </w:r>
          </w:p>
        </w:tc>
        <w:tc>
          <w:tcPr>
            <w:tcW w:w="1372" w:type="pct"/>
            <w:vAlign w:val="center"/>
          </w:tcPr>
          <w:p w14:paraId="7F84AEAA">
            <w:pPr>
              <w:wordWrap w:val="0"/>
              <w:spacing w:line="276" w:lineRule="auto"/>
              <w:jc w:val="left"/>
              <w:rPr>
                <w:rFonts w:hint="eastAsia" w:ascii="宋体" w:hAnsi="宋体" w:eastAsia="宋体" w:cs="宋体"/>
                <w:color w:val="auto"/>
                <w:szCs w:val="21"/>
                <w:highlight w:val="none"/>
              </w:rPr>
            </w:pPr>
          </w:p>
        </w:tc>
      </w:tr>
      <w:tr w14:paraId="7ABA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93" w:type="pct"/>
            <w:vAlign w:val="center"/>
          </w:tcPr>
          <w:p w14:paraId="1351474A">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164" w:type="pct"/>
            <w:vAlign w:val="center"/>
          </w:tcPr>
          <w:p w14:paraId="3028A745">
            <w:pPr>
              <w:wordWrap w:val="0"/>
              <w:spacing w:line="276" w:lineRule="auto"/>
              <w:jc w:val="left"/>
              <w:rPr>
                <w:rFonts w:hint="eastAsia" w:ascii="宋体" w:hAnsi="宋体" w:eastAsia="宋体" w:cs="宋体"/>
                <w:color w:val="auto"/>
                <w:szCs w:val="21"/>
                <w:highlight w:val="none"/>
              </w:rPr>
            </w:pPr>
            <w:bookmarkStart w:id="461" w:name="_Hlk79673015"/>
            <w:r>
              <w:rPr>
                <w:rFonts w:hint="eastAsia" w:ascii="宋体" w:hAnsi="宋体" w:eastAsia="宋体" w:cs="宋体"/>
                <w:color w:val="auto"/>
                <w:szCs w:val="21"/>
                <w:highlight w:val="none"/>
              </w:rPr>
              <w:t>暂定工程费</w:t>
            </w:r>
            <w:bookmarkEnd w:id="461"/>
          </w:p>
        </w:tc>
        <w:tc>
          <w:tcPr>
            <w:tcW w:w="2069" w:type="pct"/>
            <w:vAlign w:val="center"/>
          </w:tcPr>
          <w:p w14:paraId="22A5BD30">
            <w:pPr>
              <w:wordWrap w:val="0"/>
              <w:spacing w:line="276" w:lineRule="auto"/>
              <w:jc w:val="left"/>
              <w:rPr>
                <w:rFonts w:hint="eastAsia" w:ascii="宋体" w:hAnsi="宋体" w:eastAsia="宋体" w:cs="宋体"/>
                <w:color w:val="auto"/>
                <w:szCs w:val="21"/>
                <w:highlight w:val="none"/>
                <w:u w:val="single"/>
              </w:rPr>
            </w:pPr>
            <w:bookmarkStart w:id="462" w:name="_Hlk79665979"/>
            <w:r>
              <w:rPr>
                <w:rFonts w:hint="eastAsia" w:ascii="宋体" w:hAnsi="宋体" w:eastAsia="宋体" w:cs="宋体"/>
                <w:color w:val="auto"/>
                <w:szCs w:val="21"/>
                <w:highlight w:val="none"/>
              </w:rPr>
              <w:t>/万元</w:t>
            </w:r>
            <w:bookmarkEnd w:id="462"/>
          </w:p>
        </w:tc>
        <w:tc>
          <w:tcPr>
            <w:tcW w:w="1372" w:type="pct"/>
            <w:vAlign w:val="center"/>
          </w:tcPr>
          <w:p w14:paraId="4B5799FA">
            <w:pPr>
              <w:wordWrap w:val="0"/>
              <w:spacing w:line="276" w:lineRule="auto"/>
              <w:jc w:val="left"/>
              <w:rPr>
                <w:rFonts w:hint="eastAsia" w:ascii="宋体" w:hAnsi="宋体" w:eastAsia="宋体" w:cs="宋体"/>
                <w:color w:val="auto"/>
                <w:szCs w:val="21"/>
                <w:highlight w:val="none"/>
              </w:rPr>
            </w:pPr>
          </w:p>
        </w:tc>
      </w:tr>
      <w:tr w14:paraId="3A2B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93" w:type="pct"/>
            <w:vAlign w:val="center"/>
          </w:tcPr>
          <w:p w14:paraId="6F3753FF">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164" w:type="pct"/>
            <w:vAlign w:val="center"/>
          </w:tcPr>
          <w:p w14:paraId="389E41F7">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2069" w:type="pct"/>
            <w:vAlign w:val="center"/>
          </w:tcPr>
          <w:p w14:paraId="2A5582F7">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tc>
        <w:tc>
          <w:tcPr>
            <w:tcW w:w="1372" w:type="pct"/>
            <w:vAlign w:val="center"/>
          </w:tcPr>
          <w:p w14:paraId="2D8DF63A">
            <w:pPr>
              <w:wordWrap w:val="0"/>
              <w:spacing w:line="276" w:lineRule="auto"/>
              <w:jc w:val="left"/>
              <w:rPr>
                <w:rFonts w:hint="eastAsia" w:ascii="宋体" w:hAnsi="宋体" w:eastAsia="宋体" w:cs="宋体"/>
                <w:color w:val="auto"/>
                <w:szCs w:val="21"/>
                <w:highlight w:val="none"/>
              </w:rPr>
            </w:pPr>
          </w:p>
        </w:tc>
      </w:tr>
      <w:tr w14:paraId="35A1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93" w:type="pct"/>
            <w:vAlign w:val="center"/>
          </w:tcPr>
          <w:p w14:paraId="4153C729">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164" w:type="pct"/>
            <w:vAlign w:val="center"/>
          </w:tcPr>
          <w:p w14:paraId="460C5738">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监理下浮率</w:t>
            </w:r>
          </w:p>
        </w:tc>
        <w:tc>
          <w:tcPr>
            <w:tcW w:w="2069" w:type="pct"/>
            <w:vAlign w:val="center"/>
          </w:tcPr>
          <w:p w14:paraId="627AEBB0">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c>
          <w:tcPr>
            <w:tcW w:w="1372" w:type="pct"/>
            <w:vAlign w:val="center"/>
          </w:tcPr>
          <w:p w14:paraId="20B0B1CE">
            <w:pPr>
              <w:wordWrap w:val="0"/>
              <w:spacing w:line="276"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下浮率=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1-投标报价/最高投标限价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*100%</w:t>
            </w:r>
          </w:p>
        </w:tc>
      </w:tr>
      <w:tr w14:paraId="61AC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93" w:type="pct"/>
            <w:vAlign w:val="center"/>
          </w:tcPr>
          <w:p w14:paraId="209E939B">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164" w:type="pct"/>
            <w:vAlign w:val="center"/>
          </w:tcPr>
          <w:p w14:paraId="7E915335">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法人营业执照证号</w:t>
            </w:r>
          </w:p>
        </w:tc>
        <w:tc>
          <w:tcPr>
            <w:tcW w:w="2069" w:type="pct"/>
            <w:vAlign w:val="center"/>
          </w:tcPr>
          <w:p w14:paraId="28321769">
            <w:pPr>
              <w:wordWrap w:val="0"/>
              <w:spacing w:line="276" w:lineRule="auto"/>
              <w:jc w:val="left"/>
              <w:rPr>
                <w:rFonts w:hint="eastAsia" w:ascii="宋体" w:hAnsi="宋体" w:eastAsia="宋体" w:cs="宋体"/>
                <w:color w:val="auto"/>
                <w:szCs w:val="21"/>
                <w:highlight w:val="none"/>
              </w:rPr>
            </w:pPr>
          </w:p>
        </w:tc>
        <w:tc>
          <w:tcPr>
            <w:tcW w:w="1372" w:type="pct"/>
            <w:vAlign w:val="center"/>
          </w:tcPr>
          <w:p w14:paraId="24B8D410">
            <w:pPr>
              <w:wordWrap w:val="0"/>
              <w:spacing w:line="276" w:lineRule="auto"/>
              <w:jc w:val="center"/>
              <w:rPr>
                <w:rFonts w:hint="eastAsia" w:ascii="宋体" w:hAnsi="宋体" w:eastAsia="宋体" w:cs="宋体"/>
                <w:color w:val="auto"/>
                <w:szCs w:val="21"/>
                <w:highlight w:val="none"/>
              </w:rPr>
            </w:pPr>
          </w:p>
        </w:tc>
      </w:tr>
      <w:tr w14:paraId="7351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93" w:type="pct"/>
            <w:vAlign w:val="center"/>
          </w:tcPr>
          <w:p w14:paraId="26CC24F0">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164" w:type="pct"/>
            <w:vAlign w:val="center"/>
          </w:tcPr>
          <w:p w14:paraId="00B1E242">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资质等级及证书号</w:t>
            </w:r>
          </w:p>
        </w:tc>
        <w:tc>
          <w:tcPr>
            <w:tcW w:w="2069" w:type="pct"/>
            <w:vAlign w:val="center"/>
          </w:tcPr>
          <w:p w14:paraId="4341B400">
            <w:pPr>
              <w:wordWrap w:val="0"/>
              <w:spacing w:line="276" w:lineRule="auto"/>
              <w:jc w:val="left"/>
              <w:rPr>
                <w:rFonts w:hint="eastAsia" w:ascii="宋体" w:hAnsi="宋体" w:eastAsia="宋体" w:cs="宋体"/>
                <w:color w:val="auto"/>
                <w:szCs w:val="21"/>
                <w:highlight w:val="none"/>
              </w:rPr>
            </w:pPr>
          </w:p>
        </w:tc>
        <w:tc>
          <w:tcPr>
            <w:tcW w:w="1372" w:type="pct"/>
            <w:vAlign w:val="center"/>
          </w:tcPr>
          <w:p w14:paraId="4AA33C6B">
            <w:pPr>
              <w:wordWrap w:val="0"/>
              <w:spacing w:line="276" w:lineRule="auto"/>
              <w:jc w:val="left"/>
              <w:rPr>
                <w:rFonts w:hint="eastAsia" w:ascii="宋体" w:hAnsi="宋体" w:eastAsia="宋体" w:cs="宋体"/>
                <w:color w:val="auto"/>
                <w:szCs w:val="21"/>
                <w:highlight w:val="none"/>
              </w:rPr>
            </w:pPr>
          </w:p>
        </w:tc>
      </w:tr>
      <w:tr w14:paraId="3295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93" w:type="pct"/>
            <w:vAlign w:val="center"/>
          </w:tcPr>
          <w:p w14:paraId="1D8EC5FA">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164" w:type="pct"/>
            <w:vAlign w:val="center"/>
          </w:tcPr>
          <w:p w14:paraId="094DBE4C">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2069" w:type="pct"/>
            <w:vAlign w:val="center"/>
          </w:tcPr>
          <w:p w14:paraId="068A1F1D">
            <w:pPr>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按招标文件要求</w:t>
            </w:r>
          </w:p>
        </w:tc>
        <w:tc>
          <w:tcPr>
            <w:tcW w:w="1372" w:type="pct"/>
            <w:vAlign w:val="center"/>
          </w:tcPr>
          <w:p w14:paraId="7BD8432B">
            <w:pPr>
              <w:wordWrap w:val="0"/>
              <w:spacing w:line="276" w:lineRule="auto"/>
              <w:jc w:val="left"/>
              <w:rPr>
                <w:rFonts w:hint="eastAsia" w:ascii="宋体" w:hAnsi="宋体" w:eastAsia="宋体" w:cs="宋体"/>
                <w:color w:val="auto"/>
                <w:szCs w:val="21"/>
                <w:highlight w:val="none"/>
              </w:rPr>
            </w:pPr>
          </w:p>
        </w:tc>
      </w:tr>
    </w:tbl>
    <w:p w14:paraId="5DF1729B">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rPr>
      </w:pPr>
    </w:p>
    <w:p w14:paraId="37C77281">
      <w:pPr>
        <w:keepNext w:val="0"/>
        <w:keepLines w:val="0"/>
        <w:pageBreakBefore w:val="0"/>
        <w:widowControl w:val="0"/>
        <w:kinsoku/>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 标 人（盖单位章）：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74355C1F">
      <w:pPr>
        <w:keepNext w:val="0"/>
        <w:keepLines w:val="0"/>
        <w:pageBreakBefore w:val="0"/>
        <w:widowControl w:val="0"/>
        <w:kinsoku/>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法定代表人或授权委托人（签字或盖章）：                              </w:t>
      </w:r>
      <w:r>
        <w:rPr>
          <w:rFonts w:hint="eastAsia" w:ascii="宋体" w:hAnsi="宋体" w:eastAsia="宋体" w:cs="宋体"/>
          <w:color w:val="auto"/>
          <w:sz w:val="24"/>
          <w:szCs w:val="24"/>
          <w:highlight w:val="none"/>
          <w:u w:val="single"/>
        </w:rPr>
        <w:tab/>
      </w:r>
    </w:p>
    <w:p w14:paraId="79809E9E">
      <w:pPr>
        <w:keepNext w:val="0"/>
        <w:keepLines w:val="0"/>
        <w:pageBreakBefore w:val="0"/>
        <w:widowControl w:val="0"/>
        <w:kinsoku/>
        <w:wordWrap w:val="0"/>
        <w:overflowPunct/>
        <w:topLinePunct w:val="0"/>
        <w:autoSpaceDE/>
        <w:autoSpaceDN/>
        <w:bidi w:val="0"/>
        <w:adjustRightInd/>
        <w:snapToGrid/>
        <w:spacing w:line="360" w:lineRule="auto"/>
        <w:ind w:firstLine="5400" w:firstLineChars="225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65218D8">
      <w:pPr>
        <w:wordWrap w:val="0"/>
        <w:jc w:val="center"/>
        <w:outlineLvl w:val="1"/>
        <w:rPr>
          <w:rFonts w:hint="eastAsia" w:ascii="宋体" w:hAnsi="宋体" w:eastAsia="宋体" w:cs="宋体"/>
          <w:b/>
          <w:color w:val="auto"/>
          <w:sz w:val="32"/>
          <w:szCs w:val="20"/>
          <w:highlight w:val="none"/>
        </w:rPr>
      </w:pPr>
      <w:bookmarkStart w:id="463" w:name="_Toc59200713"/>
      <w:bookmarkStart w:id="464" w:name="_Toc8404"/>
      <w:bookmarkStart w:id="465" w:name="_Toc526786510"/>
      <w:r>
        <w:rPr>
          <w:rFonts w:hint="eastAsia" w:ascii="宋体" w:hAnsi="宋体" w:eastAsia="宋体" w:cs="宋体"/>
          <w:b/>
          <w:color w:val="auto"/>
          <w:sz w:val="32"/>
          <w:szCs w:val="20"/>
          <w:highlight w:val="none"/>
        </w:rPr>
        <w:br w:type="page"/>
      </w:r>
      <w:r>
        <w:rPr>
          <w:rFonts w:hint="eastAsia" w:ascii="宋体" w:hAnsi="宋体" w:eastAsia="宋体" w:cs="宋体"/>
          <w:b/>
          <w:color w:val="auto"/>
          <w:sz w:val="32"/>
          <w:szCs w:val="20"/>
          <w:highlight w:val="none"/>
        </w:rPr>
        <w:t>二</w:t>
      </w:r>
      <w:bookmarkEnd w:id="441"/>
      <w:bookmarkEnd w:id="442"/>
      <w:bookmarkEnd w:id="443"/>
      <w:bookmarkEnd w:id="444"/>
      <w:bookmarkEnd w:id="445"/>
      <w:bookmarkEnd w:id="446"/>
      <w:bookmarkEnd w:id="447"/>
      <w:bookmarkEnd w:id="448"/>
      <w:bookmarkEnd w:id="449"/>
      <w:bookmarkEnd w:id="450"/>
      <w:bookmarkEnd w:id="451"/>
      <w:r>
        <w:rPr>
          <w:rFonts w:hint="eastAsia" w:ascii="宋体" w:hAnsi="宋体" w:eastAsia="宋体" w:cs="宋体"/>
          <w:b/>
          <w:color w:val="auto"/>
          <w:sz w:val="32"/>
          <w:szCs w:val="20"/>
          <w:highlight w:val="none"/>
        </w:rPr>
        <w:t>、法定代表人证明</w:t>
      </w:r>
      <w:bookmarkEnd w:id="463"/>
      <w:bookmarkEnd w:id="464"/>
      <w:bookmarkEnd w:id="465"/>
      <w:r>
        <w:rPr>
          <w:rFonts w:hint="eastAsia" w:ascii="宋体" w:hAnsi="宋体" w:eastAsia="宋体" w:cs="宋体"/>
          <w:b/>
          <w:color w:val="auto"/>
          <w:sz w:val="32"/>
          <w:szCs w:val="20"/>
          <w:highlight w:val="none"/>
        </w:rPr>
        <w:t>或授权委托书</w:t>
      </w:r>
    </w:p>
    <w:p w14:paraId="269003A4">
      <w:pPr>
        <w:wordWrap w:val="0"/>
        <w:spacing w:line="440" w:lineRule="exact"/>
        <w:rPr>
          <w:rFonts w:hint="eastAsia" w:ascii="宋体" w:hAnsi="宋体" w:eastAsia="宋体" w:cs="宋体"/>
          <w:color w:val="auto"/>
          <w:highlight w:val="none"/>
        </w:rPr>
      </w:pPr>
    </w:p>
    <w:p w14:paraId="22B3B83E">
      <w:pPr>
        <w:spacing w:line="440" w:lineRule="exact"/>
        <w:jc w:val="center"/>
        <w:rPr>
          <w:rFonts w:hint="eastAsia" w:ascii="宋体" w:hAnsi="宋体" w:eastAsia="宋体" w:cs="宋体"/>
          <w:color w:val="auto"/>
          <w:highlight w:val="none"/>
        </w:rPr>
      </w:pPr>
      <w:r>
        <w:rPr>
          <w:rFonts w:hint="eastAsia" w:ascii="宋体" w:hAnsi="宋体" w:eastAsia="宋体" w:cs="宋体"/>
          <w:b/>
          <w:color w:val="auto"/>
          <w:sz w:val="32"/>
          <w:szCs w:val="20"/>
          <w:highlight w:val="none"/>
        </w:rPr>
        <w:t>法定代表人证明</w:t>
      </w:r>
    </w:p>
    <w:p w14:paraId="7DE8770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5A2A45B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bookmarkStart w:id="466" w:name="_Toc352691662"/>
      <w:bookmarkStart w:id="467" w:name="_Toc369531698"/>
      <w:bookmarkStart w:id="468" w:name="_Toc27897"/>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bookmarkEnd w:id="466"/>
      <w:bookmarkEnd w:id="467"/>
      <w:bookmarkEnd w:id="468"/>
      <w:r>
        <w:rPr>
          <w:rFonts w:hint="eastAsia" w:ascii="宋体" w:hAnsi="宋体" w:eastAsia="宋体" w:cs="宋体"/>
          <w:color w:val="auto"/>
          <w:sz w:val="24"/>
          <w:szCs w:val="24"/>
          <w:highlight w:val="none"/>
        </w:rPr>
        <w:t>龄</w:t>
      </w:r>
      <w:bookmarkStart w:id="469" w:name="_Toc152042578"/>
      <w:bookmarkStart w:id="470" w:name="_Toc369531699"/>
      <w:bookmarkStart w:id="471" w:name="_Toc384308377"/>
      <w:bookmarkStart w:id="472" w:name="_Toc15573"/>
      <w:bookmarkStart w:id="473" w:name="_Toc300835211"/>
      <w:bookmarkStart w:id="474" w:name="_Toc361508754"/>
      <w:bookmarkStart w:id="475" w:name="_Toc352691663"/>
      <w:bookmarkStart w:id="476" w:name="_Toc144974858"/>
      <w:bookmarkStart w:id="477" w:name="_Toc247527829"/>
      <w:bookmarkStart w:id="478" w:name="_Toc152045789"/>
      <w:bookmarkStart w:id="479" w:name="_Toc247514248"/>
      <w:r>
        <w:rPr>
          <w:rFonts w:hint="eastAsia" w:ascii="宋体" w:hAnsi="宋体" w:eastAsia="宋体" w:cs="宋体"/>
          <w:color w:val="auto"/>
          <w:sz w:val="24"/>
          <w:szCs w:val="24"/>
          <w:highlight w:val="none"/>
        </w:rPr>
        <w:t>：</w:t>
      </w:r>
      <w:bookmarkEnd w:id="469"/>
      <w:bookmarkEnd w:id="470"/>
      <w:bookmarkEnd w:id="471"/>
      <w:bookmarkEnd w:id="472"/>
      <w:bookmarkEnd w:id="473"/>
      <w:bookmarkEnd w:id="474"/>
      <w:bookmarkEnd w:id="475"/>
      <w:bookmarkEnd w:id="476"/>
      <w:bookmarkEnd w:id="477"/>
      <w:bookmarkEnd w:id="478"/>
      <w:bookmarkEnd w:id="479"/>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22C0798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4D03354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0F1F49E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3E62A80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69D4626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附：法定代表人身份证扫描件。</w:t>
      </w:r>
    </w:p>
    <w:p w14:paraId="13D068D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3D53661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注：本身份证明需由投标人加盖单位电子印章。</w:t>
      </w:r>
    </w:p>
    <w:p w14:paraId="437F38B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02B0D56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54F8688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14:paraId="58CDCF4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6A964417">
      <w:pPr>
        <w:keepNext w:val="0"/>
        <w:keepLines w:val="0"/>
        <w:pageBreakBefore w:val="0"/>
        <w:widowControl w:val="0"/>
        <w:kinsoku/>
        <w:wordWrap w:val="0"/>
        <w:overflowPunct/>
        <w:topLinePunct w:val="0"/>
        <w:autoSpaceDE/>
        <w:autoSpaceDN/>
        <w:bidi w:val="0"/>
        <w:adjustRightInd/>
        <w:snapToGrid/>
        <w:spacing w:line="360" w:lineRule="auto"/>
        <w:ind w:firstLine="5280" w:firstLineChars="2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1BF0A0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38EFDEE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6546CDCE">
      <w:pPr>
        <w:spacing w:line="440" w:lineRule="exact"/>
        <w:jc w:val="center"/>
        <w:rPr>
          <w:rFonts w:hint="eastAsia" w:ascii="宋体" w:hAnsi="宋体" w:eastAsia="宋体" w:cs="宋体"/>
          <w:b/>
          <w:color w:val="auto"/>
          <w:sz w:val="32"/>
          <w:szCs w:val="20"/>
          <w:highlight w:val="none"/>
        </w:rPr>
      </w:pPr>
      <w:r>
        <w:rPr>
          <w:rFonts w:hint="eastAsia" w:ascii="宋体" w:hAnsi="宋体" w:eastAsia="宋体" w:cs="宋体"/>
          <w:b/>
          <w:color w:val="auto"/>
          <w:sz w:val="20"/>
          <w:szCs w:val="20"/>
          <w:highlight w:val="none"/>
        </w:rPr>
        <w:br w:type="page"/>
      </w:r>
      <w:bookmarkStart w:id="480" w:name="_Toc526786511"/>
      <w:bookmarkStart w:id="481" w:name="_Toc59200714"/>
      <w:bookmarkStart w:id="482" w:name="_Toc7033"/>
      <w:r>
        <w:rPr>
          <w:rFonts w:hint="eastAsia" w:ascii="宋体" w:hAnsi="宋体" w:eastAsia="宋体" w:cs="宋体"/>
          <w:b/>
          <w:color w:val="auto"/>
          <w:sz w:val="32"/>
          <w:szCs w:val="20"/>
          <w:highlight w:val="none"/>
        </w:rPr>
        <w:t>授权委托书</w:t>
      </w:r>
      <w:bookmarkEnd w:id="480"/>
      <w:bookmarkEnd w:id="481"/>
      <w:bookmarkEnd w:id="482"/>
    </w:p>
    <w:p w14:paraId="68525723">
      <w:pPr>
        <w:keepNext w:val="0"/>
        <w:keepLines w:val="0"/>
        <w:pageBreakBefore w:val="0"/>
        <w:widowControl w:val="0"/>
        <w:kinsoku/>
        <w:wordWrap w:val="0"/>
        <w:overflowPunct/>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39E5CADB">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（姓名）为我方代理人。代理人根据授权，以我方名义签署、澄清确认、递交、撤回、修改监理招标项目投标文件、签订合同和处理有关事宜，其法律后果由我方承担。</w:t>
      </w:r>
    </w:p>
    <w:p w14:paraId="3FA4180A">
      <w:pPr>
        <w:keepNext w:val="0"/>
        <w:keepLines w:val="0"/>
        <w:pageBreakBefore w:val="0"/>
        <w:widowControl w:val="0"/>
        <w:kinsoku/>
        <w:wordWrap w:val="0"/>
        <w:overflow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53B015D">
      <w:pPr>
        <w:keepNext w:val="0"/>
        <w:keepLines w:val="0"/>
        <w:pageBreakBefore w:val="0"/>
        <w:widowControl w:val="0"/>
        <w:kinsoku/>
        <w:wordWrap w:val="0"/>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代理人无转委托权。代理人为投标人正式职工，必须具有离投标截止时间最近的至少1个月在本单位缴纳的社保证明文件。</w:t>
      </w:r>
    </w:p>
    <w:p w14:paraId="13B01C70">
      <w:pPr>
        <w:keepNext w:val="0"/>
        <w:keepLines w:val="0"/>
        <w:pageBreakBefore w:val="0"/>
        <w:widowControl w:val="0"/>
        <w:kinsoku/>
        <w:wordWrap w:val="0"/>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663FAB62">
      <w:pPr>
        <w:keepNext w:val="0"/>
        <w:keepLines w:val="0"/>
        <w:pageBreakBefore w:val="0"/>
        <w:widowControl w:val="0"/>
        <w:kinsoku/>
        <w:wordWrap w:val="0"/>
        <w:overflow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附：法定代表人身份证及委托代理人身份证扫描件</w:t>
      </w:r>
    </w:p>
    <w:p w14:paraId="339EBF5F">
      <w:pPr>
        <w:keepNext w:val="0"/>
        <w:keepLines w:val="0"/>
        <w:pageBreakBefore w:val="0"/>
        <w:widowControl w:val="0"/>
        <w:kinsoku/>
        <w:wordWrap w:val="0"/>
        <w:overflowPunct/>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6C206126">
      <w:pPr>
        <w:keepNext w:val="0"/>
        <w:keepLines w:val="0"/>
        <w:pageBreakBefore w:val="0"/>
        <w:widowControl w:val="0"/>
        <w:kinsoku/>
        <w:wordWrap w:val="0"/>
        <w:overflowPunct/>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注：本授权委托书需由投标人加盖单位电子印章并由其法定代表人和委托代理人签字或盖章。</w:t>
      </w:r>
    </w:p>
    <w:p w14:paraId="313BCD24">
      <w:pPr>
        <w:keepNext w:val="0"/>
        <w:keepLines w:val="0"/>
        <w:pageBreakBefore w:val="0"/>
        <w:widowControl w:val="0"/>
        <w:kinsoku/>
        <w:wordWrap w:val="0"/>
        <w:overflowPunct/>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5E39ABED">
      <w:pPr>
        <w:keepNext w:val="0"/>
        <w:keepLines w:val="0"/>
        <w:pageBreakBefore w:val="0"/>
        <w:widowControl w:val="0"/>
        <w:kinsoku/>
        <w:wordWrap w:val="0"/>
        <w:overflowPunct/>
        <w:autoSpaceDE/>
        <w:autoSpaceDN/>
        <w:bidi w:val="0"/>
        <w:adjustRightInd/>
        <w:snapToGrid/>
        <w:spacing w:line="360" w:lineRule="auto"/>
        <w:ind w:firstLine="3076" w:firstLineChars="12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14:paraId="658598BC">
      <w:pPr>
        <w:keepNext w:val="0"/>
        <w:keepLines w:val="0"/>
        <w:pageBreakBefore w:val="0"/>
        <w:widowControl w:val="0"/>
        <w:kinsoku/>
        <w:wordWrap w:val="0"/>
        <w:overflowPunct/>
        <w:autoSpaceDE/>
        <w:autoSpaceDN/>
        <w:bidi w:val="0"/>
        <w:adjustRightInd/>
        <w:snapToGrid/>
        <w:spacing w:line="360" w:lineRule="auto"/>
        <w:ind w:firstLine="3076" w:firstLineChars="1282"/>
        <w:textAlignment w:val="auto"/>
        <w:rPr>
          <w:rFonts w:hint="eastAsia" w:ascii="宋体" w:hAnsi="宋体" w:eastAsia="宋体" w:cs="宋体"/>
          <w:color w:val="auto"/>
          <w:sz w:val="24"/>
          <w:szCs w:val="24"/>
          <w:highlight w:val="none"/>
        </w:rPr>
      </w:pPr>
    </w:p>
    <w:p w14:paraId="514144E1">
      <w:pPr>
        <w:keepNext w:val="0"/>
        <w:keepLines w:val="0"/>
        <w:pageBreakBefore w:val="0"/>
        <w:widowControl w:val="0"/>
        <w:kinsoku/>
        <w:wordWrap w:val="0"/>
        <w:overflowPunct/>
        <w:autoSpaceDE/>
        <w:autoSpaceDN/>
        <w:bidi w:val="0"/>
        <w:adjustRightInd/>
        <w:snapToGrid/>
        <w:spacing w:line="360" w:lineRule="auto"/>
        <w:ind w:firstLine="3074" w:firstLineChars="128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（签字或盖章）</w:t>
      </w:r>
    </w:p>
    <w:p w14:paraId="4FFC4ABF">
      <w:pPr>
        <w:keepNext w:val="0"/>
        <w:keepLines w:val="0"/>
        <w:pageBreakBefore w:val="0"/>
        <w:widowControl w:val="0"/>
        <w:kinsoku/>
        <w:wordWrap w:val="0"/>
        <w:overflowPunct/>
        <w:autoSpaceDE/>
        <w:autoSpaceDN/>
        <w:bidi w:val="0"/>
        <w:adjustRightInd/>
        <w:snapToGrid/>
        <w:spacing w:line="360" w:lineRule="auto"/>
        <w:ind w:firstLine="3076" w:firstLineChars="1282"/>
        <w:textAlignment w:val="auto"/>
        <w:rPr>
          <w:rFonts w:hint="eastAsia" w:ascii="宋体" w:hAnsi="宋体" w:eastAsia="宋体" w:cs="宋体"/>
          <w:color w:val="auto"/>
          <w:sz w:val="24"/>
          <w:szCs w:val="24"/>
          <w:highlight w:val="none"/>
        </w:rPr>
      </w:pPr>
    </w:p>
    <w:p w14:paraId="1CCC6784">
      <w:pPr>
        <w:keepNext w:val="0"/>
        <w:keepLines w:val="0"/>
        <w:pageBreakBefore w:val="0"/>
        <w:widowControl w:val="0"/>
        <w:kinsoku/>
        <w:wordWrap w:val="0"/>
        <w:overflowPunct/>
        <w:autoSpaceDE/>
        <w:autoSpaceDN/>
        <w:bidi w:val="0"/>
        <w:adjustRightInd/>
        <w:snapToGrid/>
        <w:spacing w:line="360" w:lineRule="auto"/>
        <w:ind w:firstLine="3076" w:firstLineChars="12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68ABFC88">
      <w:pPr>
        <w:keepNext w:val="0"/>
        <w:keepLines w:val="0"/>
        <w:pageBreakBefore w:val="0"/>
        <w:widowControl w:val="0"/>
        <w:kinsoku/>
        <w:wordWrap w:val="0"/>
        <w:overflowPunct/>
        <w:autoSpaceDE/>
        <w:autoSpaceDN/>
        <w:bidi w:val="0"/>
        <w:adjustRightInd/>
        <w:snapToGrid/>
        <w:spacing w:line="360" w:lineRule="auto"/>
        <w:ind w:firstLine="3076" w:firstLineChars="1282"/>
        <w:textAlignment w:val="auto"/>
        <w:rPr>
          <w:rFonts w:hint="eastAsia" w:ascii="宋体" w:hAnsi="宋体" w:eastAsia="宋体" w:cs="宋体"/>
          <w:color w:val="auto"/>
          <w:sz w:val="24"/>
          <w:szCs w:val="24"/>
          <w:highlight w:val="none"/>
        </w:rPr>
      </w:pPr>
    </w:p>
    <w:p w14:paraId="2903D57C">
      <w:pPr>
        <w:keepNext w:val="0"/>
        <w:keepLines w:val="0"/>
        <w:pageBreakBefore w:val="0"/>
        <w:widowControl w:val="0"/>
        <w:kinsoku/>
        <w:wordWrap w:val="0"/>
        <w:overflowPunct/>
        <w:autoSpaceDE/>
        <w:autoSpaceDN/>
        <w:bidi w:val="0"/>
        <w:adjustRightInd/>
        <w:snapToGrid/>
        <w:spacing w:line="360" w:lineRule="auto"/>
        <w:ind w:firstLine="3076" w:firstLineChars="12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（签字或盖章）</w:t>
      </w:r>
    </w:p>
    <w:p w14:paraId="1321B4FD">
      <w:pPr>
        <w:keepNext w:val="0"/>
        <w:keepLines w:val="0"/>
        <w:pageBreakBefore w:val="0"/>
        <w:widowControl w:val="0"/>
        <w:kinsoku/>
        <w:wordWrap w:val="0"/>
        <w:overflowPunct/>
        <w:autoSpaceDE/>
        <w:autoSpaceDN/>
        <w:bidi w:val="0"/>
        <w:adjustRightInd/>
        <w:snapToGrid/>
        <w:spacing w:line="360" w:lineRule="auto"/>
        <w:ind w:firstLine="3076" w:firstLineChars="1282"/>
        <w:textAlignment w:val="auto"/>
        <w:rPr>
          <w:rFonts w:hint="eastAsia" w:ascii="宋体" w:hAnsi="宋体" w:eastAsia="宋体" w:cs="宋体"/>
          <w:color w:val="auto"/>
          <w:sz w:val="24"/>
          <w:szCs w:val="24"/>
          <w:highlight w:val="none"/>
        </w:rPr>
      </w:pPr>
    </w:p>
    <w:p w14:paraId="0F291791">
      <w:pPr>
        <w:keepNext w:val="0"/>
        <w:keepLines w:val="0"/>
        <w:pageBreakBefore w:val="0"/>
        <w:widowControl w:val="0"/>
        <w:kinsoku/>
        <w:wordWrap w:val="0"/>
        <w:overflowPunct/>
        <w:autoSpaceDE/>
        <w:autoSpaceDN/>
        <w:bidi w:val="0"/>
        <w:adjustRightInd/>
        <w:snapToGrid/>
        <w:spacing w:line="360" w:lineRule="auto"/>
        <w:ind w:firstLine="3076" w:firstLineChars="12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3679DE5B">
      <w:pPr>
        <w:keepNext w:val="0"/>
        <w:keepLines w:val="0"/>
        <w:pageBreakBefore w:val="0"/>
        <w:widowControl w:val="0"/>
        <w:kinsoku/>
        <w:wordWrap w:val="0"/>
        <w:overflowPunct/>
        <w:autoSpaceDE/>
        <w:autoSpaceDN/>
        <w:bidi w:val="0"/>
        <w:adjustRightInd/>
        <w:snapToGrid/>
        <w:spacing w:line="360" w:lineRule="auto"/>
        <w:ind w:firstLine="3076" w:firstLineChars="1282"/>
        <w:textAlignment w:val="auto"/>
        <w:rPr>
          <w:rFonts w:hint="eastAsia" w:ascii="宋体" w:hAnsi="宋体" w:eastAsia="宋体" w:cs="宋体"/>
          <w:color w:val="auto"/>
          <w:sz w:val="24"/>
          <w:szCs w:val="24"/>
          <w:highlight w:val="none"/>
        </w:rPr>
      </w:pPr>
    </w:p>
    <w:p w14:paraId="7C542A3D">
      <w:pPr>
        <w:keepNext w:val="0"/>
        <w:keepLines w:val="0"/>
        <w:pageBreakBefore w:val="0"/>
        <w:widowControl w:val="0"/>
        <w:kinsoku/>
        <w:wordWrap w:val="0"/>
        <w:overflowPunct/>
        <w:autoSpaceDE/>
        <w:autoSpaceDN/>
        <w:bidi w:val="0"/>
        <w:adjustRightInd/>
        <w:snapToGrid/>
        <w:spacing w:line="360" w:lineRule="auto"/>
        <w:ind w:firstLine="3076" w:firstLineChars="1282"/>
        <w:textAlignment w:val="auto"/>
        <w:rPr>
          <w:rFonts w:hint="eastAsia" w:ascii="宋体" w:hAnsi="宋体" w:eastAsia="宋体" w:cs="宋体"/>
          <w:color w:val="auto"/>
          <w:sz w:val="24"/>
          <w:szCs w:val="24"/>
          <w:highlight w:val="none"/>
        </w:rPr>
      </w:pPr>
    </w:p>
    <w:p w14:paraId="43E5568D">
      <w:pPr>
        <w:keepNext w:val="0"/>
        <w:keepLines w:val="0"/>
        <w:pageBreakBefore w:val="0"/>
        <w:widowControl w:val="0"/>
        <w:kinsoku/>
        <w:wordWrap w:val="0"/>
        <w:overflowPunct/>
        <w:autoSpaceDE/>
        <w:autoSpaceDN/>
        <w:bidi w:val="0"/>
        <w:adjustRightInd/>
        <w:snapToGrid/>
        <w:spacing w:line="360" w:lineRule="auto"/>
        <w:ind w:firstLine="4636" w:firstLineChars="1932"/>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0364ABE">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E375EA">
      <w:pPr>
        <w:wordWrap w:val="0"/>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三、联合体协议书</w:t>
      </w:r>
    </w:p>
    <w:p w14:paraId="322F87D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本项目不接受联合体投标。</w:t>
      </w:r>
    </w:p>
    <w:p w14:paraId="49B1CCEA">
      <w:pPr>
        <w:spacing w:line="440" w:lineRule="exact"/>
        <w:ind w:firstLine="6207" w:firstLineChars="1932"/>
        <w:jc w:val="right"/>
        <w:rPr>
          <w:rFonts w:hint="eastAsia" w:ascii="宋体" w:hAnsi="宋体" w:eastAsia="宋体" w:cs="宋体"/>
          <w:color w:val="auto"/>
          <w:highlight w:val="none"/>
        </w:rPr>
      </w:pPr>
      <w:r>
        <w:rPr>
          <w:rFonts w:hint="eastAsia" w:ascii="宋体" w:hAnsi="宋体" w:eastAsia="宋体" w:cs="宋体"/>
          <w:b/>
          <w:color w:val="auto"/>
          <w:sz w:val="32"/>
          <w:szCs w:val="20"/>
          <w:highlight w:val="none"/>
        </w:rPr>
        <w:br w:type="page"/>
      </w:r>
    </w:p>
    <w:p w14:paraId="4DDE4DF7">
      <w:pPr>
        <w:wordWrap w:val="0"/>
        <w:jc w:val="center"/>
        <w:outlineLvl w:val="1"/>
        <w:rPr>
          <w:rFonts w:hint="eastAsia" w:ascii="宋体" w:hAnsi="宋体" w:eastAsia="宋体" w:cs="宋体"/>
          <w:b/>
          <w:color w:val="auto"/>
          <w:sz w:val="32"/>
          <w:szCs w:val="20"/>
          <w:highlight w:val="none"/>
        </w:rPr>
      </w:pPr>
      <w:bookmarkStart w:id="483" w:name="_Toc59200715"/>
      <w:bookmarkStart w:id="484" w:name="_Toc526786512"/>
      <w:bookmarkStart w:id="485" w:name="_Toc30880"/>
      <w:r>
        <w:rPr>
          <w:rFonts w:hint="eastAsia" w:ascii="宋体" w:hAnsi="宋体" w:eastAsia="宋体" w:cs="宋体"/>
          <w:b/>
          <w:color w:val="auto"/>
          <w:sz w:val="32"/>
          <w:szCs w:val="20"/>
          <w:highlight w:val="none"/>
        </w:rPr>
        <w:t>四、</w:t>
      </w:r>
      <w:bookmarkStart w:id="486" w:name="_Toc300835214"/>
      <w:bookmarkStart w:id="487" w:name="_Toc152042581"/>
      <w:bookmarkStart w:id="488" w:name="_Toc247514284"/>
      <w:bookmarkStart w:id="489" w:name="_Toc369531702"/>
      <w:bookmarkStart w:id="490" w:name="_Toc352691666"/>
      <w:bookmarkStart w:id="491" w:name="_Toc152045792"/>
      <w:bookmarkStart w:id="492" w:name="_Toc384308381"/>
      <w:bookmarkStart w:id="493" w:name="_Toc247527832"/>
      <w:bookmarkStart w:id="494" w:name="_Toc361508757"/>
      <w:bookmarkStart w:id="495" w:name="_Toc13469"/>
      <w:bookmarkStart w:id="496" w:name="_Toc144974861"/>
      <w:r>
        <w:rPr>
          <w:rFonts w:hint="eastAsia" w:ascii="宋体" w:hAnsi="宋体" w:eastAsia="宋体" w:cs="宋体"/>
          <w:b/>
          <w:color w:val="auto"/>
          <w:sz w:val="32"/>
          <w:szCs w:val="20"/>
          <w:highlight w:val="none"/>
        </w:rPr>
        <w:t>投标保证金</w:t>
      </w:r>
      <w:bookmarkEnd w:id="483"/>
      <w:bookmarkEnd w:id="484"/>
      <w:bookmarkEnd w:id="485"/>
    </w:p>
    <w:bookmarkEnd w:id="486"/>
    <w:bookmarkEnd w:id="487"/>
    <w:bookmarkEnd w:id="488"/>
    <w:bookmarkEnd w:id="489"/>
    <w:bookmarkEnd w:id="490"/>
    <w:bookmarkEnd w:id="491"/>
    <w:bookmarkEnd w:id="492"/>
    <w:bookmarkEnd w:id="493"/>
    <w:bookmarkEnd w:id="494"/>
    <w:bookmarkEnd w:id="495"/>
    <w:bookmarkEnd w:id="496"/>
    <w:p w14:paraId="6461C8A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本项目不要求投标保证金。</w:t>
      </w:r>
    </w:p>
    <w:p w14:paraId="165AC8C5">
      <w:pPr>
        <w:wordWrap w:val="0"/>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br w:type="page"/>
      </w:r>
      <w:bookmarkStart w:id="497" w:name="_Toc19611"/>
      <w:bookmarkStart w:id="498" w:name="_Toc59200716"/>
      <w:bookmarkStart w:id="499" w:name="_Toc526786513"/>
      <w:r>
        <w:rPr>
          <w:rFonts w:hint="eastAsia" w:ascii="宋体" w:hAnsi="宋体" w:eastAsia="宋体" w:cs="宋体"/>
          <w:b/>
          <w:color w:val="auto"/>
          <w:sz w:val="32"/>
          <w:szCs w:val="20"/>
          <w:highlight w:val="none"/>
        </w:rPr>
        <w:t>五、监理报酬清单</w:t>
      </w:r>
      <w:bookmarkEnd w:id="497"/>
      <w:bookmarkEnd w:id="498"/>
      <w:bookmarkEnd w:id="499"/>
    </w:p>
    <w:p w14:paraId="33D4DFD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监理报酬清单说明</w:t>
      </w:r>
    </w:p>
    <w:p w14:paraId="089C36B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监理报酬清单</w:t>
      </w:r>
    </w:p>
    <w:p w14:paraId="6BECBF42">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单位：人民币元</w:t>
      </w:r>
    </w:p>
    <w:tbl>
      <w:tblPr>
        <w:tblStyle w:val="25"/>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3544"/>
        <w:gridCol w:w="1322"/>
        <w:gridCol w:w="1938"/>
      </w:tblGrid>
      <w:tr w14:paraId="341E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vAlign w:val="center"/>
          </w:tcPr>
          <w:p w14:paraId="74723591">
            <w:pPr>
              <w:wordWrap w:val="0"/>
              <w:spacing w:line="276" w:lineRule="auto"/>
              <w:jc w:val="center"/>
              <w:rPr>
                <w:rFonts w:hint="eastAsia" w:ascii="宋体" w:hAnsi="宋体" w:eastAsia="宋体" w:cs="宋体"/>
                <w:b/>
                <w:color w:val="auto"/>
                <w:kern w:val="0"/>
                <w:szCs w:val="21"/>
                <w:highlight w:val="none"/>
              </w:rPr>
            </w:pPr>
            <w:bookmarkStart w:id="500" w:name="_Toc361508760"/>
            <w:r>
              <w:rPr>
                <w:rFonts w:hint="eastAsia" w:ascii="宋体" w:hAnsi="宋体" w:eastAsia="宋体" w:cs="宋体"/>
                <w:b/>
                <w:color w:val="auto"/>
                <w:kern w:val="0"/>
                <w:szCs w:val="21"/>
                <w:highlight w:val="none"/>
              </w:rPr>
              <w:t>序号</w:t>
            </w:r>
          </w:p>
        </w:tc>
        <w:tc>
          <w:tcPr>
            <w:tcW w:w="2410" w:type="dxa"/>
            <w:vAlign w:val="center"/>
          </w:tcPr>
          <w:p w14:paraId="5C7DFFC6">
            <w:pPr>
              <w:wordWrap w:val="0"/>
              <w:spacing w:line="276"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监理报酬分项名称</w:t>
            </w:r>
          </w:p>
        </w:tc>
        <w:tc>
          <w:tcPr>
            <w:tcW w:w="3544" w:type="dxa"/>
            <w:vAlign w:val="center"/>
          </w:tcPr>
          <w:p w14:paraId="68CA31C2">
            <w:pPr>
              <w:wordWrap w:val="0"/>
              <w:spacing w:line="276"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计算依据、过程和公式</w:t>
            </w:r>
          </w:p>
        </w:tc>
        <w:tc>
          <w:tcPr>
            <w:tcW w:w="1322" w:type="dxa"/>
            <w:vAlign w:val="center"/>
          </w:tcPr>
          <w:p w14:paraId="2FE3CFB8">
            <w:pPr>
              <w:wordWrap w:val="0"/>
              <w:spacing w:line="276"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金额（元）</w:t>
            </w:r>
          </w:p>
        </w:tc>
        <w:tc>
          <w:tcPr>
            <w:tcW w:w="1938" w:type="dxa"/>
            <w:vAlign w:val="center"/>
          </w:tcPr>
          <w:p w14:paraId="51A4A36E">
            <w:pPr>
              <w:wordWrap w:val="0"/>
              <w:spacing w:line="276"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6301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24BCED0">
            <w:pPr>
              <w:wordWrap w:val="0"/>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410" w:type="dxa"/>
            <w:vAlign w:val="center"/>
          </w:tcPr>
          <w:p w14:paraId="0149BC29">
            <w:pPr>
              <w:wordWrap w:val="0"/>
              <w:spacing w:line="276" w:lineRule="auto"/>
              <w:jc w:val="center"/>
              <w:rPr>
                <w:rFonts w:hint="eastAsia" w:ascii="宋体" w:hAnsi="宋体" w:eastAsia="宋体" w:cs="宋体"/>
                <w:color w:val="auto"/>
                <w:highlight w:val="none"/>
              </w:rPr>
            </w:pPr>
          </w:p>
        </w:tc>
        <w:tc>
          <w:tcPr>
            <w:tcW w:w="3544" w:type="dxa"/>
            <w:vAlign w:val="center"/>
          </w:tcPr>
          <w:p w14:paraId="04C42606">
            <w:pPr>
              <w:wordWrap w:val="0"/>
              <w:spacing w:line="276" w:lineRule="auto"/>
              <w:jc w:val="center"/>
              <w:rPr>
                <w:rFonts w:hint="eastAsia" w:ascii="宋体" w:hAnsi="宋体" w:eastAsia="宋体" w:cs="宋体"/>
                <w:color w:val="auto"/>
                <w:highlight w:val="none"/>
              </w:rPr>
            </w:pPr>
          </w:p>
        </w:tc>
        <w:tc>
          <w:tcPr>
            <w:tcW w:w="1322" w:type="dxa"/>
            <w:vAlign w:val="center"/>
          </w:tcPr>
          <w:p w14:paraId="73F35F56">
            <w:pPr>
              <w:wordWrap w:val="0"/>
              <w:spacing w:line="276" w:lineRule="auto"/>
              <w:jc w:val="center"/>
              <w:rPr>
                <w:rFonts w:hint="eastAsia" w:ascii="宋体" w:hAnsi="宋体" w:eastAsia="宋体" w:cs="宋体"/>
                <w:color w:val="auto"/>
                <w:highlight w:val="none"/>
              </w:rPr>
            </w:pPr>
          </w:p>
        </w:tc>
        <w:tc>
          <w:tcPr>
            <w:tcW w:w="1938" w:type="dxa"/>
            <w:vAlign w:val="center"/>
          </w:tcPr>
          <w:p w14:paraId="5A9D638E">
            <w:pPr>
              <w:wordWrap w:val="0"/>
              <w:spacing w:line="276" w:lineRule="auto"/>
              <w:jc w:val="center"/>
              <w:rPr>
                <w:rFonts w:hint="eastAsia" w:ascii="宋体" w:hAnsi="宋体" w:eastAsia="宋体" w:cs="宋体"/>
                <w:color w:val="auto"/>
                <w:highlight w:val="none"/>
              </w:rPr>
            </w:pPr>
          </w:p>
        </w:tc>
      </w:tr>
      <w:tr w14:paraId="5175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CA298CE">
            <w:pPr>
              <w:wordWrap w:val="0"/>
              <w:spacing w:before="100" w:beforeAutospacing="1" w:after="100" w:afterAutospacing="1"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410" w:type="dxa"/>
            <w:vAlign w:val="center"/>
          </w:tcPr>
          <w:p w14:paraId="44CCE1FD">
            <w:pPr>
              <w:wordWrap w:val="0"/>
              <w:spacing w:line="276" w:lineRule="auto"/>
              <w:jc w:val="center"/>
              <w:rPr>
                <w:rFonts w:hint="eastAsia" w:ascii="宋体" w:hAnsi="宋体" w:eastAsia="宋体" w:cs="宋体"/>
                <w:color w:val="auto"/>
                <w:highlight w:val="none"/>
              </w:rPr>
            </w:pPr>
          </w:p>
        </w:tc>
        <w:tc>
          <w:tcPr>
            <w:tcW w:w="3544" w:type="dxa"/>
            <w:vAlign w:val="center"/>
          </w:tcPr>
          <w:p w14:paraId="030687DF">
            <w:pPr>
              <w:wordWrap w:val="0"/>
              <w:spacing w:line="276" w:lineRule="auto"/>
              <w:jc w:val="center"/>
              <w:rPr>
                <w:rFonts w:hint="eastAsia" w:ascii="宋体" w:hAnsi="宋体" w:eastAsia="宋体" w:cs="宋体"/>
                <w:color w:val="auto"/>
                <w:highlight w:val="none"/>
              </w:rPr>
            </w:pPr>
          </w:p>
        </w:tc>
        <w:tc>
          <w:tcPr>
            <w:tcW w:w="1322" w:type="dxa"/>
            <w:vAlign w:val="center"/>
          </w:tcPr>
          <w:p w14:paraId="2C972B23">
            <w:pPr>
              <w:wordWrap w:val="0"/>
              <w:spacing w:line="276" w:lineRule="auto"/>
              <w:jc w:val="center"/>
              <w:rPr>
                <w:rFonts w:hint="eastAsia" w:ascii="宋体" w:hAnsi="宋体" w:eastAsia="宋体" w:cs="宋体"/>
                <w:color w:val="auto"/>
                <w:highlight w:val="none"/>
              </w:rPr>
            </w:pPr>
          </w:p>
        </w:tc>
        <w:tc>
          <w:tcPr>
            <w:tcW w:w="1938" w:type="dxa"/>
            <w:vAlign w:val="center"/>
          </w:tcPr>
          <w:p w14:paraId="3E5EAF3D">
            <w:pPr>
              <w:wordWrap w:val="0"/>
              <w:spacing w:line="276" w:lineRule="auto"/>
              <w:jc w:val="center"/>
              <w:rPr>
                <w:rFonts w:hint="eastAsia" w:ascii="宋体" w:hAnsi="宋体" w:eastAsia="宋体" w:cs="宋体"/>
                <w:color w:val="auto"/>
                <w:highlight w:val="none"/>
              </w:rPr>
            </w:pPr>
          </w:p>
        </w:tc>
      </w:tr>
      <w:tr w14:paraId="4570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7930FCD">
            <w:pPr>
              <w:wordWrap w:val="0"/>
              <w:spacing w:before="100" w:beforeAutospacing="1" w:after="100" w:afterAutospacing="1"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410" w:type="dxa"/>
            <w:vAlign w:val="center"/>
          </w:tcPr>
          <w:p w14:paraId="4FD1F74D">
            <w:pPr>
              <w:wordWrap w:val="0"/>
              <w:spacing w:line="276" w:lineRule="auto"/>
              <w:jc w:val="center"/>
              <w:rPr>
                <w:rFonts w:hint="eastAsia" w:ascii="宋体" w:hAnsi="宋体" w:eastAsia="宋体" w:cs="宋体"/>
                <w:color w:val="auto"/>
                <w:highlight w:val="none"/>
              </w:rPr>
            </w:pPr>
          </w:p>
        </w:tc>
        <w:tc>
          <w:tcPr>
            <w:tcW w:w="3544" w:type="dxa"/>
            <w:vAlign w:val="center"/>
          </w:tcPr>
          <w:p w14:paraId="450917EB">
            <w:pPr>
              <w:wordWrap w:val="0"/>
              <w:spacing w:line="276" w:lineRule="auto"/>
              <w:jc w:val="center"/>
              <w:rPr>
                <w:rFonts w:hint="eastAsia" w:ascii="宋体" w:hAnsi="宋体" w:eastAsia="宋体" w:cs="宋体"/>
                <w:color w:val="auto"/>
                <w:highlight w:val="none"/>
              </w:rPr>
            </w:pPr>
          </w:p>
        </w:tc>
        <w:tc>
          <w:tcPr>
            <w:tcW w:w="1322" w:type="dxa"/>
            <w:vAlign w:val="center"/>
          </w:tcPr>
          <w:p w14:paraId="08E76F23">
            <w:pPr>
              <w:wordWrap w:val="0"/>
              <w:spacing w:line="276" w:lineRule="auto"/>
              <w:jc w:val="center"/>
              <w:rPr>
                <w:rFonts w:hint="eastAsia" w:ascii="宋体" w:hAnsi="宋体" w:eastAsia="宋体" w:cs="宋体"/>
                <w:color w:val="auto"/>
                <w:highlight w:val="none"/>
              </w:rPr>
            </w:pPr>
          </w:p>
        </w:tc>
        <w:tc>
          <w:tcPr>
            <w:tcW w:w="1938" w:type="dxa"/>
            <w:vAlign w:val="center"/>
          </w:tcPr>
          <w:p w14:paraId="319F403F">
            <w:pPr>
              <w:wordWrap w:val="0"/>
              <w:spacing w:line="276" w:lineRule="auto"/>
              <w:jc w:val="center"/>
              <w:rPr>
                <w:rFonts w:hint="eastAsia" w:ascii="宋体" w:hAnsi="宋体" w:eastAsia="宋体" w:cs="宋体"/>
                <w:color w:val="auto"/>
                <w:highlight w:val="none"/>
              </w:rPr>
            </w:pPr>
          </w:p>
        </w:tc>
      </w:tr>
      <w:tr w14:paraId="29D0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85EC091">
            <w:pPr>
              <w:wordWrap w:val="0"/>
              <w:spacing w:before="100" w:beforeAutospacing="1" w:after="100" w:afterAutospacing="1"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2410" w:type="dxa"/>
            <w:vAlign w:val="center"/>
          </w:tcPr>
          <w:p w14:paraId="360E302D">
            <w:pPr>
              <w:wordWrap w:val="0"/>
              <w:spacing w:line="276" w:lineRule="auto"/>
              <w:jc w:val="center"/>
              <w:rPr>
                <w:rFonts w:hint="eastAsia" w:ascii="宋体" w:hAnsi="宋体" w:eastAsia="宋体" w:cs="宋体"/>
                <w:color w:val="auto"/>
                <w:highlight w:val="none"/>
              </w:rPr>
            </w:pPr>
          </w:p>
        </w:tc>
        <w:tc>
          <w:tcPr>
            <w:tcW w:w="3544" w:type="dxa"/>
            <w:vAlign w:val="center"/>
          </w:tcPr>
          <w:p w14:paraId="595AFC59">
            <w:pPr>
              <w:wordWrap w:val="0"/>
              <w:spacing w:line="276" w:lineRule="auto"/>
              <w:jc w:val="center"/>
              <w:rPr>
                <w:rFonts w:hint="eastAsia" w:ascii="宋体" w:hAnsi="宋体" w:eastAsia="宋体" w:cs="宋体"/>
                <w:color w:val="auto"/>
                <w:highlight w:val="none"/>
              </w:rPr>
            </w:pPr>
          </w:p>
        </w:tc>
        <w:tc>
          <w:tcPr>
            <w:tcW w:w="1322" w:type="dxa"/>
            <w:vAlign w:val="center"/>
          </w:tcPr>
          <w:p w14:paraId="128FBF8C">
            <w:pPr>
              <w:wordWrap w:val="0"/>
              <w:spacing w:line="276" w:lineRule="auto"/>
              <w:jc w:val="center"/>
              <w:rPr>
                <w:rFonts w:hint="eastAsia" w:ascii="宋体" w:hAnsi="宋体" w:eastAsia="宋体" w:cs="宋体"/>
                <w:color w:val="auto"/>
                <w:highlight w:val="none"/>
              </w:rPr>
            </w:pPr>
          </w:p>
        </w:tc>
        <w:tc>
          <w:tcPr>
            <w:tcW w:w="1938" w:type="dxa"/>
            <w:vAlign w:val="center"/>
          </w:tcPr>
          <w:p w14:paraId="2FB40FD6">
            <w:pPr>
              <w:wordWrap w:val="0"/>
              <w:spacing w:line="276" w:lineRule="auto"/>
              <w:jc w:val="center"/>
              <w:rPr>
                <w:rFonts w:hint="eastAsia" w:ascii="宋体" w:hAnsi="宋体" w:eastAsia="宋体" w:cs="宋体"/>
                <w:color w:val="auto"/>
                <w:highlight w:val="none"/>
              </w:rPr>
            </w:pPr>
          </w:p>
        </w:tc>
      </w:tr>
      <w:tr w14:paraId="6C48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AAC6196">
            <w:pPr>
              <w:wordWrap w:val="0"/>
              <w:spacing w:before="100" w:beforeAutospacing="1" w:after="100" w:afterAutospacing="1"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410" w:type="dxa"/>
            <w:vAlign w:val="center"/>
          </w:tcPr>
          <w:p w14:paraId="02287E3B">
            <w:pPr>
              <w:wordWrap w:val="0"/>
              <w:spacing w:line="276" w:lineRule="auto"/>
              <w:jc w:val="center"/>
              <w:rPr>
                <w:rFonts w:hint="eastAsia" w:ascii="宋体" w:hAnsi="宋体" w:eastAsia="宋体" w:cs="宋体"/>
                <w:color w:val="auto"/>
                <w:highlight w:val="none"/>
              </w:rPr>
            </w:pPr>
          </w:p>
        </w:tc>
        <w:tc>
          <w:tcPr>
            <w:tcW w:w="3544" w:type="dxa"/>
            <w:vAlign w:val="center"/>
          </w:tcPr>
          <w:p w14:paraId="667F3C87">
            <w:pPr>
              <w:wordWrap w:val="0"/>
              <w:spacing w:line="276" w:lineRule="auto"/>
              <w:jc w:val="center"/>
              <w:rPr>
                <w:rFonts w:hint="eastAsia" w:ascii="宋体" w:hAnsi="宋体" w:eastAsia="宋体" w:cs="宋体"/>
                <w:color w:val="auto"/>
                <w:highlight w:val="none"/>
              </w:rPr>
            </w:pPr>
          </w:p>
        </w:tc>
        <w:tc>
          <w:tcPr>
            <w:tcW w:w="1322" w:type="dxa"/>
            <w:vAlign w:val="center"/>
          </w:tcPr>
          <w:p w14:paraId="3A41EF7F">
            <w:pPr>
              <w:wordWrap w:val="0"/>
              <w:spacing w:line="276" w:lineRule="auto"/>
              <w:jc w:val="center"/>
              <w:rPr>
                <w:rFonts w:hint="eastAsia" w:ascii="宋体" w:hAnsi="宋体" w:eastAsia="宋体" w:cs="宋体"/>
                <w:color w:val="auto"/>
                <w:highlight w:val="none"/>
              </w:rPr>
            </w:pPr>
          </w:p>
        </w:tc>
        <w:tc>
          <w:tcPr>
            <w:tcW w:w="1938" w:type="dxa"/>
            <w:vAlign w:val="center"/>
          </w:tcPr>
          <w:p w14:paraId="0E8DAD90">
            <w:pPr>
              <w:wordWrap w:val="0"/>
              <w:spacing w:line="276" w:lineRule="auto"/>
              <w:jc w:val="center"/>
              <w:rPr>
                <w:rFonts w:hint="eastAsia" w:ascii="宋体" w:hAnsi="宋体" w:eastAsia="宋体" w:cs="宋体"/>
                <w:color w:val="auto"/>
                <w:highlight w:val="none"/>
              </w:rPr>
            </w:pPr>
          </w:p>
        </w:tc>
      </w:tr>
      <w:tr w14:paraId="3027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4FF43FD">
            <w:pPr>
              <w:wordWrap w:val="0"/>
              <w:spacing w:line="276"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2410" w:type="dxa"/>
            <w:vAlign w:val="center"/>
          </w:tcPr>
          <w:p w14:paraId="6FE0108E">
            <w:pPr>
              <w:wordWrap w:val="0"/>
              <w:spacing w:line="276"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3544" w:type="dxa"/>
            <w:vAlign w:val="center"/>
          </w:tcPr>
          <w:p w14:paraId="01E81B04">
            <w:pPr>
              <w:wordWrap w:val="0"/>
              <w:spacing w:line="276" w:lineRule="auto"/>
              <w:jc w:val="center"/>
              <w:rPr>
                <w:rFonts w:hint="eastAsia" w:ascii="宋体" w:hAnsi="宋体" w:eastAsia="宋体" w:cs="宋体"/>
                <w:color w:val="auto"/>
                <w:highlight w:val="none"/>
              </w:rPr>
            </w:pPr>
          </w:p>
        </w:tc>
        <w:tc>
          <w:tcPr>
            <w:tcW w:w="1322" w:type="dxa"/>
            <w:vAlign w:val="center"/>
          </w:tcPr>
          <w:p w14:paraId="40610CA5">
            <w:pPr>
              <w:wordWrap w:val="0"/>
              <w:spacing w:line="276" w:lineRule="auto"/>
              <w:jc w:val="center"/>
              <w:rPr>
                <w:rFonts w:hint="eastAsia" w:ascii="宋体" w:hAnsi="宋体" w:eastAsia="宋体" w:cs="宋体"/>
                <w:color w:val="auto"/>
                <w:highlight w:val="none"/>
              </w:rPr>
            </w:pPr>
          </w:p>
        </w:tc>
        <w:tc>
          <w:tcPr>
            <w:tcW w:w="1938" w:type="dxa"/>
            <w:vAlign w:val="center"/>
          </w:tcPr>
          <w:p w14:paraId="662EE584">
            <w:pPr>
              <w:wordWrap w:val="0"/>
              <w:spacing w:line="276" w:lineRule="auto"/>
              <w:jc w:val="center"/>
              <w:rPr>
                <w:rFonts w:hint="eastAsia" w:ascii="宋体" w:hAnsi="宋体" w:eastAsia="宋体" w:cs="宋体"/>
                <w:color w:val="auto"/>
                <w:highlight w:val="none"/>
              </w:rPr>
            </w:pPr>
          </w:p>
        </w:tc>
      </w:tr>
      <w:tr w14:paraId="64FF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1" w:type="dxa"/>
            <w:gridSpan w:val="3"/>
            <w:vAlign w:val="center"/>
          </w:tcPr>
          <w:p w14:paraId="05B1462F">
            <w:pPr>
              <w:wordWrap w:val="0"/>
              <w:spacing w:line="276"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合计报价</w:t>
            </w:r>
          </w:p>
        </w:tc>
        <w:tc>
          <w:tcPr>
            <w:tcW w:w="1322" w:type="dxa"/>
            <w:vAlign w:val="center"/>
          </w:tcPr>
          <w:p w14:paraId="7CDE3B28">
            <w:pPr>
              <w:wordWrap w:val="0"/>
              <w:spacing w:line="276" w:lineRule="auto"/>
              <w:jc w:val="center"/>
              <w:rPr>
                <w:rFonts w:hint="eastAsia" w:ascii="宋体" w:hAnsi="宋体" w:eastAsia="宋体" w:cs="宋体"/>
                <w:color w:val="auto"/>
                <w:highlight w:val="none"/>
              </w:rPr>
            </w:pPr>
          </w:p>
        </w:tc>
        <w:tc>
          <w:tcPr>
            <w:tcW w:w="1938" w:type="dxa"/>
            <w:vAlign w:val="center"/>
          </w:tcPr>
          <w:p w14:paraId="749075AC">
            <w:pPr>
              <w:wordWrap w:val="0"/>
              <w:spacing w:line="276" w:lineRule="auto"/>
              <w:jc w:val="center"/>
              <w:rPr>
                <w:rFonts w:hint="eastAsia" w:ascii="宋体" w:hAnsi="宋体" w:eastAsia="宋体" w:cs="宋体"/>
                <w:color w:val="auto"/>
                <w:highlight w:val="none"/>
              </w:rPr>
            </w:pPr>
          </w:p>
        </w:tc>
      </w:tr>
      <w:tr w14:paraId="4C10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1" w:type="dxa"/>
            <w:gridSpan w:val="3"/>
            <w:vAlign w:val="center"/>
          </w:tcPr>
          <w:p w14:paraId="30AD39D7">
            <w:pPr>
              <w:wordWrap w:val="0"/>
              <w:spacing w:line="276" w:lineRule="auto"/>
              <w:jc w:val="center"/>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监理下浮率</w:t>
            </w:r>
          </w:p>
        </w:tc>
        <w:tc>
          <w:tcPr>
            <w:tcW w:w="3260" w:type="dxa"/>
            <w:gridSpan w:val="2"/>
            <w:vAlign w:val="center"/>
          </w:tcPr>
          <w:p w14:paraId="0090BF88">
            <w:pPr>
              <w:wordWrap w:val="0"/>
              <w:spacing w:line="276" w:lineRule="auto"/>
              <w:jc w:val="center"/>
              <w:rPr>
                <w:rFonts w:hint="eastAsia" w:ascii="宋体" w:hAnsi="宋体" w:eastAsia="宋体" w:cs="宋体"/>
                <w:color w:val="auto"/>
                <w:highlight w:val="none"/>
              </w:rPr>
            </w:pPr>
          </w:p>
        </w:tc>
      </w:tr>
    </w:tbl>
    <w:p w14:paraId="2DB477B5">
      <w:pPr>
        <w:wordWrap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注：1、监理报酬报价总金额不能超过最高投标限价，监理下浮率在监理费结算时不予调整。其中调整系数</w:t>
      </w:r>
      <w:r>
        <w:rPr>
          <w:rFonts w:hint="eastAsia" w:ascii="宋体" w:hAnsi="宋体" w:eastAsia="宋体" w:cs="宋体"/>
          <w:color w:val="auto"/>
          <w:szCs w:val="21"/>
          <w:highlight w:val="none"/>
          <w:lang w:val="en-US" w:eastAsia="zh-CN"/>
        </w:rPr>
        <w:t>详见合同条款</w:t>
      </w:r>
      <w:r>
        <w:rPr>
          <w:rFonts w:hint="eastAsia" w:ascii="宋体" w:hAnsi="宋体" w:eastAsia="宋体" w:cs="宋体"/>
          <w:color w:val="auto"/>
          <w:szCs w:val="21"/>
          <w:highlight w:val="none"/>
        </w:rPr>
        <w:t>。</w:t>
      </w:r>
    </w:p>
    <w:p w14:paraId="7F6135B7">
      <w:pPr>
        <w:wordWrap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2、报价以元为单位，保留两位小数，第三位小数四舍五入。</w:t>
      </w:r>
    </w:p>
    <w:p w14:paraId="4F569AF3">
      <w:pPr>
        <w:wordWrap w:val="0"/>
        <w:rPr>
          <w:rFonts w:hint="eastAsia" w:ascii="宋体" w:hAnsi="宋体" w:eastAsia="宋体" w:cs="宋体"/>
          <w:color w:val="auto"/>
          <w:highlight w:val="none"/>
        </w:rPr>
      </w:pPr>
    </w:p>
    <w:p w14:paraId="488344A7">
      <w:pPr>
        <w:wordWrap w:val="0"/>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br w:type="page"/>
      </w:r>
      <w:bookmarkStart w:id="501" w:name="_Toc22086"/>
      <w:bookmarkStart w:id="502" w:name="_Toc59200717"/>
      <w:bookmarkStart w:id="503" w:name="_Toc526786514"/>
      <w:r>
        <w:rPr>
          <w:rFonts w:hint="eastAsia" w:ascii="宋体" w:hAnsi="宋体" w:eastAsia="宋体" w:cs="宋体"/>
          <w:b/>
          <w:color w:val="auto"/>
          <w:sz w:val="32"/>
          <w:szCs w:val="20"/>
          <w:highlight w:val="none"/>
        </w:rPr>
        <w:t>六、资格审查资料</w:t>
      </w:r>
      <w:bookmarkEnd w:id="501"/>
      <w:bookmarkEnd w:id="502"/>
      <w:bookmarkEnd w:id="503"/>
    </w:p>
    <w:p w14:paraId="6EED957B">
      <w:pPr>
        <w:keepNext/>
        <w:keepLines/>
        <w:wordWrap w:val="0"/>
        <w:spacing w:line="360" w:lineRule="auto"/>
        <w:outlineLvl w:val="2"/>
        <w:rPr>
          <w:rFonts w:hint="eastAsia" w:ascii="宋体" w:hAnsi="宋体" w:eastAsia="宋体" w:cs="宋体"/>
          <w:b/>
          <w:color w:val="auto"/>
          <w:sz w:val="28"/>
          <w:szCs w:val="20"/>
          <w:highlight w:val="none"/>
        </w:rPr>
      </w:pPr>
      <w:bookmarkStart w:id="504" w:name="_Toc4257"/>
      <w:bookmarkStart w:id="505" w:name="_Toc59200718"/>
      <w:bookmarkStart w:id="506" w:name="_Toc32629"/>
      <w:bookmarkStart w:id="507" w:name="_Toc526786515"/>
      <w:r>
        <w:rPr>
          <w:rFonts w:hint="eastAsia" w:ascii="宋体" w:hAnsi="宋体" w:eastAsia="宋体" w:cs="宋体"/>
          <w:b/>
          <w:color w:val="auto"/>
          <w:sz w:val="28"/>
          <w:szCs w:val="20"/>
          <w:highlight w:val="none"/>
        </w:rPr>
        <w:t>（一）基本情况表</w:t>
      </w:r>
      <w:bookmarkEnd w:id="504"/>
      <w:bookmarkEnd w:id="505"/>
      <w:bookmarkEnd w:id="506"/>
      <w:bookmarkEnd w:id="507"/>
    </w:p>
    <w:tbl>
      <w:tblPr>
        <w:tblStyle w:val="2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89"/>
        <w:gridCol w:w="898"/>
        <w:gridCol w:w="1026"/>
        <w:gridCol w:w="1287"/>
        <w:gridCol w:w="414"/>
        <w:gridCol w:w="873"/>
        <w:gridCol w:w="828"/>
        <w:gridCol w:w="284"/>
        <w:gridCol w:w="1230"/>
      </w:tblGrid>
      <w:tr w14:paraId="46DFA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2689" w:type="dxa"/>
            <w:tcBorders>
              <w:top w:val="single" w:color="auto" w:sz="4" w:space="0"/>
              <w:bottom w:val="single" w:color="auto" w:sz="4" w:space="0"/>
              <w:right w:val="single" w:color="auto" w:sz="4" w:space="0"/>
            </w:tcBorders>
            <w:vAlign w:val="center"/>
          </w:tcPr>
          <w:p w14:paraId="2B8C6F38">
            <w:pPr>
              <w:topLinePunct/>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6840" w:type="dxa"/>
            <w:gridSpan w:val="8"/>
            <w:tcBorders>
              <w:top w:val="single" w:color="auto" w:sz="4" w:space="0"/>
              <w:left w:val="single" w:color="auto" w:sz="4" w:space="0"/>
              <w:bottom w:val="single" w:color="auto" w:sz="4" w:space="0"/>
            </w:tcBorders>
            <w:vAlign w:val="center"/>
          </w:tcPr>
          <w:p w14:paraId="45938199">
            <w:pPr>
              <w:wordWrap w:val="0"/>
              <w:topLinePunct/>
              <w:spacing w:line="276" w:lineRule="auto"/>
              <w:jc w:val="center"/>
              <w:rPr>
                <w:rFonts w:hint="eastAsia" w:ascii="宋体" w:hAnsi="宋体" w:eastAsia="宋体" w:cs="宋体"/>
                <w:color w:val="auto"/>
                <w:szCs w:val="21"/>
                <w:highlight w:val="none"/>
              </w:rPr>
            </w:pPr>
          </w:p>
        </w:tc>
      </w:tr>
      <w:tr w14:paraId="3DC14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2689" w:type="dxa"/>
            <w:tcBorders>
              <w:top w:val="single" w:color="auto" w:sz="4" w:space="0"/>
              <w:bottom w:val="single" w:color="auto" w:sz="4" w:space="0"/>
              <w:right w:val="single" w:color="auto" w:sz="4" w:space="0"/>
            </w:tcBorders>
            <w:vAlign w:val="center"/>
          </w:tcPr>
          <w:p w14:paraId="0CBC3486">
            <w:pPr>
              <w:wordWrap w:val="0"/>
              <w:topLinePunct/>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B379F58">
            <w:pPr>
              <w:wordWrap w:val="0"/>
              <w:topLinePunct/>
              <w:spacing w:line="276" w:lineRule="auto"/>
              <w:jc w:val="center"/>
              <w:rPr>
                <w:rFonts w:hint="eastAsia" w:ascii="宋体" w:hAnsi="宋体" w:eastAsia="宋体" w:cs="宋体"/>
                <w:color w:val="auto"/>
                <w:szCs w:val="21"/>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FE8C252">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tcBorders>
            <w:vAlign w:val="center"/>
          </w:tcPr>
          <w:p w14:paraId="6F7384F9">
            <w:pPr>
              <w:wordWrap w:val="0"/>
              <w:topLinePunct/>
              <w:spacing w:line="276" w:lineRule="auto"/>
              <w:jc w:val="center"/>
              <w:rPr>
                <w:rFonts w:hint="eastAsia" w:ascii="宋体" w:hAnsi="宋体" w:eastAsia="宋体" w:cs="宋体"/>
                <w:color w:val="auto"/>
                <w:szCs w:val="21"/>
                <w:highlight w:val="none"/>
              </w:rPr>
            </w:pPr>
          </w:p>
        </w:tc>
      </w:tr>
      <w:tr w14:paraId="16D1D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trPr>
        <w:tc>
          <w:tcPr>
            <w:tcW w:w="2689" w:type="dxa"/>
            <w:vMerge w:val="restart"/>
            <w:tcBorders>
              <w:top w:val="single" w:color="auto" w:sz="4" w:space="0"/>
              <w:bottom w:val="single" w:color="auto" w:sz="4" w:space="0"/>
              <w:right w:val="single" w:color="auto" w:sz="4" w:space="0"/>
            </w:tcBorders>
            <w:vAlign w:val="center"/>
          </w:tcPr>
          <w:p w14:paraId="3A9C1755">
            <w:pPr>
              <w:wordWrap w:val="0"/>
              <w:topLinePunct/>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1137E4E9">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285567A2">
            <w:pPr>
              <w:wordWrap w:val="0"/>
              <w:topLinePunct/>
              <w:spacing w:line="276" w:lineRule="auto"/>
              <w:jc w:val="center"/>
              <w:rPr>
                <w:rFonts w:hint="eastAsia" w:ascii="宋体" w:hAnsi="宋体" w:eastAsia="宋体" w:cs="宋体"/>
                <w:color w:val="auto"/>
                <w:szCs w:val="21"/>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F757309">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p>
        </w:tc>
        <w:tc>
          <w:tcPr>
            <w:tcW w:w="2342" w:type="dxa"/>
            <w:gridSpan w:val="3"/>
            <w:tcBorders>
              <w:top w:val="single" w:color="auto" w:sz="4" w:space="0"/>
              <w:left w:val="single" w:color="auto" w:sz="4" w:space="0"/>
              <w:bottom w:val="single" w:color="auto" w:sz="4" w:space="0"/>
            </w:tcBorders>
            <w:vAlign w:val="center"/>
          </w:tcPr>
          <w:p w14:paraId="07CB2186">
            <w:pPr>
              <w:wordWrap w:val="0"/>
              <w:topLinePunct/>
              <w:spacing w:line="276" w:lineRule="auto"/>
              <w:jc w:val="center"/>
              <w:rPr>
                <w:rFonts w:hint="eastAsia" w:ascii="宋体" w:hAnsi="宋体" w:eastAsia="宋体" w:cs="宋体"/>
                <w:color w:val="auto"/>
                <w:szCs w:val="21"/>
                <w:highlight w:val="none"/>
              </w:rPr>
            </w:pPr>
          </w:p>
        </w:tc>
      </w:tr>
      <w:tr w14:paraId="600F63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trPr>
        <w:tc>
          <w:tcPr>
            <w:tcW w:w="2689" w:type="dxa"/>
            <w:vMerge w:val="continue"/>
            <w:tcBorders>
              <w:top w:val="single" w:color="auto" w:sz="4" w:space="0"/>
              <w:bottom w:val="single" w:color="auto" w:sz="4" w:space="0"/>
              <w:right w:val="single" w:color="auto" w:sz="4" w:space="0"/>
            </w:tcBorders>
            <w:vAlign w:val="center"/>
          </w:tcPr>
          <w:p w14:paraId="0A6E0B39">
            <w:pPr>
              <w:wordWrap w:val="0"/>
              <w:spacing w:line="276" w:lineRule="auto"/>
              <w:jc w:val="center"/>
              <w:rPr>
                <w:rFonts w:hint="eastAsia" w:ascii="宋体" w:hAnsi="宋体" w:eastAsia="宋体" w:cs="宋体"/>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3AB132B2">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3AF297DA">
            <w:pPr>
              <w:wordWrap w:val="0"/>
              <w:topLinePunct/>
              <w:spacing w:line="276" w:lineRule="auto"/>
              <w:jc w:val="center"/>
              <w:rPr>
                <w:rFonts w:hint="eastAsia" w:ascii="宋体" w:hAnsi="宋体" w:eastAsia="宋体" w:cs="宋体"/>
                <w:color w:val="auto"/>
                <w:szCs w:val="21"/>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7B86116">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 址</w:t>
            </w:r>
          </w:p>
        </w:tc>
        <w:tc>
          <w:tcPr>
            <w:tcW w:w="2342" w:type="dxa"/>
            <w:gridSpan w:val="3"/>
            <w:tcBorders>
              <w:top w:val="single" w:color="auto" w:sz="4" w:space="0"/>
              <w:left w:val="single" w:color="auto" w:sz="4" w:space="0"/>
              <w:bottom w:val="single" w:color="auto" w:sz="4" w:space="0"/>
            </w:tcBorders>
            <w:vAlign w:val="center"/>
          </w:tcPr>
          <w:p w14:paraId="47714921">
            <w:pPr>
              <w:wordWrap w:val="0"/>
              <w:topLinePunct/>
              <w:spacing w:line="276" w:lineRule="auto"/>
              <w:jc w:val="center"/>
              <w:rPr>
                <w:rFonts w:hint="eastAsia" w:ascii="宋体" w:hAnsi="宋体" w:eastAsia="宋体" w:cs="宋体"/>
                <w:color w:val="auto"/>
                <w:szCs w:val="21"/>
                <w:highlight w:val="none"/>
              </w:rPr>
            </w:pPr>
          </w:p>
        </w:tc>
      </w:tr>
      <w:tr w14:paraId="26E42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trPr>
        <w:tc>
          <w:tcPr>
            <w:tcW w:w="2689" w:type="dxa"/>
            <w:tcBorders>
              <w:top w:val="single" w:color="auto" w:sz="4" w:space="0"/>
              <w:bottom w:val="single" w:color="auto" w:sz="4" w:space="0"/>
              <w:right w:val="single" w:color="auto" w:sz="4" w:space="0"/>
            </w:tcBorders>
            <w:vAlign w:val="center"/>
          </w:tcPr>
          <w:p w14:paraId="4965869D">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56EA1C36">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6E492206">
            <w:pPr>
              <w:wordWrap w:val="0"/>
              <w:topLinePunct/>
              <w:spacing w:line="276" w:lineRule="auto"/>
              <w:jc w:val="center"/>
              <w:rPr>
                <w:rFonts w:hint="eastAsia" w:ascii="宋体" w:hAnsi="宋体" w:eastAsia="宋体" w:cs="宋体"/>
                <w:color w:val="auto"/>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06AB3B4A">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720E4A24">
            <w:pPr>
              <w:wordWrap w:val="0"/>
              <w:topLinePunct/>
              <w:spacing w:line="276" w:lineRule="auto"/>
              <w:jc w:val="center"/>
              <w:rPr>
                <w:rFonts w:hint="eastAsia" w:ascii="宋体" w:hAnsi="宋体" w:eastAsia="宋体" w:cs="宋体"/>
                <w:color w:val="auto"/>
                <w:szCs w:val="21"/>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93F3320">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230" w:type="dxa"/>
            <w:tcBorders>
              <w:top w:val="single" w:color="auto" w:sz="4" w:space="0"/>
              <w:left w:val="single" w:color="auto" w:sz="4" w:space="0"/>
              <w:bottom w:val="single" w:color="auto" w:sz="4" w:space="0"/>
            </w:tcBorders>
            <w:vAlign w:val="center"/>
          </w:tcPr>
          <w:p w14:paraId="789929C3">
            <w:pPr>
              <w:wordWrap w:val="0"/>
              <w:topLinePunct/>
              <w:spacing w:line="276" w:lineRule="auto"/>
              <w:jc w:val="center"/>
              <w:rPr>
                <w:rFonts w:hint="eastAsia" w:ascii="宋体" w:hAnsi="宋体" w:eastAsia="宋体" w:cs="宋体"/>
                <w:color w:val="auto"/>
                <w:szCs w:val="21"/>
                <w:highlight w:val="none"/>
              </w:rPr>
            </w:pPr>
          </w:p>
        </w:tc>
      </w:tr>
      <w:tr w14:paraId="4FE34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trPr>
        <w:tc>
          <w:tcPr>
            <w:tcW w:w="2689" w:type="dxa"/>
            <w:tcBorders>
              <w:top w:val="single" w:color="auto" w:sz="4" w:space="0"/>
              <w:bottom w:val="single" w:color="auto" w:sz="4" w:space="0"/>
              <w:right w:val="single" w:color="auto" w:sz="4" w:space="0"/>
            </w:tcBorders>
            <w:vAlign w:val="center"/>
          </w:tcPr>
          <w:p w14:paraId="19CE6D65">
            <w:pPr>
              <w:wordWrap w:val="0"/>
              <w:topLinePunct/>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1F478A5E">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1694075A">
            <w:pPr>
              <w:wordWrap w:val="0"/>
              <w:topLinePunct/>
              <w:spacing w:line="276" w:lineRule="auto"/>
              <w:jc w:val="center"/>
              <w:rPr>
                <w:rFonts w:hint="eastAsia" w:ascii="宋体" w:hAnsi="宋体" w:eastAsia="宋体" w:cs="宋体"/>
                <w:color w:val="auto"/>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47EABAF2">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312B90C">
            <w:pPr>
              <w:wordWrap w:val="0"/>
              <w:topLinePunct/>
              <w:spacing w:line="276" w:lineRule="auto"/>
              <w:jc w:val="center"/>
              <w:rPr>
                <w:rFonts w:hint="eastAsia" w:ascii="宋体" w:hAnsi="宋体" w:eastAsia="宋体" w:cs="宋体"/>
                <w:color w:val="auto"/>
                <w:szCs w:val="21"/>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5051C0BF">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230" w:type="dxa"/>
            <w:tcBorders>
              <w:top w:val="single" w:color="auto" w:sz="4" w:space="0"/>
              <w:left w:val="single" w:color="auto" w:sz="4" w:space="0"/>
              <w:bottom w:val="single" w:color="auto" w:sz="4" w:space="0"/>
            </w:tcBorders>
            <w:vAlign w:val="center"/>
          </w:tcPr>
          <w:p w14:paraId="6B5C52D9">
            <w:pPr>
              <w:wordWrap w:val="0"/>
              <w:topLinePunct/>
              <w:spacing w:line="276" w:lineRule="auto"/>
              <w:jc w:val="center"/>
              <w:rPr>
                <w:rFonts w:hint="eastAsia" w:ascii="宋体" w:hAnsi="宋体" w:eastAsia="宋体" w:cs="宋体"/>
                <w:color w:val="auto"/>
                <w:szCs w:val="21"/>
                <w:highlight w:val="none"/>
              </w:rPr>
            </w:pPr>
          </w:p>
        </w:tc>
      </w:tr>
      <w:tr w14:paraId="70C51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trPr>
        <w:tc>
          <w:tcPr>
            <w:tcW w:w="2689" w:type="dxa"/>
            <w:tcBorders>
              <w:top w:val="single" w:color="auto" w:sz="4" w:space="0"/>
              <w:bottom w:val="single" w:color="auto" w:sz="4" w:space="0"/>
              <w:right w:val="single" w:color="auto" w:sz="4" w:space="0"/>
            </w:tcBorders>
            <w:vAlign w:val="center"/>
          </w:tcPr>
          <w:p w14:paraId="5DD4C405">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企业监理资质证书</w:t>
            </w:r>
          </w:p>
        </w:tc>
        <w:tc>
          <w:tcPr>
            <w:tcW w:w="6840" w:type="dxa"/>
            <w:gridSpan w:val="8"/>
            <w:tcBorders>
              <w:top w:val="single" w:color="auto" w:sz="4" w:space="0"/>
              <w:left w:val="single" w:color="auto" w:sz="4" w:space="0"/>
              <w:bottom w:val="single" w:color="auto" w:sz="4" w:space="0"/>
            </w:tcBorders>
            <w:vAlign w:val="center"/>
          </w:tcPr>
          <w:p w14:paraId="4670CF14">
            <w:pPr>
              <w:wordWrap w:val="0"/>
              <w:topLinePunct/>
              <w:spacing w:before="100" w:beforeAutospacing="1" w:after="100" w:afterAutospacing="1" w:line="276"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类型：                    等级：      证书号：</w:t>
            </w:r>
          </w:p>
        </w:tc>
      </w:tr>
      <w:tr w14:paraId="4C1AC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trPr>
        <w:tc>
          <w:tcPr>
            <w:tcW w:w="2689" w:type="dxa"/>
            <w:tcBorders>
              <w:top w:val="single" w:color="auto" w:sz="4" w:space="0"/>
              <w:bottom w:val="single" w:color="auto" w:sz="4" w:space="0"/>
              <w:right w:val="single" w:color="auto" w:sz="4" w:space="0"/>
            </w:tcBorders>
            <w:vAlign w:val="center"/>
          </w:tcPr>
          <w:p w14:paraId="53CCE9B4">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质量管理体系证书（如有）</w:t>
            </w:r>
          </w:p>
        </w:tc>
        <w:tc>
          <w:tcPr>
            <w:tcW w:w="6840" w:type="dxa"/>
            <w:gridSpan w:val="8"/>
            <w:tcBorders>
              <w:top w:val="single" w:color="auto" w:sz="4" w:space="0"/>
              <w:left w:val="single" w:color="auto" w:sz="4" w:space="0"/>
              <w:bottom w:val="single" w:color="auto" w:sz="4" w:space="0"/>
            </w:tcBorders>
            <w:vAlign w:val="center"/>
          </w:tcPr>
          <w:p w14:paraId="772E73BB">
            <w:pPr>
              <w:wordWrap w:val="0"/>
              <w:topLinePunct/>
              <w:spacing w:before="100" w:beforeAutospacing="1" w:after="100" w:afterAutospacing="1" w:line="276"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类型：                    等级：      证书号：</w:t>
            </w:r>
          </w:p>
        </w:tc>
      </w:tr>
      <w:tr w14:paraId="15678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2689" w:type="dxa"/>
            <w:tcBorders>
              <w:top w:val="single" w:color="auto" w:sz="4" w:space="0"/>
              <w:bottom w:val="single" w:color="auto" w:sz="4" w:space="0"/>
              <w:right w:val="single" w:color="auto" w:sz="4" w:space="0"/>
            </w:tcBorders>
            <w:vAlign w:val="center"/>
          </w:tcPr>
          <w:p w14:paraId="3A98B0E9">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EC7A055">
            <w:pPr>
              <w:wordWrap w:val="0"/>
              <w:topLinePunct/>
              <w:spacing w:line="276" w:lineRule="auto"/>
              <w:jc w:val="center"/>
              <w:rPr>
                <w:rFonts w:hint="eastAsia" w:ascii="宋体" w:hAnsi="宋体" w:eastAsia="宋体" w:cs="宋体"/>
                <w:color w:val="auto"/>
                <w:szCs w:val="21"/>
                <w:highlight w:val="none"/>
              </w:rPr>
            </w:pPr>
          </w:p>
        </w:tc>
        <w:tc>
          <w:tcPr>
            <w:tcW w:w="3629" w:type="dxa"/>
            <w:gridSpan w:val="5"/>
            <w:tcBorders>
              <w:top w:val="single" w:color="auto" w:sz="4" w:space="0"/>
              <w:left w:val="single" w:color="auto" w:sz="4" w:space="0"/>
              <w:bottom w:val="single" w:color="auto" w:sz="4" w:space="0"/>
            </w:tcBorders>
            <w:vAlign w:val="center"/>
          </w:tcPr>
          <w:p w14:paraId="1B5E8D83">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r>
      <w:tr w14:paraId="65223B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2689" w:type="dxa"/>
            <w:tcBorders>
              <w:top w:val="single" w:color="auto" w:sz="4" w:space="0"/>
              <w:bottom w:val="single" w:color="auto" w:sz="4" w:space="0"/>
              <w:right w:val="single" w:color="auto" w:sz="4" w:space="0"/>
            </w:tcBorders>
            <w:vAlign w:val="center"/>
          </w:tcPr>
          <w:p w14:paraId="40185B7A">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17A3DAD">
            <w:pPr>
              <w:wordWrap w:val="0"/>
              <w:topLinePunct/>
              <w:spacing w:line="276" w:lineRule="auto"/>
              <w:jc w:val="center"/>
              <w:rPr>
                <w:rFonts w:hint="eastAsia" w:ascii="宋体" w:hAnsi="宋体" w:eastAsia="宋体" w:cs="宋体"/>
                <w:color w:val="auto"/>
                <w:szCs w:val="21"/>
                <w:highlight w:val="none"/>
              </w:rPr>
            </w:pPr>
          </w:p>
        </w:tc>
        <w:tc>
          <w:tcPr>
            <w:tcW w:w="414" w:type="dxa"/>
            <w:vMerge w:val="restart"/>
            <w:tcBorders>
              <w:top w:val="single" w:color="auto" w:sz="4" w:space="0"/>
              <w:left w:val="single" w:color="auto" w:sz="4" w:space="0"/>
              <w:right w:val="single" w:color="auto" w:sz="4" w:space="0"/>
            </w:tcBorders>
            <w:vAlign w:val="center"/>
          </w:tcPr>
          <w:p w14:paraId="499CCDF8">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F967ECF">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高级职称人员</w:t>
            </w:r>
          </w:p>
        </w:tc>
        <w:tc>
          <w:tcPr>
            <w:tcW w:w="1514" w:type="dxa"/>
            <w:gridSpan w:val="2"/>
            <w:tcBorders>
              <w:top w:val="single" w:color="auto" w:sz="4" w:space="0"/>
              <w:left w:val="single" w:color="auto" w:sz="4" w:space="0"/>
              <w:bottom w:val="single" w:color="auto" w:sz="4" w:space="0"/>
            </w:tcBorders>
            <w:vAlign w:val="center"/>
          </w:tcPr>
          <w:p w14:paraId="6B8B96B9">
            <w:pPr>
              <w:wordWrap w:val="0"/>
              <w:topLinePunct/>
              <w:spacing w:line="276" w:lineRule="auto"/>
              <w:jc w:val="center"/>
              <w:rPr>
                <w:rFonts w:hint="eastAsia" w:ascii="宋体" w:hAnsi="宋体" w:eastAsia="宋体" w:cs="宋体"/>
                <w:color w:val="auto"/>
                <w:szCs w:val="21"/>
                <w:highlight w:val="none"/>
              </w:rPr>
            </w:pPr>
          </w:p>
        </w:tc>
      </w:tr>
      <w:tr w14:paraId="319FA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2689" w:type="dxa"/>
            <w:tcBorders>
              <w:top w:val="single" w:color="auto" w:sz="4" w:space="0"/>
              <w:bottom w:val="single" w:color="auto" w:sz="4" w:space="0"/>
              <w:right w:val="single" w:color="auto" w:sz="4" w:space="0"/>
            </w:tcBorders>
            <w:vAlign w:val="center"/>
          </w:tcPr>
          <w:p w14:paraId="6D3E82AE">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2284DF1">
            <w:pPr>
              <w:wordWrap w:val="0"/>
              <w:topLinePunct/>
              <w:spacing w:line="276" w:lineRule="auto"/>
              <w:jc w:val="center"/>
              <w:rPr>
                <w:rFonts w:hint="eastAsia" w:ascii="宋体" w:hAnsi="宋体" w:eastAsia="宋体" w:cs="宋体"/>
                <w:color w:val="auto"/>
                <w:szCs w:val="21"/>
                <w:highlight w:val="none"/>
              </w:rPr>
            </w:pPr>
          </w:p>
        </w:tc>
        <w:tc>
          <w:tcPr>
            <w:tcW w:w="414" w:type="dxa"/>
            <w:vMerge w:val="continue"/>
            <w:tcBorders>
              <w:left w:val="single" w:color="auto" w:sz="4" w:space="0"/>
              <w:right w:val="single" w:color="auto" w:sz="4" w:space="0"/>
            </w:tcBorders>
            <w:vAlign w:val="center"/>
          </w:tcPr>
          <w:p w14:paraId="2F42CC6D">
            <w:pPr>
              <w:wordWrap w:val="0"/>
              <w:spacing w:line="276" w:lineRule="auto"/>
              <w:jc w:val="center"/>
              <w:rPr>
                <w:rFonts w:hint="eastAsia" w:ascii="宋体" w:hAnsi="宋体" w:eastAsia="宋体" w:cs="宋体"/>
                <w:color w:val="auto"/>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0A93C14">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中级职称人员</w:t>
            </w:r>
          </w:p>
        </w:tc>
        <w:tc>
          <w:tcPr>
            <w:tcW w:w="1514" w:type="dxa"/>
            <w:gridSpan w:val="2"/>
            <w:tcBorders>
              <w:top w:val="single" w:color="auto" w:sz="4" w:space="0"/>
              <w:left w:val="single" w:color="auto" w:sz="4" w:space="0"/>
              <w:bottom w:val="single" w:color="auto" w:sz="4" w:space="0"/>
            </w:tcBorders>
            <w:vAlign w:val="center"/>
          </w:tcPr>
          <w:p w14:paraId="677293DE">
            <w:pPr>
              <w:wordWrap w:val="0"/>
              <w:topLinePunct/>
              <w:spacing w:line="276" w:lineRule="auto"/>
              <w:jc w:val="center"/>
              <w:rPr>
                <w:rFonts w:hint="eastAsia" w:ascii="宋体" w:hAnsi="宋体" w:eastAsia="宋体" w:cs="宋体"/>
                <w:color w:val="auto"/>
                <w:szCs w:val="21"/>
                <w:highlight w:val="none"/>
              </w:rPr>
            </w:pPr>
          </w:p>
        </w:tc>
      </w:tr>
      <w:tr w14:paraId="27B5B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trPr>
        <w:tc>
          <w:tcPr>
            <w:tcW w:w="2689" w:type="dxa"/>
            <w:tcBorders>
              <w:top w:val="single" w:color="auto" w:sz="4" w:space="0"/>
              <w:bottom w:val="single" w:color="auto" w:sz="4" w:space="0"/>
              <w:right w:val="single" w:color="auto" w:sz="4" w:space="0"/>
            </w:tcBorders>
            <w:vAlign w:val="center"/>
          </w:tcPr>
          <w:p w14:paraId="559EFB38">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F187E7E">
            <w:pPr>
              <w:wordWrap w:val="0"/>
              <w:topLinePunct/>
              <w:spacing w:line="276" w:lineRule="auto"/>
              <w:jc w:val="center"/>
              <w:rPr>
                <w:rFonts w:hint="eastAsia" w:ascii="宋体" w:hAnsi="宋体" w:eastAsia="宋体" w:cs="宋体"/>
                <w:color w:val="auto"/>
                <w:szCs w:val="21"/>
                <w:highlight w:val="none"/>
              </w:rPr>
            </w:pPr>
          </w:p>
        </w:tc>
        <w:tc>
          <w:tcPr>
            <w:tcW w:w="414" w:type="dxa"/>
            <w:vMerge w:val="continue"/>
            <w:tcBorders>
              <w:left w:val="single" w:color="auto" w:sz="4" w:space="0"/>
              <w:right w:val="single" w:color="auto" w:sz="4" w:space="0"/>
            </w:tcBorders>
            <w:vAlign w:val="center"/>
          </w:tcPr>
          <w:p w14:paraId="79B977DE">
            <w:pPr>
              <w:wordWrap w:val="0"/>
              <w:spacing w:line="276" w:lineRule="auto"/>
              <w:jc w:val="center"/>
              <w:rPr>
                <w:rFonts w:hint="eastAsia" w:ascii="宋体" w:hAnsi="宋体" w:eastAsia="宋体" w:cs="宋体"/>
                <w:color w:val="auto"/>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B388685">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技术人员数量</w:t>
            </w:r>
          </w:p>
        </w:tc>
        <w:tc>
          <w:tcPr>
            <w:tcW w:w="1514" w:type="dxa"/>
            <w:gridSpan w:val="2"/>
            <w:tcBorders>
              <w:top w:val="single" w:color="auto" w:sz="4" w:space="0"/>
              <w:left w:val="single" w:color="auto" w:sz="4" w:space="0"/>
              <w:bottom w:val="single" w:color="auto" w:sz="4" w:space="0"/>
            </w:tcBorders>
            <w:vAlign w:val="center"/>
          </w:tcPr>
          <w:p w14:paraId="228D745C">
            <w:pPr>
              <w:wordWrap w:val="0"/>
              <w:topLinePunct/>
              <w:spacing w:line="276" w:lineRule="auto"/>
              <w:jc w:val="center"/>
              <w:rPr>
                <w:rFonts w:hint="eastAsia" w:ascii="宋体" w:hAnsi="宋体" w:eastAsia="宋体" w:cs="宋体"/>
                <w:color w:val="auto"/>
                <w:szCs w:val="21"/>
                <w:highlight w:val="none"/>
              </w:rPr>
            </w:pPr>
          </w:p>
        </w:tc>
      </w:tr>
      <w:tr w14:paraId="6C9ED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2689" w:type="dxa"/>
            <w:tcBorders>
              <w:top w:val="single" w:color="auto" w:sz="4" w:space="0"/>
              <w:bottom w:val="single" w:color="auto" w:sz="4" w:space="0"/>
              <w:right w:val="single" w:color="auto" w:sz="4" w:space="0"/>
            </w:tcBorders>
            <w:vAlign w:val="center"/>
          </w:tcPr>
          <w:p w14:paraId="005FECE9">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B104583">
            <w:pPr>
              <w:wordWrap w:val="0"/>
              <w:topLinePunct/>
              <w:spacing w:line="276" w:lineRule="auto"/>
              <w:jc w:val="center"/>
              <w:rPr>
                <w:rFonts w:hint="eastAsia" w:ascii="宋体" w:hAnsi="宋体" w:eastAsia="宋体" w:cs="宋体"/>
                <w:color w:val="auto"/>
                <w:szCs w:val="21"/>
                <w:highlight w:val="none"/>
              </w:rPr>
            </w:pPr>
          </w:p>
        </w:tc>
        <w:tc>
          <w:tcPr>
            <w:tcW w:w="414" w:type="dxa"/>
            <w:vMerge w:val="continue"/>
            <w:tcBorders>
              <w:left w:val="single" w:color="auto" w:sz="4" w:space="0"/>
              <w:right w:val="single" w:color="auto" w:sz="4" w:space="0"/>
            </w:tcBorders>
            <w:vAlign w:val="center"/>
          </w:tcPr>
          <w:p w14:paraId="3A47AC80">
            <w:pPr>
              <w:wordWrap w:val="0"/>
              <w:spacing w:line="276" w:lineRule="auto"/>
              <w:jc w:val="center"/>
              <w:rPr>
                <w:rFonts w:hint="eastAsia" w:ascii="宋体" w:hAnsi="宋体" w:eastAsia="宋体" w:cs="宋体"/>
                <w:color w:val="auto"/>
                <w:szCs w:val="21"/>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AB180BD">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各类注册人员</w:t>
            </w:r>
          </w:p>
        </w:tc>
        <w:tc>
          <w:tcPr>
            <w:tcW w:w="1514" w:type="dxa"/>
            <w:gridSpan w:val="2"/>
            <w:tcBorders>
              <w:top w:val="single" w:color="auto" w:sz="4" w:space="0"/>
              <w:left w:val="single" w:color="auto" w:sz="4" w:space="0"/>
              <w:bottom w:val="single" w:color="auto" w:sz="4" w:space="0"/>
            </w:tcBorders>
            <w:vAlign w:val="center"/>
          </w:tcPr>
          <w:p w14:paraId="36A4D57C">
            <w:pPr>
              <w:wordWrap w:val="0"/>
              <w:topLinePunct/>
              <w:spacing w:line="276" w:lineRule="auto"/>
              <w:jc w:val="center"/>
              <w:rPr>
                <w:rFonts w:hint="eastAsia" w:ascii="宋体" w:hAnsi="宋体" w:eastAsia="宋体" w:cs="宋体"/>
                <w:color w:val="auto"/>
                <w:szCs w:val="21"/>
                <w:highlight w:val="none"/>
              </w:rPr>
            </w:pPr>
          </w:p>
        </w:tc>
      </w:tr>
      <w:tr w14:paraId="77D8D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2689" w:type="dxa"/>
            <w:tcBorders>
              <w:top w:val="single" w:color="auto" w:sz="4" w:space="0"/>
              <w:right w:val="single" w:color="auto" w:sz="4" w:space="0"/>
            </w:tcBorders>
            <w:vAlign w:val="center"/>
          </w:tcPr>
          <w:p w14:paraId="246EBF92">
            <w:pPr>
              <w:wordWrap w:val="0"/>
              <w:topLinePunct/>
              <w:spacing w:before="100" w:beforeAutospacing="1" w:after="100" w:afterAutospacing="1" w:line="276"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经营范围</w:t>
            </w:r>
          </w:p>
        </w:tc>
        <w:tc>
          <w:tcPr>
            <w:tcW w:w="6840" w:type="dxa"/>
            <w:gridSpan w:val="8"/>
            <w:tcBorders>
              <w:top w:val="single" w:color="auto" w:sz="4" w:space="0"/>
              <w:left w:val="single" w:color="auto" w:sz="4" w:space="0"/>
            </w:tcBorders>
            <w:vAlign w:val="center"/>
          </w:tcPr>
          <w:p w14:paraId="47B7F903">
            <w:pPr>
              <w:wordWrap w:val="0"/>
              <w:topLinePunct/>
              <w:spacing w:line="276" w:lineRule="auto"/>
              <w:jc w:val="center"/>
              <w:rPr>
                <w:rFonts w:hint="eastAsia" w:ascii="宋体" w:hAnsi="宋体" w:eastAsia="宋体" w:cs="宋体"/>
                <w:color w:val="auto"/>
                <w:szCs w:val="21"/>
                <w:highlight w:val="none"/>
              </w:rPr>
            </w:pPr>
          </w:p>
        </w:tc>
      </w:tr>
      <w:tr w14:paraId="492F3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2689" w:type="dxa"/>
            <w:tcBorders>
              <w:top w:val="single" w:color="auto" w:sz="4" w:space="0"/>
              <w:right w:val="single" w:color="auto" w:sz="4" w:space="0"/>
            </w:tcBorders>
            <w:vAlign w:val="center"/>
          </w:tcPr>
          <w:p w14:paraId="53FE9D54">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vAlign w:val="center"/>
          </w:tcPr>
          <w:p w14:paraId="69E6754E">
            <w:pPr>
              <w:wordWrap w:val="0"/>
              <w:topLinePunct/>
              <w:spacing w:line="276" w:lineRule="auto"/>
              <w:jc w:val="center"/>
              <w:rPr>
                <w:rFonts w:hint="eastAsia" w:ascii="宋体" w:hAnsi="宋体" w:eastAsia="宋体" w:cs="宋体"/>
                <w:color w:val="auto"/>
                <w:szCs w:val="21"/>
                <w:highlight w:val="none"/>
              </w:rPr>
            </w:pPr>
          </w:p>
        </w:tc>
      </w:tr>
      <w:tr w14:paraId="4B439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8" w:hRule="atLeast"/>
        </w:trPr>
        <w:tc>
          <w:tcPr>
            <w:tcW w:w="2689" w:type="dxa"/>
            <w:tcBorders>
              <w:top w:val="single" w:color="auto" w:sz="4" w:space="0"/>
              <w:bottom w:val="single" w:color="auto" w:sz="4" w:space="0"/>
              <w:right w:val="single" w:color="auto" w:sz="4" w:space="0"/>
            </w:tcBorders>
            <w:vAlign w:val="center"/>
          </w:tcPr>
          <w:p w14:paraId="326CAE3A">
            <w:pPr>
              <w:wordWrap w:val="0"/>
              <w:topLinePunct/>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840" w:type="dxa"/>
            <w:gridSpan w:val="8"/>
            <w:tcBorders>
              <w:top w:val="single" w:color="auto" w:sz="4" w:space="0"/>
              <w:left w:val="single" w:color="auto" w:sz="4" w:space="0"/>
              <w:bottom w:val="single" w:color="auto" w:sz="4" w:space="0"/>
            </w:tcBorders>
            <w:vAlign w:val="center"/>
          </w:tcPr>
          <w:p w14:paraId="0E64C76E">
            <w:pPr>
              <w:wordWrap w:val="0"/>
              <w:topLinePunct/>
              <w:spacing w:line="276" w:lineRule="auto"/>
              <w:jc w:val="center"/>
              <w:rPr>
                <w:rFonts w:hint="eastAsia" w:ascii="宋体" w:hAnsi="宋体" w:eastAsia="宋体" w:cs="宋体"/>
                <w:color w:val="auto"/>
                <w:szCs w:val="21"/>
                <w:highlight w:val="none"/>
              </w:rPr>
            </w:pPr>
          </w:p>
        </w:tc>
      </w:tr>
    </w:tbl>
    <w:p w14:paraId="7A21054D">
      <w:pPr>
        <w:wordWrap w:val="0"/>
        <w:spacing w:line="276" w:lineRule="auto"/>
        <w:rPr>
          <w:rFonts w:hint="eastAsia" w:ascii="宋体" w:hAnsi="宋体" w:eastAsia="宋体" w:cs="宋体"/>
          <w:color w:val="auto"/>
          <w:highlight w:val="none"/>
          <w:u w:val="single"/>
        </w:rPr>
      </w:pPr>
      <w:r>
        <w:rPr>
          <w:rFonts w:hint="eastAsia" w:ascii="宋体" w:hAnsi="宋体" w:eastAsia="宋体" w:cs="宋体"/>
          <w:color w:val="auto"/>
          <w:highlight w:val="none"/>
          <w:u w:val="single"/>
        </w:rPr>
        <w:t>注：投标人应根据招标文件的要求在本表后附营业执照、资质证书等证明材料。</w:t>
      </w:r>
    </w:p>
    <w:p w14:paraId="5FD549CA">
      <w:pPr>
        <w:keepNext/>
        <w:keepLines/>
        <w:wordWrap w:val="0"/>
        <w:spacing w:line="360" w:lineRule="auto"/>
        <w:outlineLvl w:val="2"/>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br w:type="page"/>
      </w:r>
      <w:bookmarkStart w:id="508" w:name="_Toc59200720"/>
      <w:bookmarkStart w:id="509" w:name="_Toc23514"/>
      <w:bookmarkStart w:id="510" w:name="_Toc4509"/>
      <w:bookmarkStart w:id="511" w:name="_Toc526786517"/>
      <w:r>
        <w:rPr>
          <w:rFonts w:hint="eastAsia" w:ascii="宋体" w:hAnsi="宋体" w:eastAsia="宋体" w:cs="宋体"/>
          <w:b/>
          <w:color w:val="auto"/>
          <w:sz w:val="28"/>
          <w:szCs w:val="20"/>
          <w:highlight w:val="none"/>
        </w:rPr>
        <w:t>（二）近年完成的类似监理项目情况表</w:t>
      </w:r>
      <w:bookmarkEnd w:id="508"/>
      <w:bookmarkEnd w:id="509"/>
      <w:bookmarkEnd w:id="510"/>
      <w:bookmarkEnd w:id="511"/>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6253"/>
      </w:tblGrid>
      <w:tr w14:paraId="17C7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114" w:type="dxa"/>
            <w:vAlign w:val="center"/>
          </w:tcPr>
          <w:p w14:paraId="147CBD1A">
            <w:pPr>
              <w:topLinePunct/>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6253" w:type="dxa"/>
            <w:vAlign w:val="center"/>
          </w:tcPr>
          <w:p w14:paraId="106F4572">
            <w:pPr>
              <w:wordWrap w:val="0"/>
              <w:topLinePunct/>
              <w:spacing w:line="276" w:lineRule="auto"/>
              <w:rPr>
                <w:rFonts w:hint="eastAsia" w:ascii="宋体" w:hAnsi="宋体" w:eastAsia="宋体" w:cs="宋体"/>
                <w:color w:val="auto"/>
                <w:highlight w:val="none"/>
              </w:rPr>
            </w:pPr>
          </w:p>
        </w:tc>
      </w:tr>
      <w:tr w14:paraId="59B6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114" w:type="dxa"/>
            <w:vAlign w:val="center"/>
          </w:tcPr>
          <w:p w14:paraId="6ADBFC08">
            <w:pPr>
              <w:wordWrap w:val="0"/>
              <w:topLinePunct/>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项目所在地</w:t>
            </w:r>
          </w:p>
        </w:tc>
        <w:tc>
          <w:tcPr>
            <w:tcW w:w="6253" w:type="dxa"/>
            <w:vAlign w:val="center"/>
          </w:tcPr>
          <w:p w14:paraId="14609EBE">
            <w:pPr>
              <w:wordWrap w:val="0"/>
              <w:topLinePunct/>
              <w:spacing w:line="276" w:lineRule="auto"/>
              <w:rPr>
                <w:rFonts w:hint="eastAsia" w:ascii="宋体" w:hAnsi="宋体" w:eastAsia="宋体" w:cs="宋体"/>
                <w:color w:val="auto"/>
                <w:highlight w:val="none"/>
              </w:rPr>
            </w:pPr>
          </w:p>
        </w:tc>
      </w:tr>
      <w:tr w14:paraId="1595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114" w:type="dxa"/>
            <w:vAlign w:val="center"/>
          </w:tcPr>
          <w:p w14:paraId="4DF674F6">
            <w:pPr>
              <w:wordWrap w:val="0"/>
              <w:topLinePunct/>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委托人（或发包人）名称</w:t>
            </w:r>
          </w:p>
        </w:tc>
        <w:tc>
          <w:tcPr>
            <w:tcW w:w="6253" w:type="dxa"/>
            <w:vAlign w:val="center"/>
          </w:tcPr>
          <w:p w14:paraId="02F1E972">
            <w:pPr>
              <w:wordWrap w:val="0"/>
              <w:topLinePunct/>
              <w:spacing w:line="276" w:lineRule="auto"/>
              <w:rPr>
                <w:rFonts w:hint="eastAsia" w:ascii="宋体" w:hAnsi="宋体" w:eastAsia="宋体" w:cs="宋体"/>
                <w:color w:val="auto"/>
                <w:highlight w:val="none"/>
              </w:rPr>
            </w:pPr>
          </w:p>
        </w:tc>
      </w:tr>
      <w:tr w14:paraId="3EEC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114" w:type="dxa"/>
            <w:vAlign w:val="center"/>
          </w:tcPr>
          <w:p w14:paraId="225D61B8">
            <w:pPr>
              <w:wordWrap w:val="0"/>
              <w:topLinePunct/>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委托人（或发包人）地址</w:t>
            </w:r>
          </w:p>
        </w:tc>
        <w:tc>
          <w:tcPr>
            <w:tcW w:w="6253" w:type="dxa"/>
            <w:vAlign w:val="center"/>
          </w:tcPr>
          <w:p w14:paraId="737A8929">
            <w:pPr>
              <w:wordWrap w:val="0"/>
              <w:topLinePunct/>
              <w:spacing w:line="276" w:lineRule="auto"/>
              <w:rPr>
                <w:rFonts w:hint="eastAsia" w:ascii="宋体" w:hAnsi="宋体" w:eastAsia="宋体" w:cs="宋体"/>
                <w:color w:val="auto"/>
                <w:highlight w:val="none"/>
              </w:rPr>
            </w:pPr>
          </w:p>
        </w:tc>
      </w:tr>
      <w:tr w14:paraId="7A71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114" w:type="dxa"/>
            <w:vAlign w:val="center"/>
          </w:tcPr>
          <w:p w14:paraId="219B75BB">
            <w:pPr>
              <w:wordWrap w:val="0"/>
              <w:topLinePunct/>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委托人（或发包人）电话</w:t>
            </w:r>
          </w:p>
        </w:tc>
        <w:tc>
          <w:tcPr>
            <w:tcW w:w="6253" w:type="dxa"/>
            <w:vAlign w:val="center"/>
          </w:tcPr>
          <w:p w14:paraId="64004C04">
            <w:pPr>
              <w:wordWrap w:val="0"/>
              <w:topLinePunct/>
              <w:spacing w:line="276" w:lineRule="auto"/>
              <w:rPr>
                <w:rFonts w:hint="eastAsia" w:ascii="宋体" w:hAnsi="宋体" w:eastAsia="宋体" w:cs="宋体"/>
                <w:color w:val="auto"/>
                <w:highlight w:val="none"/>
              </w:rPr>
            </w:pPr>
          </w:p>
        </w:tc>
      </w:tr>
      <w:tr w14:paraId="4B49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114" w:type="dxa"/>
            <w:vAlign w:val="center"/>
          </w:tcPr>
          <w:p w14:paraId="611C229F">
            <w:pPr>
              <w:wordWrap w:val="0"/>
              <w:topLinePunct/>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合同价格</w:t>
            </w:r>
          </w:p>
        </w:tc>
        <w:tc>
          <w:tcPr>
            <w:tcW w:w="6253" w:type="dxa"/>
            <w:vAlign w:val="center"/>
          </w:tcPr>
          <w:p w14:paraId="0F69074E">
            <w:pPr>
              <w:wordWrap w:val="0"/>
              <w:topLinePunct/>
              <w:spacing w:line="276" w:lineRule="auto"/>
              <w:rPr>
                <w:rFonts w:hint="eastAsia" w:ascii="宋体" w:hAnsi="宋体" w:eastAsia="宋体" w:cs="宋体"/>
                <w:color w:val="auto"/>
                <w:highlight w:val="none"/>
              </w:rPr>
            </w:pPr>
          </w:p>
        </w:tc>
      </w:tr>
      <w:tr w14:paraId="0CDF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114" w:type="dxa"/>
            <w:vAlign w:val="center"/>
          </w:tcPr>
          <w:p w14:paraId="6EB48F39">
            <w:pPr>
              <w:wordWrap w:val="0"/>
              <w:topLinePunct/>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监理服务期限</w:t>
            </w:r>
          </w:p>
        </w:tc>
        <w:tc>
          <w:tcPr>
            <w:tcW w:w="6253" w:type="dxa"/>
            <w:vAlign w:val="center"/>
          </w:tcPr>
          <w:p w14:paraId="1FE770CD">
            <w:pPr>
              <w:wordWrap w:val="0"/>
              <w:topLinePunct/>
              <w:spacing w:line="276" w:lineRule="auto"/>
              <w:rPr>
                <w:rFonts w:hint="eastAsia" w:ascii="宋体" w:hAnsi="宋体" w:eastAsia="宋体" w:cs="宋体"/>
                <w:color w:val="auto"/>
                <w:highlight w:val="none"/>
              </w:rPr>
            </w:pPr>
          </w:p>
        </w:tc>
      </w:tr>
      <w:tr w14:paraId="51A7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114" w:type="dxa"/>
            <w:vAlign w:val="center"/>
          </w:tcPr>
          <w:p w14:paraId="66400AF2">
            <w:pPr>
              <w:wordWrap w:val="0"/>
              <w:topLinePunct/>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监理内容</w:t>
            </w:r>
          </w:p>
        </w:tc>
        <w:tc>
          <w:tcPr>
            <w:tcW w:w="6253" w:type="dxa"/>
            <w:vAlign w:val="center"/>
          </w:tcPr>
          <w:p w14:paraId="41F0E5AB">
            <w:pPr>
              <w:wordWrap w:val="0"/>
              <w:topLinePunct/>
              <w:spacing w:line="276" w:lineRule="auto"/>
              <w:rPr>
                <w:rFonts w:hint="eastAsia" w:ascii="宋体" w:hAnsi="宋体" w:eastAsia="宋体" w:cs="宋体"/>
                <w:color w:val="auto"/>
                <w:highlight w:val="none"/>
              </w:rPr>
            </w:pPr>
          </w:p>
        </w:tc>
      </w:tr>
      <w:tr w14:paraId="5D91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114" w:type="dxa"/>
            <w:vAlign w:val="center"/>
          </w:tcPr>
          <w:p w14:paraId="2698E516">
            <w:pPr>
              <w:wordWrap w:val="0"/>
              <w:topLinePunct/>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总监理工程师</w:t>
            </w:r>
          </w:p>
        </w:tc>
        <w:tc>
          <w:tcPr>
            <w:tcW w:w="6253" w:type="dxa"/>
            <w:vAlign w:val="center"/>
          </w:tcPr>
          <w:p w14:paraId="529948F8">
            <w:pPr>
              <w:wordWrap w:val="0"/>
              <w:topLinePunct/>
              <w:spacing w:line="276" w:lineRule="auto"/>
              <w:rPr>
                <w:rFonts w:hint="eastAsia" w:ascii="宋体" w:hAnsi="宋体" w:eastAsia="宋体" w:cs="宋体"/>
                <w:color w:val="auto"/>
                <w:highlight w:val="none"/>
              </w:rPr>
            </w:pPr>
          </w:p>
        </w:tc>
      </w:tr>
      <w:tr w14:paraId="4850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114" w:type="dxa"/>
            <w:vAlign w:val="center"/>
          </w:tcPr>
          <w:p w14:paraId="265D7557">
            <w:pPr>
              <w:wordWrap w:val="0"/>
              <w:topLinePunct/>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项目描述</w:t>
            </w:r>
          </w:p>
        </w:tc>
        <w:tc>
          <w:tcPr>
            <w:tcW w:w="6253" w:type="dxa"/>
            <w:vAlign w:val="center"/>
          </w:tcPr>
          <w:p w14:paraId="6A6B603F">
            <w:pPr>
              <w:wordWrap w:val="0"/>
              <w:topLinePunct/>
              <w:spacing w:line="276" w:lineRule="auto"/>
              <w:rPr>
                <w:rFonts w:hint="eastAsia" w:ascii="宋体" w:hAnsi="宋体" w:eastAsia="宋体" w:cs="宋体"/>
                <w:color w:val="auto"/>
                <w:highlight w:val="none"/>
              </w:rPr>
            </w:pPr>
          </w:p>
          <w:p w14:paraId="34584254">
            <w:pPr>
              <w:wordWrap w:val="0"/>
              <w:topLinePunct/>
              <w:spacing w:line="276" w:lineRule="auto"/>
              <w:rPr>
                <w:rFonts w:hint="eastAsia" w:ascii="宋体" w:hAnsi="宋体" w:eastAsia="宋体" w:cs="宋体"/>
                <w:color w:val="auto"/>
                <w:highlight w:val="none"/>
              </w:rPr>
            </w:pPr>
          </w:p>
          <w:p w14:paraId="38F56A81">
            <w:pPr>
              <w:wordWrap w:val="0"/>
              <w:topLinePunct/>
              <w:spacing w:line="276" w:lineRule="auto"/>
              <w:rPr>
                <w:rFonts w:hint="eastAsia" w:ascii="宋体" w:hAnsi="宋体" w:eastAsia="宋体" w:cs="宋体"/>
                <w:color w:val="auto"/>
                <w:highlight w:val="none"/>
              </w:rPr>
            </w:pPr>
          </w:p>
          <w:p w14:paraId="3A03B679">
            <w:pPr>
              <w:wordWrap w:val="0"/>
              <w:topLinePunct/>
              <w:spacing w:line="276" w:lineRule="auto"/>
              <w:rPr>
                <w:rFonts w:hint="eastAsia" w:ascii="宋体" w:hAnsi="宋体" w:eastAsia="宋体" w:cs="宋体"/>
                <w:color w:val="auto"/>
                <w:highlight w:val="none"/>
              </w:rPr>
            </w:pPr>
          </w:p>
          <w:p w14:paraId="3B7C111B">
            <w:pPr>
              <w:wordWrap w:val="0"/>
              <w:topLinePunct/>
              <w:spacing w:line="276" w:lineRule="auto"/>
              <w:rPr>
                <w:rFonts w:hint="eastAsia" w:ascii="宋体" w:hAnsi="宋体" w:eastAsia="宋体" w:cs="宋体"/>
                <w:color w:val="auto"/>
                <w:highlight w:val="none"/>
              </w:rPr>
            </w:pPr>
          </w:p>
          <w:p w14:paraId="21A907C9">
            <w:pPr>
              <w:wordWrap w:val="0"/>
              <w:topLinePunct/>
              <w:spacing w:line="276" w:lineRule="auto"/>
              <w:rPr>
                <w:rFonts w:hint="eastAsia" w:ascii="宋体" w:hAnsi="宋体" w:eastAsia="宋体" w:cs="宋体"/>
                <w:color w:val="auto"/>
                <w:highlight w:val="none"/>
              </w:rPr>
            </w:pPr>
          </w:p>
          <w:p w14:paraId="6C9C6EBA">
            <w:pPr>
              <w:wordWrap w:val="0"/>
              <w:topLinePunct/>
              <w:spacing w:line="276" w:lineRule="auto"/>
              <w:rPr>
                <w:rFonts w:hint="eastAsia" w:ascii="宋体" w:hAnsi="宋体" w:eastAsia="宋体" w:cs="宋体"/>
                <w:color w:val="auto"/>
                <w:highlight w:val="none"/>
              </w:rPr>
            </w:pPr>
          </w:p>
        </w:tc>
      </w:tr>
      <w:tr w14:paraId="017C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114" w:type="dxa"/>
            <w:vAlign w:val="center"/>
          </w:tcPr>
          <w:p w14:paraId="5DA4DB71">
            <w:pPr>
              <w:wordWrap w:val="0"/>
              <w:topLinePunct/>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6253" w:type="dxa"/>
            <w:vAlign w:val="center"/>
          </w:tcPr>
          <w:p w14:paraId="188355B8">
            <w:pPr>
              <w:wordWrap w:val="0"/>
              <w:topLinePunct/>
              <w:spacing w:line="276" w:lineRule="auto"/>
              <w:rPr>
                <w:rFonts w:hint="eastAsia" w:ascii="宋体" w:hAnsi="宋体" w:eastAsia="宋体" w:cs="宋体"/>
                <w:color w:val="auto"/>
                <w:highlight w:val="none"/>
              </w:rPr>
            </w:pPr>
          </w:p>
        </w:tc>
      </w:tr>
    </w:tbl>
    <w:p w14:paraId="15F9E410">
      <w:pPr>
        <w:wordWrap w:val="0"/>
        <w:spacing w:line="276" w:lineRule="auto"/>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u w:val="single"/>
        </w:rPr>
        <w:t>如要求合格业绩，投标人应根据招标文件的要求在本表后附相关证明材料。</w:t>
      </w:r>
    </w:p>
    <w:p w14:paraId="2EAEFD2D">
      <w:pPr>
        <w:keepNext/>
        <w:keepLines/>
        <w:wordWrap w:val="0"/>
        <w:spacing w:line="360" w:lineRule="auto"/>
        <w:outlineLvl w:val="2"/>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br w:type="page"/>
      </w:r>
      <w:bookmarkEnd w:id="500"/>
      <w:bookmarkStart w:id="512" w:name="_Toc482188667"/>
      <w:bookmarkStart w:id="513" w:name="_Toc31393"/>
      <w:bookmarkStart w:id="514" w:name="_Toc21542"/>
      <w:bookmarkStart w:id="515" w:name="_Toc526786520"/>
      <w:bookmarkStart w:id="516" w:name="_Toc59200723"/>
      <w:r>
        <w:rPr>
          <w:rFonts w:hint="eastAsia" w:ascii="宋体" w:hAnsi="宋体" w:eastAsia="宋体" w:cs="宋体"/>
          <w:b/>
          <w:color w:val="auto"/>
          <w:sz w:val="28"/>
          <w:szCs w:val="20"/>
          <w:highlight w:val="none"/>
        </w:rPr>
        <w:t>（三）拟委任的主要人员汇总表</w:t>
      </w:r>
      <w:bookmarkEnd w:id="512"/>
      <w:bookmarkEnd w:id="513"/>
      <w:bookmarkEnd w:id="514"/>
      <w:bookmarkEnd w:id="515"/>
      <w:bookmarkEnd w:id="516"/>
    </w:p>
    <w:tbl>
      <w:tblPr>
        <w:tblStyle w:val="25"/>
        <w:tblW w:w="9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007"/>
        <w:gridCol w:w="992"/>
        <w:gridCol w:w="603"/>
        <w:gridCol w:w="488"/>
        <w:gridCol w:w="1134"/>
        <w:gridCol w:w="709"/>
        <w:gridCol w:w="871"/>
        <w:gridCol w:w="1134"/>
      </w:tblGrid>
      <w:tr w14:paraId="4923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0A3371A5">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007" w:type="dxa"/>
            <w:vMerge w:val="restart"/>
            <w:vAlign w:val="center"/>
          </w:tcPr>
          <w:p w14:paraId="729B6AF1">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本项目任职</w:t>
            </w:r>
          </w:p>
        </w:tc>
        <w:tc>
          <w:tcPr>
            <w:tcW w:w="992" w:type="dxa"/>
            <w:vMerge w:val="restart"/>
            <w:vAlign w:val="center"/>
          </w:tcPr>
          <w:p w14:paraId="4F629740">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603" w:type="dxa"/>
            <w:vMerge w:val="restart"/>
            <w:vAlign w:val="center"/>
          </w:tcPr>
          <w:p w14:paraId="14513F81">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488" w:type="dxa"/>
            <w:vMerge w:val="restart"/>
            <w:vAlign w:val="center"/>
          </w:tcPr>
          <w:p w14:paraId="0BFDF5C2">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714" w:type="dxa"/>
            <w:gridSpan w:val="3"/>
            <w:vAlign w:val="center"/>
          </w:tcPr>
          <w:p w14:paraId="28C9C84E">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c>
          <w:tcPr>
            <w:tcW w:w="1134" w:type="dxa"/>
            <w:vAlign w:val="center"/>
          </w:tcPr>
          <w:p w14:paraId="60160DFC">
            <w:pPr>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0B97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6C066203">
            <w:pPr>
              <w:wordWrap w:val="0"/>
              <w:spacing w:line="276" w:lineRule="auto"/>
              <w:rPr>
                <w:rFonts w:hint="eastAsia" w:ascii="宋体" w:hAnsi="宋体" w:eastAsia="宋体" w:cs="宋体"/>
                <w:color w:val="auto"/>
                <w:szCs w:val="21"/>
                <w:highlight w:val="none"/>
              </w:rPr>
            </w:pPr>
          </w:p>
        </w:tc>
        <w:tc>
          <w:tcPr>
            <w:tcW w:w="3007" w:type="dxa"/>
            <w:vMerge w:val="continue"/>
          </w:tcPr>
          <w:p w14:paraId="4BEB0C8B">
            <w:pPr>
              <w:wordWrap w:val="0"/>
              <w:spacing w:line="276" w:lineRule="auto"/>
              <w:rPr>
                <w:rFonts w:hint="eastAsia" w:ascii="宋体" w:hAnsi="宋体" w:eastAsia="宋体" w:cs="宋体"/>
                <w:color w:val="auto"/>
                <w:szCs w:val="21"/>
                <w:highlight w:val="none"/>
              </w:rPr>
            </w:pPr>
          </w:p>
        </w:tc>
        <w:tc>
          <w:tcPr>
            <w:tcW w:w="992" w:type="dxa"/>
            <w:vMerge w:val="continue"/>
            <w:vAlign w:val="center"/>
          </w:tcPr>
          <w:p w14:paraId="134D094A">
            <w:pPr>
              <w:wordWrap w:val="0"/>
              <w:spacing w:line="276" w:lineRule="auto"/>
              <w:rPr>
                <w:rFonts w:hint="eastAsia" w:ascii="宋体" w:hAnsi="宋体" w:eastAsia="宋体" w:cs="宋体"/>
                <w:color w:val="auto"/>
                <w:szCs w:val="21"/>
                <w:highlight w:val="none"/>
              </w:rPr>
            </w:pPr>
          </w:p>
        </w:tc>
        <w:tc>
          <w:tcPr>
            <w:tcW w:w="603" w:type="dxa"/>
            <w:vMerge w:val="continue"/>
            <w:vAlign w:val="center"/>
          </w:tcPr>
          <w:p w14:paraId="0D6A18BA">
            <w:pPr>
              <w:wordWrap w:val="0"/>
              <w:spacing w:line="276" w:lineRule="auto"/>
              <w:rPr>
                <w:rFonts w:hint="eastAsia" w:ascii="宋体" w:hAnsi="宋体" w:eastAsia="宋体" w:cs="宋体"/>
                <w:color w:val="auto"/>
                <w:szCs w:val="21"/>
                <w:highlight w:val="none"/>
              </w:rPr>
            </w:pPr>
          </w:p>
        </w:tc>
        <w:tc>
          <w:tcPr>
            <w:tcW w:w="488" w:type="dxa"/>
            <w:vMerge w:val="continue"/>
            <w:vAlign w:val="center"/>
          </w:tcPr>
          <w:p w14:paraId="3A435DEE">
            <w:pPr>
              <w:wordWrap w:val="0"/>
              <w:spacing w:line="276" w:lineRule="auto"/>
              <w:jc w:val="center"/>
              <w:rPr>
                <w:rFonts w:hint="eastAsia" w:ascii="宋体" w:hAnsi="宋体" w:eastAsia="宋体" w:cs="宋体"/>
                <w:color w:val="auto"/>
                <w:szCs w:val="21"/>
                <w:highlight w:val="none"/>
              </w:rPr>
            </w:pPr>
          </w:p>
        </w:tc>
        <w:tc>
          <w:tcPr>
            <w:tcW w:w="1134" w:type="dxa"/>
            <w:vAlign w:val="center"/>
          </w:tcPr>
          <w:p w14:paraId="45773C71">
            <w:pPr>
              <w:wordWrap w:val="0"/>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709" w:type="dxa"/>
            <w:vAlign w:val="center"/>
          </w:tcPr>
          <w:p w14:paraId="0A5691BF">
            <w:pPr>
              <w:wordWrap w:val="0"/>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871" w:type="dxa"/>
            <w:vAlign w:val="center"/>
          </w:tcPr>
          <w:p w14:paraId="362205EF">
            <w:pPr>
              <w:wordWrap w:val="0"/>
              <w:spacing w:before="100" w:beforeAutospacing="1" w:after="100" w:afterAutospacing="1"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1134" w:type="dxa"/>
            <w:vAlign w:val="center"/>
          </w:tcPr>
          <w:p w14:paraId="524A687B">
            <w:pPr>
              <w:wordWrap w:val="0"/>
              <w:spacing w:line="276" w:lineRule="auto"/>
              <w:jc w:val="center"/>
              <w:rPr>
                <w:rFonts w:hint="eastAsia" w:ascii="宋体" w:hAnsi="宋体" w:eastAsia="宋体" w:cs="宋体"/>
                <w:color w:val="auto"/>
                <w:szCs w:val="21"/>
                <w:highlight w:val="none"/>
              </w:rPr>
            </w:pPr>
          </w:p>
        </w:tc>
      </w:tr>
      <w:tr w14:paraId="1E54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F084357">
            <w:pPr>
              <w:wordWrap w:val="0"/>
              <w:spacing w:line="276" w:lineRule="auto"/>
              <w:jc w:val="center"/>
              <w:rPr>
                <w:rFonts w:hint="eastAsia" w:ascii="宋体" w:hAnsi="宋体" w:eastAsia="宋体" w:cs="宋体"/>
                <w:color w:val="auto"/>
                <w:szCs w:val="21"/>
                <w:highlight w:val="none"/>
              </w:rPr>
            </w:pPr>
          </w:p>
        </w:tc>
        <w:tc>
          <w:tcPr>
            <w:tcW w:w="3007" w:type="dxa"/>
          </w:tcPr>
          <w:p w14:paraId="3B0C4203">
            <w:pPr>
              <w:wordWrap w:val="0"/>
              <w:spacing w:line="276" w:lineRule="auto"/>
              <w:jc w:val="center"/>
              <w:rPr>
                <w:rFonts w:hint="eastAsia" w:ascii="宋体" w:hAnsi="宋体" w:eastAsia="宋体" w:cs="宋体"/>
                <w:color w:val="auto"/>
                <w:szCs w:val="21"/>
                <w:highlight w:val="none"/>
              </w:rPr>
            </w:pPr>
          </w:p>
        </w:tc>
        <w:tc>
          <w:tcPr>
            <w:tcW w:w="992" w:type="dxa"/>
            <w:vAlign w:val="center"/>
          </w:tcPr>
          <w:p w14:paraId="604D4C06">
            <w:pPr>
              <w:wordWrap w:val="0"/>
              <w:spacing w:line="276" w:lineRule="auto"/>
              <w:jc w:val="center"/>
              <w:rPr>
                <w:rFonts w:hint="eastAsia" w:ascii="宋体" w:hAnsi="宋体" w:eastAsia="宋体" w:cs="宋体"/>
                <w:color w:val="auto"/>
                <w:szCs w:val="21"/>
                <w:highlight w:val="none"/>
              </w:rPr>
            </w:pPr>
          </w:p>
        </w:tc>
        <w:tc>
          <w:tcPr>
            <w:tcW w:w="603" w:type="dxa"/>
            <w:vAlign w:val="center"/>
          </w:tcPr>
          <w:p w14:paraId="106A6158">
            <w:pPr>
              <w:wordWrap w:val="0"/>
              <w:spacing w:line="276" w:lineRule="auto"/>
              <w:jc w:val="center"/>
              <w:rPr>
                <w:rFonts w:hint="eastAsia" w:ascii="宋体" w:hAnsi="宋体" w:eastAsia="宋体" w:cs="宋体"/>
                <w:color w:val="auto"/>
                <w:szCs w:val="21"/>
                <w:highlight w:val="none"/>
              </w:rPr>
            </w:pPr>
          </w:p>
        </w:tc>
        <w:tc>
          <w:tcPr>
            <w:tcW w:w="488" w:type="dxa"/>
            <w:vAlign w:val="center"/>
          </w:tcPr>
          <w:p w14:paraId="5C25144E">
            <w:pPr>
              <w:wordWrap w:val="0"/>
              <w:spacing w:line="276" w:lineRule="auto"/>
              <w:jc w:val="center"/>
              <w:rPr>
                <w:rFonts w:hint="eastAsia" w:ascii="宋体" w:hAnsi="宋体" w:eastAsia="宋体" w:cs="宋体"/>
                <w:color w:val="auto"/>
                <w:szCs w:val="21"/>
                <w:highlight w:val="none"/>
              </w:rPr>
            </w:pPr>
          </w:p>
        </w:tc>
        <w:tc>
          <w:tcPr>
            <w:tcW w:w="1134" w:type="dxa"/>
            <w:vAlign w:val="center"/>
          </w:tcPr>
          <w:p w14:paraId="1588DC0A">
            <w:pPr>
              <w:wordWrap w:val="0"/>
              <w:spacing w:line="276" w:lineRule="auto"/>
              <w:jc w:val="center"/>
              <w:rPr>
                <w:rFonts w:hint="eastAsia" w:ascii="宋体" w:hAnsi="宋体" w:eastAsia="宋体" w:cs="宋体"/>
                <w:color w:val="auto"/>
                <w:szCs w:val="21"/>
                <w:highlight w:val="none"/>
              </w:rPr>
            </w:pPr>
          </w:p>
        </w:tc>
        <w:tc>
          <w:tcPr>
            <w:tcW w:w="709" w:type="dxa"/>
            <w:vAlign w:val="center"/>
          </w:tcPr>
          <w:p w14:paraId="3E6E2E18">
            <w:pPr>
              <w:wordWrap w:val="0"/>
              <w:spacing w:line="276" w:lineRule="auto"/>
              <w:jc w:val="center"/>
              <w:rPr>
                <w:rFonts w:hint="eastAsia" w:ascii="宋体" w:hAnsi="宋体" w:eastAsia="宋体" w:cs="宋体"/>
                <w:color w:val="auto"/>
                <w:szCs w:val="21"/>
                <w:highlight w:val="none"/>
              </w:rPr>
            </w:pPr>
          </w:p>
        </w:tc>
        <w:tc>
          <w:tcPr>
            <w:tcW w:w="871" w:type="dxa"/>
            <w:vAlign w:val="center"/>
          </w:tcPr>
          <w:p w14:paraId="23EB2CFB">
            <w:pPr>
              <w:wordWrap w:val="0"/>
              <w:spacing w:line="276" w:lineRule="auto"/>
              <w:jc w:val="center"/>
              <w:rPr>
                <w:rFonts w:hint="eastAsia" w:ascii="宋体" w:hAnsi="宋体" w:eastAsia="宋体" w:cs="宋体"/>
                <w:color w:val="auto"/>
                <w:szCs w:val="21"/>
                <w:highlight w:val="none"/>
              </w:rPr>
            </w:pPr>
          </w:p>
        </w:tc>
        <w:tc>
          <w:tcPr>
            <w:tcW w:w="1134" w:type="dxa"/>
            <w:vAlign w:val="center"/>
          </w:tcPr>
          <w:p w14:paraId="10295FFE">
            <w:pPr>
              <w:wordWrap w:val="0"/>
              <w:spacing w:line="276" w:lineRule="auto"/>
              <w:jc w:val="center"/>
              <w:rPr>
                <w:rFonts w:hint="eastAsia" w:ascii="宋体" w:hAnsi="宋体" w:eastAsia="宋体" w:cs="宋体"/>
                <w:color w:val="auto"/>
                <w:szCs w:val="21"/>
                <w:highlight w:val="none"/>
              </w:rPr>
            </w:pPr>
          </w:p>
        </w:tc>
      </w:tr>
      <w:tr w14:paraId="7A6D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25E83A5C">
            <w:pPr>
              <w:wordWrap w:val="0"/>
              <w:spacing w:line="276" w:lineRule="auto"/>
              <w:jc w:val="center"/>
              <w:rPr>
                <w:rFonts w:hint="eastAsia" w:ascii="宋体" w:hAnsi="宋体" w:eastAsia="宋体" w:cs="宋体"/>
                <w:color w:val="auto"/>
                <w:szCs w:val="21"/>
                <w:highlight w:val="none"/>
              </w:rPr>
            </w:pPr>
          </w:p>
        </w:tc>
        <w:tc>
          <w:tcPr>
            <w:tcW w:w="3007" w:type="dxa"/>
          </w:tcPr>
          <w:p w14:paraId="59139737">
            <w:pPr>
              <w:wordWrap w:val="0"/>
              <w:spacing w:line="276" w:lineRule="auto"/>
              <w:jc w:val="center"/>
              <w:rPr>
                <w:rFonts w:hint="eastAsia" w:ascii="宋体" w:hAnsi="宋体" w:eastAsia="宋体" w:cs="宋体"/>
                <w:color w:val="auto"/>
                <w:szCs w:val="21"/>
                <w:highlight w:val="none"/>
              </w:rPr>
            </w:pPr>
          </w:p>
        </w:tc>
        <w:tc>
          <w:tcPr>
            <w:tcW w:w="992" w:type="dxa"/>
          </w:tcPr>
          <w:p w14:paraId="5F9CF0DF">
            <w:pPr>
              <w:wordWrap w:val="0"/>
              <w:spacing w:line="276" w:lineRule="auto"/>
              <w:jc w:val="center"/>
              <w:rPr>
                <w:rFonts w:hint="eastAsia" w:ascii="宋体" w:hAnsi="宋体" w:eastAsia="宋体" w:cs="宋体"/>
                <w:color w:val="auto"/>
                <w:szCs w:val="21"/>
                <w:highlight w:val="none"/>
              </w:rPr>
            </w:pPr>
          </w:p>
        </w:tc>
        <w:tc>
          <w:tcPr>
            <w:tcW w:w="603" w:type="dxa"/>
          </w:tcPr>
          <w:p w14:paraId="22D17753">
            <w:pPr>
              <w:wordWrap w:val="0"/>
              <w:spacing w:line="276" w:lineRule="auto"/>
              <w:jc w:val="center"/>
              <w:rPr>
                <w:rFonts w:hint="eastAsia" w:ascii="宋体" w:hAnsi="宋体" w:eastAsia="宋体" w:cs="宋体"/>
                <w:color w:val="auto"/>
                <w:szCs w:val="21"/>
                <w:highlight w:val="none"/>
              </w:rPr>
            </w:pPr>
          </w:p>
        </w:tc>
        <w:tc>
          <w:tcPr>
            <w:tcW w:w="488" w:type="dxa"/>
          </w:tcPr>
          <w:p w14:paraId="58DB7C99">
            <w:pPr>
              <w:wordWrap w:val="0"/>
              <w:spacing w:line="276" w:lineRule="auto"/>
              <w:jc w:val="center"/>
              <w:rPr>
                <w:rFonts w:hint="eastAsia" w:ascii="宋体" w:hAnsi="宋体" w:eastAsia="宋体" w:cs="宋体"/>
                <w:color w:val="auto"/>
                <w:szCs w:val="21"/>
                <w:highlight w:val="none"/>
              </w:rPr>
            </w:pPr>
          </w:p>
        </w:tc>
        <w:tc>
          <w:tcPr>
            <w:tcW w:w="1134" w:type="dxa"/>
          </w:tcPr>
          <w:p w14:paraId="7747E46D">
            <w:pPr>
              <w:wordWrap w:val="0"/>
              <w:spacing w:line="276" w:lineRule="auto"/>
              <w:jc w:val="center"/>
              <w:rPr>
                <w:rFonts w:hint="eastAsia" w:ascii="宋体" w:hAnsi="宋体" w:eastAsia="宋体" w:cs="宋体"/>
                <w:color w:val="auto"/>
                <w:szCs w:val="21"/>
                <w:highlight w:val="none"/>
              </w:rPr>
            </w:pPr>
          </w:p>
        </w:tc>
        <w:tc>
          <w:tcPr>
            <w:tcW w:w="709" w:type="dxa"/>
          </w:tcPr>
          <w:p w14:paraId="1C132A8D">
            <w:pPr>
              <w:wordWrap w:val="0"/>
              <w:spacing w:line="276" w:lineRule="auto"/>
              <w:jc w:val="center"/>
              <w:rPr>
                <w:rFonts w:hint="eastAsia" w:ascii="宋体" w:hAnsi="宋体" w:eastAsia="宋体" w:cs="宋体"/>
                <w:color w:val="auto"/>
                <w:szCs w:val="21"/>
                <w:highlight w:val="none"/>
              </w:rPr>
            </w:pPr>
          </w:p>
        </w:tc>
        <w:tc>
          <w:tcPr>
            <w:tcW w:w="871" w:type="dxa"/>
          </w:tcPr>
          <w:p w14:paraId="26542DEE">
            <w:pPr>
              <w:wordWrap w:val="0"/>
              <w:spacing w:line="276" w:lineRule="auto"/>
              <w:jc w:val="center"/>
              <w:rPr>
                <w:rFonts w:hint="eastAsia" w:ascii="宋体" w:hAnsi="宋体" w:eastAsia="宋体" w:cs="宋体"/>
                <w:color w:val="auto"/>
                <w:szCs w:val="21"/>
                <w:highlight w:val="none"/>
              </w:rPr>
            </w:pPr>
          </w:p>
        </w:tc>
        <w:tc>
          <w:tcPr>
            <w:tcW w:w="1134" w:type="dxa"/>
          </w:tcPr>
          <w:p w14:paraId="0672BA9D">
            <w:pPr>
              <w:wordWrap w:val="0"/>
              <w:spacing w:line="276" w:lineRule="auto"/>
              <w:jc w:val="center"/>
              <w:rPr>
                <w:rFonts w:hint="eastAsia" w:ascii="宋体" w:hAnsi="宋体" w:eastAsia="宋体" w:cs="宋体"/>
                <w:color w:val="auto"/>
                <w:szCs w:val="21"/>
                <w:highlight w:val="none"/>
              </w:rPr>
            </w:pPr>
          </w:p>
        </w:tc>
      </w:tr>
      <w:tr w14:paraId="1036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5F7FA3F4">
            <w:pPr>
              <w:wordWrap w:val="0"/>
              <w:spacing w:line="276" w:lineRule="auto"/>
              <w:jc w:val="center"/>
              <w:rPr>
                <w:rFonts w:hint="eastAsia" w:ascii="宋体" w:hAnsi="宋体" w:eastAsia="宋体" w:cs="宋体"/>
                <w:color w:val="auto"/>
                <w:szCs w:val="21"/>
                <w:highlight w:val="none"/>
              </w:rPr>
            </w:pPr>
          </w:p>
        </w:tc>
        <w:tc>
          <w:tcPr>
            <w:tcW w:w="3007" w:type="dxa"/>
          </w:tcPr>
          <w:p w14:paraId="3EC1A860">
            <w:pPr>
              <w:wordWrap w:val="0"/>
              <w:spacing w:line="276" w:lineRule="auto"/>
              <w:jc w:val="center"/>
              <w:rPr>
                <w:rFonts w:hint="eastAsia" w:ascii="宋体" w:hAnsi="宋体" w:eastAsia="宋体" w:cs="宋体"/>
                <w:color w:val="auto"/>
                <w:szCs w:val="21"/>
                <w:highlight w:val="none"/>
              </w:rPr>
            </w:pPr>
          </w:p>
        </w:tc>
        <w:tc>
          <w:tcPr>
            <w:tcW w:w="992" w:type="dxa"/>
          </w:tcPr>
          <w:p w14:paraId="26653176">
            <w:pPr>
              <w:wordWrap w:val="0"/>
              <w:spacing w:line="276" w:lineRule="auto"/>
              <w:jc w:val="center"/>
              <w:rPr>
                <w:rFonts w:hint="eastAsia" w:ascii="宋体" w:hAnsi="宋体" w:eastAsia="宋体" w:cs="宋体"/>
                <w:color w:val="auto"/>
                <w:szCs w:val="21"/>
                <w:highlight w:val="none"/>
              </w:rPr>
            </w:pPr>
          </w:p>
        </w:tc>
        <w:tc>
          <w:tcPr>
            <w:tcW w:w="603" w:type="dxa"/>
          </w:tcPr>
          <w:p w14:paraId="13273364">
            <w:pPr>
              <w:wordWrap w:val="0"/>
              <w:spacing w:line="276" w:lineRule="auto"/>
              <w:jc w:val="center"/>
              <w:rPr>
                <w:rFonts w:hint="eastAsia" w:ascii="宋体" w:hAnsi="宋体" w:eastAsia="宋体" w:cs="宋体"/>
                <w:color w:val="auto"/>
                <w:szCs w:val="21"/>
                <w:highlight w:val="none"/>
              </w:rPr>
            </w:pPr>
          </w:p>
        </w:tc>
        <w:tc>
          <w:tcPr>
            <w:tcW w:w="488" w:type="dxa"/>
          </w:tcPr>
          <w:p w14:paraId="61EB4DA8">
            <w:pPr>
              <w:wordWrap w:val="0"/>
              <w:spacing w:line="276" w:lineRule="auto"/>
              <w:jc w:val="center"/>
              <w:rPr>
                <w:rFonts w:hint="eastAsia" w:ascii="宋体" w:hAnsi="宋体" w:eastAsia="宋体" w:cs="宋体"/>
                <w:color w:val="auto"/>
                <w:szCs w:val="21"/>
                <w:highlight w:val="none"/>
              </w:rPr>
            </w:pPr>
          </w:p>
        </w:tc>
        <w:tc>
          <w:tcPr>
            <w:tcW w:w="1134" w:type="dxa"/>
          </w:tcPr>
          <w:p w14:paraId="1B0F0711">
            <w:pPr>
              <w:wordWrap w:val="0"/>
              <w:spacing w:line="276" w:lineRule="auto"/>
              <w:jc w:val="center"/>
              <w:rPr>
                <w:rFonts w:hint="eastAsia" w:ascii="宋体" w:hAnsi="宋体" w:eastAsia="宋体" w:cs="宋体"/>
                <w:color w:val="auto"/>
                <w:szCs w:val="21"/>
                <w:highlight w:val="none"/>
              </w:rPr>
            </w:pPr>
          </w:p>
        </w:tc>
        <w:tc>
          <w:tcPr>
            <w:tcW w:w="709" w:type="dxa"/>
          </w:tcPr>
          <w:p w14:paraId="2A8ED345">
            <w:pPr>
              <w:wordWrap w:val="0"/>
              <w:spacing w:line="276" w:lineRule="auto"/>
              <w:jc w:val="center"/>
              <w:rPr>
                <w:rFonts w:hint="eastAsia" w:ascii="宋体" w:hAnsi="宋体" w:eastAsia="宋体" w:cs="宋体"/>
                <w:color w:val="auto"/>
                <w:szCs w:val="21"/>
                <w:highlight w:val="none"/>
              </w:rPr>
            </w:pPr>
          </w:p>
        </w:tc>
        <w:tc>
          <w:tcPr>
            <w:tcW w:w="871" w:type="dxa"/>
          </w:tcPr>
          <w:p w14:paraId="444BCB78">
            <w:pPr>
              <w:wordWrap w:val="0"/>
              <w:spacing w:line="276" w:lineRule="auto"/>
              <w:jc w:val="center"/>
              <w:rPr>
                <w:rFonts w:hint="eastAsia" w:ascii="宋体" w:hAnsi="宋体" w:eastAsia="宋体" w:cs="宋体"/>
                <w:color w:val="auto"/>
                <w:szCs w:val="21"/>
                <w:highlight w:val="none"/>
              </w:rPr>
            </w:pPr>
          </w:p>
        </w:tc>
        <w:tc>
          <w:tcPr>
            <w:tcW w:w="1134" w:type="dxa"/>
          </w:tcPr>
          <w:p w14:paraId="2AC9866C">
            <w:pPr>
              <w:wordWrap w:val="0"/>
              <w:spacing w:line="276" w:lineRule="auto"/>
              <w:jc w:val="center"/>
              <w:rPr>
                <w:rFonts w:hint="eastAsia" w:ascii="宋体" w:hAnsi="宋体" w:eastAsia="宋体" w:cs="宋体"/>
                <w:color w:val="auto"/>
                <w:szCs w:val="21"/>
                <w:highlight w:val="none"/>
              </w:rPr>
            </w:pPr>
          </w:p>
        </w:tc>
      </w:tr>
      <w:tr w14:paraId="6D15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1D11B17A">
            <w:pPr>
              <w:wordWrap w:val="0"/>
              <w:spacing w:line="276" w:lineRule="auto"/>
              <w:jc w:val="center"/>
              <w:rPr>
                <w:rFonts w:hint="eastAsia" w:ascii="宋体" w:hAnsi="宋体" w:eastAsia="宋体" w:cs="宋体"/>
                <w:color w:val="auto"/>
                <w:szCs w:val="21"/>
                <w:highlight w:val="none"/>
              </w:rPr>
            </w:pPr>
          </w:p>
        </w:tc>
        <w:tc>
          <w:tcPr>
            <w:tcW w:w="3007" w:type="dxa"/>
          </w:tcPr>
          <w:p w14:paraId="4AD243DA">
            <w:pPr>
              <w:wordWrap w:val="0"/>
              <w:spacing w:line="276" w:lineRule="auto"/>
              <w:jc w:val="center"/>
              <w:rPr>
                <w:rFonts w:hint="eastAsia" w:ascii="宋体" w:hAnsi="宋体" w:eastAsia="宋体" w:cs="宋体"/>
                <w:color w:val="auto"/>
                <w:szCs w:val="21"/>
                <w:highlight w:val="none"/>
              </w:rPr>
            </w:pPr>
          </w:p>
        </w:tc>
        <w:tc>
          <w:tcPr>
            <w:tcW w:w="992" w:type="dxa"/>
          </w:tcPr>
          <w:p w14:paraId="7F81D450">
            <w:pPr>
              <w:wordWrap w:val="0"/>
              <w:spacing w:line="276" w:lineRule="auto"/>
              <w:jc w:val="center"/>
              <w:rPr>
                <w:rFonts w:hint="eastAsia" w:ascii="宋体" w:hAnsi="宋体" w:eastAsia="宋体" w:cs="宋体"/>
                <w:color w:val="auto"/>
                <w:szCs w:val="21"/>
                <w:highlight w:val="none"/>
              </w:rPr>
            </w:pPr>
          </w:p>
        </w:tc>
        <w:tc>
          <w:tcPr>
            <w:tcW w:w="603" w:type="dxa"/>
          </w:tcPr>
          <w:p w14:paraId="32BB0443">
            <w:pPr>
              <w:wordWrap w:val="0"/>
              <w:spacing w:line="276" w:lineRule="auto"/>
              <w:jc w:val="center"/>
              <w:rPr>
                <w:rFonts w:hint="eastAsia" w:ascii="宋体" w:hAnsi="宋体" w:eastAsia="宋体" w:cs="宋体"/>
                <w:color w:val="auto"/>
                <w:szCs w:val="21"/>
                <w:highlight w:val="none"/>
              </w:rPr>
            </w:pPr>
          </w:p>
        </w:tc>
        <w:tc>
          <w:tcPr>
            <w:tcW w:w="488" w:type="dxa"/>
          </w:tcPr>
          <w:p w14:paraId="4B9F5A47">
            <w:pPr>
              <w:wordWrap w:val="0"/>
              <w:spacing w:line="276" w:lineRule="auto"/>
              <w:jc w:val="center"/>
              <w:rPr>
                <w:rFonts w:hint="eastAsia" w:ascii="宋体" w:hAnsi="宋体" w:eastAsia="宋体" w:cs="宋体"/>
                <w:color w:val="auto"/>
                <w:szCs w:val="21"/>
                <w:highlight w:val="none"/>
              </w:rPr>
            </w:pPr>
          </w:p>
        </w:tc>
        <w:tc>
          <w:tcPr>
            <w:tcW w:w="1134" w:type="dxa"/>
          </w:tcPr>
          <w:p w14:paraId="3B572AC3">
            <w:pPr>
              <w:wordWrap w:val="0"/>
              <w:spacing w:line="276" w:lineRule="auto"/>
              <w:jc w:val="center"/>
              <w:rPr>
                <w:rFonts w:hint="eastAsia" w:ascii="宋体" w:hAnsi="宋体" w:eastAsia="宋体" w:cs="宋体"/>
                <w:color w:val="auto"/>
                <w:szCs w:val="21"/>
                <w:highlight w:val="none"/>
              </w:rPr>
            </w:pPr>
          </w:p>
        </w:tc>
        <w:tc>
          <w:tcPr>
            <w:tcW w:w="709" w:type="dxa"/>
          </w:tcPr>
          <w:p w14:paraId="1A1053EF">
            <w:pPr>
              <w:wordWrap w:val="0"/>
              <w:spacing w:line="276" w:lineRule="auto"/>
              <w:jc w:val="center"/>
              <w:rPr>
                <w:rFonts w:hint="eastAsia" w:ascii="宋体" w:hAnsi="宋体" w:eastAsia="宋体" w:cs="宋体"/>
                <w:color w:val="auto"/>
                <w:szCs w:val="21"/>
                <w:highlight w:val="none"/>
              </w:rPr>
            </w:pPr>
          </w:p>
        </w:tc>
        <w:tc>
          <w:tcPr>
            <w:tcW w:w="871" w:type="dxa"/>
          </w:tcPr>
          <w:p w14:paraId="7F70AA2C">
            <w:pPr>
              <w:wordWrap w:val="0"/>
              <w:spacing w:line="276" w:lineRule="auto"/>
              <w:jc w:val="center"/>
              <w:rPr>
                <w:rFonts w:hint="eastAsia" w:ascii="宋体" w:hAnsi="宋体" w:eastAsia="宋体" w:cs="宋体"/>
                <w:color w:val="auto"/>
                <w:szCs w:val="21"/>
                <w:highlight w:val="none"/>
              </w:rPr>
            </w:pPr>
          </w:p>
        </w:tc>
        <w:tc>
          <w:tcPr>
            <w:tcW w:w="1134" w:type="dxa"/>
          </w:tcPr>
          <w:p w14:paraId="203D5C96">
            <w:pPr>
              <w:wordWrap w:val="0"/>
              <w:spacing w:line="276" w:lineRule="auto"/>
              <w:jc w:val="center"/>
              <w:rPr>
                <w:rFonts w:hint="eastAsia" w:ascii="宋体" w:hAnsi="宋体" w:eastAsia="宋体" w:cs="宋体"/>
                <w:color w:val="auto"/>
                <w:szCs w:val="21"/>
                <w:highlight w:val="none"/>
              </w:rPr>
            </w:pPr>
          </w:p>
        </w:tc>
      </w:tr>
      <w:tr w14:paraId="7476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7435E8EE">
            <w:pPr>
              <w:wordWrap w:val="0"/>
              <w:spacing w:line="276" w:lineRule="auto"/>
              <w:jc w:val="center"/>
              <w:rPr>
                <w:rFonts w:hint="eastAsia" w:ascii="宋体" w:hAnsi="宋体" w:eastAsia="宋体" w:cs="宋体"/>
                <w:color w:val="auto"/>
                <w:szCs w:val="21"/>
                <w:highlight w:val="none"/>
              </w:rPr>
            </w:pPr>
          </w:p>
        </w:tc>
        <w:tc>
          <w:tcPr>
            <w:tcW w:w="3007" w:type="dxa"/>
          </w:tcPr>
          <w:p w14:paraId="5335EF11">
            <w:pPr>
              <w:wordWrap w:val="0"/>
              <w:spacing w:line="276" w:lineRule="auto"/>
              <w:jc w:val="center"/>
              <w:rPr>
                <w:rFonts w:hint="eastAsia" w:ascii="宋体" w:hAnsi="宋体" w:eastAsia="宋体" w:cs="宋体"/>
                <w:color w:val="auto"/>
                <w:szCs w:val="21"/>
                <w:highlight w:val="none"/>
              </w:rPr>
            </w:pPr>
          </w:p>
        </w:tc>
        <w:tc>
          <w:tcPr>
            <w:tcW w:w="992" w:type="dxa"/>
          </w:tcPr>
          <w:p w14:paraId="57213BB6">
            <w:pPr>
              <w:wordWrap w:val="0"/>
              <w:spacing w:line="276" w:lineRule="auto"/>
              <w:jc w:val="center"/>
              <w:rPr>
                <w:rFonts w:hint="eastAsia" w:ascii="宋体" w:hAnsi="宋体" w:eastAsia="宋体" w:cs="宋体"/>
                <w:color w:val="auto"/>
                <w:szCs w:val="21"/>
                <w:highlight w:val="none"/>
              </w:rPr>
            </w:pPr>
          </w:p>
        </w:tc>
        <w:tc>
          <w:tcPr>
            <w:tcW w:w="603" w:type="dxa"/>
          </w:tcPr>
          <w:p w14:paraId="30FC9B78">
            <w:pPr>
              <w:wordWrap w:val="0"/>
              <w:spacing w:line="276" w:lineRule="auto"/>
              <w:jc w:val="center"/>
              <w:rPr>
                <w:rFonts w:hint="eastAsia" w:ascii="宋体" w:hAnsi="宋体" w:eastAsia="宋体" w:cs="宋体"/>
                <w:color w:val="auto"/>
                <w:szCs w:val="21"/>
                <w:highlight w:val="none"/>
              </w:rPr>
            </w:pPr>
          </w:p>
        </w:tc>
        <w:tc>
          <w:tcPr>
            <w:tcW w:w="488" w:type="dxa"/>
          </w:tcPr>
          <w:p w14:paraId="65E52914">
            <w:pPr>
              <w:wordWrap w:val="0"/>
              <w:spacing w:line="276" w:lineRule="auto"/>
              <w:jc w:val="center"/>
              <w:rPr>
                <w:rFonts w:hint="eastAsia" w:ascii="宋体" w:hAnsi="宋体" w:eastAsia="宋体" w:cs="宋体"/>
                <w:color w:val="auto"/>
                <w:szCs w:val="21"/>
                <w:highlight w:val="none"/>
              </w:rPr>
            </w:pPr>
          </w:p>
        </w:tc>
        <w:tc>
          <w:tcPr>
            <w:tcW w:w="1134" w:type="dxa"/>
          </w:tcPr>
          <w:p w14:paraId="2365BFFB">
            <w:pPr>
              <w:wordWrap w:val="0"/>
              <w:spacing w:line="276" w:lineRule="auto"/>
              <w:jc w:val="center"/>
              <w:rPr>
                <w:rFonts w:hint="eastAsia" w:ascii="宋体" w:hAnsi="宋体" w:eastAsia="宋体" w:cs="宋体"/>
                <w:color w:val="auto"/>
                <w:szCs w:val="21"/>
                <w:highlight w:val="none"/>
              </w:rPr>
            </w:pPr>
          </w:p>
        </w:tc>
        <w:tc>
          <w:tcPr>
            <w:tcW w:w="709" w:type="dxa"/>
          </w:tcPr>
          <w:p w14:paraId="1182C040">
            <w:pPr>
              <w:wordWrap w:val="0"/>
              <w:spacing w:line="276" w:lineRule="auto"/>
              <w:jc w:val="center"/>
              <w:rPr>
                <w:rFonts w:hint="eastAsia" w:ascii="宋体" w:hAnsi="宋体" w:eastAsia="宋体" w:cs="宋体"/>
                <w:color w:val="auto"/>
                <w:szCs w:val="21"/>
                <w:highlight w:val="none"/>
              </w:rPr>
            </w:pPr>
          </w:p>
        </w:tc>
        <w:tc>
          <w:tcPr>
            <w:tcW w:w="871" w:type="dxa"/>
          </w:tcPr>
          <w:p w14:paraId="60161657">
            <w:pPr>
              <w:wordWrap w:val="0"/>
              <w:spacing w:line="276" w:lineRule="auto"/>
              <w:jc w:val="center"/>
              <w:rPr>
                <w:rFonts w:hint="eastAsia" w:ascii="宋体" w:hAnsi="宋体" w:eastAsia="宋体" w:cs="宋体"/>
                <w:color w:val="auto"/>
                <w:szCs w:val="21"/>
                <w:highlight w:val="none"/>
              </w:rPr>
            </w:pPr>
          </w:p>
        </w:tc>
        <w:tc>
          <w:tcPr>
            <w:tcW w:w="1134" w:type="dxa"/>
          </w:tcPr>
          <w:p w14:paraId="4A63DF32">
            <w:pPr>
              <w:wordWrap w:val="0"/>
              <w:spacing w:line="276" w:lineRule="auto"/>
              <w:jc w:val="center"/>
              <w:rPr>
                <w:rFonts w:hint="eastAsia" w:ascii="宋体" w:hAnsi="宋体" w:eastAsia="宋体" w:cs="宋体"/>
                <w:color w:val="auto"/>
                <w:szCs w:val="21"/>
                <w:highlight w:val="none"/>
              </w:rPr>
            </w:pPr>
          </w:p>
        </w:tc>
      </w:tr>
      <w:tr w14:paraId="088E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7D7F50A9">
            <w:pPr>
              <w:wordWrap w:val="0"/>
              <w:spacing w:line="276" w:lineRule="auto"/>
              <w:jc w:val="center"/>
              <w:rPr>
                <w:rFonts w:hint="eastAsia" w:ascii="宋体" w:hAnsi="宋体" w:eastAsia="宋体" w:cs="宋体"/>
                <w:color w:val="auto"/>
                <w:szCs w:val="21"/>
                <w:highlight w:val="none"/>
              </w:rPr>
            </w:pPr>
          </w:p>
        </w:tc>
        <w:tc>
          <w:tcPr>
            <w:tcW w:w="3007" w:type="dxa"/>
          </w:tcPr>
          <w:p w14:paraId="18464CD2">
            <w:pPr>
              <w:wordWrap w:val="0"/>
              <w:spacing w:line="276" w:lineRule="auto"/>
              <w:jc w:val="center"/>
              <w:rPr>
                <w:rFonts w:hint="eastAsia" w:ascii="宋体" w:hAnsi="宋体" w:eastAsia="宋体" w:cs="宋体"/>
                <w:color w:val="auto"/>
                <w:szCs w:val="21"/>
                <w:highlight w:val="none"/>
              </w:rPr>
            </w:pPr>
          </w:p>
        </w:tc>
        <w:tc>
          <w:tcPr>
            <w:tcW w:w="992" w:type="dxa"/>
          </w:tcPr>
          <w:p w14:paraId="5BFDDDA4">
            <w:pPr>
              <w:wordWrap w:val="0"/>
              <w:spacing w:line="276" w:lineRule="auto"/>
              <w:jc w:val="center"/>
              <w:rPr>
                <w:rFonts w:hint="eastAsia" w:ascii="宋体" w:hAnsi="宋体" w:eastAsia="宋体" w:cs="宋体"/>
                <w:color w:val="auto"/>
                <w:szCs w:val="21"/>
                <w:highlight w:val="none"/>
              </w:rPr>
            </w:pPr>
          </w:p>
        </w:tc>
        <w:tc>
          <w:tcPr>
            <w:tcW w:w="603" w:type="dxa"/>
          </w:tcPr>
          <w:p w14:paraId="352CD61D">
            <w:pPr>
              <w:wordWrap w:val="0"/>
              <w:spacing w:line="276" w:lineRule="auto"/>
              <w:jc w:val="center"/>
              <w:rPr>
                <w:rFonts w:hint="eastAsia" w:ascii="宋体" w:hAnsi="宋体" w:eastAsia="宋体" w:cs="宋体"/>
                <w:color w:val="auto"/>
                <w:szCs w:val="21"/>
                <w:highlight w:val="none"/>
              </w:rPr>
            </w:pPr>
          </w:p>
        </w:tc>
        <w:tc>
          <w:tcPr>
            <w:tcW w:w="488" w:type="dxa"/>
          </w:tcPr>
          <w:p w14:paraId="141EE1D7">
            <w:pPr>
              <w:wordWrap w:val="0"/>
              <w:spacing w:line="276" w:lineRule="auto"/>
              <w:jc w:val="center"/>
              <w:rPr>
                <w:rFonts w:hint="eastAsia" w:ascii="宋体" w:hAnsi="宋体" w:eastAsia="宋体" w:cs="宋体"/>
                <w:color w:val="auto"/>
                <w:szCs w:val="21"/>
                <w:highlight w:val="none"/>
              </w:rPr>
            </w:pPr>
          </w:p>
        </w:tc>
        <w:tc>
          <w:tcPr>
            <w:tcW w:w="1134" w:type="dxa"/>
          </w:tcPr>
          <w:p w14:paraId="7FCABDA2">
            <w:pPr>
              <w:wordWrap w:val="0"/>
              <w:spacing w:line="276" w:lineRule="auto"/>
              <w:jc w:val="center"/>
              <w:rPr>
                <w:rFonts w:hint="eastAsia" w:ascii="宋体" w:hAnsi="宋体" w:eastAsia="宋体" w:cs="宋体"/>
                <w:color w:val="auto"/>
                <w:szCs w:val="21"/>
                <w:highlight w:val="none"/>
              </w:rPr>
            </w:pPr>
          </w:p>
        </w:tc>
        <w:tc>
          <w:tcPr>
            <w:tcW w:w="709" w:type="dxa"/>
          </w:tcPr>
          <w:p w14:paraId="1FD9E976">
            <w:pPr>
              <w:wordWrap w:val="0"/>
              <w:spacing w:line="276" w:lineRule="auto"/>
              <w:jc w:val="center"/>
              <w:rPr>
                <w:rFonts w:hint="eastAsia" w:ascii="宋体" w:hAnsi="宋体" w:eastAsia="宋体" w:cs="宋体"/>
                <w:color w:val="auto"/>
                <w:szCs w:val="21"/>
                <w:highlight w:val="none"/>
              </w:rPr>
            </w:pPr>
          </w:p>
        </w:tc>
        <w:tc>
          <w:tcPr>
            <w:tcW w:w="871" w:type="dxa"/>
          </w:tcPr>
          <w:p w14:paraId="05DE2638">
            <w:pPr>
              <w:wordWrap w:val="0"/>
              <w:spacing w:line="276" w:lineRule="auto"/>
              <w:jc w:val="center"/>
              <w:rPr>
                <w:rFonts w:hint="eastAsia" w:ascii="宋体" w:hAnsi="宋体" w:eastAsia="宋体" w:cs="宋体"/>
                <w:color w:val="auto"/>
                <w:szCs w:val="21"/>
                <w:highlight w:val="none"/>
              </w:rPr>
            </w:pPr>
          </w:p>
        </w:tc>
        <w:tc>
          <w:tcPr>
            <w:tcW w:w="1134" w:type="dxa"/>
          </w:tcPr>
          <w:p w14:paraId="366CD75C">
            <w:pPr>
              <w:wordWrap w:val="0"/>
              <w:spacing w:line="276" w:lineRule="auto"/>
              <w:jc w:val="center"/>
              <w:rPr>
                <w:rFonts w:hint="eastAsia" w:ascii="宋体" w:hAnsi="宋体" w:eastAsia="宋体" w:cs="宋体"/>
                <w:color w:val="auto"/>
                <w:szCs w:val="21"/>
                <w:highlight w:val="none"/>
              </w:rPr>
            </w:pPr>
          </w:p>
        </w:tc>
      </w:tr>
      <w:tr w14:paraId="18E3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659933DB">
            <w:pPr>
              <w:wordWrap w:val="0"/>
              <w:spacing w:line="276" w:lineRule="auto"/>
              <w:jc w:val="center"/>
              <w:rPr>
                <w:rFonts w:hint="eastAsia" w:ascii="宋体" w:hAnsi="宋体" w:eastAsia="宋体" w:cs="宋体"/>
                <w:color w:val="auto"/>
                <w:szCs w:val="21"/>
                <w:highlight w:val="none"/>
              </w:rPr>
            </w:pPr>
          </w:p>
        </w:tc>
        <w:tc>
          <w:tcPr>
            <w:tcW w:w="3007" w:type="dxa"/>
          </w:tcPr>
          <w:p w14:paraId="41675191">
            <w:pPr>
              <w:wordWrap w:val="0"/>
              <w:spacing w:line="276" w:lineRule="auto"/>
              <w:jc w:val="center"/>
              <w:rPr>
                <w:rFonts w:hint="eastAsia" w:ascii="宋体" w:hAnsi="宋体" w:eastAsia="宋体" w:cs="宋体"/>
                <w:color w:val="auto"/>
                <w:szCs w:val="21"/>
                <w:highlight w:val="none"/>
              </w:rPr>
            </w:pPr>
          </w:p>
        </w:tc>
        <w:tc>
          <w:tcPr>
            <w:tcW w:w="992" w:type="dxa"/>
          </w:tcPr>
          <w:p w14:paraId="33B10EEE">
            <w:pPr>
              <w:wordWrap w:val="0"/>
              <w:spacing w:line="276" w:lineRule="auto"/>
              <w:jc w:val="center"/>
              <w:rPr>
                <w:rFonts w:hint="eastAsia" w:ascii="宋体" w:hAnsi="宋体" w:eastAsia="宋体" w:cs="宋体"/>
                <w:color w:val="auto"/>
                <w:szCs w:val="21"/>
                <w:highlight w:val="none"/>
              </w:rPr>
            </w:pPr>
          </w:p>
        </w:tc>
        <w:tc>
          <w:tcPr>
            <w:tcW w:w="603" w:type="dxa"/>
          </w:tcPr>
          <w:p w14:paraId="2A967F7A">
            <w:pPr>
              <w:wordWrap w:val="0"/>
              <w:spacing w:line="276" w:lineRule="auto"/>
              <w:jc w:val="center"/>
              <w:rPr>
                <w:rFonts w:hint="eastAsia" w:ascii="宋体" w:hAnsi="宋体" w:eastAsia="宋体" w:cs="宋体"/>
                <w:color w:val="auto"/>
                <w:szCs w:val="21"/>
                <w:highlight w:val="none"/>
              </w:rPr>
            </w:pPr>
          </w:p>
        </w:tc>
        <w:tc>
          <w:tcPr>
            <w:tcW w:w="488" w:type="dxa"/>
          </w:tcPr>
          <w:p w14:paraId="6AA53BF1">
            <w:pPr>
              <w:wordWrap w:val="0"/>
              <w:spacing w:line="276" w:lineRule="auto"/>
              <w:jc w:val="center"/>
              <w:rPr>
                <w:rFonts w:hint="eastAsia" w:ascii="宋体" w:hAnsi="宋体" w:eastAsia="宋体" w:cs="宋体"/>
                <w:color w:val="auto"/>
                <w:szCs w:val="21"/>
                <w:highlight w:val="none"/>
              </w:rPr>
            </w:pPr>
          </w:p>
        </w:tc>
        <w:tc>
          <w:tcPr>
            <w:tcW w:w="1134" w:type="dxa"/>
          </w:tcPr>
          <w:p w14:paraId="5FF97779">
            <w:pPr>
              <w:wordWrap w:val="0"/>
              <w:spacing w:line="276" w:lineRule="auto"/>
              <w:jc w:val="center"/>
              <w:rPr>
                <w:rFonts w:hint="eastAsia" w:ascii="宋体" w:hAnsi="宋体" w:eastAsia="宋体" w:cs="宋体"/>
                <w:color w:val="auto"/>
                <w:szCs w:val="21"/>
                <w:highlight w:val="none"/>
              </w:rPr>
            </w:pPr>
          </w:p>
        </w:tc>
        <w:tc>
          <w:tcPr>
            <w:tcW w:w="709" w:type="dxa"/>
          </w:tcPr>
          <w:p w14:paraId="00693E85">
            <w:pPr>
              <w:wordWrap w:val="0"/>
              <w:spacing w:line="276" w:lineRule="auto"/>
              <w:jc w:val="center"/>
              <w:rPr>
                <w:rFonts w:hint="eastAsia" w:ascii="宋体" w:hAnsi="宋体" w:eastAsia="宋体" w:cs="宋体"/>
                <w:color w:val="auto"/>
                <w:szCs w:val="21"/>
                <w:highlight w:val="none"/>
              </w:rPr>
            </w:pPr>
          </w:p>
        </w:tc>
        <w:tc>
          <w:tcPr>
            <w:tcW w:w="871" w:type="dxa"/>
          </w:tcPr>
          <w:p w14:paraId="60901476">
            <w:pPr>
              <w:wordWrap w:val="0"/>
              <w:spacing w:line="276" w:lineRule="auto"/>
              <w:jc w:val="center"/>
              <w:rPr>
                <w:rFonts w:hint="eastAsia" w:ascii="宋体" w:hAnsi="宋体" w:eastAsia="宋体" w:cs="宋体"/>
                <w:color w:val="auto"/>
                <w:szCs w:val="21"/>
                <w:highlight w:val="none"/>
              </w:rPr>
            </w:pPr>
          </w:p>
        </w:tc>
        <w:tc>
          <w:tcPr>
            <w:tcW w:w="1134" w:type="dxa"/>
          </w:tcPr>
          <w:p w14:paraId="126DC9CA">
            <w:pPr>
              <w:wordWrap w:val="0"/>
              <w:spacing w:line="276" w:lineRule="auto"/>
              <w:jc w:val="center"/>
              <w:rPr>
                <w:rFonts w:hint="eastAsia" w:ascii="宋体" w:hAnsi="宋体" w:eastAsia="宋体" w:cs="宋体"/>
                <w:color w:val="auto"/>
                <w:szCs w:val="21"/>
                <w:highlight w:val="none"/>
              </w:rPr>
            </w:pPr>
          </w:p>
        </w:tc>
      </w:tr>
      <w:tr w14:paraId="275B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57A4AD6B">
            <w:pPr>
              <w:wordWrap w:val="0"/>
              <w:spacing w:line="276" w:lineRule="auto"/>
              <w:jc w:val="center"/>
              <w:rPr>
                <w:rFonts w:hint="eastAsia" w:ascii="宋体" w:hAnsi="宋体" w:eastAsia="宋体" w:cs="宋体"/>
                <w:color w:val="auto"/>
                <w:szCs w:val="21"/>
                <w:highlight w:val="none"/>
              </w:rPr>
            </w:pPr>
          </w:p>
        </w:tc>
        <w:tc>
          <w:tcPr>
            <w:tcW w:w="3007" w:type="dxa"/>
          </w:tcPr>
          <w:p w14:paraId="639DD63C">
            <w:pPr>
              <w:wordWrap w:val="0"/>
              <w:spacing w:line="276" w:lineRule="auto"/>
              <w:jc w:val="center"/>
              <w:rPr>
                <w:rFonts w:hint="eastAsia" w:ascii="宋体" w:hAnsi="宋体" w:eastAsia="宋体" w:cs="宋体"/>
                <w:color w:val="auto"/>
                <w:szCs w:val="21"/>
                <w:highlight w:val="none"/>
              </w:rPr>
            </w:pPr>
          </w:p>
        </w:tc>
        <w:tc>
          <w:tcPr>
            <w:tcW w:w="992" w:type="dxa"/>
          </w:tcPr>
          <w:p w14:paraId="39309902">
            <w:pPr>
              <w:wordWrap w:val="0"/>
              <w:spacing w:line="276" w:lineRule="auto"/>
              <w:jc w:val="center"/>
              <w:rPr>
                <w:rFonts w:hint="eastAsia" w:ascii="宋体" w:hAnsi="宋体" w:eastAsia="宋体" w:cs="宋体"/>
                <w:color w:val="auto"/>
                <w:szCs w:val="21"/>
                <w:highlight w:val="none"/>
              </w:rPr>
            </w:pPr>
          </w:p>
        </w:tc>
        <w:tc>
          <w:tcPr>
            <w:tcW w:w="603" w:type="dxa"/>
          </w:tcPr>
          <w:p w14:paraId="186ABA12">
            <w:pPr>
              <w:wordWrap w:val="0"/>
              <w:spacing w:line="276" w:lineRule="auto"/>
              <w:jc w:val="center"/>
              <w:rPr>
                <w:rFonts w:hint="eastAsia" w:ascii="宋体" w:hAnsi="宋体" w:eastAsia="宋体" w:cs="宋体"/>
                <w:color w:val="auto"/>
                <w:szCs w:val="21"/>
                <w:highlight w:val="none"/>
              </w:rPr>
            </w:pPr>
          </w:p>
        </w:tc>
        <w:tc>
          <w:tcPr>
            <w:tcW w:w="488" w:type="dxa"/>
          </w:tcPr>
          <w:p w14:paraId="5170FDEF">
            <w:pPr>
              <w:wordWrap w:val="0"/>
              <w:spacing w:line="276" w:lineRule="auto"/>
              <w:jc w:val="center"/>
              <w:rPr>
                <w:rFonts w:hint="eastAsia" w:ascii="宋体" w:hAnsi="宋体" w:eastAsia="宋体" w:cs="宋体"/>
                <w:color w:val="auto"/>
                <w:szCs w:val="21"/>
                <w:highlight w:val="none"/>
              </w:rPr>
            </w:pPr>
          </w:p>
        </w:tc>
        <w:tc>
          <w:tcPr>
            <w:tcW w:w="1134" w:type="dxa"/>
          </w:tcPr>
          <w:p w14:paraId="76CA98E8">
            <w:pPr>
              <w:wordWrap w:val="0"/>
              <w:spacing w:line="276" w:lineRule="auto"/>
              <w:jc w:val="center"/>
              <w:rPr>
                <w:rFonts w:hint="eastAsia" w:ascii="宋体" w:hAnsi="宋体" w:eastAsia="宋体" w:cs="宋体"/>
                <w:color w:val="auto"/>
                <w:szCs w:val="21"/>
                <w:highlight w:val="none"/>
              </w:rPr>
            </w:pPr>
          </w:p>
        </w:tc>
        <w:tc>
          <w:tcPr>
            <w:tcW w:w="709" w:type="dxa"/>
          </w:tcPr>
          <w:p w14:paraId="5558E960">
            <w:pPr>
              <w:wordWrap w:val="0"/>
              <w:spacing w:line="276" w:lineRule="auto"/>
              <w:jc w:val="center"/>
              <w:rPr>
                <w:rFonts w:hint="eastAsia" w:ascii="宋体" w:hAnsi="宋体" w:eastAsia="宋体" w:cs="宋体"/>
                <w:color w:val="auto"/>
                <w:szCs w:val="21"/>
                <w:highlight w:val="none"/>
              </w:rPr>
            </w:pPr>
          </w:p>
        </w:tc>
        <w:tc>
          <w:tcPr>
            <w:tcW w:w="871" w:type="dxa"/>
          </w:tcPr>
          <w:p w14:paraId="4EFDF3B2">
            <w:pPr>
              <w:wordWrap w:val="0"/>
              <w:spacing w:line="276" w:lineRule="auto"/>
              <w:jc w:val="center"/>
              <w:rPr>
                <w:rFonts w:hint="eastAsia" w:ascii="宋体" w:hAnsi="宋体" w:eastAsia="宋体" w:cs="宋体"/>
                <w:color w:val="auto"/>
                <w:szCs w:val="21"/>
                <w:highlight w:val="none"/>
              </w:rPr>
            </w:pPr>
          </w:p>
        </w:tc>
        <w:tc>
          <w:tcPr>
            <w:tcW w:w="1134" w:type="dxa"/>
          </w:tcPr>
          <w:p w14:paraId="7F7ADC1C">
            <w:pPr>
              <w:wordWrap w:val="0"/>
              <w:spacing w:line="276" w:lineRule="auto"/>
              <w:jc w:val="center"/>
              <w:rPr>
                <w:rFonts w:hint="eastAsia" w:ascii="宋体" w:hAnsi="宋体" w:eastAsia="宋体" w:cs="宋体"/>
                <w:color w:val="auto"/>
                <w:szCs w:val="21"/>
                <w:highlight w:val="none"/>
              </w:rPr>
            </w:pPr>
          </w:p>
        </w:tc>
      </w:tr>
      <w:tr w14:paraId="06F6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6ED9CCE9">
            <w:pPr>
              <w:wordWrap w:val="0"/>
              <w:spacing w:line="276" w:lineRule="auto"/>
              <w:jc w:val="center"/>
              <w:rPr>
                <w:rFonts w:hint="eastAsia" w:ascii="宋体" w:hAnsi="宋体" w:eastAsia="宋体" w:cs="宋体"/>
                <w:color w:val="auto"/>
                <w:szCs w:val="21"/>
                <w:highlight w:val="none"/>
              </w:rPr>
            </w:pPr>
          </w:p>
        </w:tc>
        <w:tc>
          <w:tcPr>
            <w:tcW w:w="3007" w:type="dxa"/>
          </w:tcPr>
          <w:p w14:paraId="3496FE88">
            <w:pPr>
              <w:wordWrap w:val="0"/>
              <w:spacing w:line="276" w:lineRule="auto"/>
              <w:jc w:val="center"/>
              <w:rPr>
                <w:rFonts w:hint="eastAsia" w:ascii="宋体" w:hAnsi="宋体" w:eastAsia="宋体" w:cs="宋体"/>
                <w:color w:val="auto"/>
                <w:szCs w:val="21"/>
                <w:highlight w:val="none"/>
              </w:rPr>
            </w:pPr>
          </w:p>
        </w:tc>
        <w:tc>
          <w:tcPr>
            <w:tcW w:w="992" w:type="dxa"/>
          </w:tcPr>
          <w:p w14:paraId="1FAF72DD">
            <w:pPr>
              <w:wordWrap w:val="0"/>
              <w:spacing w:line="276" w:lineRule="auto"/>
              <w:jc w:val="center"/>
              <w:rPr>
                <w:rFonts w:hint="eastAsia" w:ascii="宋体" w:hAnsi="宋体" w:eastAsia="宋体" w:cs="宋体"/>
                <w:color w:val="auto"/>
                <w:szCs w:val="21"/>
                <w:highlight w:val="none"/>
              </w:rPr>
            </w:pPr>
          </w:p>
        </w:tc>
        <w:tc>
          <w:tcPr>
            <w:tcW w:w="603" w:type="dxa"/>
          </w:tcPr>
          <w:p w14:paraId="28D63864">
            <w:pPr>
              <w:wordWrap w:val="0"/>
              <w:spacing w:line="276" w:lineRule="auto"/>
              <w:jc w:val="center"/>
              <w:rPr>
                <w:rFonts w:hint="eastAsia" w:ascii="宋体" w:hAnsi="宋体" w:eastAsia="宋体" w:cs="宋体"/>
                <w:color w:val="auto"/>
                <w:szCs w:val="21"/>
                <w:highlight w:val="none"/>
              </w:rPr>
            </w:pPr>
          </w:p>
        </w:tc>
        <w:tc>
          <w:tcPr>
            <w:tcW w:w="488" w:type="dxa"/>
          </w:tcPr>
          <w:p w14:paraId="3D3E1F55">
            <w:pPr>
              <w:wordWrap w:val="0"/>
              <w:spacing w:line="276" w:lineRule="auto"/>
              <w:jc w:val="center"/>
              <w:rPr>
                <w:rFonts w:hint="eastAsia" w:ascii="宋体" w:hAnsi="宋体" w:eastAsia="宋体" w:cs="宋体"/>
                <w:color w:val="auto"/>
                <w:szCs w:val="21"/>
                <w:highlight w:val="none"/>
              </w:rPr>
            </w:pPr>
          </w:p>
        </w:tc>
        <w:tc>
          <w:tcPr>
            <w:tcW w:w="1134" w:type="dxa"/>
          </w:tcPr>
          <w:p w14:paraId="1344D2E7">
            <w:pPr>
              <w:wordWrap w:val="0"/>
              <w:spacing w:line="276" w:lineRule="auto"/>
              <w:jc w:val="center"/>
              <w:rPr>
                <w:rFonts w:hint="eastAsia" w:ascii="宋体" w:hAnsi="宋体" w:eastAsia="宋体" w:cs="宋体"/>
                <w:color w:val="auto"/>
                <w:szCs w:val="21"/>
                <w:highlight w:val="none"/>
              </w:rPr>
            </w:pPr>
          </w:p>
        </w:tc>
        <w:tc>
          <w:tcPr>
            <w:tcW w:w="709" w:type="dxa"/>
          </w:tcPr>
          <w:p w14:paraId="525BA549">
            <w:pPr>
              <w:wordWrap w:val="0"/>
              <w:spacing w:line="276" w:lineRule="auto"/>
              <w:jc w:val="center"/>
              <w:rPr>
                <w:rFonts w:hint="eastAsia" w:ascii="宋体" w:hAnsi="宋体" w:eastAsia="宋体" w:cs="宋体"/>
                <w:color w:val="auto"/>
                <w:szCs w:val="21"/>
                <w:highlight w:val="none"/>
              </w:rPr>
            </w:pPr>
          </w:p>
        </w:tc>
        <w:tc>
          <w:tcPr>
            <w:tcW w:w="871" w:type="dxa"/>
          </w:tcPr>
          <w:p w14:paraId="20E0B24B">
            <w:pPr>
              <w:wordWrap w:val="0"/>
              <w:spacing w:line="276" w:lineRule="auto"/>
              <w:jc w:val="center"/>
              <w:rPr>
                <w:rFonts w:hint="eastAsia" w:ascii="宋体" w:hAnsi="宋体" w:eastAsia="宋体" w:cs="宋体"/>
                <w:color w:val="auto"/>
                <w:szCs w:val="21"/>
                <w:highlight w:val="none"/>
              </w:rPr>
            </w:pPr>
          </w:p>
        </w:tc>
        <w:tc>
          <w:tcPr>
            <w:tcW w:w="1134" w:type="dxa"/>
          </w:tcPr>
          <w:p w14:paraId="6724B9BD">
            <w:pPr>
              <w:wordWrap w:val="0"/>
              <w:spacing w:line="276" w:lineRule="auto"/>
              <w:jc w:val="center"/>
              <w:rPr>
                <w:rFonts w:hint="eastAsia" w:ascii="宋体" w:hAnsi="宋体" w:eastAsia="宋体" w:cs="宋体"/>
                <w:color w:val="auto"/>
                <w:szCs w:val="21"/>
                <w:highlight w:val="none"/>
              </w:rPr>
            </w:pPr>
          </w:p>
        </w:tc>
      </w:tr>
      <w:tr w14:paraId="2629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3AB2DBDD">
            <w:pPr>
              <w:wordWrap w:val="0"/>
              <w:spacing w:line="276" w:lineRule="auto"/>
              <w:jc w:val="center"/>
              <w:rPr>
                <w:rFonts w:hint="eastAsia" w:ascii="宋体" w:hAnsi="宋体" w:eastAsia="宋体" w:cs="宋体"/>
                <w:color w:val="auto"/>
                <w:szCs w:val="21"/>
                <w:highlight w:val="none"/>
              </w:rPr>
            </w:pPr>
          </w:p>
        </w:tc>
        <w:tc>
          <w:tcPr>
            <w:tcW w:w="3007" w:type="dxa"/>
          </w:tcPr>
          <w:p w14:paraId="7AA97D28">
            <w:pPr>
              <w:wordWrap w:val="0"/>
              <w:spacing w:line="276" w:lineRule="auto"/>
              <w:jc w:val="center"/>
              <w:rPr>
                <w:rFonts w:hint="eastAsia" w:ascii="宋体" w:hAnsi="宋体" w:eastAsia="宋体" w:cs="宋体"/>
                <w:color w:val="auto"/>
                <w:szCs w:val="21"/>
                <w:highlight w:val="none"/>
              </w:rPr>
            </w:pPr>
          </w:p>
        </w:tc>
        <w:tc>
          <w:tcPr>
            <w:tcW w:w="992" w:type="dxa"/>
          </w:tcPr>
          <w:p w14:paraId="5333597F">
            <w:pPr>
              <w:wordWrap w:val="0"/>
              <w:spacing w:line="276" w:lineRule="auto"/>
              <w:jc w:val="center"/>
              <w:rPr>
                <w:rFonts w:hint="eastAsia" w:ascii="宋体" w:hAnsi="宋体" w:eastAsia="宋体" w:cs="宋体"/>
                <w:color w:val="auto"/>
                <w:szCs w:val="21"/>
                <w:highlight w:val="none"/>
              </w:rPr>
            </w:pPr>
          </w:p>
        </w:tc>
        <w:tc>
          <w:tcPr>
            <w:tcW w:w="603" w:type="dxa"/>
          </w:tcPr>
          <w:p w14:paraId="73FD419D">
            <w:pPr>
              <w:wordWrap w:val="0"/>
              <w:spacing w:line="276" w:lineRule="auto"/>
              <w:jc w:val="center"/>
              <w:rPr>
                <w:rFonts w:hint="eastAsia" w:ascii="宋体" w:hAnsi="宋体" w:eastAsia="宋体" w:cs="宋体"/>
                <w:color w:val="auto"/>
                <w:szCs w:val="21"/>
                <w:highlight w:val="none"/>
              </w:rPr>
            </w:pPr>
          </w:p>
        </w:tc>
        <w:tc>
          <w:tcPr>
            <w:tcW w:w="488" w:type="dxa"/>
          </w:tcPr>
          <w:p w14:paraId="55CB1420">
            <w:pPr>
              <w:wordWrap w:val="0"/>
              <w:spacing w:line="276" w:lineRule="auto"/>
              <w:jc w:val="center"/>
              <w:rPr>
                <w:rFonts w:hint="eastAsia" w:ascii="宋体" w:hAnsi="宋体" w:eastAsia="宋体" w:cs="宋体"/>
                <w:color w:val="auto"/>
                <w:szCs w:val="21"/>
                <w:highlight w:val="none"/>
              </w:rPr>
            </w:pPr>
          </w:p>
        </w:tc>
        <w:tc>
          <w:tcPr>
            <w:tcW w:w="1134" w:type="dxa"/>
          </w:tcPr>
          <w:p w14:paraId="6AD005A3">
            <w:pPr>
              <w:wordWrap w:val="0"/>
              <w:spacing w:line="276" w:lineRule="auto"/>
              <w:jc w:val="center"/>
              <w:rPr>
                <w:rFonts w:hint="eastAsia" w:ascii="宋体" w:hAnsi="宋体" w:eastAsia="宋体" w:cs="宋体"/>
                <w:color w:val="auto"/>
                <w:szCs w:val="21"/>
                <w:highlight w:val="none"/>
              </w:rPr>
            </w:pPr>
          </w:p>
        </w:tc>
        <w:tc>
          <w:tcPr>
            <w:tcW w:w="709" w:type="dxa"/>
          </w:tcPr>
          <w:p w14:paraId="49751B47">
            <w:pPr>
              <w:wordWrap w:val="0"/>
              <w:spacing w:line="276" w:lineRule="auto"/>
              <w:jc w:val="center"/>
              <w:rPr>
                <w:rFonts w:hint="eastAsia" w:ascii="宋体" w:hAnsi="宋体" w:eastAsia="宋体" w:cs="宋体"/>
                <w:color w:val="auto"/>
                <w:szCs w:val="21"/>
                <w:highlight w:val="none"/>
              </w:rPr>
            </w:pPr>
          </w:p>
        </w:tc>
        <w:tc>
          <w:tcPr>
            <w:tcW w:w="871" w:type="dxa"/>
          </w:tcPr>
          <w:p w14:paraId="2CA43D59">
            <w:pPr>
              <w:wordWrap w:val="0"/>
              <w:spacing w:line="276" w:lineRule="auto"/>
              <w:jc w:val="center"/>
              <w:rPr>
                <w:rFonts w:hint="eastAsia" w:ascii="宋体" w:hAnsi="宋体" w:eastAsia="宋体" w:cs="宋体"/>
                <w:color w:val="auto"/>
                <w:szCs w:val="21"/>
                <w:highlight w:val="none"/>
              </w:rPr>
            </w:pPr>
          </w:p>
        </w:tc>
        <w:tc>
          <w:tcPr>
            <w:tcW w:w="1134" w:type="dxa"/>
          </w:tcPr>
          <w:p w14:paraId="33D24EE8">
            <w:pPr>
              <w:wordWrap w:val="0"/>
              <w:spacing w:line="276" w:lineRule="auto"/>
              <w:jc w:val="center"/>
              <w:rPr>
                <w:rFonts w:hint="eastAsia" w:ascii="宋体" w:hAnsi="宋体" w:eastAsia="宋体" w:cs="宋体"/>
                <w:color w:val="auto"/>
                <w:szCs w:val="21"/>
                <w:highlight w:val="none"/>
              </w:rPr>
            </w:pPr>
          </w:p>
        </w:tc>
      </w:tr>
      <w:tr w14:paraId="401B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31F76167">
            <w:pPr>
              <w:wordWrap w:val="0"/>
              <w:spacing w:line="276" w:lineRule="auto"/>
              <w:jc w:val="center"/>
              <w:rPr>
                <w:rFonts w:hint="eastAsia" w:ascii="宋体" w:hAnsi="宋体" w:eastAsia="宋体" w:cs="宋体"/>
                <w:color w:val="auto"/>
                <w:szCs w:val="21"/>
                <w:highlight w:val="none"/>
              </w:rPr>
            </w:pPr>
          </w:p>
        </w:tc>
        <w:tc>
          <w:tcPr>
            <w:tcW w:w="3007" w:type="dxa"/>
          </w:tcPr>
          <w:p w14:paraId="7A606DAD">
            <w:pPr>
              <w:wordWrap w:val="0"/>
              <w:spacing w:line="276" w:lineRule="auto"/>
              <w:jc w:val="center"/>
              <w:rPr>
                <w:rFonts w:hint="eastAsia" w:ascii="宋体" w:hAnsi="宋体" w:eastAsia="宋体" w:cs="宋体"/>
                <w:color w:val="auto"/>
                <w:szCs w:val="21"/>
                <w:highlight w:val="none"/>
              </w:rPr>
            </w:pPr>
          </w:p>
        </w:tc>
        <w:tc>
          <w:tcPr>
            <w:tcW w:w="992" w:type="dxa"/>
          </w:tcPr>
          <w:p w14:paraId="605C8E11">
            <w:pPr>
              <w:wordWrap w:val="0"/>
              <w:spacing w:line="276" w:lineRule="auto"/>
              <w:jc w:val="center"/>
              <w:rPr>
                <w:rFonts w:hint="eastAsia" w:ascii="宋体" w:hAnsi="宋体" w:eastAsia="宋体" w:cs="宋体"/>
                <w:color w:val="auto"/>
                <w:szCs w:val="21"/>
                <w:highlight w:val="none"/>
              </w:rPr>
            </w:pPr>
          </w:p>
        </w:tc>
        <w:tc>
          <w:tcPr>
            <w:tcW w:w="603" w:type="dxa"/>
          </w:tcPr>
          <w:p w14:paraId="59C304B5">
            <w:pPr>
              <w:wordWrap w:val="0"/>
              <w:spacing w:line="276" w:lineRule="auto"/>
              <w:jc w:val="center"/>
              <w:rPr>
                <w:rFonts w:hint="eastAsia" w:ascii="宋体" w:hAnsi="宋体" w:eastAsia="宋体" w:cs="宋体"/>
                <w:color w:val="auto"/>
                <w:szCs w:val="21"/>
                <w:highlight w:val="none"/>
              </w:rPr>
            </w:pPr>
          </w:p>
        </w:tc>
        <w:tc>
          <w:tcPr>
            <w:tcW w:w="488" w:type="dxa"/>
          </w:tcPr>
          <w:p w14:paraId="29986820">
            <w:pPr>
              <w:wordWrap w:val="0"/>
              <w:spacing w:line="276" w:lineRule="auto"/>
              <w:jc w:val="center"/>
              <w:rPr>
                <w:rFonts w:hint="eastAsia" w:ascii="宋体" w:hAnsi="宋体" w:eastAsia="宋体" w:cs="宋体"/>
                <w:color w:val="auto"/>
                <w:szCs w:val="21"/>
                <w:highlight w:val="none"/>
              </w:rPr>
            </w:pPr>
          </w:p>
        </w:tc>
        <w:tc>
          <w:tcPr>
            <w:tcW w:w="1134" w:type="dxa"/>
          </w:tcPr>
          <w:p w14:paraId="56DF5B55">
            <w:pPr>
              <w:wordWrap w:val="0"/>
              <w:spacing w:line="276" w:lineRule="auto"/>
              <w:jc w:val="center"/>
              <w:rPr>
                <w:rFonts w:hint="eastAsia" w:ascii="宋体" w:hAnsi="宋体" w:eastAsia="宋体" w:cs="宋体"/>
                <w:color w:val="auto"/>
                <w:szCs w:val="21"/>
                <w:highlight w:val="none"/>
              </w:rPr>
            </w:pPr>
          </w:p>
        </w:tc>
        <w:tc>
          <w:tcPr>
            <w:tcW w:w="709" w:type="dxa"/>
          </w:tcPr>
          <w:p w14:paraId="51BF9F33">
            <w:pPr>
              <w:wordWrap w:val="0"/>
              <w:spacing w:line="276" w:lineRule="auto"/>
              <w:jc w:val="center"/>
              <w:rPr>
                <w:rFonts w:hint="eastAsia" w:ascii="宋体" w:hAnsi="宋体" w:eastAsia="宋体" w:cs="宋体"/>
                <w:color w:val="auto"/>
                <w:szCs w:val="21"/>
                <w:highlight w:val="none"/>
              </w:rPr>
            </w:pPr>
          </w:p>
        </w:tc>
        <w:tc>
          <w:tcPr>
            <w:tcW w:w="871" w:type="dxa"/>
          </w:tcPr>
          <w:p w14:paraId="3F4B40C4">
            <w:pPr>
              <w:wordWrap w:val="0"/>
              <w:spacing w:line="276" w:lineRule="auto"/>
              <w:jc w:val="center"/>
              <w:rPr>
                <w:rFonts w:hint="eastAsia" w:ascii="宋体" w:hAnsi="宋体" w:eastAsia="宋体" w:cs="宋体"/>
                <w:color w:val="auto"/>
                <w:szCs w:val="21"/>
                <w:highlight w:val="none"/>
              </w:rPr>
            </w:pPr>
          </w:p>
        </w:tc>
        <w:tc>
          <w:tcPr>
            <w:tcW w:w="1134" w:type="dxa"/>
          </w:tcPr>
          <w:p w14:paraId="450085DB">
            <w:pPr>
              <w:wordWrap w:val="0"/>
              <w:spacing w:line="276" w:lineRule="auto"/>
              <w:jc w:val="center"/>
              <w:rPr>
                <w:rFonts w:hint="eastAsia" w:ascii="宋体" w:hAnsi="宋体" w:eastAsia="宋体" w:cs="宋体"/>
                <w:color w:val="auto"/>
                <w:szCs w:val="21"/>
                <w:highlight w:val="none"/>
              </w:rPr>
            </w:pPr>
          </w:p>
        </w:tc>
      </w:tr>
      <w:tr w14:paraId="0D9D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0BCE70D1">
            <w:pPr>
              <w:wordWrap w:val="0"/>
              <w:spacing w:line="276" w:lineRule="auto"/>
              <w:jc w:val="center"/>
              <w:rPr>
                <w:rFonts w:hint="eastAsia" w:ascii="宋体" w:hAnsi="宋体" w:eastAsia="宋体" w:cs="宋体"/>
                <w:color w:val="auto"/>
                <w:szCs w:val="21"/>
                <w:highlight w:val="none"/>
              </w:rPr>
            </w:pPr>
          </w:p>
        </w:tc>
        <w:tc>
          <w:tcPr>
            <w:tcW w:w="3007" w:type="dxa"/>
          </w:tcPr>
          <w:p w14:paraId="09CAC37E">
            <w:pPr>
              <w:wordWrap w:val="0"/>
              <w:spacing w:line="276" w:lineRule="auto"/>
              <w:jc w:val="center"/>
              <w:rPr>
                <w:rFonts w:hint="eastAsia" w:ascii="宋体" w:hAnsi="宋体" w:eastAsia="宋体" w:cs="宋体"/>
                <w:color w:val="auto"/>
                <w:szCs w:val="21"/>
                <w:highlight w:val="none"/>
              </w:rPr>
            </w:pPr>
          </w:p>
        </w:tc>
        <w:tc>
          <w:tcPr>
            <w:tcW w:w="992" w:type="dxa"/>
          </w:tcPr>
          <w:p w14:paraId="42BA69C7">
            <w:pPr>
              <w:wordWrap w:val="0"/>
              <w:spacing w:line="276" w:lineRule="auto"/>
              <w:jc w:val="center"/>
              <w:rPr>
                <w:rFonts w:hint="eastAsia" w:ascii="宋体" w:hAnsi="宋体" w:eastAsia="宋体" w:cs="宋体"/>
                <w:color w:val="auto"/>
                <w:szCs w:val="21"/>
                <w:highlight w:val="none"/>
              </w:rPr>
            </w:pPr>
          </w:p>
        </w:tc>
        <w:tc>
          <w:tcPr>
            <w:tcW w:w="603" w:type="dxa"/>
          </w:tcPr>
          <w:p w14:paraId="0478C932">
            <w:pPr>
              <w:wordWrap w:val="0"/>
              <w:spacing w:line="276" w:lineRule="auto"/>
              <w:jc w:val="center"/>
              <w:rPr>
                <w:rFonts w:hint="eastAsia" w:ascii="宋体" w:hAnsi="宋体" w:eastAsia="宋体" w:cs="宋体"/>
                <w:color w:val="auto"/>
                <w:szCs w:val="21"/>
                <w:highlight w:val="none"/>
              </w:rPr>
            </w:pPr>
          </w:p>
        </w:tc>
        <w:tc>
          <w:tcPr>
            <w:tcW w:w="488" w:type="dxa"/>
          </w:tcPr>
          <w:p w14:paraId="28CB24BC">
            <w:pPr>
              <w:wordWrap w:val="0"/>
              <w:spacing w:line="276" w:lineRule="auto"/>
              <w:jc w:val="center"/>
              <w:rPr>
                <w:rFonts w:hint="eastAsia" w:ascii="宋体" w:hAnsi="宋体" w:eastAsia="宋体" w:cs="宋体"/>
                <w:color w:val="auto"/>
                <w:szCs w:val="21"/>
                <w:highlight w:val="none"/>
              </w:rPr>
            </w:pPr>
          </w:p>
        </w:tc>
        <w:tc>
          <w:tcPr>
            <w:tcW w:w="1134" w:type="dxa"/>
          </w:tcPr>
          <w:p w14:paraId="144D0229">
            <w:pPr>
              <w:wordWrap w:val="0"/>
              <w:spacing w:line="276" w:lineRule="auto"/>
              <w:jc w:val="center"/>
              <w:rPr>
                <w:rFonts w:hint="eastAsia" w:ascii="宋体" w:hAnsi="宋体" w:eastAsia="宋体" w:cs="宋体"/>
                <w:color w:val="auto"/>
                <w:szCs w:val="21"/>
                <w:highlight w:val="none"/>
              </w:rPr>
            </w:pPr>
          </w:p>
        </w:tc>
        <w:tc>
          <w:tcPr>
            <w:tcW w:w="709" w:type="dxa"/>
          </w:tcPr>
          <w:p w14:paraId="6958ABC5">
            <w:pPr>
              <w:wordWrap w:val="0"/>
              <w:spacing w:line="276" w:lineRule="auto"/>
              <w:jc w:val="center"/>
              <w:rPr>
                <w:rFonts w:hint="eastAsia" w:ascii="宋体" w:hAnsi="宋体" w:eastAsia="宋体" w:cs="宋体"/>
                <w:color w:val="auto"/>
                <w:szCs w:val="21"/>
                <w:highlight w:val="none"/>
              </w:rPr>
            </w:pPr>
          </w:p>
        </w:tc>
        <w:tc>
          <w:tcPr>
            <w:tcW w:w="871" w:type="dxa"/>
          </w:tcPr>
          <w:p w14:paraId="09C28C59">
            <w:pPr>
              <w:wordWrap w:val="0"/>
              <w:spacing w:line="276" w:lineRule="auto"/>
              <w:jc w:val="center"/>
              <w:rPr>
                <w:rFonts w:hint="eastAsia" w:ascii="宋体" w:hAnsi="宋体" w:eastAsia="宋体" w:cs="宋体"/>
                <w:color w:val="auto"/>
                <w:szCs w:val="21"/>
                <w:highlight w:val="none"/>
              </w:rPr>
            </w:pPr>
          </w:p>
        </w:tc>
        <w:tc>
          <w:tcPr>
            <w:tcW w:w="1134" w:type="dxa"/>
          </w:tcPr>
          <w:p w14:paraId="078ED567">
            <w:pPr>
              <w:wordWrap w:val="0"/>
              <w:spacing w:line="276" w:lineRule="auto"/>
              <w:jc w:val="center"/>
              <w:rPr>
                <w:rFonts w:hint="eastAsia" w:ascii="宋体" w:hAnsi="宋体" w:eastAsia="宋体" w:cs="宋体"/>
                <w:color w:val="auto"/>
                <w:szCs w:val="21"/>
                <w:highlight w:val="none"/>
              </w:rPr>
            </w:pPr>
          </w:p>
        </w:tc>
      </w:tr>
      <w:tr w14:paraId="5FA6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6EE53958">
            <w:pPr>
              <w:wordWrap w:val="0"/>
              <w:spacing w:line="276" w:lineRule="auto"/>
              <w:jc w:val="center"/>
              <w:rPr>
                <w:rFonts w:hint="eastAsia" w:ascii="宋体" w:hAnsi="宋体" w:eastAsia="宋体" w:cs="宋体"/>
                <w:color w:val="auto"/>
                <w:szCs w:val="21"/>
                <w:highlight w:val="none"/>
              </w:rPr>
            </w:pPr>
          </w:p>
        </w:tc>
        <w:tc>
          <w:tcPr>
            <w:tcW w:w="3007" w:type="dxa"/>
          </w:tcPr>
          <w:p w14:paraId="6AD5D43C">
            <w:pPr>
              <w:wordWrap w:val="0"/>
              <w:spacing w:line="276" w:lineRule="auto"/>
              <w:jc w:val="center"/>
              <w:rPr>
                <w:rFonts w:hint="eastAsia" w:ascii="宋体" w:hAnsi="宋体" w:eastAsia="宋体" w:cs="宋体"/>
                <w:color w:val="auto"/>
                <w:szCs w:val="21"/>
                <w:highlight w:val="none"/>
              </w:rPr>
            </w:pPr>
          </w:p>
        </w:tc>
        <w:tc>
          <w:tcPr>
            <w:tcW w:w="992" w:type="dxa"/>
          </w:tcPr>
          <w:p w14:paraId="283BF7F6">
            <w:pPr>
              <w:wordWrap w:val="0"/>
              <w:spacing w:line="276" w:lineRule="auto"/>
              <w:jc w:val="center"/>
              <w:rPr>
                <w:rFonts w:hint="eastAsia" w:ascii="宋体" w:hAnsi="宋体" w:eastAsia="宋体" w:cs="宋体"/>
                <w:color w:val="auto"/>
                <w:szCs w:val="21"/>
                <w:highlight w:val="none"/>
              </w:rPr>
            </w:pPr>
          </w:p>
        </w:tc>
        <w:tc>
          <w:tcPr>
            <w:tcW w:w="603" w:type="dxa"/>
          </w:tcPr>
          <w:p w14:paraId="1FA45D14">
            <w:pPr>
              <w:wordWrap w:val="0"/>
              <w:spacing w:line="276" w:lineRule="auto"/>
              <w:jc w:val="center"/>
              <w:rPr>
                <w:rFonts w:hint="eastAsia" w:ascii="宋体" w:hAnsi="宋体" w:eastAsia="宋体" w:cs="宋体"/>
                <w:color w:val="auto"/>
                <w:szCs w:val="21"/>
                <w:highlight w:val="none"/>
              </w:rPr>
            </w:pPr>
          </w:p>
        </w:tc>
        <w:tc>
          <w:tcPr>
            <w:tcW w:w="488" w:type="dxa"/>
          </w:tcPr>
          <w:p w14:paraId="7F939164">
            <w:pPr>
              <w:wordWrap w:val="0"/>
              <w:spacing w:line="276" w:lineRule="auto"/>
              <w:jc w:val="center"/>
              <w:rPr>
                <w:rFonts w:hint="eastAsia" w:ascii="宋体" w:hAnsi="宋体" w:eastAsia="宋体" w:cs="宋体"/>
                <w:color w:val="auto"/>
                <w:szCs w:val="21"/>
                <w:highlight w:val="none"/>
              </w:rPr>
            </w:pPr>
          </w:p>
        </w:tc>
        <w:tc>
          <w:tcPr>
            <w:tcW w:w="1134" w:type="dxa"/>
          </w:tcPr>
          <w:p w14:paraId="5B3DB452">
            <w:pPr>
              <w:wordWrap w:val="0"/>
              <w:spacing w:line="276" w:lineRule="auto"/>
              <w:jc w:val="center"/>
              <w:rPr>
                <w:rFonts w:hint="eastAsia" w:ascii="宋体" w:hAnsi="宋体" w:eastAsia="宋体" w:cs="宋体"/>
                <w:color w:val="auto"/>
                <w:szCs w:val="21"/>
                <w:highlight w:val="none"/>
              </w:rPr>
            </w:pPr>
          </w:p>
        </w:tc>
        <w:tc>
          <w:tcPr>
            <w:tcW w:w="709" w:type="dxa"/>
          </w:tcPr>
          <w:p w14:paraId="693B8587">
            <w:pPr>
              <w:wordWrap w:val="0"/>
              <w:spacing w:line="276" w:lineRule="auto"/>
              <w:jc w:val="center"/>
              <w:rPr>
                <w:rFonts w:hint="eastAsia" w:ascii="宋体" w:hAnsi="宋体" w:eastAsia="宋体" w:cs="宋体"/>
                <w:color w:val="auto"/>
                <w:szCs w:val="21"/>
                <w:highlight w:val="none"/>
              </w:rPr>
            </w:pPr>
          </w:p>
        </w:tc>
        <w:tc>
          <w:tcPr>
            <w:tcW w:w="871" w:type="dxa"/>
          </w:tcPr>
          <w:p w14:paraId="2B7E80C8">
            <w:pPr>
              <w:wordWrap w:val="0"/>
              <w:spacing w:line="276" w:lineRule="auto"/>
              <w:jc w:val="center"/>
              <w:rPr>
                <w:rFonts w:hint="eastAsia" w:ascii="宋体" w:hAnsi="宋体" w:eastAsia="宋体" w:cs="宋体"/>
                <w:color w:val="auto"/>
                <w:szCs w:val="21"/>
                <w:highlight w:val="none"/>
              </w:rPr>
            </w:pPr>
          </w:p>
        </w:tc>
        <w:tc>
          <w:tcPr>
            <w:tcW w:w="1134" w:type="dxa"/>
          </w:tcPr>
          <w:p w14:paraId="2F1F5259">
            <w:pPr>
              <w:wordWrap w:val="0"/>
              <w:spacing w:line="276" w:lineRule="auto"/>
              <w:jc w:val="center"/>
              <w:rPr>
                <w:rFonts w:hint="eastAsia" w:ascii="宋体" w:hAnsi="宋体" w:eastAsia="宋体" w:cs="宋体"/>
                <w:color w:val="auto"/>
                <w:szCs w:val="21"/>
                <w:highlight w:val="none"/>
              </w:rPr>
            </w:pPr>
          </w:p>
        </w:tc>
      </w:tr>
      <w:tr w14:paraId="698C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208841CF">
            <w:pPr>
              <w:wordWrap w:val="0"/>
              <w:spacing w:line="276" w:lineRule="auto"/>
              <w:jc w:val="center"/>
              <w:rPr>
                <w:rFonts w:hint="eastAsia" w:ascii="宋体" w:hAnsi="宋体" w:eastAsia="宋体" w:cs="宋体"/>
                <w:color w:val="auto"/>
                <w:szCs w:val="21"/>
                <w:highlight w:val="none"/>
              </w:rPr>
            </w:pPr>
          </w:p>
        </w:tc>
        <w:tc>
          <w:tcPr>
            <w:tcW w:w="3007" w:type="dxa"/>
          </w:tcPr>
          <w:p w14:paraId="26516FAD">
            <w:pPr>
              <w:wordWrap w:val="0"/>
              <w:spacing w:line="276" w:lineRule="auto"/>
              <w:jc w:val="center"/>
              <w:rPr>
                <w:rFonts w:hint="eastAsia" w:ascii="宋体" w:hAnsi="宋体" w:eastAsia="宋体" w:cs="宋体"/>
                <w:color w:val="auto"/>
                <w:szCs w:val="21"/>
                <w:highlight w:val="none"/>
              </w:rPr>
            </w:pPr>
          </w:p>
        </w:tc>
        <w:tc>
          <w:tcPr>
            <w:tcW w:w="992" w:type="dxa"/>
          </w:tcPr>
          <w:p w14:paraId="1D3612A5">
            <w:pPr>
              <w:wordWrap w:val="0"/>
              <w:spacing w:line="276" w:lineRule="auto"/>
              <w:jc w:val="center"/>
              <w:rPr>
                <w:rFonts w:hint="eastAsia" w:ascii="宋体" w:hAnsi="宋体" w:eastAsia="宋体" w:cs="宋体"/>
                <w:color w:val="auto"/>
                <w:szCs w:val="21"/>
                <w:highlight w:val="none"/>
              </w:rPr>
            </w:pPr>
          </w:p>
        </w:tc>
        <w:tc>
          <w:tcPr>
            <w:tcW w:w="603" w:type="dxa"/>
          </w:tcPr>
          <w:p w14:paraId="3E7612C4">
            <w:pPr>
              <w:wordWrap w:val="0"/>
              <w:spacing w:line="276" w:lineRule="auto"/>
              <w:jc w:val="center"/>
              <w:rPr>
                <w:rFonts w:hint="eastAsia" w:ascii="宋体" w:hAnsi="宋体" w:eastAsia="宋体" w:cs="宋体"/>
                <w:color w:val="auto"/>
                <w:szCs w:val="21"/>
                <w:highlight w:val="none"/>
              </w:rPr>
            </w:pPr>
          </w:p>
        </w:tc>
        <w:tc>
          <w:tcPr>
            <w:tcW w:w="488" w:type="dxa"/>
          </w:tcPr>
          <w:p w14:paraId="52BAC657">
            <w:pPr>
              <w:wordWrap w:val="0"/>
              <w:spacing w:line="276" w:lineRule="auto"/>
              <w:jc w:val="center"/>
              <w:rPr>
                <w:rFonts w:hint="eastAsia" w:ascii="宋体" w:hAnsi="宋体" w:eastAsia="宋体" w:cs="宋体"/>
                <w:color w:val="auto"/>
                <w:szCs w:val="21"/>
                <w:highlight w:val="none"/>
              </w:rPr>
            </w:pPr>
          </w:p>
        </w:tc>
        <w:tc>
          <w:tcPr>
            <w:tcW w:w="1134" w:type="dxa"/>
          </w:tcPr>
          <w:p w14:paraId="6257C8FA">
            <w:pPr>
              <w:wordWrap w:val="0"/>
              <w:spacing w:line="276" w:lineRule="auto"/>
              <w:jc w:val="center"/>
              <w:rPr>
                <w:rFonts w:hint="eastAsia" w:ascii="宋体" w:hAnsi="宋体" w:eastAsia="宋体" w:cs="宋体"/>
                <w:color w:val="auto"/>
                <w:szCs w:val="21"/>
                <w:highlight w:val="none"/>
              </w:rPr>
            </w:pPr>
          </w:p>
        </w:tc>
        <w:tc>
          <w:tcPr>
            <w:tcW w:w="709" w:type="dxa"/>
          </w:tcPr>
          <w:p w14:paraId="5CC602B3">
            <w:pPr>
              <w:wordWrap w:val="0"/>
              <w:spacing w:line="276" w:lineRule="auto"/>
              <w:jc w:val="center"/>
              <w:rPr>
                <w:rFonts w:hint="eastAsia" w:ascii="宋体" w:hAnsi="宋体" w:eastAsia="宋体" w:cs="宋体"/>
                <w:color w:val="auto"/>
                <w:szCs w:val="21"/>
                <w:highlight w:val="none"/>
              </w:rPr>
            </w:pPr>
          </w:p>
        </w:tc>
        <w:tc>
          <w:tcPr>
            <w:tcW w:w="871" w:type="dxa"/>
          </w:tcPr>
          <w:p w14:paraId="33626BBD">
            <w:pPr>
              <w:wordWrap w:val="0"/>
              <w:spacing w:line="276" w:lineRule="auto"/>
              <w:jc w:val="center"/>
              <w:rPr>
                <w:rFonts w:hint="eastAsia" w:ascii="宋体" w:hAnsi="宋体" w:eastAsia="宋体" w:cs="宋体"/>
                <w:color w:val="auto"/>
                <w:szCs w:val="21"/>
                <w:highlight w:val="none"/>
              </w:rPr>
            </w:pPr>
          </w:p>
        </w:tc>
        <w:tc>
          <w:tcPr>
            <w:tcW w:w="1134" w:type="dxa"/>
          </w:tcPr>
          <w:p w14:paraId="61CBFBEA">
            <w:pPr>
              <w:wordWrap w:val="0"/>
              <w:spacing w:line="276" w:lineRule="auto"/>
              <w:jc w:val="center"/>
              <w:rPr>
                <w:rFonts w:hint="eastAsia" w:ascii="宋体" w:hAnsi="宋体" w:eastAsia="宋体" w:cs="宋体"/>
                <w:color w:val="auto"/>
                <w:szCs w:val="21"/>
                <w:highlight w:val="none"/>
              </w:rPr>
            </w:pPr>
          </w:p>
        </w:tc>
      </w:tr>
      <w:tr w14:paraId="0F75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3ED10B1E">
            <w:pPr>
              <w:wordWrap w:val="0"/>
              <w:spacing w:line="276" w:lineRule="auto"/>
              <w:jc w:val="center"/>
              <w:rPr>
                <w:rFonts w:hint="eastAsia" w:ascii="宋体" w:hAnsi="宋体" w:eastAsia="宋体" w:cs="宋体"/>
                <w:color w:val="auto"/>
                <w:szCs w:val="21"/>
                <w:highlight w:val="none"/>
              </w:rPr>
            </w:pPr>
          </w:p>
        </w:tc>
        <w:tc>
          <w:tcPr>
            <w:tcW w:w="3007" w:type="dxa"/>
          </w:tcPr>
          <w:p w14:paraId="74A44AEC">
            <w:pPr>
              <w:wordWrap w:val="0"/>
              <w:spacing w:line="276" w:lineRule="auto"/>
              <w:jc w:val="center"/>
              <w:rPr>
                <w:rFonts w:hint="eastAsia" w:ascii="宋体" w:hAnsi="宋体" w:eastAsia="宋体" w:cs="宋体"/>
                <w:color w:val="auto"/>
                <w:szCs w:val="21"/>
                <w:highlight w:val="none"/>
              </w:rPr>
            </w:pPr>
          </w:p>
        </w:tc>
        <w:tc>
          <w:tcPr>
            <w:tcW w:w="992" w:type="dxa"/>
          </w:tcPr>
          <w:p w14:paraId="5DDB3572">
            <w:pPr>
              <w:wordWrap w:val="0"/>
              <w:spacing w:line="276" w:lineRule="auto"/>
              <w:jc w:val="center"/>
              <w:rPr>
                <w:rFonts w:hint="eastAsia" w:ascii="宋体" w:hAnsi="宋体" w:eastAsia="宋体" w:cs="宋体"/>
                <w:color w:val="auto"/>
                <w:szCs w:val="21"/>
                <w:highlight w:val="none"/>
              </w:rPr>
            </w:pPr>
          </w:p>
        </w:tc>
        <w:tc>
          <w:tcPr>
            <w:tcW w:w="603" w:type="dxa"/>
          </w:tcPr>
          <w:p w14:paraId="3D9E3E0A">
            <w:pPr>
              <w:wordWrap w:val="0"/>
              <w:spacing w:line="276" w:lineRule="auto"/>
              <w:jc w:val="center"/>
              <w:rPr>
                <w:rFonts w:hint="eastAsia" w:ascii="宋体" w:hAnsi="宋体" w:eastAsia="宋体" w:cs="宋体"/>
                <w:color w:val="auto"/>
                <w:szCs w:val="21"/>
                <w:highlight w:val="none"/>
              </w:rPr>
            </w:pPr>
          </w:p>
        </w:tc>
        <w:tc>
          <w:tcPr>
            <w:tcW w:w="488" w:type="dxa"/>
          </w:tcPr>
          <w:p w14:paraId="7ABEE77C">
            <w:pPr>
              <w:wordWrap w:val="0"/>
              <w:spacing w:line="276" w:lineRule="auto"/>
              <w:jc w:val="center"/>
              <w:rPr>
                <w:rFonts w:hint="eastAsia" w:ascii="宋体" w:hAnsi="宋体" w:eastAsia="宋体" w:cs="宋体"/>
                <w:color w:val="auto"/>
                <w:szCs w:val="21"/>
                <w:highlight w:val="none"/>
              </w:rPr>
            </w:pPr>
          </w:p>
        </w:tc>
        <w:tc>
          <w:tcPr>
            <w:tcW w:w="1134" w:type="dxa"/>
          </w:tcPr>
          <w:p w14:paraId="08C388CB">
            <w:pPr>
              <w:wordWrap w:val="0"/>
              <w:spacing w:line="276" w:lineRule="auto"/>
              <w:jc w:val="center"/>
              <w:rPr>
                <w:rFonts w:hint="eastAsia" w:ascii="宋体" w:hAnsi="宋体" w:eastAsia="宋体" w:cs="宋体"/>
                <w:color w:val="auto"/>
                <w:szCs w:val="21"/>
                <w:highlight w:val="none"/>
              </w:rPr>
            </w:pPr>
          </w:p>
        </w:tc>
        <w:tc>
          <w:tcPr>
            <w:tcW w:w="709" w:type="dxa"/>
          </w:tcPr>
          <w:p w14:paraId="50639A41">
            <w:pPr>
              <w:wordWrap w:val="0"/>
              <w:spacing w:line="276" w:lineRule="auto"/>
              <w:jc w:val="center"/>
              <w:rPr>
                <w:rFonts w:hint="eastAsia" w:ascii="宋体" w:hAnsi="宋体" w:eastAsia="宋体" w:cs="宋体"/>
                <w:color w:val="auto"/>
                <w:szCs w:val="21"/>
                <w:highlight w:val="none"/>
              </w:rPr>
            </w:pPr>
          </w:p>
        </w:tc>
        <w:tc>
          <w:tcPr>
            <w:tcW w:w="871" w:type="dxa"/>
          </w:tcPr>
          <w:p w14:paraId="18218688">
            <w:pPr>
              <w:wordWrap w:val="0"/>
              <w:spacing w:line="276" w:lineRule="auto"/>
              <w:jc w:val="center"/>
              <w:rPr>
                <w:rFonts w:hint="eastAsia" w:ascii="宋体" w:hAnsi="宋体" w:eastAsia="宋体" w:cs="宋体"/>
                <w:color w:val="auto"/>
                <w:szCs w:val="21"/>
                <w:highlight w:val="none"/>
              </w:rPr>
            </w:pPr>
          </w:p>
        </w:tc>
        <w:tc>
          <w:tcPr>
            <w:tcW w:w="1134" w:type="dxa"/>
          </w:tcPr>
          <w:p w14:paraId="5932DDDB">
            <w:pPr>
              <w:wordWrap w:val="0"/>
              <w:spacing w:line="276" w:lineRule="auto"/>
              <w:jc w:val="center"/>
              <w:rPr>
                <w:rFonts w:hint="eastAsia" w:ascii="宋体" w:hAnsi="宋体" w:eastAsia="宋体" w:cs="宋体"/>
                <w:color w:val="auto"/>
                <w:szCs w:val="21"/>
                <w:highlight w:val="none"/>
              </w:rPr>
            </w:pPr>
          </w:p>
        </w:tc>
      </w:tr>
      <w:tr w14:paraId="20D1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3C3352F5">
            <w:pPr>
              <w:wordWrap w:val="0"/>
              <w:spacing w:line="276" w:lineRule="auto"/>
              <w:jc w:val="center"/>
              <w:rPr>
                <w:rFonts w:hint="eastAsia" w:ascii="宋体" w:hAnsi="宋体" w:eastAsia="宋体" w:cs="宋体"/>
                <w:color w:val="auto"/>
                <w:szCs w:val="21"/>
                <w:highlight w:val="none"/>
              </w:rPr>
            </w:pPr>
          </w:p>
        </w:tc>
        <w:tc>
          <w:tcPr>
            <w:tcW w:w="3007" w:type="dxa"/>
          </w:tcPr>
          <w:p w14:paraId="18026303">
            <w:pPr>
              <w:wordWrap w:val="0"/>
              <w:spacing w:line="276" w:lineRule="auto"/>
              <w:jc w:val="center"/>
              <w:rPr>
                <w:rFonts w:hint="eastAsia" w:ascii="宋体" w:hAnsi="宋体" w:eastAsia="宋体" w:cs="宋体"/>
                <w:color w:val="auto"/>
                <w:szCs w:val="21"/>
                <w:highlight w:val="none"/>
              </w:rPr>
            </w:pPr>
          </w:p>
        </w:tc>
        <w:tc>
          <w:tcPr>
            <w:tcW w:w="992" w:type="dxa"/>
          </w:tcPr>
          <w:p w14:paraId="2E9D340C">
            <w:pPr>
              <w:wordWrap w:val="0"/>
              <w:spacing w:line="276" w:lineRule="auto"/>
              <w:jc w:val="center"/>
              <w:rPr>
                <w:rFonts w:hint="eastAsia" w:ascii="宋体" w:hAnsi="宋体" w:eastAsia="宋体" w:cs="宋体"/>
                <w:color w:val="auto"/>
                <w:szCs w:val="21"/>
                <w:highlight w:val="none"/>
              </w:rPr>
            </w:pPr>
          </w:p>
        </w:tc>
        <w:tc>
          <w:tcPr>
            <w:tcW w:w="603" w:type="dxa"/>
          </w:tcPr>
          <w:p w14:paraId="5FE26E8C">
            <w:pPr>
              <w:wordWrap w:val="0"/>
              <w:spacing w:line="276" w:lineRule="auto"/>
              <w:jc w:val="center"/>
              <w:rPr>
                <w:rFonts w:hint="eastAsia" w:ascii="宋体" w:hAnsi="宋体" w:eastAsia="宋体" w:cs="宋体"/>
                <w:color w:val="auto"/>
                <w:szCs w:val="21"/>
                <w:highlight w:val="none"/>
              </w:rPr>
            </w:pPr>
          </w:p>
        </w:tc>
        <w:tc>
          <w:tcPr>
            <w:tcW w:w="488" w:type="dxa"/>
          </w:tcPr>
          <w:p w14:paraId="0CB7E7ED">
            <w:pPr>
              <w:wordWrap w:val="0"/>
              <w:spacing w:line="276" w:lineRule="auto"/>
              <w:jc w:val="center"/>
              <w:rPr>
                <w:rFonts w:hint="eastAsia" w:ascii="宋体" w:hAnsi="宋体" w:eastAsia="宋体" w:cs="宋体"/>
                <w:color w:val="auto"/>
                <w:szCs w:val="21"/>
                <w:highlight w:val="none"/>
              </w:rPr>
            </w:pPr>
          </w:p>
        </w:tc>
        <w:tc>
          <w:tcPr>
            <w:tcW w:w="1134" w:type="dxa"/>
          </w:tcPr>
          <w:p w14:paraId="06491444">
            <w:pPr>
              <w:wordWrap w:val="0"/>
              <w:spacing w:line="276" w:lineRule="auto"/>
              <w:jc w:val="center"/>
              <w:rPr>
                <w:rFonts w:hint="eastAsia" w:ascii="宋体" w:hAnsi="宋体" w:eastAsia="宋体" w:cs="宋体"/>
                <w:color w:val="auto"/>
                <w:szCs w:val="21"/>
                <w:highlight w:val="none"/>
              </w:rPr>
            </w:pPr>
          </w:p>
        </w:tc>
        <w:tc>
          <w:tcPr>
            <w:tcW w:w="709" w:type="dxa"/>
          </w:tcPr>
          <w:p w14:paraId="3C9B2BC7">
            <w:pPr>
              <w:wordWrap w:val="0"/>
              <w:spacing w:line="276" w:lineRule="auto"/>
              <w:jc w:val="center"/>
              <w:rPr>
                <w:rFonts w:hint="eastAsia" w:ascii="宋体" w:hAnsi="宋体" w:eastAsia="宋体" w:cs="宋体"/>
                <w:color w:val="auto"/>
                <w:szCs w:val="21"/>
                <w:highlight w:val="none"/>
              </w:rPr>
            </w:pPr>
          </w:p>
        </w:tc>
        <w:tc>
          <w:tcPr>
            <w:tcW w:w="871" w:type="dxa"/>
          </w:tcPr>
          <w:p w14:paraId="27EB382D">
            <w:pPr>
              <w:wordWrap w:val="0"/>
              <w:spacing w:line="276" w:lineRule="auto"/>
              <w:jc w:val="center"/>
              <w:rPr>
                <w:rFonts w:hint="eastAsia" w:ascii="宋体" w:hAnsi="宋体" w:eastAsia="宋体" w:cs="宋体"/>
                <w:color w:val="auto"/>
                <w:szCs w:val="21"/>
                <w:highlight w:val="none"/>
              </w:rPr>
            </w:pPr>
          </w:p>
        </w:tc>
        <w:tc>
          <w:tcPr>
            <w:tcW w:w="1134" w:type="dxa"/>
          </w:tcPr>
          <w:p w14:paraId="05D6E9BF">
            <w:pPr>
              <w:wordWrap w:val="0"/>
              <w:spacing w:line="276" w:lineRule="auto"/>
              <w:jc w:val="center"/>
              <w:rPr>
                <w:rFonts w:hint="eastAsia" w:ascii="宋体" w:hAnsi="宋体" w:eastAsia="宋体" w:cs="宋体"/>
                <w:color w:val="auto"/>
                <w:szCs w:val="21"/>
                <w:highlight w:val="none"/>
              </w:rPr>
            </w:pPr>
          </w:p>
        </w:tc>
      </w:tr>
      <w:tr w14:paraId="4662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3312FFF7">
            <w:pPr>
              <w:wordWrap w:val="0"/>
              <w:spacing w:line="276" w:lineRule="auto"/>
              <w:jc w:val="center"/>
              <w:rPr>
                <w:rFonts w:hint="eastAsia" w:ascii="宋体" w:hAnsi="宋体" w:eastAsia="宋体" w:cs="宋体"/>
                <w:color w:val="auto"/>
                <w:szCs w:val="21"/>
                <w:highlight w:val="none"/>
              </w:rPr>
            </w:pPr>
          </w:p>
        </w:tc>
        <w:tc>
          <w:tcPr>
            <w:tcW w:w="3007" w:type="dxa"/>
          </w:tcPr>
          <w:p w14:paraId="7AF27B19">
            <w:pPr>
              <w:wordWrap w:val="0"/>
              <w:spacing w:line="276" w:lineRule="auto"/>
              <w:jc w:val="center"/>
              <w:rPr>
                <w:rFonts w:hint="eastAsia" w:ascii="宋体" w:hAnsi="宋体" w:eastAsia="宋体" w:cs="宋体"/>
                <w:color w:val="auto"/>
                <w:szCs w:val="21"/>
                <w:highlight w:val="none"/>
              </w:rPr>
            </w:pPr>
          </w:p>
        </w:tc>
        <w:tc>
          <w:tcPr>
            <w:tcW w:w="992" w:type="dxa"/>
          </w:tcPr>
          <w:p w14:paraId="43695C27">
            <w:pPr>
              <w:wordWrap w:val="0"/>
              <w:spacing w:line="276" w:lineRule="auto"/>
              <w:jc w:val="center"/>
              <w:rPr>
                <w:rFonts w:hint="eastAsia" w:ascii="宋体" w:hAnsi="宋体" w:eastAsia="宋体" w:cs="宋体"/>
                <w:color w:val="auto"/>
                <w:szCs w:val="21"/>
                <w:highlight w:val="none"/>
              </w:rPr>
            </w:pPr>
          </w:p>
        </w:tc>
        <w:tc>
          <w:tcPr>
            <w:tcW w:w="603" w:type="dxa"/>
          </w:tcPr>
          <w:p w14:paraId="3C011790">
            <w:pPr>
              <w:wordWrap w:val="0"/>
              <w:spacing w:line="276" w:lineRule="auto"/>
              <w:jc w:val="center"/>
              <w:rPr>
                <w:rFonts w:hint="eastAsia" w:ascii="宋体" w:hAnsi="宋体" w:eastAsia="宋体" w:cs="宋体"/>
                <w:color w:val="auto"/>
                <w:szCs w:val="21"/>
                <w:highlight w:val="none"/>
              </w:rPr>
            </w:pPr>
          </w:p>
        </w:tc>
        <w:tc>
          <w:tcPr>
            <w:tcW w:w="488" w:type="dxa"/>
          </w:tcPr>
          <w:p w14:paraId="10F1CF86">
            <w:pPr>
              <w:wordWrap w:val="0"/>
              <w:spacing w:line="276" w:lineRule="auto"/>
              <w:jc w:val="center"/>
              <w:rPr>
                <w:rFonts w:hint="eastAsia" w:ascii="宋体" w:hAnsi="宋体" w:eastAsia="宋体" w:cs="宋体"/>
                <w:color w:val="auto"/>
                <w:szCs w:val="21"/>
                <w:highlight w:val="none"/>
              </w:rPr>
            </w:pPr>
          </w:p>
        </w:tc>
        <w:tc>
          <w:tcPr>
            <w:tcW w:w="1134" w:type="dxa"/>
          </w:tcPr>
          <w:p w14:paraId="27B303D9">
            <w:pPr>
              <w:wordWrap w:val="0"/>
              <w:spacing w:line="276" w:lineRule="auto"/>
              <w:jc w:val="center"/>
              <w:rPr>
                <w:rFonts w:hint="eastAsia" w:ascii="宋体" w:hAnsi="宋体" w:eastAsia="宋体" w:cs="宋体"/>
                <w:color w:val="auto"/>
                <w:szCs w:val="21"/>
                <w:highlight w:val="none"/>
              </w:rPr>
            </w:pPr>
          </w:p>
        </w:tc>
        <w:tc>
          <w:tcPr>
            <w:tcW w:w="709" w:type="dxa"/>
          </w:tcPr>
          <w:p w14:paraId="19A77034">
            <w:pPr>
              <w:wordWrap w:val="0"/>
              <w:spacing w:line="276" w:lineRule="auto"/>
              <w:jc w:val="center"/>
              <w:rPr>
                <w:rFonts w:hint="eastAsia" w:ascii="宋体" w:hAnsi="宋体" w:eastAsia="宋体" w:cs="宋体"/>
                <w:color w:val="auto"/>
                <w:szCs w:val="21"/>
                <w:highlight w:val="none"/>
              </w:rPr>
            </w:pPr>
          </w:p>
        </w:tc>
        <w:tc>
          <w:tcPr>
            <w:tcW w:w="871" w:type="dxa"/>
          </w:tcPr>
          <w:p w14:paraId="47884299">
            <w:pPr>
              <w:wordWrap w:val="0"/>
              <w:spacing w:line="276" w:lineRule="auto"/>
              <w:jc w:val="center"/>
              <w:rPr>
                <w:rFonts w:hint="eastAsia" w:ascii="宋体" w:hAnsi="宋体" w:eastAsia="宋体" w:cs="宋体"/>
                <w:color w:val="auto"/>
                <w:szCs w:val="21"/>
                <w:highlight w:val="none"/>
              </w:rPr>
            </w:pPr>
          </w:p>
        </w:tc>
        <w:tc>
          <w:tcPr>
            <w:tcW w:w="1134" w:type="dxa"/>
          </w:tcPr>
          <w:p w14:paraId="516FBAE7">
            <w:pPr>
              <w:wordWrap w:val="0"/>
              <w:spacing w:line="276" w:lineRule="auto"/>
              <w:jc w:val="center"/>
              <w:rPr>
                <w:rFonts w:hint="eastAsia" w:ascii="宋体" w:hAnsi="宋体" w:eastAsia="宋体" w:cs="宋体"/>
                <w:color w:val="auto"/>
                <w:szCs w:val="21"/>
                <w:highlight w:val="none"/>
              </w:rPr>
            </w:pPr>
          </w:p>
        </w:tc>
      </w:tr>
      <w:tr w14:paraId="09B4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3A062A2F">
            <w:pPr>
              <w:wordWrap w:val="0"/>
              <w:spacing w:line="276" w:lineRule="auto"/>
              <w:jc w:val="center"/>
              <w:rPr>
                <w:rFonts w:hint="eastAsia" w:ascii="宋体" w:hAnsi="宋体" w:eastAsia="宋体" w:cs="宋体"/>
                <w:color w:val="auto"/>
                <w:szCs w:val="21"/>
                <w:highlight w:val="none"/>
              </w:rPr>
            </w:pPr>
          </w:p>
        </w:tc>
        <w:tc>
          <w:tcPr>
            <w:tcW w:w="3007" w:type="dxa"/>
          </w:tcPr>
          <w:p w14:paraId="198D2112">
            <w:pPr>
              <w:wordWrap w:val="0"/>
              <w:spacing w:line="276" w:lineRule="auto"/>
              <w:jc w:val="center"/>
              <w:rPr>
                <w:rFonts w:hint="eastAsia" w:ascii="宋体" w:hAnsi="宋体" w:eastAsia="宋体" w:cs="宋体"/>
                <w:color w:val="auto"/>
                <w:szCs w:val="21"/>
                <w:highlight w:val="none"/>
              </w:rPr>
            </w:pPr>
          </w:p>
        </w:tc>
        <w:tc>
          <w:tcPr>
            <w:tcW w:w="992" w:type="dxa"/>
          </w:tcPr>
          <w:p w14:paraId="563A7AC4">
            <w:pPr>
              <w:wordWrap w:val="0"/>
              <w:spacing w:line="276" w:lineRule="auto"/>
              <w:jc w:val="center"/>
              <w:rPr>
                <w:rFonts w:hint="eastAsia" w:ascii="宋体" w:hAnsi="宋体" w:eastAsia="宋体" w:cs="宋体"/>
                <w:color w:val="auto"/>
                <w:szCs w:val="21"/>
                <w:highlight w:val="none"/>
              </w:rPr>
            </w:pPr>
          </w:p>
        </w:tc>
        <w:tc>
          <w:tcPr>
            <w:tcW w:w="603" w:type="dxa"/>
          </w:tcPr>
          <w:p w14:paraId="1C849922">
            <w:pPr>
              <w:wordWrap w:val="0"/>
              <w:spacing w:line="276" w:lineRule="auto"/>
              <w:jc w:val="center"/>
              <w:rPr>
                <w:rFonts w:hint="eastAsia" w:ascii="宋体" w:hAnsi="宋体" w:eastAsia="宋体" w:cs="宋体"/>
                <w:color w:val="auto"/>
                <w:szCs w:val="21"/>
                <w:highlight w:val="none"/>
              </w:rPr>
            </w:pPr>
          </w:p>
        </w:tc>
        <w:tc>
          <w:tcPr>
            <w:tcW w:w="488" w:type="dxa"/>
          </w:tcPr>
          <w:p w14:paraId="25F35E5B">
            <w:pPr>
              <w:wordWrap w:val="0"/>
              <w:spacing w:line="276" w:lineRule="auto"/>
              <w:jc w:val="center"/>
              <w:rPr>
                <w:rFonts w:hint="eastAsia" w:ascii="宋体" w:hAnsi="宋体" w:eastAsia="宋体" w:cs="宋体"/>
                <w:color w:val="auto"/>
                <w:szCs w:val="21"/>
                <w:highlight w:val="none"/>
              </w:rPr>
            </w:pPr>
          </w:p>
        </w:tc>
        <w:tc>
          <w:tcPr>
            <w:tcW w:w="1134" w:type="dxa"/>
          </w:tcPr>
          <w:p w14:paraId="04779AF6">
            <w:pPr>
              <w:wordWrap w:val="0"/>
              <w:spacing w:line="276" w:lineRule="auto"/>
              <w:jc w:val="center"/>
              <w:rPr>
                <w:rFonts w:hint="eastAsia" w:ascii="宋体" w:hAnsi="宋体" w:eastAsia="宋体" w:cs="宋体"/>
                <w:color w:val="auto"/>
                <w:szCs w:val="21"/>
                <w:highlight w:val="none"/>
              </w:rPr>
            </w:pPr>
          </w:p>
        </w:tc>
        <w:tc>
          <w:tcPr>
            <w:tcW w:w="709" w:type="dxa"/>
          </w:tcPr>
          <w:p w14:paraId="7B8070EF">
            <w:pPr>
              <w:wordWrap w:val="0"/>
              <w:spacing w:line="276" w:lineRule="auto"/>
              <w:jc w:val="center"/>
              <w:rPr>
                <w:rFonts w:hint="eastAsia" w:ascii="宋体" w:hAnsi="宋体" w:eastAsia="宋体" w:cs="宋体"/>
                <w:color w:val="auto"/>
                <w:szCs w:val="21"/>
                <w:highlight w:val="none"/>
              </w:rPr>
            </w:pPr>
          </w:p>
        </w:tc>
        <w:tc>
          <w:tcPr>
            <w:tcW w:w="871" w:type="dxa"/>
          </w:tcPr>
          <w:p w14:paraId="0979690E">
            <w:pPr>
              <w:wordWrap w:val="0"/>
              <w:spacing w:line="276" w:lineRule="auto"/>
              <w:jc w:val="center"/>
              <w:rPr>
                <w:rFonts w:hint="eastAsia" w:ascii="宋体" w:hAnsi="宋体" w:eastAsia="宋体" w:cs="宋体"/>
                <w:color w:val="auto"/>
                <w:szCs w:val="21"/>
                <w:highlight w:val="none"/>
              </w:rPr>
            </w:pPr>
          </w:p>
        </w:tc>
        <w:tc>
          <w:tcPr>
            <w:tcW w:w="1134" w:type="dxa"/>
          </w:tcPr>
          <w:p w14:paraId="11BFE4AD">
            <w:pPr>
              <w:wordWrap w:val="0"/>
              <w:spacing w:line="276" w:lineRule="auto"/>
              <w:jc w:val="center"/>
              <w:rPr>
                <w:rFonts w:hint="eastAsia" w:ascii="宋体" w:hAnsi="宋体" w:eastAsia="宋体" w:cs="宋体"/>
                <w:color w:val="auto"/>
                <w:szCs w:val="21"/>
                <w:highlight w:val="none"/>
              </w:rPr>
            </w:pPr>
          </w:p>
        </w:tc>
      </w:tr>
      <w:tr w14:paraId="2F96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6E0161BD">
            <w:pPr>
              <w:wordWrap w:val="0"/>
              <w:spacing w:line="276" w:lineRule="auto"/>
              <w:jc w:val="center"/>
              <w:rPr>
                <w:rFonts w:hint="eastAsia" w:ascii="宋体" w:hAnsi="宋体" w:eastAsia="宋体" w:cs="宋体"/>
                <w:color w:val="auto"/>
                <w:szCs w:val="21"/>
                <w:highlight w:val="none"/>
              </w:rPr>
            </w:pPr>
          </w:p>
        </w:tc>
        <w:tc>
          <w:tcPr>
            <w:tcW w:w="3007" w:type="dxa"/>
          </w:tcPr>
          <w:p w14:paraId="460F9089">
            <w:pPr>
              <w:wordWrap w:val="0"/>
              <w:spacing w:line="276" w:lineRule="auto"/>
              <w:jc w:val="center"/>
              <w:rPr>
                <w:rFonts w:hint="eastAsia" w:ascii="宋体" w:hAnsi="宋体" w:eastAsia="宋体" w:cs="宋体"/>
                <w:color w:val="auto"/>
                <w:szCs w:val="21"/>
                <w:highlight w:val="none"/>
              </w:rPr>
            </w:pPr>
          </w:p>
        </w:tc>
        <w:tc>
          <w:tcPr>
            <w:tcW w:w="992" w:type="dxa"/>
          </w:tcPr>
          <w:p w14:paraId="5E28C1CB">
            <w:pPr>
              <w:wordWrap w:val="0"/>
              <w:spacing w:line="276" w:lineRule="auto"/>
              <w:jc w:val="center"/>
              <w:rPr>
                <w:rFonts w:hint="eastAsia" w:ascii="宋体" w:hAnsi="宋体" w:eastAsia="宋体" w:cs="宋体"/>
                <w:color w:val="auto"/>
                <w:szCs w:val="21"/>
                <w:highlight w:val="none"/>
              </w:rPr>
            </w:pPr>
          </w:p>
        </w:tc>
        <w:tc>
          <w:tcPr>
            <w:tcW w:w="603" w:type="dxa"/>
          </w:tcPr>
          <w:p w14:paraId="5C9F6368">
            <w:pPr>
              <w:wordWrap w:val="0"/>
              <w:spacing w:line="276" w:lineRule="auto"/>
              <w:jc w:val="center"/>
              <w:rPr>
                <w:rFonts w:hint="eastAsia" w:ascii="宋体" w:hAnsi="宋体" w:eastAsia="宋体" w:cs="宋体"/>
                <w:color w:val="auto"/>
                <w:szCs w:val="21"/>
                <w:highlight w:val="none"/>
              </w:rPr>
            </w:pPr>
          </w:p>
        </w:tc>
        <w:tc>
          <w:tcPr>
            <w:tcW w:w="488" w:type="dxa"/>
          </w:tcPr>
          <w:p w14:paraId="69B584BD">
            <w:pPr>
              <w:wordWrap w:val="0"/>
              <w:spacing w:line="276" w:lineRule="auto"/>
              <w:jc w:val="center"/>
              <w:rPr>
                <w:rFonts w:hint="eastAsia" w:ascii="宋体" w:hAnsi="宋体" w:eastAsia="宋体" w:cs="宋体"/>
                <w:color w:val="auto"/>
                <w:szCs w:val="21"/>
                <w:highlight w:val="none"/>
              </w:rPr>
            </w:pPr>
          </w:p>
        </w:tc>
        <w:tc>
          <w:tcPr>
            <w:tcW w:w="1134" w:type="dxa"/>
          </w:tcPr>
          <w:p w14:paraId="73B23F71">
            <w:pPr>
              <w:wordWrap w:val="0"/>
              <w:spacing w:line="276" w:lineRule="auto"/>
              <w:jc w:val="center"/>
              <w:rPr>
                <w:rFonts w:hint="eastAsia" w:ascii="宋体" w:hAnsi="宋体" w:eastAsia="宋体" w:cs="宋体"/>
                <w:color w:val="auto"/>
                <w:szCs w:val="21"/>
                <w:highlight w:val="none"/>
              </w:rPr>
            </w:pPr>
          </w:p>
        </w:tc>
        <w:tc>
          <w:tcPr>
            <w:tcW w:w="709" w:type="dxa"/>
          </w:tcPr>
          <w:p w14:paraId="1838CAC3">
            <w:pPr>
              <w:wordWrap w:val="0"/>
              <w:spacing w:line="276" w:lineRule="auto"/>
              <w:jc w:val="center"/>
              <w:rPr>
                <w:rFonts w:hint="eastAsia" w:ascii="宋体" w:hAnsi="宋体" w:eastAsia="宋体" w:cs="宋体"/>
                <w:color w:val="auto"/>
                <w:szCs w:val="21"/>
                <w:highlight w:val="none"/>
              </w:rPr>
            </w:pPr>
          </w:p>
        </w:tc>
        <w:tc>
          <w:tcPr>
            <w:tcW w:w="871" w:type="dxa"/>
          </w:tcPr>
          <w:p w14:paraId="55C7664B">
            <w:pPr>
              <w:wordWrap w:val="0"/>
              <w:spacing w:line="276" w:lineRule="auto"/>
              <w:jc w:val="center"/>
              <w:rPr>
                <w:rFonts w:hint="eastAsia" w:ascii="宋体" w:hAnsi="宋体" w:eastAsia="宋体" w:cs="宋体"/>
                <w:color w:val="auto"/>
                <w:szCs w:val="21"/>
                <w:highlight w:val="none"/>
              </w:rPr>
            </w:pPr>
          </w:p>
        </w:tc>
        <w:tc>
          <w:tcPr>
            <w:tcW w:w="1134" w:type="dxa"/>
          </w:tcPr>
          <w:p w14:paraId="5DAC21B6">
            <w:pPr>
              <w:wordWrap w:val="0"/>
              <w:spacing w:line="276" w:lineRule="auto"/>
              <w:jc w:val="center"/>
              <w:rPr>
                <w:rFonts w:hint="eastAsia" w:ascii="宋体" w:hAnsi="宋体" w:eastAsia="宋体" w:cs="宋体"/>
                <w:color w:val="auto"/>
                <w:szCs w:val="21"/>
                <w:highlight w:val="none"/>
              </w:rPr>
            </w:pPr>
          </w:p>
        </w:tc>
      </w:tr>
    </w:tbl>
    <w:p w14:paraId="30684C12">
      <w:pPr>
        <w:wordWrap w:val="0"/>
        <w:rPr>
          <w:rFonts w:hint="eastAsia" w:ascii="宋体" w:hAnsi="宋体" w:eastAsia="宋体" w:cs="宋体"/>
          <w:color w:val="auto"/>
          <w:highlight w:val="none"/>
        </w:rPr>
      </w:pPr>
      <w:bookmarkStart w:id="517" w:name="_Toc152042594"/>
      <w:bookmarkStart w:id="518" w:name="_Toc152045805"/>
      <w:bookmarkStart w:id="519" w:name="_Toc144974873"/>
      <w:bookmarkStart w:id="520" w:name="_Toc179632825"/>
    </w:p>
    <w:p w14:paraId="2C3B0BE8">
      <w:pPr>
        <w:keepNext/>
        <w:keepLines/>
        <w:wordWrap w:val="0"/>
        <w:spacing w:line="360" w:lineRule="auto"/>
        <w:outlineLvl w:val="2"/>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br w:type="page"/>
      </w:r>
      <w:bookmarkStart w:id="521" w:name="_Toc19001"/>
      <w:bookmarkStart w:id="522" w:name="_Toc384308390"/>
      <w:bookmarkStart w:id="523" w:name="_Toc4098"/>
      <w:bookmarkStart w:id="524" w:name="_Toc370676440"/>
      <w:bookmarkStart w:id="525" w:name="_Toc482188668"/>
      <w:bookmarkStart w:id="526" w:name="_Toc385943079"/>
      <w:bookmarkStart w:id="527" w:name="_Toc359594249"/>
      <w:bookmarkStart w:id="528" w:name="_Toc300835232"/>
      <w:bookmarkStart w:id="529" w:name="_Toc526786521"/>
      <w:bookmarkStart w:id="530" w:name="_Toc59200724"/>
      <w:bookmarkStart w:id="531" w:name="_Toc391394125"/>
      <w:r>
        <w:rPr>
          <w:rFonts w:hint="eastAsia" w:ascii="宋体" w:hAnsi="宋体" w:eastAsia="宋体" w:cs="宋体"/>
          <w:b/>
          <w:color w:val="auto"/>
          <w:sz w:val="28"/>
          <w:szCs w:val="20"/>
          <w:highlight w:val="none"/>
        </w:rPr>
        <w:t>（四）主要人员简历表</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tbl>
      <w:tblPr>
        <w:tblStyle w:val="2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3150"/>
      </w:tblGrid>
      <w:tr w14:paraId="111C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187" w:type="dxa"/>
            <w:vAlign w:val="center"/>
          </w:tcPr>
          <w:p w14:paraId="7044940D">
            <w:pPr>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1048" w:type="dxa"/>
            <w:gridSpan w:val="2"/>
            <w:vAlign w:val="center"/>
          </w:tcPr>
          <w:p w14:paraId="11F0AF96">
            <w:pPr>
              <w:wordWrap w:val="0"/>
              <w:spacing w:line="276" w:lineRule="auto"/>
              <w:jc w:val="center"/>
              <w:rPr>
                <w:rFonts w:hint="eastAsia" w:ascii="宋体" w:hAnsi="宋体" w:eastAsia="宋体" w:cs="宋体"/>
                <w:color w:val="auto"/>
                <w:highlight w:val="none"/>
              </w:rPr>
            </w:pPr>
          </w:p>
        </w:tc>
        <w:tc>
          <w:tcPr>
            <w:tcW w:w="958" w:type="dxa"/>
            <w:vAlign w:val="center"/>
          </w:tcPr>
          <w:p w14:paraId="598CC084">
            <w:pPr>
              <w:wordWrap w:val="0"/>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065" w:type="dxa"/>
            <w:vAlign w:val="center"/>
          </w:tcPr>
          <w:p w14:paraId="07C27C8C">
            <w:pPr>
              <w:wordWrap w:val="0"/>
              <w:spacing w:line="276" w:lineRule="auto"/>
              <w:jc w:val="center"/>
              <w:rPr>
                <w:rFonts w:hint="eastAsia" w:ascii="宋体" w:hAnsi="宋体" w:eastAsia="宋体" w:cs="宋体"/>
                <w:color w:val="auto"/>
                <w:highlight w:val="none"/>
              </w:rPr>
            </w:pPr>
          </w:p>
        </w:tc>
        <w:tc>
          <w:tcPr>
            <w:tcW w:w="2368" w:type="dxa"/>
            <w:gridSpan w:val="3"/>
            <w:vAlign w:val="center"/>
          </w:tcPr>
          <w:p w14:paraId="4B30AC40">
            <w:pPr>
              <w:wordWrap w:val="0"/>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执业资格证书（或上岗证书）名称</w:t>
            </w:r>
          </w:p>
        </w:tc>
        <w:tc>
          <w:tcPr>
            <w:tcW w:w="3150" w:type="dxa"/>
            <w:vAlign w:val="center"/>
          </w:tcPr>
          <w:p w14:paraId="254CDF3B">
            <w:pPr>
              <w:wordWrap w:val="0"/>
              <w:spacing w:line="276" w:lineRule="auto"/>
              <w:jc w:val="center"/>
              <w:rPr>
                <w:rFonts w:hint="eastAsia" w:ascii="宋体" w:hAnsi="宋体" w:eastAsia="宋体" w:cs="宋体"/>
                <w:color w:val="auto"/>
                <w:highlight w:val="none"/>
              </w:rPr>
            </w:pPr>
          </w:p>
        </w:tc>
      </w:tr>
      <w:tr w14:paraId="6654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87" w:type="dxa"/>
            <w:vAlign w:val="center"/>
          </w:tcPr>
          <w:p w14:paraId="108B292A">
            <w:pPr>
              <w:wordWrap w:val="0"/>
              <w:spacing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职  称</w:t>
            </w:r>
          </w:p>
        </w:tc>
        <w:tc>
          <w:tcPr>
            <w:tcW w:w="1048" w:type="dxa"/>
            <w:gridSpan w:val="2"/>
            <w:vAlign w:val="center"/>
          </w:tcPr>
          <w:p w14:paraId="45B6DF8A">
            <w:pPr>
              <w:wordWrap w:val="0"/>
              <w:spacing w:line="276" w:lineRule="auto"/>
              <w:jc w:val="center"/>
              <w:rPr>
                <w:rFonts w:hint="eastAsia" w:ascii="宋体" w:hAnsi="宋体" w:eastAsia="宋体" w:cs="宋体"/>
                <w:color w:val="auto"/>
                <w:highlight w:val="none"/>
              </w:rPr>
            </w:pPr>
          </w:p>
        </w:tc>
        <w:tc>
          <w:tcPr>
            <w:tcW w:w="958" w:type="dxa"/>
            <w:vAlign w:val="center"/>
          </w:tcPr>
          <w:p w14:paraId="13AA7C37">
            <w:pPr>
              <w:wordWrap w:val="0"/>
              <w:spacing w:before="100" w:beforeAutospacing="1" w:after="100" w:afterAutospacing="1"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1065" w:type="dxa"/>
            <w:vAlign w:val="center"/>
          </w:tcPr>
          <w:p w14:paraId="0E6BFD9C">
            <w:pPr>
              <w:wordWrap w:val="0"/>
              <w:spacing w:line="276" w:lineRule="auto"/>
              <w:jc w:val="center"/>
              <w:rPr>
                <w:rFonts w:hint="eastAsia" w:ascii="宋体" w:hAnsi="宋体" w:eastAsia="宋体" w:cs="宋体"/>
                <w:color w:val="auto"/>
                <w:highlight w:val="none"/>
              </w:rPr>
            </w:pPr>
          </w:p>
        </w:tc>
        <w:tc>
          <w:tcPr>
            <w:tcW w:w="2368" w:type="dxa"/>
            <w:gridSpan w:val="3"/>
            <w:vAlign w:val="center"/>
          </w:tcPr>
          <w:p w14:paraId="5FED02EA">
            <w:pPr>
              <w:wordWrap w:val="0"/>
              <w:spacing w:before="100" w:beforeAutospacing="1" w:after="100" w:afterAutospacing="1"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拟在本项目任职</w:t>
            </w:r>
          </w:p>
        </w:tc>
        <w:tc>
          <w:tcPr>
            <w:tcW w:w="3150" w:type="dxa"/>
            <w:vAlign w:val="center"/>
          </w:tcPr>
          <w:p w14:paraId="2295C285">
            <w:pPr>
              <w:wordWrap w:val="0"/>
              <w:spacing w:line="276" w:lineRule="auto"/>
              <w:jc w:val="center"/>
              <w:rPr>
                <w:rFonts w:hint="eastAsia" w:ascii="宋体" w:hAnsi="宋体" w:eastAsia="宋体" w:cs="宋体"/>
                <w:color w:val="auto"/>
                <w:highlight w:val="none"/>
              </w:rPr>
            </w:pPr>
          </w:p>
        </w:tc>
      </w:tr>
      <w:tr w14:paraId="1736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87" w:type="dxa"/>
            <w:vAlign w:val="center"/>
          </w:tcPr>
          <w:p w14:paraId="47D9FCF5">
            <w:pPr>
              <w:wordWrap w:val="0"/>
              <w:spacing w:before="100" w:beforeAutospacing="1" w:after="100" w:afterAutospacing="1"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工作年限</w:t>
            </w:r>
          </w:p>
        </w:tc>
        <w:tc>
          <w:tcPr>
            <w:tcW w:w="3071" w:type="dxa"/>
            <w:gridSpan w:val="4"/>
            <w:vAlign w:val="center"/>
          </w:tcPr>
          <w:p w14:paraId="10CA0C23">
            <w:pPr>
              <w:wordWrap w:val="0"/>
              <w:spacing w:line="276" w:lineRule="auto"/>
              <w:jc w:val="center"/>
              <w:rPr>
                <w:rFonts w:hint="eastAsia" w:ascii="宋体" w:hAnsi="宋体" w:eastAsia="宋体" w:cs="宋体"/>
                <w:color w:val="auto"/>
                <w:highlight w:val="none"/>
              </w:rPr>
            </w:pPr>
          </w:p>
        </w:tc>
        <w:tc>
          <w:tcPr>
            <w:tcW w:w="2368" w:type="dxa"/>
            <w:gridSpan w:val="3"/>
            <w:vAlign w:val="center"/>
          </w:tcPr>
          <w:p w14:paraId="324058FB">
            <w:pPr>
              <w:wordWrap w:val="0"/>
              <w:spacing w:before="100" w:beforeAutospacing="1" w:after="100" w:afterAutospacing="1"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从事监理工作年限</w:t>
            </w:r>
          </w:p>
        </w:tc>
        <w:tc>
          <w:tcPr>
            <w:tcW w:w="3150" w:type="dxa"/>
            <w:vAlign w:val="center"/>
          </w:tcPr>
          <w:p w14:paraId="69A26CD9">
            <w:pPr>
              <w:wordWrap w:val="0"/>
              <w:spacing w:line="276" w:lineRule="auto"/>
              <w:jc w:val="center"/>
              <w:rPr>
                <w:rFonts w:hint="eastAsia" w:ascii="宋体" w:hAnsi="宋体" w:eastAsia="宋体" w:cs="宋体"/>
                <w:color w:val="auto"/>
                <w:highlight w:val="none"/>
              </w:rPr>
            </w:pPr>
          </w:p>
        </w:tc>
      </w:tr>
      <w:tr w14:paraId="6C23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87" w:type="dxa"/>
            <w:vAlign w:val="center"/>
          </w:tcPr>
          <w:p w14:paraId="27D527C2">
            <w:pPr>
              <w:wordWrap w:val="0"/>
              <w:spacing w:before="100" w:beforeAutospacing="1" w:after="100" w:afterAutospacing="1"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毕业学校</w:t>
            </w:r>
          </w:p>
        </w:tc>
        <w:tc>
          <w:tcPr>
            <w:tcW w:w="8589" w:type="dxa"/>
            <w:gridSpan w:val="8"/>
            <w:vAlign w:val="center"/>
          </w:tcPr>
          <w:p w14:paraId="376300D7">
            <w:pPr>
              <w:wordWrap w:val="0"/>
              <w:spacing w:before="100" w:beforeAutospacing="1" w:after="100" w:afterAutospacing="1" w:line="276" w:lineRule="auto"/>
              <w:ind w:firstLine="1155" w:firstLineChars="550"/>
              <w:rPr>
                <w:rFonts w:hint="eastAsia" w:ascii="宋体" w:hAnsi="宋体" w:eastAsia="宋体" w:cs="宋体"/>
                <w:color w:val="auto"/>
                <w:highlight w:val="none"/>
              </w:rPr>
            </w:pPr>
            <w:r>
              <w:rPr>
                <w:rFonts w:hint="eastAsia" w:ascii="宋体" w:hAnsi="宋体" w:eastAsia="宋体" w:cs="宋体"/>
                <w:color w:val="auto"/>
                <w:highlight w:val="none"/>
              </w:rPr>
              <w:t>年毕业于            学校        专业</w:t>
            </w:r>
          </w:p>
        </w:tc>
      </w:tr>
      <w:tr w14:paraId="7BA8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776" w:type="dxa"/>
            <w:gridSpan w:val="9"/>
            <w:vAlign w:val="center"/>
          </w:tcPr>
          <w:p w14:paraId="3AC39146">
            <w:pPr>
              <w:wordWrap w:val="0"/>
              <w:spacing w:before="100" w:beforeAutospacing="1" w:after="100" w:afterAutospacing="1" w:line="276" w:lineRule="auto"/>
              <w:jc w:val="left"/>
              <w:rPr>
                <w:rFonts w:hint="eastAsia" w:ascii="宋体" w:hAnsi="宋体" w:eastAsia="宋体" w:cs="宋体"/>
                <w:color w:val="auto"/>
                <w:highlight w:val="none"/>
              </w:rPr>
            </w:pPr>
            <w:r>
              <w:rPr>
                <w:rFonts w:hint="eastAsia" w:ascii="宋体" w:hAnsi="宋体" w:eastAsia="宋体" w:cs="宋体"/>
                <w:color w:val="auto"/>
                <w:highlight w:val="none"/>
              </w:rPr>
              <w:t>主要工作经历</w:t>
            </w:r>
          </w:p>
        </w:tc>
      </w:tr>
      <w:tr w14:paraId="04BA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544" w:type="dxa"/>
            <w:gridSpan w:val="2"/>
            <w:vAlign w:val="center"/>
          </w:tcPr>
          <w:p w14:paraId="1CC26C00">
            <w:pPr>
              <w:wordWrap w:val="0"/>
              <w:spacing w:before="100" w:beforeAutospacing="1" w:after="100" w:afterAutospacing="1"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时  间</w:t>
            </w:r>
          </w:p>
        </w:tc>
        <w:tc>
          <w:tcPr>
            <w:tcW w:w="3420" w:type="dxa"/>
            <w:gridSpan w:val="4"/>
            <w:vAlign w:val="center"/>
          </w:tcPr>
          <w:p w14:paraId="69B608F3">
            <w:pPr>
              <w:wordWrap w:val="0"/>
              <w:spacing w:before="100" w:beforeAutospacing="1" w:after="100" w:afterAutospacing="1"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参加过的类似项目</w:t>
            </w:r>
          </w:p>
        </w:tc>
        <w:tc>
          <w:tcPr>
            <w:tcW w:w="1261" w:type="dxa"/>
            <w:vAlign w:val="center"/>
          </w:tcPr>
          <w:p w14:paraId="07824106">
            <w:pPr>
              <w:wordWrap w:val="0"/>
              <w:spacing w:before="100" w:beforeAutospacing="1" w:after="100" w:afterAutospacing="1"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担任职务</w:t>
            </w:r>
          </w:p>
        </w:tc>
        <w:tc>
          <w:tcPr>
            <w:tcW w:w="3551" w:type="dxa"/>
            <w:gridSpan w:val="2"/>
            <w:vAlign w:val="center"/>
          </w:tcPr>
          <w:p w14:paraId="2B05487D">
            <w:pPr>
              <w:wordWrap w:val="0"/>
              <w:spacing w:before="100" w:beforeAutospacing="1" w:after="100" w:afterAutospacing="1" w:line="276"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委托人（发包人）及联系电话</w:t>
            </w:r>
          </w:p>
        </w:tc>
      </w:tr>
      <w:tr w14:paraId="4E50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vAlign w:val="center"/>
          </w:tcPr>
          <w:p w14:paraId="0B14F0C3">
            <w:pPr>
              <w:wordWrap w:val="0"/>
              <w:spacing w:line="276" w:lineRule="auto"/>
              <w:rPr>
                <w:rFonts w:hint="eastAsia" w:ascii="宋体" w:hAnsi="宋体" w:eastAsia="宋体" w:cs="宋体"/>
                <w:color w:val="auto"/>
                <w:highlight w:val="none"/>
              </w:rPr>
            </w:pPr>
          </w:p>
        </w:tc>
        <w:tc>
          <w:tcPr>
            <w:tcW w:w="3420" w:type="dxa"/>
            <w:gridSpan w:val="4"/>
            <w:vAlign w:val="center"/>
          </w:tcPr>
          <w:p w14:paraId="3D651D24">
            <w:pPr>
              <w:wordWrap w:val="0"/>
              <w:spacing w:line="276" w:lineRule="auto"/>
              <w:rPr>
                <w:rFonts w:hint="eastAsia" w:ascii="宋体" w:hAnsi="宋体" w:eastAsia="宋体" w:cs="宋体"/>
                <w:color w:val="auto"/>
                <w:highlight w:val="none"/>
              </w:rPr>
            </w:pPr>
          </w:p>
        </w:tc>
        <w:tc>
          <w:tcPr>
            <w:tcW w:w="1261" w:type="dxa"/>
            <w:vAlign w:val="center"/>
          </w:tcPr>
          <w:p w14:paraId="6B1BBFAC">
            <w:pPr>
              <w:wordWrap w:val="0"/>
              <w:spacing w:line="276" w:lineRule="auto"/>
              <w:rPr>
                <w:rFonts w:hint="eastAsia" w:ascii="宋体" w:hAnsi="宋体" w:eastAsia="宋体" w:cs="宋体"/>
                <w:color w:val="auto"/>
                <w:highlight w:val="none"/>
              </w:rPr>
            </w:pPr>
          </w:p>
        </w:tc>
        <w:tc>
          <w:tcPr>
            <w:tcW w:w="3551" w:type="dxa"/>
            <w:gridSpan w:val="2"/>
            <w:vAlign w:val="center"/>
          </w:tcPr>
          <w:p w14:paraId="22952245">
            <w:pPr>
              <w:wordWrap w:val="0"/>
              <w:spacing w:line="276" w:lineRule="auto"/>
              <w:rPr>
                <w:rFonts w:hint="eastAsia" w:ascii="宋体" w:hAnsi="宋体" w:eastAsia="宋体" w:cs="宋体"/>
                <w:color w:val="auto"/>
                <w:highlight w:val="none"/>
              </w:rPr>
            </w:pPr>
          </w:p>
        </w:tc>
      </w:tr>
      <w:tr w14:paraId="111F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vAlign w:val="center"/>
          </w:tcPr>
          <w:p w14:paraId="01CE44E4">
            <w:pPr>
              <w:wordWrap w:val="0"/>
              <w:spacing w:line="276" w:lineRule="auto"/>
              <w:rPr>
                <w:rFonts w:hint="eastAsia" w:ascii="宋体" w:hAnsi="宋体" w:eastAsia="宋体" w:cs="宋体"/>
                <w:color w:val="auto"/>
                <w:highlight w:val="none"/>
              </w:rPr>
            </w:pPr>
          </w:p>
        </w:tc>
        <w:tc>
          <w:tcPr>
            <w:tcW w:w="3420" w:type="dxa"/>
            <w:gridSpan w:val="4"/>
            <w:vAlign w:val="center"/>
          </w:tcPr>
          <w:p w14:paraId="613587F6">
            <w:pPr>
              <w:wordWrap w:val="0"/>
              <w:spacing w:line="276" w:lineRule="auto"/>
              <w:rPr>
                <w:rFonts w:hint="eastAsia" w:ascii="宋体" w:hAnsi="宋体" w:eastAsia="宋体" w:cs="宋体"/>
                <w:color w:val="auto"/>
                <w:highlight w:val="none"/>
              </w:rPr>
            </w:pPr>
          </w:p>
        </w:tc>
        <w:tc>
          <w:tcPr>
            <w:tcW w:w="1261" w:type="dxa"/>
            <w:vAlign w:val="center"/>
          </w:tcPr>
          <w:p w14:paraId="5DADDDDB">
            <w:pPr>
              <w:wordWrap w:val="0"/>
              <w:spacing w:line="276" w:lineRule="auto"/>
              <w:rPr>
                <w:rFonts w:hint="eastAsia" w:ascii="宋体" w:hAnsi="宋体" w:eastAsia="宋体" w:cs="宋体"/>
                <w:color w:val="auto"/>
                <w:highlight w:val="none"/>
              </w:rPr>
            </w:pPr>
          </w:p>
        </w:tc>
        <w:tc>
          <w:tcPr>
            <w:tcW w:w="3551" w:type="dxa"/>
            <w:gridSpan w:val="2"/>
            <w:vAlign w:val="center"/>
          </w:tcPr>
          <w:p w14:paraId="72250434">
            <w:pPr>
              <w:wordWrap w:val="0"/>
              <w:spacing w:line="276" w:lineRule="auto"/>
              <w:rPr>
                <w:rFonts w:hint="eastAsia" w:ascii="宋体" w:hAnsi="宋体" w:eastAsia="宋体" w:cs="宋体"/>
                <w:color w:val="auto"/>
                <w:highlight w:val="none"/>
              </w:rPr>
            </w:pPr>
          </w:p>
        </w:tc>
      </w:tr>
      <w:tr w14:paraId="11BA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vAlign w:val="center"/>
          </w:tcPr>
          <w:p w14:paraId="776B05F6">
            <w:pPr>
              <w:wordWrap w:val="0"/>
              <w:spacing w:line="276" w:lineRule="auto"/>
              <w:rPr>
                <w:rFonts w:hint="eastAsia" w:ascii="宋体" w:hAnsi="宋体" w:eastAsia="宋体" w:cs="宋体"/>
                <w:color w:val="auto"/>
                <w:highlight w:val="none"/>
              </w:rPr>
            </w:pPr>
          </w:p>
        </w:tc>
        <w:tc>
          <w:tcPr>
            <w:tcW w:w="3420" w:type="dxa"/>
            <w:gridSpan w:val="4"/>
            <w:vAlign w:val="center"/>
          </w:tcPr>
          <w:p w14:paraId="5FD0AC3F">
            <w:pPr>
              <w:wordWrap w:val="0"/>
              <w:spacing w:line="276" w:lineRule="auto"/>
              <w:rPr>
                <w:rFonts w:hint="eastAsia" w:ascii="宋体" w:hAnsi="宋体" w:eastAsia="宋体" w:cs="宋体"/>
                <w:color w:val="auto"/>
                <w:highlight w:val="none"/>
              </w:rPr>
            </w:pPr>
          </w:p>
        </w:tc>
        <w:tc>
          <w:tcPr>
            <w:tcW w:w="1261" w:type="dxa"/>
            <w:vAlign w:val="center"/>
          </w:tcPr>
          <w:p w14:paraId="636CCCB8">
            <w:pPr>
              <w:wordWrap w:val="0"/>
              <w:spacing w:line="276" w:lineRule="auto"/>
              <w:rPr>
                <w:rFonts w:hint="eastAsia" w:ascii="宋体" w:hAnsi="宋体" w:eastAsia="宋体" w:cs="宋体"/>
                <w:color w:val="auto"/>
                <w:highlight w:val="none"/>
              </w:rPr>
            </w:pPr>
          </w:p>
        </w:tc>
        <w:tc>
          <w:tcPr>
            <w:tcW w:w="3551" w:type="dxa"/>
            <w:gridSpan w:val="2"/>
            <w:vAlign w:val="center"/>
          </w:tcPr>
          <w:p w14:paraId="5FF694E5">
            <w:pPr>
              <w:wordWrap w:val="0"/>
              <w:spacing w:line="276" w:lineRule="auto"/>
              <w:rPr>
                <w:rFonts w:hint="eastAsia" w:ascii="宋体" w:hAnsi="宋体" w:eastAsia="宋体" w:cs="宋体"/>
                <w:color w:val="auto"/>
                <w:highlight w:val="none"/>
              </w:rPr>
            </w:pPr>
          </w:p>
        </w:tc>
      </w:tr>
      <w:tr w14:paraId="2F15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vAlign w:val="center"/>
          </w:tcPr>
          <w:p w14:paraId="4DB57D74">
            <w:pPr>
              <w:wordWrap w:val="0"/>
              <w:spacing w:line="276" w:lineRule="auto"/>
              <w:rPr>
                <w:rFonts w:hint="eastAsia" w:ascii="宋体" w:hAnsi="宋体" w:eastAsia="宋体" w:cs="宋体"/>
                <w:color w:val="auto"/>
                <w:highlight w:val="none"/>
              </w:rPr>
            </w:pPr>
          </w:p>
        </w:tc>
        <w:tc>
          <w:tcPr>
            <w:tcW w:w="3420" w:type="dxa"/>
            <w:gridSpan w:val="4"/>
            <w:vAlign w:val="center"/>
          </w:tcPr>
          <w:p w14:paraId="469AB012">
            <w:pPr>
              <w:wordWrap w:val="0"/>
              <w:spacing w:line="276" w:lineRule="auto"/>
              <w:rPr>
                <w:rFonts w:hint="eastAsia" w:ascii="宋体" w:hAnsi="宋体" w:eastAsia="宋体" w:cs="宋体"/>
                <w:color w:val="auto"/>
                <w:highlight w:val="none"/>
              </w:rPr>
            </w:pPr>
          </w:p>
        </w:tc>
        <w:tc>
          <w:tcPr>
            <w:tcW w:w="1261" w:type="dxa"/>
            <w:vAlign w:val="center"/>
          </w:tcPr>
          <w:p w14:paraId="37616FB7">
            <w:pPr>
              <w:wordWrap w:val="0"/>
              <w:spacing w:line="276" w:lineRule="auto"/>
              <w:rPr>
                <w:rFonts w:hint="eastAsia" w:ascii="宋体" w:hAnsi="宋体" w:eastAsia="宋体" w:cs="宋体"/>
                <w:color w:val="auto"/>
                <w:highlight w:val="none"/>
              </w:rPr>
            </w:pPr>
          </w:p>
        </w:tc>
        <w:tc>
          <w:tcPr>
            <w:tcW w:w="3551" w:type="dxa"/>
            <w:gridSpan w:val="2"/>
            <w:vAlign w:val="center"/>
          </w:tcPr>
          <w:p w14:paraId="30079CC4">
            <w:pPr>
              <w:wordWrap w:val="0"/>
              <w:spacing w:line="276" w:lineRule="auto"/>
              <w:rPr>
                <w:rFonts w:hint="eastAsia" w:ascii="宋体" w:hAnsi="宋体" w:eastAsia="宋体" w:cs="宋体"/>
                <w:color w:val="auto"/>
                <w:highlight w:val="none"/>
              </w:rPr>
            </w:pPr>
          </w:p>
        </w:tc>
      </w:tr>
      <w:tr w14:paraId="0304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vAlign w:val="center"/>
          </w:tcPr>
          <w:p w14:paraId="76D27F39">
            <w:pPr>
              <w:wordWrap w:val="0"/>
              <w:spacing w:line="276" w:lineRule="auto"/>
              <w:rPr>
                <w:rFonts w:hint="eastAsia" w:ascii="宋体" w:hAnsi="宋体" w:eastAsia="宋体" w:cs="宋体"/>
                <w:color w:val="auto"/>
                <w:highlight w:val="none"/>
              </w:rPr>
            </w:pPr>
          </w:p>
        </w:tc>
        <w:tc>
          <w:tcPr>
            <w:tcW w:w="3420" w:type="dxa"/>
            <w:gridSpan w:val="4"/>
            <w:vAlign w:val="center"/>
          </w:tcPr>
          <w:p w14:paraId="0467B388">
            <w:pPr>
              <w:wordWrap w:val="0"/>
              <w:spacing w:line="276" w:lineRule="auto"/>
              <w:rPr>
                <w:rFonts w:hint="eastAsia" w:ascii="宋体" w:hAnsi="宋体" w:eastAsia="宋体" w:cs="宋体"/>
                <w:color w:val="auto"/>
                <w:highlight w:val="none"/>
              </w:rPr>
            </w:pPr>
          </w:p>
        </w:tc>
        <w:tc>
          <w:tcPr>
            <w:tcW w:w="1261" w:type="dxa"/>
            <w:vAlign w:val="center"/>
          </w:tcPr>
          <w:p w14:paraId="195F2BC5">
            <w:pPr>
              <w:wordWrap w:val="0"/>
              <w:spacing w:line="276" w:lineRule="auto"/>
              <w:rPr>
                <w:rFonts w:hint="eastAsia" w:ascii="宋体" w:hAnsi="宋体" w:eastAsia="宋体" w:cs="宋体"/>
                <w:color w:val="auto"/>
                <w:highlight w:val="none"/>
              </w:rPr>
            </w:pPr>
          </w:p>
        </w:tc>
        <w:tc>
          <w:tcPr>
            <w:tcW w:w="3551" w:type="dxa"/>
            <w:gridSpan w:val="2"/>
            <w:vAlign w:val="center"/>
          </w:tcPr>
          <w:p w14:paraId="731EE35B">
            <w:pPr>
              <w:wordWrap w:val="0"/>
              <w:spacing w:line="276" w:lineRule="auto"/>
              <w:rPr>
                <w:rFonts w:hint="eastAsia" w:ascii="宋体" w:hAnsi="宋体" w:eastAsia="宋体" w:cs="宋体"/>
                <w:color w:val="auto"/>
                <w:highlight w:val="none"/>
              </w:rPr>
            </w:pPr>
          </w:p>
        </w:tc>
      </w:tr>
      <w:tr w14:paraId="47AB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vAlign w:val="center"/>
          </w:tcPr>
          <w:p w14:paraId="7149C213">
            <w:pPr>
              <w:wordWrap w:val="0"/>
              <w:spacing w:line="276" w:lineRule="auto"/>
              <w:rPr>
                <w:rFonts w:hint="eastAsia" w:ascii="宋体" w:hAnsi="宋体" w:eastAsia="宋体" w:cs="宋体"/>
                <w:color w:val="auto"/>
                <w:highlight w:val="none"/>
              </w:rPr>
            </w:pPr>
          </w:p>
        </w:tc>
        <w:tc>
          <w:tcPr>
            <w:tcW w:w="3420" w:type="dxa"/>
            <w:gridSpan w:val="4"/>
            <w:vAlign w:val="center"/>
          </w:tcPr>
          <w:p w14:paraId="35A73A4F">
            <w:pPr>
              <w:wordWrap w:val="0"/>
              <w:spacing w:line="276" w:lineRule="auto"/>
              <w:rPr>
                <w:rFonts w:hint="eastAsia" w:ascii="宋体" w:hAnsi="宋体" w:eastAsia="宋体" w:cs="宋体"/>
                <w:color w:val="auto"/>
                <w:highlight w:val="none"/>
              </w:rPr>
            </w:pPr>
          </w:p>
        </w:tc>
        <w:tc>
          <w:tcPr>
            <w:tcW w:w="1261" w:type="dxa"/>
            <w:vAlign w:val="center"/>
          </w:tcPr>
          <w:p w14:paraId="6B74A65D">
            <w:pPr>
              <w:wordWrap w:val="0"/>
              <w:spacing w:line="276" w:lineRule="auto"/>
              <w:rPr>
                <w:rFonts w:hint="eastAsia" w:ascii="宋体" w:hAnsi="宋体" w:eastAsia="宋体" w:cs="宋体"/>
                <w:color w:val="auto"/>
                <w:highlight w:val="none"/>
              </w:rPr>
            </w:pPr>
          </w:p>
        </w:tc>
        <w:tc>
          <w:tcPr>
            <w:tcW w:w="3551" w:type="dxa"/>
            <w:gridSpan w:val="2"/>
            <w:vAlign w:val="center"/>
          </w:tcPr>
          <w:p w14:paraId="751F2A6E">
            <w:pPr>
              <w:wordWrap w:val="0"/>
              <w:spacing w:line="276" w:lineRule="auto"/>
              <w:rPr>
                <w:rFonts w:hint="eastAsia" w:ascii="宋体" w:hAnsi="宋体" w:eastAsia="宋体" w:cs="宋体"/>
                <w:color w:val="auto"/>
                <w:highlight w:val="none"/>
              </w:rPr>
            </w:pPr>
          </w:p>
        </w:tc>
      </w:tr>
      <w:tr w14:paraId="69F6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vAlign w:val="center"/>
          </w:tcPr>
          <w:p w14:paraId="1F1ECBE0">
            <w:pPr>
              <w:wordWrap w:val="0"/>
              <w:spacing w:line="276" w:lineRule="auto"/>
              <w:rPr>
                <w:rFonts w:hint="eastAsia" w:ascii="宋体" w:hAnsi="宋体" w:eastAsia="宋体" w:cs="宋体"/>
                <w:color w:val="auto"/>
                <w:highlight w:val="none"/>
              </w:rPr>
            </w:pPr>
          </w:p>
        </w:tc>
        <w:tc>
          <w:tcPr>
            <w:tcW w:w="3420" w:type="dxa"/>
            <w:gridSpan w:val="4"/>
            <w:vAlign w:val="center"/>
          </w:tcPr>
          <w:p w14:paraId="7B800845">
            <w:pPr>
              <w:wordWrap w:val="0"/>
              <w:spacing w:line="276" w:lineRule="auto"/>
              <w:rPr>
                <w:rFonts w:hint="eastAsia" w:ascii="宋体" w:hAnsi="宋体" w:eastAsia="宋体" w:cs="宋体"/>
                <w:color w:val="auto"/>
                <w:highlight w:val="none"/>
              </w:rPr>
            </w:pPr>
          </w:p>
        </w:tc>
        <w:tc>
          <w:tcPr>
            <w:tcW w:w="1261" w:type="dxa"/>
            <w:vAlign w:val="center"/>
          </w:tcPr>
          <w:p w14:paraId="79CA2C3C">
            <w:pPr>
              <w:wordWrap w:val="0"/>
              <w:spacing w:line="276" w:lineRule="auto"/>
              <w:rPr>
                <w:rFonts w:hint="eastAsia" w:ascii="宋体" w:hAnsi="宋体" w:eastAsia="宋体" w:cs="宋体"/>
                <w:color w:val="auto"/>
                <w:highlight w:val="none"/>
              </w:rPr>
            </w:pPr>
          </w:p>
        </w:tc>
        <w:tc>
          <w:tcPr>
            <w:tcW w:w="3551" w:type="dxa"/>
            <w:gridSpan w:val="2"/>
            <w:vAlign w:val="center"/>
          </w:tcPr>
          <w:p w14:paraId="5C0FECA9">
            <w:pPr>
              <w:wordWrap w:val="0"/>
              <w:spacing w:line="276" w:lineRule="auto"/>
              <w:rPr>
                <w:rFonts w:hint="eastAsia" w:ascii="宋体" w:hAnsi="宋体" w:eastAsia="宋体" w:cs="宋体"/>
                <w:color w:val="auto"/>
                <w:highlight w:val="none"/>
              </w:rPr>
            </w:pPr>
          </w:p>
        </w:tc>
      </w:tr>
    </w:tbl>
    <w:p w14:paraId="42FF1635">
      <w:pPr>
        <w:wordWrap w:val="0"/>
        <w:spacing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注：投标人应根据招标文件的要求在本表后附相关证明材料。</w:t>
      </w:r>
    </w:p>
    <w:p w14:paraId="4F03C366">
      <w:pPr>
        <w:keepNext/>
        <w:keepLines/>
        <w:wordWrap w:val="0"/>
        <w:spacing w:line="360" w:lineRule="auto"/>
        <w:outlineLvl w:val="2"/>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br w:type="page"/>
      </w:r>
      <w:bookmarkStart w:id="532" w:name="_Toc59200726"/>
      <w:bookmarkStart w:id="533" w:name="_Toc2632"/>
      <w:bookmarkStart w:id="534" w:name="_Toc526786523"/>
    </w:p>
    <w:p w14:paraId="5E6BF938">
      <w:pPr>
        <w:keepNext/>
        <w:keepLines/>
        <w:wordWrap w:val="0"/>
        <w:spacing w:line="360" w:lineRule="auto"/>
        <w:outlineLvl w:val="2"/>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t>（五）投标人声明</w:t>
      </w:r>
    </w:p>
    <w:p w14:paraId="6F44B906">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投标人声明</w:t>
      </w:r>
    </w:p>
    <w:p w14:paraId="2E9E0E0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14:paraId="008C9BF4">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项目投标工作，作出郑重声明：</w:t>
      </w:r>
    </w:p>
    <w:p w14:paraId="2D4793B8">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一、本公司保证投标报名登记材料及其后提供的一切材料都是真实的。如我司成为本项目中标候选人，我司同意并授权招标人将我司投标文件商务部分的人员、业绩、奖项等资料进行公开。</w:t>
      </w:r>
    </w:p>
    <w:p w14:paraId="2DFAB68A">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0639900F">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三、本公司不存在招标文件第二章投标人须知第1.4.3项所规定的任何一种情形。具体如下：</w:t>
      </w:r>
    </w:p>
    <w:p w14:paraId="695848F4">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（一）为招标人不具有独立法人资格的附属机构（单位）；</w:t>
      </w:r>
    </w:p>
    <w:p w14:paraId="7AF3B55B">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（二）与招标人存在利害关系且可能影响招标公正性；</w:t>
      </w:r>
    </w:p>
    <w:p w14:paraId="72815E30">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（三）与本招标项目的其他投标人为同一个单位负责人；</w:t>
      </w:r>
    </w:p>
    <w:p w14:paraId="68075AA3">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（四）与本招标项目的其他投标人存在控股、管理关系；</w:t>
      </w:r>
    </w:p>
    <w:p w14:paraId="7D2CFB26">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（五）为本招标项目的代建人或建设管理单位；</w:t>
      </w:r>
    </w:p>
    <w:p w14:paraId="41ABDC23">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（六）为本招标项目的招标代理机构；</w:t>
      </w:r>
    </w:p>
    <w:p w14:paraId="792903F4">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（七）与本招标项目的代建人或招标代理机构同为一个法定代表人；</w:t>
      </w:r>
    </w:p>
    <w:p w14:paraId="35898E4B">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（八）与本招标项目的代建人或招标代理机构存在控股或参股关系；</w:t>
      </w:r>
    </w:p>
    <w:p w14:paraId="7924A763">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（九）与本招标项目的检测机构、建设、施工单位以及建筑材料、建筑构配件和设备供应商有隶属关系或者其他利害关系有隶属关系或者其他利害关系；</w:t>
      </w:r>
    </w:p>
    <w:p w14:paraId="0E36807F">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5BEC419B">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（十一）被责令停产停业、暂扣或者吊销许可证、暂扣或者吊销执照（本项事实应当以根据《中华人民共和国行政处罚法》依法作出并已生效的行政处罚决定为认定依据。）；</w:t>
      </w:r>
    </w:p>
    <w:p w14:paraId="119DBD5D">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（十二）进入清算程序，或被宣告破产，或其他丧失履约能力的情形；</w:t>
      </w:r>
    </w:p>
    <w:p w14:paraId="6B765B65">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在最近三年内有发生重大监理质量问题的（以相关行业主管部门的行政处罚决定或司法机关出具的有关法律文书为准。“最近三年”是指从投标截止时间之日起逆推三年，以相关行业主管部门、司法机关、仲裁机构出具的生效文件的落款时间起计算。）；</w:t>
      </w:r>
    </w:p>
    <w:p w14:paraId="369D1DE4">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（十四）法律法规或投标人须知前附表规定的其他情形。</w:t>
      </w:r>
    </w:p>
    <w:p w14:paraId="44907265">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748159DD">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五、本公司承诺，中标后严格执行安全生产相关管理规定。</w:t>
      </w:r>
    </w:p>
    <w:p w14:paraId="216176F0">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六、与本公司单位负责人为同一人或者与本公司存在控股、管理关系的其他单位包括：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。（注：本条由投标人如实填写，如有，应列出全部满足招标公告资质要求的相关单位的名称；如无，则填写“无”。）</w:t>
      </w:r>
    </w:p>
    <w:p w14:paraId="331C8E36">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七、本公司承诺所提供的银行保函、保证保险、专业工程担保公司担保（如有）真实、有效</w:t>
      </w:r>
    </w:p>
    <w:p w14:paraId="698869DB">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八、本公司积极响应广州市关于投身“百千万工程”的号召，主动参与政府投资类建设工程施工项目的建筑业结对帮扶等活动（市属国有企业投资项目参照执行）。</w:t>
      </w:r>
    </w:p>
    <w:p w14:paraId="3151F843">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九、本公司违反上述承诺，或本声明陈述与事实不符，经查实，本公司愿意接受公开通报，愿意按照广州市交通运输局有关信用评价管理有关规定，被记录为“不良交易行为信息”，承担由此带来的法律后果。</w:t>
      </w:r>
    </w:p>
    <w:p w14:paraId="30ADE5ED">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64F80C46">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p>
    <w:p w14:paraId="1AFBD5AA">
      <w:pPr>
        <w:keepNext w:val="0"/>
        <w:keepLines w:val="0"/>
        <w:pageBreakBefore w:val="0"/>
        <w:widowControl w:val="0"/>
        <w:kinsoku/>
        <w:wordWrap w:val="0"/>
        <w:overflowPunct/>
        <w:topLinePunct w:val="0"/>
        <w:autoSpaceDE/>
        <w:autoSpaceDN/>
        <w:bidi w:val="0"/>
        <w:adjustRightInd/>
        <w:snapToGrid/>
        <w:spacing w:line="360" w:lineRule="auto"/>
        <w:ind w:firstLine="484" w:firstLineChars="202"/>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声明企业：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(企业公章)</w:t>
      </w:r>
    </w:p>
    <w:p w14:paraId="2A891ADE">
      <w:pPr>
        <w:keepNext w:val="0"/>
        <w:keepLines w:val="0"/>
        <w:pageBreakBefore w:val="0"/>
        <w:widowControl w:val="0"/>
        <w:kinsoku/>
        <w:wordWrap w:val="0"/>
        <w:overflowPunct/>
        <w:topLinePunct w:val="0"/>
        <w:autoSpaceDE/>
        <w:autoSpaceDN/>
        <w:bidi w:val="0"/>
        <w:adjustRightInd/>
        <w:snapToGrid/>
        <w:spacing w:line="360" w:lineRule="auto"/>
        <w:ind w:firstLine="484" w:firstLineChars="202"/>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总监理工程师签字（或盖章）：</w:t>
      </w:r>
      <w:r>
        <w:rPr>
          <w:rFonts w:hint="eastAsia" w:ascii="宋体" w:hAnsi="宋体" w:eastAsia="宋体" w:cs="宋体"/>
          <w:color w:val="auto"/>
          <w:sz w:val="24"/>
          <w:szCs w:val="24"/>
          <w:highlight w:val="none"/>
          <w:u w:val="single"/>
        </w:rPr>
        <w:t xml:space="preserve">            </w:t>
      </w:r>
    </w:p>
    <w:p w14:paraId="68D87104">
      <w:pPr>
        <w:keepNext w:val="0"/>
        <w:keepLines w:val="0"/>
        <w:pageBreakBefore w:val="0"/>
        <w:widowControl w:val="0"/>
        <w:kinsoku/>
        <w:wordWrap w:val="0"/>
        <w:overflowPunct/>
        <w:topLinePunct w:val="0"/>
        <w:autoSpaceDE/>
        <w:autoSpaceDN/>
        <w:bidi w:val="0"/>
        <w:adjustRightInd/>
        <w:snapToGrid/>
        <w:spacing w:line="360" w:lineRule="auto"/>
        <w:ind w:firstLine="484" w:firstLineChars="202"/>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项目技术负责人签字（或盖章）：</w:t>
      </w:r>
      <w:r>
        <w:rPr>
          <w:rFonts w:hint="eastAsia" w:ascii="宋体" w:hAnsi="宋体" w:eastAsia="宋体" w:cs="宋体"/>
          <w:color w:val="auto"/>
          <w:sz w:val="24"/>
          <w:szCs w:val="24"/>
          <w:highlight w:val="none"/>
          <w:u w:val="single"/>
        </w:rPr>
        <w:t xml:space="preserve">            </w:t>
      </w:r>
    </w:p>
    <w:p w14:paraId="1866C08F">
      <w:pPr>
        <w:keepNext w:val="0"/>
        <w:keepLines w:val="0"/>
        <w:pageBreakBefore w:val="0"/>
        <w:widowControl w:val="0"/>
        <w:kinsoku/>
        <w:wordWrap w:val="0"/>
        <w:overflowPunct/>
        <w:topLinePunct w:val="0"/>
        <w:autoSpaceDE/>
        <w:autoSpaceDN/>
        <w:bidi w:val="0"/>
        <w:adjustRightInd/>
        <w:snapToGrid/>
        <w:spacing w:line="360" w:lineRule="auto"/>
        <w:ind w:firstLine="484" w:firstLineChars="202"/>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6BF1228A">
      <w:pPr>
        <w:keepNext/>
        <w:keepLines/>
        <w:wordWrap w:val="0"/>
        <w:spacing w:line="360" w:lineRule="auto"/>
        <w:outlineLvl w:val="2"/>
        <w:rPr>
          <w:rFonts w:hint="eastAsia" w:ascii="宋体" w:hAnsi="宋体" w:eastAsia="宋体" w:cs="宋体"/>
          <w:b/>
          <w:color w:val="auto"/>
          <w:sz w:val="28"/>
          <w:szCs w:val="20"/>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8"/>
          <w:szCs w:val="20"/>
          <w:highlight w:val="none"/>
        </w:rPr>
        <w:t>（六）投标人廉洁承诺书</w:t>
      </w:r>
    </w:p>
    <w:p w14:paraId="5837D941">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投标人廉洁承诺书</w:t>
      </w:r>
    </w:p>
    <w:p w14:paraId="49EBC5E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p>
    <w:p w14:paraId="75CA3D3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14:paraId="6A9A49B4">
      <w:pPr>
        <w:keepNext w:val="0"/>
        <w:keepLines w:val="0"/>
        <w:pageBreakBefore w:val="0"/>
        <w:widowControl/>
        <w:kinsoku/>
        <w:wordWrap/>
        <w:overflowPunct/>
        <w:topLinePunct w:val="0"/>
        <w:autoSpaceDE/>
        <w:autoSpaceDN/>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本公司参加了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投标，为确保招标工作的公平、公正、公开、有序进行，我们保证遵守《中华人民共和国招标投标法》、《中华人民共和国招标投标法实施条例》、《</w:t>
      </w:r>
      <w:r>
        <w:rPr>
          <w:rFonts w:hint="eastAsia" w:ascii="宋体" w:hAnsi="宋体" w:eastAsia="宋体" w:cs="宋体"/>
          <w:color w:val="auto"/>
          <w:sz w:val="24"/>
          <w:szCs w:val="24"/>
          <w:highlight w:val="none"/>
          <w:lang w:eastAsia="zh-CN"/>
        </w:rPr>
        <w:t>广东省实施〈中华人民共和国招标投标法〉办法</w:t>
      </w:r>
      <w:r>
        <w:rPr>
          <w:rFonts w:hint="eastAsia" w:ascii="宋体" w:hAnsi="宋体" w:eastAsia="宋体" w:cs="宋体"/>
          <w:color w:val="auto"/>
          <w:sz w:val="24"/>
          <w:szCs w:val="24"/>
          <w:highlight w:val="none"/>
        </w:rPr>
        <w:t>》等法律法规，特承诺如下事项：</w:t>
      </w:r>
    </w:p>
    <w:p w14:paraId="3C0A748E">
      <w:pPr>
        <w:keepNext w:val="0"/>
        <w:keepLines w:val="0"/>
        <w:pageBreakBefore w:val="0"/>
        <w:widowControl/>
        <w:kinsoku/>
        <w:wordWrap/>
        <w:overflowPunct/>
        <w:topLinePunct w:val="0"/>
        <w:autoSpaceDE/>
        <w:autoSpaceDN/>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一、自觉遵守国家有关法律法规及廉洁规定。</w:t>
      </w:r>
    </w:p>
    <w:p w14:paraId="78263038">
      <w:pPr>
        <w:keepNext w:val="0"/>
        <w:keepLines w:val="0"/>
        <w:pageBreakBefore w:val="0"/>
        <w:widowControl/>
        <w:kinsoku/>
        <w:wordWrap/>
        <w:overflowPunct/>
        <w:topLinePunct w:val="0"/>
        <w:autoSpaceDE/>
        <w:autoSpaceDN/>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二、不与招标单位工作人员串通投标，损害国家利益、企业利益以及他人的合法利益；</w:t>
      </w:r>
    </w:p>
    <w:p w14:paraId="6C14BCDE">
      <w:pPr>
        <w:keepNext w:val="0"/>
        <w:keepLines w:val="0"/>
        <w:pageBreakBefore w:val="0"/>
        <w:widowControl/>
        <w:kinsoku/>
        <w:wordWrap/>
        <w:overflowPunct/>
        <w:topLinePunct w:val="0"/>
        <w:autoSpaceDE/>
        <w:autoSpaceDN/>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三、不与其他单位围标、串标，不出让投标资格，不向招标人或评标委员会成员行贿。</w:t>
      </w:r>
    </w:p>
    <w:p w14:paraId="729E7978">
      <w:pPr>
        <w:keepNext w:val="0"/>
        <w:keepLines w:val="0"/>
        <w:pageBreakBefore w:val="0"/>
        <w:widowControl/>
        <w:kinsoku/>
        <w:wordWrap/>
        <w:overflowPunct/>
        <w:topLinePunct w:val="0"/>
        <w:autoSpaceDE/>
        <w:autoSpaceDN/>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四、不以任何名义向参与招标、评标工作的有关人员提供高消费宴请及娱乐活动和赠送回扣、红包、礼金、购物卡、有价证券、贵重物品和好处费、感谢费等； </w:t>
      </w:r>
    </w:p>
    <w:p w14:paraId="44A6F54B">
      <w:pPr>
        <w:keepNext w:val="0"/>
        <w:keepLines w:val="0"/>
        <w:pageBreakBefore w:val="0"/>
        <w:widowControl/>
        <w:kinsoku/>
        <w:wordWrap/>
        <w:overflowPunct/>
        <w:topLinePunct w:val="0"/>
        <w:autoSpaceDE/>
        <w:autoSpaceDN/>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五、不以任何名义为参与招标、评标工作的有关人员装修住房、婚丧嫁娶、配偶子女的工作安排以及境内外旅游等提供方便；</w:t>
      </w:r>
    </w:p>
    <w:p w14:paraId="541D0C18">
      <w:pPr>
        <w:keepNext w:val="0"/>
        <w:keepLines w:val="0"/>
        <w:pageBreakBefore w:val="0"/>
        <w:widowControl/>
        <w:kinsoku/>
        <w:wordWrap/>
        <w:overflowPunct/>
        <w:topLinePunct w:val="0"/>
        <w:autoSpaceDE/>
        <w:autoSpaceDN/>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六、不以谋取非正当利益为目的，擅自与参与招标、评标工作的有关人员就业务问题进行私下商谈或者达成利益默契。</w:t>
      </w:r>
    </w:p>
    <w:p w14:paraId="7965EA5A">
      <w:pPr>
        <w:keepNext w:val="0"/>
        <w:keepLines w:val="0"/>
        <w:pageBreakBefore w:val="0"/>
        <w:widowControl/>
        <w:kinsoku/>
        <w:wordWrap/>
        <w:overflowPunct/>
        <w:topLinePunct w:val="0"/>
        <w:autoSpaceDE/>
        <w:autoSpaceDN/>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本公司违反上述承诺，或本承诺陈述与事实不符，经查实，本公司愿意接受公开通报，被招标监管部门信用评价记录不良行为并扣分，并承担由此带来的法律后果。</w:t>
      </w:r>
    </w:p>
    <w:p w14:paraId="55DC85A4">
      <w:pPr>
        <w:keepNext w:val="0"/>
        <w:keepLines w:val="0"/>
        <w:pageBreakBefore w:val="0"/>
        <w:widowControl/>
        <w:kinsoku/>
        <w:wordWrap/>
        <w:overflowPunct/>
        <w:topLinePunct w:val="0"/>
        <w:autoSpaceDE/>
        <w:autoSpaceDN/>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rPr>
      </w:pPr>
    </w:p>
    <w:p w14:paraId="07FFC3AA">
      <w:pPr>
        <w:keepNext w:val="0"/>
        <w:keepLines w:val="0"/>
        <w:pageBreakBefore w:val="0"/>
        <w:widowControl/>
        <w:kinsoku/>
        <w:wordWrap/>
        <w:overflowPunct/>
        <w:topLinePunct w:val="0"/>
        <w:autoSpaceDE/>
        <w:autoSpaceDN/>
        <w:bidi w:val="0"/>
        <w:adjustRightInd/>
        <w:snapToGrid/>
        <w:spacing w:line="360" w:lineRule="auto"/>
        <w:ind w:firstLine="484" w:firstLineChars="202"/>
        <w:jc w:val="left"/>
        <w:textAlignment w:val="auto"/>
        <w:rPr>
          <w:rFonts w:hint="eastAsia" w:ascii="宋体" w:hAnsi="宋体" w:eastAsia="宋体" w:cs="宋体"/>
          <w:color w:val="auto"/>
          <w:sz w:val="24"/>
          <w:szCs w:val="24"/>
          <w:highlight w:val="none"/>
        </w:rPr>
      </w:pPr>
    </w:p>
    <w:p w14:paraId="3D4C023C">
      <w:pPr>
        <w:keepNext w:val="0"/>
        <w:keepLines w:val="0"/>
        <w:pageBreakBefore w:val="0"/>
        <w:widowControl/>
        <w:kinsoku/>
        <w:wordWrap/>
        <w:overflowPunct/>
        <w:topLinePunct w:val="0"/>
        <w:autoSpaceDE/>
        <w:autoSpaceDN/>
        <w:bidi w:val="0"/>
        <w:adjustRightInd/>
        <w:snapToGrid/>
        <w:spacing w:line="360" w:lineRule="auto"/>
        <w:ind w:firstLine="2400" w:firstLineChars="10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承诺企业：（盖单位章）</w:t>
      </w:r>
      <w:r>
        <w:rPr>
          <w:rFonts w:hint="eastAsia" w:ascii="宋体" w:hAnsi="宋体" w:eastAsia="宋体" w:cs="宋体"/>
          <w:color w:val="auto"/>
          <w:sz w:val="24"/>
          <w:szCs w:val="24"/>
          <w:highlight w:val="none"/>
          <w:u w:val="single"/>
        </w:rPr>
        <w:t xml:space="preserve">          </w:t>
      </w:r>
    </w:p>
    <w:p w14:paraId="160E513D">
      <w:pPr>
        <w:widowControl/>
        <w:jc w:val="left"/>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br w:type="page"/>
      </w:r>
    </w:p>
    <w:p w14:paraId="3A7B19A9">
      <w:pPr>
        <w:keepNext/>
        <w:keepLines/>
        <w:wordWrap w:val="0"/>
        <w:spacing w:line="360" w:lineRule="auto"/>
        <w:outlineLvl w:val="2"/>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t>（七）其他符合“投标人资格要求”规定的证明材料。</w:t>
      </w:r>
    </w:p>
    <w:p w14:paraId="1F943340">
      <w:pPr>
        <w:wordWrap w:val="0"/>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br w:type="page"/>
      </w:r>
      <w:r>
        <w:rPr>
          <w:rFonts w:hint="eastAsia" w:ascii="宋体" w:hAnsi="宋体" w:eastAsia="宋体" w:cs="宋体"/>
          <w:b/>
          <w:color w:val="auto"/>
          <w:sz w:val="32"/>
          <w:szCs w:val="20"/>
          <w:highlight w:val="none"/>
        </w:rPr>
        <w:t>七、监理大纲</w:t>
      </w:r>
      <w:bookmarkEnd w:id="532"/>
      <w:bookmarkEnd w:id="533"/>
      <w:bookmarkEnd w:id="534"/>
    </w:p>
    <w:p w14:paraId="137EE35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监理大纲应包括（但不限于）下列内容（投标单位可根据评分表自行增加或调整内容）：</w:t>
      </w:r>
    </w:p>
    <w:p w14:paraId="0A11C03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一、监理工程概况；</w:t>
      </w:r>
    </w:p>
    <w:p w14:paraId="66069ED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二、监理范围、监理内容；</w:t>
      </w:r>
    </w:p>
    <w:p w14:paraId="2708A12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三、监理依据、监理工作目标；</w:t>
      </w:r>
    </w:p>
    <w:p w14:paraId="111B497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四、监理机构设置（框图）、岗位职责；</w:t>
      </w:r>
    </w:p>
    <w:p w14:paraId="5EDDE3B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五、监理工作程序、方法和制度；</w:t>
      </w:r>
    </w:p>
    <w:p w14:paraId="0176F2D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六、拟投入的监理人员、试验检测仪器设备；</w:t>
      </w:r>
    </w:p>
    <w:p w14:paraId="4B4F4E3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七、质量、进度、造价、安全、文明施工、环保、绿色节能等各项监理措施； </w:t>
      </w:r>
    </w:p>
    <w:p w14:paraId="3C78769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八、合同、信息管理方案；</w:t>
      </w:r>
    </w:p>
    <w:p w14:paraId="746A3F4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九、组织协调内容及措施；</w:t>
      </w:r>
    </w:p>
    <w:p w14:paraId="2B0B022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十、监理工作重点、难点分析；</w:t>
      </w:r>
    </w:p>
    <w:p w14:paraId="605F61C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十一、对本工程投资控制措施；</w:t>
      </w:r>
    </w:p>
    <w:p w14:paraId="7BFF96A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十二、对本工程监理的合理化建议。</w:t>
      </w:r>
    </w:p>
    <w:p w14:paraId="1743BF9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1D1ACB5F">
      <w:pPr>
        <w:wordWrap w:val="0"/>
        <w:jc w:val="center"/>
        <w:outlineLvl w:val="1"/>
        <w:rPr>
          <w:rFonts w:hint="eastAsia" w:ascii="宋体" w:hAnsi="宋体" w:eastAsia="宋体" w:cs="宋体"/>
          <w:b/>
          <w:color w:val="auto"/>
          <w:sz w:val="32"/>
          <w:szCs w:val="20"/>
          <w:highlight w:val="none"/>
        </w:rPr>
      </w:pPr>
      <w:bookmarkStart w:id="535" w:name="_Toc526786524"/>
      <w:bookmarkStart w:id="536" w:name="_Toc13875"/>
      <w:r>
        <w:rPr>
          <w:rFonts w:hint="eastAsia" w:ascii="宋体" w:hAnsi="宋体" w:eastAsia="宋体" w:cs="宋体"/>
          <w:b/>
          <w:color w:val="auto"/>
          <w:sz w:val="32"/>
          <w:szCs w:val="20"/>
          <w:highlight w:val="none"/>
        </w:rPr>
        <w:br w:type="page"/>
      </w:r>
      <w:bookmarkStart w:id="537" w:name="_Toc59200727"/>
      <w:r>
        <w:rPr>
          <w:rFonts w:hint="eastAsia" w:ascii="宋体" w:hAnsi="宋体" w:eastAsia="宋体" w:cs="宋体"/>
          <w:b/>
          <w:color w:val="auto"/>
          <w:sz w:val="32"/>
          <w:szCs w:val="20"/>
          <w:highlight w:val="none"/>
        </w:rPr>
        <w:t>八、其他资料</w:t>
      </w:r>
      <w:bookmarkEnd w:id="535"/>
      <w:bookmarkEnd w:id="536"/>
      <w:bookmarkEnd w:id="537"/>
    </w:p>
    <w:p w14:paraId="219FD55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27F8AD1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投标人须知前附表规定的其他资料、投标人认为有必要提交的其他资料，格式自定。</w:t>
      </w:r>
    </w:p>
    <w:p w14:paraId="0A1614D2">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FBDDA2E">
      <w:pPr>
        <w:keepNext/>
        <w:keepLines/>
        <w:spacing w:line="360" w:lineRule="auto"/>
        <w:outlineLvl w:val="2"/>
        <w:rPr>
          <w:rFonts w:hint="eastAsia" w:ascii="宋体" w:hAnsi="宋体" w:eastAsia="宋体" w:cs="宋体"/>
          <w:b/>
          <w:strike w:val="0"/>
          <w:color w:val="auto"/>
          <w:kern w:val="0"/>
          <w:sz w:val="24"/>
          <w:szCs w:val="24"/>
          <w:highlight w:val="none"/>
          <w:lang w:val="zh-CN"/>
        </w:rPr>
      </w:pPr>
      <w:r>
        <w:rPr>
          <w:rFonts w:hint="eastAsia" w:ascii="宋体" w:hAnsi="宋体" w:eastAsia="宋体" w:cs="宋体"/>
          <w:b/>
          <w:strike w:val="0"/>
          <w:color w:val="auto"/>
          <w:kern w:val="0"/>
          <w:sz w:val="24"/>
          <w:szCs w:val="24"/>
          <w:highlight w:val="none"/>
          <w:lang w:val="zh-CN"/>
        </w:rPr>
        <w:t>（1）中小企业声明函（如有）</w:t>
      </w:r>
    </w:p>
    <w:p w14:paraId="4167F712">
      <w:pPr>
        <w:kinsoku w:val="0"/>
        <w:overflowPunct w:val="0"/>
        <w:spacing w:line="360" w:lineRule="auto"/>
        <w:jc w:val="center"/>
        <w:rPr>
          <w:rFonts w:hint="eastAsia" w:ascii="宋体" w:hAnsi="宋体" w:eastAsia="宋体" w:cs="宋体"/>
          <w:strike w:val="0"/>
          <w:color w:val="auto"/>
          <w:sz w:val="26"/>
          <w:szCs w:val="26"/>
          <w:highlight w:val="none"/>
        </w:rPr>
      </w:pPr>
      <w:r>
        <w:rPr>
          <w:rFonts w:hint="eastAsia" w:ascii="宋体" w:hAnsi="宋体" w:eastAsia="宋体" w:cs="宋体"/>
          <w:b/>
          <w:strike w:val="0"/>
          <w:color w:val="auto"/>
          <w:spacing w:val="2"/>
          <w:position w:val="-1"/>
          <w:sz w:val="32"/>
          <w:szCs w:val="32"/>
          <w:highlight w:val="none"/>
        </w:rPr>
        <w:t>中小企业声明函（如有）</w:t>
      </w:r>
    </w:p>
    <w:p w14:paraId="4C7E37A5">
      <w:pPr>
        <w:keepNext w:val="0"/>
        <w:keepLines w:val="0"/>
        <w:pageBreakBefore w:val="0"/>
        <w:kinsoku w:val="0"/>
        <w:wordWrap/>
        <w:overflowPunct w:val="0"/>
        <w:autoSpaceDE/>
        <w:autoSpaceDN/>
        <w:bidi w:val="0"/>
        <w:spacing w:line="360" w:lineRule="auto"/>
        <w:textAlignment w:val="auto"/>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致：</w:t>
      </w:r>
      <w:r>
        <w:rPr>
          <w:rFonts w:hint="eastAsia" w:ascii="宋体" w:hAnsi="宋体" w:eastAsia="宋体" w:cs="宋体"/>
          <w:strike w:val="0"/>
          <w:color w:val="auto"/>
          <w:sz w:val="24"/>
          <w:szCs w:val="24"/>
          <w:highlight w:val="none"/>
          <w:u w:val="single"/>
        </w:rPr>
        <w:t>（招标人）</w:t>
      </w:r>
    </w:p>
    <w:p w14:paraId="21298112">
      <w:pPr>
        <w:keepNext w:val="0"/>
        <w:keepLines w:val="0"/>
        <w:pageBreakBefore w:val="0"/>
        <w:kinsoku w:val="0"/>
        <w:wordWrap/>
        <w:overflowPunct w:val="0"/>
        <w:autoSpaceDE/>
        <w:autoSpaceDN/>
        <w:bidi w:val="0"/>
        <w:spacing w:line="360" w:lineRule="auto"/>
        <w:ind w:right="216" w:firstLine="460" w:firstLineChars="200"/>
        <w:textAlignment w:val="auto"/>
        <w:rPr>
          <w:rFonts w:hint="eastAsia" w:ascii="宋体" w:hAnsi="宋体" w:eastAsia="宋体" w:cs="宋体"/>
          <w:strike w:val="0"/>
          <w:color w:val="auto"/>
          <w:sz w:val="24"/>
          <w:szCs w:val="24"/>
          <w:highlight w:val="none"/>
        </w:rPr>
      </w:pPr>
      <w:r>
        <w:rPr>
          <w:rFonts w:hint="eastAsia" w:ascii="宋体" w:hAnsi="宋体" w:eastAsia="宋体" w:cs="宋体"/>
          <w:strike w:val="0"/>
          <w:color w:val="auto"/>
          <w:spacing w:val="-5"/>
          <w:sz w:val="24"/>
          <w:szCs w:val="24"/>
          <w:highlight w:val="none"/>
        </w:rPr>
        <w:t>本公司郑重声明，根据《政府采购促进中小企业发展管理办法》</w:t>
      </w:r>
      <w:r>
        <w:rPr>
          <w:rFonts w:hint="eastAsia" w:ascii="宋体" w:hAnsi="宋体" w:eastAsia="宋体" w:cs="宋体"/>
          <w:strike w:val="0"/>
          <w:color w:val="auto"/>
          <w:sz w:val="24"/>
          <w:szCs w:val="24"/>
          <w:highlight w:val="none"/>
        </w:rPr>
        <w:t>（财库﹝2020﹞46</w:t>
      </w:r>
      <w:r>
        <w:rPr>
          <w:rFonts w:hint="eastAsia" w:ascii="宋体" w:hAnsi="宋体" w:eastAsia="宋体" w:cs="宋体"/>
          <w:strike w:val="0"/>
          <w:color w:val="auto"/>
          <w:spacing w:val="-35"/>
          <w:sz w:val="24"/>
          <w:szCs w:val="24"/>
          <w:highlight w:val="none"/>
        </w:rPr>
        <w:t>号</w:t>
      </w:r>
      <w:r>
        <w:rPr>
          <w:rFonts w:hint="eastAsia" w:ascii="宋体" w:hAnsi="宋体" w:eastAsia="宋体" w:cs="宋体"/>
          <w:strike w:val="0"/>
          <w:color w:val="auto"/>
          <w:sz w:val="24"/>
          <w:szCs w:val="24"/>
          <w:highlight w:val="none"/>
        </w:rPr>
        <w:t>）的规定，本公司参加</w:t>
      </w:r>
      <w:r>
        <w:rPr>
          <w:rFonts w:hint="eastAsia" w:ascii="宋体" w:hAnsi="宋体" w:eastAsia="宋体" w:cs="宋体"/>
          <w:strike w:val="0"/>
          <w:color w:val="auto"/>
          <w:sz w:val="24"/>
          <w:szCs w:val="24"/>
          <w:highlight w:val="none"/>
          <w:u w:val="single"/>
        </w:rPr>
        <w:t>（招标人）</w:t>
      </w:r>
      <w:r>
        <w:rPr>
          <w:rFonts w:hint="eastAsia" w:ascii="宋体" w:hAnsi="宋体" w:eastAsia="宋体" w:cs="宋体"/>
          <w:strike w:val="0"/>
          <w:color w:val="auto"/>
          <w:sz w:val="24"/>
          <w:szCs w:val="24"/>
          <w:highlight w:val="none"/>
        </w:rPr>
        <w:t>的</w:t>
      </w:r>
      <w:r>
        <w:rPr>
          <w:rFonts w:hint="eastAsia" w:ascii="宋体" w:hAnsi="宋体" w:eastAsia="宋体" w:cs="宋体"/>
          <w:strike w:val="0"/>
          <w:color w:val="auto"/>
          <w:sz w:val="24"/>
          <w:szCs w:val="24"/>
          <w:highlight w:val="none"/>
          <w:u w:val="single"/>
        </w:rPr>
        <w:t>（项目名称）的</w:t>
      </w:r>
      <w:r>
        <w:rPr>
          <w:rFonts w:hint="eastAsia" w:ascii="宋体" w:hAnsi="宋体" w:eastAsia="宋体" w:cs="宋体"/>
          <w:strike w:val="0"/>
          <w:color w:val="auto"/>
          <w:sz w:val="24"/>
          <w:szCs w:val="24"/>
          <w:highlight w:val="none"/>
        </w:rPr>
        <w:t>招标活动，</w:t>
      </w:r>
      <w:r>
        <w:rPr>
          <w:rFonts w:hint="eastAsia" w:ascii="宋体" w:hAnsi="宋体" w:eastAsia="宋体" w:cs="宋体"/>
          <w:strike w:val="0"/>
          <w:color w:val="auto"/>
          <w:sz w:val="24"/>
          <w:szCs w:val="24"/>
          <w:highlight w:val="none"/>
          <w:u w:val="single"/>
          <w:lang w:bidi="ar"/>
        </w:rPr>
        <w:t>（投标人名称）</w:t>
      </w:r>
      <w:r>
        <w:rPr>
          <w:rFonts w:hint="eastAsia" w:ascii="宋体" w:hAnsi="宋体" w:eastAsia="宋体" w:cs="宋体"/>
          <w:strike w:val="0"/>
          <w:color w:val="auto"/>
          <w:sz w:val="24"/>
          <w:szCs w:val="24"/>
          <w:highlight w:val="none"/>
          <w:lang w:bidi="ar"/>
        </w:rPr>
        <w:t>为符合政策要求的中小企业。</w:t>
      </w:r>
      <w:r>
        <w:rPr>
          <w:rFonts w:hint="eastAsia" w:ascii="宋体" w:hAnsi="宋体" w:eastAsia="宋体" w:cs="宋体"/>
          <w:strike w:val="0"/>
          <w:color w:val="auto"/>
          <w:sz w:val="24"/>
          <w:szCs w:val="24"/>
          <w:highlight w:val="none"/>
        </w:rPr>
        <w:t>具体情况如下：</w:t>
      </w:r>
    </w:p>
    <w:p w14:paraId="504957FE">
      <w:pPr>
        <w:keepNext w:val="0"/>
        <w:keepLines w:val="0"/>
        <w:pageBreakBefore w:val="0"/>
        <w:kinsoku w:val="0"/>
        <w:wordWrap/>
        <w:overflowPunct w:val="0"/>
        <w:autoSpaceDE/>
        <w:autoSpaceDN/>
        <w:bidi w:val="0"/>
        <w:spacing w:line="360" w:lineRule="auto"/>
        <w:ind w:right="318" w:firstLine="480" w:firstLineChars="200"/>
        <w:textAlignment w:val="auto"/>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1.</w:t>
      </w:r>
      <w:r>
        <w:rPr>
          <w:rFonts w:hint="eastAsia" w:ascii="宋体" w:hAnsi="宋体" w:eastAsia="宋体" w:cs="宋体"/>
          <w:strike w:val="0"/>
          <w:color w:val="auto"/>
          <w:sz w:val="24"/>
          <w:szCs w:val="24"/>
          <w:highlight w:val="none"/>
          <w:u w:val="single"/>
        </w:rPr>
        <w:t>（</w:t>
      </w:r>
      <w:r>
        <w:rPr>
          <w:rFonts w:hint="eastAsia" w:ascii="宋体" w:hAnsi="宋体" w:eastAsia="宋体" w:cs="宋体"/>
          <w:strike w:val="0"/>
          <w:color w:val="auto"/>
          <w:spacing w:val="2"/>
          <w:sz w:val="24"/>
          <w:szCs w:val="24"/>
          <w:highlight w:val="none"/>
          <w:u w:val="single"/>
        </w:rPr>
        <w:t>标</w:t>
      </w:r>
      <w:r>
        <w:rPr>
          <w:rFonts w:hint="eastAsia" w:ascii="宋体" w:hAnsi="宋体" w:eastAsia="宋体" w:cs="宋体"/>
          <w:strike w:val="0"/>
          <w:color w:val="auto"/>
          <w:sz w:val="24"/>
          <w:szCs w:val="24"/>
          <w:highlight w:val="none"/>
          <w:u w:val="single"/>
        </w:rPr>
        <w:t>的名</w:t>
      </w:r>
      <w:r>
        <w:rPr>
          <w:rFonts w:hint="eastAsia" w:ascii="宋体" w:hAnsi="宋体" w:eastAsia="宋体" w:cs="宋体"/>
          <w:strike w:val="0"/>
          <w:color w:val="auto"/>
          <w:spacing w:val="2"/>
          <w:sz w:val="24"/>
          <w:szCs w:val="24"/>
          <w:highlight w:val="none"/>
          <w:u w:val="single"/>
        </w:rPr>
        <w:t>称</w:t>
      </w:r>
      <w:r>
        <w:rPr>
          <w:rFonts w:hint="eastAsia" w:ascii="宋体" w:hAnsi="宋体" w:eastAsia="宋体" w:cs="宋体"/>
          <w:strike w:val="0"/>
          <w:color w:val="auto"/>
          <w:sz w:val="24"/>
          <w:szCs w:val="24"/>
          <w:highlight w:val="none"/>
          <w:u w:val="single"/>
        </w:rPr>
        <w:t>）</w:t>
      </w:r>
      <w:r>
        <w:rPr>
          <w:rFonts w:hint="eastAsia" w:ascii="宋体" w:hAnsi="宋体" w:eastAsia="宋体" w:cs="宋体"/>
          <w:strike w:val="0"/>
          <w:color w:val="auto"/>
          <w:sz w:val="24"/>
          <w:szCs w:val="24"/>
          <w:highlight w:val="none"/>
        </w:rPr>
        <w:t>，</w:t>
      </w:r>
      <w:r>
        <w:rPr>
          <w:rFonts w:hint="eastAsia" w:ascii="宋体" w:hAnsi="宋体" w:eastAsia="宋体" w:cs="宋体"/>
          <w:strike w:val="0"/>
          <w:color w:val="auto"/>
          <w:spacing w:val="2"/>
          <w:sz w:val="24"/>
          <w:szCs w:val="24"/>
          <w:highlight w:val="none"/>
        </w:rPr>
        <w:t>属</w:t>
      </w:r>
      <w:r>
        <w:rPr>
          <w:rFonts w:hint="eastAsia" w:ascii="宋体" w:hAnsi="宋体" w:eastAsia="宋体" w:cs="宋体"/>
          <w:strike w:val="0"/>
          <w:color w:val="auto"/>
          <w:sz w:val="24"/>
          <w:szCs w:val="24"/>
          <w:highlight w:val="none"/>
        </w:rPr>
        <w:t>于</w:t>
      </w:r>
      <w:r>
        <w:rPr>
          <w:rFonts w:hint="eastAsia" w:ascii="宋体" w:hAnsi="宋体" w:eastAsia="宋体" w:cs="宋体"/>
          <w:strike w:val="0"/>
          <w:color w:val="auto"/>
          <w:sz w:val="24"/>
          <w:szCs w:val="24"/>
          <w:highlight w:val="none"/>
          <w:u w:val="single"/>
        </w:rPr>
        <w:t>中小企业划型标准规定的</w:t>
      </w:r>
      <w:r>
        <w:rPr>
          <w:rFonts w:hint="eastAsia" w:ascii="宋体" w:hAnsi="宋体" w:eastAsia="宋体" w:cs="宋体"/>
          <w:b/>
          <w:strike w:val="0"/>
          <w:color w:val="auto"/>
          <w:sz w:val="24"/>
          <w:szCs w:val="24"/>
          <w:highlight w:val="none"/>
          <w:u w:val="single"/>
        </w:rPr>
        <w:t>其他未列明行业</w:t>
      </w:r>
      <w:r>
        <w:rPr>
          <w:rFonts w:hint="eastAsia" w:ascii="宋体" w:hAnsi="宋体" w:eastAsia="宋体" w:cs="宋体"/>
          <w:strike w:val="0"/>
          <w:color w:val="auto"/>
          <w:sz w:val="24"/>
          <w:szCs w:val="24"/>
          <w:highlight w:val="none"/>
        </w:rPr>
        <w:t>；承</w:t>
      </w:r>
      <w:r>
        <w:rPr>
          <w:rFonts w:hint="eastAsia" w:ascii="宋体" w:hAnsi="宋体" w:eastAsia="宋体" w:cs="宋体"/>
          <w:strike w:val="0"/>
          <w:color w:val="auto"/>
          <w:spacing w:val="2"/>
          <w:sz w:val="24"/>
          <w:szCs w:val="24"/>
          <w:highlight w:val="none"/>
        </w:rPr>
        <w:t>接</w:t>
      </w:r>
      <w:r>
        <w:rPr>
          <w:rFonts w:hint="eastAsia" w:ascii="宋体" w:hAnsi="宋体" w:eastAsia="宋体" w:cs="宋体"/>
          <w:strike w:val="0"/>
          <w:color w:val="auto"/>
          <w:sz w:val="24"/>
          <w:szCs w:val="24"/>
          <w:highlight w:val="none"/>
        </w:rPr>
        <w:t>企</w:t>
      </w:r>
      <w:r>
        <w:rPr>
          <w:rFonts w:hint="eastAsia" w:ascii="宋体" w:hAnsi="宋体" w:eastAsia="宋体" w:cs="宋体"/>
          <w:strike w:val="0"/>
          <w:color w:val="auto"/>
          <w:spacing w:val="2"/>
          <w:sz w:val="24"/>
          <w:szCs w:val="24"/>
          <w:highlight w:val="none"/>
        </w:rPr>
        <w:t>业</w:t>
      </w:r>
      <w:r>
        <w:rPr>
          <w:rFonts w:hint="eastAsia" w:ascii="宋体" w:hAnsi="宋体" w:eastAsia="宋体" w:cs="宋体"/>
          <w:strike w:val="0"/>
          <w:color w:val="auto"/>
          <w:sz w:val="24"/>
          <w:szCs w:val="24"/>
          <w:highlight w:val="none"/>
        </w:rPr>
        <w:t>为</w:t>
      </w:r>
      <w:r>
        <w:rPr>
          <w:rFonts w:hint="eastAsia" w:ascii="宋体" w:hAnsi="宋体" w:eastAsia="宋体" w:cs="宋体"/>
          <w:strike w:val="0"/>
          <w:color w:val="auto"/>
          <w:sz w:val="24"/>
          <w:szCs w:val="24"/>
          <w:highlight w:val="none"/>
          <w:u w:val="single"/>
        </w:rPr>
        <w:t>（</w:t>
      </w:r>
      <w:r>
        <w:rPr>
          <w:rFonts w:hint="eastAsia" w:ascii="宋体" w:hAnsi="宋体" w:eastAsia="宋体" w:cs="宋体"/>
          <w:strike w:val="0"/>
          <w:color w:val="auto"/>
          <w:spacing w:val="2"/>
          <w:sz w:val="24"/>
          <w:szCs w:val="24"/>
          <w:highlight w:val="none"/>
          <w:u w:val="single"/>
        </w:rPr>
        <w:t>企</w:t>
      </w:r>
      <w:r>
        <w:rPr>
          <w:rFonts w:hint="eastAsia" w:ascii="宋体" w:hAnsi="宋体" w:eastAsia="宋体" w:cs="宋体"/>
          <w:strike w:val="0"/>
          <w:color w:val="auto"/>
          <w:sz w:val="24"/>
          <w:szCs w:val="24"/>
          <w:highlight w:val="none"/>
          <w:u w:val="single"/>
        </w:rPr>
        <w:t>业名</w:t>
      </w:r>
      <w:r>
        <w:rPr>
          <w:rFonts w:hint="eastAsia" w:ascii="宋体" w:hAnsi="宋体" w:eastAsia="宋体" w:cs="宋体"/>
          <w:strike w:val="0"/>
          <w:color w:val="auto"/>
          <w:spacing w:val="2"/>
          <w:sz w:val="24"/>
          <w:szCs w:val="24"/>
          <w:highlight w:val="none"/>
          <w:u w:val="single"/>
        </w:rPr>
        <w:t>称</w:t>
      </w:r>
      <w:r>
        <w:rPr>
          <w:rFonts w:hint="eastAsia" w:ascii="宋体" w:hAnsi="宋体" w:eastAsia="宋体" w:cs="宋体"/>
          <w:strike w:val="0"/>
          <w:color w:val="auto"/>
          <w:sz w:val="24"/>
          <w:szCs w:val="24"/>
          <w:highlight w:val="none"/>
          <w:u w:val="single"/>
        </w:rPr>
        <w:t>）</w:t>
      </w:r>
      <w:r>
        <w:rPr>
          <w:rFonts w:hint="eastAsia" w:ascii="宋体" w:hAnsi="宋体" w:eastAsia="宋体" w:cs="宋体"/>
          <w:strike w:val="0"/>
          <w:color w:val="auto"/>
          <w:sz w:val="24"/>
          <w:szCs w:val="24"/>
          <w:highlight w:val="none"/>
        </w:rPr>
        <w:t>，</w:t>
      </w:r>
      <w:r>
        <w:rPr>
          <w:rFonts w:hint="eastAsia" w:ascii="宋体" w:hAnsi="宋体" w:eastAsia="宋体" w:cs="宋体"/>
          <w:strike w:val="0"/>
          <w:color w:val="auto"/>
          <w:spacing w:val="2"/>
          <w:sz w:val="24"/>
          <w:szCs w:val="24"/>
          <w:highlight w:val="none"/>
        </w:rPr>
        <w:t>从</w:t>
      </w:r>
      <w:r>
        <w:rPr>
          <w:rFonts w:hint="eastAsia" w:ascii="宋体" w:hAnsi="宋体" w:eastAsia="宋体" w:cs="宋体"/>
          <w:strike w:val="0"/>
          <w:color w:val="auto"/>
          <w:sz w:val="24"/>
          <w:szCs w:val="24"/>
          <w:highlight w:val="none"/>
        </w:rPr>
        <w:t>业人员</w:t>
      </w:r>
      <w:r>
        <w:rPr>
          <w:rFonts w:hint="eastAsia" w:ascii="宋体" w:hAnsi="宋体" w:eastAsia="宋体" w:cs="宋体"/>
          <w:strike w:val="0"/>
          <w:color w:val="auto"/>
          <w:sz w:val="24"/>
          <w:szCs w:val="24"/>
          <w:highlight w:val="none"/>
          <w:u w:val="single"/>
        </w:rPr>
        <w:tab/>
      </w:r>
      <w:r>
        <w:rPr>
          <w:rFonts w:hint="eastAsia" w:ascii="宋体" w:hAnsi="宋体" w:eastAsia="宋体" w:cs="宋体"/>
          <w:strike w:val="0"/>
          <w:color w:val="auto"/>
          <w:sz w:val="24"/>
          <w:szCs w:val="24"/>
          <w:highlight w:val="none"/>
          <w:u w:val="single"/>
        </w:rPr>
        <w:t xml:space="preserve">  </w:t>
      </w:r>
      <w:r>
        <w:rPr>
          <w:rFonts w:hint="eastAsia" w:ascii="宋体" w:hAnsi="宋体" w:eastAsia="宋体" w:cs="宋体"/>
          <w:strike w:val="0"/>
          <w:color w:val="auto"/>
          <w:sz w:val="24"/>
          <w:szCs w:val="24"/>
          <w:highlight w:val="none"/>
        </w:rPr>
        <w:t>人</w:t>
      </w:r>
      <w:r>
        <w:rPr>
          <w:rFonts w:hint="eastAsia" w:ascii="宋体" w:hAnsi="宋体" w:eastAsia="宋体" w:cs="宋体"/>
          <w:strike w:val="0"/>
          <w:color w:val="auto"/>
          <w:spacing w:val="-1"/>
          <w:sz w:val="24"/>
          <w:szCs w:val="24"/>
          <w:highlight w:val="none"/>
        </w:rPr>
        <w:t>，</w:t>
      </w:r>
      <w:r>
        <w:rPr>
          <w:rFonts w:hint="eastAsia" w:ascii="宋体" w:hAnsi="宋体" w:eastAsia="宋体" w:cs="宋体"/>
          <w:strike w:val="0"/>
          <w:color w:val="auto"/>
          <w:sz w:val="24"/>
          <w:szCs w:val="24"/>
          <w:highlight w:val="none"/>
        </w:rPr>
        <w:t>属于</w:t>
      </w:r>
      <w:r>
        <w:rPr>
          <w:rFonts w:hint="eastAsia" w:ascii="宋体" w:hAnsi="宋体" w:eastAsia="宋体" w:cs="宋体"/>
          <w:strike w:val="0"/>
          <w:color w:val="auto"/>
          <w:sz w:val="24"/>
          <w:szCs w:val="24"/>
          <w:highlight w:val="none"/>
          <w:u w:val="single"/>
        </w:rPr>
        <w:t>（小型企业、微型企业）</w:t>
      </w:r>
      <w:r>
        <w:rPr>
          <w:rFonts w:hint="eastAsia" w:ascii="宋体" w:hAnsi="宋体" w:eastAsia="宋体" w:cs="宋体"/>
          <w:strike w:val="0"/>
          <w:color w:val="auto"/>
          <w:sz w:val="24"/>
          <w:szCs w:val="24"/>
          <w:highlight w:val="none"/>
        </w:rPr>
        <w:t>。</w:t>
      </w:r>
    </w:p>
    <w:p w14:paraId="26D3F067">
      <w:pPr>
        <w:keepNext w:val="0"/>
        <w:keepLines w:val="0"/>
        <w:pageBreakBefore w:val="0"/>
        <w:kinsoku w:val="0"/>
        <w:wordWrap/>
        <w:overflowPunct w:val="0"/>
        <w:autoSpaceDE/>
        <w:autoSpaceDN/>
        <w:bidi w:val="0"/>
        <w:spacing w:line="360" w:lineRule="auto"/>
        <w:ind w:right="321" w:firstLine="480" w:firstLineChars="200"/>
        <w:textAlignment w:val="auto"/>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以上企业，不属于大企业的分支机构，不存在控股股东为大企业的情形，也不存在与大企业的负责人为同一人的情形。</w:t>
      </w:r>
    </w:p>
    <w:p w14:paraId="2BBA6374">
      <w:pPr>
        <w:keepNext w:val="0"/>
        <w:keepLines w:val="0"/>
        <w:pageBreakBefore w:val="0"/>
        <w:kinsoku w:val="0"/>
        <w:wordWrap/>
        <w:overflowPunct w:val="0"/>
        <w:autoSpaceDE/>
        <w:autoSpaceDN/>
        <w:bidi w:val="0"/>
        <w:spacing w:line="360" w:lineRule="auto"/>
        <w:ind w:firstLine="480" w:firstLineChars="200"/>
        <w:textAlignment w:val="auto"/>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本企业对上述声明内容的真实性负责。如有虚假，将依法承担相应责任。</w:t>
      </w:r>
    </w:p>
    <w:p w14:paraId="28863049">
      <w:pPr>
        <w:keepNext w:val="0"/>
        <w:keepLines w:val="0"/>
        <w:pageBreakBefore w:val="0"/>
        <w:widowControl/>
        <w:shd w:val="clear" w:color="auto" w:fill="FFFFFF"/>
        <w:wordWrap/>
        <w:autoSpaceDE/>
        <w:autoSpaceDN/>
        <w:bidi w:val="0"/>
        <w:spacing w:line="360" w:lineRule="auto"/>
        <w:ind w:firstLine="3780"/>
        <w:textAlignment w:val="auto"/>
        <w:rPr>
          <w:rFonts w:hint="eastAsia" w:ascii="宋体" w:hAnsi="宋体" w:eastAsia="宋体" w:cs="宋体"/>
          <w:strike w:val="0"/>
          <w:color w:val="auto"/>
          <w:kern w:val="0"/>
          <w:sz w:val="24"/>
          <w:szCs w:val="24"/>
          <w:highlight w:val="none"/>
        </w:rPr>
      </w:pPr>
      <w:r>
        <w:rPr>
          <w:rFonts w:hint="eastAsia" w:ascii="宋体" w:hAnsi="宋体" w:eastAsia="宋体" w:cs="宋体"/>
          <w:strike w:val="0"/>
          <w:color w:val="auto"/>
          <w:kern w:val="0"/>
          <w:sz w:val="24"/>
          <w:szCs w:val="24"/>
          <w:highlight w:val="none"/>
        </w:rPr>
        <w:t xml:space="preserve"> </w:t>
      </w:r>
    </w:p>
    <w:p w14:paraId="3EF71D83">
      <w:pPr>
        <w:keepNext w:val="0"/>
        <w:keepLines w:val="0"/>
        <w:pageBreakBefore w:val="0"/>
        <w:wordWrap/>
        <w:topLinePunct/>
        <w:autoSpaceDE/>
        <w:autoSpaceDN/>
        <w:bidi w:val="0"/>
        <w:adjustRightInd w:val="0"/>
        <w:snapToGrid w:val="0"/>
        <w:spacing w:line="360" w:lineRule="auto"/>
        <w:textAlignment w:val="auto"/>
        <w:rPr>
          <w:rFonts w:hint="eastAsia" w:ascii="宋体" w:hAnsi="宋体" w:eastAsia="宋体" w:cs="宋体"/>
          <w:strike w:val="0"/>
          <w:snapToGrid w:val="0"/>
          <w:color w:val="auto"/>
          <w:spacing w:val="4"/>
          <w:kern w:val="0"/>
          <w:sz w:val="24"/>
          <w:szCs w:val="24"/>
          <w:highlight w:val="none"/>
        </w:rPr>
      </w:pPr>
      <w:r>
        <w:rPr>
          <w:rFonts w:hint="eastAsia" w:ascii="宋体" w:hAnsi="宋体" w:eastAsia="宋体" w:cs="宋体"/>
          <w:strike w:val="0"/>
          <w:snapToGrid w:val="0"/>
          <w:color w:val="auto"/>
          <w:spacing w:val="4"/>
          <w:kern w:val="0"/>
          <w:sz w:val="24"/>
          <w:szCs w:val="24"/>
          <w:highlight w:val="none"/>
        </w:rPr>
        <w:t>投 标 人</w:t>
      </w:r>
      <w:r>
        <w:rPr>
          <w:rFonts w:hint="eastAsia" w:ascii="宋体" w:hAnsi="宋体" w:eastAsia="宋体" w:cs="宋体"/>
          <w:strike w:val="0"/>
          <w:color w:val="auto"/>
          <w:sz w:val="24"/>
          <w:szCs w:val="24"/>
          <w:highlight w:val="none"/>
        </w:rPr>
        <w:t>（盖单位章）</w:t>
      </w:r>
      <w:r>
        <w:rPr>
          <w:rFonts w:hint="eastAsia" w:ascii="宋体" w:hAnsi="宋体" w:eastAsia="宋体" w:cs="宋体"/>
          <w:strike w:val="0"/>
          <w:snapToGrid w:val="0"/>
          <w:color w:val="auto"/>
          <w:spacing w:val="4"/>
          <w:kern w:val="0"/>
          <w:sz w:val="24"/>
          <w:szCs w:val="24"/>
          <w:highlight w:val="none"/>
        </w:rPr>
        <w:t>：</w:t>
      </w:r>
    </w:p>
    <w:p w14:paraId="2933FEE3">
      <w:pPr>
        <w:keepNext w:val="0"/>
        <w:keepLines w:val="0"/>
        <w:pageBreakBefore w:val="0"/>
        <w:wordWrap/>
        <w:autoSpaceDE/>
        <w:autoSpaceDN/>
        <w:bidi w:val="0"/>
        <w:spacing w:line="360" w:lineRule="auto"/>
        <w:jc w:val="left"/>
        <w:textAlignment w:val="auto"/>
        <w:rPr>
          <w:rFonts w:hint="eastAsia" w:ascii="宋体" w:hAnsi="宋体" w:eastAsia="宋体" w:cs="宋体"/>
          <w:strike w:val="0"/>
          <w:snapToGrid w:val="0"/>
          <w:color w:val="auto"/>
          <w:spacing w:val="4"/>
          <w:kern w:val="0"/>
          <w:sz w:val="24"/>
          <w:szCs w:val="24"/>
          <w:highlight w:val="none"/>
        </w:rPr>
      </w:pPr>
      <w:r>
        <w:rPr>
          <w:rFonts w:hint="eastAsia" w:ascii="宋体" w:hAnsi="宋体" w:eastAsia="宋体" w:cs="宋体"/>
          <w:strike w:val="0"/>
          <w:snapToGrid w:val="0"/>
          <w:color w:val="auto"/>
          <w:spacing w:val="4"/>
          <w:kern w:val="0"/>
          <w:sz w:val="24"/>
          <w:szCs w:val="24"/>
          <w:highlight w:val="none"/>
        </w:rPr>
        <w:t>日    期：</w:t>
      </w:r>
    </w:p>
    <w:p w14:paraId="4AC60B34">
      <w:pPr>
        <w:keepNext w:val="0"/>
        <w:keepLines w:val="0"/>
        <w:pageBreakBefore w:val="0"/>
        <w:wordWrap/>
        <w:autoSpaceDE/>
        <w:autoSpaceDN/>
        <w:bidi w:val="0"/>
        <w:spacing w:line="360" w:lineRule="auto"/>
        <w:jc w:val="left"/>
        <w:textAlignment w:val="auto"/>
        <w:rPr>
          <w:rFonts w:hint="eastAsia" w:ascii="宋体" w:hAnsi="宋体" w:eastAsia="宋体" w:cs="宋体"/>
          <w:strike w:val="0"/>
          <w:color w:val="auto"/>
          <w:sz w:val="24"/>
          <w:szCs w:val="24"/>
          <w:highlight w:val="none"/>
        </w:rPr>
      </w:pPr>
    </w:p>
    <w:p w14:paraId="2AA8A155">
      <w:pPr>
        <w:keepNext w:val="0"/>
        <w:keepLines w:val="0"/>
        <w:pageBreakBefore w:val="0"/>
        <w:wordWrap/>
        <w:autoSpaceDE/>
        <w:autoSpaceDN/>
        <w:bidi w:val="0"/>
        <w:spacing w:line="360" w:lineRule="auto"/>
        <w:ind w:firstLine="480" w:firstLineChars="200"/>
        <w:textAlignment w:val="auto"/>
        <w:rPr>
          <w:rFonts w:hint="eastAsia" w:ascii="宋体" w:hAnsi="宋体" w:eastAsia="宋体" w:cs="宋体"/>
          <w:strike w:val="0"/>
          <w:color w:val="auto"/>
          <w:sz w:val="24"/>
          <w:szCs w:val="24"/>
          <w:highlight w:val="none"/>
        </w:rPr>
      </w:pPr>
    </w:p>
    <w:p w14:paraId="224212BF">
      <w:pPr>
        <w:keepNext w:val="0"/>
        <w:keepLines w:val="0"/>
        <w:pageBreakBefore w:val="0"/>
        <w:wordWrap/>
        <w:autoSpaceDE/>
        <w:autoSpaceDN/>
        <w:bidi w:val="0"/>
        <w:spacing w:line="360" w:lineRule="auto"/>
        <w:ind w:firstLine="480" w:firstLineChars="200"/>
        <w:textAlignment w:val="auto"/>
        <w:rPr>
          <w:rFonts w:hint="eastAsia" w:ascii="宋体" w:hAnsi="宋体" w:eastAsia="宋体" w:cs="宋体"/>
          <w:strike w:val="0"/>
          <w:color w:val="auto"/>
          <w:sz w:val="24"/>
          <w:szCs w:val="24"/>
          <w:highlight w:val="none"/>
        </w:rPr>
      </w:pPr>
    </w:p>
    <w:p w14:paraId="5BD5ED32">
      <w:pPr>
        <w:wordWrap w:val="0"/>
        <w:topLinePunct/>
        <w:spacing w:line="276" w:lineRule="auto"/>
        <w:jc w:val="left"/>
        <w:rPr>
          <w:rFonts w:hint="eastAsia" w:ascii="宋体" w:hAnsi="宋体" w:eastAsia="宋体" w:cs="宋体"/>
          <w:strike w:val="0"/>
          <w:color w:val="auto"/>
          <w:szCs w:val="21"/>
          <w:highlight w:val="none"/>
          <w:u w:val="single"/>
        </w:rPr>
      </w:pPr>
      <w:r>
        <w:rPr>
          <w:rFonts w:hint="eastAsia" w:ascii="宋体" w:hAnsi="宋体" w:eastAsia="宋体" w:cs="宋体"/>
          <w:strike w:val="0"/>
          <w:color w:val="auto"/>
          <w:szCs w:val="21"/>
          <w:highlight w:val="none"/>
          <w:u w:val="single"/>
        </w:rPr>
        <w:t>注：</w:t>
      </w:r>
    </w:p>
    <w:p w14:paraId="38F97FC4">
      <w:pPr>
        <w:wordWrap w:val="0"/>
        <w:topLinePunct/>
        <w:spacing w:line="276" w:lineRule="auto"/>
        <w:jc w:val="left"/>
        <w:rPr>
          <w:rFonts w:hint="eastAsia" w:ascii="宋体" w:hAnsi="宋体" w:eastAsia="宋体" w:cs="宋体"/>
          <w:strike w:val="0"/>
          <w:color w:val="auto"/>
          <w:szCs w:val="21"/>
          <w:highlight w:val="none"/>
          <w:u w:val="single"/>
        </w:rPr>
      </w:pPr>
      <w:r>
        <w:rPr>
          <w:rFonts w:hint="eastAsia" w:ascii="宋体" w:hAnsi="宋体" w:eastAsia="宋体" w:cs="宋体"/>
          <w:strike w:val="0"/>
          <w:color w:val="auto"/>
          <w:szCs w:val="21"/>
          <w:highlight w:val="none"/>
          <w:u w:val="single"/>
        </w:rPr>
        <w:t>1.从业人员填报上一年度数据，无上一年度数据的新成立企业可不填报。</w:t>
      </w:r>
    </w:p>
    <w:p w14:paraId="56A74B8F">
      <w:pPr>
        <w:wordWrap w:val="0"/>
        <w:topLinePunct/>
        <w:spacing w:line="276" w:lineRule="auto"/>
        <w:rPr>
          <w:rFonts w:hint="eastAsia" w:ascii="宋体" w:hAnsi="宋体" w:eastAsia="宋体" w:cs="宋体"/>
          <w:strike w:val="0"/>
          <w:color w:val="auto"/>
          <w:szCs w:val="21"/>
          <w:highlight w:val="none"/>
          <w:u w:val="single"/>
        </w:rPr>
      </w:pPr>
      <w:r>
        <w:rPr>
          <w:rFonts w:hint="eastAsia" w:ascii="宋体" w:hAnsi="宋体" w:eastAsia="宋体" w:cs="宋体"/>
          <w:strike w:val="0"/>
          <w:color w:val="auto"/>
          <w:szCs w:val="21"/>
          <w:highlight w:val="none"/>
          <w:u w:val="single"/>
        </w:rPr>
        <w:t>2.投标人可参考《广东省财政厅关于进一步规范政府采购活动中落实促进中小企业发展政策的通知（粤财采购〔2024〕11号）》（http://czt.gd.gov.cn/zfcg/content/post_4497011.html）、《广州市政府采购中心关于规范填写《中小企业声明函》的温馨提示》（集团公告 - 详情页  https://www.gzggzy.cn/jtgg/1001279.jhtml）填写，《中小企业声明函》由参加招投标活动的</w:t>
      </w:r>
      <w:r>
        <w:rPr>
          <w:rFonts w:hint="eastAsia" w:ascii="宋体" w:hAnsi="宋体" w:eastAsia="宋体" w:cs="宋体"/>
          <w:b/>
          <w:strike w:val="0"/>
          <w:color w:val="auto"/>
          <w:szCs w:val="21"/>
          <w:highlight w:val="none"/>
          <w:u w:val="single"/>
        </w:rPr>
        <w:t>投标人</w:t>
      </w:r>
      <w:r>
        <w:rPr>
          <w:rFonts w:hint="eastAsia" w:ascii="宋体" w:hAnsi="宋体" w:eastAsia="宋体" w:cs="宋体"/>
          <w:strike w:val="0"/>
          <w:color w:val="auto"/>
          <w:szCs w:val="21"/>
          <w:highlight w:val="none"/>
          <w:u w:val="single"/>
        </w:rPr>
        <w:t>出具。</w:t>
      </w:r>
    </w:p>
    <w:p w14:paraId="6B0A801E">
      <w:pPr>
        <w:widowControl/>
        <w:spacing w:line="276" w:lineRule="auto"/>
        <w:jc w:val="left"/>
        <w:rPr>
          <w:rFonts w:hint="eastAsia" w:ascii="宋体" w:hAnsi="宋体" w:eastAsia="宋体" w:cs="宋体"/>
          <w:strike w:val="0"/>
          <w:color w:val="auto"/>
          <w:szCs w:val="21"/>
          <w:highlight w:val="none"/>
          <w:u w:val="single"/>
        </w:rPr>
      </w:pPr>
      <w:r>
        <w:rPr>
          <w:rFonts w:hint="eastAsia" w:ascii="宋体" w:hAnsi="宋体" w:eastAsia="宋体" w:cs="宋体"/>
          <w:strike w:val="0"/>
          <w:color w:val="auto"/>
          <w:szCs w:val="21"/>
          <w:highlight w:val="none"/>
          <w:u w:val="single"/>
        </w:rPr>
        <w:t>3.投标人应当自行核实是否属于小微企业，并认真填写中小企业声明函，若有虚假将追究其责任。</w:t>
      </w:r>
    </w:p>
    <w:p w14:paraId="0CE1F091">
      <w:pPr>
        <w:widowControl/>
        <w:spacing w:line="276" w:lineRule="auto"/>
        <w:jc w:val="left"/>
        <w:rPr>
          <w:rFonts w:hint="eastAsia" w:ascii="宋体" w:hAnsi="宋体" w:eastAsia="宋体" w:cs="宋体"/>
          <w:strike w:val="0"/>
          <w:color w:val="auto"/>
          <w:szCs w:val="21"/>
          <w:highlight w:val="none"/>
          <w:u w:val="single"/>
          <w:lang w:val="zh-CN"/>
        </w:rPr>
      </w:pPr>
      <w:r>
        <w:rPr>
          <w:rFonts w:hint="eastAsia" w:ascii="宋体" w:hAnsi="宋体" w:eastAsia="宋体" w:cs="宋体"/>
          <w:strike w:val="0"/>
          <w:color w:val="auto"/>
          <w:szCs w:val="21"/>
          <w:highlight w:val="none"/>
          <w:u w:val="single"/>
        </w:rPr>
        <w:t>4.《中小企业声明函》，只作为报价评审优惠依据，不作为否决投标条款。</w:t>
      </w:r>
    </w:p>
    <w:p w14:paraId="52D6B348">
      <w:pPr>
        <w:widowControl/>
        <w:jc w:val="left"/>
        <w:rPr>
          <w:rFonts w:hint="eastAsia" w:ascii="宋体" w:hAnsi="宋体" w:eastAsia="宋体" w:cs="宋体"/>
          <w:strike w:val="0"/>
          <w:color w:val="auto"/>
          <w:szCs w:val="21"/>
          <w:highlight w:val="none"/>
          <w:lang w:val="zh-CN"/>
        </w:rPr>
      </w:pPr>
      <w:r>
        <w:rPr>
          <w:rFonts w:hint="eastAsia" w:ascii="宋体" w:hAnsi="宋体" w:eastAsia="宋体" w:cs="宋体"/>
          <w:strike w:val="0"/>
          <w:color w:val="auto"/>
          <w:szCs w:val="21"/>
          <w:highlight w:val="none"/>
          <w:lang w:val="zh-CN"/>
        </w:rPr>
        <w:br w:type="page"/>
      </w:r>
    </w:p>
    <w:p w14:paraId="11A8AB60">
      <w:pPr>
        <w:keepNext/>
        <w:keepLines/>
        <w:spacing w:line="360" w:lineRule="auto"/>
        <w:outlineLvl w:val="2"/>
        <w:rPr>
          <w:rFonts w:hint="eastAsia" w:ascii="宋体" w:hAnsi="宋体" w:eastAsia="宋体" w:cs="宋体"/>
          <w:b/>
          <w:strike w:val="0"/>
          <w:color w:val="auto"/>
          <w:kern w:val="0"/>
          <w:sz w:val="24"/>
          <w:szCs w:val="24"/>
          <w:highlight w:val="none"/>
          <w:lang w:val="zh-CN"/>
        </w:rPr>
      </w:pPr>
      <w:r>
        <w:rPr>
          <w:rFonts w:hint="eastAsia" w:ascii="宋体" w:hAnsi="宋体" w:eastAsia="宋体" w:cs="宋体"/>
          <w:b/>
          <w:strike w:val="0"/>
          <w:color w:val="auto"/>
          <w:kern w:val="0"/>
          <w:sz w:val="24"/>
          <w:szCs w:val="24"/>
          <w:highlight w:val="none"/>
          <w:lang w:val="zh-CN"/>
        </w:rPr>
        <w:t>（2）监狱企业证明文件（如有）</w:t>
      </w:r>
    </w:p>
    <w:p w14:paraId="0EC329AA">
      <w:pPr>
        <w:widowControl/>
        <w:jc w:val="left"/>
        <w:rPr>
          <w:rFonts w:hint="eastAsia" w:ascii="宋体" w:hAnsi="宋体" w:eastAsia="宋体" w:cs="宋体"/>
          <w:strike w:val="0"/>
          <w:color w:val="auto"/>
          <w:szCs w:val="24"/>
          <w:highlight w:val="none"/>
        </w:rPr>
      </w:pPr>
    </w:p>
    <w:p w14:paraId="7022238A">
      <w:pPr>
        <w:widowControl/>
        <w:jc w:val="left"/>
        <w:rPr>
          <w:rFonts w:hint="eastAsia" w:ascii="宋体" w:hAnsi="宋体" w:eastAsia="宋体" w:cs="宋体"/>
          <w:strike w:val="0"/>
          <w:color w:val="auto"/>
          <w:szCs w:val="24"/>
          <w:highlight w:val="none"/>
        </w:rPr>
      </w:pPr>
    </w:p>
    <w:p w14:paraId="68BA5B98">
      <w:pPr>
        <w:widowControl/>
        <w:jc w:val="left"/>
        <w:rPr>
          <w:rFonts w:hint="eastAsia" w:ascii="宋体" w:hAnsi="宋体" w:eastAsia="宋体" w:cs="宋体"/>
          <w:strike w:val="0"/>
          <w:color w:val="auto"/>
          <w:szCs w:val="24"/>
          <w:highlight w:val="none"/>
        </w:rPr>
      </w:pPr>
    </w:p>
    <w:p w14:paraId="5058B6CD">
      <w:pPr>
        <w:widowControl/>
        <w:jc w:val="left"/>
        <w:rPr>
          <w:rFonts w:hint="eastAsia" w:ascii="宋体" w:hAnsi="宋体" w:eastAsia="宋体" w:cs="宋体"/>
          <w:strike w:val="0"/>
          <w:color w:val="auto"/>
          <w:szCs w:val="24"/>
          <w:highlight w:val="none"/>
        </w:rPr>
      </w:pPr>
    </w:p>
    <w:p w14:paraId="7669B57B">
      <w:pPr>
        <w:widowControl/>
        <w:jc w:val="left"/>
        <w:rPr>
          <w:rFonts w:hint="eastAsia" w:ascii="宋体" w:hAnsi="宋体" w:eastAsia="宋体" w:cs="宋体"/>
          <w:strike w:val="0"/>
          <w:color w:val="auto"/>
          <w:szCs w:val="24"/>
          <w:highlight w:val="none"/>
        </w:rPr>
      </w:pPr>
    </w:p>
    <w:p w14:paraId="506415CF">
      <w:pPr>
        <w:widowControl/>
        <w:jc w:val="left"/>
        <w:rPr>
          <w:rFonts w:hint="eastAsia" w:ascii="宋体" w:hAnsi="宋体" w:eastAsia="宋体" w:cs="宋体"/>
          <w:strike w:val="0"/>
          <w:color w:val="auto"/>
          <w:szCs w:val="24"/>
          <w:highlight w:val="none"/>
        </w:rPr>
      </w:pPr>
    </w:p>
    <w:p w14:paraId="2AA59638">
      <w:pPr>
        <w:widowControl/>
        <w:jc w:val="left"/>
        <w:rPr>
          <w:rFonts w:hint="eastAsia" w:ascii="宋体" w:hAnsi="宋体" w:eastAsia="宋体" w:cs="宋体"/>
          <w:strike w:val="0"/>
          <w:color w:val="auto"/>
          <w:szCs w:val="24"/>
          <w:highlight w:val="none"/>
          <w:u w:val="single"/>
        </w:rPr>
      </w:pPr>
      <w:r>
        <w:rPr>
          <w:rFonts w:hint="eastAsia" w:ascii="宋体" w:hAnsi="宋体" w:eastAsia="宋体" w:cs="宋体"/>
          <w:strike w:val="0"/>
          <w:color w:val="auto"/>
          <w:szCs w:val="24"/>
          <w:highlight w:val="none"/>
          <w:u w:val="singl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D80AB07">
      <w:pPr>
        <w:widowControl/>
        <w:jc w:val="left"/>
        <w:rPr>
          <w:rFonts w:hint="eastAsia" w:ascii="宋体" w:hAnsi="宋体" w:eastAsia="宋体" w:cs="宋体"/>
          <w:strike w:val="0"/>
          <w:color w:val="auto"/>
          <w:szCs w:val="24"/>
          <w:highlight w:val="none"/>
          <w:u w:val="single"/>
        </w:rPr>
      </w:pPr>
      <w:r>
        <w:rPr>
          <w:rFonts w:hint="eastAsia" w:ascii="宋体" w:hAnsi="宋体" w:eastAsia="宋体" w:cs="宋体"/>
          <w:strike w:val="0"/>
          <w:color w:val="auto"/>
          <w:szCs w:val="24"/>
          <w:highlight w:val="none"/>
          <w:u w:val="single"/>
        </w:rPr>
        <w:t>2、监狱企业参与投标的，需提供由省级以上监狱管理局、戒毒管理局（含新疆生产建设兵团）出具的属于监狱企业的证明文件。监狱企业视同小微企业，无需再提供《中小企业声明函》。</w:t>
      </w:r>
    </w:p>
    <w:p w14:paraId="3C2DE65D">
      <w:pPr>
        <w:widowControl/>
        <w:jc w:val="left"/>
        <w:rPr>
          <w:rFonts w:hint="eastAsia" w:ascii="宋体" w:hAnsi="宋体" w:eastAsia="宋体" w:cs="宋体"/>
          <w:strike w:val="0"/>
          <w:color w:val="auto"/>
          <w:szCs w:val="24"/>
          <w:highlight w:val="none"/>
          <w:u w:val="single"/>
        </w:rPr>
      </w:pPr>
      <w:r>
        <w:rPr>
          <w:rFonts w:hint="eastAsia" w:ascii="宋体" w:hAnsi="宋体" w:eastAsia="宋体" w:cs="宋体"/>
          <w:strike w:val="0"/>
          <w:color w:val="auto"/>
          <w:szCs w:val="24"/>
          <w:highlight w:val="none"/>
          <w:u w:val="single"/>
        </w:rPr>
        <w:t>3、如非监狱企业，不需要提供证明文件。</w:t>
      </w:r>
    </w:p>
    <w:p w14:paraId="47EB47D0">
      <w:pPr>
        <w:widowControl/>
        <w:jc w:val="left"/>
        <w:rPr>
          <w:rFonts w:hint="eastAsia" w:ascii="宋体" w:hAnsi="宋体" w:eastAsia="宋体" w:cs="宋体"/>
          <w:b/>
          <w:strike w:val="0"/>
          <w:color w:val="auto"/>
          <w:kern w:val="0"/>
          <w:sz w:val="24"/>
          <w:szCs w:val="24"/>
          <w:highlight w:val="none"/>
          <w:lang w:val="zh-CN"/>
        </w:rPr>
      </w:pPr>
      <w:r>
        <w:rPr>
          <w:rFonts w:hint="eastAsia" w:ascii="宋体" w:hAnsi="宋体" w:eastAsia="宋体" w:cs="宋体"/>
          <w:strike w:val="0"/>
          <w:color w:val="auto"/>
          <w:szCs w:val="24"/>
          <w:highlight w:val="none"/>
        </w:rPr>
        <w:br w:type="page"/>
      </w:r>
    </w:p>
    <w:p w14:paraId="282EE216">
      <w:pPr>
        <w:keepNext/>
        <w:keepLines/>
        <w:spacing w:line="360" w:lineRule="auto"/>
        <w:outlineLvl w:val="2"/>
        <w:rPr>
          <w:rFonts w:hint="eastAsia" w:ascii="宋体" w:hAnsi="宋体" w:eastAsia="宋体" w:cs="宋体"/>
          <w:b/>
          <w:strike w:val="0"/>
          <w:color w:val="auto"/>
          <w:kern w:val="0"/>
          <w:sz w:val="24"/>
          <w:szCs w:val="24"/>
          <w:highlight w:val="none"/>
          <w:lang w:val="zh-CN"/>
        </w:rPr>
      </w:pPr>
      <w:r>
        <w:rPr>
          <w:rFonts w:hint="eastAsia" w:ascii="宋体" w:hAnsi="宋体" w:eastAsia="宋体" w:cs="宋体"/>
          <w:b/>
          <w:strike w:val="0"/>
          <w:color w:val="auto"/>
          <w:kern w:val="0"/>
          <w:sz w:val="24"/>
          <w:szCs w:val="24"/>
          <w:highlight w:val="none"/>
          <w:lang w:val="zh-CN"/>
        </w:rPr>
        <w:t>（3）残疾人福利性单位声明函（如有）</w:t>
      </w:r>
    </w:p>
    <w:p w14:paraId="29A43292">
      <w:pPr>
        <w:widowControl/>
        <w:jc w:val="center"/>
        <w:rPr>
          <w:rFonts w:hint="eastAsia" w:ascii="宋体" w:hAnsi="宋体" w:eastAsia="宋体" w:cs="宋体"/>
          <w:b/>
          <w:strike w:val="0"/>
          <w:color w:val="auto"/>
          <w:sz w:val="32"/>
          <w:szCs w:val="32"/>
          <w:highlight w:val="none"/>
        </w:rPr>
      </w:pPr>
      <w:r>
        <w:rPr>
          <w:rFonts w:hint="eastAsia" w:ascii="宋体" w:hAnsi="宋体" w:eastAsia="宋体" w:cs="宋体"/>
          <w:b/>
          <w:strike w:val="0"/>
          <w:color w:val="auto"/>
          <w:sz w:val="32"/>
          <w:szCs w:val="32"/>
          <w:highlight w:val="none"/>
        </w:rPr>
        <w:t>残疾人福利性单位声明函（如有）</w:t>
      </w:r>
    </w:p>
    <w:p w14:paraId="1B34D6F2">
      <w:pPr>
        <w:keepNext w:val="0"/>
        <w:keepLines w:val="0"/>
        <w:pageBreakBefore w:val="0"/>
        <w:widowControl/>
        <w:kinsoku/>
        <w:wordWrap/>
        <w:overflowPunct/>
        <w:autoSpaceDE/>
        <w:autoSpaceDN/>
        <w:bidi w:val="0"/>
        <w:spacing w:line="360" w:lineRule="auto"/>
        <w:jc w:val="left"/>
        <w:textAlignment w:val="auto"/>
        <w:rPr>
          <w:rFonts w:hint="eastAsia" w:ascii="宋体" w:hAnsi="宋体" w:eastAsia="宋体" w:cs="宋体"/>
          <w:strike w:val="0"/>
          <w:color w:val="auto"/>
          <w:kern w:val="0"/>
          <w:sz w:val="24"/>
          <w:szCs w:val="24"/>
          <w:highlight w:val="none"/>
          <w:lang w:eastAsia="zh-Hans"/>
        </w:rPr>
      </w:pPr>
      <w:r>
        <w:rPr>
          <w:rFonts w:hint="eastAsia" w:ascii="宋体" w:hAnsi="宋体" w:eastAsia="宋体" w:cs="宋体"/>
          <w:strike w:val="0"/>
          <w:color w:val="auto"/>
          <w:kern w:val="0"/>
          <w:sz w:val="24"/>
          <w:szCs w:val="24"/>
          <w:highlight w:val="none"/>
          <w:lang w:eastAsia="zh-Hans"/>
        </w:rPr>
        <w:t>致：</w:t>
      </w:r>
      <w:r>
        <w:rPr>
          <w:rFonts w:hint="eastAsia" w:ascii="宋体" w:hAnsi="宋体" w:eastAsia="宋体" w:cs="宋体"/>
          <w:strike w:val="0"/>
          <w:color w:val="auto"/>
          <w:kern w:val="0"/>
          <w:sz w:val="24"/>
          <w:szCs w:val="24"/>
          <w:highlight w:val="none"/>
          <w:u w:val="single"/>
          <w:lang w:eastAsia="zh-Hans"/>
        </w:rPr>
        <w:t>（招标人）</w:t>
      </w:r>
    </w:p>
    <w:p w14:paraId="5526B577">
      <w:pPr>
        <w:keepNext w:val="0"/>
        <w:keepLines w:val="0"/>
        <w:pageBreakBefore w:val="0"/>
        <w:widowControl/>
        <w:kinsoku/>
        <w:wordWrap/>
        <w:overflowPunct/>
        <w:autoSpaceDE/>
        <w:autoSpaceDN/>
        <w:bidi w:val="0"/>
        <w:spacing w:line="360" w:lineRule="auto"/>
        <w:ind w:firstLine="480" w:firstLineChars="200"/>
        <w:jc w:val="left"/>
        <w:textAlignment w:val="auto"/>
        <w:rPr>
          <w:rFonts w:hint="eastAsia" w:ascii="宋体" w:hAnsi="宋体" w:eastAsia="宋体" w:cs="宋体"/>
          <w:strike w:val="0"/>
          <w:color w:val="auto"/>
          <w:kern w:val="0"/>
          <w:sz w:val="24"/>
          <w:szCs w:val="24"/>
          <w:highlight w:val="none"/>
          <w:lang w:eastAsia="zh-Hans"/>
        </w:rPr>
      </w:pPr>
      <w:r>
        <w:rPr>
          <w:rFonts w:hint="eastAsia" w:ascii="宋体" w:hAnsi="宋体" w:eastAsia="宋体" w:cs="宋体"/>
          <w:strike w:val="0"/>
          <w:color w:val="auto"/>
          <w:kern w:val="0"/>
          <w:sz w:val="24"/>
          <w:szCs w:val="24"/>
          <w:highlight w:val="none"/>
          <w:lang w:eastAsia="zh-Hans"/>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trike w:val="0"/>
          <w:color w:val="auto"/>
          <w:kern w:val="0"/>
          <w:sz w:val="24"/>
          <w:szCs w:val="24"/>
          <w:highlight w:val="none"/>
          <w:u w:val="single"/>
          <w:lang w:eastAsia="zh-Hans"/>
        </w:rPr>
        <w:t xml:space="preserve">        （招标人）</w:t>
      </w:r>
      <w:r>
        <w:rPr>
          <w:rFonts w:hint="eastAsia" w:ascii="宋体" w:hAnsi="宋体" w:eastAsia="宋体" w:cs="宋体"/>
          <w:strike w:val="0"/>
          <w:color w:val="auto"/>
          <w:kern w:val="0"/>
          <w:sz w:val="24"/>
          <w:szCs w:val="24"/>
          <w:highlight w:val="none"/>
          <w:u w:val="single"/>
        </w:rPr>
        <w:t xml:space="preserve">         </w:t>
      </w:r>
      <w:r>
        <w:rPr>
          <w:rFonts w:hint="eastAsia" w:ascii="宋体" w:hAnsi="宋体" w:eastAsia="宋体" w:cs="宋体"/>
          <w:strike w:val="0"/>
          <w:color w:val="auto"/>
          <w:kern w:val="0"/>
          <w:sz w:val="24"/>
          <w:szCs w:val="24"/>
          <w:highlight w:val="none"/>
          <w:lang w:eastAsia="zh-Hans"/>
        </w:rPr>
        <w:t>单位的</w:t>
      </w:r>
      <w:r>
        <w:rPr>
          <w:rFonts w:hint="eastAsia" w:ascii="宋体" w:hAnsi="宋体" w:eastAsia="宋体" w:cs="宋体"/>
          <w:strike w:val="0"/>
          <w:color w:val="auto"/>
          <w:kern w:val="0"/>
          <w:sz w:val="24"/>
          <w:szCs w:val="24"/>
          <w:highlight w:val="none"/>
          <w:u w:val="single"/>
          <w:lang w:eastAsia="zh-Hans"/>
        </w:rPr>
        <w:t xml:space="preserve">        （</w:t>
      </w:r>
      <w:r>
        <w:rPr>
          <w:rFonts w:hint="eastAsia" w:ascii="宋体" w:hAnsi="宋体" w:eastAsia="宋体" w:cs="宋体"/>
          <w:strike w:val="0"/>
          <w:color w:val="auto"/>
          <w:kern w:val="0"/>
          <w:sz w:val="24"/>
          <w:szCs w:val="24"/>
          <w:highlight w:val="none"/>
          <w:u w:val="single"/>
        </w:rPr>
        <w:t>项目名称</w:t>
      </w:r>
      <w:r>
        <w:rPr>
          <w:rFonts w:hint="eastAsia" w:ascii="宋体" w:hAnsi="宋体" w:eastAsia="宋体" w:cs="宋体"/>
          <w:strike w:val="0"/>
          <w:color w:val="auto"/>
          <w:kern w:val="0"/>
          <w:sz w:val="24"/>
          <w:szCs w:val="24"/>
          <w:highlight w:val="none"/>
          <w:u w:val="single"/>
          <w:lang w:eastAsia="zh-Hans"/>
        </w:rPr>
        <w:t>）</w:t>
      </w:r>
      <w:r>
        <w:rPr>
          <w:rFonts w:hint="eastAsia" w:ascii="宋体" w:hAnsi="宋体" w:eastAsia="宋体" w:cs="宋体"/>
          <w:strike w:val="0"/>
          <w:color w:val="auto"/>
          <w:kern w:val="0"/>
          <w:sz w:val="24"/>
          <w:szCs w:val="24"/>
          <w:highlight w:val="none"/>
          <w:u w:val="single"/>
        </w:rPr>
        <w:t xml:space="preserve">         </w:t>
      </w:r>
      <w:r>
        <w:rPr>
          <w:rFonts w:hint="eastAsia" w:ascii="宋体" w:hAnsi="宋体" w:eastAsia="宋体" w:cs="宋体"/>
          <w:strike w:val="0"/>
          <w:color w:val="auto"/>
          <w:kern w:val="0"/>
          <w:sz w:val="24"/>
          <w:szCs w:val="24"/>
          <w:highlight w:val="none"/>
        </w:rPr>
        <w:t>项目招标</w:t>
      </w:r>
      <w:r>
        <w:rPr>
          <w:rFonts w:hint="eastAsia" w:ascii="宋体" w:hAnsi="宋体" w:eastAsia="宋体" w:cs="宋体"/>
          <w:strike w:val="0"/>
          <w:color w:val="auto"/>
          <w:kern w:val="0"/>
          <w:sz w:val="24"/>
          <w:szCs w:val="24"/>
          <w:highlight w:val="none"/>
          <w:lang w:eastAsia="zh-Hans"/>
        </w:rPr>
        <w:t>活动</w:t>
      </w:r>
      <w:r>
        <w:rPr>
          <w:rFonts w:hint="eastAsia" w:ascii="宋体" w:hAnsi="宋体" w:eastAsia="宋体" w:cs="宋体"/>
          <w:strike w:val="0"/>
          <w:color w:val="auto"/>
          <w:kern w:val="0"/>
          <w:sz w:val="24"/>
          <w:szCs w:val="24"/>
          <w:highlight w:val="none"/>
        </w:rPr>
        <w:t>，</w:t>
      </w:r>
      <w:r>
        <w:rPr>
          <w:rFonts w:hint="eastAsia" w:ascii="宋体" w:hAnsi="宋体" w:eastAsia="宋体" w:cs="宋体"/>
          <w:strike w:val="0"/>
          <w:color w:val="auto"/>
          <w:kern w:val="0"/>
          <w:sz w:val="24"/>
          <w:szCs w:val="24"/>
          <w:highlight w:val="none"/>
          <w:lang w:eastAsia="zh-Hans"/>
        </w:rPr>
        <w:t>由本单位承</w:t>
      </w:r>
      <w:r>
        <w:rPr>
          <w:rFonts w:hint="eastAsia" w:ascii="宋体" w:hAnsi="宋体" w:eastAsia="宋体" w:cs="宋体"/>
          <w:strike w:val="0"/>
          <w:color w:val="auto"/>
          <w:kern w:val="0"/>
          <w:sz w:val="24"/>
          <w:szCs w:val="24"/>
          <w:highlight w:val="none"/>
        </w:rPr>
        <w:t>接本项目</w:t>
      </w:r>
      <w:r>
        <w:rPr>
          <w:rFonts w:hint="eastAsia" w:ascii="宋体" w:hAnsi="宋体" w:eastAsia="宋体" w:cs="宋体"/>
          <w:strike w:val="0"/>
          <w:color w:val="auto"/>
          <w:kern w:val="0"/>
          <w:sz w:val="24"/>
          <w:szCs w:val="24"/>
          <w:highlight w:val="none"/>
          <w:lang w:eastAsia="zh-Hans"/>
        </w:rPr>
        <w:t>。</w:t>
      </w:r>
    </w:p>
    <w:p w14:paraId="490C6EDF">
      <w:pPr>
        <w:keepNext w:val="0"/>
        <w:keepLines w:val="0"/>
        <w:pageBreakBefore w:val="0"/>
        <w:widowControl/>
        <w:kinsoku/>
        <w:wordWrap/>
        <w:overflowPunct/>
        <w:autoSpaceDE/>
        <w:autoSpaceDN/>
        <w:bidi w:val="0"/>
        <w:spacing w:line="360" w:lineRule="auto"/>
        <w:ind w:firstLine="480" w:firstLineChars="200"/>
        <w:jc w:val="left"/>
        <w:textAlignment w:val="auto"/>
        <w:rPr>
          <w:rFonts w:hint="eastAsia" w:ascii="宋体" w:hAnsi="宋体" w:eastAsia="宋体" w:cs="宋体"/>
          <w:strike w:val="0"/>
          <w:color w:val="auto"/>
          <w:kern w:val="0"/>
          <w:sz w:val="24"/>
          <w:szCs w:val="24"/>
          <w:highlight w:val="none"/>
          <w:lang w:eastAsia="zh-Hans"/>
        </w:rPr>
      </w:pPr>
      <w:r>
        <w:rPr>
          <w:rFonts w:hint="eastAsia" w:ascii="宋体" w:hAnsi="宋体" w:eastAsia="宋体" w:cs="宋体"/>
          <w:strike w:val="0"/>
          <w:color w:val="auto"/>
          <w:sz w:val="24"/>
          <w:szCs w:val="24"/>
          <w:highlight w:val="none"/>
        </w:rPr>
        <w:t>本单位对上述声明的真实性负责。如有虚假，将依法承担相应责任。</w:t>
      </w:r>
    </w:p>
    <w:p w14:paraId="7D063647">
      <w:pPr>
        <w:keepNext w:val="0"/>
        <w:keepLines w:val="0"/>
        <w:pageBreakBefore w:val="0"/>
        <w:kinsoku/>
        <w:wordWrap/>
        <w:overflowPunct/>
        <w:autoSpaceDE/>
        <w:autoSpaceDN/>
        <w:bidi w:val="0"/>
        <w:spacing w:line="360" w:lineRule="auto"/>
        <w:ind w:firstLine="5040" w:firstLineChars="2100"/>
        <w:textAlignment w:val="auto"/>
        <w:rPr>
          <w:rFonts w:hint="eastAsia" w:ascii="宋体" w:hAnsi="宋体" w:eastAsia="宋体" w:cs="宋体"/>
          <w:strike w:val="0"/>
          <w:color w:val="auto"/>
          <w:sz w:val="24"/>
          <w:szCs w:val="24"/>
          <w:highlight w:val="none"/>
        </w:rPr>
      </w:pPr>
    </w:p>
    <w:p w14:paraId="725D36C1">
      <w:pPr>
        <w:keepNext w:val="0"/>
        <w:keepLines w:val="0"/>
        <w:pageBreakBefore w:val="0"/>
        <w:kinsoku/>
        <w:wordWrap/>
        <w:overflowPunct/>
        <w:autoSpaceDE/>
        <w:autoSpaceDN/>
        <w:bidi w:val="0"/>
        <w:spacing w:line="360" w:lineRule="auto"/>
        <w:ind w:firstLine="5040" w:firstLineChars="2100"/>
        <w:textAlignment w:val="auto"/>
        <w:rPr>
          <w:rFonts w:hint="eastAsia" w:ascii="宋体" w:hAnsi="宋体" w:eastAsia="宋体" w:cs="宋体"/>
          <w:strike w:val="0"/>
          <w:color w:val="auto"/>
          <w:sz w:val="24"/>
          <w:szCs w:val="24"/>
          <w:highlight w:val="none"/>
        </w:rPr>
      </w:pPr>
    </w:p>
    <w:p w14:paraId="7D0A78C7">
      <w:pPr>
        <w:keepNext w:val="0"/>
        <w:keepLines w:val="0"/>
        <w:pageBreakBefore w:val="0"/>
        <w:kinsoku/>
        <w:wordWrap/>
        <w:overflowPunct/>
        <w:autoSpaceDE/>
        <w:autoSpaceDN/>
        <w:bidi w:val="0"/>
        <w:spacing w:line="360" w:lineRule="auto"/>
        <w:textAlignment w:val="auto"/>
        <w:rPr>
          <w:rFonts w:hint="eastAsia" w:ascii="宋体" w:hAnsi="宋体" w:eastAsia="宋体" w:cs="宋体"/>
          <w:strike w:val="0"/>
          <w:color w:val="auto"/>
          <w:kern w:val="0"/>
          <w:sz w:val="24"/>
          <w:szCs w:val="24"/>
          <w:highlight w:val="none"/>
        </w:rPr>
      </w:pPr>
    </w:p>
    <w:p w14:paraId="15C87570">
      <w:pPr>
        <w:keepNext w:val="0"/>
        <w:keepLines w:val="0"/>
        <w:pageBreakBefore w:val="0"/>
        <w:kinsoku/>
        <w:wordWrap/>
        <w:overflowPunct/>
        <w:autoSpaceDE/>
        <w:autoSpaceDN/>
        <w:bidi w:val="0"/>
        <w:spacing w:line="360" w:lineRule="auto"/>
        <w:textAlignment w:val="auto"/>
        <w:rPr>
          <w:rFonts w:hint="eastAsia" w:ascii="宋体" w:hAnsi="宋体" w:eastAsia="宋体" w:cs="宋体"/>
          <w:strike w:val="0"/>
          <w:color w:val="auto"/>
          <w:kern w:val="0"/>
          <w:sz w:val="24"/>
          <w:szCs w:val="24"/>
          <w:highlight w:val="none"/>
        </w:rPr>
      </w:pPr>
    </w:p>
    <w:p w14:paraId="464E0900">
      <w:pPr>
        <w:keepNext w:val="0"/>
        <w:keepLines w:val="0"/>
        <w:pageBreakBefore w:val="0"/>
        <w:kinsoku/>
        <w:wordWrap/>
        <w:overflowPunct/>
        <w:topLinePunct/>
        <w:autoSpaceDE/>
        <w:autoSpaceDN/>
        <w:bidi w:val="0"/>
        <w:adjustRightInd w:val="0"/>
        <w:snapToGrid w:val="0"/>
        <w:spacing w:line="360" w:lineRule="auto"/>
        <w:textAlignment w:val="auto"/>
        <w:rPr>
          <w:rFonts w:hint="eastAsia" w:ascii="宋体" w:hAnsi="宋体" w:eastAsia="宋体" w:cs="宋体"/>
          <w:strike w:val="0"/>
          <w:snapToGrid w:val="0"/>
          <w:color w:val="auto"/>
          <w:spacing w:val="4"/>
          <w:kern w:val="0"/>
          <w:sz w:val="24"/>
          <w:szCs w:val="24"/>
          <w:highlight w:val="none"/>
        </w:rPr>
      </w:pPr>
      <w:r>
        <w:rPr>
          <w:rFonts w:hint="eastAsia" w:ascii="宋体" w:hAnsi="宋体" w:eastAsia="宋体" w:cs="宋体"/>
          <w:strike w:val="0"/>
          <w:snapToGrid w:val="0"/>
          <w:color w:val="auto"/>
          <w:spacing w:val="4"/>
          <w:kern w:val="0"/>
          <w:sz w:val="24"/>
          <w:szCs w:val="24"/>
          <w:highlight w:val="none"/>
        </w:rPr>
        <w:t>投 标 人</w:t>
      </w:r>
      <w:r>
        <w:rPr>
          <w:rFonts w:hint="eastAsia" w:ascii="宋体" w:hAnsi="宋体" w:eastAsia="宋体" w:cs="宋体"/>
          <w:strike w:val="0"/>
          <w:color w:val="auto"/>
          <w:sz w:val="24"/>
          <w:szCs w:val="24"/>
          <w:highlight w:val="none"/>
        </w:rPr>
        <w:t>（盖单位章）</w:t>
      </w:r>
      <w:r>
        <w:rPr>
          <w:rFonts w:hint="eastAsia" w:ascii="宋体" w:hAnsi="宋体" w:eastAsia="宋体" w:cs="宋体"/>
          <w:strike w:val="0"/>
          <w:snapToGrid w:val="0"/>
          <w:color w:val="auto"/>
          <w:spacing w:val="4"/>
          <w:kern w:val="0"/>
          <w:sz w:val="24"/>
          <w:szCs w:val="24"/>
          <w:highlight w:val="none"/>
        </w:rPr>
        <w:t>：</w:t>
      </w:r>
    </w:p>
    <w:p w14:paraId="3ABC317F">
      <w:pPr>
        <w:keepNext w:val="0"/>
        <w:keepLines w:val="0"/>
        <w:pageBreakBefore w:val="0"/>
        <w:kinsoku/>
        <w:wordWrap/>
        <w:overflowPunct/>
        <w:autoSpaceDE/>
        <w:autoSpaceDN/>
        <w:bidi w:val="0"/>
        <w:spacing w:line="360" w:lineRule="auto"/>
        <w:jc w:val="left"/>
        <w:textAlignment w:val="auto"/>
        <w:rPr>
          <w:rFonts w:hint="eastAsia" w:ascii="宋体" w:hAnsi="宋体" w:eastAsia="宋体" w:cs="宋体"/>
          <w:strike w:val="0"/>
          <w:snapToGrid w:val="0"/>
          <w:color w:val="auto"/>
          <w:spacing w:val="4"/>
          <w:kern w:val="0"/>
          <w:sz w:val="24"/>
          <w:szCs w:val="24"/>
          <w:highlight w:val="none"/>
        </w:rPr>
      </w:pPr>
      <w:r>
        <w:rPr>
          <w:rFonts w:hint="eastAsia" w:ascii="宋体" w:hAnsi="宋体" w:eastAsia="宋体" w:cs="宋体"/>
          <w:strike w:val="0"/>
          <w:snapToGrid w:val="0"/>
          <w:color w:val="auto"/>
          <w:spacing w:val="4"/>
          <w:kern w:val="0"/>
          <w:sz w:val="24"/>
          <w:szCs w:val="24"/>
          <w:highlight w:val="none"/>
        </w:rPr>
        <w:t>日    期：</w:t>
      </w:r>
    </w:p>
    <w:p w14:paraId="60C3AF93">
      <w:pPr>
        <w:keepNext w:val="0"/>
        <w:keepLines w:val="0"/>
        <w:pageBreakBefore w:val="0"/>
        <w:kinsoku/>
        <w:wordWrap/>
        <w:overflowPunct/>
        <w:autoSpaceDE/>
        <w:autoSpaceDN/>
        <w:bidi w:val="0"/>
        <w:spacing w:line="360" w:lineRule="auto"/>
        <w:jc w:val="center"/>
        <w:textAlignment w:val="auto"/>
        <w:rPr>
          <w:rFonts w:hint="eastAsia" w:ascii="宋体" w:hAnsi="宋体" w:eastAsia="宋体" w:cs="宋体"/>
          <w:b/>
          <w:bCs/>
          <w:strike w:val="0"/>
          <w:color w:val="auto"/>
          <w:sz w:val="24"/>
          <w:szCs w:val="24"/>
          <w:highlight w:val="none"/>
        </w:rPr>
      </w:pPr>
    </w:p>
    <w:p w14:paraId="4E337D75">
      <w:pPr>
        <w:keepNext w:val="0"/>
        <w:keepLines w:val="0"/>
        <w:pageBreakBefore w:val="0"/>
        <w:kinsoku/>
        <w:wordWrap/>
        <w:overflowPunct/>
        <w:autoSpaceDE/>
        <w:autoSpaceDN/>
        <w:bidi w:val="0"/>
        <w:spacing w:line="360" w:lineRule="auto"/>
        <w:jc w:val="center"/>
        <w:textAlignment w:val="auto"/>
        <w:rPr>
          <w:rFonts w:hint="eastAsia" w:ascii="宋体" w:hAnsi="宋体" w:eastAsia="宋体" w:cs="宋体"/>
          <w:b/>
          <w:bCs/>
          <w:strike w:val="0"/>
          <w:color w:val="auto"/>
          <w:sz w:val="24"/>
          <w:szCs w:val="24"/>
          <w:highlight w:val="none"/>
        </w:rPr>
      </w:pPr>
    </w:p>
    <w:p w14:paraId="2860D04A">
      <w:pPr>
        <w:keepNext w:val="0"/>
        <w:keepLines w:val="0"/>
        <w:pageBreakBefore w:val="0"/>
        <w:kinsoku/>
        <w:wordWrap/>
        <w:overflowPunct/>
        <w:autoSpaceDE/>
        <w:autoSpaceDN/>
        <w:bidi w:val="0"/>
        <w:spacing w:line="360" w:lineRule="auto"/>
        <w:jc w:val="center"/>
        <w:textAlignment w:val="auto"/>
        <w:rPr>
          <w:rFonts w:hint="eastAsia" w:ascii="宋体" w:hAnsi="宋体" w:eastAsia="宋体" w:cs="宋体"/>
          <w:b/>
          <w:bCs/>
          <w:strike w:val="0"/>
          <w:color w:val="auto"/>
          <w:sz w:val="24"/>
          <w:szCs w:val="24"/>
          <w:highlight w:val="none"/>
        </w:rPr>
      </w:pPr>
    </w:p>
    <w:p w14:paraId="2523781B">
      <w:pPr>
        <w:keepNext w:val="0"/>
        <w:keepLines w:val="0"/>
        <w:pageBreakBefore w:val="0"/>
        <w:kinsoku/>
        <w:wordWrap/>
        <w:overflowPunct/>
        <w:autoSpaceDE/>
        <w:autoSpaceDN/>
        <w:bidi w:val="0"/>
        <w:spacing w:line="360" w:lineRule="auto"/>
        <w:jc w:val="center"/>
        <w:textAlignment w:val="auto"/>
        <w:rPr>
          <w:rFonts w:hint="eastAsia" w:ascii="宋体" w:hAnsi="宋体" w:eastAsia="宋体" w:cs="宋体"/>
          <w:b/>
          <w:bCs/>
          <w:strike w:val="0"/>
          <w:color w:val="auto"/>
          <w:sz w:val="24"/>
          <w:szCs w:val="24"/>
          <w:highlight w:val="none"/>
        </w:rPr>
      </w:pPr>
    </w:p>
    <w:p w14:paraId="5CC379C0">
      <w:pPr>
        <w:keepNext w:val="0"/>
        <w:keepLines w:val="0"/>
        <w:pageBreakBefore w:val="0"/>
        <w:kinsoku/>
        <w:wordWrap/>
        <w:overflowPunct/>
        <w:autoSpaceDE/>
        <w:autoSpaceDN/>
        <w:bidi w:val="0"/>
        <w:spacing w:line="360" w:lineRule="auto"/>
        <w:jc w:val="center"/>
        <w:textAlignment w:val="auto"/>
        <w:rPr>
          <w:rFonts w:hint="eastAsia" w:ascii="宋体" w:hAnsi="宋体" w:eastAsia="宋体" w:cs="宋体"/>
          <w:b/>
          <w:bCs/>
          <w:strike w:val="0"/>
          <w:color w:val="auto"/>
          <w:sz w:val="24"/>
          <w:szCs w:val="24"/>
          <w:highlight w:val="none"/>
        </w:rPr>
      </w:pPr>
    </w:p>
    <w:p w14:paraId="5222A1B3">
      <w:pPr>
        <w:spacing w:line="276" w:lineRule="auto"/>
        <w:rPr>
          <w:rFonts w:hint="eastAsia" w:ascii="宋体" w:hAnsi="宋体" w:eastAsia="宋体" w:cs="宋体"/>
          <w:bCs/>
          <w:strike w:val="0"/>
          <w:color w:val="auto"/>
          <w:szCs w:val="21"/>
          <w:highlight w:val="none"/>
          <w:u w:val="single"/>
        </w:rPr>
      </w:pPr>
      <w:r>
        <w:rPr>
          <w:rFonts w:hint="eastAsia" w:ascii="宋体" w:hAnsi="宋体" w:eastAsia="宋体" w:cs="宋体"/>
          <w:bCs/>
          <w:strike w:val="0"/>
          <w:color w:val="auto"/>
          <w:szCs w:val="21"/>
          <w:highlight w:val="none"/>
          <w:u w:val="single"/>
        </w:rPr>
        <w:t>注：1、残疾人福利性单位声明函（如有）适用于残疾人福利性单位参加招投标活动的。本函未填写的视作未做声明。如不适用，本格式不需要提供。</w:t>
      </w:r>
    </w:p>
    <w:p w14:paraId="15A23FE6">
      <w:pPr>
        <w:widowControl/>
        <w:spacing w:line="276" w:lineRule="auto"/>
        <w:jc w:val="left"/>
        <w:rPr>
          <w:rFonts w:hint="eastAsia" w:ascii="宋体" w:hAnsi="宋体" w:eastAsia="宋体" w:cs="宋体"/>
          <w:strike w:val="0"/>
          <w:color w:val="auto"/>
          <w:sz w:val="32"/>
          <w:szCs w:val="32"/>
          <w:highlight w:val="none"/>
          <w:u w:val="single"/>
        </w:rPr>
      </w:pPr>
      <w:r>
        <w:rPr>
          <w:rFonts w:hint="eastAsia" w:ascii="宋体" w:hAnsi="宋体" w:eastAsia="宋体" w:cs="宋体"/>
          <w:bCs/>
          <w:strike w:val="0"/>
          <w:color w:val="auto"/>
          <w:szCs w:val="21"/>
          <w:highlight w:val="none"/>
          <w:u w:val="single"/>
        </w:rPr>
        <w:t>2、残疾人福利性单位视同小微企业，无需再提供《中小企业声明函》。</w:t>
      </w:r>
    </w:p>
    <w:p w14:paraId="173DB3A3">
      <w:pPr>
        <w:wordWrap w:val="0"/>
        <w:spacing w:line="360" w:lineRule="auto"/>
        <w:ind w:firstLine="424" w:firstLineChars="202"/>
        <w:rPr>
          <w:rFonts w:hint="eastAsia" w:ascii="宋体" w:hAnsi="宋体" w:eastAsia="宋体" w:cs="宋体"/>
          <w:strike w:val="0"/>
          <w:color w:val="auto"/>
          <w:highlight w:val="none"/>
        </w:rPr>
      </w:pPr>
    </w:p>
    <w:p w14:paraId="0102CD08">
      <w:pPr>
        <w:wordWrap w:val="0"/>
        <w:spacing w:line="360" w:lineRule="auto"/>
        <w:ind w:firstLine="424" w:firstLineChars="202"/>
        <w:rPr>
          <w:rFonts w:hint="eastAsia" w:ascii="宋体" w:hAnsi="宋体" w:eastAsia="宋体" w:cs="宋体"/>
          <w:strike/>
          <w:color w:val="auto"/>
          <w:highlight w:val="none"/>
        </w:rPr>
      </w:pPr>
    </w:p>
    <w:sectPr>
      <w:footerReference r:id="rId3" w:type="default"/>
      <w:pgSz w:w="11907" w:h="16839"/>
      <w:pgMar w:top="1440" w:right="1080" w:bottom="1440" w:left="1080" w:header="720" w:footer="720" w:gutter="0"/>
      <w:pgNumType w:start="1"/>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B032C">
    <w:pPr>
      <w:pStyle w:val="17"/>
      <w:jc w:val="center"/>
    </w:pPr>
    <w:r>
      <w:fldChar w:fldCharType="begin"/>
    </w:r>
    <w:r>
      <w:instrText xml:space="preserve"> PAGE   \* MERGEFORMAT </w:instrText>
    </w:r>
    <w:r>
      <w:fldChar w:fldCharType="separate"/>
    </w:r>
    <w:r>
      <w:rPr>
        <w:lang w:val="zh-CN"/>
      </w:rPr>
      <w:t>21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BA1"/>
    <w:rsid w:val="0000331B"/>
    <w:rsid w:val="00007339"/>
    <w:rsid w:val="000171AF"/>
    <w:rsid w:val="0002059F"/>
    <w:rsid w:val="00021C5B"/>
    <w:rsid w:val="0009151C"/>
    <w:rsid w:val="00095FF6"/>
    <w:rsid w:val="000A4DDC"/>
    <w:rsid w:val="000B00E2"/>
    <w:rsid w:val="000D46FF"/>
    <w:rsid w:val="000F2841"/>
    <w:rsid w:val="000F7836"/>
    <w:rsid w:val="00111C5F"/>
    <w:rsid w:val="00114294"/>
    <w:rsid w:val="00120D0B"/>
    <w:rsid w:val="001228CE"/>
    <w:rsid w:val="00125230"/>
    <w:rsid w:val="00127E8C"/>
    <w:rsid w:val="00134435"/>
    <w:rsid w:val="00134E70"/>
    <w:rsid w:val="00136A0B"/>
    <w:rsid w:val="00145008"/>
    <w:rsid w:val="001548BC"/>
    <w:rsid w:val="00165388"/>
    <w:rsid w:val="00173683"/>
    <w:rsid w:val="0017575A"/>
    <w:rsid w:val="00180AB9"/>
    <w:rsid w:val="00181E2A"/>
    <w:rsid w:val="00184D9A"/>
    <w:rsid w:val="001960C3"/>
    <w:rsid w:val="001B74B0"/>
    <w:rsid w:val="001B7CF3"/>
    <w:rsid w:val="001D2E08"/>
    <w:rsid w:val="001D4DA9"/>
    <w:rsid w:val="001D7A0D"/>
    <w:rsid w:val="0021139D"/>
    <w:rsid w:val="002269E5"/>
    <w:rsid w:val="00247D80"/>
    <w:rsid w:val="00265058"/>
    <w:rsid w:val="002810FE"/>
    <w:rsid w:val="00286C7E"/>
    <w:rsid w:val="002A1A24"/>
    <w:rsid w:val="002B391D"/>
    <w:rsid w:val="00307BE4"/>
    <w:rsid w:val="003314DF"/>
    <w:rsid w:val="00335B25"/>
    <w:rsid w:val="00343956"/>
    <w:rsid w:val="00364534"/>
    <w:rsid w:val="00386106"/>
    <w:rsid w:val="003A0AE6"/>
    <w:rsid w:val="003B0524"/>
    <w:rsid w:val="003D2A05"/>
    <w:rsid w:val="003D6A9A"/>
    <w:rsid w:val="004017F7"/>
    <w:rsid w:val="004138C0"/>
    <w:rsid w:val="00420FED"/>
    <w:rsid w:val="00423750"/>
    <w:rsid w:val="004378A9"/>
    <w:rsid w:val="00472664"/>
    <w:rsid w:val="004747D1"/>
    <w:rsid w:val="00475B97"/>
    <w:rsid w:val="004B5446"/>
    <w:rsid w:val="004B69E6"/>
    <w:rsid w:val="004E4989"/>
    <w:rsid w:val="004F13DF"/>
    <w:rsid w:val="004F1530"/>
    <w:rsid w:val="004F33B5"/>
    <w:rsid w:val="004F7E69"/>
    <w:rsid w:val="00500CDF"/>
    <w:rsid w:val="00500F14"/>
    <w:rsid w:val="0050741A"/>
    <w:rsid w:val="00525074"/>
    <w:rsid w:val="0053632A"/>
    <w:rsid w:val="00566531"/>
    <w:rsid w:val="005671B9"/>
    <w:rsid w:val="005850D9"/>
    <w:rsid w:val="0059044B"/>
    <w:rsid w:val="005B017E"/>
    <w:rsid w:val="005C1A53"/>
    <w:rsid w:val="005C3B60"/>
    <w:rsid w:val="005D19D9"/>
    <w:rsid w:val="005E1BEC"/>
    <w:rsid w:val="005F1B76"/>
    <w:rsid w:val="005F6A61"/>
    <w:rsid w:val="0060535C"/>
    <w:rsid w:val="00606F7F"/>
    <w:rsid w:val="00611086"/>
    <w:rsid w:val="00641267"/>
    <w:rsid w:val="006535B2"/>
    <w:rsid w:val="006545AE"/>
    <w:rsid w:val="00656A8A"/>
    <w:rsid w:val="00661F1B"/>
    <w:rsid w:val="00661FC7"/>
    <w:rsid w:val="006621D4"/>
    <w:rsid w:val="00694E4C"/>
    <w:rsid w:val="006C74FE"/>
    <w:rsid w:val="006D6F25"/>
    <w:rsid w:val="006E59DA"/>
    <w:rsid w:val="00711AD4"/>
    <w:rsid w:val="007363BA"/>
    <w:rsid w:val="0075170B"/>
    <w:rsid w:val="007570C0"/>
    <w:rsid w:val="00771B22"/>
    <w:rsid w:val="00774623"/>
    <w:rsid w:val="00775E54"/>
    <w:rsid w:val="0079156F"/>
    <w:rsid w:val="007969E7"/>
    <w:rsid w:val="007A0B2B"/>
    <w:rsid w:val="007A7F7C"/>
    <w:rsid w:val="007D6A99"/>
    <w:rsid w:val="007E1A6F"/>
    <w:rsid w:val="007E1FC9"/>
    <w:rsid w:val="007E332A"/>
    <w:rsid w:val="007F0790"/>
    <w:rsid w:val="007F4BA1"/>
    <w:rsid w:val="00802A46"/>
    <w:rsid w:val="00803A09"/>
    <w:rsid w:val="00806919"/>
    <w:rsid w:val="00827689"/>
    <w:rsid w:val="00834A5A"/>
    <w:rsid w:val="0083727D"/>
    <w:rsid w:val="00847518"/>
    <w:rsid w:val="00847EE4"/>
    <w:rsid w:val="00853F24"/>
    <w:rsid w:val="0085423B"/>
    <w:rsid w:val="00857EB2"/>
    <w:rsid w:val="00864020"/>
    <w:rsid w:val="00872618"/>
    <w:rsid w:val="008A25C0"/>
    <w:rsid w:val="008A2717"/>
    <w:rsid w:val="008A6948"/>
    <w:rsid w:val="008E0608"/>
    <w:rsid w:val="008E5867"/>
    <w:rsid w:val="00907B84"/>
    <w:rsid w:val="00913C9F"/>
    <w:rsid w:val="009168F6"/>
    <w:rsid w:val="00941277"/>
    <w:rsid w:val="009419A6"/>
    <w:rsid w:val="00943C25"/>
    <w:rsid w:val="00952191"/>
    <w:rsid w:val="00963909"/>
    <w:rsid w:val="00967489"/>
    <w:rsid w:val="00983F95"/>
    <w:rsid w:val="00992593"/>
    <w:rsid w:val="00993484"/>
    <w:rsid w:val="00996A59"/>
    <w:rsid w:val="009A13F0"/>
    <w:rsid w:val="009A4A07"/>
    <w:rsid w:val="009B112F"/>
    <w:rsid w:val="009B197A"/>
    <w:rsid w:val="009F4AAE"/>
    <w:rsid w:val="00A1180D"/>
    <w:rsid w:val="00A36262"/>
    <w:rsid w:val="00A37FE9"/>
    <w:rsid w:val="00A4661F"/>
    <w:rsid w:val="00A701AC"/>
    <w:rsid w:val="00A91B88"/>
    <w:rsid w:val="00AD4D5E"/>
    <w:rsid w:val="00AE00C1"/>
    <w:rsid w:val="00AF1F0E"/>
    <w:rsid w:val="00AF3843"/>
    <w:rsid w:val="00B0350B"/>
    <w:rsid w:val="00B24487"/>
    <w:rsid w:val="00B31382"/>
    <w:rsid w:val="00B43F37"/>
    <w:rsid w:val="00B46E85"/>
    <w:rsid w:val="00B61984"/>
    <w:rsid w:val="00B662A6"/>
    <w:rsid w:val="00B71EBD"/>
    <w:rsid w:val="00B76364"/>
    <w:rsid w:val="00BB278D"/>
    <w:rsid w:val="00BB298C"/>
    <w:rsid w:val="00BC285B"/>
    <w:rsid w:val="00BF6902"/>
    <w:rsid w:val="00C02C09"/>
    <w:rsid w:val="00C16647"/>
    <w:rsid w:val="00C30463"/>
    <w:rsid w:val="00C40A63"/>
    <w:rsid w:val="00C717EC"/>
    <w:rsid w:val="00C97FBE"/>
    <w:rsid w:val="00CA0098"/>
    <w:rsid w:val="00CA5BF6"/>
    <w:rsid w:val="00CA5DDE"/>
    <w:rsid w:val="00CB6BFA"/>
    <w:rsid w:val="00CC176A"/>
    <w:rsid w:val="00CC6398"/>
    <w:rsid w:val="00CD57F3"/>
    <w:rsid w:val="00CD7024"/>
    <w:rsid w:val="00CE0D38"/>
    <w:rsid w:val="00D033CB"/>
    <w:rsid w:val="00D125E1"/>
    <w:rsid w:val="00D358DC"/>
    <w:rsid w:val="00D54080"/>
    <w:rsid w:val="00D705EF"/>
    <w:rsid w:val="00D81516"/>
    <w:rsid w:val="00D91915"/>
    <w:rsid w:val="00DA4E8D"/>
    <w:rsid w:val="00DB3BA9"/>
    <w:rsid w:val="00DC21C8"/>
    <w:rsid w:val="00DC3CCE"/>
    <w:rsid w:val="00DC7CAC"/>
    <w:rsid w:val="00DD17AE"/>
    <w:rsid w:val="00DF051E"/>
    <w:rsid w:val="00E015DC"/>
    <w:rsid w:val="00E03670"/>
    <w:rsid w:val="00E03911"/>
    <w:rsid w:val="00E1044D"/>
    <w:rsid w:val="00E17A77"/>
    <w:rsid w:val="00E24ADA"/>
    <w:rsid w:val="00E5034A"/>
    <w:rsid w:val="00E60D49"/>
    <w:rsid w:val="00E72741"/>
    <w:rsid w:val="00E75D78"/>
    <w:rsid w:val="00E835F0"/>
    <w:rsid w:val="00E93E5A"/>
    <w:rsid w:val="00E945FE"/>
    <w:rsid w:val="00E97FEF"/>
    <w:rsid w:val="00ED3A32"/>
    <w:rsid w:val="00ED50E4"/>
    <w:rsid w:val="00EE3321"/>
    <w:rsid w:val="00F01FED"/>
    <w:rsid w:val="00F32265"/>
    <w:rsid w:val="00F324EF"/>
    <w:rsid w:val="00F538C8"/>
    <w:rsid w:val="00F55524"/>
    <w:rsid w:val="00F613B8"/>
    <w:rsid w:val="00F751BE"/>
    <w:rsid w:val="00F84304"/>
    <w:rsid w:val="00F93D3B"/>
    <w:rsid w:val="00FB1764"/>
    <w:rsid w:val="00FB2FC0"/>
    <w:rsid w:val="00FB40A1"/>
    <w:rsid w:val="00FE1EEA"/>
    <w:rsid w:val="00FE5A4C"/>
    <w:rsid w:val="02F62CCD"/>
    <w:rsid w:val="0442248D"/>
    <w:rsid w:val="05D038CB"/>
    <w:rsid w:val="061609A5"/>
    <w:rsid w:val="087A6739"/>
    <w:rsid w:val="0A4F2DB5"/>
    <w:rsid w:val="0B632EB5"/>
    <w:rsid w:val="0BBB1DAE"/>
    <w:rsid w:val="0BF17223"/>
    <w:rsid w:val="0F4216F5"/>
    <w:rsid w:val="0F841BEF"/>
    <w:rsid w:val="0FFD520D"/>
    <w:rsid w:val="108610CD"/>
    <w:rsid w:val="11495058"/>
    <w:rsid w:val="136363FD"/>
    <w:rsid w:val="167C0C7E"/>
    <w:rsid w:val="17932B9A"/>
    <w:rsid w:val="1A51761E"/>
    <w:rsid w:val="1B04525F"/>
    <w:rsid w:val="1CA72AA1"/>
    <w:rsid w:val="1E3165E2"/>
    <w:rsid w:val="1F240CB5"/>
    <w:rsid w:val="20144886"/>
    <w:rsid w:val="207F164D"/>
    <w:rsid w:val="2355143D"/>
    <w:rsid w:val="267918E7"/>
    <w:rsid w:val="28FD7EA7"/>
    <w:rsid w:val="2BFC2C9E"/>
    <w:rsid w:val="2CA87C66"/>
    <w:rsid w:val="2DB51CDA"/>
    <w:rsid w:val="2FF13605"/>
    <w:rsid w:val="30A55C90"/>
    <w:rsid w:val="32036D43"/>
    <w:rsid w:val="32BF5156"/>
    <w:rsid w:val="330B68D9"/>
    <w:rsid w:val="336649B3"/>
    <w:rsid w:val="33FC1C96"/>
    <w:rsid w:val="342F6874"/>
    <w:rsid w:val="35BB3842"/>
    <w:rsid w:val="364451CC"/>
    <w:rsid w:val="386A0B08"/>
    <w:rsid w:val="398E5251"/>
    <w:rsid w:val="3A2716F2"/>
    <w:rsid w:val="3B0A26F4"/>
    <w:rsid w:val="3C373AF7"/>
    <w:rsid w:val="4230334A"/>
    <w:rsid w:val="44424AC2"/>
    <w:rsid w:val="45F91CA4"/>
    <w:rsid w:val="476B6BD2"/>
    <w:rsid w:val="48BF07A7"/>
    <w:rsid w:val="490F6207"/>
    <w:rsid w:val="4F2F65F9"/>
    <w:rsid w:val="517A4E54"/>
    <w:rsid w:val="51F461E3"/>
    <w:rsid w:val="561F5757"/>
    <w:rsid w:val="576A3B68"/>
    <w:rsid w:val="58140FA9"/>
    <w:rsid w:val="58D029E9"/>
    <w:rsid w:val="58FB1DD7"/>
    <w:rsid w:val="593A45D0"/>
    <w:rsid w:val="596B67BC"/>
    <w:rsid w:val="59ED3476"/>
    <w:rsid w:val="5BE46549"/>
    <w:rsid w:val="657C0F07"/>
    <w:rsid w:val="662D353F"/>
    <w:rsid w:val="66FB4A0F"/>
    <w:rsid w:val="68156784"/>
    <w:rsid w:val="6AE037FB"/>
    <w:rsid w:val="72420DD2"/>
    <w:rsid w:val="752B6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4"/>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5"/>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6"/>
    <w:unhideWhenUsed/>
    <w:qFormat/>
    <w:uiPriority w:val="0"/>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7"/>
    <w:unhideWhenUsed/>
    <w:qFormat/>
    <w:uiPriority w:val="0"/>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8"/>
    <w:unhideWhenUsed/>
    <w:qFormat/>
    <w:uiPriority w:val="0"/>
    <w:pPr>
      <w:keepNext/>
      <w:keepLines/>
      <w:spacing w:before="40"/>
      <w:outlineLvl w:val="5"/>
    </w:pPr>
    <w:rPr>
      <w:rFonts w:cstheme="majorBidi"/>
      <w:b/>
      <w:bCs/>
      <w:color w:val="104862" w:themeColor="accent1" w:themeShade="BF"/>
    </w:rPr>
  </w:style>
  <w:style w:type="paragraph" w:styleId="8">
    <w:name w:val="heading 7"/>
    <w:basedOn w:val="1"/>
    <w:next w:val="1"/>
    <w:link w:val="39"/>
    <w:unhideWhenUsed/>
    <w:qFormat/>
    <w:uiPriority w:val="0"/>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0"/>
    <w:unhideWhenUsed/>
    <w:qFormat/>
    <w:uiPriority w:val="0"/>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1"/>
    <w:unhideWhenUsed/>
    <w:qFormat/>
    <w:uiPriority w:val="0"/>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ind w:firstLine="420" w:firstLineChars="200"/>
    </w:pPr>
    <w:rPr>
      <w:rFonts w:ascii="Times New Roman" w:hAnsi="Times New Roman" w:eastAsia="宋体" w:cs="Times New Roman"/>
    </w:rPr>
  </w:style>
  <w:style w:type="paragraph" w:styleId="12">
    <w:name w:val="annotation text"/>
    <w:basedOn w:val="1"/>
    <w:link w:val="62"/>
    <w:qFormat/>
    <w:uiPriority w:val="0"/>
    <w:pPr>
      <w:jc w:val="left"/>
    </w:pPr>
    <w:rPr>
      <w:rFonts w:ascii="Times New Roman" w:hAnsi="Times New Roman" w:eastAsia="宋体" w:cs="Times New Roman"/>
      <w:szCs w:val="20"/>
    </w:rPr>
  </w:style>
  <w:style w:type="paragraph" w:styleId="13">
    <w:name w:val="Body Text"/>
    <w:basedOn w:val="1"/>
    <w:link w:val="64"/>
    <w:qFormat/>
    <w:uiPriority w:val="0"/>
    <w:pPr>
      <w:spacing w:after="120"/>
    </w:pPr>
    <w:rPr>
      <w:rFonts w:ascii="Times New Roman" w:hAnsi="Times New Roman" w:eastAsia="宋体" w:cs="Times New Roman"/>
      <w:szCs w:val="20"/>
    </w:rPr>
  </w:style>
  <w:style w:type="paragraph" w:styleId="14">
    <w:name w:val="Body Text Indent"/>
    <w:basedOn w:val="1"/>
    <w:link w:val="66"/>
    <w:qFormat/>
    <w:uiPriority w:val="0"/>
    <w:pPr>
      <w:spacing w:after="120"/>
      <w:ind w:left="420" w:leftChars="200"/>
    </w:pPr>
    <w:rPr>
      <w:rFonts w:ascii="Times New Roman" w:hAnsi="Times New Roman" w:eastAsia="宋体" w:cs="Times New Roman"/>
    </w:rPr>
  </w:style>
  <w:style w:type="paragraph" w:styleId="15">
    <w:name w:val="Plain Text"/>
    <w:basedOn w:val="1"/>
    <w:link w:val="68"/>
    <w:qFormat/>
    <w:uiPriority w:val="0"/>
    <w:rPr>
      <w:rFonts w:ascii="等线" w:hAnsi="Courier New" w:eastAsia="等线" w:cs="Times New Roman"/>
      <w:color w:val="000000"/>
      <w:kern w:val="0"/>
    </w:rPr>
  </w:style>
  <w:style w:type="paragraph" w:styleId="16">
    <w:name w:val="Balloon Text"/>
    <w:basedOn w:val="1"/>
    <w:link w:val="70"/>
    <w:qFormat/>
    <w:uiPriority w:val="0"/>
    <w:rPr>
      <w:rFonts w:ascii="Times New Roman" w:hAnsi="Times New Roman" w:eastAsia="宋体" w:cs="Times New Roman"/>
      <w:sz w:val="18"/>
      <w:szCs w:val="20"/>
    </w:rPr>
  </w:style>
  <w:style w:type="paragraph" w:styleId="17">
    <w:name w:val="footer"/>
    <w:basedOn w:val="1"/>
    <w:link w:val="72"/>
    <w:qFormat/>
    <w:uiPriority w:val="0"/>
    <w:pPr>
      <w:tabs>
        <w:tab w:val="center" w:pos="4153"/>
        <w:tab w:val="right" w:pos="8306"/>
      </w:tabs>
      <w:snapToGrid w:val="0"/>
      <w:jc w:val="left"/>
    </w:pPr>
    <w:rPr>
      <w:rFonts w:ascii="Calibri" w:hAnsi="Calibri" w:eastAsia="宋体" w:cs="Times New Roman"/>
      <w:sz w:val="22"/>
      <w:szCs w:val="20"/>
    </w:rPr>
  </w:style>
  <w:style w:type="paragraph" w:styleId="18">
    <w:name w:val="header"/>
    <w:basedOn w:val="1"/>
    <w:link w:val="74"/>
    <w:qFormat/>
    <w:uiPriority w:val="0"/>
    <w:pPr>
      <w:tabs>
        <w:tab w:val="center" w:pos="4153"/>
        <w:tab w:val="right" w:pos="8306"/>
      </w:tabs>
      <w:snapToGrid w:val="0"/>
    </w:pPr>
    <w:rPr>
      <w:rFonts w:ascii="Times New Roman" w:hAnsi="Times New Roman" w:eastAsia="宋体" w:cs="Times New Roman"/>
      <w:sz w:val="18"/>
      <w:szCs w:val="20"/>
    </w:rPr>
  </w:style>
  <w:style w:type="paragraph" w:styleId="19">
    <w:name w:val="Subtitle"/>
    <w:basedOn w:val="1"/>
    <w:next w:val="1"/>
    <w:link w:val="4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Title"/>
    <w:basedOn w:val="1"/>
    <w:next w:val="1"/>
    <w:link w:val="42"/>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22">
    <w:name w:val="annotation subject"/>
    <w:basedOn w:val="12"/>
    <w:next w:val="12"/>
    <w:link w:val="77"/>
    <w:qFormat/>
    <w:uiPriority w:val="0"/>
    <w:rPr>
      <w:b/>
      <w:bCs/>
      <w:szCs w:val="22"/>
    </w:rPr>
  </w:style>
  <w:style w:type="paragraph" w:styleId="23">
    <w:name w:val="Body Text First Indent"/>
    <w:basedOn w:val="13"/>
    <w:link w:val="142"/>
    <w:qFormat/>
    <w:uiPriority w:val="0"/>
    <w:pPr>
      <w:ind w:firstLine="420" w:firstLineChars="100"/>
    </w:pPr>
    <w:rPr>
      <w:rFonts w:ascii="Calibri" w:hAnsi="Calibri"/>
      <w:szCs w:val="22"/>
    </w:rPr>
  </w:style>
  <w:style w:type="paragraph" w:styleId="24">
    <w:name w:val="Body Text First Indent 2"/>
    <w:basedOn w:val="14"/>
    <w:link w:val="141"/>
    <w:semiHidden/>
    <w:unhideWhenUsed/>
    <w:qFormat/>
    <w:uiPriority w:val="99"/>
    <w:pPr>
      <w:ind w:firstLine="420" w:firstLineChars="200"/>
    </w:pPr>
    <w:rPr>
      <w:rFonts w:ascii="等线" w:hAnsi="等线" w:eastAsia="等线"/>
    </w:rPr>
  </w:style>
  <w:style w:type="table" w:styleId="26">
    <w:name w:val="Table Grid"/>
    <w:basedOn w:val="2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rFonts w:cs="Times New Roman"/>
      <w:b/>
    </w:rPr>
  </w:style>
  <w:style w:type="character" w:styleId="29">
    <w:name w:val="page number"/>
    <w:qFormat/>
    <w:uiPriority w:val="0"/>
    <w:rPr>
      <w:rFonts w:cs="Times New Roman"/>
      <w:lang w:bidi="ar-SA"/>
    </w:rPr>
  </w:style>
  <w:style w:type="character" w:styleId="30">
    <w:name w:val="Hyperlink"/>
    <w:qFormat/>
    <w:uiPriority w:val="99"/>
    <w:rPr>
      <w:rFonts w:cs="Times New Roman"/>
      <w:color w:val="0000FF"/>
      <w:u w:val="single"/>
    </w:rPr>
  </w:style>
  <w:style w:type="character" w:styleId="31">
    <w:name w:val="annotation reference"/>
    <w:qFormat/>
    <w:uiPriority w:val="0"/>
    <w:rPr>
      <w:sz w:val="21"/>
      <w:szCs w:val="21"/>
    </w:rPr>
  </w:style>
  <w:style w:type="character" w:styleId="32">
    <w:name w:val="footnote reference"/>
    <w:qFormat/>
    <w:uiPriority w:val="0"/>
    <w:rPr>
      <w:rFonts w:cs="Times New Roman"/>
      <w:vertAlign w:val="superscript"/>
    </w:rPr>
  </w:style>
  <w:style w:type="character" w:customStyle="1" w:styleId="33">
    <w:name w:val="标题 1 字符"/>
    <w:basedOn w:val="27"/>
    <w:link w:val="2"/>
    <w:qFormat/>
    <w:uiPriority w:val="9"/>
    <w:rPr>
      <w:rFonts w:asciiTheme="majorHAnsi" w:hAnsiTheme="majorHAnsi" w:eastAsiaTheme="majorEastAsia" w:cstheme="majorBidi"/>
      <w:color w:val="104862" w:themeColor="accent1" w:themeShade="BF"/>
      <w:sz w:val="48"/>
      <w:szCs w:val="48"/>
    </w:rPr>
  </w:style>
  <w:style w:type="character" w:customStyle="1" w:styleId="34">
    <w:name w:val="标题 2 字符"/>
    <w:basedOn w:val="2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35">
    <w:name w:val="标题 3 字符"/>
    <w:basedOn w:val="2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6">
    <w:name w:val="标题 4 字符"/>
    <w:basedOn w:val="27"/>
    <w:link w:val="5"/>
    <w:semiHidden/>
    <w:qFormat/>
    <w:uiPriority w:val="9"/>
    <w:rPr>
      <w:rFonts w:cstheme="majorBidi"/>
      <w:color w:val="104862" w:themeColor="accent1" w:themeShade="BF"/>
      <w:sz w:val="28"/>
      <w:szCs w:val="28"/>
    </w:rPr>
  </w:style>
  <w:style w:type="character" w:customStyle="1" w:styleId="37">
    <w:name w:val="标题 5 字符"/>
    <w:basedOn w:val="27"/>
    <w:link w:val="6"/>
    <w:semiHidden/>
    <w:qFormat/>
    <w:uiPriority w:val="9"/>
    <w:rPr>
      <w:rFonts w:cstheme="majorBidi"/>
      <w:color w:val="104862" w:themeColor="accent1" w:themeShade="BF"/>
      <w:sz w:val="24"/>
      <w:szCs w:val="24"/>
    </w:rPr>
  </w:style>
  <w:style w:type="character" w:customStyle="1" w:styleId="38">
    <w:name w:val="标题 6 字符"/>
    <w:basedOn w:val="27"/>
    <w:link w:val="7"/>
    <w:semiHidden/>
    <w:qFormat/>
    <w:uiPriority w:val="9"/>
    <w:rPr>
      <w:rFonts w:cstheme="majorBidi"/>
      <w:b/>
      <w:bCs/>
      <w:color w:val="104862" w:themeColor="accent1" w:themeShade="BF"/>
    </w:rPr>
  </w:style>
  <w:style w:type="character" w:customStyle="1" w:styleId="39">
    <w:name w:val="标题 7 字符"/>
    <w:basedOn w:val="2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0">
    <w:name w:val="标题 8 字符"/>
    <w:basedOn w:val="2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1">
    <w:name w:val="标题 9 字符"/>
    <w:basedOn w:val="2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2">
    <w:name w:val="标题 字符"/>
    <w:basedOn w:val="27"/>
    <w:link w:val="21"/>
    <w:qFormat/>
    <w:uiPriority w:val="10"/>
    <w:rPr>
      <w:rFonts w:asciiTheme="majorHAnsi" w:hAnsiTheme="majorHAnsi" w:eastAsiaTheme="majorEastAsia" w:cstheme="majorBidi"/>
      <w:spacing w:val="-10"/>
      <w:kern w:val="28"/>
      <w:sz w:val="56"/>
      <w:szCs w:val="56"/>
    </w:rPr>
  </w:style>
  <w:style w:type="character" w:customStyle="1" w:styleId="43">
    <w:name w:val="副标题 字符"/>
    <w:basedOn w:val="27"/>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4">
    <w:name w:val="Quote"/>
    <w:basedOn w:val="1"/>
    <w:next w:val="1"/>
    <w:link w:val="4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5">
    <w:name w:val="引用 字符"/>
    <w:basedOn w:val="27"/>
    <w:link w:val="44"/>
    <w:qFormat/>
    <w:uiPriority w:val="29"/>
    <w:rPr>
      <w:i/>
      <w:iCs/>
      <w:color w:val="404040" w:themeColor="text1" w:themeTint="BF"/>
      <w14:textFill>
        <w14:solidFill>
          <w14:schemeClr w14:val="tx1">
            <w14:lumMod w14:val="75000"/>
            <w14:lumOff w14:val="25000"/>
          </w14:schemeClr>
        </w14:solidFill>
      </w14:textFill>
    </w:rPr>
  </w:style>
  <w:style w:type="paragraph" w:styleId="46">
    <w:name w:val="List Paragraph"/>
    <w:basedOn w:val="1"/>
    <w:qFormat/>
    <w:uiPriority w:val="34"/>
    <w:pPr>
      <w:ind w:left="720"/>
      <w:contextualSpacing/>
    </w:pPr>
  </w:style>
  <w:style w:type="character" w:customStyle="1" w:styleId="47">
    <w:name w:val="明显强调1"/>
    <w:basedOn w:val="27"/>
    <w:qFormat/>
    <w:uiPriority w:val="21"/>
    <w:rPr>
      <w:i/>
      <w:iCs/>
      <w:color w:val="104862" w:themeColor="accent1" w:themeShade="BF"/>
    </w:rPr>
  </w:style>
  <w:style w:type="paragraph" w:styleId="48">
    <w:name w:val="Intense Quote"/>
    <w:basedOn w:val="1"/>
    <w:next w:val="1"/>
    <w:link w:val="4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9">
    <w:name w:val="明显引用 字符"/>
    <w:basedOn w:val="27"/>
    <w:link w:val="48"/>
    <w:qFormat/>
    <w:uiPriority w:val="30"/>
    <w:rPr>
      <w:i/>
      <w:iCs/>
      <w:color w:val="104862" w:themeColor="accent1" w:themeShade="BF"/>
    </w:rPr>
  </w:style>
  <w:style w:type="character" w:customStyle="1" w:styleId="50">
    <w:name w:val="明显参考1"/>
    <w:basedOn w:val="27"/>
    <w:qFormat/>
    <w:uiPriority w:val="32"/>
    <w:rPr>
      <w:b/>
      <w:bCs/>
      <w:smallCaps/>
      <w:color w:val="104862" w:themeColor="accent1" w:themeShade="BF"/>
      <w:spacing w:val="5"/>
    </w:rPr>
  </w:style>
  <w:style w:type="character" w:customStyle="1" w:styleId="51">
    <w:name w:val="标题 1 字符1"/>
    <w:qFormat/>
    <w:uiPriority w:val="0"/>
    <w:rPr>
      <w:rFonts w:ascii="Times New Roman" w:hAnsi="Times New Roman" w:eastAsia="宋体"/>
      <w:b/>
      <w:kern w:val="44"/>
      <w:sz w:val="44"/>
    </w:rPr>
  </w:style>
  <w:style w:type="character" w:customStyle="1" w:styleId="52">
    <w:name w:val="标题 2 字符1"/>
    <w:qFormat/>
    <w:uiPriority w:val="0"/>
    <w:rPr>
      <w:rFonts w:ascii="宋体" w:hAnsi="宋体" w:eastAsia="宋体"/>
      <w:b/>
      <w:kern w:val="2"/>
      <w:sz w:val="32"/>
    </w:rPr>
  </w:style>
  <w:style w:type="character" w:customStyle="1" w:styleId="53">
    <w:name w:val="标题 3 字符1"/>
    <w:qFormat/>
    <w:uiPriority w:val="0"/>
    <w:rPr>
      <w:rFonts w:ascii="宋体" w:hAnsi="宋体" w:eastAsia="宋体"/>
      <w:b/>
      <w:kern w:val="2"/>
      <w:sz w:val="28"/>
    </w:rPr>
  </w:style>
  <w:style w:type="character" w:customStyle="1" w:styleId="54">
    <w:name w:val="标题 4 字符1"/>
    <w:qFormat/>
    <w:uiPriority w:val="0"/>
    <w:rPr>
      <w:rFonts w:ascii="宋体" w:hAnsi="宋体" w:eastAsia="宋体"/>
      <w:b/>
      <w:kern w:val="2"/>
      <w:sz w:val="28"/>
      <w:szCs w:val="28"/>
    </w:rPr>
  </w:style>
  <w:style w:type="character" w:customStyle="1" w:styleId="55">
    <w:name w:val="标题 5 字符1"/>
    <w:qFormat/>
    <w:uiPriority w:val="0"/>
    <w:rPr>
      <w:rFonts w:ascii="Times New Roman" w:hAnsi="Times New Roman" w:eastAsia="宋体"/>
      <w:b/>
      <w:kern w:val="2"/>
      <w:sz w:val="28"/>
    </w:rPr>
  </w:style>
  <w:style w:type="character" w:customStyle="1" w:styleId="56">
    <w:name w:val="标题 6 字符1"/>
    <w:qFormat/>
    <w:uiPriority w:val="0"/>
    <w:rPr>
      <w:rFonts w:ascii="Arial" w:hAnsi="Arial" w:eastAsia="黑体"/>
      <w:b/>
      <w:sz w:val="24"/>
    </w:rPr>
  </w:style>
  <w:style w:type="character" w:customStyle="1" w:styleId="57">
    <w:name w:val="标题 7 字符1"/>
    <w:qFormat/>
    <w:uiPriority w:val="0"/>
    <w:rPr>
      <w:rFonts w:ascii="Times New Roman" w:hAnsi="Times New Roman" w:eastAsia="宋体"/>
      <w:b/>
      <w:sz w:val="24"/>
    </w:rPr>
  </w:style>
  <w:style w:type="character" w:customStyle="1" w:styleId="58">
    <w:name w:val="标题 8 字符1"/>
    <w:qFormat/>
    <w:uiPriority w:val="0"/>
    <w:rPr>
      <w:rFonts w:ascii="Arial" w:hAnsi="Arial" w:eastAsia="黑体"/>
      <w:sz w:val="24"/>
    </w:rPr>
  </w:style>
  <w:style w:type="character" w:customStyle="1" w:styleId="59">
    <w:name w:val="标题 9 字符1"/>
    <w:qFormat/>
    <w:uiPriority w:val="0"/>
    <w:rPr>
      <w:rFonts w:ascii="Arial" w:hAnsi="Arial" w:eastAsia="黑体"/>
      <w:sz w:val="21"/>
    </w:rPr>
  </w:style>
  <w:style w:type="paragraph" w:customStyle="1" w:styleId="60">
    <w:name w:val="_Style 41"/>
    <w:basedOn w:val="14"/>
    <w:next w:val="24"/>
    <w:link w:val="78"/>
    <w:qFormat/>
    <w:uiPriority w:val="0"/>
    <w:pPr>
      <w:ind w:firstLine="420" w:firstLineChars="200"/>
    </w:pPr>
    <w:rPr>
      <w:kern w:val="0"/>
      <w:sz w:val="20"/>
      <w:szCs w:val="20"/>
    </w:rPr>
  </w:style>
  <w:style w:type="character" w:customStyle="1" w:styleId="61">
    <w:name w:val="批注文字 字符"/>
    <w:basedOn w:val="27"/>
    <w:semiHidden/>
    <w:qFormat/>
    <w:uiPriority w:val="99"/>
  </w:style>
  <w:style w:type="character" w:customStyle="1" w:styleId="62">
    <w:name w:val="批注文字 字符1"/>
    <w:link w:val="12"/>
    <w:qFormat/>
    <w:uiPriority w:val="0"/>
    <w:rPr>
      <w:rFonts w:ascii="Times New Roman" w:hAnsi="Times New Roman" w:eastAsia="宋体" w:cs="Times New Roman"/>
      <w:szCs w:val="20"/>
    </w:rPr>
  </w:style>
  <w:style w:type="character" w:customStyle="1" w:styleId="63">
    <w:name w:val="正文文本 字符"/>
    <w:basedOn w:val="27"/>
    <w:semiHidden/>
    <w:qFormat/>
    <w:uiPriority w:val="99"/>
  </w:style>
  <w:style w:type="character" w:customStyle="1" w:styleId="64">
    <w:name w:val="正文文本 字符1"/>
    <w:link w:val="13"/>
    <w:qFormat/>
    <w:uiPriority w:val="0"/>
    <w:rPr>
      <w:rFonts w:ascii="Times New Roman" w:hAnsi="Times New Roman" w:eastAsia="宋体" w:cs="Times New Roman"/>
      <w:szCs w:val="20"/>
    </w:rPr>
  </w:style>
  <w:style w:type="character" w:customStyle="1" w:styleId="65">
    <w:name w:val="正文文本缩进 字符"/>
    <w:basedOn w:val="27"/>
    <w:semiHidden/>
    <w:qFormat/>
    <w:uiPriority w:val="99"/>
  </w:style>
  <w:style w:type="character" w:customStyle="1" w:styleId="66">
    <w:name w:val="正文文本缩进 字符1"/>
    <w:link w:val="14"/>
    <w:qFormat/>
    <w:uiPriority w:val="0"/>
    <w:rPr>
      <w:rFonts w:ascii="Times New Roman" w:hAnsi="Times New Roman" w:eastAsia="宋体" w:cs="Times New Roman"/>
    </w:rPr>
  </w:style>
  <w:style w:type="character" w:customStyle="1" w:styleId="67">
    <w:name w:val="纯文本 字符"/>
    <w:basedOn w:val="27"/>
    <w:semiHidden/>
    <w:qFormat/>
    <w:uiPriority w:val="99"/>
    <w:rPr>
      <w:rFonts w:hAnsi="Courier New" w:cs="Courier New" w:asciiTheme="minorEastAsia"/>
    </w:rPr>
  </w:style>
  <w:style w:type="character" w:customStyle="1" w:styleId="68">
    <w:name w:val="纯文本 字符1"/>
    <w:link w:val="15"/>
    <w:qFormat/>
    <w:uiPriority w:val="0"/>
    <w:rPr>
      <w:rFonts w:ascii="等线" w:hAnsi="Courier New" w:eastAsia="等线" w:cs="Times New Roman"/>
      <w:color w:val="000000"/>
      <w:kern w:val="0"/>
    </w:rPr>
  </w:style>
  <w:style w:type="character" w:customStyle="1" w:styleId="69">
    <w:name w:val="批注框文本 字符"/>
    <w:basedOn w:val="27"/>
    <w:semiHidden/>
    <w:qFormat/>
    <w:uiPriority w:val="99"/>
    <w:rPr>
      <w:sz w:val="18"/>
      <w:szCs w:val="18"/>
    </w:rPr>
  </w:style>
  <w:style w:type="character" w:customStyle="1" w:styleId="70">
    <w:name w:val="批注框文本 字符1"/>
    <w:link w:val="16"/>
    <w:qFormat/>
    <w:uiPriority w:val="0"/>
    <w:rPr>
      <w:rFonts w:ascii="Times New Roman" w:hAnsi="Times New Roman" w:eastAsia="宋体" w:cs="Times New Roman"/>
      <w:sz w:val="18"/>
      <w:szCs w:val="20"/>
    </w:rPr>
  </w:style>
  <w:style w:type="character" w:customStyle="1" w:styleId="71">
    <w:name w:val="页脚 字符"/>
    <w:basedOn w:val="27"/>
    <w:semiHidden/>
    <w:qFormat/>
    <w:uiPriority w:val="99"/>
    <w:rPr>
      <w:sz w:val="18"/>
      <w:szCs w:val="18"/>
    </w:rPr>
  </w:style>
  <w:style w:type="character" w:customStyle="1" w:styleId="72">
    <w:name w:val="页脚 字符1"/>
    <w:link w:val="17"/>
    <w:qFormat/>
    <w:uiPriority w:val="0"/>
    <w:rPr>
      <w:rFonts w:ascii="Calibri" w:hAnsi="Calibri" w:eastAsia="宋体" w:cs="Times New Roman"/>
      <w:sz w:val="22"/>
      <w:szCs w:val="20"/>
    </w:rPr>
  </w:style>
  <w:style w:type="character" w:customStyle="1" w:styleId="73">
    <w:name w:val="页眉 字符"/>
    <w:basedOn w:val="27"/>
    <w:semiHidden/>
    <w:qFormat/>
    <w:uiPriority w:val="99"/>
    <w:rPr>
      <w:sz w:val="18"/>
      <w:szCs w:val="18"/>
    </w:rPr>
  </w:style>
  <w:style w:type="character" w:customStyle="1" w:styleId="74">
    <w:name w:val="页眉 字符1"/>
    <w:link w:val="18"/>
    <w:qFormat/>
    <w:uiPriority w:val="0"/>
    <w:rPr>
      <w:rFonts w:ascii="Times New Roman" w:hAnsi="Times New Roman" w:eastAsia="宋体" w:cs="Times New Roman"/>
      <w:sz w:val="18"/>
      <w:szCs w:val="20"/>
    </w:rPr>
  </w:style>
  <w:style w:type="character" w:customStyle="1" w:styleId="75">
    <w:name w:val="标题 字符1"/>
    <w:qFormat/>
    <w:uiPriority w:val="0"/>
    <w:rPr>
      <w:rFonts w:ascii="Arial" w:hAnsi="Arial" w:eastAsia="宋体"/>
      <w:b/>
      <w:sz w:val="32"/>
    </w:rPr>
  </w:style>
  <w:style w:type="character" w:customStyle="1" w:styleId="76">
    <w:name w:val="批注主题 字符"/>
    <w:basedOn w:val="61"/>
    <w:semiHidden/>
    <w:qFormat/>
    <w:uiPriority w:val="99"/>
    <w:rPr>
      <w:b/>
      <w:bCs/>
    </w:rPr>
  </w:style>
  <w:style w:type="character" w:customStyle="1" w:styleId="77">
    <w:name w:val="批注主题 字符1"/>
    <w:link w:val="22"/>
    <w:qFormat/>
    <w:uiPriority w:val="0"/>
    <w:rPr>
      <w:rFonts w:ascii="Times New Roman" w:hAnsi="Times New Roman" w:eastAsia="宋体" w:cs="Times New Roman"/>
      <w:b/>
      <w:bCs/>
    </w:rPr>
  </w:style>
  <w:style w:type="character" w:customStyle="1" w:styleId="78">
    <w:name w:val="正文首行缩进 2 字符1"/>
    <w:link w:val="60"/>
    <w:qFormat/>
    <w:uiPriority w:val="0"/>
    <w:rPr>
      <w:rFonts w:ascii="Times New Roman" w:hAnsi="Times New Roman" w:eastAsia="宋体"/>
    </w:rPr>
  </w:style>
  <w:style w:type="character" w:customStyle="1" w:styleId="79">
    <w:name w:val="正文首行缩进 2 字符"/>
    <w:semiHidden/>
    <w:qFormat/>
    <w:uiPriority w:val="99"/>
  </w:style>
  <w:style w:type="paragraph" w:customStyle="1" w:styleId="80">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1">
    <w:name w:val="标题 5 Char Char"/>
    <w:qFormat/>
    <w:uiPriority w:val="0"/>
    <w:rPr>
      <w:rFonts w:eastAsia="宋体"/>
      <w:b/>
      <w:kern w:val="2"/>
      <w:sz w:val="28"/>
    </w:rPr>
  </w:style>
  <w:style w:type="character" w:customStyle="1" w:styleId="82">
    <w:name w:val="Body Text First Indent Char Char"/>
    <w:link w:val="83"/>
    <w:qFormat/>
    <w:uiPriority w:val="0"/>
    <w:rPr>
      <w:sz w:val="24"/>
    </w:rPr>
  </w:style>
  <w:style w:type="paragraph" w:customStyle="1" w:styleId="83">
    <w:name w:val="正文文本首行缩进1"/>
    <w:basedOn w:val="13"/>
    <w:link w:val="82"/>
    <w:qFormat/>
    <w:uiPriority w:val="0"/>
    <w:pPr>
      <w:spacing w:line="312" w:lineRule="auto"/>
      <w:ind w:firstLine="420"/>
    </w:pPr>
    <w:rPr>
      <w:rFonts w:asciiTheme="minorHAnsi" w:hAnsiTheme="minorHAnsi" w:eastAsiaTheme="minorEastAsia" w:cstheme="minorBidi"/>
      <w:sz w:val="24"/>
      <w:szCs w:val="22"/>
    </w:rPr>
  </w:style>
  <w:style w:type="character" w:customStyle="1" w:styleId="84">
    <w:name w:val="style_kwd"/>
    <w:qFormat/>
    <w:uiPriority w:val="0"/>
  </w:style>
  <w:style w:type="character" w:customStyle="1" w:styleId="85">
    <w:name w:val="Document Map Char Char"/>
    <w:link w:val="86"/>
    <w:qFormat/>
    <w:uiPriority w:val="0"/>
    <w:rPr>
      <w:rFonts w:ascii="宋体" w:hAnsi="Calibri"/>
      <w:sz w:val="18"/>
    </w:rPr>
  </w:style>
  <w:style w:type="paragraph" w:customStyle="1" w:styleId="86">
    <w:name w:val="文档结构图1"/>
    <w:basedOn w:val="1"/>
    <w:link w:val="85"/>
    <w:qFormat/>
    <w:uiPriority w:val="0"/>
    <w:rPr>
      <w:rFonts w:ascii="宋体" w:hAnsi="Calibri"/>
      <w:sz w:val="18"/>
    </w:rPr>
  </w:style>
  <w:style w:type="character" w:customStyle="1" w:styleId="87">
    <w:name w:val="正文文本 Char Char"/>
    <w:qFormat/>
    <w:uiPriority w:val="0"/>
    <w:rPr>
      <w:rFonts w:eastAsia="宋体"/>
      <w:kern w:val="2"/>
      <w:sz w:val="24"/>
      <w:lang w:val="en-US" w:eastAsia="zh-CN"/>
    </w:rPr>
  </w:style>
  <w:style w:type="character" w:customStyle="1" w:styleId="88">
    <w:name w:val="页码1"/>
    <w:qFormat/>
    <w:uiPriority w:val="0"/>
    <w:rPr>
      <w:rFonts w:cs="Times New Roman"/>
    </w:rPr>
  </w:style>
  <w:style w:type="character" w:customStyle="1" w:styleId="89">
    <w:name w:val="Date Char Char"/>
    <w:link w:val="90"/>
    <w:qFormat/>
    <w:uiPriority w:val="0"/>
  </w:style>
  <w:style w:type="paragraph" w:customStyle="1" w:styleId="90">
    <w:name w:val="日期1"/>
    <w:basedOn w:val="1"/>
    <w:next w:val="1"/>
    <w:link w:val="89"/>
    <w:qFormat/>
    <w:uiPriority w:val="0"/>
    <w:pPr>
      <w:ind w:left="2500" w:leftChars="2500"/>
    </w:pPr>
  </w:style>
  <w:style w:type="character" w:customStyle="1" w:styleId="91">
    <w:name w:val="Comment Subject Char"/>
    <w:link w:val="92"/>
    <w:qFormat/>
    <w:uiPriority w:val="0"/>
  </w:style>
  <w:style w:type="paragraph" w:customStyle="1" w:styleId="92">
    <w:name w:val="批注主题1"/>
    <w:basedOn w:val="12"/>
    <w:next w:val="12"/>
    <w:link w:val="91"/>
    <w:qFormat/>
    <w:uiPriority w:val="0"/>
    <w:rPr>
      <w:rFonts w:asciiTheme="minorHAnsi" w:hAnsiTheme="minorHAnsi" w:eastAsiaTheme="minorEastAsia" w:cstheme="minorBidi"/>
      <w:szCs w:val="22"/>
    </w:rPr>
  </w:style>
  <w:style w:type="character" w:customStyle="1" w:styleId="93">
    <w:name w:val="Body Text 3 Char Char"/>
    <w:link w:val="94"/>
    <w:qFormat/>
    <w:uiPriority w:val="0"/>
    <w:rPr>
      <w:rFonts w:ascii="宋体" w:hAnsi="Calibri"/>
      <w:sz w:val="24"/>
    </w:rPr>
  </w:style>
  <w:style w:type="paragraph" w:customStyle="1" w:styleId="94">
    <w:name w:val="正文文本 31"/>
    <w:basedOn w:val="1"/>
    <w:link w:val="93"/>
    <w:qFormat/>
    <w:uiPriority w:val="0"/>
    <w:rPr>
      <w:rFonts w:ascii="宋体" w:hAnsi="Calibri"/>
      <w:sz w:val="24"/>
    </w:rPr>
  </w:style>
  <w:style w:type="character" w:customStyle="1" w:styleId="95">
    <w:name w:val="正文首行缩进 Char1"/>
    <w:qFormat/>
    <w:uiPriority w:val="0"/>
    <w:rPr>
      <w:rFonts w:eastAsia="宋体"/>
      <w:kern w:val="2"/>
      <w:sz w:val="21"/>
    </w:rPr>
  </w:style>
  <w:style w:type="character" w:customStyle="1" w:styleId="96">
    <w:name w:val="文一 Char Char"/>
    <w:link w:val="97"/>
    <w:qFormat/>
    <w:uiPriority w:val="0"/>
    <w:rPr>
      <w:spacing w:val="4"/>
      <w:sz w:val="24"/>
    </w:rPr>
  </w:style>
  <w:style w:type="paragraph" w:customStyle="1" w:styleId="97">
    <w:name w:val="文一"/>
    <w:basedOn w:val="1"/>
    <w:link w:val="96"/>
    <w:qFormat/>
    <w:uiPriority w:val="0"/>
    <w:pPr>
      <w:topLinePunct/>
      <w:adjustRightInd w:val="0"/>
      <w:snapToGrid w:val="0"/>
      <w:spacing w:line="360" w:lineRule="auto"/>
      <w:ind w:firstLine="200" w:firstLineChars="200"/>
    </w:pPr>
    <w:rPr>
      <w:spacing w:val="4"/>
      <w:sz w:val="24"/>
    </w:rPr>
  </w:style>
  <w:style w:type="character" w:customStyle="1" w:styleId="98">
    <w:name w:val="Body Text Indent 3 Char Char"/>
    <w:link w:val="99"/>
    <w:qFormat/>
    <w:uiPriority w:val="0"/>
    <w:rPr>
      <w:rFonts w:ascii="Calibri" w:hAnsi="Calibri"/>
      <w:sz w:val="16"/>
    </w:rPr>
  </w:style>
  <w:style w:type="paragraph" w:customStyle="1" w:styleId="99">
    <w:name w:val="正文文本缩进 31"/>
    <w:basedOn w:val="1"/>
    <w:link w:val="98"/>
    <w:qFormat/>
    <w:uiPriority w:val="0"/>
    <w:pPr>
      <w:spacing w:after="120"/>
      <w:ind w:left="200" w:leftChars="200"/>
    </w:pPr>
    <w:rPr>
      <w:rFonts w:ascii="Calibri" w:hAnsi="Calibri"/>
      <w:sz w:val="16"/>
    </w:rPr>
  </w:style>
  <w:style w:type="character" w:customStyle="1" w:styleId="100">
    <w:name w:val="Comment Text Char"/>
    <w:qFormat/>
    <w:uiPriority w:val="0"/>
    <w:rPr>
      <w:rFonts w:cs="Times New Roman"/>
    </w:rPr>
  </w:style>
  <w:style w:type="character" w:customStyle="1" w:styleId="101">
    <w:name w:val="Body Text Indent Char Char"/>
    <w:link w:val="102"/>
    <w:qFormat/>
    <w:uiPriority w:val="0"/>
  </w:style>
  <w:style w:type="paragraph" w:customStyle="1" w:styleId="102">
    <w:name w:val="正文文本缩进1"/>
    <w:basedOn w:val="1"/>
    <w:link w:val="101"/>
    <w:qFormat/>
    <w:uiPriority w:val="0"/>
    <w:pPr>
      <w:spacing w:after="120"/>
      <w:ind w:left="420" w:leftChars="200"/>
    </w:pPr>
  </w:style>
  <w:style w:type="character" w:customStyle="1" w:styleId="103">
    <w:name w:val="font161"/>
    <w:qFormat/>
    <w:uiPriority w:val="0"/>
    <w:rPr>
      <w:b/>
      <w:sz w:val="32"/>
    </w:rPr>
  </w:style>
  <w:style w:type="character" w:customStyle="1" w:styleId="104">
    <w:name w:val="Plain Text Char Char"/>
    <w:link w:val="105"/>
    <w:qFormat/>
    <w:uiPriority w:val="0"/>
    <w:rPr>
      <w:rFonts w:ascii="宋体" w:hAnsi="Calibri"/>
      <w:sz w:val="22"/>
    </w:rPr>
  </w:style>
  <w:style w:type="paragraph" w:customStyle="1" w:styleId="105">
    <w:name w:val="纯文本1"/>
    <w:basedOn w:val="1"/>
    <w:link w:val="104"/>
    <w:qFormat/>
    <w:uiPriority w:val="0"/>
    <w:rPr>
      <w:rFonts w:ascii="宋体" w:hAnsi="Calibri"/>
      <w:sz w:val="22"/>
    </w:rPr>
  </w:style>
  <w:style w:type="character" w:customStyle="1" w:styleId="106">
    <w:name w:val="页脚 Char Char"/>
    <w:qFormat/>
    <w:uiPriority w:val="0"/>
    <w:rPr>
      <w:rFonts w:ascii="Calibri" w:hAnsi="Calibri" w:eastAsia="宋体"/>
      <w:kern w:val="2"/>
      <w:sz w:val="22"/>
    </w:rPr>
  </w:style>
  <w:style w:type="character" w:customStyle="1" w:styleId="107">
    <w:name w:val="批注文字 Char1"/>
    <w:qFormat/>
    <w:uiPriority w:val="0"/>
    <w:rPr>
      <w:rFonts w:ascii="Times New Roman" w:hAnsi="Times New Roman" w:eastAsia="宋体"/>
      <w:sz w:val="20"/>
    </w:rPr>
  </w:style>
  <w:style w:type="character" w:customStyle="1" w:styleId="108">
    <w:name w:val="批注文字 Char2"/>
    <w:qFormat/>
    <w:uiPriority w:val="0"/>
    <w:rPr>
      <w:rFonts w:ascii="Times New Roman" w:hAnsi="Times New Roman"/>
      <w:kern w:val="2"/>
      <w:sz w:val="24"/>
    </w:rPr>
  </w:style>
  <w:style w:type="character" w:customStyle="1" w:styleId="109">
    <w:name w:val="批注引用1"/>
    <w:qFormat/>
    <w:uiPriority w:val="0"/>
    <w:rPr>
      <w:rFonts w:cs="Times New Roman"/>
      <w:sz w:val="21"/>
    </w:rPr>
  </w:style>
  <w:style w:type="character" w:customStyle="1" w:styleId="110">
    <w:name w:val="样式3 字符"/>
    <w:link w:val="111"/>
    <w:qFormat/>
    <w:uiPriority w:val="0"/>
    <w:rPr>
      <w:rFonts w:ascii="宋体" w:hAnsi="宋体"/>
      <w:szCs w:val="21"/>
    </w:rPr>
  </w:style>
  <w:style w:type="paragraph" w:customStyle="1" w:styleId="111">
    <w:name w:val="样式3"/>
    <w:basedOn w:val="13"/>
    <w:link w:val="110"/>
    <w:qFormat/>
    <w:uiPriority w:val="0"/>
    <w:pPr>
      <w:kinsoku w:val="0"/>
      <w:overflowPunct w:val="0"/>
      <w:spacing w:before="21" w:line="328" w:lineRule="auto"/>
      <w:ind w:left="100" w:firstLine="419"/>
    </w:pPr>
    <w:rPr>
      <w:rFonts w:ascii="宋体" w:hAnsi="宋体" w:eastAsiaTheme="minorEastAsia" w:cstheme="minorBidi"/>
      <w:szCs w:val="21"/>
    </w:rPr>
  </w:style>
  <w:style w:type="paragraph" w:customStyle="1" w:styleId="112">
    <w:name w:val="Char1"/>
    <w:basedOn w:val="1"/>
    <w:qFormat/>
    <w:uiPriority w:val="0"/>
    <w:pPr>
      <w:tabs>
        <w:tab w:val="left" w:pos="360"/>
      </w:tabs>
    </w:pPr>
    <w:rPr>
      <w:rFonts w:ascii="Times New Roman" w:hAnsi="Times New Roman" w:eastAsia="宋体" w:cs="Times New Roman"/>
      <w:sz w:val="24"/>
      <w:szCs w:val="20"/>
    </w:rPr>
  </w:style>
  <w:style w:type="paragraph" w:customStyle="1" w:styleId="113">
    <w:name w:val="表格"/>
    <w:basedOn w:val="1"/>
    <w:qFormat/>
    <w:uiPriority w:val="0"/>
    <w:pPr>
      <w:jc w:val="center"/>
      <w:textAlignment w:val="center"/>
    </w:pPr>
    <w:rPr>
      <w:rFonts w:ascii="华文细黑" w:hAnsi="华文细黑" w:eastAsia="宋体" w:cs="Times New Roman"/>
      <w:kern w:val="0"/>
      <w:szCs w:val="20"/>
    </w:rPr>
  </w:style>
  <w:style w:type="paragraph" w:customStyle="1" w:styleId="114">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115">
    <w:name w:val="样式 标题 2 + Times New Roman 四号 非加粗 段前: 5 磅 段后: 0 磅 行距: 固定值 20..."/>
    <w:basedOn w:val="3"/>
    <w:qFormat/>
    <w:uiPriority w:val="0"/>
    <w:pPr>
      <w:keepNext w:val="0"/>
      <w:keepLines w:val="0"/>
      <w:spacing w:before="100" w:after="0" w:line="400" w:lineRule="exact"/>
      <w:jc w:val="center"/>
    </w:pPr>
    <w:rPr>
      <w:rFonts w:ascii="Times New Roman" w:hAnsi="Times New Roman" w:eastAsia="宋体" w:cs="宋体"/>
      <w:color w:val="auto"/>
      <w:sz w:val="28"/>
      <w:szCs w:val="20"/>
    </w:rPr>
  </w:style>
  <w:style w:type="paragraph" w:customStyle="1" w:styleId="116">
    <w:name w:val="样式2"/>
    <w:basedOn w:val="4"/>
    <w:qFormat/>
    <w:uiPriority w:val="0"/>
    <w:pPr>
      <w:spacing w:before="0" w:after="0" w:line="415" w:lineRule="auto"/>
      <w:ind w:firstLine="137"/>
    </w:pPr>
    <w:rPr>
      <w:rFonts w:ascii="宋体" w:hAnsi="宋体" w:eastAsia="宋体" w:cs="Times New Roman"/>
      <w:b/>
      <w:bCs/>
      <w:i/>
      <w:color w:val="auto"/>
      <w:sz w:val="28"/>
      <w:szCs w:val="28"/>
    </w:rPr>
  </w:style>
  <w:style w:type="paragraph" w:customStyle="1" w:styleId="11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8">
    <w:name w:val="普通(网站)1"/>
    <w:basedOn w:val="1"/>
    <w:qFormat/>
    <w:uiPriority w:val="0"/>
    <w:pPr>
      <w:widowControl/>
      <w:spacing w:before="100" w:beforeAutospacing="1" w:after="100" w:afterAutospacing="1"/>
      <w:jc w:val="left"/>
    </w:pPr>
    <w:rPr>
      <w:rFonts w:ascii="宋体" w:hAnsi="宋体" w:eastAsia="宋体" w:cs="宋体"/>
      <w:color w:val="000000"/>
      <w:kern w:val="0"/>
      <w:sz w:val="24"/>
      <w:szCs w:val="20"/>
    </w:rPr>
  </w:style>
  <w:style w:type="paragraph" w:customStyle="1" w:styleId="119">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0">
    <w:name w:val="p0"/>
    <w:basedOn w:val="1"/>
    <w:qFormat/>
    <w:uiPriority w:val="0"/>
    <w:pPr>
      <w:widowControl/>
    </w:pPr>
    <w:rPr>
      <w:rFonts w:ascii="Times New Roman" w:hAnsi="Times New Roman" w:eastAsia="宋体" w:cs="宋体"/>
      <w:kern w:val="0"/>
      <w:szCs w:val="21"/>
    </w:rPr>
  </w:style>
  <w:style w:type="paragraph" w:customStyle="1" w:styleId="121">
    <w:name w:val="正文缩进1"/>
    <w:basedOn w:val="1"/>
    <w:qFormat/>
    <w:uiPriority w:val="0"/>
    <w:pPr>
      <w:ind w:firstLine="420"/>
    </w:pPr>
    <w:rPr>
      <w:rFonts w:ascii="Times New Roman" w:hAnsi="Times New Roman" w:eastAsia="宋体" w:cs="Times New Roman"/>
    </w:rPr>
  </w:style>
  <w:style w:type="paragraph" w:customStyle="1" w:styleId="122">
    <w:name w:val="列表段落1"/>
    <w:basedOn w:val="1"/>
    <w:qFormat/>
    <w:uiPriority w:val="0"/>
    <w:pPr>
      <w:ind w:firstLine="420" w:firstLineChars="200"/>
    </w:pPr>
    <w:rPr>
      <w:rFonts w:ascii="Times New Roman" w:hAnsi="Times New Roman" w:eastAsia="宋体" w:cs="Times New Roman"/>
    </w:rPr>
  </w:style>
  <w:style w:type="paragraph" w:customStyle="1" w:styleId="123">
    <w:name w:val="修订111"/>
    <w:qFormat/>
    <w:uiPriority w:val="0"/>
    <w:rPr>
      <w:rFonts w:ascii="Times New Roman" w:hAnsi="Times New Roman" w:eastAsia="宋体" w:cs="Times New Roman"/>
      <w:kern w:val="2"/>
      <w:sz w:val="21"/>
      <w:lang w:val="en-US" w:eastAsia="zh-CN" w:bidi="ar-SA"/>
    </w:rPr>
  </w:style>
  <w:style w:type="paragraph" w:customStyle="1" w:styleId="124">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125">
    <w:name w:val="_Style 23"/>
    <w:basedOn w:val="1"/>
    <w:qFormat/>
    <w:uiPriority w:val="0"/>
    <w:pPr>
      <w:widowControl/>
      <w:spacing w:after="160" w:line="240" w:lineRule="exact"/>
      <w:jc w:val="left"/>
    </w:pPr>
    <w:rPr>
      <w:rFonts w:ascii="Times New Roman" w:hAnsi="Times New Roman" w:eastAsia="宋体" w:cs="Times New Roman"/>
    </w:rPr>
  </w:style>
  <w:style w:type="paragraph" w:customStyle="1" w:styleId="126">
    <w:name w:val="文二"/>
    <w:basedOn w:val="1"/>
    <w:qFormat/>
    <w:uiPriority w:val="0"/>
    <w:rPr>
      <w:rFonts w:ascii="宋体" w:hAnsi="宋体" w:eastAsia="宋体" w:cs="Times New Roman"/>
      <w:szCs w:val="21"/>
    </w:rPr>
  </w:style>
  <w:style w:type="paragraph" w:customStyle="1" w:styleId="127">
    <w:name w:val="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28">
    <w:name w:val="Table Paragraph"/>
    <w:basedOn w:val="1"/>
    <w:qFormat/>
    <w:uiPriority w:val="0"/>
    <w:pPr>
      <w:autoSpaceDE w:val="0"/>
      <w:autoSpaceDN w:val="0"/>
      <w:jc w:val="left"/>
    </w:pPr>
    <w:rPr>
      <w:rFonts w:ascii="宋体" w:hAnsi="宋体" w:eastAsia="宋体" w:cs="宋体"/>
      <w:kern w:val="0"/>
      <w:sz w:val="22"/>
      <w:lang w:val="zh-CN"/>
    </w:rPr>
  </w:style>
  <w:style w:type="paragraph" w:customStyle="1" w:styleId="129">
    <w:name w:val="索引 11"/>
    <w:basedOn w:val="1"/>
    <w:next w:val="1"/>
    <w:qFormat/>
    <w:uiPriority w:val="0"/>
    <w:pPr>
      <w:spacing w:line="220" w:lineRule="exact"/>
      <w:jc w:val="center"/>
    </w:pPr>
    <w:rPr>
      <w:rFonts w:ascii="仿宋_GB2312" w:hAnsi="Times New Roman" w:eastAsia="仿宋_GB2312" w:cs="Times New Roman"/>
      <w:szCs w:val="21"/>
    </w:rPr>
  </w:style>
  <w:style w:type="paragraph" w:customStyle="1" w:styleId="130">
    <w:name w:val="TOC 标题1"/>
    <w:basedOn w:val="2"/>
    <w:next w:val="1"/>
    <w:qFormat/>
    <w:uiPriority w:val="0"/>
    <w:pPr>
      <w:keepNext w:val="0"/>
      <w:keepLines w:val="0"/>
      <w:widowControl/>
      <w:spacing w:after="0" w:line="276" w:lineRule="auto"/>
      <w:jc w:val="left"/>
      <w:outlineLvl w:val="9"/>
    </w:pPr>
    <w:rPr>
      <w:rFonts w:ascii="Cambria" w:hAnsi="Cambria" w:eastAsia="宋体" w:cs="Times New Roman"/>
      <w:b/>
      <w:color w:val="365F91"/>
      <w:kern w:val="0"/>
      <w:sz w:val="28"/>
      <w:szCs w:val="20"/>
    </w:rPr>
  </w:style>
  <w:style w:type="paragraph" w:customStyle="1" w:styleId="131">
    <w:name w:val="样式 标题 1 + 黑体 三号 非加粗 居中 段前: 6 磅 段后: 6 磅 行距: 固定值 20 磅"/>
    <w:basedOn w:val="2"/>
    <w:qFormat/>
    <w:uiPriority w:val="0"/>
    <w:pPr>
      <w:keepNext w:val="0"/>
      <w:keepLines w:val="0"/>
      <w:spacing w:before="120" w:after="120" w:line="400" w:lineRule="exact"/>
      <w:jc w:val="center"/>
    </w:pPr>
    <w:rPr>
      <w:rFonts w:ascii="黑体" w:hAnsi="黑体" w:eastAsia="黑体" w:cs="宋体"/>
      <w:color w:val="auto"/>
      <w:kern w:val="44"/>
      <w:sz w:val="32"/>
      <w:szCs w:val="20"/>
    </w:rPr>
  </w:style>
  <w:style w:type="paragraph" w:customStyle="1" w:styleId="132">
    <w:name w:val="修订2"/>
    <w:qFormat/>
    <w:uiPriority w:val="0"/>
    <w:rPr>
      <w:rFonts w:ascii="Times New Roman" w:hAnsi="Times New Roman" w:eastAsia="宋体" w:cs="Times New Roman"/>
      <w:kern w:val="2"/>
      <w:sz w:val="21"/>
      <w:szCs w:val="22"/>
      <w:lang w:val="en-US" w:eastAsia="zh-CN" w:bidi="ar-SA"/>
    </w:rPr>
  </w:style>
  <w:style w:type="paragraph" w:customStyle="1" w:styleId="133">
    <w:name w:val="样式 标题 3 + (中文) 黑体 小四 非加粗 段前: 7.8 磅 段后: 0 磅 行距: 固定值 20 磅"/>
    <w:basedOn w:val="4"/>
    <w:qFormat/>
    <w:uiPriority w:val="0"/>
    <w:pPr>
      <w:spacing w:before="0" w:after="0" w:line="400" w:lineRule="exact"/>
      <w:ind w:firstLine="137"/>
    </w:pPr>
    <w:rPr>
      <w:rFonts w:ascii="宋体" w:hAnsi="宋体" w:eastAsia="宋体" w:cs="宋体"/>
      <w:b/>
      <w:color w:val="auto"/>
      <w:sz w:val="24"/>
      <w:szCs w:val="20"/>
    </w:rPr>
  </w:style>
  <w:style w:type="paragraph" w:customStyle="1" w:styleId="134">
    <w:name w:val="我的正文"/>
    <w:basedOn w:val="1"/>
    <w:qFormat/>
    <w:uiPriority w:val="0"/>
    <w:rPr>
      <w:rFonts w:ascii="宋体" w:hAnsi="宋体" w:eastAsia="宋体" w:cs="Times New Roman"/>
      <w:sz w:val="24"/>
      <w:szCs w:val="24"/>
    </w:rPr>
  </w:style>
  <w:style w:type="paragraph" w:customStyle="1" w:styleId="135">
    <w:name w:val="修订11"/>
    <w:qFormat/>
    <w:uiPriority w:val="0"/>
    <w:rPr>
      <w:rFonts w:ascii="Times New Roman" w:hAnsi="Times New Roman" w:eastAsia="宋体" w:cs="Times New Roman"/>
      <w:kern w:val="2"/>
      <w:sz w:val="21"/>
      <w:szCs w:val="24"/>
      <w:lang w:val="en-US" w:eastAsia="zh-CN" w:bidi="ar-SA"/>
    </w:rPr>
  </w:style>
  <w:style w:type="paragraph" w:customStyle="1" w:styleId="136">
    <w:name w:val="_Style 57"/>
    <w:qFormat/>
    <w:uiPriority w:val="0"/>
    <w:rPr>
      <w:rFonts w:ascii="Times New Roman" w:hAnsi="Times New Roman" w:eastAsia="宋体" w:cs="Times New Roman"/>
      <w:kern w:val="2"/>
      <w:sz w:val="21"/>
      <w:szCs w:val="22"/>
      <w:lang w:val="en-US" w:eastAsia="zh-CN" w:bidi="ar-SA"/>
    </w:rPr>
  </w:style>
  <w:style w:type="paragraph" w:customStyle="1" w:styleId="137">
    <w:name w:val="1"/>
    <w:basedOn w:val="1"/>
    <w:qFormat/>
    <w:uiPriority w:val="0"/>
    <w:rPr>
      <w:rFonts w:ascii="Times New Roman" w:hAnsi="Times New Roman" w:eastAsia="宋体" w:cs="Times New Roman"/>
      <w:szCs w:val="20"/>
    </w:rPr>
  </w:style>
  <w:style w:type="paragraph" w:customStyle="1" w:styleId="138">
    <w:name w:val="修订21"/>
    <w:qFormat/>
    <w:uiPriority w:val="0"/>
    <w:rPr>
      <w:rFonts w:ascii="Times New Roman" w:hAnsi="Times New Roman" w:eastAsia="宋体" w:cs="Times New Roman"/>
      <w:kern w:val="2"/>
      <w:sz w:val="21"/>
      <w:szCs w:val="24"/>
      <w:lang w:val="en-US" w:eastAsia="zh-CN" w:bidi="ar-SA"/>
    </w:rPr>
  </w:style>
  <w:style w:type="paragraph" w:customStyle="1" w:styleId="139">
    <w:name w:val="_Style 58"/>
    <w:basedOn w:val="1"/>
    <w:qFormat/>
    <w:uiPriority w:val="0"/>
    <w:pPr>
      <w:ind w:firstLine="420" w:firstLineChars="200"/>
    </w:pPr>
    <w:rPr>
      <w:rFonts w:ascii="Times New Roman" w:hAnsi="Times New Roman" w:eastAsia="宋体" w:cs="Times New Roman"/>
    </w:rPr>
  </w:style>
  <w:style w:type="paragraph" w:customStyle="1" w:styleId="140">
    <w:name w:val="样式1"/>
    <w:basedOn w:val="1"/>
    <w:next w:val="5"/>
    <w:qFormat/>
    <w:uiPriority w:val="0"/>
    <w:pPr>
      <w:spacing w:line="360" w:lineRule="auto"/>
      <w:ind w:firstLine="420" w:firstLineChars="200"/>
    </w:pPr>
    <w:rPr>
      <w:rFonts w:ascii="宋体" w:hAnsi="宋体" w:eastAsia="宋体" w:cs="Times New Roman"/>
      <w:szCs w:val="21"/>
    </w:rPr>
  </w:style>
  <w:style w:type="character" w:customStyle="1" w:styleId="141">
    <w:name w:val="正文文本首行缩进 2 字符"/>
    <w:basedOn w:val="65"/>
    <w:link w:val="24"/>
    <w:semiHidden/>
    <w:qFormat/>
    <w:uiPriority w:val="99"/>
    <w:rPr>
      <w:rFonts w:ascii="等线" w:hAnsi="等线" w:eastAsia="等线" w:cs="Times New Roman"/>
    </w:rPr>
  </w:style>
  <w:style w:type="character" w:customStyle="1" w:styleId="142">
    <w:name w:val="正文文本首行缩进 字符"/>
    <w:basedOn w:val="64"/>
    <w:link w:val="23"/>
    <w:qFormat/>
    <w:uiPriority w:val="0"/>
    <w:rPr>
      <w:rFonts w:ascii="Calibri" w:hAnsi="Calibri"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130</Pages>
  <Words>20677</Words>
  <Characters>21950</Characters>
  <Lines>45</Lines>
  <Paragraphs>75</Paragraphs>
  <TotalTime>13</TotalTime>
  <ScaleCrop>false</ScaleCrop>
  <LinksUpToDate>false</LinksUpToDate>
  <CharactersWithSpaces>22235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2025-04-12T02:30:00Z</dcterms:created>
  <dc:creator>Administrator</dc:creator>
  <cp:lastModifiedBy>刘小珊*</cp:lastModifiedBy>
  <cp:lastPrinted>2025-04-27T09:43:00Z</cp:lastPrinted>
  <dcterms:modified xsi:type="dcterms:W3CDTF">2025-09-21T06:33:48Z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eyJoZGlkIjoiOGI2NjhlN2FlODEzNmRiMmRiYTI3NTJjZTI0YmEyOWIiLCJ1c2VySWQiOiIxMTMzNTgzMTk5In0=</vt:lpwstr>
  </property>
  <property fmtid="{D5CDD505-2E9C-101B-9397-08002B2CF9AE}" pid="3" name="KSOProductBuildVer">
    <vt:lpwstr>2052-12.1.0.22529</vt:lpwstr>
  </property>
  <property fmtid="{D5CDD505-2E9C-101B-9397-08002B2CF9AE}" pid="4" name="ICV">
    <vt:lpwstr>252BF0C31F1E4B709610F518D807A780_13</vt:lpwstr>
  </property>
</Properties>
</file>