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19717">
      <w:pPr>
        <w:snapToGrid w:val="0"/>
        <w:spacing w:line="360" w:lineRule="auto"/>
        <w:rPr>
          <w:color w:val="auto"/>
          <w:highlight w:val="none"/>
        </w:rPr>
      </w:pPr>
    </w:p>
    <w:p w14:paraId="0F153102">
      <w:pPr>
        <w:jc w:val="center"/>
        <w:rPr>
          <w:rFonts w:hAnsi="黑体"/>
          <w:b/>
          <w:bCs/>
          <w:color w:val="auto"/>
          <w:sz w:val="36"/>
          <w:szCs w:val="36"/>
          <w:highlight w:val="none"/>
        </w:rPr>
      </w:pPr>
      <w:r>
        <w:rPr>
          <w:rFonts w:hAnsi="黑体"/>
          <w:b/>
          <w:bCs/>
          <w:color w:val="auto"/>
          <w:sz w:val="36"/>
          <w:szCs w:val="36"/>
          <w:highlight w:val="none"/>
        </w:rPr>
        <w:t>湾区农谷二期地铁保护</w:t>
      </w:r>
      <w:r>
        <w:rPr>
          <w:rFonts w:hint="eastAsia" w:hAnsi="黑体"/>
          <w:b/>
          <w:bCs/>
          <w:color w:val="auto"/>
          <w:sz w:val="36"/>
          <w:szCs w:val="36"/>
          <w:highlight w:val="none"/>
        </w:rPr>
        <w:t>动态</w:t>
      </w:r>
      <w:r>
        <w:rPr>
          <w:rFonts w:hAnsi="黑体"/>
          <w:b/>
          <w:bCs/>
          <w:color w:val="auto"/>
          <w:sz w:val="36"/>
          <w:szCs w:val="36"/>
          <w:highlight w:val="none"/>
        </w:rPr>
        <w:t>监测</w:t>
      </w:r>
      <w:r>
        <w:rPr>
          <w:rFonts w:hint="eastAsia" w:hAnsi="黑体"/>
          <w:b/>
          <w:bCs/>
          <w:color w:val="auto"/>
          <w:sz w:val="36"/>
          <w:szCs w:val="36"/>
          <w:highlight w:val="none"/>
        </w:rPr>
        <w:t>和安全监控服务</w:t>
      </w:r>
    </w:p>
    <w:p w14:paraId="2932B310">
      <w:pPr>
        <w:snapToGrid w:val="0"/>
        <w:spacing w:line="360" w:lineRule="auto"/>
        <w:rPr>
          <w:color w:val="auto"/>
          <w:highlight w:val="none"/>
        </w:rPr>
      </w:pPr>
    </w:p>
    <w:p w14:paraId="13646D01">
      <w:pPr>
        <w:tabs>
          <w:tab w:val="left" w:pos="6100"/>
        </w:tabs>
        <w:spacing w:line="320" w:lineRule="exact"/>
        <w:ind w:left="2960"/>
        <w:outlineLvl w:val="0"/>
        <w:rPr>
          <w:color w:val="auto"/>
          <w:sz w:val="28"/>
          <w:highlight w:val="none"/>
        </w:rPr>
      </w:pPr>
      <w:bookmarkStart w:id="0" w:name="_Toc530728895"/>
    </w:p>
    <w:bookmarkEnd w:id="0"/>
    <w:p w14:paraId="73DD5B8A">
      <w:pPr>
        <w:spacing w:line="20" w:lineRule="exact"/>
        <w:rPr>
          <w:color w:val="auto"/>
          <w:highlight w:val="none"/>
        </w:rPr>
      </w:pPr>
    </w:p>
    <w:p w14:paraId="66B6C1C5">
      <w:pPr>
        <w:spacing w:line="200" w:lineRule="exact"/>
        <w:rPr>
          <w:color w:val="auto"/>
          <w:highlight w:val="none"/>
        </w:rPr>
      </w:pPr>
    </w:p>
    <w:p w14:paraId="3F0F9DF9">
      <w:pPr>
        <w:spacing w:line="200" w:lineRule="exact"/>
        <w:rPr>
          <w:color w:val="auto"/>
          <w:highlight w:val="none"/>
        </w:rPr>
      </w:pPr>
    </w:p>
    <w:p w14:paraId="22D56ED6">
      <w:pPr>
        <w:spacing w:line="200" w:lineRule="exact"/>
        <w:rPr>
          <w:color w:val="auto"/>
          <w:highlight w:val="none"/>
        </w:rPr>
      </w:pPr>
    </w:p>
    <w:p w14:paraId="255D5E22">
      <w:pPr>
        <w:spacing w:line="200" w:lineRule="exact"/>
        <w:rPr>
          <w:color w:val="auto"/>
          <w:highlight w:val="none"/>
        </w:rPr>
      </w:pPr>
    </w:p>
    <w:p w14:paraId="23A4C232">
      <w:pPr>
        <w:spacing w:line="200" w:lineRule="exact"/>
        <w:rPr>
          <w:color w:val="auto"/>
          <w:highlight w:val="none"/>
        </w:rPr>
      </w:pPr>
    </w:p>
    <w:p w14:paraId="688F1E6C">
      <w:pPr>
        <w:spacing w:line="200" w:lineRule="exact"/>
        <w:rPr>
          <w:color w:val="auto"/>
          <w:highlight w:val="none"/>
        </w:rPr>
      </w:pPr>
    </w:p>
    <w:p w14:paraId="39AB209F">
      <w:pPr>
        <w:spacing w:line="200" w:lineRule="exact"/>
        <w:rPr>
          <w:color w:val="auto"/>
          <w:highlight w:val="none"/>
        </w:rPr>
      </w:pPr>
    </w:p>
    <w:p w14:paraId="5DFC968F">
      <w:pPr>
        <w:spacing w:line="200" w:lineRule="exact"/>
        <w:rPr>
          <w:color w:val="auto"/>
          <w:highlight w:val="none"/>
        </w:rPr>
      </w:pPr>
    </w:p>
    <w:p w14:paraId="606B046A">
      <w:pPr>
        <w:spacing w:line="200" w:lineRule="exact"/>
        <w:rPr>
          <w:color w:val="auto"/>
          <w:highlight w:val="none"/>
        </w:rPr>
      </w:pPr>
    </w:p>
    <w:p w14:paraId="0ECE3115">
      <w:pPr>
        <w:spacing w:line="200" w:lineRule="exact"/>
        <w:rPr>
          <w:color w:val="auto"/>
          <w:highlight w:val="none"/>
        </w:rPr>
      </w:pPr>
    </w:p>
    <w:p w14:paraId="3CC6499E">
      <w:pPr>
        <w:spacing w:line="200" w:lineRule="exact"/>
        <w:rPr>
          <w:color w:val="auto"/>
          <w:highlight w:val="none"/>
        </w:rPr>
      </w:pPr>
    </w:p>
    <w:p w14:paraId="52F56E18">
      <w:pPr>
        <w:spacing w:line="269" w:lineRule="exact"/>
        <w:rPr>
          <w:color w:val="auto"/>
          <w:highlight w:val="none"/>
        </w:rPr>
      </w:pPr>
    </w:p>
    <w:p w14:paraId="4AAD7B0C">
      <w:pPr>
        <w:jc w:val="center"/>
        <w:rPr>
          <w:rFonts w:hAnsi="黑体"/>
          <w:b/>
          <w:bCs/>
          <w:color w:val="auto"/>
          <w:sz w:val="36"/>
          <w:szCs w:val="36"/>
          <w:highlight w:val="none"/>
        </w:rPr>
      </w:pPr>
      <w:r>
        <w:rPr>
          <w:rFonts w:hAnsi="黑体"/>
          <w:b/>
          <w:bCs/>
          <w:color w:val="auto"/>
          <w:sz w:val="36"/>
          <w:szCs w:val="36"/>
          <w:highlight w:val="none"/>
        </w:rPr>
        <w:t>招标文件</w:t>
      </w:r>
    </w:p>
    <w:p w14:paraId="323E4044">
      <w:pPr>
        <w:spacing w:line="200" w:lineRule="exact"/>
        <w:rPr>
          <w:color w:val="auto"/>
          <w:highlight w:val="none"/>
        </w:rPr>
      </w:pPr>
    </w:p>
    <w:p w14:paraId="20A14EAE">
      <w:pPr>
        <w:spacing w:line="200" w:lineRule="exact"/>
        <w:rPr>
          <w:color w:val="auto"/>
          <w:highlight w:val="none"/>
        </w:rPr>
      </w:pPr>
    </w:p>
    <w:p w14:paraId="7AD17940">
      <w:pPr>
        <w:spacing w:line="200" w:lineRule="exact"/>
        <w:rPr>
          <w:color w:val="auto"/>
          <w:highlight w:val="none"/>
        </w:rPr>
      </w:pPr>
    </w:p>
    <w:p w14:paraId="3BD81CEC">
      <w:pPr>
        <w:spacing w:line="200" w:lineRule="exact"/>
        <w:rPr>
          <w:color w:val="auto"/>
          <w:highlight w:val="none"/>
        </w:rPr>
      </w:pPr>
    </w:p>
    <w:p w14:paraId="12680FA1">
      <w:pPr>
        <w:spacing w:line="200" w:lineRule="exact"/>
        <w:rPr>
          <w:color w:val="auto"/>
          <w:highlight w:val="none"/>
        </w:rPr>
      </w:pPr>
    </w:p>
    <w:p w14:paraId="204AE645">
      <w:pPr>
        <w:spacing w:line="200" w:lineRule="exact"/>
        <w:rPr>
          <w:color w:val="auto"/>
          <w:highlight w:val="none"/>
        </w:rPr>
      </w:pPr>
    </w:p>
    <w:p w14:paraId="3BAAA417">
      <w:pPr>
        <w:spacing w:line="200" w:lineRule="exact"/>
        <w:rPr>
          <w:color w:val="auto"/>
          <w:highlight w:val="none"/>
        </w:rPr>
      </w:pPr>
    </w:p>
    <w:p w14:paraId="09EEEEAA">
      <w:pPr>
        <w:spacing w:line="200" w:lineRule="exact"/>
        <w:rPr>
          <w:color w:val="auto"/>
          <w:highlight w:val="none"/>
        </w:rPr>
      </w:pPr>
    </w:p>
    <w:p w14:paraId="60A12983">
      <w:pPr>
        <w:spacing w:line="200" w:lineRule="exact"/>
        <w:rPr>
          <w:color w:val="auto"/>
          <w:highlight w:val="none"/>
        </w:rPr>
      </w:pPr>
    </w:p>
    <w:p w14:paraId="30B2FDA6">
      <w:pPr>
        <w:spacing w:line="200" w:lineRule="exact"/>
        <w:rPr>
          <w:rFonts w:hint="eastAsia"/>
          <w:color w:val="auto"/>
          <w:highlight w:val="none"/>
        </w:rPr>
      </w:pPr>
    </w:p>
    <w:p w14:paraId="75D315B6">
      <w:pPr>
        <w:spacing w:line="200" w:lineRule="exact"/>
        <w:rPr>
          <w:rFonts w:hint="eastAsia"/>
          <w:color w:val="auto"/>
          <w:highlight w:val="none"/>
        </w:rPr>
      </w:pPr>
    </w:p>
    <w:p w14:paraId="04ADC63F">
      <w:pPr>
        <w:spacing w:line="200" w:lineRule="exact"/>
        <w:rPr>
          <w:rFonts w:hint="eastAsia"/>
          <w:color w:val="auto"/>
          <w:highlight w:val="none"/>
        </w:rPr>
      </w:pPr>
    </w:p>
    <w:p w14:paraId="2C7F5D41">
      <w:pPr>
        <w:spacing w:line="200" w:lineRule="exact"/>
        <w:rPr>
          <w:rFonts w:hint="eastAsia"/>
          <w:color w:val="auto"/>
          <w:highlight w:val="none"/>
        </w:rPr>
      </w:pPr>
    </w:p>
    <w:p w14:paraId="365FCCA5">
      <w:pPr>
        <w:spacing w:line="200" w:lineRule="exact"/>
        <w:rPr>
          <w:color w:val="auto"/>
          <w:highlight w:val="none"/>
        </w:rPr>
      </w:pPr>
    </w:p>
    <w:p w14:paraId="1BA22E65">
      <w:pPr>
        <w:spacing w:line="200" w:lineRule="exact"/>
        <w:rPr>
          <w:color w:val="auto"/>
          <w:highlight w:val="none"/>
        </w:rPr>
      </w:pPr>
    </w:p>
    <w:p w14:paraId="58F5667B">
      <w:pPr>
        <w:spacing w:line="200" w:lineRule="exact"/>
        <w:rPr>
          <w:color w:val="auto"/>
          <w:highlight w:val="none"/>
        </w:rPr>
      </w:pPr>
    </w:p>
    <w:p w14:paraId="577C49D9">
      <w:pPr>
        <w:spacing w:line="360" w:lineRule="auto"/>
        <w:ind w:firstLine="1214" w:firstLineChars="378"/>
        <w:jc w:val="left"/>
        <w:rPr>
          <w:rFonts w:hint="eastAsia" w:ascii="宋体" w:hAnsi="宋体" w:cs="宋体"/>
          <w:b/>
          <w:bCs/>
          <w:color w:val="auto"/>
          <w:sz w:val="32"/>
          <w:szCs w:val="32"/>
          <w:highlight w:val="none"/>
          <w:u w:val="single"/>
        </w:rPr>
      </w:pPr>
      <w:r>
        <w:rPr>
          <w:rFonts w:hint="eastAsia" w:ascii="宋体" w:hAnsi="宋体" w:cs="宋体"/>
          <w:b/>
          <w:color w:val="auto"/>
          <w:sz w:val="32"/>
          <w:szCs w:val="32"/>
          <w:highlight w:val="none"/>
        </w:rPr>
        <w:t>招 标 人：</w:t>
      </w:r>
      <w:r>
        <w:rPr>
          <w:rFonts w:hint="eastAsia" w:ascii="宋体" w:hAnsi="宋体" w:cs="宋体"/>
          <w:b/>
          <w:bCs/>
          <w:color w:val="auto"/>
          <w:sz w:val="32"/>
          <w:szCs w:val="32"/>
          <w:highlight w:val="none"/>
          <w:u w:val="single"/>
        </w:rPr>
        <w:t>广州南沙智汇农业科技有限公司</w:t>
      </w:r>
    </w:p>
    <w:p w14:paraId="5D25B2C1">
      <w:pPr>
        <w:spacing w:line="360" w:lineRule="auto"/>
        <w:ind w:firstLine="1214" w:firstLineChars="378"/>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rPr>
        <w:t>招标代理机构：</w:t>
      </w:r>
      <w:r>
        <w:rPr>
          <w:rFonts w:hint="eastAsia" w:ascii="宋体" w:hAnsi="宋体" w:cs="宋体"/>
          <w:b/>
          <w:bCs/>
          <w:color w:val="auto"/>
          <w:sz w:val="32"/>
          <w:szCs w:val="32"/>
          <w:highlight w:val="none"/>
          <w:u w:val="single"/>
        </w:rPr>
        <w:t>广东省建筑工程监理有限公司</w:t>
      </w:r>
    </w:p>
    <w:p w14:paraId="113A6130">
      <w:pPr>
        <w:spacing w:line="360" w:lineRule="auto"/>
        <w:ind w:firstLine="1214" w:firstLineChars="378"/>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rPr>
        <w:t>日     期：</w:t>
      </w:r>
      <w:r>
        <w:rPr>
          <w:rFonts w:hint="eastAsia" w:ascii="宋体" w:hAnsi="宋体" w:cs="宋体"/>
          <w:b/>
          <w:color w:val="auto"/>
          <w:sz w:val="32"/>
          <w:szCs w:val="32"/>
          <w:highlight w:val="none"/>
          <w:u w:val="single"/>
        </w:rPr>
        <w:t>2025</w:t>
      </w:r>
      <w:r>
        <w:rPr>
          <w:rFonts w:hint="eastAsia" w:ascii="宋体" w:hAnsi="宋体" w:cs="宋体"/>
          <w:b/>
          <w:color w:val="auto"/>
          <w:sz w:val="32"/>
          <w:szCs w:val="32"/>
          <w:highlight w:val="none"/>
        </w:rPr>
        <w:t>年</w:t>
      </w:r>
      <w:r>
        <w:rPr>
          <w:rFonts w:hint="eastAsia" w:ascii="宋体" w:hAnsi="宋体" w:cs="宋体"/>
          <w:b/>
          <w:color w:val="auto"/>
          <w:sz w:val="32"/>
          <w:szCs w:val="32"/>
          <w:highlight w:val="none"/>
          <w:u w:val="single"/>
          <w:lang w:val="en-US" w:eastAsia="zh-CN"/>
        </w:rPr>
        <w:t>9</w:t>
      </w:r>
      <w:r>
        <w:rPr>
          <w:rFonts w:hint="eastAsia" w:ascii="宋体" w:hAnsi="宋体" w:cs="宋体"/>
          <w:b/>
          <w:color w:val="auto"/>
          <w:sz w:val="32"/>
          <w:szCs w:val="32"/>
          <w:highlight w:val="none"/>
        </w:rPr>
        <w:t>月</w:t>
      </w:r>
    </w:p>
    <w:p w14:paraId="6AEA2306">
      <w:pPr>
        <w:spacing w:line="360" w:lineRule="auto"/>
        <w:ind w:firstLine="1214" w:firstLineChars="378"/>
        <w:jc w:val="left"/>
        <w:rPr>
          <w:rFonts w:hint="eastAsia" w:ascii="宋体" w:hAnsi="宋体" w:cs="宋体"/>
          <w:b/>
          <w:color w:val="auto"/>
          <w:sz w:val="32"/>
          <w:szCs w:val="32"/>
          <w:highlight w:val="none"/>
        </w:rPr>
        <w:sectPr>
          <w:footerReference r:id="rId3" w:type="default"/>
          <w:pgSz w:w="11905" w:h="16838"/>
          <w:pgMar w:top="1145" w:right="850" w:bottom="850" w:left="1287" w:header="0" w:footer="0" w:gutter="0"/>
          <w:cols w:space="720" w:num="1"/>
          <w:rtlGutter w:val="0"/>
          <w:docGrid w:linePitch="312" w:charSpace="0"/>
        </w:sectPr>
      </w:pPr>
    </w:p>
    <w:tbl>
      <w:tblPr>
        <w:tblStyle w:val="25"/>
        <w:tblW w:w="0" w:type="auto"/>
        <w:tblInd w:w="360" w:type="dxa"/>
        <w:tblLayout w:type="fixed"/>
        <w:tblCellMar>
          <w:top w:w="0" w:type="dxa"/>
          <w:left w:w="0" w:type="dxa"/>
          <w:bottom w:w="0" w:type="dxa"/>
          <w:right w:w="0" w:type="dxa"/>
        </w:tblCellMar>
      </w:tblPr>
      <w:tblGrid>
        <w:gridCol w:w="660"/>
        <w:gridCol w:w="500"/>
        <w:gridCol w:w="7260"/>
        <w:gridCol w:w="220"/>
      </w:tblGrid>
      <w:tr w14:paraId="6E9BCA76">
        <w:tblPrEx>
          <w:tblCellMar>
            <w:top w:w="0" w:type="dxa"/>
            <w:left w:w="0" w:type="dxa"/>
            <w:bottom w:w="0" w:type="dxa"/>
            <w:right w:w="0" w:type="dxa"/>
          </w:tblCellMar>
        </w:tblPrEx>
        <w:trPr>
          <w:trHeight w:val="319" w:hRule="atLeast"/>
        </w:trPr>
        <w:tc>
          <w:tcPr>
            <w:tcW w:w="660" w:type="dxa"/>
            <w:noWrap w:val="0"/>
            <w:vAlign w:val="bottom"/>
          </w:tcPr>
          <w:p w14:paraId="1712F12C">
            <w:pPr>
              <w:spacing w:line="0" w:lineRule="atLeast"/>
              <w:rPr>
                <w:color w:val="auto"/>
                <w:sz w:val="24"/>
                <w:highlight w:val="none"/>
              </w:rPr>
            </w:pPr>
          </w:p>
        </w:tc>
        <w:tc>
          <w:tcPr>
            <w:tcW w:w="500" w:type="dxa"/>
            <w:noWrap w:val="0"/>
            <w:vAlign w:val="bottom"/>
          </w:tcPr>
          <w:p w14:paraId="5A2DCA2D">
            <w:pPr>
              <w:spacing w:line="0" w:lineRule="atLeast"/>
              <w:rPr>
                <w:color w:val="auto"/>
                <w:sz w:val="24"/>
                <w:highlight w:val="none"/>
              </w:rPr>
            </w:pPr>
          </w:p>
        </w:tc>
        <w:tc>
          <w:tcPr>
            <w:tcW w:w="7260" w:type="dxa"/>
            <w:noWrap w:val="0"/>
            <w:vAlign w:val="bottom"/>
          </w:tcPr>
          <w:p w14:paraId="3B82D0A1">
            <w:pPr>
              <w:spacing w:after="240" w:line="320" w:lineRule="exact"/>
              <w:ind w:right="3573"/>
              <w:jc w:val="right"/>
              <w:rPr>
                <w:b/>
                <w:color w:val="auto"/>
                <w:sz w:val="28"/>
                <w:szCs w:val="28"/>
                <w:highlight w:val="none"/>
              </w:rPr>
            </w:pPr>
            <w:r>
              <w:rPr>
                <w:rFonts w:hAnsi="黑体"/>
                <w:b/>
                <w:color w:val="auto"/>
                <w:sz w:val="28"/>
                <w:szCs w:val="28"/>
                <w:highlight w:val="none"/>
              </w:rPr>
              <w:t>目</w:t>
            </w:r>
            <w:r>
              <w:rPr>
                <w:b/>
                <w:color w:val="auto"/>
                <w:sz w:val="28"/>
                <w:szCs w:val="28"/>
                <w:highlight w:val="none"/>
              </w:rPr>
              <w:t xml:space="preserve">  </w:t>
            </w:r>
            <w:r>
              <w:rPr>
                <w:rFonts w:hAnsi="黑体"/>
                <w:b/>
                <w:color w:val="auto"/>
                <w:sz w:val="28"/>
                <w:szCs w:val="28"/>
                <w:highlight w:val="none"/>
              </w:rPr>
              <w:t>录</w:t>
            </w:r>
          </w:p>
        </w:tc>
        <w:tc>
          <w:tcPr>
            <w:tcW w:w="220" w:type="dxa"/>
            <w:noWrap w:val="0"/>
            <w:vAlign w:val="bottom"/>
          </w:tcPr>
          <w:p w14:paraId="4AB6E443">
            <w:pPr>
              <w:spacing w:line="0" w:lineRule="atLeast"/>
              <w:rPr>
                <w:color w:val="auto"/>
                <w:sz w:val="24"/>
                <w:highlight w:val="none"/>
              </w:rPr>
            </w:pPr>
          </w:p>
        </w:tc>
      </w:tr>
    </w:tbl>
    <w:p w14:paraId="4E4160CC">
      <w:pPr>
        <w:pStyle w:val="22"/>
        <w:tabs>
          <w:tab w:val="right" w:leader="dot" w:pos="9070"/>
        </w:tabs>
        <w:spacing w:line="360" w:lineRule="auto"/>
        <w:ind w:left="420"/>
        <w:rPr>
          <w:rFonts w:hint="eastAsia" w:ascii="宋体" w:hAnsi="宋体" w:cs="宋体"/>
          <w:color w:val="auto"/>
          <w:sz w:val="28"/>
          <w:szCs w:val="28"/>
          <w:highlight w:val="none"/>
        </w:rPr>
      </w:pP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TOC \o "1-3" \h \z \u </w:instrText>
      </w:r>
      <w:r>
        <w:rPr>
          <w:rFonts w:hint="eastAsia" w:ascii="宋体" w:hAnsi="宋体" w:cs="宋体"/>
          <w:color w:val="auto"/>
          <w:sz w:val="28"/>
          <w:szCs w:val="28"/>
          <w:highlight w:val="none"/>
        </w:rPr>
        <w:fldChar w:fldCharType="separate"/>
      </w:r>
      <w:r>
        <w:rPr>
          <w:rFonts w:hint="eastAsia" w:ascii="宋体" w:hAnsi="宋体" w:cs="宋体"/>
          <w:bCs/>
          <w:color w:val="auto"/>
          <w:sz w:val="28"/>
          <w:szCs w:val="28"/>
          <w:highlight w:val="none"/>
          <w:lang w:val="zh-CN"/>
        </w:rPr>
        <w:fldChar w:fldCharType="begin"/>
      </w:r>
      <w:r>
        <w:rPr>
          <w:rFonts w:hint="eastAsia" w:ascii="宋体" w:hAnsi="宋体" w:cs="宋体"/>
          <w:bCs/>
          <w:color w:val="auto"/>
          <w:sz w:val="28"/>
          <w:szCs w:val="28"/>
          <w:highlight w:val="none"/>
          <w:lang w:val="zh-CN"/>
        </w:rPr>
        <w:instrText xml:space="preserve"> HYPERLINK \l _Toc18756 </w:instrText>
      </w:r>
      <w:r>
        <w:rPr>
          <w:rFonts w:hint="eastAsia" w:ascii="宋体" w:hAnsi="宋体" w:cs="宋体"/>
          <w:bCs/>
          <w:color w:val="auto"/>
          <w:sz w:val="28"/>
          <w:szCs w:val="28"/>
          <w:highlight w:val="none"/>
          <w:lang w:val="zh-CN"/>
        </w:rPr>
        <w:fldChar w:fldCharType="separate"/>
      </w:r>
      <w:r>
        <w:rPr>
          <w:rFonts w:hint="eastAsia" w:ascii="宋体" w:hAnsi="宋体" w:cs="宋体"/>
          <w:color w:val="auto"/>
          <w:sz w:val="28"/>
          <w:szCs w:val="28"/>
          <w:highlight w:val="none"/>
        </w:rPr>
        <w:t>第一章 招标公告</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_Toc18756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2</w:t>
      </w:r>
      <w:r>
        <w:rPr>
          <w:rFonts w:hint="eastAsia" w:ascii="宋体" w:hAnsi="宋体" w:cs="宋体"/>
          <w:color w:val="auto"/>
          <w:sz w:val="28"/>
          <w:szCs w:val="28"/>
          <w:highlight w:val="none"/>
        </w:rPr>
        <w:fldChar w:fldCharType="end"/>
      </w:r>
      <w:r>
        <w:rPr>
          <w:rFonts w:hint="eastAsia" w:ascii="宋体" w:hAnsi="宋体" w:cs="宋体"/>
          <w:bCs/>
          <w:color w:val="auto"/>
          <w:sz w:val="28"/>
          <w:szCs w:val="28"/>
          <w:highlight w:val="none"/>
          <w:lang w:val="zh-CN"/>
        </w:rPr>
        <w:fldChar w:fldCharType="end"/>
      </w:r>
    </w:p>
    <w:p w14:paraId="383247D0">
      <w:pPr>
        <w:pStyle w:val="22"/>
        <w:tabs>
          <w:tab w:val="right" w:leader="dot" w:pos="9070"/>
        </w:tabs>
        <w:spacing w:line="360" w:lineRule="auto"/>
        <w:ind w:left="420"/>
        <w:rPr>
          <w:rFonts w:hint="eastAsia" w:ascii="宋体" w:hAnsi="宋体" w:cs="宋体"/>
          <w:color w:val="auto"/>
          <w:sz w:val="28"/>
          <w:szCs w:val="28"/>
          <w:highlight w:val="none"/>
        </w:rPr>
      </w:pPr>
      <w:r>
        <w:rPr>
          <w:rFonts w:hint="eastAsia" w:ascii="宋体" w:hAnsi="宋体" w:cs="宋体"/>
          <w:bCs/>
          <w:color w:val="auto"/>
          <w:sz w:val="28"/>
          <w:szCs w:val="28"/>
          <w:highlight w:val="none"/>
          <w:lang w:val="zh-CN"/>
        </w:rPr>
        <w:fldChar w:fldCharType="begin"/>
      </w:r>
      <w:r>
        <w:rPr>
          <w:rFonts w:hint="eastAsia" w:ascii="宋体" w:hAnsi="宋体" w:cs="宋体"/>
          <w:bCs/>
          <w:color w:val="auto"/>
          <w:sz w:val="28"/>
          <w:szCs w:val="28"/>
          <w:highlight w:val="none"/>
          <w:lang w:val="zh-CN"/>
        </w:rPr>
        <w:instrText xml:space="preserve"> HYPERLINK \l _Toc14328 </w:instrText>
      </w:r>
      <w:r>
        <w:rPr>
          <w:rFonts w:hint="eastAsia" w:ascii="宋体" w:hAnsi="宋体" w:cs="宋体"/>
          <w:bCs/>
          <w:color w:val="auto"/>
          <w:sz w:val="28"/>
          <w:szCs w:val="28"/>
          <w:highlight w:val="none"/>
          <w:lang w:val="zh-CN"/>
        </w:rPr>
        <w:fldChar w:fldCharType="separate"/>
      </w:r>
      <w:r>
        <w:rPr>
          <w:rFonts w:hint="eastAsia" w:ascii="宋体" w:hAnsi="宋体" w:cs="宋体"/>
          <w:color w:val="auto"/>
          <w:sz w:val="28"/>
          <w:szCs w:val="28"/>
          <w:highlight w:val="none"/>
        </w:rPr>
        <w:t>第二章 投标人须知</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_Toc14328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w:t>
      </w:r>
      <w:r>
        <w:rPr>
          <w:rFonts w:hint="eastAsia" w:ascii="宋体" w:hAnsi="宋体" w:cs="宋体"/>
          <w:color w:val="auto"/>
          <w:sz w:val="28"/>
          <w:szCs w:val="28"/>
          <w:highlight w:val="none"/>
        </w:rPr>
        <w:fldChar w:fldCharType="end"/>
      </w:r>
      <w:r>
        <w:rPr>
          <w:rFonts w:hint="eastAsia" w:ascii="宋体" w:hAnsi="宋体" w:cs="宋体"/>
          <w:bCs/>
          <w:color w:val="auto"/>
          <w:sz w:val="28"/>
          <w:szCs w:val="28"/>
          <w:highlight w:val="none"/>
          <w:lang w:val="zh-CN"/>
        </w:rPr>
        <w:fldChar w:fldCharType="end"/>
      </w:r>
    </w:p>
    <w:p w14:paraId="405C6312">
      <w:pPr>
        <w:pStyle w:val="22"/>
        <w:tabs>
          <w:tab w:val="right" w:leader="dot" w:pos="9070"/>
        </w:tabs>
        <w:spacing w:line="360" w:lineRule="auto"/>
        <w:ind w:left="420"/>
        <w:rPr>
          <w:rFonts w:hint="eastAsia" w:ascii="宋体" w:hAnsi="宋体" w:eastAsia="宋体" w:cs="宋体"/>
          <w:color w:val="auto"/>
          <w:sz w:val="28"/>
          <w:szCs w:val="28"/>
          <w:highlight w:val="none"/>
          <w:lang w:eastAsia="zh-CN"/>
        </w:rPr>
      </w:pPr>
      <w:r>
        <w:rPr>
          <w:rFonts w:hint="eastAsia" w:ascii="宋体" w:hAnsi="宋体" w:cs="宋体"/>
          <w:bCs/>
          <w:color w:val="auto"/>
          <w:sz w:val="28"/>
          <w:szCs w:val="28"/>
          <w:highlight w:val="none"/>
          <w:lang w:val="zh-CN"/>
        </w:rPr>
        <w:fldChar w:fldCharType="begin"/>
      </w:r>
      <w:r>
        <w:rPr>
          <w:rFonts w:hint="eastAsia" w:ascii="宋体" w:hAnsi="宋体" w:cs="宋体"/>
          <w:bCs/>
          <w:color w:val="auto"/>
          <w:sz w:val="28"/>
          <w:szCs w:val="28"/>
          <w:highlight w:val="none"/>
          <w:lang w:val="zh-CN"/>
        </w:rPr>
        <w:instrText xml:space="preserve"> HYPERLINK \l _Toc13696 </w:instrText>
      </w:r>
      <w:r>
        <w:rPr>
          <w:rFonts w:hint="eastAsia" w:ascii="宋体" w:hAnsi="宋体" w:cs="宋体"/>
          <w:bCs/>
          <w:color w:val="auto"/>
          <w:sz w:val="28"/>
          <w:szCs w:val="28"/>
          <w:highlight w:val="none"/>
          <w:lang w:val="zh-CN"/>
        </w:rPr>
        <w:fldChar w:fldCharType="separate"/>
      </w:r>
      <w:r>
        <w:rPr>
          <w:rFonts w:hint="eastAsia" w:ascii="宋体" w:hAnsi="宋体" w:cs="宋体"/>
          <w:color w:val="auto"/>
          <w:sz w:val="28"/>
          <w:szCs w:val="28"/>
          <w:highlight w:val="none"/>
        </w:rPr>
        <w:t>第三章 评标办法（综合评估法）</w:t>
      </w:r>
      <w:r>
        <w:rPr>
          <w:rFonts w:hint="eastAsia" w:ascii="宋体" w:hAnsi="宋体" w:cs="宋体"/>
          <w:color w:val="auto"/>
          <w:sz w:val="28"/>
          <w:szCs w:val="28"/>
          <w:highlight w:val="none"/>
        </w:rPr>
        <w:tab/>
      </w:r>
      <w:r>
        <w:rPr>
          <w:rFonts w:hint="eastAsia" w:ascii="宋体" w:hAnsi="宋体" w:cs="宋体"/>
          <w:bCs/>
          <w:color w:val="auto"/>
          <w:sz w:val="28"/>
          <w:szCs w:val="28"/>
          <w:highlight w:val="none"/>
          <w:lang w:val="zh-CN"/>
        </w:rPr>
        <w:fldChar w:fldCharType="end"/>
      </w:r>
      <w:r>
        <w:rPr>
          <w:rFonts w:hint="eastAsia" w:ascii="宋体" w:hAnsi="宋体" w:cs="宋体"/>
          <w:color w:val="auto"/>
          <w:sz w:val="28"/>
          <w:szCs w:val="28"/>
          <w:highlight w:val="none"/>
        </w:rPr>
        <w:t>2</w:t>
      </w:r>
      <w:r>
        <w:rPr>
          <w:rFonts w:hint="eastAsia" w:ascii="宋体" w:hAnsi="宋体" w:cs="宋体"/>
          <w:color w:val="auto"/>
          <w:sz w:val="28"/>
          <w:szCs w:val="28"/>
          <w:highlight w:val="none"/>
          <w:lang w:val="en-US" w:eastAsia="zh-CN"/>
        </w:rPr>
        <w:t>1</w:t>
      </w:r>
    </w:p>
    <w:p w14:paraId="0FEC10B9">
      <w:pPr>
        <w:pStyle w:val="22"/>
        <w:tabs>
          <w:tab w:val="right" w:leader="dot" w:pos="9070"/>
        </w:tabs>
        <w:spacing w:line="360" w:lineRule="auto"/>
        <w:ind w:left="420"/>
        <w:rPr>
          <w:rFonts w:hint="default" w:ascii="宋体" w:hAnsi="宋体" w:eastAsia="宋体" w:cs="宋体"/>
          <w:color w:val="auto"/>
          <w:sz w:val="28"/>
          <w:szCs w:val="28"/>
          <w:highlight w:val="none"/>
          <w:lang w:val="en-US" w:eastAsia="zh-CN"/>
        </w:rPr>
      </w:pPr>
      <w:r>
        <w:rPr>
          <w:rFonts w:hint="eastAsia" w:ascii="宋体" w:hAnsi="宋体" w:cs="宋体"/>
          <w:bCs/>
          <w:color w:val="auto"/>
          <w:sz w:val="28"/>
          <w:szCs w:val="28"/>
          <w:highlight w:val="none"/>
          <w:lang w:val="zh-CN"/>
        </w:rPr>
        <w:fldChar w:fldCharType="begin"/>
      </w:r>
      <w:r>
        <w:rPr>
          <w:rFonts w:hint="eastAsia" w:ascii="宋体" w:hAnsi="宋体" w:cs="宋体"/>
          <w:bCs/>
          <w:color w:val="auto"/>
          <w:sz w:val="28"/>
          <w:szCs w:val="28"/>
          <w:highlight w:val="none"/>
          <w:lang w:val="zh-CN"/>
        </w:rPr>
        <w:instrText xml:space="preserve"> HYPERLINK \l _Toc15971 </w:instrText>
      </w:r>
      <w:r>
        <w:rPr>
          <w:rFonts w:hint="eastAsia" w:ascii="宋体" w:hAnsi="宋体" w:cs="宋体"/>
          <w:bCs/>
          <w:color w:val="auto"/>
          <w:sz w:val="28"/>
          <w:szCs w:val="28"/>
          <w:highlight w:val="none"/>
          <w:lang w:val="zh-CN"/>
        </w:rPr>
        <w:fldChar w:fldCharType="separate"/>
      </w:r>
      <w:bookmarkStart w:id="1" w:name="OLE_LINK31"/>
      <w:r>
        <w:rPr>
          <w:rFonts w:hint="eastAsia" w:ascii="宋体" w:hAnsi="宋体" w:cs="宋体"/>
          <w:color w:val="auto"/>
          <w:sz w:val="28"/>
          <w:szCs w:val="28"/>
          <w:highlight w:val="none"/>
        </w:rPr>
        <w:t>第四章</w:t>
      </w:r>
      <w:bookmarkEnd w:id="1"/>
      <w:r>
        <w:rPr>
          <w:rFonts w:hint="eastAsia" w:ascii="宋体" w:hAnsi="宋体" w:cs="宋体"/>
          <w:color w:val="auto"/>
          <w:sz w:val="28"/>
          <w:szCs w:val="28"/>
          <w:highlight w:val="none"/>
        </w:rPr>
        <w:t xml:space="preserve"> 合同条款及格式</w:t>
      </w:r>
      <w:r>
        <w:rPr>
          <w:rFonts w:hint="eastAsia" w:ascii="宋体" w:hAnsi="宋体" w:cs="宋体"/>
          <w:color w:val="auto"/>
          <w:sz w:val="28"/>
          <w:szCs w:val="28"/>
          <w:highlight w:val="none"/>
        </w:rPr>
        <w:tab/>
      </w:r>
      <w:r>
        <w:rPr>
          <w:rFonts w:hint="eastAsia" w:ascii="宋体" w:hAnsi="宋体" w:cs="宋体"/>
          <w:bCs/>
          <w:color w:val="auto"/>
          <w:sz w:val="28"/>
          <w:szCs w:val="28"/>
          <w:highlight w:val="none"/>
          <w:lang w:val="zh-CN"/>
        </w:rPr>
        <w:fldChar w:fldCharType="end"/>
      </w:r>
      <w:r>
        <w:rPr>
          <w:rFonts w:hint="eastAsia" w:ascii="宋体" w:hAnsi="宋体" w:cs="宋体"/>
          <w:color w:val="auto"/>
          <w:sz w:val="28"/>
          <w:szCs w:val="28"/>
          <w:highlight w:val="none"/>
          <w:lang w:val="en-US" w:eastAsia="zh-CN"/>
        </w:rPr>
        <w:t>29</w:t>
      </w:r>
    </w:p>
    <w:p w14:paraId="3F3E8F36">
      <w:pPr>
        <w:pStyle w:val="22"/>
        <w:tabs>
          <w:tab w:val="right" w:leader="dot" w:pos="9070"/>
        </w:tabs>
        <w:spacing w:line="360" w:lineRule="auto"/>
        <w:ind w:left="420"/>
        <w:rPr>
          <w:rFonts w:hint="eastAsia" w:ascii="宋体" w:hAnsi="宋体" w:eastAsia="宋体" w:cs="宋体"/>
          <w:color w:val="auto"/>
          <w:sz w:val="28"/>
          <w:szCs w:val="28"/>
          <w:highlight w:val="none"/>
          <w:lang w:eastAsia="zh-CN"/>
        </w:rPr>
      </w:pPr>
      <w:r>
        <w:rPr>
          <w:rFonts w:hint="eastAsia" w:ascii="宋体" w:hAnsi="宋体" w:cs="宋体"/>
          <w:bCs/>
          <w:color w:val="auto"/>
          <w:sz w:val="28"/>
          <w:szCs w:val="28"/>
          <w:highlight w:val="none"/>
          <w:lang w:val="zh-CN"/>
        </w:rPr>
        <w:fldChar w:fldCharType="begin"/>
      </w:r>
      <w:r>
        <w:rPr>
          <w:rFonts w:hint="eastAsia" w:ascii="宋体" w:hAnsi="宋体" w:cs="宋体"/>
          <w:bCs/>
          <w:color w:val="auto"/>
          <w:sz w:val="28"/>
          <w:szCs w:val="28"/>
          <w:highlight w:val="none"/>
          <w:lang w:val="zh-CN"/>
        </w:rPr>
        <w:instrText xml:space="preserve"> HYPERLINK \l _Toc16708 </w:instrText>
      </w:r>
      <w:r>
        <w:rPr>
          <w:rFonts w:hint="eastAsia" w:ascii="宋体" w:hAnsi="宋体" w:cs="宋体"/>
          <w:bCs/>
          <w:color w:val="auto"/>
          <w:sz w:val="28"/>
          <w:szCs w:val="28"/>
          <w:highlight w:val="none"/>
          <w:lang w:val="zh-CN"/>
        </w:rPr>
        <w:fldChar w:fldCharType="separate"/>
      </w:r>
      <w:r>
        <w:rPr>
          <w:rFonts w:hint="eastAsia" w:ascii="宋体" w:hAnsi="宋体" w:cs="宋体"/>
          <w:color w:val="auto"/>
          <w:sz w:val="28"/>
          <w:szCs w:val="28"/>
          <w:highlight w:val="none"/>
        </w:rPr>
        <w:t>第五章 委托人要求</w:t>
      </w:r>
      <w:r>
        <w:rPr>
          <w:rFonts w:hint="eastAsia" w:ascii="宋体" w:hAnsi="宋体" w:cs="宋体"/>
          <w:color w:val="auto"/>
          <w:sz w:val="28"/>
          <w:szCs w:val="28"/>
          <w:highlight w:val="none"/>
        </w:rPr>
        <w:tab/>
      </w:r>
      <w:r>
        <w:rPr>
          <w:rFonts w:hint="eastAsia" w:ascii="宋体" w:hAnsi="宋体" w:cs="宋体"/>
          <w:bCs/>
          <w:color w:val="auto"/>
          <w:sz w:val="28"/>
          <w:szCs w:val="28"/>
          <w:highlight w:val="none"/>
          <w:lang w:val="zh-CN"/>
        </w:rPr>
        <w:fldChar w:fldCharType="end"/>
      </w:r>
      <w:r>
        <w:rPr>
          <w:rFonts w:hint="eastAsia" w:ascii="宋体" w:hAnsi="宋体" w:cs="宋体"/>
          <w:color w:val="auto"/>
          <w:sz w:val="28"/>
          <w:szCs w:val="28"/>
          <w:highlight w:val="none"/>
        </w:rPr>
        <w:t>3</w:t>
      </w:r>
      <w:r>
        <w:rPr>
          <w:rFonts w:hint="eastAsia" w:ascii="宋体" w:hAnsi="宋体" w:cs="宋体"/>
          <w:color w:val="auto"/>
          <w:sz w:val="28"/>
          <w:szCs w:val="28"/>
          <w:highlight w:val="none"/>
          <w:lang w:val="en-US" w:eastAsia="zh-CN"/>
        </w:rPr>
        <w:t>0</w:t>
      </w:r>
    </w:p>
    <w:p w14:paraId="5A046443">
      <w:pPr>
        <w:pStyle w:val="22"/>
        <w:tabs>
          <w:tab w:val="right" w:leader="dot" w:pos="9070"/>
        </w:tabs>
        <w:spacing w:line="360" w:lineRule="auto"/>
        <w:ind w:left="420"/>
        <w:rPr>
          <w:rFonts w:hint="eastAsia" w:ascii="宋体" w:hAnsi="宋体" w:eastAsia="宋体" w:cs="宋体"/>
          <w:color w:val="auto"/>
          <w:sz w:val="28"/>
          <w:szCs w:val="28"/>
          <w:highlight w:val="none"/>
          <w:lang w:eastAsia="zh-CN"/>
        </w:rPr>
      </w:pPr>
      <w:r>
        <w:rPr>
          <w:rFonts w:hint="eastAsia" w:ascii="宋体" w:hAnsi="宋体" w:cs="宋体"/>
          <w:bCs/>
          <w:color w:val="auto"/>
          <w:sz w:val="28"/>
          <w:szCs w:val="28"/>
          <w:highlight w:val="none"/>
          <w:lang w:val="zh-CN"/>
        </w:rPr>
        <w:fldChar w:fldCharType="begin"/>
      </w:r>
      <w:r>
        <w:rPr>
          <w:rFonts w:hint="eastAsia" w:ascii="宋体" w:hAnsi="宋体" w:cs="宋体"/>
          <w:bCs/>
          <w:color w:val="auto"/>
          <w:sz w:val="28"/>
          <w:szCs w:val="28"/>
          <w:highlight w:val="none"/>
          <w:lang w:val="zh-CN"/>
        </w:rPr>
        <w:instrText xml:space="preserve"> HYPERLINK \l _Toc8638 </w:instrText>
      </w:r>
      <w:r>
        <w:rPr>
          <w:rFonts w:hint="eastAsia" w:ascii="宋体" w:hAnsi="宋体" w:cs="宋体"/>
          <w:bCs/>
          <w:color w:val="auto"/>
          <w:sz w:val="28"/>
          <w:szCs w:val="28"/>
          <w:highlight w:val="none"/>
          <w:lang w:val="zh-CN"/>
        </w:rPr>
        <w:fldChar w:fldCharType="separate"/>
      </w:r>
      <w:r>
        <w:rPr>
          <w:rFonts w:hint="eastAsia" w:ascii="宋体" w:hAnsi="宋体" w:cs="宋体"/>
          <w:color w:val="auto"/>
          <w:sz w:val="28"/>
          <w:szCs w:val="28"/>
          <w:highlight w:val="none"/>
        </w:rPr>
        <w:t>第六章 投标文件格式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_Toc8638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4</w:t>
      </w:r>
      <w:r>
        <w:rPr>
          <w:rFonts w:hint="eastAsia" w:ascii="宋体" w:hAnsi="宋体" w:cs="宋体"/>
          <w:color w:val="auto"/>
          <w:sz w:val="28"/>
          <w:szCs w:val="28"/>
          <w:highlight w:val="none"/>
        </w:rPr>
        <w:fldChar w:fldCharType="end"/>
      </w:r>
      <w:r>
        <w:rPr>
          <w:rFonts w:hint="eastAsia" w:ascii="宋体" w:hAnsi="宋体" w:cs="宋体"/>
          <w:bCs/>
          <w:color w:val="auto"/>
          <w:sz w:val="28"/>
          <w:szCs w:val="28"/>
          <w:highlight w:val="none"/>
          <w:lang w:val="zh-CN"/>
        </w:rPr>
        <w:fldChar w:fldCharType="end"/>
      </w:r>
      <w:r>
        <w:rPr>
          <w:rFonts w:hint="eastAsia" w:ascii="宋体" w:hAnsi="宋体" w:cs="宋体"/>
          <w:color w:val="auto"/>
          <w:sz w:val="28"/>
          <w:szCs w:val="28"/>
          <w:highlight w:val="none"/>
          <w:lang w:val="en-US" w:eastAsia="zh-CN"/>
        </w:rPr>
        <w:t>0</w:t>
      </w:r>
    </w:p>
    <w:p w14:paraId="621F2646">
      <w:pPr>
        <w:pStyle w:val="22"/>
        <w:tabs>
          <w:tab w:val="right" w:leader="dot" w:pos="9070"/>
        </w:tabs>
        <w:spacing w:line="360" w:lineRule="auto"/>
        <w:ind w:left="420"/>
        <w:rPr>
          <w:rFonts w:hint="eastAsia" w:ascii="宋体" w:hAnsi="宋体" w:cs="宋体"/>
          <w:color w:val="auto"/>
          <w:sz w:val="28"/>
          <w:szCs w:val="28"/>
          <w:highlight w:val="none"/>
        </w:rPr>
      </w:pPr>
    </w:p>
    <w:p w14:paraId="18C61DA3">
      <w:pPr>
        <w:spacing w:line="360" w:lineRule="auto"/>
        <w:rPr>
          <w:color w:val="auto"/>
          <w:highlight w:val="none"/>
        </w:rPr>
        <w:sectPr>
          <w:headerReference r:id="rId4" w:type="default"/>
          <w:footerReference r:id="rId5" w:type="default"/>
          <w:pgSz w:w="11905" w:h="16838"/>
          <w:pgMar w:top="1145" w:right="850" w:bottom="850" w:left="1287" w:header="0" w:footer="454" w:gutter="0"/>
          <w:pgNumType w:fmt="decimal" w:start="1"/>
          <w:cols w:space="720" w:num="1"/>
          <w:rtlGutter w:val="0"/>
          <w:docGrid w:linePitch="312" w:charSpace="0"/>
        </w:sectPr>
      </w:pPr>
      <w:r>
        <w:rPr>
          <w:rFonts w:hint="eastAsia" w:ascii="宋体" w:hAnsi="宋体" w:cs="宋体"/>
          <w:b/>
          <w:bCs/>
          <w:color w:val="auto"/>
          <w:sz w:val="28"/>
          <w:szCs w:val="28"/>
          <w:highlight w:val="none"/>
          <w:lang w:val="zh-CN"/>
        </w:rPr>
        <w:fldChar w:fldCharType="end"/>
      </w:r>
    </w:p>
    <w:p w14:paraId="4D7A79C5">
      <w:pPr>
        <w:spacing w:line="491" w:lineRule="exact"/>
        <w:rPr>
          <w:b/>
          <w:color w:val="auto"/>
          <w:sz w:val="43"/>
          <w:highlight w:val="none"/>
        </w:rPr>
      </w:pPr>
    </w:p>
    <w:p w14:paraId="60EE6FCC">
      <w:pPr>
        <w:spacing w:line="360" w:lineRule="auto"/>
        <w:jc w:val="center"/>
        <w:outlineLvl w:val="1"/>
        <w:rPr>
          <w:b/>
          <w:color w:val="auto"/>
          <w:sz w:val="44"/>
          <w:highlight w:val="none"/>
        </w:rPr>
      </w:pPr>
      <w:bookmarkStart w:id="2" w:name="_Toc18756"/>
      <w:bookmarkStart w:id="3" w:name="_Toc530728897"/>
      <w:r>
        <w:rPr>
          <w:rFonts w:hAnsi="宋体"/>
          <w:b/>
          <w:color w:val="auto"/>
          <w:sz w:val="44"/>
          <w:highlight w:val="none"/>
        </w:rPr>
        <w:t>第一章</w:t>
      </w:r>
      <w:r>
        <w:rPr>
          <w:rFonts w:hint="eastAsia"/>
          <w:b/>
          <w:color w:val="auto"/>
          <w:sz w:val="44"/>
          <w:highlight w:val="none"/>
        </w:rPr>
        <w:t xml:space="preserve"> </w:t>
      </w:r>
      <w:r>
        <w:rPr>
          <w:rFonts w:hint="eastAsia" w:hAnsi="宋体"/>
          <w:b/>
          <w:color w:val="auto"/>
          <w:sz w:val="44"/>
          <w:highlight w:val="none"/>
        </w:rPr>
        <w:t>招标公告</w:t>
      </w:r>
      <w:bookmarkEnd w:id="2"/>
      <w:bookmarkEnd w:id="3"/>
    </w:p>
    <w:p w14:paraId="645410AE">
      <w:pPr>
        <w:spacing w:line="360" w:lineRule="auto"/>
        <w:jc w:val="center"/>
        <w:rPr>
          <w:b/>
          <w:color w:val="auto"/>
          <w:sz w:val="43"/>
          <w:highlight w:val="none"/>
        </w:rPr>
      </w:pPr>
      <w:r>
        <w:rPr>
          <w:rFonts w:hAnsi="宋体"/>
          <w:b/>
          <w:color w:val="auto"/>
          <w:sz w:val="43"/>
          <w:highlight w:val="none"/>
        </w:rPr>
        <w:t>（</w:t>
      </w:r>
      <w:r>
        <w:rPr>
          <w:rFonts w:hint="eastAsia" w:hAnsi="宋体"/>
          <w:b/>
          <w:color w:val="auto"/>
          <w:sz w:val="43"/>
          <w:highlight w:val="none"/>
        </w:rPr>
        <w:t>略</w:t>
      </w:r>
      <w:r>
        <w:rPr>
          <w:rFonts w:hAnsi="宋体"/>
          <w:b/>
          <w:color w:val="auto"/>
          <w:sz w:val="43"/>
          <w:highlight w:val="none"/>
        </w:rPr>
        <w:t>）</w:t>
      </w:r>
    </w:p>
    <w:p w14:paraId="76EFD53A">
      <w:pPr>
        <w:spacing w:line="491" w:lineRule="exact"/>
        <w:jc w:val="center"/>
        <w:rPr>
          <w:b/>
          <w:color w:val="auto"/>
          <w:sz w:val="44"/>
          <w:highlight w:val="none"/>
        </w:rPr>
      </w:pPr>
    </w:p>
    <w:p w14:paraId="5F1C8F77">
      <w:pPr>
        <w:spacing w:line="491" w:lineRule="exact"/>
        <w:jc w:val="center"/>
        <w:rPr>
          <w:b/>
          <w:color w:val="auto"/>
          <w:sz w:val="44"/>
          <w:highlight w:val="none"/>
        </w:rPr>
      </w:pPr>
    </w:p>
    <w:p w14:paraId="58B19DAD">
      <w:pPr>
        <w:spacing w:line="491" w:lineRule="exact"/>
        <w:jc w:val="center"/>
        <w:rPr>
          <w:b/>
          <w:color w:val="auto"/>
          <w:sz w:val="44"/>
          <w:highlight w:val="none"/>
        </w:rPr>
      </w:pPr>
    </w:p>
    <w:p w14:paraId="57422707">
      <w:pPr>
        <w:spacing w:line="491" w:lineRule="exact"/>
        <w:jc w:val="center"/>
        <w:rPr>
          <w:b/>
          <w:color w:val="auto"/>
          <w:sz w:val="44"/>
          <w:highlight w:val="none"/>
        </w:rPr>
      </w:pPr>
    </w:p>
    <w:p w14:paraId="7F6EEEE8">
      <w:pPr>
        <w:spacing w:line="491" w:lineRule="exact"/>
        <w:jc w:val="center"/>
        <w:rPr>
          <w:b/>
          <w:color w:val="auto"/>
          <w:sz w:val="44"/>
          <w:highlight w:val="none"/>
        </w:rPr>
      </w:pPr>
    </w:p>
    <w:p w14:paraId="2C3FD99C">
      <w:pPr>
        <w:spacing w:line="491" w:lineRule="exact"/>
        <w:jc w:val="center"/>
        <w:rPr>
          <w:b/>
          <w:color w:val="auto"/>
          <w:sz w:val="44"/>
          <w:highlight w:val="none"/>
        </w:rPr>
        <w:sectPr>
          <w:footerReference r:id="rId7" w:type="first"/>
          <w:headerReference r:id="rId6" w:type="default"/>
          <w:pgSz w:w="11905" w:h="16838"/>
          <w:pgMar w:top="1145" w:right="850" w:bottom="850" w:left="1287" w:header="0" w:footer="454" w:gutter="0"/>
          <w:pgNumType w:fmt="decimal"/>
          <w:cols w:space="720" w:num="1"/>
          <w:rtlGutter w:val="0"/>
          <w:docGrid w:linePitch="360" w:charSpace="0"/>
        </w:sectPr>
      </w:pPr>
    </w:p>
    <w:p w14:paraId="1A2A622E">
      <w:pPr>
        <w:pStyle w:val="4"/>
        <w:jc w:val="center"/>
        <w:rPr>
          <w:rFonts w:ascii="Times New Roman" w:hAnsi="Times New Roman" w:eastAsia="宋体"/>
          <w:color w:val="auto"/>
        </w:rPr>
      </w:pPr>
      <w:bookmarkStart w:id="4" w:name="_Toc14328"/>
      <w:bookmarkStart w:id="5" w:name="_Toc530728898"/>
      <w:r>
        <w:rPr>
          <w:rFonts w:ascii="Times New Roman" w:eastAsia="宋体"/>
          <w:color w:val="auto"/>
        </w:rPr>
        <w:t>第二章</w:t>
      </w:r>
      <w:r>
        <w:rPr>
          <w:rFonts w:hint="eastAsia" w:ascii="Times New Roman" w:hAnsi="Times New Roman" w:eastAsia="宋体"/>
          <w:color w:val="auto"/>
        </w:rPr>
        <w:t xml:space="preserve"> </w:t>
      </w:r>
      <w:r>
        <w:rPr>
          <w:rFonts w:ascii="Times New Roman" w:eastAsia="宋体"/>
          <w:color w:val="auto"/>
        </w:rPr>
        <w:t>投标人须知</w:t>
      </w:r>
      <w:bookmarkEnd w:id="4"/>
      <w:bookmarkEnd w:id="5"/>
    </w:p>
    <w:p w14:paraId="7B96C16B">
      <w:pPr>
        <w:spacing w:line="201" w:lineRule="exact"/>
        <w:rPr>
          <w:color w:val="auto"/>
          <w:highlight w:val="none"/>
        </w:rPr>
      </w:pPr>
    </w:p>
    <w:p w14:paraId="23F702E7">
      <w:pPr>
        <w:spacing w:line="366" w:lineRule="exact"/>
        <w:ind w:left="357"/>
        <w:jc w:val="center"/>
        <w:outlineLvl w:val="2"/>
        <w:rPr>
          <w:b/>
          <w:color w:val="auto"/>
          <w:sz w:val="32"/>
          <w:highlight w:val="none"/>
        </w:rPr>
      </w:pPr>
      <w:bookmarkStart w:id="6" w:name="_Toc11298"/>
      <w:r>
        <w:rPr>
          <w:rFonts w:hAnsi="黑体"/>
          <w:b/>
          <w:color w:val="auto"/>
          <w:sz w:val="32"/>
          <w:highlight w:val="none"/>
        </w:rPr>
        <w:t>投标人须知前附表</w:t>
      </w:r>
      <w:bookmarkEnd w:id="6"/>
    </w:p>
    <w:p w14:paraId="79EF247C">
      <w:pPr>
        <w:spacing w:line="200" w:lineRule="exact"/>
        <w:rPr>
          <w:color w:val="auto"/>
          <w:highlight w:val="none"/>
        </w:rPr>
      </w:pPr>
    </w:p>
    <w:tbl>
      <w:tblPr>
        <w:tblStyle w:val="25"/>
        <w:tblW w:w="9606" w:type="dxa"/>
        <w:tblInd w:w="0" w:type="dxa"/>
        <w:tblLayout w:type="fixed"/>
        <w:tblCellMar>
          <w:top w:w="0" w:type="dxa"/>
          <w:left w:w="108" w:type="dxa"/>
          <w:bottom w:w="0" w:type="dxa"/>
          <w:right w:w="108" w:type="dxa"/>
        </w:tblCellMar>
      </w:tblPr>
      <w:tblGrid>
        <w:gridCol w:w="1165"/>
        <w:gridCol w:w="2345"/>
        <w:gridCol w:w="6096"/>
      </w:tblGrid>
      <w:tr w14:paraId="0256DD7E">
        <w:tblPrEx>
          <w:tblCellMar>
            <w:top w:w="0" w:type="dxa"/>
            <w:left w:w="108" w:type="dxa"/>
            <w:bottom w:w="0" w:type="dxa"/>
            <w:right w:w="108" w:type="dxa"/>
          </w:tblCellMar>
        </w:tblPrEx>
        <w:trPr>
          <w:tblHeader/>
        </w:trPr>
        <w:tc>
          <w:tcPr>
            <w:tcW w:w="1165" w:type="dxa"/>
            <w:tcBorders>
              <w:top w:val="single" w:color="auto" w:sz="4" w:space="0"/>
              <w:left w:val="single" w:color="auto" w:sz="4" w:space="0"/>
              <w:bottom w:val="single" w:color="auto" w:sz="4" w:space="0"/>
              <w:right w:val="single" w:color="auto" w:sz="4" w:space="0"/>
            </w:tcBorders>
            <w:noWrap w:val="0"/>
            <w:vAlign w:val="center"/>
          </w:tcPr>
          <w:p w14:paraId="3089B995">
            <w:pPr>
              <w:spacing w:line="360" w:lineRule="exact"/>
              <w:jc w:val="center"/>
              <w:rPr>
                <w:b/>
                <w:color w:val="auto"/>
                <w:highlight w:val="none"/>
              </w:rPr>
            </w:pPr>
            <w:r>
              <w:rPr>
                <w:rFonts w:hint="eastAsia" w:hAnsi="宋体"/>
                <w:b/>
                <w:color w:val="auto"/>
                <w:highlight w:val="none"/>
              </w:rPr>
              <w:t>条款号</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2D81CF66">
            <w:pPr>
              <w:spacing w:line="360" w:lineRule="exact"/>
              <w:jc w:val="center"/>
              <w:rPr>
                <w:b/>
                <w:color w:val="auto"/>
                <w:highlight w:val="none"/>
              </w:rPr>
            </w:pPr>
            <w:r>
              <w:rPr>
                <w:rFonts w:hint="eastAsia" w:hAnsi="宋体"/>
                <w:b/>
                <w:color w:val="auto"/>
                <w:highlight w:val="none"/>
              </w:rPr>
              <w:t>条款名称</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0EC182FD">
            <w:pPr>
              <w:spacing w:line="360" w:lineRule="exact"/>
              <w:ind w:left="40" w:leftChars="19" w:right="107" w:rightChars="51"/>
              <w:jc w:val="center"/>
              <w:rPr>
                <w:b/>
                <w:color w:val="auto"/>
                <w:szCs w:val="21"/>
                <w:highlight w:val="none"/>
              </w:rPr>
            </w:pPr>
            <w:r>
              <w:rPr>
                <w:rFonts w:hint="eastAsia" w:hAnsi="宋体"/>
                <w:b/>
                <w:color w:val="auto"/>
                <w:szCs w:val="21"/>
                <w:highlight w:val="none"/>
              </w:rPr>
              <w:t>编列内容</w:t>
            </w:r>
          </w:p>
        </w:tc>
      </w:tr>
      <w:tr w14:paraId="35D22EBB">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4852406B">
            <w:pPr>
              <w:spacing w:line="360" w:lineRule="exact"/>
              <w:jc w:val="center"/>
              <w:rPr>
                <w:color w:val="auto"/>
                <w:highlight w:val="none"/>
              </w:rPr>
            </w:pPr>
            <w:r>
              <w:rPr>
                <w:color w:val="auto"/>
                <w:highlight w:val="none"/>
              </w:rPr>
              <w:t>1.1.2</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603972DE">
            <w:pPr>
              <w:spacing w:line="360" w:lineRule="exact"/>
              <w:jc w:val="center"/>
              <w:rPr>
                <w:color w:val="auto"/>
                <w:highlight w:val="none"/>
              </w:rPr>
            </w:pPr>
            <w:r>
              <w:rPr>
                <w:rFonts w:hint="eastAsia" w:hAnsi="宋体"/>
                <w:color w:val="auto"/>
                <w:highlight w:val="none"/>
              </w:rPr>
              <w:t>招标人</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47234CD4">
            <w:pPr>
              <w:jc w:val="left"/>
              <w:rPr>
                <w:rFonts w:hint="eastAsia" w:ascii="宋体" w:hAnsi="宋体" w:cs="宋体"/>
                <w:color w:val="auto"/>
                <w:szCs w:val="21"/>
                <w:highlight w:val="none"/>
                <w:u w:val="single"/>
              </w:rPr>
            </w:pPr>
            <w:r>
              <w:rPr>
                <w:rFonts w:hint="eastAsia" w:ascii="宋体" w:hAnsi="宋体" w:cs="宋体"/>
                <w:color w:val="auto"/>
                <w:szCs w:val="21"/>
                <w:highlight w:val="none"/>
              </w:rPr>
              <w:t>名称：</w:t>
            </w:r>
            <w:r>
              <w:rPr>
                <w:rFonts w:hint="eastAsia" w:ascii="宋体" w:hAnsi="宋体" w:cs="宋体"/>
                <w:color w:val="auto"/>
                <w:szCs w:val="21"/>
                <w:highlight w:val="none"/>
                <w:u w:val="single"/>
              </w:rPr>
              <w:t>广州南沙智汇农业科技有限公司</w:t>
            </w:r>
          </w:p>
          <w:p w14:paraId="2E9E329B">
            <w:pPr>
              <w:ind w:left="630" w:hanging="630" w:hangingChars="300"/>
              <w:jc w:val="left"/>
              <w:rPr>
                <w:rFonts w:hint="eastAsia" w:ascii="宋体" w:hAnsi="宋体" w:cs="宋体"/>
                <w:color w:val="auto"/>
                <w:szCs w:val="21"/>
                <w:highlight w:val="none"/>
                <w:u w:val="singl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广州市南沙区珠江街珠江北路162号</w:t>
            </w:r>
          </w:p>
          <w:p w14:paraId="2554D0A3">
            <w:pPr>
              <w:jc w:val="left"/>
              <w:rPr>
                <w:rFonts w:hint="eastAsia" w:ascii="宋体" w:hAnsi="宋体" w:cs="宋体"/>
                <w:color w:val="auto"/>
                <w:szCs w:val="21"/>
                <w:highlight w:val="none"/>
                <w:u w:val="single"/>
              </w:rPr>
            </w:pPr>
            <w:r>
              <w:rPr>
                <w:rFonts w:hint="eastAsia" w:ascii="宋体" w:hAnsi="宋体" w:cs="宋体"/>
                <w:color w:val="auto"/>
                <w:szCs w:val="21"/>
                <w:highlight w:val="none"/>
              </w:rPr>
              <w:t>联系人：</w:t>
            </w:r>
            <w:r>
              <w:rPr>
                <w:rFonts w:hint="eastAsia" w:ascii="宋体" w:hAnsi="宋体" w:cs="宋体"/>
                <w:color w:val="auto"/>
                <w:szCs w:val="21"/>
                <w:highlight w:val="none"/>
                <w:u w:val="single"/>
              </w:rPr>
              <w:t>何工</w:t>
            </w:r>
          </w:p>
          <w:p w14:paraId="5972199C">
            <w:pPr>
              <w:spacing w:line="360" w:lineRule="exact"/>
              <w:ind w:right="107" w:rightChars="51"/>
              <w:rPr>
                <w:color w:val="auto"/>
                <w:szCs w:val="21"/>
                <w:highlight w:val="none"/>
              </w:rPr>
            </w:pPr>
            <w:r>
              <w:rPr>
                <w:rFonts w:hint="eastAsia" w:ascii="宋体" w:hAnsi="宋体" w:cs="宋体"/>
                <w:color w:val="auto"/>
                <w:szCs w:val="21"/>
                <w:highlight w:val="none"/>
              </w:rPr>
              <w:t>电话：</w:t>
            </w:r>
            <w:r>
              <w:rPr>
                <w:rFonts w:hint="eastAsia" w:ascii="宋体" w:hAnsi="宋体" w:cs="宋体"/>
                <w:color w:val="auto"/>
                <w:szCs w:val="21"/>
                <w:highlight w:val="none"/>
                <w:u w:val="single"/>
              </w:rPr>
              <w:t>020-84529380</w:t>
            </w:r>
          </w:p>
        </w:tc>
      </w:tr>
      <w:tr w14:paraId="26E76638">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605823A4">
            <w:pPr>
              <w:spacing w:line="360" w:lineRule="exact"/>
              <w:jc w:val="center"/>
              <w:rPr>
                <w:color w:val="auto"/>
                <w:highlight w:val="none"/>
              </w:rPr>
            </w:pPr>
            <w:r>
              <w:rPr>
                <w:color w:val="auto"/>
                <w:highlight w:val="none"/>
              </w:rPr>
              <w:t>1.1.3</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0251B4A0">
            <w:pPr>
              <w:spacing w:line="360" w:lineRule="exact"/>
              <w:jc w:val="center"/>
              <w:rPr>
                <w:color w:val="auto"/>
                <w:highlight w:val="none"/>
              </w:rPr>
            </w:pPr>
            <w:r>
              <w:rPr>
                <w:rFonts w:hint="eastAsia" w:hAnsi="宋体"/>
                <w:color w:val="auto"/>
                <w:highlight w:val="none"/>
              </w:rPr>
              <w:t>招标代理机构</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2BF4B7BE">
            <w:pPr>
              <w:jc w:val="left"/>
              <w:rPr>
                <w:rFonts w:hint="eastAsia" w:ascii="宋体" w:hAnsi="宋体" w:cs="宋体"/>
                <w:color w:val="auto"/>
                <w:szCs w:val="21"/>
                <w:highlight w:val="none"/>
                <w:u w:val="single"/>
              </w:rPr>
            </w:pPr>
            <w:r>
              <w:rPr>
                <w:rFonts w:hint="eastAsia" w:ascii="宋体" w:hAnsi="宋体" w:cs="宋体"/>
                <w:color w:val="auto"/>
                <w:szCs w:val="21"/>
                <w:highlight w:val="none"/>
              </w:rPr>
              <w:t>名称：</w:t>
            </w:r>
            <w:r>
              <w:rPr>
                <w:rFonts w:hint="eastAsia" w:ascii="宋体" w:hAnsi="宋体" w:cs="宋体"/>
                <w:color w:val="auto"/>
                <w:szCs w:val="21"/>
                <w:highlight w:val="none"/>
                <w:u w:val="single"/>
              </w:rPr>
              <w:t>广东省建筑工程监理有限公司</w:t>
            </w:r>
          </w:p>
          <w:p w14:paraId="32F91E43">
            <w:pPr>
              <w:jc w:val="left"/>
              <w:rPr>
                <w:rFonts w:hint="eastAsia"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广州市荔湾区流花路85号</w:t>
            </w:r>
          </w:p>
          <w:p w14:paraId="4844EFCC">
            <w:pPr>
              <w:jc w:val="left"/>
              <w:rPr>
                <w:rFonts w:hint="eastAsia" w:ascii="宋体" w:hAnsi="宋体" w:cs="宋体"/>
                <w:color w:val="auto"/>
                <w:szCs w:val="21"/>
                <w:highlight w:val="none"/>
                <w:u w:val="single"/>
              </w:rPr>
            </w:pPr>
            <w:r>
              <w:rPr>
                <w:rFonts w:hint="eastAsia" w:ascii="宋体" w:hAnsi="宋体" w:cs="宋体"/>
                <w:color w:val="auto"/>
                <w:szCs w:val="21"/>
                <w:highlight w:val="none"/>
              </w:rPr>
              <w:t>联系人：</w:t>
            </w:r>
            <w:r>
              <w:rPr>
                <w:rFonts w:hint="eastAsia" w:ascii="宋体" w:hAnsi="宋体" w:cs="宋体"/>
                <w:color w:val="auto"/>
                <w:szCs w:val="21"/>
                <w:highlight w:val="none"/>
                <w:u w:val="single"/>
              </w:rPr>
              <w:t>肖工</w:t>
            </w:r>
          </w:p>
          <w:p w14:paraId="7D5B2492">
            <w:pPr>
              <w:ind w:left="40" w:leftChars="19" w:right="107" w:rightChars="51"/>
              <w:rPr>
                <w:color w:val="auto"/>
                <w:szCs w:val="21"/>
                <w:highlight w:val="none"/>
              </w:rPr>
            </w:pPr>
            <w:r>
              <w:rPr>
                <w:rFonts w:hint="eastAsia" w:ascii="宋体" w:hAnsi="宋体" w:cs="宋体"/>
                <w:color w:val="auto"/>
                <w:szCs w:val="21"/>
                <w:highlight w:val="none"/>
              </w:rPr>
              <w:t>电话：</w:t>
            </w:r>
            <w:r>
              <w:rPr>
                <w:rFonts w:hint="eastAsia" w:ascii="宋体" w:hAnsi="宋体" w:cs="宋体"/>
                <w:color w:val="auto"/>
                <w:szCs w:val="21"/>
                <w:highlight w:val="none"/>
                <w:u w:val="single"/>
              </w:rPr>
              <w:t>020-86673560</w:t>
            </w:r>
          </w:p>
        </w:tc>
      </w:tr>
      <w:tr w14:paraId="196FDC80">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6D1D6F2F">
            <w:pPr>
              <w:spacing w:line="360" w:lineRule="exact"/>
              <w:jc w:val="center"/>
              <w:rPr>
                <w:color w:val="auto"/>
                <w:highlight w:val="none"/>
              </w:rPr>
            </w:pPr>
            <w:r>
              <w:rPr>
                <w:color w:val="auto"/>
                <w:highlight w:val="none"/>
              </w:rPr>
              <w:t>1.1.4</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72AB7CE8">
            <w:pPr>
              <w:spacing w:line="360" w:lineRule="exact"/>
              <w:jc w:val="center"/>
              <w:rPr>
                <w:color w:val="auto"/>
                <w:highlight w:val="none"/>
              </w:rPr>
            </w:pPr>
            <w:r>
              <w:rPr>
                <w:rFonts w:hint="eastAsia" w:hAnsi="宋体"/>
                <w:color w:val="auto"/>
                <w:highlight w:val="none"/>
              </w:rPr>
              <w:t>招标项目名称</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4C49C994">
            <w:pPr>
              <w:spacing w:line="360" w:lineRule="exact"/>
              <w:ind w:left="40" w:leftChars="19" w:right="107" w:rightChars="51"/>
              <w:rPr>
                <w:rFonts w:hint="eastAsia"/>
                <w:color w:val="auto"/>
                <w:szCs w:val="21"/>
                <w:highlight w:val="none"/>
              </w:rPr>
            </w:pPr>
            <w:r>
              <w:rPr>
                <w:rFonts w:hint="eastAsia" w:ascii="宋体" w:hAnsi="宋体" w:cs="宋体"/>
                <w:color w:val="auto"/>
                <w:szCs w:val="21"/>
                <w:highlight w:val="none"/>
                <w:u w:val="single"/>
              </w:rPr>
              <w:t>湾区农谷二期</w:t>
            </w:r>
            <w:r>
              <w:rPr>
                <w:rFonts w:hint="eastAsia" w:ascii="宋体" w:hAnsi="宋体" w:cs="宋体"/>
                <w:color w:val="auto"/>
                <w:kern w:val="0"/>
                <w:szCs w:val="21"/>
                <w:highlight w:val="none"/>
                <w:u w:val="single"/>
              </w:rPr>
              <w:t>地铁保护动态监测和安全监控服务</w:t>
            </w:r>
          </w:p>
        </w:tc>
      </w:tr>
      <w:tr w14:paraId="4946A220">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4C3509E6">
            <w:pPr>
              <w:spacing w:line="360" w:lineRule="exact"/>
              <w:jc w:val="center"/>
              <w:rPr>
                <w:color w:val="auto"/>
                <w:highlight w:val="none"/>
              </w:rPr>
            </w:pPr>
            <w:r>
              <w:rPr>
                <w:color w:val="auto"/>
                <w:highlight w:val="none"/>
              </w:rPr>
              <w:t>1.1.5</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46E0126A">
            <w:pPr>
              <w:spacing w:line="360" w:lineRule="exact"/>
              <w:jc w:val="center"/>
              <w:rPr>
                <w:color w:val="auto"/>
                <w:highlight w:val="none"/>
              </w:rPr>
            </w:pPr>
            <w:r>
              <w:rPr>
                <w:rFonts w:hint="eastAsia" w:hAnsi="宋体"/>
                <w:color w:val="auto"/>
                <w:highlight w:val="none"/>
              </w:rPr>
              <w:t>项目建设地点</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21D79044">
            <w:pPr>
              <w:spacing w:line="360" w:lineRule="exact"/>
              <w:ind w:left="40" w:leftChars="19" w:right="107" w:rightChars="51"/>
              <w:rPr>
                <w:color w:val="auto"/>
                <w:szCs w:val="21"/>
                <w:highlight w:val="none"/>
              </w:rPr>
            </w:pPr>
            <w:r>
              <w:rPr>
                <w:rFonts w:hint="eastAsia" w:hAnsi="宋体"/>
                <w:color w:val="auto"/>
                <w:szCs w:val="21"/>
                <w:highlight w:val="none"/>
                <w:u w:val="single"/>
              </w:rPr>
              <w:t>详见招标公告。</w:t>
            </w:r>
          </w:p>
        </w:tc>
      </w:tr>
      <w:tr w14:paraId="1D0A10A6">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5C423162">
            <w:pPr>
              <w:spacing w:line="360" w:lineRule="exact"/>
              <w:jc w:val="center"/>
              <w:rPr>
                <w:color w:val="auto"/>
                <w:highlight w:val="none"/>
              </w:rPr>
            </w:pPr>
            <w:r>
              <w:rPr>
                <w:color w:val="auto"/>
                <w:highlight w:val="none"/>
              </w:rPr>
              <w:t>1.1.6</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538A21E0">
            <w:pPr>
              <w:spacing w:line="360" w:lineRule="exact"/>
              <w:jc w:val="center"/>
              <w:rPr>
                <w:color w:val="auto"/>
                <w:highlight w:val="none"/>
              </w:rPr>
            </w:pPr>
            <w:r>
              <w:rPr>
                <w:rFonts w:hint="eastAsia" w:hAnsi="宋体"/>
                <w:color w:val="auto"/>
                <w:highlight w:val="none"/>
              </w:rPr>
              <w:t>项目建设规模</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64D50476">
            <w:pPr>
              <w:spacing w:line="360" w:lineRule="exact"/>
              <w:ind w:left="40" w:leftChars="19" w:right="107" w:rightChars="51"/>
              <w:rPr>
                <w:color w:val="auto"/>
                <w:szCs w:val="21"/>
                <w:highlight w:val="none"/>
              </w:rPr>
            </w:pPr>
            <w:r>
              <w:rPr>
                <w:rFonts w:hint="eastAsia" w:hAnsi="宋体"/>
                <w:color w:val="auto"/>
                <w:szCs w:val="21"/>
                <w:highlight w:val="none"/>
                <w:u w:val="single"/>
              </w:rPr>
              <w:t>详见招标公告。</w:t>
            </w:r>
          </w:p>
        </w:tc>
      </w:tr>
      <w:tr w14:paraId="044376E3">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2BF03BB2">
            <w:pPr>
              <w:spacing w:line="360" w:lineRule="exact"/>
              <w:jc w:val="center"/>
              <w:rPr>
                <w:color w:val="auto"/>
                <w:highlight w:val="none"/>
              </w:rPr>
            </w:pPr>
            <w:r>
              <w:rPr>
                <w:color w:val="auto"/>
                <w:highlight w:val="none"/>
              </w:rPr>
              <w:t>1.1.8</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3F691AAB">
            <w:pPr>
              <w:spacing w:line="360" w:lineRule="exact"/>
              <w:jc w:val="center"/>
              <w:rPr>
                <w:color w:val="auto"/>
                <w:highlight w:val="none"/>
              </w:rPr>
            </w:pPr>
            <w:r>
              <w:rPr>
                <w:rFonts w:hint="eastAsia" w:hAnsi="宋体"/>
                <w:color w:val="auto"/>
                <w:highlight w:val="none"/>
              </w:rPr>
              <w:t>建筑安装工程费</w:t>
            </w:r>
            <w:r>
              <w:rPr>
                <w:color w:val="auto"/>
                <w:highlight w:val="none"/>
              </w:rPr>
              <w:t>/</w:t>
            </w:r>
            <w:r>
              <w:rPr>
                <w:rFonts w:hint="eastAsia" w:hAnsi="宋体"/>
                <w:color w:val="auto"/>
                <w:highlight w:val="none"/>
              </w:rPr>
              <w:t>投资估算</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79E22231">
            <w:pPr>
              <w:spacing w:line="360" w:lineRule="exact"/>
              <w:ind w:left="40" w:leftChars="19" w:right="107" w:rightChars="51"/>
              <w:rPr>
                <w:color w:val="auto"/>
                <w:szCs w:val="21"/>
                <w:highlight w:val="none"/>
                <w:u w:val="single"/>
              </w:rPr>
            </w:pPr>
            <w:r>
              <w:rPr>
                <w:rFonts w:hint="eastAsia" w:hAnsi="宋体"/>
                <w:color w:val="auto"/>
                <w:szCs w:val="21"/>
                <w:highlight w:val="none"/>
                <w:u w:val="single"/>
              </w:rPr>
              <w:t>详见招标公告。</w:t>
            </w:r>
          </w:p>
        </w:tc>
      </w:tr>
      <w:tr w14:paraId="36592D5C">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208B8748">
            <w:pPr>
              <w:spacing w:line="360" w:lineRule="exact"/>
              <w:jc w:val="center"/>
              <w:rPr>
                <w:color w:val="auto"/>
                <w:highlight w:val="none"/>
              </w:rPr>
            </w:pPr>
            <w:r>
              <w:rPr>
                <w:color w:val="auto"/>
                <w:highlight w:val="none"/>
              </w:rPr>
              <w:t>1.2.1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4D6AAEC2">
            <w:pPr>
              <w:spacing w:line="360" w:lineRule="exact"/>
              <w:jc w:val="center"/>
              <w:rPr>
                <w:color w:val="auto"/>
                <w:highlight w:val="none"/>
              </w:rPr>
            </w:pPr>
            <w:r>
              <w:rPr>
                <w:rFonts w:hint="eastAsia" w:hAnsi="宋体"/>
                <w:color w:val="auto"/>
                <w:highlight w:val="none"/>
              </w:rPr>
              <w:t>资金来源及比例</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5C4F04D1">
            <w:pPr>
              <w:spacing w:line="360" w:lineRule="exact"/>
              <w:ind w:left="40" w:leftChars="19" w:right="107" w:rightChars="51"/>
              <w:rPr>
                <w:color w:val="auto"/>
                <w:szCs w:val="21"/>
                <w:highlight w:val="none"/>
                <w:u w:val="single"/>
              </w:rPr>
            </w:pPr>
            <w:r>
              <w:rPr>
                <w:rFonts w:hint="eastAsia" w:hAnsi="宋体"/>
                <w:color w:val="auto"/>
                <w:szCs w:val="21"/>
                <w:highlight w:val="none"/>
                <w:u w:val="single"/>
              </w:rPr>
              <w:t>详见招标公告。</w:t>
            </w:r>
          </w:p>
        </w:tc>
      </w:tr>
      <w:tr w14:paraId="5253FB5F">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4DD2A44F">
            <w:pPr>
              <w:spacing w:line="360" w:lineRule="exact"/>
              <w:jc w:val="center"/>
              <w:rPr>
                <w:color w:val="auto"/>
                <w:highlight w:val="none"/>
              </w:rPr>
            </w:pPr>
            <w:r>
              <w:rPr>
                <w:color w:val="auto"/>
                <w:highlight w:val="none"/>
              </w:rPr>
              <w:t>1.2.2</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2E34444F">
            <w:pPr>
              <w:spacing w:line="360" w:lineRule="exact"/>
              <w:jc w:val="center"/>
              <w:rPr>
                <w:color w:val="auto"/>
                <w:highlight w:val="none"/>
              </w:rPr>
            </w:pPr>
            <w:r>
              <w:rPr>
                <w:rFonts w:hint="eastAsia" w:hAnsi="宋体"/>
                <w:color w:val="auto"/>
                <w:highlight w:val="none"/>
              </w:rPr>
              <w:t>资金落实情况</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0309D82F">
            <w:pPr>
              <w:spacing w:line="360" w:lineRule="exact"/>
              <w:ind w:left="40" w:leftChars="19" w:right="107" w:rightChars="51"/>
              <w:rPr>
                <w:color w:val="auto"/>
                <w:szCs w:val="21"/>
                <w:highlight w:val="none"/>
              </w:rPr>
            </w:pPr>
            <w:r>
              <w:rPr>
                <w:rFonts w:hint="eastAsia" w:hAnsi="宋体" w:cs="宋体"/>
                <w:color w:val="auto"/>
                <w:szCs w:val="21"/>
                <w:highlight w:val="none"/>
                <w:u w:val="single"/>
              </w:rPr>
              <w:t>已落实。</w:t>
            </w:r>
          </w:p>
        </w:tc>
      </w:tr>
      <w:tr w14:paraId="008009DC">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7B08936E">
            <w:pPr>
              <w:spacing w:line="360" w:lineRule="exact"/>
              <w:jc w:val="center"/>
              <w:rPr>
                <w:color w:val="auto"/>
                <w:highlight w:val="none"/>
              </w:rPr>
            </w:pPr>
            <w:r>
              <w:rPr>
                <w:color w:val="auto"/>
                <w:highlight w:val="none"/>
              </w:rPr>
              <w:t>1.3.1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17AB12FD">
            <w:pPr>
              <w:spacing w:line="360" w:lineRule="exact"/>
              <w:jc w:val="center"/>
              <w:rPr>
                <w:color w:val="auto"/>
                <w:highlight w:val="none"/>
              </w:rPr>
            </w:pPr>
            <w:r>
              <w:rPr>
                <w:rFonts w:hint="eastAsia" w:hAnsi="宋体"/>
                <w:color w:val="auto"/>
                <w:highlight w:val="none"/>
              </w:rPr>
              <w:t>招标范围</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03CBB683">
            <w:pPr>
              <w:spacing w:line="360" w:lineRule="exact"/>
              <w:ind w:left="40" w:leftChars="19" w:right="107" w:rightChars="51"/>
              <w:rPr>
                <w:color w:val="auto"/>
                <w:szCs w:val="21"/>
                <w:highlight w:val="none"/>
                <w:u w:val="single"/>
              </w:rPr>
            </w:pPr>
            <w:r>
              <w:rPr>
                <w:rFonts w:hint="eastAsia" w:hAnsi="宋体" w:cs="宋体"/>
                <w:color w:val="auto"/>
                <w:szCs w:val="21"/>
                <w:highlight w:val="none"/>
                <w:u w:val="single"/>
              </w:rPr>
              <w:t>详见招标公告。</w:t>
            </w:r>
          </w:p>
        </w:tc>
      </w:tr>
      <w:tr w14:paraId="7C121E5F">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4C785EAE">
            <w:pPr>
              <w:spacing w:line="360" w:lineRule="exact"/>
              <w:jc w:val="center"/>
              <w:rPr>
                <w:color w:val="auto"/>
                <w:highlight w:val="none"/>
              </w:rPr>
            </w:pPr>
            <w:r>
              <w:rPr>
                <w:color w:val="auto"/>
                <w:highlight w:val="none"/>
              </w:rPr>
              <w:t>1.3.2</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66585F57">
            <w:pPr>
              <w:spacing w:line="360" w:lineRule="exact"/>
              <w:jc w:val="center"/>
              <w:rPr>
                <w:color w:val="auto"/>
                <w:highlight w:val="none"/>
              </w:rPr>
            </w:pPr>
            <w:r>
              <w:rPr>
                <w:rFonts w:hint="eastAsia" w:hAnsi="宋体"/>
                <w:color w:val="auto"/>
                <w:highlight w:val="none"/>
              </w:rPr>
              <w:t>服务期限</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67458004">
            <w:pPr>
              <w:spacing w:line="360" w:lineRule="exact"/>
              <w:ind w:left="40" w:leftChars="19" w:right="107" w:rightChars="51"/>
              <w:rPr>
                <w:color w:val="auto"/>
                <w:szCs w:val="21"/>
                <w:highlight w:val="none"/>
              </w:rPr>
            </w:pPr>
            <w:r>
              <w:rPr>
                <w:rFonts w:hint="eastAsia" w:hAnsi="宋体"/>
                <w:color w:val="auto"/>
                <w:szCs w:val="21"/>
                <w:highlight w:val="none"/>
                <w:u w:val="single"/>
              </w:rPr>
              <w:t>详见招标公告。</w:t>
            </w:r>
          </w:p>
        </w:tc>
      </w:tr>
      <w:tr w14:paraId="0E159ADF">
        <w:tblPrEx>
          <w:tblCellMar>
            <w:top w:w="0" w:type="dxa"/>
            <w:left w:w="108" w:type="dxa"/>
            <w:bottom w:w="0" w:type="dxa"/>
            <w:right w:w="108" w:type="dxa"/>
          </w:tblCellMar>
        </w:tblPrEx>
        <w:trPr>
          <w:trHeight w:val="372"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26D6173D">
            <w:pPr>
              <w:spacing w:line="360" w:lineRule="exact"/>
              <w:jc w:val="center"/>
              <w:rPr>
                <w:color w:val="auto"/>
                <w:highlight w:val="none"/>
              </w:rPr>
            </w:pPr>
            <w:r>
              <w:rPr>
                <w:color w:val="auto"/>
                <w:highlight w:val="none"/>
              </w:rPr>
              <w:t>1.3.3</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416483F8">
            <w:pPr>
              <w:spacing w:line="360" w:lineRule="exact"/>
              <w:jc w:val="center"/>
              <w:rPr>
                <w:rFonts w:hint="eastAsia"/>
                <w:color w:val="auto"/>
                <w:highlight w:val="none"/>
              </w:rPr>
            </w:pPr>
            <w:r>
              <w:rPr>
                <w:rFonts w:hint="eastAsia" w:hAnsi="宋体"/>
                <w:color w:val="auto"/>
                <w:highlight w:val="none"/>
              </w:rPr>
              <w:t>质量标准</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12178A45">
            <w:pPr>
              <w:spacing w:before="120" w:beforeLines="50" w:after="120" w:afterLines="50" w:line="360" w:lineRule="exact"/>
              <w:rPr>
                <w:rFonts w:hint="eastAsia"/>
                <w:color w:val="auto"/>
                <w:szCs w:val="21"/>
                <w:highlight w:val="none"/>
                <w:u w:val="single"/>
              </w:rPr>
            </w:pPr>
            <w:r>
              <w:rPr>
                <w:rFonts w:hint="eastAsia" w:hAnsi="宋体"/>
                <w:color w:val="auto"/>
                <w:szCs w:val="21"/>
                <w:highlight w:val="none"/>
                <w:u w:val="single"/>
              </w:rPr>
              <w:t>符合国家及省、市有关监测标准。</w:t>
            </w:r>
          </w:p>
        </w:tc>
      </w:tr>
      <w:tr w14:paraId="4FE42D14">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063DF727">
            <w:pPr>
              <w:spacing w:line="360" w:lineRule="exact"/>
              <w:jc w:val="center"/>
              <w:rPr>
                <w:color w:val="auto"/>
                <w:highlight w:val="none"/>
              </w:rPr>
            </w:pPr>
            <w:r>
              <w:rPr>
                <w:color w:val="auto"/>
                <w:highlight w:val="none"/>
              </w:rPr>
              <w:t>1.4.1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1375CF60">
            <w:pPr>
              <w:spacing w:line="360" w:lineRule="exact"/>
              <w:jc w:val="center"/>
              <w:rPr>
                <w:color w:val="auto"/>
                <w:highlight w:val="none"/>
              </w:rPr>
            </w:pPr>
            <w:r>
              <w:rPr>
                <w:rFonts w:hint="eastAsia" w:hAnsi="宋体"/>
                <w:color w:val="auto"/>
                <w:highlight w:val="none"/>
              </w:rPr>
              <w:t>投标人资质条件、能力、信誉</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41C3B9B9">
            <w:pPr>
              <w:spacing w:line="360" w:lineRule="exact"/>
              <w:ind w:left="40" w:leftChars="19" w:right="107" w:rightChars="51"/>
              <w:rPr>
                <w:rFonts w:hint="eastAsia" w:ascii="宋体" w:hAnsi="宋体" w:cs="宋体"/>
                <w:color w:val="auto"/>
                <w:szCs w:val="21"/>
                <w:highlight w:val="none"/>
              </w:rPr>
            </w:pPr>
            <w:r>
              <w:rPr>
                <w:rFonts w:hint="eastAsia" w:hAnsi="宋体"/>
                <w:color w:val="auto"/>
                <w:szCs w:val="21"/>
                <w:highlight w:val="none"/>
              </w:rPr>
              <w:t>（</w:t>
            </w:r>
            <w:r>
              <w:rPr>
                <w:rFonts w:hint="eastAsia" w:ascii="宋体" w:hAnsi="宋体" w:cs="宋体"/>
                <w:color w:val="auto"/>
                <w:szCs w:val="21"/>
                <w:highlight w:val="none"/>
              </w:rPr>
              <w:t>1）资质要求：</w:t>
            </w:r>
            <w:r>
              <w:rPr>
                <w:rFonts w:hint="eastAsia" w:ascii="宋体" w:hAnsi="宋体" w:cs="宋体"/>
                <w:color w:val="auto"/>
                <w:szCs w:val="21"/>
                <w:highlight w:val="none"/>
                <w:u w:val="single"/>
              </w:rPr>
              <w:t>见招标公告第3点投标人资格要求</w:t>
            </w:r>
          </w:p>
          <w:p w14:paraId="3EF613E8">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（2）财务要求：</w:t>
            </w:r>
            <w:r>
              <w:rPr>
                <w:rFonts w:hint="eastAsia" w:ascii="宋体" w:hAnsi="宋体" w:cs="宋体"/>
                <w:color w:val="auto"/>
                <w:szCs w:val="21"/>
                <w:highlight w:val="none"/>
                <w:u w:val="single"/>
              </w:rPr>
              <w:t>/</w:t>
            </w:r>
          </w:p>
          <w:p w14:paraId="3F19EDEB">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（3）业绩要求：</w:t>
            </w:r>
            <w:r>
              <w:rPr>
                <w:rFonts w:hint="eastAsia" w:ascii="宋体" w:hAnsi="宋体" w:cs="宋体"/>
                <w:color w:val="auto"/>
                <w:szCs w:val="21"/>
                <w:highlight w:val="none"/>
                <w:u w:val="single"/>
              </w:rPr>
              <w:t>/</w:t>
            </w:r>
          </w:p>
          <w:p w14:paraId="125DE76D">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（4）信誉要求：</w:t>
            </w:r>
            <w:r>
              <w:rPr>
                <w:rFonts w:hint="eastAsia" w:ascii="宋体" w:hAnsi="宋体" w:cs="宋体"/>
                <w:color w:val="auto"/>
                <w:szCs w:val="21"/>
                <w:highlight w:val="none"/>
                <w:u w:val="single"/>
              </w:rPr>
              <w:t>/</w:t>
            </w:r>
          </w:p>
          <w:p w14:paraId="37E0B1B8">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（5）项目负责人的资格要求：</w:t>
            </w:r>
            <w:r>
              <w:rPr>
                <w:rFonts w:hint="eastAsia" w:ascii="宋体" w:hAnsi="宋体" w:cs="宋体"/>
                <w:color w:val="auto"/>
                <w:szCs w:val="21"/>
                <w:highlight w:val="none"/>
                <w:u w:val="single"/>
              </w:rPr>
              <w:t>见招标公告第3点投标人资格要求</w:t>
            </w:r>
          </w:p>
          <w:p w14:paraId="1E55786E">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（6）其他主要人员要求：</w:t>
            </w:r>
            <w:r>
              <w:rPr>
                <w:rFonts w:hint="eastAsia" w:ascii="宋体" w:hAnsi="宋体" w:cs="宋体"/>
                <w:color w:val="auto"/>
                <w:szCs w:val="21"/>
                <w:highlight w:val="none"/>
                <w:u w:val="single"/>
              </w:rPr>
              <w:t>/</w:t>
            </w:r>
          </w:p>
          <w:p w14:paraId="50FD983F">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（7）试验监测仪器设备要求：</w:t>
            </w:r>
            <w:r>
              <w:rPr>
                <w:rFonts w:hint="eastAsia" w:ascii="宋体" w:hAnsi="宋体" w:cs="宋体"/>
                <w:color w:val="auto"/>
                <w:szCs w:val="21"/>
                <w:highlight w:val="none"/>
                <w:u w:val="single"/>
              </w:rPr>
              <w:t>/</w:t>
            </w:r>
          </w:p>
          <w:p w14:paraId="74209968">
            <w:pPr>
              <w:spacing w:line="360" w:lineRule="exact"/>
              <w:ind w:left="40" w:leftChars="19" w:right="107" w:rightChars="51"/>
              <w:rPr>
                <w:rFonts w:cs="宋体"/>
                <w:color w:val="auto"/>
                <w:szCs w:val="21"/>
                <w:highlight w:val="none"/>
              </w:rPr>
            </w:pPr>
            <w:r>
              <w:rPr>
                <w:rFonts w:hint="eastAsia" w:ascii="宋体" w:hAnsi="宋体" w:cs="宋体"/>
                <w:color w:val="auto"/>
                <w:szCs w:val="21"/>
                <w:highlight w:val="none"/>
              </w:rPr>
              <w:t>（8）其他要求：</w:t>
            </w:r>
            <w:r>
              <w:rPr>
                <w:rFonts w:hint="eastAsia" w:ascii="宋体" w:hAnsi="宋体" w:cs="宋体"/>
                <w:color w:val="auto"/>
                <w:szCs w:val="21"/>
                <w:highlight w:val="none"/>
                <w:u w:val="single"/>
              </w:rPr>
              <w:t>见招标公告投标人资格要求。</w:t>
            </w:r>
          </w:p>
        </w:tc>
      </w:tr>
      <w:tr w14:paraId="138FF754">
        <w:tblPrEx>
          <w:tblCellMar>
            <w:top w:w="0" w:type="dxa"/>
            <w:left w:w="108" w:type="dxa"/>
            <w:bottom w:w="0" w:type="dxa"/>
            <w:right w:w="108" w:type="dxa"/>
          </w:tblCellMar>
        </w:tblPrEx>
        <w:trPr>
          <w:trHeight w:val="515"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2069CE7D">
            <w:pPr>
              <w:spacing w:line="360" w:lineRule="exact"/>
              <w:jc w:val="center"/>
              <w:rPr>
                <w:color w:val="auto"/>
                <w:highlight w:val="none"/>
              </w:rPr>
            </w:pPr>
            <w:r>
              <w:rPr>
                <w:color w:val="auto"/>
                <w:highlight w:val="none"/>
              </w:rPr>
              <w:t>1.4.2</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6EEA4D48">
            <w:pPr>
              <w:spacing w:line="360" w:lineRule="exact"/>
              <w:jc w:val="center"/>
              <w:rPr>
                <w:color w:val="auto"/>
                <w:highlight w:val="none"/>
              </w:rPr>
            </w:pPr>
            <w:r>
              <w:rPr>
                <w:rFonts w:hint="eastAsia" w:hAnsi="宋体"/>
                <w:color w:val="auto"/>
                <w:highlight w:val="none"/>
              </w:rPr>
              <w:t>是否接受联合体投标</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6DE252F3">
            <w:pPr>
              <w:topLinePunct/>
              <w:spacing w:line="360" w:lineRule="exact"/>
              <w:ind w:left="40" w:leftChars="19" w:right="107" w:rightChars="51"/>
              <w:rPr>
                <w:color w:val="auto"/>
                <w:szCs w:val="21"/>
                <w:highlight w:val="none"/>
              </w:rPr>
            </w:pPr>
            <w:r>
              <w:rPr>
                <w:rFonts w:hint="eastAsia"/>
                <w:color w:val="auto"/>
                <w:szCs w:val="21"/>
                <w:highlight w:val="none"/>
              </w:rPr>
              <w:t>□</w:t>
            </w:r>
            <w:r>
              <w:rPr>
                <w:rFonts w:hint="eastAsia" w:hAnsi="宋体"/>
                <w:color w:val="auto"/>
                <w:szCs w:val="21"/>
                <w:highlight w:val="none"/>
              </w:rPr>
              <w:t>不接受</w:t>
            </w:r>
          </w:p>
          <w:p w14:paraId="519FDF8D">
            <w:pPr>
              <w:spacing w:line="360" w:lineRule="exact"/>
              <w:ind w:left="40" w:leftChars="19" w:right="107" w:rightChars="51"/>
              <w:rPr>
                <w:rFonts w:hint="eastAsia"/>
                <w:color w:val="auto"/>
                <w:szCs w:val="21"/>
                <w:highlight w:val="none"/>
              </w:rPr>
            </w:pPr>
            <w:r>
              <w:rPr>
                <w:rFonts w:hint="eastAsia"/>
                <w:color w:val="auto"/>
                <w:szCs w:val="21"/>
                <w:highlight w:val="none"/>
              </w:rPr>
              <w:t>■</w:t>
            </w:r>
            <w:r>
              <w:rPr>
                <w:rFonts w:hint="eastAsia" w:hAnsi="宋体"/>
                <w:color w:val="auto"/>
                <w:szCs w:val="21"/>
                <w:highlight w:val="none"/>
              </w:rPr>
              <w:t>接受，应满足下列要求：</w:t>
            </w:r>
            <w:r>
              <w:rPr>
                <w:rFonts w:hint="eastAsia" w:ascii="宋体" w:hAnsi="宋体" w:cs="宋体"/>
                <w:color w:val="auto"/>
                <w:szCs w:val="21"/>
                <w:highlight w:val="none"/>
                <w:u w:val="single"/>
              </w:rPr>
              <w:t>按</w:t>
            </w:r>
            <w:r>
              <w:rPr>
                <w:rFonts w:ascii="宋体" w:hAnsi="宋体" w:cs="宋体"/>
                <w:color w:val="auto"/>
                <w:szCs w:val="21"/>
                <w:highlight w:val="none"/>
                <w:u w:val="single"/>
              </w:rPr>
              <w:t>招标公告要求</w:t>
            </w:r>
            <w:r>
              <w:rPr>
                <w:rFonts w:hint="eastAsia" w:ascii="宋体" w:hAnsi="宋体" w:cs="宋体"/>
                <w:color w:val="auto"/>
                <w:szCs w:val="21"/>
                <w:highlight w:val="none"/>
                <w:u w:val="single"/>
              </w:rPr>
              <w:t xml:space="preserve">    </w:t>
            </w:r>
          </w:p>
        </w:tc>
      </w:tr>
      <w:tr w14:paraId="1D05297D">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3B1B44D7">
            <w:pPr>
              <w:spacing w:line="360" w:lineRule="exact"/>
              <w:jc w:val="center"/>
              <w:rPr>
                <w:color w:val="auto"/>
                <w:highlight w:val="none"/>
              </w:rPr>
            </w:pPr>
            <w:r>
              <w:rPr>
                <w:color w:val="auto"/>
                <w:highlight w:val="none"/>
              </w:rPr>
              <w:t>1.4.3</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588B8840">
            <w:pPr>
              <w:spacing w:line="360" w:lineRule="exact"/>
              <w:jc w:val="center"/>
              <w:rPr>
                <w:color w:val="auto"/>
                <w:highlight w:val="none"/>
              </w:rPr>
            </w:pPr>
            <w:r>
              <w:rPr>
                <w:rFonts w:hint="eastAsia" w:hAnsi="宋体"/>
                <w:color w:val="auto"/>
                <w:highlight w:val="none"/>
              </w:rPr>
              <w:t>投标人不得存在的其他情形</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640FDAB4">
            <w:pPr>
              <w:topLinePunct/>
              <w:spacing w:line="360" w:lineRule="exact"/>
              <w:ind w:left="40" w:leftChars="19" w:right="107" w:rightChars="51"/>
              <w:rPr>
                <w:color w:val="auto"/>
                <w:szCs w:val="21"/>
                <w:highlight w:val="none"/>
              </w:rPr>
            </w:pPr>
            <w:r>
              <w:rPr>
                <w:rFonts w:hint="eastAsia"/>
                <w:color w:val="auto"/>
                <w:szCs w:val="21"/>
                <w:highlight w:val="none"/>
                <w:u w:val="single"/>
              </w:rPr>
              <w:t>/</w:t>
            </w:r>
          </w:p>
        </w:tc>
      </w:tr>
      <w:tr w14:paraId="2007F3BD">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5B282586">
            <w:pPr>
              <w:spacing w:line="360" w:lineRule="exact"/>
              <w:jc w:val="center"/>
              <w:rPr>
                <w:color w:val="auto"/>
                <w:highlight w:val="none"/>
              </w:rPr>
            </w:pPr>
            <w:r>
              <w:rPr>
                <w:color w:val="auto"/>
                <w:highlight w:val="none"/>
              </w:rPr>
              <w:t>1.9.1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7F3EECBA">
            <w:pPr>
              <w:spacing w:line="360" w:lineRule="exact"/>
              <w:jc w:val="center"/>
              <w:rPr>
                <w:color w:val="auto"/>
                <w:highlight w:val="none"/>
              </w:rPr>
            </w:pPr>
            <w:r>
              <w:rPr>
                <w:rFonts w:hint="eastAsia" w:hAnsi="宋体"/>
                <w:color w:val="auto"/>
                <w:highlight w:val="none"/>
              </w:rPr>
              <w:t>踏勘现场</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7EB39353">
            <w:pPr>
              <w:pStyle w:val="13"/>
              <w:topLinePunct/>
              <w:spacing w:after="0" w:line="360" w:lineRule="exact"/>
              <w:ind w:left="40" w:leftChars="19" w:right="107" w:rightChars="51"/>
              <w:rPr>
                <w:rFonts w:eastAsia="宋体"/>
                <w:color w:val="auto"/>
                <w:sz w:val="21"/>
                <w:szCs w:val="21"/>
                <w:highlight w:val="none"/>
              </w:rPr>
            </w:pPr>
            <w:r>
              <w:rPr>
                <w:rFonts w:hint="eastAsia" w:eastAsia="宋体"/>
                <w:color w:val="auto"/>
                <w:sz w:val="21"/>
                <w:szCs w:val="21"/>
                <w:highlight w:val="none"/>
              </w:rPr>
              <w:t>■</w:t>
            </w:r>
            <w:r>
              <w:rPr>
                <w:rFonts w:hint="eastAsia" w:hAnsi="宋体" w:eastAsia="宋体"/>
                <w:color w:val="auto"/>
                <w:sz w:val="21"/>
                <w:szCs w:val="21"/>
                <w:highlight w:val="none"/>
              </w:rPr>
              <w:t>不组织</w:t>
            </w:r>
          </w:p>
          <w:p w14:paraId="6D0417A2">
            <w:pPr>
              <w:pStyle w:val="13"/>
              <w:topLinePunct/>
              <w:spacing w:after="0" w:line="360" w:lineRule="exact"/>
              <w:ind w:left="40" w:leftChars="19" w:right="107" w:rightChars="51"/>
              <w:rPr>
                <w:rFonts w:hint="eastAsia" w:eastAsia="宋体"/>
                <w:color w:val="auto"/>
                <w:sz w:val="21"/>
                <w:szCs w:val="21"/>
                <w:highlight w:val="none"/>
              </w:rPr>
            </w:pPr>
            <w:r>
              <w:rPr>
                <w:rFonts w:hint="eastAsia"/>
                <w:color w:val="auto"/>
                <w:szCs w:val="21"/>
                <w:highlight w:val="none"/>
              </w:rPr>
              <w:t>□</w:t>
            </w:r>
            <w:r>
              <w:rPr>
                <w:rFonts w:hint="eastAsia" w:hAnsi="宋体" w:eastAsia="宋体"/>
                <w:color w:val="auto"/>
                <w:sz w:val="21"/>
                <w:szCs w:val="21"/>
                <w:highlight w:val="none"/>
              </w:rPr>
              <w:t>组织，踏勘时间：</w:t>
            </w:r>
            <w:r>
              <w:rPr>
                <w:rFonts w:hint="eastAsia" w:eastAsia="宋体"/>
                <w:color w:val="auto"/>
                <w:sz w:val="21"/>
                <w:szCs w:val="21"/>
                <w:highlight w:val="none"/>
                <w:u w:val="single"/>
              </w:rPr>
              <w:t>/</w:t>
            </w:r>
          </w:p>
          <w:p w14:paraId="01560626">
            <w:pPr>
              <w:pStyle w:val="13"/>
              <w:topLinePunct/>
              <w:spacing w:after="0" w:line="360" w:lineRule="exact"/>
              <w:ind w:left="40" w:leftChars="19" w:right="107" w:rightChars="51" w:firstLine="840" w:firstLineChars="400"/>
              <w:rPr>
                <w:rFonts w:eastAsia="宋体"/>
                <w:color w:val="auto"/>
                <w:sz w:val="21"/>
                <w:szCs w:val="21"/>
                <w:highlight w:val="none"/>
              </w:rPr>
            </w:pPr>
            <w:r>
              <w:rPr>
                <w:rFonts w:hint="eastAsia" w:hAnsi="宋体" w:eastAsia="宋体"/>
                <w:color w:val="auto"/>
                <w:sz w:val="21"/>
                <w:szCs w:val="21"/>
                <w:highlight w:val="none"/>
              </w:rPr>
              <w:t>踏勘集中地点：</w:t>
            </w:r>
            <w:r>
              <w:rPr>
                <w:rFonts w:hint="eastAsia" w:eastAsia="宋体"/>
                <w:color w:val="auto"/>
                <w:sz w:val="21"/>
                <w:szCs w:val="21"/>
                <w:highlight w:val="none"/>
                <w:u w:val="single"/>
              </w:rPr>
              <w:t>/</w:t>
            </w:r>
          </w:p>
        </w:tc>
      </w:tr>
      <w:tr w14:paraId="4D7291FE">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42F1930A">
            <w:pPr>
              <w:spacing w:line="360" w:lineRule="exact"/>
              <w:jc w:val="center"/>
              <w:rPr>
                <w:color w:val="auto"/>
                <w:highlight w:val="none"/>
              </w:rPr>
            </w:pPr>
            <w:r>
              <w:rPr>
                <w:color w:val="auto"/>
                <w:highlight w:val="none"/>
              </w:rPr>
              <w:t>1.10.1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2402226D">
            <w:pPr>
              <w:spacing w:line="360" w:lineRule="exact"/>
              <w:jc w:val="center"/>
              <w:rPr>
                <w:color w:val="auto"/>
                <w:highlight w:val="none"/>
              </w:rPr>
            </w:pPr>
            <w:r>
              <w:rPr>
                <w:rFonts w:hint="eastAsia" w:hAnsi="宋体"/>
                <w:color w:val="auto"/>
                <w:highlight w:val="none"/>
              </w:rPr>
              <w:t>投标预备会</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79AA4A57">
            <w:pPr>
              <w:pStyle w:val="13"/>
              <w:topLinePunct/>
              <w:spacing w:after="0" w:line="360" w:lineRule="exact"/>
              <w:ind w:left="40" w:leftChars="19" w:right="107" w:rightChars="51"/>
              <w:rPr>
                <w:rFonts w:eastAsia="宋体"/>
                <w:color w:val="auto"/>
                <w:sz w:val="21"/>
                <w:szCs w:val="21"/>
                <w:highlight w:val="none"/>
              </w:rPr>
            </w:pPr>
            <w:r>
              <w:rPr>
                <w:rFonts w:hint="eastAsia" w:eastAsia="宋体"/>
                <w:color w:val="auto"/>
                <w:sz w:val="21"/>
                <w:szCs w:val="21"/>
                <w:highlight w:val="none"/>
              </w:rPr>
              <w:t>■</w:t>
            </w:r>
            <w:r>
              <w:rPr>
                <w:rFonts w:hint="eastAsia" w:hAnsi="宋体" w:eastAsia="宋体"/>
                <w:color w:val="auto"/>
                <w:sz w:val="21"/>
                <w:szCs w:val="21"/>
                <w:highlight w:val="none"/>
              </w:rPr>
              <w:t>不召开</w:t>
            </w:r>
          </w:p>
          <w:p w14:paraId="3AA89125">
            <w:pPr>
              <w:spacing w:line="360" w:lineRule="exact"/>
              <w:ind w:left="40" w:leftChars="19" w:right="107" w:rightChars="51"/>
              <w:rPr>
                <w:color w:val="auto"/>
                <w:szCs w:val="21"/>
                <w:highlight w:val="none"/>
              </w:rPr>
            </w:pPr>
            <w:r>
              <w:rPr>
                <w:rFonts w:hint="eastAsia"/>
                <w:color w:val="auto"/>
                <w:szCs w:val="21"/>
                <w:highlight w:val="none"/>
              </w:rPr>
              <w:t>□</w:t>
            </w:r>
            <w:r>
              <w:rPr>
                <w:rFonts w:hint="eastAsia" w:hAnsi="宋体"/>
                <w:color w:val="auto"/>
                <w:szCs w:val="21"/>
                <w:highlight w:val="none"/>
              </w:rPr>
              <w:t>召开，召开时间：</w:t>
            </w:r>
            <w:r>
              <w:rPr>
                <w:rFonts w:hint="eastAsia"/>
                <w:color w:val="auto"/>
                <w:szCs w:val="21"/>
                <w:highlight w:val="none"/>
                <w:u w:val="single"/>
              </w:rPr>
              <w:t>/</w:t>
            </w:r>
          </w:p>
          <w:p w14:paraId="708C5F25">
            <w:pPr>
              <w:spacing w:line="360" w:lineRule="exact"/>
              <w:ind w:left="40" w:leftChars="19" w:right="107" w:rightChars="51" w:firstLine="840" w:firstLineChars="400"/>
              <w:rPr>
                <w:color w:val="auto"/>
                <w:szCs w:val="21"/>
                <w:highlight w:val="none"/>
              </w:rPr>
            </w:pPr>
            <w:r>
              <w:rPr>
                <w:rFonts w:hint="eastAsia" w:hAnsi="宋体"/>
                <w:color w:val="auto"/>
                <w:szCs w:val="21"/>
                <w:highlight w:val="none"/>
              </w:rPr>
              <w:t>召开地点：</w:t>
            </w:r>
            <w:r>
              <w:rPr>
                <w:rFonts w:hint="eastAsia"/>
                <w:color w:val="auto"/>
                <w:szCs w:val="21"/>
                <w:highlight w:val="none"/>
                <w:u w:val="single"/>
              </w:rPr>
              <w:t>/</w:t>
            </w:r>
          </w:p>
        </w:tc>
      </w:tr>
      <w:tr w14:paraId="4E80720A">
        <w:tblPrEx>
          <w:tblCellMar>
            <w:top w:w="0" w:type="dxa"/>
            <w:left w:w="108" w:type="dxa"/>
            <w:bottom w:w="0" w:type="dxa"/>
            <w:right w:w="108" w:type="dxa"/>
          </w:tblCellMar>
        </w:tblPrEx>
        <w:tc>
          <w:tcPr>
            <w:tcW w:w="1165" w:type="dxa"/>
            <w:vMerge w:val="restart"/>
            <w:tcBorders>
              <w:top w:val="single" w:color="auto" w:sz="4" w:space="0"/>
              <w:left w:val="single" w:color="auto" w:sz="4" w:space="0"/>
              <w:right w:val="single" w:color="auto" w:sz="4" w:space="0"/>
            </w:tcBorders>
            <w:noWrap w:val="0"/>
            <w:vAlign w:val="center"/>
          </w:tcPr>
          <w:p w14:paraId="3480DA35">
            <w:pPr>
              <w:spacing w:line="360" w:lineRule="exact"/>
              <w:jc w:val="center"/>
              <w:rPr>
                <w:color w:val="auto"/>
                <w:highlight w:val="none"/>
              </w:rPr>
            </w:pPr>
            <w:r>
              <w:rPr>
                <w:color w:val="auto"/>
                <w:highlight w:val="none"/>
              </w:rPr>
              <w:t>1.10.2</w:t>
            </w:r>
          </w:p>
        </w:tc>
        <w:tc>
          <w:tcPr>
            <w:tcW w:w="2345" w:type="dxa"/>
            <w:vMerge w:val="restart"/>
            <w:tcBorders>
              <w:top w:val="single" w:color="auto" w:sz="4" w:space="0"/>
              <w:left w:val="single" w:color="auto" w:sz="4" w:space="0"/>
              <w:right w:val="single" w:color="auto" w:sz="4" w:space="0"/>
            </w:tcBorders>
            <w:noWrap w:val="0"/>
            <w:vAlign w:val="center"/>
          </w:tcPr>
          <w:p w14:paraId="2511ED36">
            <w:pPr>
              <w:spacing w:line="360" w:lineRule="exact"/>
              <w:jc w:val="center"/>
              <w:rPr>
                <w:color w:val="auto"/>
                <w:highlight w:val="none"/>
              </w:rPr>
            </w:pPr>
            <w:r>
              <w:rPr>
                <w:rFonts w:hint="eastAsia" w:hAnsi="宋体"/>
                <w:color w:val="auto"/>
                <w:highlight w:val="none"/>
              </w:rPr>
              <w:t>投标人在投标预备会前提出问题</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2ABCAD2F">
            <w:pPr>
              <w:spacing w:line="360" w:lineRule="exact"/>
              <w:ind w:left="40" w:leftChars="19" w:right="107" w:rightChars="51"/>
              <w:rPr>
                <w:color w:val="auto"/>
                <w:szCs w:val="21"/>
                <w:highlight w:val="none"/>
              </w:rPr>
            </w:pPr>
            <w:r>
              <w:rPr>
                <w:rFonts w:hint="eastAsia" w:hAnsi="宋体"/>
                <w:color w:val="auto"/>
                <w:szCs w:val="21"/>
                <w:highlight w:val="none"/>
              </w:rPr>
              <w:t>时间：</w:t>
            </w:r>
            <w:r>
              <w:rPr>
                <w:rFonts w:hint="eastAsia"/>
                <w:color w:val="auto"/>
                <w:szCs w:val="21"/>
                <w:highlight w:val="none"/>
                <w:u w:val="single"/>
              </w:rPr>
              <w:t>/</w:t>
            </w:r>
          </w:p>
        </w:tc>
      </w:tr>
      <w:tr w14:paraId="5670E629">
        <w:tblPrEx>
          <w:tblCellMar>
            <w:top w:w="0" w:type="dxa"/>
            <w:left w:w="108" w:type="dxa"/>
            <w:bottom w:w="0" w:type="dxa"/>
            <w:right w:w="108" w:type="dxa"/>
          </w:tblCellMar>
        </w:tblPrEx>
        <w:tc>
          <w:tcPr>
            <w:tcW w:w="1165" w:type="dxa"/>
            <w:vMerge w:val="continue"/>
            <w:tcBorders>
              <w:left w:val="single" w:color="auto" w:sz="4" w:space="0"/>
              <w:bottom w:val="single" w:color="auto" w:sz="4" w:space="0"/>
              <w:right w:val="single" w:color="auto" w:sz="4" w:space="0"/>
            </w:tcBorders>
            <w:noWrap w:val="0"/>
            <w:vAlign w:val="center"/>
          </w:tcPr>
          <w:p w14:paraId="1DC50A52">
            <w:pPr>
              <w:spacing w:line="360" w:lineRule="exact"/>
              <w:jc w:val="center"/>
              <w:rPr>
                <w:color w:val="auto"/>
                <w:highlight w:val="none"/>
              </w:rPr>
            </w:pPr>
          </w:p>
        </w:tc>
        <w:tc>
          <w:tcPr>
            <w:tcW w:w="2345" w:type="dxa"/>
            <w:vMerge w:val="continue"/>
            <w:tcBorders>
              <w:left w:val="single" w:color="auto" w:sz="4" w:space="0"/>
              <w:bottom w:val="single" w:color="auto" w:sz="4" w:space="0"/>
              <w:right w:val="single" w:color="auto" w:sz="4" w:space="0"/>
            </w:tcBorders>
            <w:noWrap w:val="0"/>
            <w:vAlign w:val="center"/>
          </w:tcPr>
          <w:p w14:paraId="18D41C39">
            <w:pPr>
              <w:spacing w:line="360" w:lineRule="exact"/>
              <w:jc w:val="center"/>
              <w:rPr>
                <w:color w:val="auto"/>
                <w:highlight w:val="none"/>
              </w:rPr>
            </w:pPr>
          </w:p>
        </w:tc>
        <w:tc>
          <w:tcPr>
            <w:tcW w:w="6096" w:type="dxa"/>
            <w:tcBorders>
              <w:top w:val="single" w:color="auto" w:sz="4" w:space="0"/>
              <w:left w:val="single" w:color="auto" w:sz="4" w:space="0"/>
              <w:bottom w:val="single" w:color="auto" w:sz="4" w:space="0"/>
              <w:right w:val="single" w:color="auto" w:sz="4" w:space="0"/>
            </w:tcBorders>
            <w:noWrap w:val="0"/>
            <w:vAlign w:val="center"/>
          </w:tcPr>
          <w:p w14:paraId="150B388C">
            <w:pPr>
              <w:spacing w:line="360" w:lineRule="exact"/>
              <w:ind w:left="40" w:leftChars="19" w:right="107" w:rightChars="51"/>
              <w:rPr>
                <w:color w:val="auto"/>
                <w:szCs w:val="21"/>
                <w:highlight w:val="none"/>
              </w:rPr>
            </w:pPr>
            <w:r>
              <w:rPr>
                <w:rFonts w:hint="eastAsia" w:hAnsi="宋体"/>
                <w:color w:val="auto"/>
                <w:szCs w:val="21"/>
                <w:highlight w:val="none"/>
              </w:rPr>
              <w:t>形式：</w:t>
            </w:r>
            <w:r>
              <w:rPr>
                <w:rFonts w:hint="eastAsia"/>
                <w:color w:val="auto"/>
                <w:szCs w:val="21"/>
                <w:highlight w:val="none"/>
                <w:u w:val="single"/>
              </w:rPr>
              <w:t>/</w:t>
            </w:r>
          </w:p>
        </w:tc>
      </w:tr>
      <w:tr w14:paraId="1C986F17">
        <w:tblPrEx>
          <w:tblCellMar>
            <w:top w:w="0" w:type="dxa"/>
            <w:left w:w="108" w:type="dxa"/>
            <w:bottom w:w="0" w:type="dxa"/>
            <w:right w:w="108" w:type="dxa"/>
          </w:tblCellMar>
        </w:tblPrEx>
        <w:tc>
          <w:tcPr>
            <w:tcW w:w="1165" w:type="dxa"/>
            <w:tcBorders>
              <w:left w:val="single" w:color="auto" w:sz="4" w:space="0"/>
              <w:bottom w:val="single" w:color="auto" w:sz="4" w:space="0"/>
              <w:right w:val="single" w:color="auto" w:sz="4" w:space="0"/>
            </w:tcBorders>
            <w:noWrap w:val="0"/>
            <w:vAlign w:val="center"/>
          </w:tcPr>
          <w:p w14:paraId="299C0885">
            <w:pPr>
              <w:spacing w:line="360" w:lineRule="exact"/>
              <w:jc w:val="center"/>
              <w:rPr>
                <w:color w:val="auto"/>
                <w:highlight w:val="none"/>
              </w:rPr>
            </w:pPr>
            <w:r>
              <w:rPr>
                <w:color w:val="auto"/>
                <w:highlight w:val="none"/>
              </w:rPr>
              <w:t>1.10.3</w:t>
            </w:r>
          </w:p>
        </w:tc>
        <w:tc>
          <w:tcPr>
            <w:tcW w:w="2345" w:type="dxa"/>
            <w:tcBorders>
              <w:left w:val="single" w:color="auto" w:sz="4" w:space="0"/>
              <w:bottom w:val="single" w:color="auto" w:sz="4" w:space="0"/>
              <w:right w:val="single" w:color="auto" w:sz="4" w:space="0"/>
            </w:tcBorders>
            <w:noWrap w:val="0"/>
            <w:vAlign w:val="center"/>
          </w:tcPr>
          <w:p w14:paraId="5C0E4F21">
            <w:pPr>
              <w:spacing w:line="360" w:lineRule="exact"/>
              <w:jc w:val="center"/>
              <w:rPr>
                <w:color w:val="auto"/>
                <w:highlight w:val="none"/>
              </w:rPr>
            </w:pPr>
            <w:r>
              <w:rPr>
                <w:rFonts w:hint="eastAsia" w:hAnsi="宋体"/>
                <w:color w:val="auto"/>
                <w:highlight w:val="none"/>
              </w:rPr>
              <w:t>招标文件澄清发出的形式</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2F161B9E">
            <w:pPr>
              <w:spacing w:line="360" w:lineRule="exact"/>
              <w:ind w:left="40" w:leftChars="19" w:right="107" w:rightChars="51"/>
              <w:rPr>
                <w:color w:val="auto"/>
                <w:szCs w:val="21"/>
                <w:highlight w:val="none"/>
              </w:rPr>
            </w:pPr>
            <w:r>
              <w:rPr>
                <w:rFonts w:hint="eastAsia" w:cs="宋体"/>
                <w:color w:val="auto"/>
                <w:szCs w:val="21"/>
                <w:highlight w:val="none"/>
                <w:u w:val="single"/>
              </w:rPr>
              <w:t>/</w:t>
            </w:r>
          </w:p>
        </w:tc>
      </w:tr>
      <w:tr w14:paraId="7192F516">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3DB1B4FC">
            <w:pPr>
              <w:spacing w:line="360" w:lineRule="exact"/>
              <w:jc w:val="center"/>
              <w:rPr>
                <w:color w:val="auto"/>
                <w:highlight w:val="none"/>
              </w:rPr>
            </w:pPr>
            <w:r>
              <w:rPr>
                <w:color w:val="auto"/>
                <w:highlight w:val="none"/>
              </w:rPr>
              <w:t>1.12.1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5CF387E0">
            <w:pPr>
              <w:spacing w:line="360" w:lineRule="exact"/>
              <w:jc w:val="center"/>
              <w:rPr>
                <w:color w:val="auto"/>
                <w:highlight w:val="none"/>
              </w:rPr>
            </w:pPr>
            <w:r>
              <w:rPr>
                <w:rFonts w:hint="eastAsia" w:hAnsi="宋体"/>
                <w:color w:val="auto"/>
                <w:highlight w:val="none"/>
              </w:rPr>
              <w:t>实质性要求和条件</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21D9205F">
            <w:pPr>
              <w:pStyle w:val="13"/>
              <w:topLinePunct/>
              <w:spacing w:after="0" w:line="360" w:lineRule="exact"/>
              <w:ind w:left="40" w:leftChars="19" w:right="107" w:rightChars="51"/>
              <w:rPr>
                <w:rFonts w:eastAsia="宋体"/>
                <w:color w:val="auto"/>
                <w:sz w:val="21"/>
                <w:szCs w:val="21"/>
                <w:highlight w:val="none"/>
              </w:rPr>
            </w:pPr>
            <w:r>
              <w:rPr>
                <w:rFonts w:hint="eastAsia" w:eastAsia="宋体" w:cs="宋体"/>
                <w:color w:val="auto"/>
                <w:sz w:val="21"/>
                <w:szCs w:val="21"/>
                <w:highlight w:val="none"/>
                <w:u w:val="single"/>
              </w:rPr>
              <w:t>/</w:t>
            </w:r>
          </w:p>
        </w:tc>
      </w:tr>
      <w:tr w14:paraId="5E20EECF">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4C16AF25">
            <w:pPr>
              <w:spacing w:line="360" w:lineRule="exact"/>
              <w:jc w:val="center"/>
              <w:rPr>
                <w:color w:val="auto"/>
                <w:highlight w:val="none"/>
              </w:rPr>
            </w:pPr>
            <w:r>
              <w:rPr>
                <w:color w:val="auto"/>
                <w:highlight w:val="none"/>
              </w:rPr>
              <w:t>1.12.3</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0F8F4265">
            <w:pPr>
              <w:spacing w:line="360" w:lineRule="exact"/>
              <w:jc w:val="center"/>
              <w:rPr>
                <w:color w:val="auto"/>
                <w:highlight w:val="none"/>
              </w:rPr>
            </w:pPr>
            <w:r>
              <w:rPr>
                <w:rFonts w:hint="eastAsia" w:hAnsi="宋体"/>
                <w:color w:val="auto"/>
                <w:highlight w:val="none"/>
              </w:rPr>
              <w:t>偏差</w:t>
            </w:r>
          </w:p>
        </w:tc>
        <w:tc>
          <w:tcPr>
            <w:tcW w:w="6096" w:type="dxa"/>
            <w:tcBorders>
              <w:top w:val="single" w:color="auto" w:sz="4" w:space="0"/>
              <w:left w:val="single" w:color="auto" w:sz="4" w:space="0"/>
              <w:bottom w:val="single" w:color="auto" w:sz="4" w:space="0"/>
              <w:right w:val="single" w:color="auto" w:sz="4" w:space="0"/>
            </w:tcBorders>
            <w:noWrap w:val="0"/>
            <w:vAlign w:val="top"/>
          </w:tcPr>
          <w:p w14:paraId="6A8125F6">
            <w:pPr>
              <w:spacing w:line="360" w:lineRule="exact"/>
              <w:ind w:left="40" w:leftChars="19" w:right="107" w:rightChars="51"/>
              <w:rPr>
                <w:color w:val="auto"/>
                <w:szCs w:val="21"/>
                <w:highlight w:val="none"/>
              </w:rPr>
            </w:pPr>
            <w:r>
              <w:rPr>
                <w:rFonts w:hint="eastAsia"/>
                <w:color w:val="auto"/>
                <w:szCs w:val="21"/>
                <w:highlight w:val="none"/>
              </w:rPr>
              <w:t>■</w:t>
            </w:r>
            <w:r>
              <w:rPr>
                <w:rFonts w:hint="eastAsia" w:hAnsi="宋体"/>
                <w:color w:val="auto"/>
                <w:szCs w:val="21"/>
                <w:highlight w:val="none"/>
              </w:rPr>
              <w:t>不允许</w:t>
            </w:r>
          </w:p>
          <w:p w14:paraId="5C97CEC8">
            <w:pPr>
              <w:pStyle w:val="13"/>
              <w:topLinePunct/>
              <w:spacing w:after="0" w:line="360" w:lineRule="exact"/>
              <w:ind w:left="40" w:leftChars="19" w:right="107" w:rightChars="51"/>
              <w:rPr>
                <w:rFonts w:eastAsia="宋体"/>
                <w:color w:val="auto"/>
                <w:sz w:val="21"/>
                <w:szCs w:val="21"/>
                <w:highlight w:val="none"/>
              </w:rPr>
            </w:pPr>
            <w:r>
              <w:rPr>
                <w:rFonts w:hint="eastAsia"/>
                <w:color w:val="auto"/>
                <w:szCs w:val="21"/>
                <w:highlight w:val="none"/>
              </w:rPr>
              <w:t>□</w:t>
            </w:r>
            <w:r>
              <w:rPr>
                <w:rFonts w:hint="eastAsia" w:hAnsi="宋体" w:eastAsia="宋体"/>
                <w:color w:val="auto"/>
                <w:sz w:val="21"/>
                <w:szCs w:val="21"/>
                <w:highlight w:val="none"/>
              </w:rPr>
              <w:t>允许，偏差范围：</w:t>
            </w:r>
            <w:r>
              <w:rPr>
                <w:rFonts w:hint="eastAsia" w:eastAsia="宋体"/>
                <w:color w:val="auto"/>
                <w:sz w:val="21"/>
                <w:szCs w:val="21"/>
                <w:highlight w:val="none"/>
                <w:u w:val="single"/>
              </w:rPr>
              <w:t>/</w:t>
            </w:r>
          </w:p>
          <w:p w14:paraId="71CF436F">
            <w:pPr>
              <w:pStyle w:val="13"/>
              <w:topLinePunct/>
              <w:spacing w:after="0" w:line="360" w:lineRule="exact"/>
              <w:ind w:left="40" w:leftChars="19" w:right="107" w:rightChars="51" w:firstLine="945" w:firstLineChars="450"/>
              <w:rPr>
                <w:rFonts w:eastAsia="宋体"/>
                <w:color w:val="auto"/>
                <w:sz w:val="21"/>
                <w:szCs w:val="21"/>
                <w:highlight w:val="none"/>
              </w:rPr>
            </w:pPr>
            <w:r>
              <w:rPr>
                <w:rFonts w:hint="eastAsia" w:hAnsi="宋体" w:eastAsia="宋体"/>
                <w:color w:val="auto"/>
                <w:sz w:val="21"/>
                <w:szCs w:val="21"/>
                <w:highlight w:val="none"/>
              </w:rPr>
              <w:t>偏差幅度：</w:t>
            </w:r>
            <w:r>
              <w:rPr>
                <w:rFonts w:hint="eastAsia" w:eastAsia="宋体"/>
                <w:color w:val="auto"/>
                <w:sz w:val="21"/>
                <w:szCs w:val="21"/>
                <w:highlight w:val="none"/>
                <w:u w:val="single"/>
              </w:rPr>
              <w:t>/</w:t>
            </w:r>
          </w:p>
        </w:tc>
      </w:tr>
      <w:tr w14:paraId="6E32D11B">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036304AC">
            <w:pPr>
              <w:spacing w:line="360" w:lineRule="exact"/>
              <w:jc w:val="center"/>
              <w:rPr>
                <w:color w:val="auto"/>
                <w:highlight w:val="none"/>
              </w:rPr>
            </w:pPr>
            <w:r>
              <w:rPr>
                <w:color w:val="auto"/>
                <w:highlight w:val="none"/>
              </w:rPr>
              <w:t>2.1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74C5366D">
            <w:pPr>
              <w:spacing w:line="360" w:lineRule="exact"/>
              <w:jc w:val="center"/>
              <w:rPr>
                <w:color w:val="auto"/>
                <w:highlight w:val="none"/>
              </w:rPr>
            </w:pPr>
            <w:r>
              <w:rPr>
                <w:rFonts w:hint="eastAsia" w:hAnsi="宋体"/>
                <w:color w:val="auto"/>
                <w:highlight w:val="none"/>
              </w:rPr>
              <w:t>构成招标文件的其他资料</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6441F336">
            <w:pPr>
              <w:spacing w:line="360" w:lineRule="exact"/>
              <w:ind w:left="40" w:leftChars="19" w:right="107" w:rightChars="51"/>
              <w:rPr>
                <w:color w:val="auto"/>
                <w:szCs w:val="21"/>
                <w:highlight w:val="none"/>
              </w:rPr>
            </w:pPr>
            <w:r>
              <w:rPr>
                <w:rFonts w:hint="eastAsia"/>
                <w:color w:val="auto"/>
                <w:szCs w:val="21"/>
                <w:highlight w:val="none"/>
                <w:u w:val="single"/>
              </w:rPr>
              <w:t>/</w:t>
            </w:r>
          </w:p>
        </w:tc>
      </w:tr>
      <w:tr w14:paraId="738967A3">
        <w:tblPrEx>
          <w:tblCellMar>
            <w:top w:w="0" w:type="dxa"/>
            <w:left w:w="108" w:type="dxa"/>
            <w:bottom w:w="0" w:type="dxa"/>
            <w:right w:w="108" w:type="dxa"/>
          </w:tblCellMar>
        </w:tblPrEx>
        <w:tc>
          <w:tcPr>
            <w:tcW w:w="1165" w:type="dxa"/>
            <w:vMerge w:val="restart"/>
            <w:tcBorders>
              <w:top w:val="single" w:color="auto" w:sz="4" w:space="0"/>
              <w:left w:val="single" w:color="auto" w:sz="4" w:space="0"/>
              <w:right w:val="single" w:color="auto" w:sz="4" w:space="0"/>
            </w:tcBorders>
            <w:noWrap w:val="0"/>
            <w:vAlign w:val="center"/>
          </w:tcPr>
          <w:p w14:paraId="1F7A4DE1">
            <w:pPr>
              <w:spacing w:line="360" w:lineRule="exact"/>
              <w:jc w:val="center"/>
              <w:rPr>
                <w:color w:val="auto"/>
                <w:highlight w:val="none"/>
              </w:rPr>
            </w:pPr>
            <w:r>
              <w:rPr>
                <w:color w:val="auto"/>
                <w:highlight w:val="none"/>
              </w:rPr>
              <w:t>2.2.1</w:t>
            </w:r>
          </w:p>
        </w:tc>
        <w:tc>
          <w:tcPr>
            <w:tcW w:w="2345" w:type="dxa"/>
            <w:vMerge w:val="restart"/>
            <w:tcBorders>
              <w:top w:val="single" w:color="auto" w:sz="4" w:space="0"/>
              <w:left w:val="single" w:color="auto" w:sz="4" w:space="0"/>
              <w:right w:val="single" w:color="auto" w:sz="4" w:space="0"/>
            </w:tcBorders>
            <w:noWrap w:val="0"/>
            <w:vAlign w:val="center"/>
          </w:tcPr>
          <w:p w14:paraId="21871990">
            <w:pPr>
              <w:spacing w:line="360" w:lineRule="exact"/>
              <w:jc w:val="center"/>
              <w:rPr>
                <w:color w:val="auto"/>
                <w:highlight w:val="none"/>
              </w:rPr>
            </w:pPr>
            <w:r>
              <w:rPr>
                <w:rFonts w:hint="eastAsia" w:hAnsi="宋体"/>
                <w:color w:val="auto"/>
                <w:highlight w:val="none"/>
              </w:rPr>
              <w:t>投标人要求澄清招标文件</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1F36A00A">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时间：在规定的时间（详见</w:t>
            </w:r>
            <w:r>
              <w:rPr>
                <w:rFonts w:hint="eastAsia" w:ascii="宋体" w:hAnsi="宋体" w:cs="宋体"/>
                <w:color w:val="auto"/>
                <w:szCs w:val="21"/>
                <w:highlight w:val="none"/>
                <w:u w:val="single"/>
              </w:rPr>
              <w:t>广州交易集团有限公司（广州公共资源交易中心）</w:t>
            </w:r>
            <w:r>
              <w:rPr>
                <w:rFonts w:hint="eastAsia" w:ascii="宋体" w:hAnsi="宋体" w:cs="宋体"/>
                <w:color w:val="auto"/>
                <w:szCs w:val="21"/>
                <w:highlight w:val="none"/>
              </w:rPr>
              <w:t>网上招投标日程安排）。</w:t>
            </w:r>
          </w:p>
        </w:tc>
      </w:tr>
      <w:tr w14:paraId="07A7C49C">
        <w:tblPrEx>
          <w:tblCellMar>
            <w:top w:w="0" w:type="dxa"/>
            <w:left w:w="108" w:type="dxa"/>
            <w:bottom w:w="0" w:type="dxa"/>
            <w:right w:w="108" w:type="dxa"/>
          </w:tblCellMar>
        </w:tblPrEx>
        <w:tc>
          <w:tcPr>
            <w:tcW w:w="1165" w:type="dxa"/>
            <w:vMerge w:val="continue"/>
            <w:tcBorders>
              <w:left w:val="single" w:color="auto" w:sz="4" w:space="0"/>
              <w:bottom w:val="single" w:color="auto" w:sz="4" w:space="0"/>
              <w:right w:val="single" w:color="auto" w:sz="4" w:space="0"/>
            </w:tcBorders>
            <w:noWrap w:val="0"/>
            <w:vAlign w:val="center"/>
          </w:tcPr>
          <w:p w14:paraId="1A9EF490">
            <w:pPr>
              <w:spacing w:line="360" w:lineRule="exact"/>
              <w:jc w:val="center"/>
              <w:rPr>
                <w:color w:val="auto"/>
                <w:highlight w:val="none"/>
              </w:rPr>
            </w:pPr>
          </w:p>
        </w:tc>
        <w:tc>
          <w:tcPr>
            <w:tcW w:w="2345" w:type="dxa"/>
            <w:vMerge w:val="continue"/>
            <w:tcBorders>
              <w:left w:val="single" w:color="auto" w:sz="4" w:space="0"/>
              <w:bottom w:val="single" w:color="auto" w:sz="4" w:space="0"/>
              <w:right w:val="single" w:color="auto" w:sz="4" w:space="0"/>
            </w:tcBorders>
            <w:noWrap w:val="0"/>
            <w:vAlign w:val="center"/>
          </w:tcPr>
          <w:p w14:paraId="5F3E55C8">
            <w:pPr>
              <w:spacing w:line="360" w:lineRule="exact"/>
              <w:jc w:val="center"/>
              <w:rPr>
                <w:color w:val="auto"/>
                <w:highlight w:val="none"/>
              </w:rPr>
            </w:pPr>
          </w:p>
        </w:tc>
        <w:tc>
          <w:tcPr>
            <w:tcW w:w="6096" w:type="dxa"/>
            <w:tcBorders>
              <w:top w:val="single" w:color="auto" w:sz="4" w:space="0"/>
              <w:left w:val="single" w:color="auto" w:sz="4" w:space="0"/>
              <w:bottom w:val="single" w:color="auto" w:sz="4" w:space="0"/>
              <w:right w:val="single" w:color="auto" w:sz="4" w:space="0"/>
            </w:tcBorders>
            <w:noWrap w:val="0"/>
            <w:vAlign w:val="center"/>
          </w:tcPr>
          <w:p w14:paraId="7A1F671D">
            <w:pPr>
              <w:spacing w:line="360" w:lineRule="exact"/>
              <w:rPr>
                <w:rFonts w:hint="eastAsia"/>
                <w:color w:val="auto"/>
                <w:szCs w:val="21"/>
                <w:highlight w:val="none"/>
                <w:u w:val="single"/>
              </w:rPr>
            </w:pPr>
            <w:r>
              <w:rPr>
                <w:rFonts w:hint="eastAsia" w:hAnsi="宋体"/>
                <w:color w:val="auto"/>
                <w:szCs w:val="21"/>
                <w:highlight w:val="none"/>
              </w:rPr>
              <w:t>形式：</w:t>
            </w:r>
            <w:r>
              <w:rPr>
                <w:rFonts w:hint="eastAsia" w:hAnsi="宋体"/>
                <w:color w:val="auto"/>
                <w:szCs w:val="21"/>
                <w:highlight w:val="none"/>
                <w:u w:val="single"/>
              </w:rPr>
              <w:t>投标人的疑问通过</w:t>
            </w:r>
            <w:r>
              <w:rPr>
                <w:rFonts w:hint="eastAsia" w:ascii="宋体" w:hAnsi="宋体" w:cs="宋体"/>
                <w:color w:val="auto"/>
                <w:szCs w:val="21"/>
                <w:highlight w:val="none"/>
                <w:u w:val="single"/>
              </w:rPr>
              <w:t>广州交易集团有限公司（广州公共资源交易中心）</w:t>
            </w:r>
            <w:r>
              <w:rPr>
                <w:rFonts w:hint="eastAsia" w:hAnsi="宋体"/>
                <w:color w:val="auto"/>
                <w:szCs w:val="21"/>
                <w:highlight w:val="none"/>
                <w:u w:val="single"/>
              </w:rPr>
              <w:t>数字交易平台提交。具体操作方法详见</w:t>
            </w:r>
            <w:r>
              <w:rPr>
                <w:rFonts w:hint="eastAsia" w:ascii="宋体" w:hAnsi="宋体" w:cs="宋体"/>
                <w:color w:val="auto"/>
                <w:szCs w:val="21"/>
                <w:highlight w:val="none"/>
                <w:u w:val="single"/>
              </w:rPr>
              <w:t>广州交易集团有限公司（广州公共资源交易中心）</w:t>
            </w:r>
            <w:r>
              <w:rPr>
                <w:rFonts w:hint="eastAsia" w:hAnsi="宋体"/>
                <w:color w:val="auto"/>
                <w:szCs w:val="21"/>
                <w:highlight w:val="none"/>
                <w:u w:val="single"/>
              </w:rPr>
              <w:t>网站发布的《</w:t>
            </w:r>
            <w:r>
              <w:rPr>
                <w:rFonts w:hint="eastAsia"/>
                <w:color w:val="auto"/>
                <w:szCs w:val="21"/>
                <w:highlight w:val="none"/>
                <w:u w:val="single"/>
              </w:rPr>
              <w:t>建设工程全流程电子化项目操作指南</w:t>
            </w:r>
            <w:r>
              <w:rPr>
                <w:rFonts w:hint="eastAsia" w:hAnsi="宋体"/>
                <w:color w:val="auto"/>
                <w:szCs w:val="21"/>
                <w:highlight w:val="none"/>
                <w:u w:val="single"/>
              </w:rPr>
              <w:t>》。</w:t>
            </w:r>
          </w:p>
        </w:tc>
      </w:tr>
      <w:tr w14:paraId="11271D8D">
        <w:tblPrEx>
          <w:tblCellMar>
            <w:top w:w="0" w:type="dxa"/>
            <w:left w:w="108" w:type="dxa"/>
            <w:bottom w:w="0" w:type="dxa"/>
            <w:right w:w="108" w:type="dxa"/>
          </w:tblCellMar>
        </w:tblPrEx>
        <w:tc>
          <w:tcPr>
            <w:tcW w:w="1165" w:type="dxa"/>
            <w:tcBorders>
              <w:left w:val="single" w:color="auto" w:sz="4" w:space="0"/>
              <w:bottom w:val="single" w:color="auto" w:sz="4" w:space="0"/>
              <w:right w:val="single" w:color="auto" w:sz="4" w:space="0"/>
            </w:tcBorders>
            <w:noWrap w:val="0"/>
            <w:vAlign w:val="center"/>
          </w:tcPr>
          <w:p w14:paraId="038D9B4A">
            <w:pPr>
              <w:spacing w:line="360" w:lineRule="exact"/>
              <w:jc w:val="center"/>
              <w:rPr>
                <w:color w:val="auto"/>
                <w:highlight w:val="none"/>
              </w:rPr>
            </w:pPr>
            <w:r>
              <w:rPr>
                <w:color w:val="auto"/>
                <w:highlight w:val="none"/>
              </w:rPr>
              <w:t>2.2.2</w:t>
            </w:r>
          </w:p>
        </w:tc>
        <w:tc>
          <w:tcPr>
            <w:tcW w:w="2345" w:type="dxa"/>
            <w:tcBorders>
              <w:left w:val="single" w:color="auto" w:sz="4" w:space="0"/>
              <w:bottom w:val="single" w:color="auto" w:sz="4" w:space="0"/>
              <w:right w:val="single" w:color="auto" w:sz="4" w:space="0"/>
            </w:tcBorders>
            <w:noWrap w:val="0"/>
            <w:vAlign w:val="center"/>
          </w:tcPr>
          <w:p w14:paraId="24DC94BF">
            <w:pPr>
              <w:spacing w:line="360" w:lineRule="exact"/>
              <w:jc w:val="center"/>
              <w:rPr>
                <w:color w:val="auto"/>
                <w:highlight w:val="none"/>
              </w:rPr>
            </w:pPr>
            <w:r>
              <w:rPr>
                <w:rFonts w:hint="eastAsia" w:hAnsi="宋体"/>
                <w:color w:val="auto"/>
                <w:highlight w:val="none"/>
              </w:rPr>
              <w:t>招标文件澄清发出的形式</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409D9D09">
            <w:pPr>
              <w:spacing w:line="360" w:lineRule="exact"/>
              <w:ind w:left="40" w:leftChars="19" w:right="107" w:rightChars="51"/>
              <w:rPr>
                <w:color w:val="auto"/>
                <w:szCs w:val="21"/>
                <w:highlight w:val="none"/>
                <w:u w:val="single"/>
              </w:rPr>
            </w:pPr>
            <w:r>
              <w:rPr>
                <w:rFonts w:hint="eastAsia" w:ascii="宋体" w:hAnsi="宋体" w:cs="宋体"/>
                <w:color w:val="auto"/>
                <w:szCs w:val="21"/>
                <w:highlight w:val="none"/>
                <w:u w:val="single"/>
              </w:rPr>
              <w:t>在递交投标文件截止时间15天前；在广州交易集团有限公司（广州公共资源交易中心）网站通过项目答疑专区网上公开发布。</w:t>
            </w:r>
          </w:p>
        </w:tc>
      </w:tr>
      <w:tr w14:paraId="66DFFCEB">
        <w:tblPrEx>
          <w:tblCellMar>
            <w:top w:w="0" w:type="dxa"/>
            <w:left w:w="108" w:type="dxa"/>
            <w:bottom w:w="0" w:type="dxa"/>
            <w:right w:w="108" w:type="dxa"/>
          </w:tblCellMar>
        </w:tblPrEx>
        <w:trPr>
          <w:trHeight w:val="90" w:hRule="atLeast"/>
        </w:trPr>
        <w:tc>
          <w:tcPr>
            <w:tcW w:w="1165" w:type="dxa"/>
            <w:vMerge w:val="restart"/>
            <w:tcBorders>
              <w:top w:val="single" w:color="auto" w:sz="4" w:space="0"/>
              <w:left w:val="single" w:color="auto" w:sz="4" w:space="0"/>
              <w:bottom w:val="single" w:color="auto" w:sz="4" w:space="0"/>
              <w:right w:val="single" w:color="auto" w:sz="4" w:space="0"/>
            </w:tcBorders>
            <w:noWrap w:val="0"/>
            <w:vAlign w:val="center"/>
          </w:tcPr>
          <w:p w14:paraId="44DE296C">
            <w:pPr>
              <w:spacing w:line="360" w:lineRule="exact"/>
              <w:jc w:val="center"/>
              <w:rPr>
                <w:color w:val="auto"/>
                <w:highlight w:val="none"/>
              </w:rPr>
            </w:pPr>
            <w:r>
              <w:rPr>
                <w:color w:val="auto"/>
                <w:highlight w:val="none"/>
              </w:rPr>
              <w:t>2.2.3</w:t>
            </w:r>
          </w:p>
        </w:tc>
        <w:tc>
          <w:tcPr>
            <w:tcW w:w="2345" w:type="dxa"/>
            <w:vMerge w:val="restart"/>
            <w:tcBorders>
              <w:top w:val="single" w:color="auto" w:sz="4" w:space="0"/>
              <w:left w:val="single" w:color="auto" w:sz="4" w:space="0"/>
              <w:right w:val="single" w:color="auto" w:sz="4" w:space="0"/>
            </w:tcBorders>
            <w:noWrap w:val="0"/>
            <w:vAlign w:val="center"/>
          </w:tcPr>
          <w:p w14:paraId="726C2427">
            <w:pPr>
              <w:spacing w:line="360" w:lineRule="exact"/>
              <w:jc w:val="center"/>
              <w:rPr>
                <w:color w:val="auto"/>
                <w:highlight w:val="none"/>
              </w:rPr>
            </w:pPr>
            <w:r>
              <w:rPr>
                <w:rFonts w:hint="eastAsia" w:hAnsi="宋体"/>
                <w:color w:val="auto"/>
                <w:highlight w:val="none"/>
              </w:rPr>
              <w:t>投标人确认收到招标文件澄清</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4C24220B">
            <w:pPr>
              <w:spacing w:line="360" w:lineRule="exact"/>
              <w:ind w:left="40" w:leftChars="19" w:right="107" w:rightChars="51"/>
              <w:rPr>
                <w:color w:val="auto"/>
                <w:szCs w:val="21"/>
                <w:highlight w:val="none"/>
              </w:rPr>
            </w:pPr>
            <w:r>
              <w:rPr>
                <w:rFonts w:hint="eastAsia" w:hAnsi="宋体"/>
                <w:color w:val="auto"/>
                <w:szCs w:val="21"/>
                <w:highlight w:val="none"/>
              </w:rPr>
              <w:t>时间：</w:t>
            </w:r>
            <w:r>
              <w:rPr>
                <w:rFonts w:hint="eastAsia" w:hAnsi="宋体"/>
                <w:color w:val="auto"/>
                <w:szCs w:val="21"/>
                <w:highlight w:val="none"/>
                <w:u w:val="single"/>
              </w:rPr>
              <w:t>发出即视作收到。</w:t>
            </w:r>
          </w:p>
        </w:tc>
      </w:tr>
      <w:tr w14:paraId="193F889C">
        <w:tblPrEx>
          <w:tblCellMar>
            <w:top w:w="0" w:type="dxa"/>
            <w:left w:w="108" w:type="dxa"/>
            <w:bottom w:w="0" w:type="dxa"/>
            <w:right w:w="108" w:type="dxa"/>
          </w:tblCellMar>
        </w:tblPrEx>
        <w:trPr>
          <w:trHeight w:val="247" w:hRule="atLeast"/>
        </w:trPr>
        <w:tc>
          <w:tcPr>
            <w:tcW w:w="1165" w:type="dxa"/>
            <w:vMerge w:val="continue"/>
            <w:tcBorders>
              <w:top w:val="single" w:color="auto" w:sz="4" w:space="0"/>
              <w:left w:val="single" w:color="auto" w:sz="4" w:space="0"/>
              <w:bottom w:val="single" w:color="auto" w:sz="4" w:space="0"/>
              <w:right w:val="single" w:color="auto" w:sz="4" w:space="0"/>
            </w:tcBorders>
            <w:noWrap w:val="0"/>
            <w:vAlign w:val="center"/>
          </w:tcPr>
          <w:p w14:paraId="69A4C964">
            <w:pPr>
              <w:spacing w:line="360" w:lineRule="exact"/>
              <w:jc w:val="center"/>
              <w:rPr>
                <w:color w:val="auto"/>
                <w:highlight w:val="none"/>
              </w:rPr>
            </w:pPr>
          </w:p>
        </w:tc>
        <w:tc>
          <w:tcPr>
            <w:tcW w:w="2345" w:type="dxa"/>
            <w:vMerge w:val="continue"/>
            <w:tcBorders>
              <w:left w:val="single" w:color="auto" w:sz="4" w:space="0"/>
              <w:bottom w:val="single" w:color="auto" w:sz="4" w:space="0"/>
              <w:right w:val="single" w:color="auto" w:sz="4" w:space="0"/>
            </w:tcBorders>
            <w:noWrap w:val="0"/>
            <w:vAlign w:val="center"/>
          </w:tcPr>
          <w:p w14:paraId="3465B275">
            <w:pPr>
              <w:spacing w:line="360" w:lineRule="exact"/>
              <w:jc w:val="center"/>
              <w:rPr>
                <w:color w:val="auto"/>
                <w:highlight w:val="none"/>
              </w:rPr>
            </w:pPr>
          </w:p>
        </w:tc>
        <w:tc>
          <w:tcPr>
            <w:tcW w:w="6096" w:type="dxa"/>
            <w:tcBorders>
              <w:top w:val="single" w:color="auto" w:sz="4" w:space="0"/>
              <w:left w:val="single" w:color="auto" w:sz="4" w:space="0"/>
              <w:right w:val="single" w:color="auto" w:sz="4" w:space="0"/>
            </w:tcBorders>
            <w:noWrap w:val="0"/>
            <w:vAlign w:val="center"/>
          </w:tcPr>
          <w:p w14:paraId="32E88E75">
            <w:pPr>
              <w:spacing w:line="360" w:lineRule="exact"/>
              <w:ind w:left="40" w:leftChars="19" w:right="107" w:rightChars="51"/>
              <w:rPr>
                <w:color w:val="auto"/>
                <w:szCs w:val="21"/>
                <w:highlight w:val="none"/>
              </w:rPr>
            </w:pPr>
            <w:r>
              <w:rPr>
                <w:rFonts w:hint="eastAsia" w:hAnsi="宋体"/>
                <w:color w:val="auto"/>
                <w:szCs w:val="21"/>
                <w:highlight w:val="none"/>
              </w:rPr>
              <w:t>形式：</w:t>
            </w:r>
            <w:r>
              <w:rPr>
                <w:rFonts w:hint="eastAsia" w:hAnsi="宋体"/>
                <w:color w:val="auto"/>
                <w:szCs w:val="21"/>
                <w:highlight w:val="none"/>
                <w:u w:val="single"/>
              </w:rPr>
              <w:t>招标文件澄清（招标答疑纪要）一经在</w:t>
            </w:r>
            <w:r>
              <w:rPr>
                <w:rFonts w:hint="eastAsia" w:ascii="宋体" w:hAnsi="宋体" w:cs="宋体"/>
                <w:color w:val="auto"/>
                <w:szCs w:val="21"/>
                <w:highlight w:val="none"/>
                <w:u w:val="single"/>
              </w:rPr>
              <w:t>广州交易集团有限公司（广州公共资源交易中心）</w:t>
            </w:r>
            <w:r>
              <w:rPr>
                <w:rFonts w:hint="eastAsia" w:hAnsi="宋体"/>
                <w:color w:val="auto"/>
                <w:szCs w:val="21"/>
                <w:highlight w:val="none"/>
                <w:u w:val="single"/>
              </w:rPr>
              <w:t>网站发布，视作已发放给所有投标人。</w:t>
            </w:r>
          </w:p>
        </w:tc>
      </w:tr>
      <w:tr w14:paraId="42F503C7">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553D2BF5">
            <w:pPr>
              <w:spacing w:line="360" w:lineRule="exact"/>
              <w:jc w:val="center"/>
              <w:rPr>
                <w:color w:val="auto"/>
                <w:highlight w:val="none"/>
              </w:rPr>
            </w:pPr>
            <w:r>
              <w:rPr>
                <w:color w:val="auto"/>
                <w:highlight w:val="none"/>
              </w:rPr>
              <w:t>2.3.1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7A7DDB64">
            <w:pPr>
              <w:spacing w:line="360" w:lineRule="exact"/>
              <w:jc w:val="center"/>
              <w:rPr>
                <w:color w:val="auto"/>
                <w:highlight w:val="none"/>
              </w:rPr>
            </w:pPr>
            <w:r>
              <w:rPr>
                <w:rFonts w:hint="eastAsia" w:hAnsi="宋体"/>
                <w:color w:val="auto"/>
                <w:highlight w:val="none"/>
              </w:rPr>
              <w:t>招标文件修改发出的形式</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063077F2">
            <w:pPr>
              <w:spacing w:line="360" w:lineRule="exact"/>
              <w:ind w:left="40" w:leftChars="19" w:right="107" w:rightChars="51"/>
              <w:rPr>
                <w:color w:val="auto"/>
                <w:szCs w:val="21"/>
                <w:highlight w:val="none"/>
                <w:u w:val="single"/>
              </w:rPr>
            </w:pPr>
            <w:r>
              <w:rPr>
                <w:rFonts w:hint="eastAsia" w:hAnsi="宋体"/>
                <w:color w:val="auto"/>
                <w:szCs w:val="21"/>
                <w:highlight w:val="none"/>
                <w:u w:val="single"/>
              </w:rPr>
              <w:t>以补充公告或项目答疑澄清的方式在</w:t>
            </w:r>
            <w:r>
              <w:rPr>
                <w:rFonts w:hint="eastAsia" w:ascii="宋体" w:hAnsi="宋体" w:cs="宋体"/>
                <w:color w:val="auto"/>
                <w:szCs w:val="21"/>
                <w:highlight w:val="none"/>
                <w:u w:val="single"/>
              </w:rPr>
              <w:t>广州交易集团有限公司（广州公共资源交易中心）</w:t>
            </w:r>
            <w:r>
              <w:rPr>
                <w:rFonts w:hint="eastAsia" w:hAnsi="宋体"/>
                <w:color w:val="auto"/>
                <w:szCs w:val="21"/>
                <w:highlight w:val="none"/>
                <w:u w:val="single"/>
              </w:rPr>
              <w:t>发布</w:t>
            </w:r>
            <w:r>
              <w:rPr>
                <w:rFonts w:hint="eastAsia" w:hAnsi="宋体" w:cs="宋体"/>
                <w:color w:val="auto"/>
                <w:szCs w:val="21"/>
                <w:highlight w:val="none"/>
                <w:u w:val="single"/>
              </w:rPr>
              <w:t>。</w:t>
            </w:r>
          </w:p>
        </w:tc>
      </w:tr>
      <w:tr w14:paraId="6277A50A">
        <w:tblPrEx>
          <w:tblCellMar>
            <w:top w:w="0" w:type="dxa"/>
            <w:left w:w="108" w:type="dxa"/>
            <w:bottom w:w="0" w:type="dxa"/>
            <w:right w:w="108" w:type="dxa"/>
          </w:tblCellMar>
        </w:tblPrEx>
        <w:trPr>
          <w:trHeight w:val="578" w:hRule="atLeast"/>
        </w:trPr>
        <w:tc>
          <w:tcPr>
            <w:tcW w:w="1165" w:type="dxa"/>
            <w:vMerge w:val="restart"/>
            <w:tcBorders>
              <w:top w:val="single" w:color="auto" w:sz="4" w:space="0"/>
              <w:left w:val="single" w:color="auto" w:sz="4" w:space="0"/>
              <w:right w:val="single" w:color="auto" w:sz="4" w:space="0"/>
            </w:tcBorders>
            <w:noWrap w:val="0"/>
            <w:vAlign w:val="center"/>
          </w:tcPr>
          <w:p w14:paraId="25311812">
            <w:pPr>
              <w:spacing w:line="360" w:lineRule="exact"/>
              <w:jc w:val="center"/>
              <w:rPr>
                <w:color w:val="auto"/>
                <w:highlight w:val="none"/>
              </w:rPr>
            </w:pPr>
            <w:r>
              <w:rPr>
                <w:color w:val="auto"/>
                <w:highlight w:val="none"/>
              </w:rPr>
              <w:t>2.3.2</w:t>
            </w:r>
          </w:p>
        </w:tc>
        <w:tc>
          <w:tcPr>
            <w:tcW w:w="2345" w:type="dxa"/>
            <w:vMerge w:val="restart"/>
            <w:tcBorders>
              <w:top w:val="single" w:color="auto" w:sz="4" w:space="0"/>
              <w:left w:val="single" w:color="auto" w:sz="4" w:space="0"/>
              <w:right w:val="single" w:color="auto" w:sz="4" w:space="0"/>
            </w:tcBorders>
            <w:noWrap w:val="0"/>
            <w:vAlign w:val="center"/>
          </w:tcPr>
          <w:p w14:paraId="301DFF11">
            <w:pPr>
              <w:spacing w:line="360" w:lineRule="exact"/>
              <w:jc w:val="center"/>
              <w:rPr>
                <w:rFonts w:hint="eastAsia"/>
                <w:color w:val="auto"/>
                <w:highlight w:val="none"/>
              </w:rPr>
            </w:pPr>
            <w:r>
              <w:rPr>
                <w:rFonts w:hint="eastAsia" w:hAnsi="宋体"/>
                <w:color w:val="auto"/>
                <w:highlight w:val="none"/>
              </w:rPr>
              <w:t>投标人确认收到招标文件修改</w:t>
            </w:r>
          </w:p>
        </w:tc>
        <w:tc>
          <w:tcPr>
            <w:tcW w:w="6096" w:type="dxa"/>
            <w:tcBorders>
              <w:top w:val="single" w:color="auto" w:sz="4" w:space="0"/>
              <w:left w:val="single" w:color="auto" w:sz="4" w:space="0"/>
              <w:right w:val="single" w:color="auto" w:sz="4" w:space="0"/>
            </w:tcBorders>
            <w:noWrap w:val="0"/>
            <w:vAlign w:val="center"/>
          </w:tcPr>
          <w:p w14:paraId="75F4BE5A">
            <w:pPr>
              <w:spacing w:line="360" w:lineRule="exact"/>
              <w:rPr>
                <w:rFonts w:hint="eastAsia"/>
                <w:color w:val="auto"/>
                <w:szCs w:val="21"/>
                <w:highlight w:val="none"/>
              </w:rPr>
            </w:pPr>
            <w:r>
              <w:rPr>
                <w:rFonts w:hint="eastAsia" w:hAnsi="宋体"/>
                <w:color w:val="auto"/>
                <w:szCs w:val="21"/>
                <w:highlight w:val="none"/>
              </w:rPr>
              <w:t>时间：</w:t>
            </w:r>
            <w:r>
              <w:rPr>
                <w:rFonts w:hint="eastAsia" w:ascii="宋体" w:hAnsi="宋体" w:cs="宋体"/>
                <w:color w:val="auto"/>
                <w:szCs w:val="21"/>
                <w:highlight w:val="none"/>
                <w:u w:val="single"/>
              </w:rPr>
              <w:t>发出即视作收到</w:t>
            </w:r>
            <w:r>
              <w:rPr>
                <w:rFonts w:hint="eastAsia" w:hAnsi="宋体"/>
                <w:color w:val="auto"/>
                <w:szCs w:val="21"/>
                <w:highlight w:val="none"/>
                <w:u w:val="single"/>
              </w:rPr>
              <w:t>。</w:t>
            </w:r>
          </w:p>
        </w:tc>
      </w:tr>
      <w:tr w14:paraId="5FA4FA9F">
        <w:tblPrEx>
          <w:tblCellMar>
            <w:top w:w="0" w:type="dxa"/>
            <w:left w:w="108" w:type="dxa"/>
            <w:bottom w:w="0" w:type="dxa"/>
            <w:right w:w="108" w:type="dxa"/>
          </w:tblCellMar>
        </w:tblPrEx>
        <w:trPr>
          <w:trHeight w:val="890" w:hRule="atLeast"/>
        </w:trPr>
        <w:tc>
          <w:tcPr>
            <w:tcW w:w="1165" w:type="dxa"/>
            <w:vMerge w:val="continue"/>
            <w:tcBorders>
              <w:left w:val="single" w:color="auto" w:sz="4" w:space="0"/>
              <w:right w:val="single" w:color="auto" w:sz="4" w:space="0"/>
            </w:tcBorders>
            <w:noWrap w:val="0"/>
            <w:vAlign w:val="center"/>
          </w:tcPr>
          <w:p w14:paraId="4DD01A8C">
            <w:pPr>
              <w:spacing w:line="360" w:lineRule="exact"/>
              <w:jc w:val="center"/>
              <w:rPr>
                <w:color w:val="auto"/>
                <w:highlight w:val="none"/>
              </w:rPr>
            </w:pPr>
          </w:p>
        </w:tc>
        <w:tc>
          <w:tcPr>
            <w:tcW w:w="2345" w:type="dxa"/>
            <w:vMerge w:val="continue"/>
            <w:tcBorders>
              <w:left w:val="single" w:color="auto" w:sz="4" w:space="0"/>
              <w:right w:val="single" w:color="auto" w:sz="4" w:space="0"/>
            </w:tcBorders>
            <w:noWrap w:val="0"/>
            <w:vAlign w:val="center"/>
          </w:tcPr>
          <w:p w14:paraId="2966DF83">
            <w:pPr>
              <w:spacing w:line="360" w:lineRule="exact"/>
              <w:jc w:val="center"/>
              <w:rPr>
                <w:color w:val="auto"/>
                <w:highlight w:val="none"/>
              </w:rPr>
            </w:pPr>
          </w:p>
        </w:tc>
        <w:tc>
          <w:tcPr>
            <w:tcW w:w="6096" w:type="dxa"/>
            <w:tcBorders>
              <w:top w:val="single" w:color="auto" w:sz="4" w:space="0"/>
              <w:left w:val="single" w:color="auto" w:sz="4" w:space="0"/>
              <w:right w:val="single" w:color="auto" w:sz="4" w:space="0"/>
            </w:tcBorders>
            <w:noWrap w:val="0"/>
            <w:vAlign w:val="center"/>
          </w:tcPr>
          <w:p w14:paraId="7C1755F6">
            <w:pPr>
              <w:spacing w:line="360" w:lineRule="exact"/>
              <w:rPr>
                <w:rFonts w:hint="eastAsia"/>
                <w:color w:val="auto"/>
                <w:szCs w:val="21"/>
                <w:highlight w:val="none"/>
              </w:rPr>
            </w:pPr>
            <w:r>
              <w:rPr>
                <w:rFonts w:hint="eastAsia" w:hAnsi="宋体"/>
                <w:color w:val="auto"/>
                <w:szCs w:val="21"/>
                <w:highlight w:val="none"/>
              </w:rPr>
              <w:t>形式：</w:t>
            </w:r>
            <w:r>
              <w:rPr>
                <w:rFonts w:hint="eastAsia" w:hAnsi="宋体"/>
                <w:color w:val="auto"/>
                <w:szCs w:val="21"/>
                <w:highlight w:val="none"/>
                <w:u w:val="single"/>
              </w:rPr>
              <w:t>招标文件修改一经在</w:t>
            </w:r>
            <w:r>
              <w:rPr>
                <w:rFonts w:hint="eastAsia" w:ascii="宋体" w:hAnsi="宋体" w:cs="宋体"/>
                <w:color w:val="auto"/>
                <w:szCs w:val="21"/>
                <w:highlight w:val="none"/>
                <w:u w:val="single"/>
              </w:rPr>
              <w:t>广州交易集团有限公司（广州公共资源交易中心）</w:t>
            </w:r>
            <w:r>
              <w:rPr>
                <w:rFonts w:hint="eastAsia" w:hAnsi="宋体"/>
                <w:color w:val="auto"/>
                <w:szCs w:val="21"/>
                <w:highlight w:val="none"/>
                <w:u w:val="single"/>
              </w:rPr>
              <w:t>网站发布，视作已发放给所有投标人，无需确认。潜在投标人应自行关注招标公告公布的网站公告，投标人因自身贻误行为导致投标失败的，责任自负。</w:t>
            </w:r>
          </w:p>
        </w:tc>
      </w:tr>
      <w:tr w14:paraId="4241FAA2">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068FE278">
            <w:pPr>
              <w:spacing w:line="360" w:lineRule="exact"/>
              <w:jc w:val="center"/>
              <w:rPr>
                <w:color w:val="auto"/>
                <w:highlight w:val="none"/>
              </w:rPr>
            </w:pPr>
            <w:r>
              <w:rPr>
                <w:color w:val="auto"/>
                <w:highlight w:val="none"/>
              </w:rPr>
              <w:t>3.1.1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4D04A2EA">
            <w:pPr>
              <w:spacing w:line="360" w:lineRule="exact"/>
              <w:jc w:val="center"/>
              <w:rPr>
                <w:color w:val="auto"/>
                <w:highlight w:val="none"/>
              </w:rPr>
            </w:pPr>
            <w:r>
              <w:rPr>
                <w:rFonts w:hint="eastAsia" w:hAnsi="宋体"/>
                <w:color w:val="auto"/>
                <w:highlight w:val="none"/>
              </w:rPr>
              <w:t>构成投标文件的其他资料</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1FF58973">
            <w:pPr>
              <w:spacing w:line="360" w:lineRule="exact"/>
              <w:ind w:left="40" w:leftChars="19" w:right="107" w:rightChars="51"/>
              <w:rPr>
                <w:color w:val="auto"/>
                <w:szCs w:val="21"/>
                <w:highlight w:val="none"/>
              </w:rPr>
            </w:pPr>
            <w:r>
              <w:rPr>
                <w:rFonts w:hAnsi="宋体"/>
                <w:color w:val="auto"/>
                <w:szCs w:val="21"/>
                <w:highlight w:val="none"/>
                <w:u w:val="single"/>
              </w:rPr>
              <w:t>满足本项目评审要求的其他资料</w:t>
            </w:r>
          </w:p>
        </w:tc>
      </w:tr>
      <w:tr w14:paraId="4360E423">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7B500CB1">
            <w:pPr>
              <w:spacing w:line="360" w:lineRule="exact"/>
              <w:jc w:val="center"/>
              <w:rPr>
                <w:color w:val="auto"/>
                <w:highlight w:val="none"/>
              </w:rPr>
            </w:pPr>
            <w:r>
              <w:rPr>
                <w:color w:val="auto"/>
                <w:highlight w:val="none"/>
              </w:rPr>
              <w:t>3.2.1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0592AE58">
            <w:pPr>
              <w:spacing w:line="360" w:lineRule="exact"/>
              <w:jc w:val="center"/>
              <w:rPr>
                <w:color w:val="auto"/>
                <w:highlight w:val="none"/>
              </w:rPr>
            </w:pPr>
            <w:r>
              <w:rPr>
                <w:rFonts w:hint="eastAsia" w:hAnsi="宋体"/>
                <w:color w:val="auto"/>
                <w:highlight w:val="none"/>
              </w:rPr>
              <w:t>增值税税金的计算方法</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5E325EB2">
            <w:pPr>
              <w:spacing w:line="360" w:lineRule="exact"/>
              <w:ind w:left="40" w:leftChars="19" w:right="107" w:rightChars="51"/>
              <w:rPr>
                <w:color w:val="auto"/>
                <w:szCs w:val="21"/>
                <w:highlight w:val="none"/>
              </w:rPr>
            </w:pPr>
            <w:r>
              <w:rPr>
                <w:rFonts w:hint="eastAsia"/>
                <w:color w:val="auto"/>
                <w:szCs w:val="21"/>
                <w:highlight w:val="none"/>
                <w:u w:val="single"/>
              </w:rPr>
              <w:t>/</w:t>
            </w:r>
          </w:p>
        </w:tc>
      </w:tr>
      <w:tr w14:paraId="1633EF80">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223A48A8">
            <w:pPr>
              <w:spacing w:line="360" w:lineRule="exact"/>
              <w:jc w:val="center"/>
              <w:rPr>
                <w:color w:val="auto"/>
                <w:highlight w:val="none"/>
              </w:rPr>
            </w:pPr>
            <w:r>
              <w:rPr>
                <w:color w:val="auto"/>
                <w:highlight w:val="none"/>
              </w:rPr>
              <w:t>3.2.3</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4AC4ADE0">
            <w:pPr>
              <w:spacing w:line="360" w:lineRule="exact"/>
              <w:jc w:val="center"/>
              <w:rPr>
                <w:color w:val="auto"/>
                <w:highlight w:val="none"/>
              </w:rPr>
            </w:pPr>
            <w:r>
              <w:rPr>
                <w:rFonts w:hint="eastAsia" w:hAnsi="宋体"/>
                <w:color w:val="auto"/>
                <w:highlight w:val="none"/>
              </w:rPr>
              <w:t>报价方式</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5F13F966">
            <w:pPr>
              <w:spacing w:line="360" w:lineRule="exact"/>
              <w:ind w:left="40" w:leftChars="19" w:right="107" w:rightChars="51"/>
              <w:rPr>
                <w:rFonts w:hint="eastAsia"/>
                <w:color w:val="auto"/>
                <w:szCs w:val="21"/>
                <w:highlight w:val="none"/>
                <w:u w:val="single"/>
              </w:rPr>
            </w:pPr>
            <w:r>
              <w:rPr>
                <w:rFonts w:hint="eastAsia" w:ascii="宋体" w:hAnsi="宋体" w:cs="宋体"/>
                <w:color w:val="auto"/>
                <w:szCs w:val="21"/>
                <w:highlight w:val="none"/>
                <w:u w:val="single"/>
              </w:rPr>
              <w:t>自行报价（以元为单位，精确到小数位后2位）。</w:t>
            </w:r>
          </w:p>
        </w:tc>
      </w:tr>
      <w:tr w14:paraId="589D6CB8">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4E004ACC">
            <w:pPr>
              <w:spacing w:line="360" w:lineRule="exact"/>
              <w:jc w:val="center"/>
              <w:rPr>
                <w:color w:val="auto"/>
                <w:highlight w:val="none"/>
              </w:rPr>
            </w:pPr>
            <w:r>
              <w:rPr>
                <w:color w:val="auto"/>
                <w:highlight w:val="none"/>
              </w:rPr>
              <w:t>3.2.4</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43A9ED34">
            <w:pPr>
              <w:spacing w:line="360" w:lineRule="exact"/>
              <w:jc w:val="center"/>
              <w:rPr>
                <w:color w:val="auto"/>
                <w:highlight w:val="none"/>
              </w:rPr>
            </w:pPr>
            <w:r>
              <w:rPr>
                <w:rFonts w:hint="eastAsia" w:hAnsi="宋体"/>
                <w:color w:val="auto"/>
                <w:highlight w:val="none"/>
              </w:rPr>
              <w:t>最高投标限价</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0BDD848F">
            <w:pPr>
              <w:tabs>
                <w:tab w:val="left" w:pos="7513"/>
              </w:tabs>
              <w:adjustRightInd w:val="0"/>
              <w:snapToGrid w:val="0"/>
              <w:spacing w:line="360" w:lineRule="exact"/>
              <w:rPr>
                <w:color w:val="auto"/>
                <w:szCs w:val="21"/>
                <w:highlight w:val="none"/>
              </w:rPr>
            </w:pPr>
            <w:r>
              <w:rPr>
                <w:rFonts w:hint="eastAsia"/>
                <w:color w:val="auto"/>
                <w:szCs w:val="21"/>
                <w:highlight w:val="none"/>
              </w:rPr>
              <w:t>□</w:t>
            </w:r>
            <w:r>
              <w:rPr>
                <w:rFonts w:hint="eastAsia" w:hAnsi="宋体"/>
                <w:color w:val="auto"/>
                <w:szCs w:val="21"/>
                <w:highlight w:val="none"/>
              </w:rPr>
              <w:t>无</w:t>
            </w:r>
          </w:p>
          <w:p w14:paraId="35DA5D0B">
            <w:pPr>
              <w:tabs>
                <w:tab w:val="left" w:pos="7513"/>
              </w:tabs>
              <w:spacing w:line="440" w:lineRule="exact"/>
              <w:rPr>
                <w:rFonts w:hint="eastAsia" w:hAnsi="宋体"/>
                <w:color w:val="auto"/>
                <w:szCs w:val="21"/>
                <w:highlight w:val="none"/>
              </w:rPr>
            </w:pPr>
            <w:r>
              <w:rPr>
                <w:rFonts w:hint="eastAsia"/>
                <w:color w:val="auto"/>
                <w:szCs w:val="21"/>
                <w:highlight w:val="none"/>
              </w:rPr>
              <w:t>■</w:t>
            </w:r>
            <w:r>
              <w:rPr>
                <w:rFonts w:hint="eastAsia" w:hAnsi="宋体"/>
                <w:color w:val="auto"/>
                <w:szCs w:val="21"/>
                <w:highlight w:val="none"/>
              </w:rPr>
              <w:t>有，最高投标限价：人民币</w:t>
            </w:r>
            <w:r>
              <w:rPr>
                <w:rFonts w:hint="eastAsia" w:ascii="宋体" w:hAnsi="宋体"/>
                <w:color w:val="auto"/>
                <w:sz w:val="24"/>
                <w:highlight w:val="none"/>
                <w:u w:val="single"/>
              </w:rPr>
              <w:t>5637683</w:t>
            </w:r>
            <w:r>
              <w:rPr>
                <w:color w:val="auto"/>
                <w:szCs w:val="21"/>
                <w:highlight w:val="none"/>
              </w:rPr>
              <w:t>元；</w:t>
            </w:r>
            <w:r>
              <w:rPr>
                <w:rFonts w:hint="eastAsia" w:ascii="宋体" w:hAnsi="宋体"/>
                <w:color w:val="auto"/>
                <w:sz w:val="24"/>
                <w:szCs w:val="24"/>
                <w:highlight w:val="none"/>
              </w:rPr>
              <w:t>其中</w:t>
            </w:r>
            <w:r>
              <w:rPr>
                <w:rFonts w:hint="eastAsia" w:ascii="宋体" w:hAnsi="宋体" w:cs="宋体"/>
                <w:color w:val="auto"/>
                <w:kern w:val="0"/>
                <w:sz w:val="24"/>
                <w:szCs w:val="24"/>
                <w:highlight w:val="none"/>
              </w:rPr>
              <w:t>地铁保护动态监测</w:t>
            </w:r>
            <w:r>
              <w:rPr>
                <w:rFonts w:hint="eastAsia" w:ascii="宋体" w:hAnsi="宋体"/>
                <w:color w:val="auto"/>
                <w:sz w:val="24"/>
                <w:szCs w:val="24"/>
                <w:highlight w:val="none"/>
              </w:rPr>
              <w:t>最高投标限价</w:t>
            </w:r>
            <w:r>
              <w:rPr>
                <w:rFonts w:hint="eastAsia" w:ascii="宋体" w:hAnsi="宋体"/>
                <w:color w:val="auto"/>
                <w:sz w:val="24"/>
                <w:szCs w:val="24"/>
                <w:highlight w:val="none"/>
                <w:u w:val="single"/>
                <w:lang w:val="en-US" w:eastAsia="zh-CN"/>
              </w:rPr>
              <w:t>3285932</w:t>
            </w:r>
            <w:r>
              <w:rPr>
                <w:rFonts w:hint="eastAsia" w:ascii="宋体" w:hAnsi="宋体"/>
                <w:color w:val="auto"/>
                <w:sz w:val="24"/>
                <w:szCs w:val="24"/>
                <w:highlight w:val="none"/>
              </w:rPr>
              <w:t>元，</w:t>
            </w:r>
            <w:r>
              <w:rPr>
                <w:rFonts w:hint="eastAsia" w:ascii="宋体" w:hAnsi="宋体" w:cs="宋体"/>
                <w:color w:val="auto"/>
                <w:kern w:val="0"/>
                <w:sz w:val="24"/>
                <w:szCs w:val="24"/>
                <w:highlight w:val="none"/>
              </w:rPr>
              <w:t>安全监控</w:t>
            </w:r>
            <w:r>
              <w:rPr>
                <w:rFonts w:hint="eastAsia" w:ascii="宋体" w:hAnsi="宋体"/>
                <w:color w:val="auto"/>
                <w:sz w:val="24"/>
                <w:szCs w:val="24"/>
                <w:highlight w:val="none"/>
              </w:rPr>
              <w:t>最高投标限价</w:t>
            </w:r>
            <w:r>
              <w:rPr>
                <w:rFonts w:hint="eastAsia" w:ascii="宋体" w:hAnsi="宋体"/>
                <w:color w:val="auto"/>
                <w:sz w:val="24"/>
                <w:szCs w:val="24"/>
                <w:highlight w:val="none"/>
                <w:u w:val="single"/>
                <w:lang w:val="en-US" w:eastAsia="zh-CN"/>
              </w:rPr>
              <w:t>2351751</w:t>
            </w:r>
            <w:r>
              <w:rPr>
                <w:rFonts w:hint="eastAsia" w:ascii="宋体" w:hAnsi="宋体"/>
                <w:color w:val="auto"/>
                <w:sz w:val="24"/>
                <w:szCs w:val="24"/>
                <w:highlight w:val="none"/>
              </w:rPr>
              <w:t>元。</w:t>
            </w:r>
          </w:p>
          <w:p w14:paraId="77F15C7D">
            <w:pPr>
              <w:tabs>
                <w:tab w:val="left" w:pos="7513"/>
              </w:tabs>
              <w:adjustRightInd w:val="0"/>
              <w:snapToGrid w:val="0"/>
              <w:spacing w:line="360" w:lineRule="exact"/>
              <w:rPr>
                <w:rFonts w:hint="eastAsia"/>
                <w:color w:val="auto"/>
                <w:szCs w:val="21"/>
                <w:highlight w:val="none"/>
                <w:u w:val="single"/>
              </w:rPr>
            </w:pPr>
            <w:r>
              <w:rPr>
                <w:rFonts w:hint="eastAsia"/>
                <w:b/>
                <w:color w:val="auto"/>
                <w:szCs w:val="21"/>
                <w:highlight w:val="none"/>
                <w:u w:val="single"/>
              </w:rPr>
              <w:t>投标报价不得超过最高投标限价。</w:t>
            </w:r>
          </w:p>
        </w:tc>
      </w:tr>
      <w:tr w14:paraId="47C071AE">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7E3D7C75">
            <w:pPr>
              <w:spacing w:line="360" w:lineRule="exact"/>
              <w:jc w:val="center"/>
              <w:rPr>
                <w:color w:val="auto"/>
                <w:highlight w:val="none"/>
              </w:rPr>
            </w:pPr>
            <w:r>
              <w:rPr>
                <w:color w:val="auto"/>
                <w:highlight w:val="none"/>
              </w:rPr>
              <w:t>3.2.5</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68AD86BC">
            <w:pPr>
              <w:spacing w:line="360" w:lineRule="exact"/>
              <w:jc w:val="center"/>
              <w:rPr>
                <w:color w:val="auto"/>
                <w:highlight w:val="none"/>
              </w:rPr>
            </w:pPr>
            <w:r>
              <w:rPr>
                <w:rFonts w:hint="eastAsia" w:hAnsi="宋体"/>
                <w:color w:val="auto"/>
                <w:highlight w:val="none"/>
              </w:rPr>
              <w:t>投标报价的其他要求</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29AC3606">
            <w:pPr>
              <w:spacing w:line="360" w:lineRule="exact"/>
              <w:ind w:left="40" w:leftChars="19" w:right="107" w:rightChars="51"/>
              <w:rPr>
                <w:rFonts w:hint="eastAsia" w:eastAsia="宋体"/>
                <w:color w:val="auto"/>
                <w:szCs w:val="21"/>
                <w:highlight w:val="none"/>
                <w:lang w:eastAsia="zh-CN"/>
              </w:rPr>
            </w:pPr>
            <w:r>
              <w:rPr>
                <w:rFonts w:hint="eastAsia"/>
                <w:b/>
                <w:bCs/>
                <w:color w:val="auto"/>
                <w:szCs w:val="21"/>
                <w:highlight w:val="none"/>
                <w:u w:val="single"/>
                <w:lang w:eastAsia="zh-CN"/>
              </w:rPr>
              <w:t>投标报价清单中的报价不得超过相应的最高限价。</w:t>
            </w:r>
          </w:p>
        </w:tc>
      </w:tr>
      <w:tr w14:paraId="5A70701A">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605E78CA">
            <w:pPr>
              <w:spacing w:line="360" w:lineRule="exact"/>
              <w:jc w:val="center"/>
              <w:rPr>
                <w:color w:val="auto"/>
                <w:highlight w:val="none"/>
              </w:rPr>
            </w:pPr>
            <w:r>
              <w:rPr>
                <w:color w:val="auto"/>
                <w:highlight w:val="none"/>
              </w:rPr>
              <w:t>3.3.1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64F65113">
            <w:pPr>
              <w:spacing w:line="360" w:lineRule="exact"/>
              <w:jc w:val="center"/>
              <w:rPr>
                <w:color w:val="auto"/>
                <w:highlight w:val="none"/>
              </w:rPr>
            </w:pPr>
            <w:r>
              <w:rPr>
                <w:rFonts w:hint="eastAsia" w:hAnsi="宋体"/>
                <w:color w:val="auto"/>
                <w:highlight w:val="none"/>
              </w:rPr>
              <w:t>投标有效期</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35414E99">
            <w:pPr>
              <w:spacing w:line="360" w:lineRule="exact"/>
              <w:ind w:left="40" w:leftChars="19" w:right="107" w:rightChars="51"/>
              <w:rPr>
                <w:color w:val="auto"/>
                <w:szCs w:val="21"/>
                <w:highlight w:val="none"/>
              </w:rPr>
            </w:pPr>
            <w:r>
              <w:rPr>
                <w:rFonts w:hint="eastAsia" w:ascii="宋体" w:hAnsi="宋体" w:cs="宋体"/>
                <w:color w:val="auto"/>
                <w:szCs w:val="21"/>
                <w:highlight w:val="none"/>
                <w:u w:val="single"/>
              </w:rPr>
              <w:t>90</w:t>
            </w:r>
            <w:r>
              <w:rPr>
                <w:rFonts w:hint="eastAsia" w:ascii="宋体" w:hAnsi="宋体" w:cs="宋体"/>
                <w:color w:val="auto"/>
                <w:szCs w:val="21"/>
                <w:highlight w:val="none"/>
              </w:rPr>
              <w:t>日历天</w:t>
            </w:r>
            <w:r>
              <w:rPr>
                <w:rFonts w:hint="eastAsia" w:ascii="宋体" w:hAnsi="宋体" w:cs="宋体"/>
                <w:color w:val="auto"/>
                <w:szCs w:val="21"/>
                <w:highlight w:val="none"/>
                <w:u w:val="single"/>
              </w:rPr>
              <w:t>（从提交投标截止之日起计算）。</w:t>
            </w:r>
          </w:p>
        </w:tc>
      </w:tr>
      <w:tr w14:paraId="18A56A46">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2FFAF1A4">
            <w:pPr>
              <w:spacing w:line="360" w:lineRule="exact"/>
              <w:jc w:val="center"/>
              <w:rPr>
                <w:color w:val="auto"/>
                <w:highlight w:val="none"/>
              </w:rPr>
            </w:pPr>
            <w:r>
              <w:rPr>
                <w:color w:val="auto"/>
                <w:highlight w:val="none"/>
              </w:rPr>
              <w:t>3.4.1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36710A27">
            <w:pPr>
              <w:spacing w:line="360" w:lineRule="exact"/>
              <w:jc w:val="center"/>
              <w:rPr>
                <w:rFonts w:ascii="宋体" w:hAnsi="宋体"/>
                <w:color w:val="auto"/>
                <w:szCs w:val="21"/>
                <w:highlight w:val="none"/>
              </w:rPr>
            </w:pPr>
            <w:r>
              <w:rPr>
                <w:rFonts w:hint="eastAsia" w:ascii="宋体" w:hAnsi="宋体"/>
                <w:color w:val="auto"/>
                <w:szCs w:val="21"/>
                <w:highlight w:val="none"/>
              </w:rPr>
              <w:t>投标保证金</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421F2887">
            <w:pPr>
              <w:spacing w:line="360" w:lineRule="exact"/>
              <w:rPr>
                <w:rFonts w:hint="eastAsia" w:ascii="宋体" w:hAnsi="宋体"/>
                <w:color w:val="auto"/>
                <w:szCs w:val="21"/>
                <w:highlight w:val="none"/>
              </w:rPr>
            </w:pPr>
            <w:r>
              <w:rPr>
                <w:rFonts w:hint="eastAsia" w:ascii="宋体" w:hAnsi="宋体"/>
                <w:color w:val="auto"/>
                <w:szCs w:val="21"/>
                <w:highlight w:val="none"/>
              </w:rPr>
              <w:t>是否要求投标人递交投标保证金：</w:t>
            </w:r>
          </w:p>
          <w:p w14:paraId="2DA8598B">
            <w:pPr>
              <w:spacing w:line="360" w:lineRule="exact"/>
              <w:rPr>
                <w:rFonts w:hint="eastAsia" w:ascii="宋体" w:hAnsi="宋体"/>
                <w:color w:val="auto"/>
                <w:szCs w:val="21"/>
                <w:highlight w:val="none"/>
              </w:rPr>
            </w:pPr>
            <w:r>
              <w:rPr>
                <w:rFonts w:hint="eastAsia" w:ascii="宋体" w:hAnsi="宋体"/>
                <w:color w:val="auto"/>
                <w:szCs w:val="21"/>
                <w:highlight w:val="none"/>
              </w:rPr>
              <w:t>☑不要求递交投标保证金。</w:t>
            </w:r>
          </w:p>
          <w:p w14:paraId="3CF9D05B">
            <w:pPr>
              <w:spacing w:line="360" w:lineRule="exact"/>
              <w:rPr>
                <w:rFonts w:hint="eastAsia" w:ascii="宋体" w:hAnsi="宋体"/>
                <w:color w:val="auto"/>
                <w:szCs w:val="21"/>
                <w:highlight w:val="none"/>
              </w:rPr>
            </w:pPr>
            <w:r>
              <w:rPr>
                <w:rFonts w:hint="eastAsia" w:ascii="宋体" w:hAnsi="宋体"/>
                <w:color w:val="auto"/>
                <w:szCs w:val="21"/>
                <w:highlight w:val="none"/>
              </w:rPr>
              <w:t>□要求递交投标保证金。</w:t>
            </w:r>
          </w:p>
        </w:tc>
      </w:tr>
      <w:tr w14:paraId="279ADB54">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61D32271">
            <w:pPr>
              <w:spacing w:line="360" w:lineRule="exact"/>
              <w:jc w:val="center"/>
              <w:rPr>
                <w:color w:val="auto"/>
                <w:highlight w:val="none"/>
              </w:rPr>
            </w:pPr>
            <w:r>
              <w:rPr>
                <w:color w:val="auto"/>
                <w:highlight w:val="none"/>
              </w:rPr>
              <w:t>3.4.4</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569E8425">
            <w:pPr>
              <w:spacing w:line="360" w:lineRule="exact"/>
              <w:jc w:val="center"/>
              <w:rPr>
                <w:color w:val="auto"/>
                <w:highlight w:val="none"/>
              </w:rPr>
            </w:pPr>
            <w:r>
              <w:rPr>
                <w:rFonts w:hint="eastAsia" w:hAnsi="宋体"/>
                <w:color w:val="auto"/>
                <w:highlight w:val="none"/>
              </w:rPr>
              <w:t>其他可以不予退还投标保证金的情形</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3BC9A432">
            <w:pPr>
              <w:spacing w:line="360" w:lineRule="exact"/>
              <w:ind w:left="40" w:leftChars="19" w:right="107" w:rightChars="51"/>
              <w:rPr>
                <w:rFonts w:hint="eastAsia"/>
                <w:color w:val="auto"/>
                <w:szCs w:val="21"/>
                <w:highlight w:val="none"/>
                <w:u w:val="single"/>
              </w:rPr>
            </w:pPr>
            <w:r>
              <w:rPr>
                <w:rFonts w:hint="eastAsia" w:hAnsi="宋体"/>
                <w:color w:val="auto"/>
                <w:szCs w:val="21"/>
                <w:highlight w:val="none"/>
                <w:u w:val="single"/>
              </w:rPr>
              <w:t>/</w:t>
            </w:r>
          </w:p>
        </w:tc>
      </w:tr>
      <w:tr w14:paraId="2E1A7C67">
        <w:tblPrEx>
          <w:tblCellMar>
            <w:top w:w="0" w:type="dxa"/>
            <w:left w:w="108" w:type="dxa"/>
            <w:bottom w:w="0" w:type="dxa"/>
            <w:right w:w="108" w:type="dxa"/>
          </w:tblCellMar>
        </w:tblPrEx>
        <w:trPr>
          <w:trHeight w:val="611"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715A6976">
            <w:pPr>
              <w:spacing w:line="360" w:lineRule="exact"/>
              <w:jc w:val="center"/>
              <w:rPr>
                <w:color w:val="auto"/>
                <w:highlight w:val="none"/>
              </w:rPr>
            </w:pPr>
            <w:r>
              <w:rPr>
                <w:color w:val="auto"/>
                <w:highlight w:val="none"/>
              </w:rPr>
              <w:t>3.6.1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2CEEEF12">
            <w:pPr>
              <w:spacing w:line="360" w:lineRule="exact"/>
              <w:jc w:val="center"/>
              <w:rPr>
                <w:color w:val="auto"/>
                <w:highlight w:val="none"/>
              </w:rPr>
            </w:pPr>
            <w:r>
              <w:rPr>
                <w:rFonts w:hint="eastAsia" w:hAnsi="宋体"/>
                <w:color w:val="auto"/>
                <w:highlight w:val="none"/>
              </w:rPr>
              <w:t>是否允许递交备选投标方案</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589F930D">
            <w:pPr>
              <w:pStyle w:val="13"/>
              <w:topLinePunct/>
              <w:spacing w:after="0" w:line="360" w:lineRule="exact"/>
              <w:ind w:left="40" w:leftChars="19" w:right="107" w:rightChars="51"/>
              <w:rPr>
                <w:rFonts w:hint="eastAsia" w:eastAsia="宋体"/>
                <w:color w:val="auto"/>
                <w:sz w:val="21"/>
                <w:szCs w:val="21"/>
                <w:highlight w:val="none"/>
              </w:rPr>
            </w:pPr>
            <w:r>
              <w:rPr>
                <w:rFonts w:hint="eastAsia" w:eastAsia="宋体"/>
                <w:color w:val="auto"/>
                <w:sz w:val="21"/>
                <w:szCs w:val="21"/>
                <w:highlight w:val="none"/>
              </w:rPr>
              <w:t>■</w:t>
            </w:r>
            <w:r>
              <w:rPr>
                <w:rFonts w:hint="eastAsia" w:hAnsi="宋体" w:eastAsia="宋体"/>
                <w:color w:val="auto"/>
                <w:sz w:val="21"/>
                <w:szCs w:val="21"/>
                <w:highlight w:val="none"/>
              </w:rPr>
              <w:t>不允许</w:t>
            </w:r>
          </w:p>
          <w:p w14:paraId="6C602FA6">
            <w:pPr>
              <w:spacing w:line="360" w:lineRule="exact"/>
              <w:ind w:left="40" w:leftChars="19" w:right="107" w:rightChars="51"/>
              <w:rPr>
                <w:color w:val="auto"/>
                <w:szCs w:val="21"/>
                <w:highlight w:val="none"/>
              </w:rPr>
            </w:pPr>
            <w:r>
              <w:rPr>
                <w:rFonts w:hint="eastAsia"/>
                <w:color w:val="auto"/>
                <w:szCs w:val="21"/>
                <w:highlight w:val="none"/>
              </w:rPr>
              <w:t>□</w:t>
            </w:r>
            <w:r>
              <w:rPr>
                <w:rFonts w:hint="eastAsia" w:hAnsi="宋体"/>
                <w:color w:val="auto"/>
                <w:szCs w:val="21"/>
                <w:highlight w:val="none"/>
              </w:rPr>
              <w:t>允许</w:t>
            </w:r>
          </w:p>
        </w:tc>
      </w:tr>
      <w:tr w14:paraId="2DCF68F0">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01362D8F">
            <w:pPr>
              <w:spacing w:line="360" w:lineRule="exact"/>
              <w:jc w:val="center"/>
              <w:rPr>
                <w:color w:val="auto"/>
                <w:highlight w:val="none"/>
              </w:rPr>
            </w:pPr>
            <w:r>
              <w:rPr>
                <w:color w:val="auto"/>
                <w:highlight w:val="none"/>
              </w:rPr>
              <w:t>3.7.3</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0DA4DFFA">
            <w:pPr>
              <w:spacing w:line="360" w:lineRule="exact"/>
              <w:jc w:val="center"/>
              <w:rPr>
                <w:color w:val="auto"/>
                <w:highlight w:val="none"/>
              </w:rPr>
            </w:pPr>
            <w:r>
              <w:rPr>
                <w:rFonts w:hint="eastAsia" w:hAnsi="宋体"/>
                <w:color w:val="auto"/>
                <w:highlight w:val="none"/>
              </w:rPr>
              <w:t>投标文件所附证书证件要求</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630AE815">
            <w:pPr>
              <w:pStyle w:val="13"/>
              <w:topLinePunct/>
              <w:spacing w:after="0" w:line="360" w:lineRule="exact"/>
              <w:ind w:left="40" w:leftChars="19" w:right="107" w:rightChars="51"/>
              <w:rPr>
                <w:rFonts w:eastAsia="宋体"/>
                <w:color w:val="auto"/>
                <w:sz w:val="21"/>
                <w:szCs w:val="21"/>
                <w:highlight w:val="none"/>
              </w:rPr>
            </w:pPr>
            <w:r>
              <w:rPr>
                <w:rFonts w:hint="eastAsia" w:hAnsi="宋体" w:eastAsia="宋体" w:cs="宋体"/>
                <w:color w:val="auto"/>
                <w:sz w:val="21"/>
                <w:szCs w:val="21"/>
                <w:highlight w:val="none"/>
                <w:u w:val="single"/>
              </w:rPr>
              <w:t>证书证件需为清晰扫描件，并采用单位数字证书，按照招标文件要求在相应位置加盖电子印章。</w:t>
            </w:r>
          </w:p>
        </w:tc>
      </w:tr>
      <w:tr w14:paraId="0B55268C">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0D23BD9A">
            <w:pPr>
              <w:spacing w:line="360" w:lineRule="exact"/>
              <w:jc w:val="center"/>
              <w:rPr>
                <w:color w:val="auto"/>
                <w:highlight w:val="none"/>
              </w:rPr>
            </w:pPr>
            <w:r>
              <w:rPr>
                <w:color w:val="auto"/>
                <w:highlight w:val="none"/>
              </w:rPr>
              <w:t>3.7.3</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4C68745D">
            <w:pPr>
              <w:spacing w:line="360" w:lineRule="exact"/>
              <w:jc w:val="center"/>
              <w:rPr>
                <w:color w:val="auto"/>
                <w:highlight w:val="none"/>
              </w:rPr>
            </w:pPr>
            <w:r>
              <w:rPr>
                <w:rFonts w:hint="eastAsia" w:hAnsi="宋体"/>
                <w:color w:val="auto"/>
                <w:highlight w:val="none"/>
              </w:rPr>
              <w:t>投标文件签字或盖章要求</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355D556E">
            <w:pPr>
              <w:pStyle w:val="13"/>
              <w:topLinePunct/>
              <w:spacing w:after="0" w:line="360" w:lineRule="exact"/>
              <w:ind w:left="40" w:leftChars="19" w:right="107" w:rightChars="51"/>
              <w:rPr>
                <w:rFonts w:eastAsia="宋体"/>
                <w:color w:val="auto"/>
                <w:sz w:val="21"/>
                <w:szCs w:val="21"/>
                <w:highlight w:val="none"/>
              </w:rPr>
            </w:pPr>
            <w:r>
              <w:rPr>
                <w:rFonts w:hint="eastAsia" w:hAnsi="宋体" w:eastAsia="宋体"/>
                <w:color w:val="auto"/>
                <w:sz w:val="21"/>
                <w:szCs w:val="21"/>
                <w:highlight w:val="none"/>
                <w:u w:val="single"/>
              </w:rPr>
              <w:t>投标文件全部采用电子文档，投标文件所附证书证件均为清晰扫描件，并采用单位数字证书，按招标文件要求加盖电子印章。投标文件中需个人签字或盖章的，应加盖个人电子印章或在线下完成后扫描上传。具体操作详见广州交易集团有限公司（广州公共资源交易中心）网站发布的《建设工程全流程电子化项目操作指南》。</w:t>
            </w:r>
          </w:p>
        </w:tc>
      </w:tr>
      <w:tr w14:paraId="6F59BF33">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0D9E50DA">
            <w:pPr>
              <w:spacing w:line="360" w:lineRule="exact"/>
              <w:jc w:val="center"/>
              <w:rPr>
                <w:color w:val="auto"/>
                <w:highlight w:val="none"/>
              </w:rPr>
            </w:pPr>
            <w:r>
              <w:rPr>
                <w:color w:val="auto"/>
                <w:highlight w:val="none"/>
              </w:rPr>
              <w:t>4.1.1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533483C6">
            <w:pPr>
              <w:spacing w:line="360" w:lineRule="exact"/>
              <w:jc w:val="center"/>
              <w:rPr>
                <w:color w:val="auto"/>
                <w:highlight w:val="none"/>
              </w:rPr>
            </w:pPr>
            <w:r>
              <w:rPr>
                <w:rFonts w:hint="eastAsia" w:hAnsi="宋体"/>
                <w:color w:val="auto"/>
                <w:highlight w:val="none"/>
              </w:rPr>
              <w:t>投标文件加密要求</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54357C10">
            <w:pPr>
              <w:pStyle w:val="13"/>
              <w:topLinePunct/>
              <w:spacing w:after="0" w:line="360" w:lineRule="exact"/>
              <w:ind w:left="40" w:leftChars="19" w:right="107" w:rightChars="51"/>
              <w:rPr>
                <w:rFonts w:hint="eastAsia" w:hAnsi="宋体" w:eastAsia="宋体"/>
                <w:color w:val="auto"/>
                <w:sz w:val="21"/>
                <w:szCs w:val="21"/>
                <w:highlight w:val="none"/>
                <w:u w:val="single"/>
              </w:rPr>
            </w:pPr>
            <w:r>
              <w:rPr>
                <w:rFonts w:hint="eastAsia" w:hAnsi="宋体" w:eastAsia="宋体"/>
                <w:color w:val="auto"/>
                <w:sz w:val="21"/>
                <w:szCs w:val="21"/>
                <w:highlight w:val="none"/>
                <w:u w:val="single"/>
              </w:rPr>
              <w:t>1.网上递交的电子投标文件须进行加密。具体操作详见广州交易集团有限公司（广州公共资源交易中心）网站发布的《建设工程全流程电子化项目操作指南》。</w:t>
            </w:r>
          </w:p>
          <w:p w14:paraId="4C430F0D">
            <w:pPr>
              <w:pStyle w:val="13"/>
              <w:topLinePunct/>
              <w:spacing w:after="0" w:line="360" w:lineRule="exact"/>
              <w:ind w:left="40" w:leftChars="19" w:right="107" w:rightChars="51"/>
              <w:rPr>
                <w:rFonts w:eastAsia="宋体"/>
                <w:color w:val="auto"/>
                <w:sz w:val="21"/>
                <w:szCs w:val="21"/>
                <w:highlight w:val="none"/>
                <w:u w:val="single"/>
              </w:rPr>
            </w:pPr>
            <w:r>
              <w:rPr>
                <w:rFonts w:hint="eastAsia" w:hAnsi="宋体" w:eastAsia="宋体"/>
                <w:color w:val="auto"/>
                <w:sz w:val="21"/>
                <w:szCs w:val="21"/>
                <w:highlight w:val="none"/>
                <w:u w:val="single"/>
              </w:rPr>
              <w:t>2.未按要求密封的投标文件，招标人将予以拒收。</w:t>
            </w:r>
          </w:p>
        </w:tc>
      </w:tr>
      <w:tr w14:paraId="3AEDEF7C">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31569453">
            <w:pPr>
              <w:spacing w:line="360" w:lineRule="exact"/>
              <w:jc w:val="center"/>
              <w:rPr>
                <w:color w:val="auto"/>
                <w:highlight w:val="none"/>
              </w:rPr>
            </w:pPr>
            <w:r>
              <w:rPr>
                <w:color w:val="auto"/>
                <w:highlight w:val="none"/>
              </w:rPr>
              <w:t>4.1.2</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3671EF32">
            <w:pPr>
              <w:spacing w:line="360" w:lineRule="exact"/>
              <w:jc w:val="center"/>
              <w:rPr>
                <w:color w:val="auto"/>
                <w:highlight w:val="none"/>
              </w:rPr>
            </w:pPr>
            <w:r>
              <w:rPr>
                <w:rFonts w:hint="eastAsia" w:hAnsi="宋体"/>
                <w:color w:val="auto"/>
                <w:highlight w:val="none"/>
              </w:rPr>
              <w:t>封套上应载明的信息</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71A9FB81">
            <w:pPr>
              <w:pStyle w:val="13"/>
              <w:topLinePunct/>
              <w:snapToGrid w:val="0"/>
              <w:ind w:right="174" w:rightChars="83"/>
              <w:rPr>
                <w:rFonts w:hint="eastAsia" w:eastAsia="宋体"/>
                <w:color w:val="auto"/>
                <w:sz w:val="21"/>
                <w:szCs w:val="21"/>
                <w:highlight w:val="none"/>
              </w:rPr>
            </w:pPr>
            <w:r>
              <w:rPr>
                <w:rFonts w:hint="eastAsia" w:hAnsi="宋体" w:eastAsia="宋体"/>
                <w:color w:val="auto"/>
                <w:sz w:val="21"/>
                <w:szCs w:val="21"/>
                <w:highlight w:val="none"/>
              </w:rPr>
              <w:t>如有提交投标文件光盘备用，封套上应注明如下信息：</w:t>
            </w:r>
          </w:p>
          <w:p w14:paraId="56FB8D1A">
            <w:pPr>
              <w:jc w:val="left"/>
              <w:rPr>
                <w:color w:val="auto"/>
                <w:szCs w:val="21"/>
                <w:highlight w:val="none"/>
                <w:u w:val="single"/>
              </w:rPr>
            </w:pPr>
            <w:r>
              <w:rPr>
                <w:rFonts w:hint="eastAsia" w:hAnsi="宋体"/>
                <w:color w:val="auto"/>
                <w:szCs w:val="21"/>
                <w:highlight w:val="none"/>
              </w:rPr>
              <w:t>招标人名称：</w:t>
            </w:r>
            <w:r>
              <w:rPr>
                <w:rFonts w:hint="eastAsia" w:ascii="宋体" w:hAnsi="宋体" w:cs="宋体"/>
                <w:color w:val="auto"/>
                <w:szCs w:val="21"/>
                <w:highlight w:val="none"/>
                <w:u w:val="single"/>
              </w:rPr>
              <w:t>广州南沙智汇农业科技有限公司</w:t>
            </w:r>
          </w:p>
          <w:p w14:paraId="516A3197">
            <w:pPr>
              <w:ind w:left="630" w:hanging="630" w:hangingChars="300"/>
              <w:jc w:val="left"/>
              <w:rPr>
                <w:rFonts w:hint="eastAsia" w:ascii="宋体" w:hAnsi="宋体" w:cs="仿宋_GB2312"/>
                <w:color w:val="auto"/>
                <w:szCs w:val="21"/>
                <w:highlight w:val="none"/>
              </w:rPr>
            </w:pPr>
            <w:r>
              <w:rPr>
                <w:rFonts w:hint="eastAsia" w:hAnsi="宋体"/>
                <w:color w:val="auto"/>
                <w:szCs w:val="21"/>
                <w:highlight w:val="none"/>
              </w:rPr>
              <w:t>招标人地址：</w:t>
            </w:r>
            <w:r>
              <w:rPr>
                <w:rFonts w:hint="eastAsia" w:ascii="宋体" w:hAnsi="宋体" w:cs="宋体"/>
                <w:color w:val="auto"/>
                <w:szCs w:val="21"/>
                <w:highlight w:val="none"/>
                <w:u w:val="single"/>
              </w:rPr>
              <w:t>广州市南沙区珠江街珠江北路162号</w:t>
            </w:r>
          </w:p>
          <w:p w14:paraId="5CB48920">
            <w:pPr>
              <w:pStyle w:val="13"/>
              <w:topLinePunct/>
              <w:snapToGrid w:val="0"/>
              <w:ind w:right="174" w:rightChars="83"/>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湾区农谷二期地铁保护动态监测和安全监控服务投标文件</w:t>
            </w:r>
          </w:p>
          <w:p w14:paraId="21221E29">
            <w:pPr>
              <w:pStyle w:val="13"/>
              <w:topLinePunct/>
              <w:snapToGrid w:val="0"/>
              <w:ind w:right="174" w:rightChars="83"/>
              <w:rPr>
                <w:rFonts w:eastAsia="宋体"/>
                <w:color w:val="auto"/>
                <w:sz w:val="21"/>
                <w:szCs w:val="21"/>
                <w:highlight w:val="none"/>
              </w:rPr>
            </w:pPr>
            <w:r>
              <w:rPr>
                <w:rFonts w:hint="eastAsia" w:hAnsi="宋体" w:eastAsia="宋体"/>
                <w:color w:val="auto"/>
                <w:sz w:val="21"/>
                <w:szCs w:val="21"/>
                <w:highlight w:val="none"/>
              </w:rPr>
              <w:t>招标项目编号：</w:t>
            </w:r>
            <w:r>
              <w:rPr>
                <w:rFonts w:hint="eastAsia" w:eastAsia="宋体"/>
                <w:color w:val="auto"/>
                <w:sz w:val="21"/>
                <w:szCs w:val="21"/>
                <w:highlight w:val="none"/>
              </w:rPr>
              <w:t xml:space="preserve">           </w:t>
            </w:r>
          </w:p>
          <w:p w14:paraId="0C156D0F">
            <w:pPr>
              <w:pStyle w:val="13"/>
              <w:topLinePunct/>
              <w:snapToGrid w:val="0"/>
              <w:ind w:right="174" w:rightChars="83"/>
              <w:rPr>
                <w:rFonts w:eastAsia="宋体"/>
                <w:color w:val="auto"/>
                <w:sz w:val="21"/>
                <w:szCs w:val="21"/>
                <w:highlight w:val="none"/>
              </w:rPr>
            </w:pPr>
            <w:r>
              <w:rPr>
                <w:rFonts w:hint="eastAsia" w:hAnsi="宋体" w:eastAsia="宋体"/>
                <w:color w:val="auto"/>
                <w:sz w:val="21"/>
                <w:szCs w:val="21"/>
                <w:highlight w:val="none"/>
              </w:rPr>
              <w:t>在</w:t>
            </w:r>
            <w:r>
              <w:rPr>
                <w:rFonts w:hint="eastAsia" w:eastAsia="宋体"/>
                <w:color w:val="auto"/>
                <w:sz w:val="21"/>
                <w:szCs w:val="21"/>
                <w:highlight w:val="none"/>
                <w:u w:val="single"/>
              </w:rPr>
              <w:t xml:space="preserve">     </w:t>
            </w:r>
            <w:r>
              <w:rPr>
                <w:rFonts w:hint="eastAsia" w:hAnsi="宋体" w:eastAsia="宋体"/>
                <w:color w:val="auto"/>
                <w:sz w:val="21"/>
                <w:szCs w:val="21"/>
                <w:highlight w:val="none"/>
              </w:rPr>
              <w:t>年</w:t>
            </w:r>
            <w:r>
              <w:rPr>
                <w:rFonts w:hint="eastAsia" w:eastAsia="宋体"/>
                <w:color w:val="auto"/>
                <w:sz w:val="21"/>
                <w:szCs w:val="21"/>
                <w:highlight w:val="none"/>
                <w:u w:val="single"/>
              </w:rPr>
              <w:t xml:space="preserve">   </w:t>
            </w:r>
            <w:r>
              <w:rPr>
                <w:rFonts w:hint="eastAsia" w:hAnsi="宋体" w:eastAsia="宋体"/>
                <w:color w:val="auto"/>
                <w:sz w:val="21"/>
                <w:szCs w:val="21"/>
                <w:highlight w:val="none"/>
              </w:rPr>
              <w:t>月</w:t>
            </w:r>
            <w:r>
              <w:rPr>
                <w:rFonts w:hint="eastAsia" w:eastAsia="宋体"/>
                <w:color w:val="auto"/>
                <w:sz w:val="21"/>
                <w:szCs w:val="21"/>
                <w:highlight w:val="none"/>
                <w:u w:val="single"/>
              </w:rPr>
              <w:t xml:space="preserve">    </w:t>
            </w:r>
            <w:r>
              <w:rPr>
                <w:rFonts w:hint="eastAsia" w:hAnsi="宋体" w:eastAsia="宋体"/>
                <w:color w:val="auto"/>
                <w:sz w:val="21"/>
                <w:szCs w:val="21"/>
                <w:highlight w:val="none"/>
              </w:rPr>
              <w:t>日</w:t>
            </w:r>
            <w:r>
              <w:rPr>
                <w:rFonts w:hint="eastAsia" w:eastAsia="宋体"/>
                <w:color w:val="auto"/>
                <w:sz w:val="21"/>
                <w:szCs w:val="21"/>
                <w:highlight w:val="none"/>
                <w:u w:val="single"/>
              </w:rPr>
              <w:t xml:space="preserve">     </w:t>
            </w:r>
            <w:r>
              <w:rPr>
                <w:rFonts w:hint="eastAsia" w:hAnsi="宋体" w:eastAsia="宋体"/>
                <w:color w:val="auto"/>
                <w:sz w:val="21"/>
                <w:szCs w:val="21"/>
                <w:highlight w:val="none"/>
              </w:rPr>
              <w:t>时前不得开启</w:t>
            </w:r>
          </w:p>
        </w:tc>
      </w:tr>
      <w:tr w14:paraId="74C437B5">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46A5DFC2">
            <w:pPr>
              <w:spacing w:line="360" w:lineRule="exact"/>
              <w:jc w:val="center"/>
              <w:rPr>
                <w:color w:val="auto"/>
                <w:highlight w:val="none"/>
              </w:rPr>
            </w:pPr>
            <w:r>
              <w:rPr>
                <w:color w:val="auto"/>
                <w:highlight w:val="none"/>
              </w:rPr>
              <w:t>4.2.1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29E4729B">
            <w:pPr>
              <w:spacing w:line="360" w:lineRule="exact"/>
              <w:jc w:val="center"/>
              <w:rPr>
                <w:color w:val="auto"/>
                <w:highlight w:val="none"/>
              </w:rPr>
            </w:pPr>
            <w:r>
              <w:rPr>
                <w:rFonts w:hint="eastAsia" w:hAnsi="宋体"/>
                <w:color w:val="auto"/>
                <w:highlight w:val="none"/>
              </w:rPr>
              <w:t>投标截止时间</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186C250F">
            <w:pPr>
              <w:spacing w:line="360" w:lineRule="exact"/>
              <w:ind w:left="40" w:leftChars="19" w:right="107" w:rightChars="51"/>
              <w:rPr>
                <w:rFonts w:hint="eastAsia"/>
                <w:color w:val="auto"/>
                <w:szCs w:val="21"/>
                <w:highlight w:val="none"/>
              </w:rPr>
            </w:pPr>
            <w:r>
              <w:rPr>
                <w:rFonts w:hint="eastAsia" w:hAnsi="宋体" w:cs="宋体"/>
                <w:color w:val="auto"/>
                <w:szCs w:val="21"/>
                <w:highlight w:val="none"/>
              </w:rPr>
              <w:t>投标截止时间：</w:t>
            </w:r>
            <w:r>
              <w:rPr>
                <w:rFonts w:hint="eastAsia" w:cs="宋体"/>
                <w:color w:val="auto"/>
                <w:szCs w:val="21"/>
                <w:highlight w:val="none"/>
                <w:u w:val="single"/>
              </w:rPr>
              <w:t xml:space="preserve"> </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cs="宋体"/>
                <w:color w:val="auto"/>
                <w:szCs w:val="21"/>
                <w:highlight w:val="none"/>
                <w:u w:val="single"/>
              </w:rPr>
              <w:t xml:space="preserve">    </w:t>
            </w:r>
            <w:r>
              <w:rPr>
                <w:rFonts w:hint="eastAsia" w:hAnsi="宋体" w:cs="宋体"/>
                <w:color w:val="auto"/>
                <w:szCs w:val="21"/>
                <w:highlight w:val="none"/>
              </w:rPr>
              <w:t>月</w:t>
            </w:r>
            <w:r>
              <w:rPr>
                <w:rFonts w:hint="eastAsia" w:cs="宋体"/>
                <w:color w:val="auto"/>
                <w:szCs w:val="21"/>
                <w:highlight w:val="none"/>
                <w:u w:val="single"/>
              </w:rPr>
              <w:t xml:space="preserve">    </w:t>
            </w:r>
            <w:r>
              <w:rPr>
                <w:rFonts w:hint="eastAsia" w:hAnsi="宋体" w:cs="宋体"/>
                <w:color w:val="auto"/>
                <w:szCs w:val="21"/>
                <w:highlight w:val="none"/>
              </w:rPr>
              <w:t>日</w:t>
            </w:r>
            <w:r>
              <w:rPr>
                <w:rFonts w:hint="eastAsia" w:cs="宋体"/>
                <w:color w:val="auto"/>
                <w:szCs w:val="21"/>
                <w:highlight w:val="none"/>
                <w:u w:val="single"/>
              </w:rPr>
              <w:t xml:space="preserve">     </w:t>
            </w:r>
            <w:r>
              <w:rPr>
                <w:rFonts w:hint="eastAsia" w:hAnsi="宋体" w:cs="宋体"/>
                <w:color w:val="auto"/>
                <w:szCs w:val="21"/>
                <w:highlight w:val="none"/>
              </w:rPr>
              <w:t>时</w:t>
            </w:r>
            <w:r>
              <w:rPr>
                <w:rFonts w:hint="eastAsia" w:cs="宋体"/>
                <w:color w:val="auto"/>
                <w:szCs w:val="21"/>
                <w:highlight w:val="none"/>
                <w:u w:val="single"/>
              </w:rPr>
              <w:t xml:space="preserve">    </w:t>
            </w:r>
            <w:r>
              <w:rPr>
                <w:rFonts w:hint="eastAsia" w:hAnsi="宋体" w:cs="宋体"/>
                <w:color w:val="auto"/>
                <w:szCs w:val="21"/>
                <w:highlight w:val="none"/>
              </w:rPr>
              <w:t>分（北京时间）</w:t>
            </w:r>
          </w:p>
        </w:tc>
      </w:tr>
      <w:tr w14:paraId="31EFF1DB">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591B8CA4">
            <w:pPr>
              <w:spacing w:line="360" w:lineRule="exact"/>
              <w:jc w:val="center"/>
              <w:rPr>
                <w:color w:val="auto"/>
                <w:highlight w:val="none"/>
              </w:rPr>
            </w:pPr>
            <w:r>
              <w:rPr>
                <w:rFonts w:hint="eastAsia"/>
                <w:color w:val="auto"/>
                <w:highlight w:val="none"/>
              </w:rPr>
              <w:t>4.2.2</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062FDBA8">
            <w:pPr>
              <w:snapToGrid w:val="0"/>
              <w:spacing w:line="360" w:lineRule="exact"/>
              <w:rPr>
                <w:rFonts w:hint="eastAsia" w:hAnsi="宋体"/>
                <w:color w:val="auto"/>
                <w:highlight w:val="none"/>
              </w:rPr>
            </w:pPr>
            <w:r>
              <w:rPr>
                <w:rFonts w:hint="eastAsia" w:ascii="宋体" w:hAnsi="宋体" w:cs="宋体"/>
                <w:color w:val="auto"/>
                <w:szCs w:val="21"/>
                <w:highlight w:val="none"/>
              </w:rPr>
              <w:t>递交电子投标文件交易平台</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59E9210A">
            <w:pPr>
              <w:snapToGrid w:val="0"/>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u w:val="single"/>
              </w:rPr>
              <w:t xml:space="preserve">1.递交方式：网上递交投标文件 </w:t>
            </w:r>
          </w:p>
          <w:p w14:paraId="64832698">
            <w:pPr>
              <w:snapToGrid w:val="0"/>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u w:val="single"/>
              </w:rPr>
              <w:t>2.递交投标文件的起始时间：（详见</w:t>
            </w:r>
            <w:r>
              <w:rPr>
                <w:rFonts w:hint="eastAsia" w:hAnsi="宋体"/>
                <w:color w:val="auto"/>
                <w:szCs w:val="21"/>
                <w:highlight w:val="none"/>
                <w:u w:val="single"/>
              </w:rPr>
              <w:t>广州交易集团有限公司（广州公共资源交易中心）</w:t>
            </w:r>
            <w:r>
              <w:rPr>
                <w:rFonts w:hint="eastAsia" w:ascii="宋体" w:hAnsi="宋体" w:cs="宋体"/>
                <w:color w:val="auto"/>
                <w:szCs w:val="21"/>
                <w:highlight w:val="none"/>
                <w:u w:val="single"/>
              </w:rPr>
              <w:t>网站信息）。</w:t>
            </w:r>
          </w:p>
          <w:p w14:paraId="7967296A">
            <w:pPr>
              <w:snapToGrid w:val="0"/>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u w:val="single"/>
              </w:rPr>
              <w:t>截止时间：（详见</w:t>
            </w:r>
            <w:r>
              <w:rPr>
                <w:rFonts w:hint="eastAsia" w:hAnsi="宋体"/>
                <w:color w:val="auto"/>
                <w:szCs w:val="21"/>
                <w:highlight w:val="none"/>
                <w:u w:val="single"/>
              </w:rPr>
              <w:t>广州交易集团有限公司（广州公共资源交易中心）</w:t>
            </w:r>
            <w:r>
              <w:rPr>
                <w:rFonts w:hint="eastAsia" w:ascii="宋体" w:hAnsi="宋体" w:cs="宋体"/>
                <w:color w:val="auto"/>
                <w:szCs w:val="21"/>
                <w:highlight w:val="none"/>
                <w:u w:val="single"/>
              </w:rPr>
              <w:t>网站信息）</w:t>
            </w:r>
          </w:p>
          <w:p w14:paraId="54FF1EC8">
            <w:pPr>
              <w:snapToGrid w:val="0"/>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u w:val="single"/>
              </w:rPr>
              <w:t>3.地点：</w:t>
            </w:r>
            <w:r>
              <w:rPr>
                <w:rFonts w:hint="eastAsia" w:hAnsi="宋体"/>
                <w:color w:val="auto"/>
                <w:szCs w:val="21"/>
                <w:highlight w:val="none"/>
                <w:u w:val="single"/>
              </w:rPr>
              <w:t>广州交易集团有限公司（广州公共资源交易中心）</w:t>
            </w:r>
            <w:r>
              <w:rPr>
                <w:rFonts w:hint="eastAsia" w:ascii="宋体" w:hAnsi="宋体" w:cs="宋体"/>
                <w:color w:val="auto"/>
                <w:szCs w:val="21"/>
                <w:highlight w:val="none"/>
                <w:u w:val="single"/>
              </w:rPr>
              <w:t xml:space="preserve">网站。 </w:t>
            </w:r>
          </w:p>
          <w:p w14:paraId="02E782BB">
            <w:pPr>
              <w:snapToGrid w:val="0"/>
              <w:spacing w:line="360" w:lineRule="exact"/>
              <w:rPr>
                <w:rFonts w:hint="eastAsia" w:hAnsi="宋体" w:cs="宋体"/>
                <w:color w:val="auto"/>
                <w:szCs w:val="21"/>
                <w:highlight w:val="none"/>
              </w:rPr>
            </w:pPr>
            <w:r>
              <w:rPr>
                <w:rFonts w:hint="eastAsia" w:ascii="宋体" w:hAnsi="宋体" w:cs="宋体"/>
                <w:color w:val="auto"/>
                <w:szCs w:val="21"/>
                <w:highlight w:val="none"/>
                <w:u w:val="single"/>
              </w:rPr>
              <w:t>4.上述时间及地点是否有改变，请密切留意招标答疑中的相关信息。也可登录</w:t>
            </w:r>
            <w:r>
              <w:rPr>
                <w:rFonts w:hint="eastAsia" w:hAnsi="宋体"/>
                <w:color w:val="auto"/>
                <w:szCs w:val="21"/>
                <w:highlight w:val="none"/>
                <w:u w:val="single"/>
              </w:rPr>
              <w:t>广州交易集团有限公司（广州公共资源交易中心）</w:t>
            </w:r>
            <w:r>
              <w:rPr>
                <w:rFonts w:hint="eastAsia" w:ascii="宋体" w:hAnsi="宋体" w:cs="宋体"/>
                <w:color w:val="auto"/>
                <w:szCs w:val="21"/>
                <w:highlight w:val="none"/>
                <w:u w:val="single"/>
              </w:rPr>
              <w:t>网站首页，点击“项目查询（日程安排、答疑纪要）”专栏中的“项目查询”，输入项目编号或项目名称查询最新信息。</w:t>
            </w:r>
          </w:p>
        </w:tc>
      </w:tr>
      <w:tr w14:paraId="4B1BAA10">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14:paraId="7B95B21E">
            <w:pPr>
              <w:spacing w:line="360" w:lineRule="exact"/>
              <w:jc w:val="center"/>
              <w:rPr>
                <w:color w:val="auto"/>
                <w:highlight w:val="none"/>
              </w:rPr>
            </w:pPr>
            <w:r>
              <w:rPr>
                <w:color w:val="auto"/>
                <w:highlight w:val="none"/>
              </w:rPr>
              <w:t>4.2.3</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09BE022E">
            <w:pPr>
              <w:spacing w:line="360" w:lineRule="exact"/>
              <w:jc w:val="center"/>
              <w:rPr>
                <w:color w:val="auto"/>
                <w:highlight w:val="none"/>
              </w:rPr>
            </w:pPr>
            <w:r>
              <w:rPr>
                <w:rFonts w:hint="eastAsia" w:hAnsi="宋体"/>
                <w:color w:val="auto"/>
                <w:highlight w:val="none"/>
              </w:rPr>
              <w:t>投标文件是否退还</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2221E9F7">
            <w:pPr>
              <w:pStyle w:val="13"/>
              <w:topLinePunct/>
              <w:spacing w:after="0" w:line="360" w:lineRule="exact"/>
              <w:ind w:left="40" w:leftChars="19" w:right="107" w:rightChars="51"/>
              <w:rPr>
                <w:rFonts w:hint="eastAsia" w:eastAsia="宋体"/>
                <w:color w:val="auto"/>
                <w:sz w:val="21"/>
                <w:szCs w:val="21"/>
                <w:highlight w:val="none"/>
              </w:rPr>
            </w:pPr>
            <w:r>
              <w:rPr>
                <w:rFonts w:hint="eastAsia" w:eastAsia="宋体"/>
                <w:color w:val="auto"/>
                <w:sz w:val="21"/>
                <w:szCs w:val="21"/>
                <w:highlight w:val="none"/>
              </w:rPr>
              <w:t>■</w:t>
            </w:r>
            <w:r>
              <w:rPr>
                <w:rFonts w:hint="eastAsia" w:hAnsi="宋体" w:eastAsia="宋体"/>
                <w:color w:val="auto"/>
                <w:sz w:val="21"/>
                <w:szCs w:val="21"/>
                <w:highlight w:val="none"/>
              </w:rPr>
              <w:t>否</w:t>
            </w:r>
          </w:p>
          <w:p w14:paraId="434CB9DD">
            <w:pPr>
              <w:pStyle w:val="13"/>
              <w:topLinePunct/>
              <w:spacing w:after="0" w:line="360" w:lineRule="exact"/>
              <w:ind w:left="40" w:leftChars="19" w:right="107" w:rightChars="51"/>
              <w:rPr>
                <w:rFonts w:eastAsia="宋体"/>
                <w:color w:val="auto"/>
                <w:sz w:val="21"/>
                <w:szCs w:val="21"/>
                <w:highlight w:val="none"/>
              </w:rPr>
            </w:pPr>
            <w:r>
              <w:rPr>
                <w:rFonts w:hint="eastAsia"/>
                <w:color w:val="auto"/>
                <w:szCs w:val="21"/>
                <w:highlight w:val="none"/>
              </w:rPr>
              <w:t>□</w:t>
            </w:r>
            <w:r>
              <w:rPr>
                <w:rFonts w:hint="eastAsia" w:hAnsi="宋体" w:eastAsia="宋体"/>
                <w:color w:val="auto"/>
                <w:sz w:val="21"/>
                <w:szCs w:val="21"/>
                <w:highlight w:val="none"/>
              </w:rPr>
              <w:t>是，退还时间：</w:t>
            </w:r>
          </w:p>
        </w:tc>
      </w:tr>
      <w:tr w14:paraId="2F7F2902">
        <w:tblPrEx>
          <w:tblCellMar>
            <w:top w:w="0" w:type="dxa"/>
            <w:left w:w="108" w:type="dxa"/>
            <w:bottom w:w="0" w:type="dxa"/>
            <w:right w:w="108" w:type="dxa"/>
          </w:tblCellMar>
        </w:tblPrEx>
        <w:trPr>
          <w:trHeight w:val="545" w:hRule="atLeast"/>
        </w:trPr>
        <w:tc>
          <w:tcPr>
            <w:tcW w:w="1165" w:type="dxa"/>
            <w:tcBorders>
              <w:top w:val="single" w:color="auto" w:sz="4" w:space="0"/>
              <w:left w:val="single" w:color="auto" w:sz="4" w:space="0"/>
              <w:bottom w:val="nil"/>
              <w:right w:val="single" w:color="auto" w:sz="4" w:space="0"/>
            </w:tcBorders>
            <w:noWrap w:val="0"/>
            <w:vAlign w:val="center"/>
          </w:tcPr>
          <w:p w14:paraId="7FD5BF58">
            <w:pPr>
              <w:spacing w:line="360" w:lineRule="exact"/>
              <w:jc w:val="center"/>
              <w:rPr>
                <w:color w:val="auto"/>
                <w:highlight w:val="none"/>
              </w:rPr>
            </w:pPr>
            <w:r>
              <w:rPr>
                <w:color w:val="auto"/>
                <w:highlight w:val="none"/>
              </w:rPr>
              <w:t>5.1</w:t>
            </w:r>
          </w:p>
          <w:p w14:paraId="7CFE5DCA">
            <w:pPr>
              <w:spacing w:line="360" w:lineRule="exact"/>
              <w:jc w:val="center"/>
              <w:rPr>
                <w:color w:val="auto"/>
                <w:highlight w:val="none"/>
              </w:rPr>
            </w:pPr>
            <w:r>
              <w:rPr>
                <w:rFonts w:hint="eastAsia" w:hAnsi="宋体"/>
                <w:color w:val="auto"/>
                <w:highlight w:val="none"/>
              </w:rPr>
              <w:t>（修改）</w:t>
            </w:r>
          </w:p>
        </w:tc>
        <w:tc>
          <w:tcPr>
            <w:tcW w:w="2345" w:type="dxa"/>
            <w:tcBorders>
              <w:top w:val="single" w:color="auto" w:sz="4" w:space="0"/>
              <w:left w:val="single" w:color="auto" w:sz="4" w:space="0"/>
              <w:bottom w:val="nil"/>
              <w:right w:val="single" w:color="auto" w:sz="4" w:space="0"/>
            </w:tcBorders>
            <w:noWrap w:val="0"/>
            <w:vAlign w:val="center"/>
          </w:tcPr>
          <w:p w14:paraId="43CCA152">
            <w:pPr>
              <w:spacing w:line="360" w:lineRule="exact"/>
              <w:jc w:val="center"/>
              <w:rPr>
                <w:color w:val="auto"/>
                <w:highlight w:val="none"/>
              </w:rPr>
            </w:pPr>
            <w:r>
              <w:rPr>
                <w:rFonts w:hint="eastAsia" w:hAnsi="宋体"/>
                <w:color w:val="auto"/>
                <w:highlight w:val="none"/>
              </w:rPr>
              <w:t>开标时间和地点</w:t>
            </w:r>
          </w:p>
        </w:tc>
        <w:tc>
          <w:tcPr>
            <w:tcW w:w="6096" w:type="dxa"/>
            <w:tcBorders>
              <w:top w:val="single" w:color="auto" w:sz="4" w:space="0"/>
              <w:left w:val="single" w:color="auto" w:sz="4" w:space="0"/>
              <w:bottom w:val="nil"/>
              <w:right w:val="single" w:color="auto" w:sz="4" w:space="0"/>
            </w:tcBorders>
            <w:noWrap w:val="0"/>
            <w:vAlign w:val="center"/>
          </w:tcPr>
          <w:p w14:paraId="6817944C">
            <w:pPr>
              <w:spacing w:line="360" w:lineRule="exact"/>
              <w:rPr>
                <w:rFonts w:hint="eastAsia" w:hAnsi="宋体"/>
                <w:color w:val="auto"/>
                <w:szCs w:val="21"/>
                <w:highlight w:val="none"/>
              </w:rPr>
            </w:pPr>
            <w:r>
              <w:rPr>
                <w:rFonts w:hint="eastAsia" w:hAnsi="宋体"/>
                <w:color w:val="auto"/>
                <w:szCs w:val="21"/>
                <w:highlight w:val="none"/>
              </w:rPr>
              <w:t>本电子招投标项目在本项目规定的投标截止时间（开标时间），在广州交易集团有限公司（广州公共资源交易中心）通过电子招标投标交易平台公开开标，并邀请所有投标人的法定代表人或其委托代理人准时参加。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14:paraId="69FCE9E6">
            <w:pPr>
              <w:spacing w:line="360" w:lineRule="exact"/>
              <w:rPr>
                <w:rFonts w:hint="eastAsia" w:cs="宋体"/>
                <w:color w:val="auto"/>
                <w:szCs w:val="21"/>
                <w:highlight w:val="none"/>
              </w:rPr>
            </w:pPr>
            <w:r>
              <w:rPr>
                <w:rFonts w:hint="eastAsia" w:hAnsi="宋体"/>
                <w:color w:val="auto"/>
                <w:szCs w:val="21"/>
                <w:highlight w:val="none"/>
              </w:rPr>
              <w:t>具体时间、地点可以到广州交易集团有限公司（广州公共资源交易中心）网站的项目查询(日程安排、答疑纪要)中输入本项目编号或项目名称进行查询。</w:t>
            </w:r>
          </w:p>
        </w:tc>
      </w:tr>
      <w:tr w14:paraId="684B269A">
        <w:tblPrEx>
          <w:tblCellMar>
            <w:top w:w="0" w:type="dxa"/>
            <w:left w:w="108" w:type="dxa"/>
            <w:bottom w:w="0" w:type="dxa"/>
            <w:right w:w="108" w:type="dxa"/>
          </w:tblCellMar>
        </w:tblPrEx>
        <w:trPr>
          <w:trHeight w:val="381" w:hRule="atLeast"/>
        </w:trPr>
        <w:tc>
          <w:tcPr>
            <w:tcW w:w="1165" w:type="dxa"/>
            <w:tcBorders>
              <w:top w:val="single" w:color="auto" w:sz="4" w:space="0"/>
              <w:left w:val="single" w:color="auto" w:sz="4" w:space="0"/>
              <w:bottom w:val="nil"/>
              <w:right w:val="single" w:color="auto" w:sz="4" w:space="0"/>
            </w:tcBorders>
            <w:noWrap w:val="0"/>
            <w:vAlign w:val="center"/>
          </w:tcPr>
          <w:p w14:paraId="3EE508A6">
            <w:pPr>
              <w:spacing w:line="360" w:lineRule="exact"/>
              <w:jc w:val="center"/>
              <w:rPr>
                <w:color w:val="auto"/>
                <w:highlight w:val="none"/>
              </w:rPr>
            </w:pPr>
            <w:r>
              <w:rPr>
                <w:color w:val="auto"/>
                <w:highlight w:val="none"/>
              </w:rPr>
              <w:t>5.</w:t>
            </w:r>
            <w:r>
              <w:rPr>
                <w:rFonts w:hint="eastAsia"/>
                <w:color w:val="auto"/>
                <w:highlight w:val="none"/>
              </w:rPr>
              <w:t>2</w:t>
            </w:r>
          </w:p>
          <w:p w14:paraId="15999F58">
            <w:pPr>
              <w:spacing w:line="360" w:lineRule="exact"/>
              <w:jc w:val="center"/>
              <w:rPr>
                <w:color w:val="auto"/>
                <w:highlight w:val="none"/>
              </w:rPr>
            </w:pPr>
            <w:r>
              <w:rPr>
                <w:rFonts w:hint="eastAsia" w:hAnsi="宋体"/>
                <w:color w:val="auto"/>
                <w:highlight w:val="none"/>
              </w:rPr>
              <w:t>（新增）</w:t>
            </w:r>
          </w:p>
        </w:tc>
        <w:tc>
          <w:tcPr>
            <w:tcW w:w="2345" w:type="dxa"/>
            <w:tcBorders>
              <w:top w:val="single" w:color="auto" w:sz="4" w:space="0"/>
              <w:left w:val="single" w:color="auto" w:sz="4" w:space="0"/>
              <w:bottom w:val="nil"/>
              <w:right w:val="single" w:color="auto" w:sz="4" w:space="0"/>
            </w:tcBorders>
            <w:noWrap w:val="0"/>
            <w:vAlign w:val="center"/>
          </w:tcPr>
          <w:p w14:paraId="42F71DCE">
            <w:pPr>
              <w:spacing w:line="360" w:lineRule="exact"/>
              <w:jc w:val="center"/>
              <w:rPr>
                <w:color w:val="auto"/>
                <w:highlight w:val="none"/>
              </w:rPr>
            </w:pPr>
            <w:r>
              <w:rPr>
                <w:rFonts w:hint="eastAsia" w:hAnsi="宋体"/>
                <w:color w:val="auto"/>
                <w:highlight w:val="none"/>
              </w:rPr>
              <w:t>开标程序</w:t>
            </w:r>
          </w:p>
        </w:tc>
        <w:tc>
          <w:tcPr>
            <w:tcW w:w="6096" w:type="dxa"/>
            <w:tcBorders>
              <w:top w:val="single" w:color="auto" w:sz="4" w:space="0"/>
              <w:left w:val="single" w:color="auto" w:sz="4" w:space="0"/>
              <w:bottom w:val="nil"/>
              <w:right w:val="single" w:color="auto" w:sz="4" w:space="0"/>
            </w:tcBorders>
            <w:noWrap w:val="0"/>
            <w:vAlign w:val="center"/>
          </w:tcPr>
          <w:p w14:paraId="5799F779">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电子招投标项目开标按下列程序进行：</w:t>
            </w:r>
          </w:p>
          <w:p w14:paraId="608DBB8F">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5.2.1主持人按下列程序进行开标：</w:t>
            </w:r>
          </w:p>
          <w:p w14:paraId="5797E9FC">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（1）宣布开标纪律；</w:t>
            </w:r>
          </w:p>
          <w:p w14:paraId="7241EE0D">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（2）公布在投标截止时间前递交投标文件的投标人名称；</w:t>
            </w:r>
          </w:p>
          <w:p w14:paraId="4055B204">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（3）宣布开标人、唱标人、记录人、监标人等有关人员姓名；</w:t>
            </w:r>
          </w:p>
          <w:p w14:paraId="03216FD9">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（4）投标人通过电子招标投标交易平台对已递交的电子投标文件进行解密，公布招标项目名称、投标人名称、</w:t>
            </w:r>
            <w:bookmarkStart w:id="7" w:name="OLE_LINK28"/>
            <w:r>
              <w:rPr>
                <w:rFonts w:hint="eastAsia" w:ascii="宋体" w:hAnsi="宋体" w:cs="宋体"/>
                <w:strike/>
                <w:color w:val="auto"/>
                <w:szCs w:val="21"/>
                <w:highlight w:val="none"/>
              </w:rPr>
              <w:t>投标保证金</w:t>
            </w:r>
            <w:bookmarkEnd w:id="7"/>
            <w:r>
              <w:rPr>
                <w:rFonts w:hint="eastAsia" w:ascii="宋体" w:hAnsi="宋体" w:cs="宋体"/>
                <w:strike/>
                <w:color w:val="auto"/>
                <w:szCs w:val="21"/>
                <w:highlight w:val="none"/>
              </w:rPr>
              <w:t>的递交情况</w:t>
            </w:r>
            <w:r>
              <w:rPr>
                <w:rFonts w:hint="eastAsia" w:ascii="宋体" w:hAnsi="宋体" w:cs="宋体"/>
                <w:color w:val="auto"/>
                <w:szCs w:val="21"/>
                <w:highlight w:val="none"/>
              </w:rPr>
              <w:t>、投标报价、监测服务期限及其他内容，并记录在案；</w:t>
            </w:r>
          </w:p>
          <w:p w14:paraId="40ABE9EA">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（5）投标人代表、招标人代表、监标人、记录人等有关人员在开标记录上签字确认；若有关人员不签字的，不影响开标程序；</w:t>
            </w:r>
          </w:p>
          <w:p w14:paraId="38AD3781">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（6）开标结束。</w:t>
            </w:r>
          </w:p>
          <w:p w14:paraId="215174D8">
            <w:pPr>
              <w:spacing w:line="360" w:lineRule="exact"/>
              <w:ind w:left="40" w:leftChars="19" w:right="107" w:rightChars="51"/>
              <w:rPr>
                <w:rFonts w:hint="eastAsia" w:ascii="宋体" w:hAnsi="宋体" w:cs="宋体"/>
                <w:color w:val="auto"/>
                <w:szCs w:val="21"/>
                <w:highlight w:val="none"/>
              </w:rPr>
            </w:pPr>
            <w:r>
              <w:rPr>
                <w:rFonts w:hint="eastAsia" w:ascii="宋体" w:hAnsi="宋体" w:cs="宋体"/>
                <w:color w:val="auto"/>
                <w:szCs w:val="21"/>
                <w:highlight w:val="none"/>
              </w:rPr>
              <w:t>5.2.2投标截止时间前未完成投标文件传输的或因投标人之外的原因造成投标文件未解密的，视为投标人其撤回投标文件。因投标人原因造成投标文件未解密的或未在投标截止时间后</w:t>
            </w:r>
            <w:r>
              <w:rPr>
                <w:rFonts w:hint="eastAsia" w:ascii="宋体" w:hAnsi="宋体" w:cs="宋体"/>
                <w:color w:val="auto"/>
                <w:szCs w:val="21"/>
                <w:highlight w:val="none"/>
                <w:u w:val="single"/>
              </w:rPr>
              <w:t>一小时内</w:t>
            </w:r>
            <w:r>
              <w:rPr>
                <w:rFonts w:hint="eastAsia" w:ascii="宋体" w:hAnsi="宋体" w:cs="宋体"/>
                <w:color w:val="auto"/>
                <w:szCs w:val="21"/>
                <w:highlight w:val="none"/>
              </w:rPr>
              <w:t>解密的，视为撤销其投标文件。</w:t>
            </w:r>
          </w:p>
          <w:p w14:paraId="2F76EAAA">
            <w:pPr>
              <w:spacing w:line="360" w:lineRule="exact"/>
              <w:ind w:left="40" w:leftChars="19" w:right="107" w:rightChars="51"/>
              <w:rPr>
                <w:color w:val="auto"/>
                <w:szCs w:val="21"/>
                <w:highlight w:val="none"/>
              </w:rPr>
            </w:pPr>
            <w:r>
              <w:rPr>
                <w:rFonts w:hint="eastAsia" w:ascii="宋体" w:hAnsi="宋体" w:cs="宋体"/>
                <w:color w:val="auto"/>
                <w:szCs w:val="21"/>
                <w:highlight w:val="none"/>
              </w:rPr>
              <w:t>5.2.3开标时，两个（含两个）以上的投标人加密打包投标文件电脑机器特征码一致的，不参与下一程序，并由评标委员会否决其投标。</w:t>
            </w:r>
          </w:p>
        </w:tc>
      </w:tr>
      <w:tr w14:paraId="1D03919B">
        <w:tblPrEx>
          <w:tblCellMar>
            <w:top w:w="0" w:type="dxa"/>
            <w:left w:w="108" w:type="dxa"/>
            <w:bottom w:w="0" w:type="dxa"/>
            <w:right w:w="108" w:type="dxa"/>
          </w:tblCellMar>
        </w:tblPrEx>
        <w:trPr>
          <w:trHeight w:val="596"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4CF55C86">
            <w:pPr>
              <w:spacing w:line="360" w:lineRule="exact"/>
              <w:jc w:val="center"/>
              <w:rPr>
                <w:rFonts w:hint="eastAsia"/>
                <w:color w:val="auto"/>
                <w:highlight w:val="none"/>
              </w:rPr>
            </w:pPr>
            <w:r>
              <w:rPr>
                <w:rFonts w:hint="eastAsia"/>
                <w:color w:val="auto"/>
                <w:highlight w:val="none"/>
              </w:rPr>
              <w:t>5.3</w:t>
            </w:r>
          </w:p>
          <w:p w14:paraId="5706F93B">
            <w:pPr>
              <w:spacing w:line="360" w:lineRule="exact"/>
              <w:jc w:val="center"/>
              <w:rPr>
                <w:color w:val="auto"/>
                <w:highlight w:val="none"/>
              </w:rPr>
            </w:pPr>
            <w:r>
              <w:rPr>
                <w:rFonts w:hint="eastAsia" w:hAnsi="宋体"/>
                <w:color w:val="auto"/>
                <w:highlight w:val="none"/>
              </w:rPr>
              <w:t>（新增）</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2A462A01">
            <w:pPr>
              <w:snapToGrid w:val="0"/>
              <w:jc w:val="center"/>
              <w:rPr>
                <w:rFonts w:hint="eastAsia" w:hAnsi="宋体"/>
                <w:color w:val="auto"/>
                <w:highlight w:val="none"/>
              </w:rPr>
            </w:pPr>
            <w:r>
              <w:rPr>
                <w:rFonts w:hint="eastAsia" w:ascii="宋体" w:hAnsi="宋体"/>
                <w:color w:val="auto"/>
                <w:szCs w:val="21"/>
                <w:highlight w:val="none"/>
              </w:rPr>
              <w:t>开标异议</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5497E9E5">
            <w:pPr>
              <w:rPr>
                <w:rFonts w:hint="eastAsia" w:hAnsi="宋体" w:cs="宋体"/>
                <w:color w:val="auto"/>
                <w:szCs w:val="21"/>
                <w:highlight w:val="none"/>
                <w:u w:val="single"/>
              </w:rPr>
            </w:pPr>
            <w:r>
              <w:rPr>
                <w:rFonts w:hint="eastAsia" w:ascii="宋体" w:hAnsi="宋体"/>
                <w:color w:val="auto"/>
                <w:szCs w:val="21"/>
                <w:highlight w:val="non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tc>
      </w:tr>
      <w:tr w14:paraId="499559D3">
        <w:tblPrEx>
          <w:tblCellMar>
            <w:top w:w="0" w:type="dxa"/>
            <w:left w:w="108" w:type="dxa"/>
            <w:bottom w:w="0" w:type="dxa"/>
            <w:right w:w="108" w:type="dxa"/>
          </w:tblCellMar>
        </w:tblPrEx>
        <w:trPr>
          <w:trHeight w:val="596"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57C0B240">
            <w:pPr>
              <w:spacing w:line="360" w:lineRule="exact"/>
              <w:jc w:val="center"/>
              <w:rPr>
                <w:color w:val="auto"/>
                <w:highlight w:val="none"/>
              </w:rPr>
            </w:pPr>
            <w:r>
              <w:rPr>
                <w:color w:val="auto"/>
                <w:highlight w:val="none"/>
              </w:rPr>
              <w:t>6.1.1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4A9A97DD">
            <w:pPr>
              <w:spacing w:line="360" w:lineRule="exact"/>
              <w:jc w:val="center"/>
              <w:rPr>
                <w:color w:val="auto"/>
                <w:highlight w:val="none"/>
              </w:rPr>
            </w:pPr>
            <w:r>
              <w:rPr>
                <w:rFonts w:hint="eastAsia" w:hAnsi="宋体"/>
                <w:color w:val="auto"/>
                <w:highlight w:val="none"/>
              </w:rPr>
              <w:t>评标委员会的组建</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7FA68D4D">
            <w:pPr>
              <w:spacing w:line="360" w:lineRule="exact"/>
              <w:ind w:left="40" w:leftChars="19" w:right="107" w:rightChars="51"/>
              <w:rPr>
                <w:color w:val="auto"/>
                <w:szCs w:val="21"/>
                <w:highlight w:val="none"/>
                <w:u w:val="single"/>
              </w:rPr>
            </w:pPr>
            <w:r>
              <w:rPr>
                <w:rFonts w:hint="eastAsia" w:hAnsi="宋体" w:cs="宋体"/>
                <w:color w:val="auto"/>
                <w:szCs w:val="21"/>
                <w:highlight w:val="none"/>
                <w:u w:val="single"/>
              </w:rPr>
              <w:t>由招标人依法组建。</w:t>
            </w:r>
          </w:p>
        </w:tc>
      </w:tr>
      <w:tr w14:paraId="46CB630E">
        <w:tblPrEx>
          <w:tblCellMar>
            <w:top w:w="0" w:type="dxa"/>
            <w:left w:w="108" w:type="dxa"/>
            <w:bottom w:w="0" w:type="dxa"/>
            <w:right w:w="108" w:type="dxa"/>
          </w:tblCellMar>
        </w:tblPrEx>
        <w:trPr>
          <w:trHeight w:val="552"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1B79BAFF">
            <w:pPr>
              <w:spacing w:line="360" w:lineRule="exact"/>
              <w:jc w:val="center"/>
              <w:rPr>
                <w:color w:val="auto"/>
                <w:highlight w:val="none"/>
              </w:rPr>
            </w:pPr>
            <w:r>
              <w:rPr>
                <w:color w:val="auto"/>
                <w:highlight w:val="none"/>
              </w:rPr>
              <w:t>6.3.2</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02DA067E">
            <w:pPr>
              <w:spacing w:line="360" w:lineRule="exact"/>
              <w:jc w:val="center"/>
              <w:rPr>
                <w:color w:val="auto"/>
                <w:highlight w:val="none"/>
              </w:rPr>
            </w:pPr>
            <w:r>
              <w:rPr>
                <w:rFonts w:hint="eastAsia" w:hAnsi="宋体"/>
                <w:color w:val="auto"/>
                <w:highlight w:val="none"/>
              </w:rPr>
              <w:t>评标委员会推荐中标候选人的人数</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14C226D4">
            <w:pPr>
              <w:spacing w:line="360" w:lineRule="exact"/>
              <w:ind w:left="40" w:leftChars="19" w:right="107" w:rightChars="51"/>
              <w:rPr>
                <w:color w:val="auto"/>
                <w:szCs w:val="21"/>
                <w:highlight w:val="none"/>
                <w:u w:val="single"/>
              </w:rPr>
            </w:pPr>
            <w:r>
              <w:rPr>
                <w:rFonts w:hint="eastAsia" w:ascii="宋体" w:hAnsi="宋体" w:cs="宋体"/>
                <w:color w:val="auto"/>
                <w:szCs w:val="21"/>
                <w:highlight w:val="none"/>
                <w:u w:val="single"/>
              </w:rPr>
              <w:t>推荐3名中标候选人</w:t>
            </w:r>
          </w:p>
        </w:tc>
      </w:tr>
      <w:tr w14:paraId="0C88F6FE">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1125C6F1">
            <w:pPr>
              <w:spacing w:line="360" w:lineRule="exact"/>
              <w:jc w:val="center"/>
              <w:rPr>
                <w:color w:val="auto"/>
                <w:highlight w:val="none"/>
              </w:rPr>
            </w:pPr>
            <w:r>
              <w:rPr>
                <w:color w:val="auto"/>
                <w:highlight w:val="none"/>
              </w:rPr>
              <w:t>7.1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5B3D9615">
            <w:pPr>
              <w:spacing w:line="360" w:lineRule="exact"/>
              <w:jc w:val="center"/>
              <w:rPr>
                <w:color w:val="auto"/>
                <w:highlight w:val="none"/>
              </w:rPr>
            </w:pPr>
            <w:r>
              <w:rPr>
                <w:rFonts w:hint="eastAsia" w:hAnsi="宋体"/>
                <w:color w:val="auto"/>
                <w:highlight w:val="none"/>
              </w:rPr>
              <w:t>中标候选人公示媒介及期限</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394EAEAA">
            <w:pPr>
              <w:spacing w:line="360" w:lineRule="exact"/>
              <w:ind w:left="40" w:leftChars="19" w:right="107" w:rightChars="51"/>
              <w:rPr>
                <w:color w:val="auto"/>
                <w:szCs w:val="21"/>
                <w:highlight w:val="none"/>
              </w:rPr>
            </w:pPr>
            <w:r>
              <w:rPr>
                <w:rFonts w:hint="eastAsia" w:hAnsi="宋体"/>
                <w:color w:val="auto"/>
                <w:szCs w:val="21"/>
                <w:highlight w:val="none"/>
              </w:rPr>
              <w:t>公示媒介：</w:t>
            </w:r>
            <w:r>
              <w:rPr>
                <w:rFonts w:hAnsi="宋体"/>
                <w:color w:val="auto"/>
                <w:szCs w:val="21"/>
                <w:highlight w:val="none"/>
                <w:u w:val="single"/>
              </w:rPr>
              <w:t>中国招标投标公共服务平台</w:t>
            </w:r>
            <w:r>
              <w:rPr>
                <w:rFonts w:hint="eastAsia" w:hAnsi="宋体"/>
                <w:color w:val="auto"/>
                <w:szCs w:val="21"/>
                <w:highlight w:val="none"/>
                <w:u w:val="single"/>
              </w:rPr>
              <w:t>、广东省招标投标监管网、广州公共资源交易网</w:t>
            </w:r>
          </w:p>
          <w:p w14:paraId="0EDF3604">
            <w:pPr>
              <w:spacing w:line="360" w:lineRule="exact"/>
              <w:ind w:left="40" w:leftChars="19" w:right="107" w:rightChars="51"/>
              <w:rPr>
                <w:color w:val="auto"/>
                <w:szCs w:val="21"/>
                <w:highlight w:val="none"/>
              </w:rPr>
            </w:pPr>
            <w:r>
              <w:rPr>
                <w:rFonts w:hint="eastAsia" w:hAnsi="宋体"/>
                <w:color w:val="auto"/>
                <w:szCs w:val="21"/>
                <w:highlight w:val="none"/>
              </w:rPr>
              <w:t>公示期限：</w:t>
            </w:r>
            <w:r>
              <w:rPr>
                <w:rFonts w:hint="eastAsia" w:ascii="宋体" w:hAnsi="宋体" w:cs="宋体"/>
                <w:color w:val="auto"/>
                <w:szCs w:val="21"/>
                <w:highlight w:val="none"/>
                <w:u w:val="single"/>
              </w:rPr>
              <w:t>3</w:t>
            </w:r>
            <w:r>
              <w:rPr>
                <w:rFonts w:hint="eastAsia" w:ascii="宋体" w:hAnsi="宋体" w:cs="宋体"/>
                <w:color w:val="auto"/>
                <w:szCs w:val="21"/>
                <w:highlight w:val="none"/>
              </w:rPr>
              <w:t>日</w:t>
            </w:r>
          </w:p>
        </w:tc>
      </w:tr>
      <w:tr w14:paraId="1B199FE8">
        <w:tblPrEx>
          <w:tblCellMar>
            <w:top w:w="0" w:type="dxa"/>
            <w:left w:w="108" w:type="dxa"/>
            <w:bottom w:w="0" w:type="dxa"/>
            <w:right w:w="108" w:type="dxa"/>
          </w:tblCellMar>
        </w:tblPrEx>
        <w:trPr>
          <w:trHeight w:val="732"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07A8BEF0">
            <w:pPr>
              <w:spacing w:line="360" w:lineRule="exact"/>
              <w:jc w:val="center"/>
              <w:rPr>
                <w:color w:val="auto"/>
                <w:highlight w:val="none"/>
              </w:rPr>
            </w:pPr>
            <w:r>
              <w:rPr>
                <w:color w:val="auto"/>
                <w:highlight w:val="none"/>
              </w:rPr>
              <w:t>7.4</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61C138A2">
            <w:pPr>
              <w:spacing w:line="360" w:lineRule="exact"/>
              <w:jc w:val="center"/>
              <w:rPr>
                <w:color w:val="auto"/>
                <w:highlight w:val="none"/>
              </w:rPr>
            </w:pPr>
            <w:r>
              <w:rPr>
                <w:rFonts w:hint="eastAsia" w:hAnsi="宋体"/>
                <w:color w:val="auto"/>
                <w:highlight w:val="none"/>
              </w:rPr>
              <w:t>是否授权评标委员会确定中标人</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54D8984C">
            <w:pPr>
              <w:spacing w:line="360" w:lineRule="exact"/>
              <w:ind w:left="40" w:leftChars="19" w:right="107" w:rightChars="51"/>
              <w:rPr>
                <w:color w:val="auto"/>
                <w:szCs w:val="21"/>
                <w:highlight w:val="none"/>
              </w:rPr>
            </w:pPr>
            <w:r>
              <w:rPr>
                <w:color w:val="auto"/>
                <w:szCs w:val="21"/>
                <w:highlight w:val="none"/>
              </w:rPr>
              <w:t>□</w:t>
            </w:r>
            <w:r>
              <w:rPr>
                <w:rFonts w:hint="eastAsia" w:hAnsi="宋体"/>
                <w:color w:val="auto"/>
                <w:szCs w:val="21"/>
                <w:highlight w:val="none"/>
              </w:rPr>
              <w:t>是</w:t>
            </w:r>
          </w:p>
          <w:p w14:paraId="05766A8C">
            <w:pPr>
              <w:spacing w:line="360" w:lineRule="exact"/>
              <w:ind w:left="40" w:leftChars="19" w:right="107" w:rightChars="51"/>
              <w:rPr>
                <w:color w:val="auto"/>
                <w:szCs w:val="21"/>
                <w:highlight w:val="none"/>
                <w:u w:val="single"/>
              </w:rPr>
            </w:pPr>
            <w:r>
              <w:rPr>
                <w:rFonts w:hint="eastAsia"/>
                <w:color w:val="auto"/>
                <w:szCs w:val="21"/>
                <w:highlight w:val="none"/>
              </w:rPr>
              <w:t>■</w:t>
            </w:r>
            <w:r>
              <w:rPr>
                <w:rFonts w:hint="eastAsia" w:hAnsi="宋体"/>
                <w:color w:val="auto"/>
                <w:szCs w:val="21"/>
                <w:highlight w:val="none"/>
              </w:rPr>
              <w:t>否</w:t>
            </w:r>
          </w:p>
        </w:tc>
      </w:tr>
      <w:tr w14:paraId="5E82D400">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58F6E46A">
            <w:pPr>
              <w:spacing w:line="360" w:lineRule="exact"/>
              <w:jc w:val="center"/>
              <w:rPr>
                <w:color w:val="auto"/>
                <w:highlight w:val="none"/>
              </w:rPr>
            </w:pPr>
            <w:r>
              <w:rPr>
                <w:color w:val="auto"/>
                <w:highlight w:val="none"/>
              </w:rPr>
              <w:t>7.6.1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47D27138">
            <w:pPr>
              <w:spacing w:line="360" w:lineRule="exact"/>
              <w:jc w:val="center"/>
              <w:rPr>
                <w:color w:val="auto"/>
                <w:highlight w:val="none"/>
              </w:rPr>
            </w:pPr>
            <w:r>
              <w:rPr>
                <w:rFonts w:hint="eastAsia" w:hAnsi="宋体"/>
                <w:color w:val="auto"/>
                <w:highlight w:val="none"/>
              </w:rPr>
              <w:t>履约保证金</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4B22D99C">
            <w:pPr>
              <w:pStyle w:val="13"/>
              <w:topLinePunct/>
              <w:spacing w:after="0" w:line="360" w:lineRule="exact"/>
              <w:ind w:left="40" w:leftChars="19" w:right="107" w:rightChars="51"/>
              <w:rPr>
                <w:rFonts w:eastAsia="宋体"/>
                <w:color w:val="auto"/>
                <w:sz w:val="21"/>
                <w:szCs w:val="21"/>
                <w:highlight w:val="none"/>
              </w:rPr>
            </w:pPr>
            <w:r>
              <w:rPr>
                <w:rFonts w:hint="eastAsia" w:hAnsi="宋体" w:eastAsia="宋体"/>
                <w:color w:val="auto"/>
                <w:sz w:val="21"/>
                <w:szCs w:val="21"/>
                <w:highlight w:val="none"/>
              </w:rPr>
              <w:t>是否要求中标人提交履约保证金：</w:t>
            </w:r>
          </w:p>
          <w:p w14:paraId="7E587F76">
            <w:pPr>
              <w:pStyle w:val="13"/>
              <w:topLinePunct/>
              <w:spacing w:after="0" w:line="360" w:lineRule="exact"/>
              <w:ind w:left="40" w:leftChars="19" w:right="107" w:rightChars="51"/>
              <w:rPr>
                <w:rFonts w:hint="eastAsia" w:hAnsi="宋体" w:eastAsia="宋体"/>
                <w:color w:val="auto"/>
                <w:sz w:val="21"/>
                <w:szCs w:val="21"/>
                <w:highlight w:val="none"/>
              </w:rPr>
            </w:pPr>
            <w:r>
              <w:rPr>
                <w:rFonts w:hint="eastAsia" w:eastAsia="宋体"/>
                <w:color w:val="auto"/>
                <w:sz w:val="21"/>
                <w:szCs w:val="21"/>
                <w:highlight w:val="none"/>
              </w:rPr>
              <w:t>■</w:t>
            </w:r>
            <w:r>
              <w:rPr>
                <w:rFonts w:hint="eastAsia" w:hAnsi="宋体" w:eastAsia="宋体"/>
                <w:color w:val="auto"/>
                <w:sz w:val="21"/>
                <w:szCs w:val="21"/>
                <w:highlight w:val="none"/>
              </w:rPr>
              <w:t>要求，履约保证金的形式：现金转账或银行保函。</w:t>
            </w:r>
          </w:p>
          <w:p w14:paraId="4805A29F">
            <w:pPr>
              <w:spacing w:line="360" w:lineRule="exact"/>
              <w:ind w:left="40" w:leftChars="19" w:right="107" w:rightChars="51"/>
              <w:rPr>
                <w:rFonts w:hint="eastAsia" w:ascii="宋体" w:hAnsi="宋体" w:cs="宋体"/>
                <w:color w:val="auto"/>
                <w:szCs w:val="21"/>
                <w:highlight w:val="none"/>
              </w:rPr>
            </w:pPr>
            <w:r>
              <w:rPr>
                <w:rFonts w:hint="eastAsia" w:hAnsi="宋体" w:eastAsia="宋体"/>
                <w:color w:val="auto"/>
                <w:sz w:val="21"/>
                <w:szCs w:val="21"/>
                <w:highlight w:val="none"/>
              </w:rPr>
              <w:t>履约保证金的金额：中标价的10%，可现金转账或由在中国注册的银行开具的保函，履约保函的有效期，是从合同开工日期起至合同工程竣工验收合格后28天止。履约保函到期后，如果合同约定的工作内容未完成，中标人必须无条件办理延期。</w:t>
            </w:r>
          </w:p>
          <w:p w14:paraId="4A39F82D">
            <w:pPr>
              <w:pStyle w:val="13"/>
              <w:topLinePunct/>
              <w:spacing w:after="0" w:line="360" w:lineRule="exact"/>
              <w:ind w:left="40" w:leftChars="19" w:right="107" w:rightChars="51"/>
              <w:rPr>
                <w:rFonts w:eastAsia="宋体"/>
                <w:color w:val="auto"/>
                <w:sz w:val="21"/>
                <w:szCs w:val="21"/>
                <w:highlight w:val="none"/>
              </w:rPr>
            </w:pPr>
            <w:r>
              <w:rPr>
                <w:rFonts w:hint="eastAsia" w:eastAsia="宋体"/>
                <w:color w:val="auto"/>
                <w:sz w:val="21"/>
                <w:szCs w:val="21"/>
                <w:highlight w:val="none"/>
              </w:rPr>
              <w:sym w:font="Wingdings 2" w:char="00A3"/>
            </w:r>
            <w:r>
              <w:rPr>
                <w:rFonts w:hint="eastAsia" w:hAnsi="宋体" w:eastAsia="宋体"/>
                <w:color w:val="auto"/>
                <w:sz w:val="21"/>
                <w:szCs w:val="21"/>
                <w:highlight w:val="none"/>
              </w:rPr>
              <w:t>不要求</w:t>
            </w:r>
          </w:p>
        </w:tc>
      </w:tr>
      <w:tr w14:paraId="7126B776">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5F809E5B">
            <w:pPr>
              <w:spacing w:line="360" w:lineRule="exact"/>
              <w:jc w:val="center"/>
              <w:rPr>
                <w:color w:val="auto"/>
                <w:highlight w:val="none"/>
              </w:rPr>
            </w:pPr>
            <w:r>
              <w:rPr>
                <w:color w:val="auto"/>
                <w:highlight w:val="none"/>
              </w:rPr>
              <w:t>9</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40C5543B">
            <w:pPr>
              <w:spacing w:line="360" w:lineRule="exact"/>
              <w:jc w:val="center"/>
              <w:rPr>
                <w:color w:val="auto"/>
                <w:highlight w:val="none"/>
              </w:rPr>
            </w:pPr>
            <w:r>
              <w:rPr>
                <w:rFonts w:hint="eastAsia" w:hAnsi="宋体"/>
                <w:color w:val="auto"/>
                <w:highlight w:val="none"/>
              </w:rPr>
              <w:t>是否采用电子招标投标</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56F6234F">
            <w:pPr>
              <w:spacing w:line="276" w:lineRule="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否</w:t>
            </w:r>
          </w:p>
          <w:p w14:paraId="34EA935F">
            <w:pPr>
              <w:spacing w:line="276" w:lineRule="auto"/>
              <w:ind w:left="2099" w:leftChars="3" w:hanging="2093" w:hangingChars="997"/>
              <w:rPr>
                <w:rFonts w:hint="eastAsia" w:ascii="宋体" w:hAnsi="宋体"/>
                <w:color w:val="auto"/>
                <w:szCs w:val="21"/>
                <w:highlight w:val="none"/>
              </w:rPr>
            </w:pPr>
            <w:r>
              <w:rPr>
                <w:rFonts w:hint="eastAsia" w:ascii="宋体" w:hAnsi="宋体"/>
                <w:color w:val="auto"/>
                <w:szCs w:val="21"/>
                <w:highlight w:val="none"/>
              </w:rPr>
              <w:t>■是，具体要求：</w:t>
            </w:r>
          </w:p>
          <w:p w14:paraId="3FE647B1">
            <w:pPr>
              <w:spacing w:line="276" w:lineRule="auto"/>
              <w:rPr>
                <w:rFonts w:hint="eastAsia" w:ascii="宋体" w:hAnsi="宋体"/>
                <w:color w:val="auto"/>
                <w:szCs w:val="21"/>
                <w:highlight w:val="none"/>
              </w:rPr>
            </w:pPr>
            <w:r>
              <w:rPr>
                <w:rFonts w:hint="eastAsia" w:ascii="宋体" w:hAnsi="宋体"/>
                <w:color w:val="auto"/>
                <w:szCs w:val="21"/>
                <w:highlight w:val="none"/>
              </w:rPr>
              <w:t>1、具体操作详见</w:t>
            </w:r>
            <w:r>
              <w:rPr>
                <w:rFonts w:hint="eastAsia" w:ascii="宋体" w:hAnsi="宋体" w:cs="宋体"/>
                <w:color w:val="auto"/>
                <w:szCs w:val="21"/>
                <w:highlight w:val="none"/>
              </w:rPr>
              <w:t>广州交易集团有限公司（广州公共资源交易中心）</w:t>
            </w:r>
            <w:r>
              <w:rPr>
                <w:rFonts w:hint="eastAsia" w:ascii="宋体" w:hAnsi="宋体" w:cs="宋体"/>
                <w:color w:val="auto"/>
                <w:sz w:val="22"/>
                <w:highlight w:val="none"/>
              </w:rPr>
              <w:t>交易平台发布的</w:t>
            </w:r>
            <w:r>
              <w:rPr>
                <w:rFonts w:hint="eastAsia" w:ascii="宋体" w:hAnsi="宋体"/>
                <w:color w:val="auto"/>
                <w:szCs w:val="21"/>
                <w:highlight w:val="none"/>
              </w:rPr>
              <w:t>《建设工程全流程电子化项目操作指南》。</w:t>
            </w:r>
          </w:p>
          <w:p w14:paraId="5A4CCC64">
            <w:pPr>
              <w:spacing w:line="276" w:lineRule="auto"/>
              <w:rPr>
                <w:rFonts w:hint="eastAsia" w:ascii="宋体" w:hAnsi="宋体"/>
                <w:color w:val="auto"/>
                <w:szCs w:val="21"/>
                <w:highlight w:val="none"/>
              </w:rPr>
            </w:pPr>
            <w:r>
              <w:rPr>
                <w:rFonts w:hint="eastAsia" w:ascii="宋体" w:hAnsi="宋体"/>
                <w:color w:val="auto"/>
                <w:szCs w:val="21"/>
                <w:highlight w:val="none"/>
              </w:rPr>
              <w:t>2、提交投标文件光盘备用</w:t>
            </w:r>
          </w:p>
          <w:p w14:paraId="27505E27">
            <w:pPr>
              <w:spacing w:line="276" w:lineRule="auto"/>
              <w:rPr>
                <w:rFonts w:hint="eastAsia" w:ascii="宋体" w:hAnsi="宋体" w:cs="仿宋_GB2312"/>
                <w:color w:val="auto"/>
                <w:kern w:val="0"/>
                <w:szCs w:val="20"/>
                <w:highlight w:val="none"/>
              </w:rPr>
            </w:pPr>
            <w:r>
              <w:rPr>
                <w:rFonts w:hint="eastAsia" w:ascii="宋体" w:hAnsi="宋体" w:cs="仿宋_GB2312"/>
                <w:color w:val="auto"/>
                <w:kern w:val="0"/>
                <w:szCs w:val="20"/>
                <w:highlight w:val="none"/>
              </w:rPr>
              <w:t>（1）投标人可制作非加密的电子投标文件（</w:t>
            </w:r>
            <w:r>
              <w:rPr>
                <w:rFonts w:ascii="宋体" w:hAnsi="宋体" w:cs="仿宋_GB2312"/>
                <w:color w:val="auto"/>
                <w:kern w:val="0"/>
                <w:szCs w:val="20"/>
                <w:highlight w:val="none"/>
              </w:rPr>
              <w:t>PDF</w:t>
            </w:r>
            <w:r>
              <w:rPr>
                <w:rFonts w:hint="eastAsia" w:ascii="宋体" w:hAnsi="宋体" w:cs="仿宋_GB2312"/>
                <w:color w:val="auto"/>
                <w:kern w:val="0"/>
                <w:szCs w:val="20"/>
                <w:highlight w:val="none"/>
              </w:rPr>
              <w:t>格式）刻入光盘（</w:t>
            </w:r>
            <w:r>
              <w:rPr>
                <w:rFonts w:ascii="宋体" w:hAnsi="宋体" w:cs="仿宋_GB2312"/>
                <w:color w:val="auto"/>
                <w:kern w:val="0"/>
                <w:szCs w:val="20"/>
                <w:highlight w:val="none"/>
              </w:rPr>
              <w:t>1</w:t>
            </w:r>
            <w:r>
              <w:rPr>
                <w:rFonts w:hint="eastAsia" w:ascii="宋体" w:hAnsi="宋体" w:cs="仿宋_GB2312"/>
                <w:color w:val="auto"/>
                <w:kern w:val="0"/>
                <w:szCs w:val="20"/>
                <w:highlight w:val="none"/>
              </w:rPr>
              <w:t>份），在规定的时间、地点提交备用。</w:t>
            </w:r>
            <w:r>
              <w:rPr>
                <w:rFonts w:ascii="宋体" w:hAnsi="宋体" w:cs="仿宋_GB2312"/>
                <w:color w:val="auto"/>
                <w:kern w:val="0"/>
                <w:szCs w:val="20"/>
                <w:highlight w:val="none"/>
              </w:rPr>
              <w:t>(</w:t>
            </w:r>
            <w:r>
              <w:rPr>
                <w:rFonts w:hint="eastAsia" w:ascii="宋体" w:hAnsi="宋体" w:cs="仿宋_GB2312"/>
                <w:color w:val="auto"/>
                <w:kern w:val="0"/>
                <w:szCs w:val="20"/>
                <w:highlight w:val="none"/>
              </w:rPr>
              <w:t>刻录好的投标文件光盘密封在密封袋中，并在封口处加盖投标人单位公章。密封袋上应写明项目名称和招标人名称。)</w:t>
            </w:r>
          </w:p>
          <w:p w14:paraId="20A00F21">
            <w:pPr>
              <w:spacing w:line="276" w:lineRule="auto"/>
              <w:rPr>
                <w:rFonts w:ascii="宋体" w:hAnsi="宋体" w:cs="仿宋_GB2312"/>
                <w:color w:val="auto"/>
                <w:kern w:val="0"/>
                <w:szCs w:val="20"/>
                <w:highlight w:val="none"/>
              </w:rPr>
            </w:pPr>
            <w:r>
              <w:rPr>
                <w:rFonts w:hint="eastAsia" w:ascii="宋体" w:hAnsi="宋体" w:cs="仿宋_GB2312"/>
                <w:color w:val="auto"/>
                <w:kern w:val="0"/>
                <w:szCs w:val="20"/>
                <w:highlight w:val="none"/>
              </w:rPr>
              <w:t>（2）递交的投标文件光盘(备用)不得加密。光盘（备用投标文件）无法读取或导入的，则视为未提交投标文件光盘(备用)。如果投标人没有按规定通过交易平台网上递交电子投标文件的，不再读取提交的光盘。投标人也可不提交投标文件光盘(备用)。</w:t>
            </w:r>
          </w:p>
          <w:p w14:paraId="5038EB7B">
            <w:pPr>
              <w:spacing w:line="276" w:lineRule="auto"/>
              <w:rPr>
                <w:rFonts w:hint="eastAsia" w:ascii="宋体" w:hAnsi="宋体"/>
                <w:color w:val="auto"/>
                <w:szCs w:val="21"/>
                <w:highlight w:val="none"/>
              </w:rPr>
            </w:pPr>
            <w:r>
              <w:rPr>
                <w:rFonts w:hint="eastAsia" w:ascii="宋体" w:hAnsi="宋体"/>
                <w:color w:val="auto"/>
                <w:szCs w:val="21"/>
                <w:highlight w:val="none"/>
              </w:rPr>
              <w:t>3、补救方案</w:t>
            </w:r>
          </w:p>
          <w:p w14:paraId="08DB2307">
            <w:pPr>
              <w:spacing w:line="276" w:lineRule="auto"/>
              <w:rPr>
                <w:rFonts w:hint="eastAsia" w:ascii="宋体" w:hAnsi="宋体"/>
                <w:color w:val="auto"/>
                <w:szCs w:val="21"/>
                <w:highlight w:val="none"/>
              </w:rPr>
            </w:pPr>
            <w:r>
              <w:rPr>
                <w:rFonts w:hint="eastAsia" w:ascii="宋体" w:hAnsi="宋体"/>
                <w:color w:val="auto"/>
                <w:szCs w:val="21"/>
                <w:highlight w:val="none"/>
              </w:rPr>
              <w:t>（1）投标文件解密失败的补救方案：</w:t>
            </w:r>
          </w:p>
          <w:p w14:paraId="5283E953">
            <w:pPr>
              <w:spacing w:line="276" w:lineRule="auto"/>
              <w:rPr>
                <w:rFonts w:hint="eastAsia" w:ascii="宋体" w:hAnsi="宋体"/>
                <w:color w:val="auto"/>
                <w:szCs w:val="21"/>
                <w:highlight w:val="none"/>
              </w:rPr>
            </w:pPr>
            <w:r>
              <w:rPr>
                <w:rFonts w:hint="eastAsia" w:ascii="宋体" w:hAnsi="宋体"/>
                <w:color w:val="auto"/>
                <w:szCs w:val="21"/>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2DBF8367">
            <w:pPr>
              <w:spacing w:line="276" w:lineRule="auto"/>
              <w:rPr>
                <w:rFonts w:hint="eastAsia" w:ascii="宋体" w:hAnsi="宋体"/>
                <w:color w:val="auto"/>
                <w:szCs w:val="21"/>
                <w:highlight w:val="none"/>
              </w:rPr>
            </w:pPr>
            <w:r>
              <w:rPr>
                <w:rFonts w:hint="eastAsia" w:ascii="宋体" w:hAnsi="宋体"/>
                <w:color w:val="auto"/>
                <w:szCs w:val="21"/>
                <w:highlight w:val="none"/>
              </w:rPr>
              <w:t>（2）评标时突发情况的补救方案</w:t>
            </w:r>
          </w:p>
          <w:p w14:paraId="23FF9647">
            <w:pPr>
              <w:spacing w:line="276" w:lineRule="auto"/>
              <w:rPr>
                <w:rFonts w:hint="eastAsia" w:ascii="宋体" w:hAnsi="宋体"/>
                <w:color w:val="auto"/>
                <w:szCs w:val="21"/>
                <w:highlight w:val="none"/>
              </w:rPr>
            </w:pPr>
            <w:r>
              <w:rPr>
                <w:rFonts w:hint="eastAsia" w:ascii="宋体" w:hAnsi="宋体"/>
                <w:color w:val="auto"/>
                <w:szCs w:val="21"/>
                <w:highlight w:val="none"/>
              </w:rPr>
              <w:t>若遇不可抗力发生（如：网络瘫痪、服务器损坏、交易系统故障短期无法恢复等因素），由评标委员会开启现场递交的全部投标文件光盘，并按光盘内容进行评审。</w:t>
            </w:r>
          </w:p>
          <w:p w14:paraId="0CB9BCFE">
            <w:pPr>
              <w:spacing w:line="360" w:lineRule="exact"/>
              <w:ind w:right="107" w:rightChars="51"/>
              <w:rPr>
                <w:color w:val="auto"/>
                <w:szCs w:val="21"/>
                <w:highlight w:val="none"/>
              </w:rPr>
            </w:pPr>
            <w:r>
              <w:rPr>
                <w:rFonts w:hint="eastAsia" w:ascii="宋体" w:hAnsi="宋体"/>
                <w:color w:val="auto"/>
                <w:szCs w:val="21"/>
                <w:highlight w:val="none"/>
              </w:rPr>
              <w:t>（3）除发生上述情况外，开标评标均以投标人通过交易平台网上递交的电子投标文件为准。</w:t>
            </w:r>
          </w:p>
        </w:tc>
      </w:tr>
      <w:tr w14:paraId="542E703F">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1E89D903">
            <w:pPr>
              <w:spacing w:line="360" w:lineRule="exact"/>
              <w:jc w:val="center"/>
              <w:rPr>
                <w:color w:val="auto"/>
                <w:highlight w:val="none"/>
                <w:u w:val="single"/>
              </w:rPr>
            </w:pPr>
            <w:r>
              <w:rPr>
                <w:color w:val="auto"/>
                <w:highlight w:val="none"/>
                <w:u w:val="single"/>
              </w:rPr>
              <w:t>10</w:t>
            </w:r>
            <w:r>
              <w:rPr>
                <w:rFonts w:hint="eastAsia"/>
                <w:color w:val="auto"/>
                <w:highlight w:val="none"/>
                <w:u w:val="single"/>
              </w:rPr>
              <w:t>.1</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30FD78C6">
            <w:pPr>
              <w:spacing w:line="360" w:lineRule="exact"/>
              <w:jc w:val="center"/>
              <w:rPr>
                <w:color w:val="auto"/>
                <w:highlight w:val="none"/>
                <w:u w:val="single"/>
              </w:rPr>
            </w:pPr>
            <w:r>
              <w:rPr>
                <w:rFonts w:hint="eastAsia" w:hAnsi="宋体"/>
                <w:color w:val="auto"/>
                <w:highlight w:val="none"/>
                <w:u w:val="single"/>
              </w:rPr>
              <w:t>特别提示</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5B3E393E">
            <w:pPr>
              <w:spacing w:line="360" w:lineRule="exact"/>
              <w:ind w:left="40" w:leftChars="19" w:right="107" w:rightChars="51" w:firstLine="298" w:firstLineChars="142"/>
              <w:rPr>
                <w:rFonts w:hint="eastAsia" w:cs="宋体"/>
                <w:color w:val="auto"/>
                <w:szCs w:val="21"/>
                <w:highlight w:val="none"/>
                <w:u w:val="single"/>
              </w:rPr>
            </w:pPr>
            <w:r>
              <w:rPr>
                <w:rFonts w:hint="eastAsia" w:hAnsi="宋体" w:cs="宋体"/>
                <w:color w:val="auto"/>
                <w:szCs w:val="21"/>
                <w:highlight w:val="none"/>
                <w:u w:val="single"/>
              </w:rPr>
              <w:t>投标人在本项目招标人的工程项目中存在下列行为的，将被拒绝一年内参与我单位后续工程投标。（注：拒绝投标时限由招标人视严重程度确定，自招标人发出通知之日起计）：</w:t>
            </w:r>
          </w:p>
          <w:p w14:paraId="4D397A77">
            <w:pPr>
              <w:spacing w:line="360" w:lineRule="exact"/>
              <w:ind w:left="40" w:leftChars="19" w:right="107" w:rightChars="51" w:firstLine="298" w:firstLineChars="142"/>
              <w:rPr>
                <w:rFonts w:hint="eastAsia" w:cs="宋体"/>
                <w:color w:val="auto"/>
                <w:szCs w:val="21"/>
                <w:highlight w:val="none"/>
                <w:u w:val="single"/>
              </w:rPr>
            </w:pPr>
            <w:r>
              <w:rPr>
                <w:rFonts w:hint="eastAsia" w:hAnsi="宋体" w:cs="宋体"/>
                <w:color w:val="auto"/>
                <w:szCs w:val="21"/>
                <w:highlight w:val="none"/>
                <w:u w:val="single"/>
              </w:rPr>
              <w:t>（</w:t>
            </w:r>
            <w:r>
              <w:rPr>
                <w:rFonts w:hint="eastAsia" w:cs="宋体"/>
                <w:color w:val="auto"/>
                <w:szCs w:val="21"/>
                <w:highlight w:val="none"/>
                <w:u w:val="single"/>
              </w:rPr>
              <w:t>1</w:t>
            </w:r>
            <w:r>
              <w:rPr>
                <w:rFonts w:hint="eastAsia" w:hAnsi="宋体" w:cs="宋体"/>
                <w:color w:val="auto"/>
                <w:szCs w:val="21"/>
                <w:highlight w:val="none"/>
                <w:u w:val="single"/>
              </w:rPr>
              <w:t>）将中标工程转包或者违法分包的；</w:t>
            </w:r>
          </w:p>
          <w:p w14:paraId="09159644">
            <w:pPr>
              <w:spacing w:line="360" w:lineRule="exact"/>
              <w:ind w:left="40" w:leftChars="19" w:right="107" w:rightChars="51" w:firstLine="298" w:firstLineChars="142"/>
              <w:rPr>
                <w:rFonts w:hint="eastAsia" w:cs="宋体"/>
                <w:color w:val="auto"/>
                <w:szCs w:val="21"/>
                <w:highlight w:val="none"/>
                <w:u w:val="single"/>
              </w:rPr>
            </w:pPr>
            <w:r>
              <w:rPr>
                <w:rFonts w:hint="eastAsia" w:hAnsi="宋体" w:cs="宋体"/>
                <w:color w:val="auto"/>
                <w:szCs w:val="21"/>
                <w:highlight w:val="none"/>
                <w:u w:val="single"/>
              </w:rPr>
              <w:t>（</w:t>
            </w:r>
            <w:r>
              <w:rPr>
                <w:rFonts w:hint="eastAsia" w:cs="宋体"/>
                <w:color w:val="auto"/>
                <w:szCs w:val="21"/>
                <w:highlight w:val="none"/>
                <w:u w:val="single"/>
              </w:rPr>
              <w:t>2</w:t>
            </w:r>
            <w:r>
              <w:rPr>
                <w:rFonts w:hint="eastAsia" w:hAnsi="宋体" w:cs="宋体"/>
                <w:color w:val="auto"/>
                <w:szCs w:val="21"/>
                <w:highlight w:val="none"/>
                <w:u w:val="single"/>
              </w:rPr>
              <w:t>）在中标工程中不执行质量、安全生产相关规定的，造成质量或安全事故的；</w:t>
            </w:r>
          </w:p>
          <w:p w14:paraId="1073964A">
            <w:pPr>
              <w:spacing w:line="360" w:lineRule="exact"/>
              <w:ind w:left="40" w:leftChars="19" w:right="107" w:rightChars="51" w:firstLine="298" w:firstLineChars="142"/>
              <w:rPr>
                <w:rFonts w:hint="eastAsia" w:cs="宋体"/>
                <w:color w:val="auto"/>
                <w:szCs w:val="21"/>
                <w:highlight w:val="none"/>
                <w:u w:val="single"/>
              </w:rPr>
            </w:pPr>
            <w:r>
              <w:rPr>
                <w:rFonts w:hint="eastAsia" w:hAnsi="宋体" w:cs="宋体"/>
                <w:color w:val="auto"/>
                <w:szCs w:val="21"/>
                <w:highlight w:val="none"/>
                <w:u w:val="single"/>
              </w:rPr>
              <w:t>（</w:t>
            </w:r>
            <w:r>
              <w:rPr>
                <w:rFonts w:hint="eastAsia" w:cs="宋体"/>
                <w:color w:val="auto"/>
                <w:szCs w:val="21"/>
                <w:highlight w:val="none"/>
                <w:u w:val="single"/>
              </w:rPr>
              <w:t>3</w:t>
            </w:r>
            <w:r>
              <w:rPr>
                <w:rFonts w:hint="eastAsia" w:hAnsi="宋体" w:cs="宋体"/>
                <w:color w:val="auto"/>
                <w:szCs w:val="21"/>
                <w:highlight w:val="none"/>
                <w:u w:val="single"/>
              </w:rPr>
              <w:t>）存在围标或串标情形的；</w:t>
            </w:r>
          </w:p>
          <w:p w14:paraId="05C03B3D">
            <w:pPr>
              <w:spacing w:line="360" w:lineRule="exact"/>
              <w:ind w:left="40" w:leftChars="19" w:right="107" w:rightChars="51" w:firstLine="298" w:firstLineChars="142"/>
              <w:rPr>
                <w:rFonts w:hint="eastAsia" w:cs="宋体"/>
                <w:color w:val="auto"/>
                <w:szCs w:val="21"/>
                <w:highlight w:val="none"/>
                <w:u w:val="single"/>
              </w:rPr>
            </w:pPr>
            <w:r>
              <w:rPr>
                <w:rFonts w:hint="eastAsia" w:hAnsi="宋体" w:cs="宋体"/>
                <w:color w:val="auto"/>
                <w:szCs w:val="21"/>
                <w:highlight w:val="none"/>
                <w:u w:val="single"/>
              </w:rPr>
              <w:t>（</w:t>
            </w:r>
            <w:r>
              <w:rPr>
                <w:rFonts w:hint="eastAsia" w:cs="宋体"/>
                <w:color w:val="auto"/>
                <w:szCs w:val="21"/>
                <w:highlight w:val="none"/>
                <w:u w:val="single"/>
              </w:rPr>
              <w:t>4</w:t>
            </w:r>
            <w:r>
              <w:rPr>
                <w:rFonts w:hint="eastAsia" w:hAnsi="宋体" w:cs="宋体"/>
                <w:color w:val="auto"/>
                <w:szCs w:val="21"/>
                <w:highlight w:val="none"/>
                <w:u w:val="single"/>
              </w:rPr>
              <w:t>）存在弄虚作假骗取中标情形的；</w:t>
            </w:r>
            <w:r>
              <w:rPr>
                <w:rFonts w:hint="eastAsia" w:cs="宋体"/>
                <w:color w:val="auto"/>
                <w:szCs w:val="21"/>
                <w:highlight w:val="none"/>
                <w:u w:val="single"/>
              </w:rPr>
              <w:t xml:space="preserve"> </w:t>
            </w:r>
          </w:p>
          <w:p w14:paraId="2E3EDA18">
            <w:pPr>
              <w:spacing w:line="360" w:lineRule="exact"/>
              <w:ind w:left="40" w:leftChars="19" w:right="107" w:rightChars="51" w:firstLine="298" w:firstLineChars="142"/>
              <w:rPr>
                <w:rFonts w:hint="eastAsia" w:hAnsi="宋体" w:cs="宋体"/>
                <w:color w:val="auto"/>
                <w:szCs w:val="21"/>
                <w:highlight w:val="none"/>
                <w:u w:val="single"/>
              </w:rPr>
            </w:pPr>
            <w:r>
              <w:rPr>
                <w:rFonts w:hint="eastAsia" w:hAnsi="宋体" w:cs="宋体"/>
                <w:color w:val="auto"/>
                <w:szCs w:val="21"/>
                <w:highlight w:val="none"/>
                <w:u w:val="single"/>
              </w:rPr>
              <w:t>（</w:t>
            </w:r>
            <w:r>
              <w:rPr>
                <w:rFonts w:hint="eastAsia" w:cs="宋体"/>
                <w:color w:val="auto"/>
                <w:szCs w:val="21"/>
                <w:highlight w:val="none"/>
                <w:u w:val="single"/>
              </w:rPr>
              <w:t>5</w:t>
            </w:r>
            <w:r>
              <w:rPr>
                <w:rFonts w:hint="eastAsia" w:hAnsi="宋体" w:cs="宋体"/>
                <w:color w:val="auto"/>
                <w:szCs w:val="21"/>
                <w:highlight w:val="none"/>
                <w:u w:val="single"/>
              </w:rPr>
              <w:t>）为招标人提供监测服务过程中存在因过错行为被生效法律文书认定承担违约或侵权责任的；</w:t>
            </w:r>
          </w:p>
        </w:tc>
      </w:tr>
      <w:tr w14:paraId="69CCB3B6">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28EEAA75">
            <w:pPr>
              <w:spacing w:line="360" w:lineRule="exact"/>
              <w:jc w:val="center"/>
              <w:rPr>
                <w:color w:val="auto"/>
                <w:highlight w:val="none"/>
                <w:u w:val="single"/>
              </w:rPr>
            </w:pPr>
            <w:r>
              <w:rPr>
                <w:rFonts w:hint="eastAsia"/>
                <w:color w:val="auto"/>
                <w:highlight w:val="none"/>
                <w:u w:val="single"/>
              </w:rPr>
              <w:t>10.2</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751273F8">
            <w:pPr>
              <w:snapToGrid w:val="0"/>
              <w:spacing w:line="360" w:lineRule="exact"/>
              <w:ind w:firstLine="315" w:firstLineChars="150"/>
              <w:jc w:val="center"/>
              <w:rPr>
                <w:color w:val="auto"/>
                <w:highlight w:val="none"/>
                <w:u w:val="single"/>
              </w:rPr>
            </w:pPr>
            <w:r>
              <w:rPr>
                <w:rFonts w:hint="eastAsia" w:hAnsi="宋体"/>
                <w:color w:val="auto"/>
                <w:highlight w:val="none"/>
                <w:u w:val="single"/>
              </w:rPr>
              <w:t>送达</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4532D908">
            <w:pPr>
              <w:snapToGrid w:val="0"/>
              <w:spacing w:line="360" w:lineRule="exact"/>
              <w:ind w:left="40" w:leftChars="19" w:right="107" w:rightChars="51"/>
              <w:rPr>
                <w:color w:val="auto"/>
                <w:szCs w:val="21"/>
                <w:highlight w:val="none"/>
                <w:u w:val="single"/>
              </w:rPr>
            </w:pPr>
            <w:r>
              <w:rPr>
                <w:rFonts w:hint="eastAsia" w:hAnsi="宋体" w:cs="宋体"/>
                <w:color w:val="auto"/>
                <w:szCs w:val="21"/>
                <w:highlight w:val="none"/>
                <w:u w:val="single"/>
              </w:rPr>
              <w:t>/。</w:t>
            </w:r>
          </w:p>
        </w:tc>
      </w:tr>
      <w:tr w14:paraId="3F9BB7BF">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48AC2207">
            <w:pPr>
              <w:spacing w:line="360" w:lineRule="exact"/>
              <w:jc w:val="center"/>
              <w:rPr>
                <w:color w:val="auto"/>
                <w:highlight w:val="none"/>
                <w:u w:val="single"/>
              </w:rPr>
            </w:pPr>
            <w:r>
              <w:rPr>
                <w:rFonts w:hint="eastAsia"/>
                <w:color w:val="auto"/>
                <w:highlight w:val="none"/>
                <w:u w:val="single"/>
              </w:rPr>
              <w:t>10.3</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53C5F31D">
            <w:pPr>
              <w:shd w:val="clear" w:color="auto" w:fill="FFFFFF"/>
              <w:adjustRightInd w:val="0"/>
              <w:spacing w:line="360" w:lineRule="exact"/>
              <w:jc w:val="center"/>
              <w:rPr>
                <w:color w:val="auto"/>
                <w:highlight w:val="none"/>
                <w:u w:val="single"/>
              </w:rPr>
            </w:pPr>
            <w:r>
              <w:rPr>
                <w:rFonts w:hint="eastAsia" w:hAnsi="宋体"/>
                <w:color w:val="auto"/>
                <w:highlight w:val="none"/>
                <w:u w:val="single"/>
              </w:rPr>
              <w:t>招标失败的情形</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79745FAE">
            <w:pPr>
              <w:widowControl/>
              <w:spacing w:line="360" w:lineRule="exact"/>
              <w:ind w:right="107" w:rightChars="51"/>
              <w:jc w:val="left"/>
              <w:rPr>
                <w:rFonts w:cs="宋体"/>
                <w:color w:val="auto"/>
                <w:szCs w:val="21"/>
                <w:highlight w:val="none"/>
                <w:u w:val="single"/>
              </w:rPr>
            </w:pPr>
            <w:r>
              <w:rPr>
                <w:rFonts w:hint="eastAsia" w:hAnsi="宋体" w:cs="宋体"/>
                <w:color w:val="auto"/>
                <w:szCs w:val="21"/>
                <w:highlight w:val="none"/>
                <w:u w:val="single"/>
              </w:rPr>
              <w:t>本项目采用资格后审方式，各标段满足资格审查合格条件或通过初步评审的投标申请人不</w:t>
            </w:r>
            <w:r>
              <w:rPr>
                <w:rFonts w:hint="eastAsia" w:ascii="宋体" w:hAnsi="宋体" w:cs="宋体"/>
                <w:color w:val="auto"/>
                <w:szCs w:val="21"/>
                <w:highlight w:val="none"/>
                <w:u w:val="single"/>
              </w:rPr>
              <w:t>足3名</w:t>
            </w:r>
            <w:r>
              <w:rPr>
                <w:rFonts w:hint="eastAsia" w:hAnsi="宋体" w:cs="宋体"/>
                <w:color w:val="auto"/>
                <w:szCs w:val="21"/>
                <w:highlight w:val="none"/>
                <w:u w:val="single"/>
              </w:rPr>
              <w:t>时为招标失败。</w:t>
            </w:r>
          </w:p>
        </w:tc>
      </w:tr>
      <w:tr w14:paraId="2671547D">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601FF4BC">
            <w:pPr>
              <w:snapToGrid w:val="0"/>
              <w:spacing w:line="360" w:lineRule="exact"/>
              <w:jc w:val="center"/>
              <w:rPr>
                <w:color w:val="auto"/>
                <w:highlight w:val="none"/>
                <w:u w:val="single"/>
              </w:rPr>
            </w:pPr>
            <w:r>
              <w:rPr>
                <w:color w:val="auto"/>
                <w:szCs w:val="21"/>
                <w:highlight w:val="none"/>
                <w:u w:val="single"/>
              </w:rPr>
              <w:t>10.4</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575F991A">
            <w:pPr>
              <w:spacing w:line="360" w:lineRule="exact"/>
              <w:jc w:val="center"/>
              <w:rPr>
                <w:color w:val="auto"/>
                <w:highlight w:val="none"/>
                <w:u w:val="single"/>
              </w:rPr>
            </w:pPr>
            <w:r>
              <w:rPr>
                <w:rFonts w:hAnsi="宋体"/>
                <w:color w:val="auto"/>
                <w:szCs w:val="21"/>
                <w:highlight w:val="none"/>
                <w:u w:val="single"/>
              </w:rPr>
              <w:t>第一中标候选人放弃中标资格情形</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305F0372">
            <w:pPr>
              <w:widowControl/>
              <w:shd w:val="clear" w:color="auto" w:fill="FFFFFF"/>
              <w:spacing w:line="360" w:lineRule="exact"/>
              <w:ind w:firstLine="420" w:firstLineChars="200"/>
              <w:rPr>
                <w:color w:val="auto"/>
                <w:szCs w:val="21"/>
                <w:highlight w:val="none"/>
                <w:u w:val="single"/>
              </w:rPr>
            </w:pPr>
            <w:r>
              <w:rPr>
                <w:rFonts w:hint="eastAsia" w:ascii="宋体" w:hAnsi="宋体" w:cs="宋体"/>
                <w:color w:val="auto"/>
                <w:szCs w:val="21"/>
                <w:highlight w:val="none"/>
                <w:u w:val="single"/>
              </w:rPr>
              <w:t>排名第一的中标候选人放弃中标、因不可抗力不能履行合同、不按照招标文件要求提交履约保证金，或者被查实存在影响中标结果的违法行为等情形，不符合中标条件的，招标人可以按照招标文件第三章第3.4.1款确定的推荐中标候选人原则依次确定其他中标候选人为中标人，也可以重新招标。</w:t>
            </w:r>
          </w:p>
        </w:tc>
      </w:tr>
      <w:tr w14:paraId="25E6CC13">
        <w:tblPrEx>
          <w:tblCellMar>
            <w:top w:w="0" w:type="dxa"/>
            <w:left w:w="108" w:type="dxa"/>
            <w:bottom w:w="0" w:type="dxa"/>
            <w:right w:w="108" w:type="dxa"/>
          </w:tblCellMar>
        </w:tblPrEx>
        <w:trPr>
          <w:trHeight w:val="363"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277A9BBA">
            <w:pPr>
              <w:spacing w:line="360" w:lineRule="exact"/>
              <w:jc w:val="center"/>
              <w:rPr>
                <w:rFonts w:hint="eastAsia"/>
                <w:color w:val="auto"/>
                <w:highlight w:val="none"/>
                <w:u w:val="single"/>
              </w:rPr>
            </w:pPr>
            <w:r>
              <w:rPr>
                <w:rFonts w:hint="eastAsia"/>
                <w:color w:val="auto"/>
                <w:highlight w:val="none"/>
                <w:u w:val="single"/>
              </w:rPr>
              <w:t>10.5</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4E76BCD0">
            <w:pPr>
              <w:spacing w:line="360" w:lineRule="exact"/>
              <w:ind w:right="174" w:rightChars="83"/>
              <w:jc w:val="center"/>
              <w:rPr>
                <w:rFonts w:hint="eastAsia"/>
                <w:color w:val="auto"/>
                <w:szCs w:val="21"/>
                <w:highlight w:val="none"/>
                <w:u w:val="single"/>
              </w:rPr>
            </w:pPr>
            <w:r>
              <w:rPr>
                <w:rFonts w:hAnsi="宋体"/>
                <w:color w:val="auto"/>
                <w:szCs w:val="21"/>
                <w:highlight w:val="none"/>
                <w:u w:val="single"/>
              </w:rPr>
              <w:t>中标候选人公示要求</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5EBBA5B5">
            <w:pPr>
              <w:spacing w:line="360" w:lineRule="exact"/>
              <w:ind w:right="174" w:rightChars="83"/>
              <w:rPr>
                <w:rFonts w:hint="eastAsia"/>
                <w:color w:val="auto"/>
                <w:highlight w:val="none"/>
                <w:u w:val="single"/>
              </w:rPr>
            </w:pPr>
            <w:r>
              <w:rPr>
                <w:rFonts w:hAnsi="宋体"/>
                <w:color w:val="auto"/>
                <w:szCs w:val="21"/>
                <w:highlight w:val="none"/>
                <w:u w:val="single"/>
              </w:rPr>
              <w:t>在产生中标候选人后，招标人将中标候选人的投标文件商务部分的电子版（</w:t>
            </w:r>
            <w:r>
              <w:rPr>
                <w:rFonts w:hint="eastAsia" w:hAnsi="宋体"/>
                <w:color w:val="auto"/>
                <w:szCs w:val="21"/>
                <w:highlight w:val="none"/>
                <w:u w:val="single"/>
              </w:rPr>
              <w:t>报价清单、</w:t>
            </w:r>
            <w:r>
              <w:rPr>
                <w:rFonts w:hAnsi="宋体"/>
                <w:color w:val="auto"/>
                <w:szCs w:val="21"/>
                <w:highlight w:val="none"/>
                <w:u w:val="single"/>
              </w:rPr>
              <w:t>方案等涉及商业秘密的内容除外）在</w:t>
            </w:r>
            <w:r>
              <w:rPr>
                <w:rFonts w:hint="eastAsia" w:ascii="宋体" w:hAnsi="宋体" w:cs="宋体"/>
                <w:color w:val="auto"/>
                <w:szCs w:val="21"/>
                <w:highlight w:val="none"/>
              </w:rPr>
              <w:t>广州交易集团有限公司（广州公共资源交易中心）</w:t>
            </w:r>
            <w:r>
              <w:rPr>
                <w:rFonts w:hAnsi="宋体"/>
                <w:color w:val="auto"/>
                <w:szCs w:val="21"/>
                <w:highlight w:val="none"/>
                <w:u w:val="single"/>
              </w:rPr>
              <w:t>网站公开。</w:t>
            </w:r>
          </w:p>
        </w:tc>
      </w:tr>
      <w:tr w14:paraId="11B02761">
        <w:tblPrEx>
          <w:tblCellMar>
            <w:top w:w="0" w:type="dxa"/>
            <w:left w:w="108" w:type="dxa"/>
            <w:bottom w:w="0" w:type="dxa"/>
            <w:right w:w="108" w:type="dxa"/>
          </w:tblCellMar>
        </w:tblPrEx>
        <w:trPr>
          <w:trHeight w:val="363"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5AC16DAB">
            <w:pPr>
              <w:spacing w:line="360" w:lineRule="exact"/>
              <w:jc w:val="center"/>
              <w:rPr>
                <w:rFonts w:hint="eastAsia"/>
                <w:color w:val="auto"/>
                <w:szCs w:val="21"/>
                <w:highlight w:val="none"/>
                <w:u w:val="single"/>
              </w:rPr>
            </w:pPr>
            <w:r>
              <w:rPr>
                <w:rFonts w:hint="eastAsia"/>
                <w:color w:val="auto"/>
                <w:szCs w:val="21"/>
                <w:highlight w:val="none"/>
                <w:u w:val="single"/>
              </w:rPr>
              <w:t>10.6</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7EA5C73E">
            <w:pPr>
              <w:spacing w:line="360" w:lineRule="exact"/>
              <w:ind w:right="174" w:rightChars="83"/>
              <w:jc w:val="center"/>
              <w:rPr>
                <w:color w:val="auto"/>
                <w:szCs w:val="21"/>
                <w:highlight w:val="none"/>
                <w:u w:val="single"/>
              </w:rPr>
            </w:pPr>
            <w:r>
              <w:rPr>
                <w:rFonts w:hint="eastAsia" w:hAnsi="宋体"/>
                <w:color w:val="auto"/>
                <w:szCs w:val="21"/>
                <w:highlight w:val="none"/>
                <w:u w:val="single"/>
              </w:rPr>
              <w:t>否决投标条款</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35836282">
            <w:pPr>
              <w:spacing w:line="360" w:lineRule="exact"/>
              <w:ind w:left="317" w:leftChars="17" w:hanging="281" w:hangingChars="134"/>
              <w:rPr>
                <w:color w:val="auto"/>
                <w:highlight w:val="none"/>
                <w:u w:val="single"/>
              </w:rPr>
            </w:pPr>
            <w:r>
              <w:rPr>
                <w:rFonts w:hint="eastAsia" w:hAnsi="宋体"/>
                <w:color w:val="auto"/>
                <w:highlight w:val="none"/>
                <w:u w:val="single"/>
              </w:rPr>
              <w:t>否决投标条款：</w:t>
            </w:r>
          </w:p>
          <w:p w14:paraId="04B7801F">
            <w:pPr>
              <w:spacing w:line="360" w:lineRule="exact"/>
              <w:ind w:left="317" w:leftChars="17" w:hanging="281" w:hangingChars="134"/>
              <w:rPr>
                <w:rFonts w:hint="eastAsia" w:hAnsi="宋体"/>
                <w:color w:val="auto"/>
                <w:highlight w:val="none"/>
                <w:u w:val="single"/>
              </w:rPr>
            </w:pPr>
            <w:r>
              <w:rPr>
                <w:rFonts w:hint="eastAsia" w:hAnsi="宋体"/>
                <w:color w:val="auto"/>
                <w:highlight w:val="none"/>
                <w:u w:val="single"/>
              </w:rPr>
              <w:t>投标文件符合列于《评标办法前附表》</w:t>
            </w:r>
            <w:r>
              <w:rPr>
                <w:rFonts w:hint="eastAsia"/>
                <w:color w:val="auto"/>
                <w:highlight w:val="none"/>
                <w:u w:val="single"/>
              </w:rPr>
              <w:t>“</w:t>
            </w:r>
            <w:r>
              <w:rPr>
                <w:rFonts w:hint="eastAsia" w:hAnsi="宋体"/>
                <w:color w:val="auto"/>
                <w:highlight w:val="none"/>
                <w:u w:val="single"/>
              </w:rPr>
              <w:t>形式评审标准</w:t>
            </w:r>
            <w:r>
              <w:rPr>
                <w:rFonts w:hint="eastAsia"/>
                <w:color w:val="auto"/>
                <w:highlight w:val="none"/>
                <w:u w:val="single"/>
              </w:rPr>
              <w:t>”“</w:t>
            </w:r>
            <w:r>
              <w:rPr>
                <w:rFonts w:hint="eastAsia" w:hAnsi="宋体"/>
                <w:color w:val="auto"/>
                <w:highlight w:val="none"/>
                <w:u w:val="single"/>
              </w:rPr>
              <w:t>资格</w:t>
            </w:r>
          </w:p>
          <w:p w14:paraId="3855BE3E">
            <w:pPr>
              <w:spacing w:line="360" w:lineRule="exact"/>
              <w:ind w:left="317" w:leftChars="17" w:hanging="281" w:hangingChars="134"/>
              <w:rPr>
                <w:rFonts w:hint="eastAsia" w:hAnsi="宋体"/>
                <w:color w:val="auto"/>
                <w:highlight w:val="none"/>
                <w:u w:val="single"/>
              </w:rPr>
            </w:pPr>
            <w:r>
              <w:rPr>
                <w:rFonts w:hint="eastAsia" w:hAnsi="宋体"/>
                <w:color w:val="auto"/>
                <w:highlight w:val="none"/>
                <w:u w:val="single"/>
              </w:rPr>
              <w:t>评审标准</w:t>
            </w:r>
            <w:r>
              <w:rPr>
                <w:rFonts w:hint="eastAsia"/>
                <w:color w:val="auto"/>
                <w:highlight w:val="none"/>
                <w:u w:val="single"/>
              </w:rPr>
              <w:t>”“</w:t>
            </w:r>
            <w:r>
              <w:rPr>
                <w:rFonts w:hint="eastAsia" w:hAnsi="宋体"/>
                <w:color w:val="auto"/>
                <w:highlight w:val="none"/>
                <w:u w:val="single"/>
              </w:rPr>
              <w:t>响应性评审标准</w:t>
            </w:r>
            <w:r>
              <w:rPr>
                <w:rFonts w:hint="eastAsia"/>
                <w:color w:val="auto"/>
                <w:highlight w:val="none"/>
                <w:u w:val="single"/>
              </w:rPr>
              <w:t>”</w:t>
            </w:r>
            <w:r>
              <w:rPr>
                <w:rFonts w:hint="eastAsia" w:hAnsi="宋体"/>
                <w:color w:val="auto"/>
                <w:highlight w:val="none"/>
                <w:u w:val="single"/>
              </w:rPr>
              <w:t>中所有情形的，为有效投标文件。</w:t>
            </w:r>
          </w:p>
          <w:p w14:paraId="21A5D7CA">
            <w:pPr>
              <w:spacing w:line="360" w:lineRule="exact"/>
              <w:ind w:left="317" w:leftChars="17" w:hanging="281" w:hangingChars="134"/>
              <w:rPr>
                <w:rFonts w:hint="eastAsia" w:hAnsi="宋体"/>
                <w:color w:val="auto"/>
                <w:highlight w:val="none"/>
                <w:u w:val="single"/>
              </w:rPr>
            </w:pPr>
            <w:r>
              <w:rPr>
                <w:rFonts w:hint="eastAsia" w:hAnsi="宋体"/>
                <w:color w:val="auto"/>
                <w:highlight w:val="none"/>
                <w:u w:val="single"/>
              </w:rPr>
              <w:t>任一情形不符合均为无效投标文件，经评标委员会认定后，其投</w:t>
            </w:r>
          </w:p>
          <w:p w14:paraId="3E39F6A8">
            <w:pPr>
              <w:spacing w:line="360" w:lineRule="exact"/>
              <w:ind w:left="317" w:leftChars="17" w:hanging="281" w:hangingChars="134"/>
              <w:rPr>
                <w:color w:val="auto"/>
                <w:highlight w:val="none"/>
                <w:u w:val="single"/>
              </w:rPr>
            </w:pPr>
            <w:r>
              <w:rPr>
                <w:rFonts w:hint="eastAsia" w:hAnsi="宋体"/>
                <w:color w:val="auto"/>
                <w:highlight w:val="none"/>
                <w:u w:val="single"/>
              </w:rPr>
              <w:t>标文件将被否决。</w:t>
            </w:r>
          </w:p>
        </w:tc>
      </w:tr>
      <w:tr w14:paraId="7720974C">
        <w:tblPrEx>
          <w:tblCellMar>
            <w:top w:w="0" w:type="dxa"/>
            <w:left w:w="108" w:type="dxa"/>
            <w:bottom w:w="0" w:type="dxa"/>
            <w:right w:w="108" w:type="dxa"/>
          </w:tblCellMar>
        </w:tblPrEx>
        <w:trPr>
          <w:trHeight w:val="1217"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14:paraId="72DF17B6">
            <w:pPr>
              <w:spacing w:line="360" w:lineRule="exact"/>
              <w:jc w:val="center"/>
              <w:rPr>
                <w:rFonts w:hint="eastAsia" w:eastAsia="宋体"/>
                <w:color w:val="auto"/>
                <w:szCs w:val="21"/>
                <w:highlight w:val="none"/>
                <w:u w:val="single"/>
                <w:lang w:eastAsia="zh-CN"/>
              </w:rPr>
            </w:pPr>
            <w:r>
              <w:rPr>
                <w:rFonts w:hint="eastAsia"/>
                <w:color w:val="auto"/>
                <w:szCs w:val="21"/>
                <w:highlight w:val="none"/>
                <w:u w:val="single"/>
              </w:rPr>
              <w:t>10.</w:t>
            </w:r>
            <w:r>
              <w:rPr>
                <w:rFonts w:hint="eastAsia"/>
                <w:color w:val="auto"/>
                <w:szCs w:val="21"/>
                <w:highlight w:val="none"/>
                <w:u w:val="single"/>
                <w:lang w:val="en-US" w:eastAsia="zh-CN"/>
              </w:rPr>
              <w:t>7</w:t>
            </w:r>
          </w:p>
        </w:tc>
        <w:tc>
          <w:tcPr>
            <w:tcW w:w="2345" w:type="dxa"/>
            <w:tcBorders>
              <w:top w:val="single" w:color="auto" w:sz="4" w:space="0"/>
              <w:left w:val="single" w:color="auto" w:sz="4" w:space="0"/>
              <w:bottom w:val="single" w:color="auto" w:sz="4" w:space="0"/>
              <w:right w:val="single" w:color="auto" w:sz="4" w:space="0"/>
            </w:tcBorders>
            <w:noWrap w:val="0"/>
            <w:vAlign w:val="center"/>
          </w:tcPr>
          <w:p w14:paraId="556D3AC0">
            <w:pPr>
              <w:spacing w:line="360" w:lineRule="exact"/>
              <w:ind w:right="174" w:rightChars="83"/>
              <w:jc w:val="center"/>
              <w:rPr>
                <w:color w:val="auto"/>
                <w:szCs w:val="21"/>
                <w:highlight w:val="none"/>
                <w:u w:val="single"/>
              </w:rPr>
            </w:pPr>
            <w:r>
              <w:rPr>
                <w:rFonts w:hint="eastAsia" w:hAnsi="宋体"/>
                <w:color w:val="auto"/>
                <w:szCs w:val="21"/>
                <w:highlight w:val="none"/>
                <w:u w:val="single"/>
              </w:rPr>
              <w:t>其他</w:t>
            </w:r>
          </w:p>
        </w:tc>
        <w:tc>
          <w:tcPr>
            <w:tcW w:w="6096" w:type="dxa"/>
            <w:tcBorders>
              <w:top w:val="single" w:color="auto" w:sz="4" w:space="0"/>
              <w:left w:val="single" w:color="auto" w:sz="4" w:space="0"/>
              <w:bottom w:val="single" w:color="auto" w:sz="4" w:space="0"/>
              <w:right w:val="single" w:color="auto" w:sz="4" w:space="0"/>
            </w:tcBorders>
            <w:noWrap w:val="0"/>
            <w:vAlign w:val="center"/>
          </w:tcPr>
          <w:p w14:paraId="31549797">
            <w:pPr>
              <w:spacing w:line="360" w:lineRule="exact"/>
              <w:rPr>
                <w:b/>
                <w:color w:val="auto"/>
                <w:highlight w:val="none"/>
                <w:u w:val="single"/>
              </w:rPr>
            </w:pPr>
            <w:r>
              <w:rPr>
                <w:rFonts w:hint="eastAsia" w:hAnsi="宋体"/>
                <w:color w:val="auto"/>
                <w:highlight w:val="none"/>
                <w:u w:val="single"/>
              </w:rPr>
              <w:t>中标后，中标人须按招标人要求提交</w:t>
            </w:r>
            <w:r>
              <w:rPr>
                <w:rFonts w:hint="eastAsia" w:ascii="宋体" w:hAnsi="宋体" w:cs="宋体"/>
                <w:color w:val="auto"/>
                <w:highlight w:val="none"/>
                <w:u w:val="single"/>
              </w:rPr>
              <w:t>3</w:t>
            </w:r>
            <w:r>
              <w:rPr>
                <w:rFonts w:hint="eastAsia" w:hAnsi="宋体"/>
                <w:color w:val="auto"/>
                <w:highlight w:val="none"/>
                <w:u w:val="single"/>
              </w:rPr>
              <w:t>份与网上上传电子投标文件完全一致的纸质投标文件给招标人。</w:t>
            </w:r>
          </w:p>
        </w:tc>
      </w:tr>
    </w:tbl>
    <w:p w14:paraId="4CB27284">
      <w:pPr>
        <w:spacing w:line="200" w:lineRule="exact"/>
        <w:rPr>
          <w:color w:val="auto"/>
          <w:highlight w:val="none"/>
        </w:rPr>
      </w:pPr>
    </w:p>
    <w:p w14:paraId="20F1504F">
      <w:pPr>
        <w:pStyle w:val="5"/>
        <w:jc w:val="left"/>
        <w:rPr>
          <w:color w:val="auto"/>
          <w:highlight w:val="none"/>
        </w:rPr>
      </w:pPr>
      <w:r>
        <w:rPr>
          <w:color w:val="auto"/>
          <w:sz w:val="18"/>
          <w:highlight w:val="none"/>
        </w:rPr>
        <w:br w:type="page"/>
      </w:r>
      <w:bookmarkStart w:id="8" w:name="_Toc30661"/>
      <w:bookmarkStart w:id="9" w:name="_Toc515205193"/>
      <w:bookmarkStart w:id="10" w:name="_Toc529196520"/>
      <w:r>
        <w:rPr>
          <w:color w:val="auto"/>
          <w:highlight w:val="none"/>
        </w:rPr>
        <w:t>1. 总则</w:t>
      </w:r>
      <w:bookmarkEnd w:id="8"/>
      <w:bookmarkEnd w:id="9"/>
      <w:bookmarkEnd w:id="10"/>
    </w:p>
    <w:p w14:paraId="38A13C64">
      <w:pPr>
        <w:pStyle w:val="5"/>
        <w:spacing w:before="120" w:after="120"/>
        <w:ind w:firstLine="137"/>
        <w:rPr>
          <w:color w:val="auto"/>
          <w:highlight w:val="none"/>
        </w:rPr>
      </w:pPr>
      <w:bookmarkStart w:id="11" w:name="_Toc529196521"/>
      <w:bookmarkStart w:id="12" w:name="_Toc8621"/>
      <w:bookmarkStart w:id="13" w:name="_Toc515205194"/>
      <w:r>
        <w:rPr>
          <w:color w:val="auto"/>
          <w:highlight w:val="none"/>
        </w:rPr>
        <w:t>1.1 招标项目概况</w:t>
      </w:r>
      <w:bookmarkEnd w:id="11"/>
      <w:bookmarkEnd w:id="12"/>
      <w:bookmarkEnd w:id="13"/>
    </w:p>
    <w:p w14:paraId="38F6D63C">
      <w:pPr>
        <w:spacing w:line="360" w:lineRule="auto"/>
        <w:ind w:firstLine="480" w:firstLineChars="200"/>
        <w:rPr>
          <w:color w:val="auto"/>
          <w:sz w:val="24"/>
          <w:highlight w:val="none"/>
        </w:rPr>
      </w:pPr>
      <w:r>
        <w:rPr>
          <w:color w:val="auto"/>
          <w:sz w:val="24"/>
          <w:highlight w:val="none"/>
        </w:rPr>
        <w:t>1.1.1根据《中华人民共和国招标投标法》、《中华人民共和国招标投标法实施条例》等有关法律、法规和规章的规定，本招标项目已具备招标条件，现对</w:t>
      </w:r>
      <w:r>
        <w:rPr>
          <w:rFonts w:hint="eastAsia"/>
          <w:color w:val="auto"/>
          <w:sz w:val="24"/>
          <w:highlight w:val="none"/>
        </w:rPr>
        <w:t>本项目地铁保护监测</w:t>
      </w:r>
      <w:r>
        <w:rPr>
          <w:color w:val="auto"/>
          <w:sz w:val="24"/>
          <w:highlight w:val="none"/>
        </w:rPr>
        <w:t>进行招标。</w:t>
      </w:r>
    </w:p>
    <w:p w14:paraId="09EF2FF2">
      <w:pPr>
        <w:spacing w:line="360" w:lineRule="auto"/>
        <w:ind w:firstLine="480" w:firstLineChars="200"/>
        <w:rPr>
          <w:color w:val="auto"/>
          <w:sz w:val="24"/>
          <w:highlight w:val="none"/>
        </w:rPr>
      </w:pPr>
      <w:r>
        <w:rPr>
          <w:color w:val="auto"/>
          <w:sz w:val="24"/>
          <w:highlight w:val="none"/>
        </w:rPr>
        <w:t>1.1.2 招标人：见投标人须知前附表。</w:t>
      </w:r>
    </w:p>
    <w:p w14:paraId="42AC3E16">
      <w:pPr>
        <w:spacing w:line="360" w:lineRule="auto"/>
        <w:ind w:firstLine="480" w:firstLineChars="200"/>
        <w:rPr>
          <w:color w:val="auto"/>
          <w:sz w:val="24"/>
          <w:highlight w:val="none"/>
        </w:rPr>
      </w:pPr>
      <w:r>
        <w:rPr>
          <w:color w:val="auto"/>
          <w:sz w:val="24"/>
          <w:highlight w:val="none"/>
        </w:rPr>
        <w:t>1.1.3 招标代理机构：见投标人须知前附表。</w:t>
      </w:r>
    </w:p>
    <w:p w14:paraId="132D44F2">
      <w:pPr>
        <w:spacing w:line="360" w:lineRule="auto"/>
        <w:ind w:firstLine="480" w:firstLineChars="200"/>
        <w:rPr>
          <w:rFonts w:hint="eastAsia"/>
          <w:color w:val="auto"/>
          <w:sz w:val="24"/>
          <w:highlight w:val="none"/>
        </w:rPr>
      </w:pPr>
      <w:r>
        <w:rPr>
          <w:color w:val="auto"/>
          <w:sz w:val="24"/>
          <w:highlight w:val="none"/>
        </w:rPr>
        <w:t>1.1.4 招标项目名称：见投标人须知前附表。</w:t>
      </w:r>
    </w:p>
    <w:p w14:paraId="1BE1D5F6">
      <w:pPr>
        <w:spacing w:line="360" w:lineRule="auto"/>
        <w:ind w:firstLine="480" w:firstLineChars="200"/>
        <w:rPr>
          <w:color w:val="auto"/>
          <w:sz w:val="24"/>
          <w:highlight w:val="none"/>
        </w:rPr>
      </w:pPr>
      <w:r>
        <w:rPr>
          <w:color w:val="auto"/>
          <w:sz w:val="24"/>
          <w:highlight w:val="none"/>
        </w:rPr>
        <w:t>1.1.5 项目建设地点：见投标人须知前附表。</w:t>
      </w:r>
    </w:p>
    <w:p w14:paraId="7AD6FD51">
      <w:pPr>
        <w:spacing w:line="360" w:lineRule="auto"/>
        <w:ind w:firstLine="480" w:firstLineChars="200"/>
        <w:rPr>
          <w:color w:val="auto"/>
          <w:sz w:val="24"/>
          <w:highlight w:val="none"/>
        </w:rPr>
      </w:pPr>
      <w:r>
        <w:rPr>
          <w:color w:val="auto"/>
          <w:sz w:val="24"/>
          <w:highlight w:val="none"/>
        </w:rPr>
        <w:t>1.1.6 项目建设规模：见投标人须知前附表。</w:t>
      </w:r>
    </w:p>
    <w:p w14:paraId="2665531A">
      <w:pPr>
        <w:spacing w:line="360" w:lineRule="auto"/>
        <w:ind w:firstLine="480" w:firstLineChars="200"/>
        <w:rPr>
          <w:color w:val="auto"/>
          <w:sz w:val="24"/>
          <w:highlight w:val="none"/>
        </w:rPr>
      </w:pPr>
      <w:r>
        <w:rPr>
          <w:color w:val="auto"/>
          <w:sz w:val="24"/>
          <w:highlight w:val="none"/>
        </w:rPr>
        <w:t xml:space="preserve">1.1.7 </w:t>
      </w:r>
      <w:r>
        <w:rPr>
          <w:rFonts w:hint="eastAsia"/>
          <w:color w:val="auto"/>
          <w:sz w:val="24"/>
          <w:highlight w:val="none"/>
        </w:rPr>
        <w:t>工程项目施工预计开工日期和建设周期：见投标人须知前附表。</w:t>
      </w:r>
    </w:p>
    <w:p w14:paraId="260F523C">
      <w:pPr>
        <w:spacing w:line="360" w:lineRule="auto"/>
        <w:ind w:firstLine="480" w:firstLineChars="200"/>
        <w:rPr>
          <w:color w:val="auto"/>
          <w:sz w:val="24"/>
          <w:highlight w:val="none"/>
        </w:rPr>
      </w:pPr>
      <w:r>
        <w:rPr>
          <w:color w:val="auto"/>
          <w:sz w:val="24"/>
          <w:highlight w:val="none"/>
        </w:rPr>
        <w:t xml:space="preserve">1.1.8 </w:t>
      </w:r>
      <w:r>
        <w:rPr>
          <w:rFonts w:hint="eastAsia"/>
          <w:color w:val="auto"/>
          <w:sz w:val="24"/>
          <w:highlight w:val="none"/>
        </w:rPr>
        <w:t>建筑安装工程费</w:t>
      </w:r>
      <w:r>
        <w:rPr>
          <w:color w:val="auto"/>
          <w:sz w:val="24"/>
          <w:highlight w:val="none"/>
        </w:rPr>
        <w:t>/</w:t>
      </w:r>
      <w:r>
        <w:rPr>
          <w:rFonts w:hint="eastAsia"/>
          <w:color w:val="auto"/>
          <w:sz w:val="24"/>
          <w:highlight w:val="none"/>
        </w:rPr>
        <w:t>投资估算：见投标人须知前附表。</w:t>
      </w:r>
    </w:p>
    <w:p w14:paraId="38B3ABFF">
      <w:pPr>
        <w:pStyle w:val="5"/>
        <w:ind w:firstLine="118"/>
        <w:rPr>
          <w:color w:val="auto"/>
          <w:sz w:val="24"/>
          <w:szCs w:val="24"/>
          <w:highlight w:val="none"/>
        </w:rPr>
      </w:pPr>
      <w:bookmarkStart w:id="14" w:name="_Toc515205195"/>
      <w:bookmarkStart w:id="15" w:name="_Toc529196522"/>
      <w:bookmarkStart w:id="16" w:name="_Toc11759"/>
      <w:r>
        <w:rPr>
          <w:color w:val="auto"/>
          <w:sz w:val="24"/>
          <w:szCs w:val="24"/>
          <w:highlight w:val="none"/>
        </w:rPr>
        <w:t>1.2 招标项目的资金来源和落实情况</w:t>
      </w:r>
      <w:bookmarkEnd w:id="14"/>
      <w:bookmarkEnd w:id="15"/>
      <w:bookmarkEnd w:id="16"/>
    </w:p>
    <w:p w14:paraId="0173C250">
      <w:pPr>
        <w:spacing w:line="360" w:lineRule="auto"/>
        <w:ind w:firstLine="480" w:firstLineChars="200"/>
        <w:rPr>
          <w:color w:val="auto"/>
          <w:sz w:val="24"/>
          <w:highlight w:val="none"/>
        </w:rPr>
      </w:pPr>
      <w:r>
        <w:rPr>
          <w:color w:val="auto"/>
          <w:sz w:val="24"/>
          <w:highlight w:val="none"/>
        </w:rPr>
        <w:t>1.2.1 资金来源及比例：见投标人须知前附表。</w:t>
      </w:r>
    </w:p>
    <w:p w14:paraId="475C052C">
      <w:pPr>
        <w:spacing w:line="360" w:lineRule="auto"/>
        <w:ind w:firstLine="480" w:firstLineChars="200"/>
        <w:rPr>
          <w:color w:val="auto"/>
          <w:sz w:val="24"/>
          <w:highlight w:val="none"/>
        </w:rPr>
      </w:pPr>
      <w:r>
        <w:rPr>
          <w:color w:val="auto"/>
          <w:sz w:val="24"/>
          <w:highlight w:val="none"/>
        </w:rPr>
        <w:t>1.2.2 资金落实情况：见投标人须知前附表。</w:t>
      </w:r>
    </w:p>
    <w:p w14:paraId="483F2293">
      <w:pPr>
        <w:pStyle w:val="5"/>
        <w:ind w:firstLine="118"/>
        <w:rPr>
          <w:color w:val="auto"/>
          <w:sz w:val="24"/>
          <w:szCs w:val="24"/>
          <w:highlight w:val="none"/>
        </w:rPr>
      </w:pPr>
      <w:bookmarkStart w:id="17" w:name="_Toc529196523"/>
      <w:bookmarkStart w:id="18" w:name="_Toc6629"/>
      <w:bookmarkStart w:id="19" w:name="_Toc515205196"/>
      <w:r>
        <w:rPr>
          <w:color w:val="auto"/>
          <w:sz w:val="24"/>
          <w:szCs w:val="24"/>
          <w:highlight w:val="none"/>
        </w:rPr>
        <w:t>1.3招标范围、服务期限和质量标准</w:t>
      </w:r>
      <w:bookmarkEnd w:id="17"/>
      <w:bookmarkEnd w:id="18"/>
      <w:bookmarkEnd w:id="19"/>
    </w:p>
    <w:p w14:paraId="6116249F">
      <w:pPr>
        <w:spacing w:line="360" w:lineRule="auto"/>
        <w:ind w:firstLine="480" w:firstLineChars="200"/>
        <w:rPr>
          <w:color w:val="auto"/>
          <w:sz w:val="24"/>
          <w:highlight w:val="none"/>
        </w:rPr>
      </w:pPr>
      <w:r>
        <w:rPr>
          <w:color w:val="auto"/>
          <w:sz w:val="24"/>
          <w:highlight w:val="none"/>
        </w:rPr>
        <w:t>1.3.1 招标范围：见投标人须知前附表。</w:t>
      </w:r>
    </w:p>
    <w:p w14:paraId="75BAD2AD">
      <w:pPr>
        <w:spacing w:line="360" w:lineRule="auto"/>
        <w:ind w:firstLine="480" w:firstLineChars="200"/>
        <w:rPr>
          <w:color w:val="auto"/>
          <w:sz w:val="24"/>
          <w:highlight w:val="none"/>
        </w:rPr>
      </w:pPr>
      <w:r>
        <w:rPr>
          <w:color w:val="auto"/>
          <w:sz w:val="24"/>
          <w:highlight w:val="none"/>
        </w:rPr>
        <w:t>1.3.2</w:t>
      </w:r>
      <w:r>
        <w:rPr>
          <w:rFonts w:hint="eastAsia"/>
          <w:color w:val="auto"/>
          <w:sz w:val="24"/>
          <w:highlight w:val="none"/>
        </w:rPr>
        <w:t xml:space="preserve"> </w:t>
      </w:r>
      <w:r>
        <w:rPr>
          <w:color w:val="auto"/>
          <w:sz w:val="24"/>
          <w:highlight w:val="none"/>
        </w:rPr>
        <w:t>服务期限：见投标人须知前附表。</w:t>
      </w:r>
    </w:p>
    <w:p w14:paraId="51E29352">
      <w:pPr>
        <w:spacing w:line="360" w:lineRule="auto"/>
        <w:ind w:firstLine="480" w:firstLineChars="200"/>
        <w:rPr>
          <w:color w:val="auto"/>
          <w:sz w:val="24"/>
          <w:highlight w:val="none"/>
        </w:rPr>
      </w:pPr>
      <w:r>
        <w:rPr>
          <w:color w:val="auto"/>
          <w:sz w:val="24"/>
          <w:highlight w:val="none"/>
        </w:rPr>
        <w:t>1.3.3 质量标准：见投标人须知前附表。</w:t>
      </w:r>
    </w:p>
    <w:p w14:paraId="12F843CF">
      <w:pPr>
        <w:pStyle w:val="5"/>
        <w:ind w:firstLine="118"/>
        <w:rPr>
          <w:color w:val="auto"/>
          <w:sz w:val="24"/>
          <w:szCs w:val="24"/>
          <w:highlight w:val="none"/>
        </w:rPr>
      </w:pPr>
      <w:bookmarkStart w:id="20" w:name="_Toc22463"/>
      <w:bookmarkStart w:id="21" w:name="_Toc515205197"/>
      <w:bookmarkStart w:id="22" w:name="_Toc529196524"/>
      <w:r>
        <w:rPr>
          <w:color w:val="auto"/>
          <w:sz w:val="24"/>
          <w:szCs w:val="24"/>
          <w:highlight w:val="none"/>
        </w:rPr>
        <w:t>1.4投标人资格要求</w:t>
      </w:r>
      <w:bookmarkEnd w:id="20"/>
      <w:bookmarkEnd w:id="21"/>
      <w:bookmarkEnd w:id="22"/>
    </w:p>
    <w:p w14:paraId="73E1FC16">
      <w:pPr>
        <w:spacing w:line="360" w:lineRule="auto"/>
        <w:ind w:firstLine="480" w:firstLineChars="200"/>
        <w:rPr>
          <w:color w:val="auto"/>
          <w:sz w:val="24"/>
          <w:highlight w:val="none"/>
        </w:rPr>
      </w:pPr>
      <w:r>
        <w:rPr>
          <w:color w:val="auto"/>
          <w:sz w:val="24"/>
          <w:highlight w:val="none"/>
        </w:rPr>
        <w:t>1.4.1 投标人应具备承担本招标项目资质条件、能力和信誉：</w:t>
      </w:r>
    </w:p>
    <w:p w14:paraId="58971299">
      <w:pPr>
        <w:spacing w:line="360" w:lineRule="auto"/>
        <w:ind w:firstLine="360" w:firstLineChars="150"/>
        <w:rPr>
          <w:color w:val="auto"/>
          <w:sz w:val="24"/>
          <w:highlight w:val="none"/>
        </w:rPr>
      </w:pPr>
      <w:r>
        <w:rPr>
          <w:color w:val="auto"/>
          <w:sz w:val="24"/>
          <w:highlight w:val="none"/>
        </w:rPr>
        <w:t>（1）资质要求：见投标人须知前附表；</w:t>
      </w:r>
    </w:p>
    <w:p w14:paraId="5EA0C9E7">
      <w:pPr>
        <w:spacing w:line="360" w:lineRule="auto"/>
        <w:ind w:firstLine="360" w:firstLineChars="150"/>
        <w:rPr>
          <w:color w:val="auto"/>
          <w:sz w:val="24"/>
          <w:highlight w:val="none"/>
        </w:rPr>
      </w:pPr>
      <w:r>
        <w:rPr>
          <w:color w:val="auto"/>
          <w:sz w:val="24"/>
          <w:highlight w:val="none"/>
        </w:rPr>
        <w:t>（2）财务要求：见投标人须知前附表；</w:t>
      </w:r>
    </w:p>
    <w:p w14:paraId="1FD6746D">
      <w:pPr>
        <w:spacing w:line="360" w:lineRule="auto"/>
        <w:ind w:firstLine="360" w:firstLineChars="150"/>
        <w:rPr>
          <w:color w:val="auto"/>
          <w:sz w:val="24"/>
          <w:highlight w:val="none"/>
        </w:rPr>
      </w:pPr>
      <w:r>
        <w:rPr>
          <w:color w:val="auto"/>
          <w:sz w:val="24"/>
          <w:highlight w:val="none"/>
        </w:rPr>
        <w:t>（3）业绩要求：见投标人须知前附表；</w:t>
      </w:r>
    </w:p>
    <w:p w14:paraId="6BF841A9">
      <w:pPr>
        <w:spacing w:line="360" w:lineRule="auto"/>
        <w:ind w:firstLine="360" w:firstLineChars="150"/>
        <w:rPr>
          <w:color w:val="auto"/>
          <w:sz w:val="24"/>
          <w:highlight w:val="none"/>
        </w:rPr>
      </w:pPr>
      <w:r>
        <w:rPr>
          <w:color w:val="auto"/>
          <w:sz w:val="24"/>
          <w:highlight w:val="none"/>
        </w:rPr>
        <w:t>（4）信誉要求：见投标人须知前附表；</w:t>
      </w:r>
    </w:p>
    <w:p w14:paraId="2A5FD454">
      <w:pPr>
        <w:spacing w:line="360" w:lineRule="auto"/>
        <w:ind w:firstLine="360" w:firstLineChars="150"/>
        <w:rPr>
          <w:color w:val="auto"/>
          <w:sz w:val="24"/>
          <w:highlight w:val="none"/>
        </w:rPr>
      </w:pPr>
      <w:r>
        <w:rPr>
          <w:color w:val="auto"/>
          <w:sz w:val="24"/>
          <w:highlight w:val="none"/>
        </w:rPr>
        <w:t>（5）</w:t>
      </w:r>
      <w:r>
        <w:rPr>
          <w:rFonts w:hint="eastAsia"/>
          <w:color w:val="auto"/>
          <w:sz w:val="24"/>
          <w:highlight w:val="none"/>
        </w:rPr>
        <w:t>项目负责人</w:t>
      </w:r>
      <w:r>
        <w:rPr>
          <w:color w:val="auto"/>
          <w:sz w:val="24"/>
          <w:highlight w:val="none"/>
        </w:rPr>
        <w:t>的资格要求：</w:t>
      </w:r>
      <w:r>
        <w:rPr>
          <w:rFonts w:hint="eastAsia"/>
          <w:color w:val="auto"/>
          <w:sz w:val="24"/>
          <w:highlight w:val="none"/>
        </w:rPr>
        <w:t>见</w:t>
      </w:r>
      <w:r>
        <w:rPr>
          <w:color w:val="auto"/>
          <w:sz w:val="24"/>
          <w:highlight w:val="none"/>
        </w:rPr>
        <w:t>投标人须知前附表；</w:t>
      </w:r>
    </w:p>
    <w:p w14:paraId="6E107AF8">
      <w:pPr>
        <w:spacing w:line="360" w:lineRule="auto"/>
        <w:ind w:firstLine="360" w:firstLineChars="150"/>
        <w:rPr>
          <w:color w:val="auto"/>
          <w:sz w:val="24"/>
          <w:highlight w:val="none"/>
        </w:rPr>
      </w:pPr>
      <w:r>
        <w:rPr>
          <w:color w:val="auto"/>
          <w:sz w:val="24"/>
          <w:highlight w:val="none"/>
        </w:rPr>
        <w:t>（6）其他主要人员要求：见投标人须知前附表。</w:t>
      </w:r>
    </w:p>
    <w:p w14:paraId="1C7AB19C">
      <w:pPr>
        <w:spacing w:line="360" w:lineRule="auto"/>
        <w:ind w:firstLine="360" w:firstLineChars="150"/>
        <w:rPr>
          <w:rFonts w:hint="eastAsia"/>
          <w:color w:val="auto"/>
          <w:sz w:val="24"/>
          <w:highlight w:val="none"/>
        </w:rPr>
      </w:pPr>
      <w:r>
        <w:rPr>
          <w:color w:val="auto"/>
          <w:sz w:val="24"/>
          <w:highlight w:val="none"/>
        </w:rPr>
        <w:t>（7）试验</w:t>
      </w:r>
      <w:r>
        <w:rPr>
          <w:rFonts w:hint="eastAsia"/>
          <w:color w:val="auto"/>
          <w:sz w:val="24"/>
          <w:highlight w:val="none"/>
        </w:rPr>
        <w:t>监测</w:t>
      </w:r>
      <w:r>
        <w:rPr>
          <w:color w:val="auto"/>
          <w:sz w:val="24"/>
          <w:highlight w:val="none"/>
        </w:rPr>
        <w:t>仪器设备要求：见投标人须知前附表。</w:t>
      </w:r>
    </w:p>
    <w:p w14:paraId="2B20124E">
      <w:pPr>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rPr>
        <w:t>（8）CMA计量认证要求：见投标人须知前附表。</w:t>
      </w:r>
    </w:p>
    <w:p w14:paraId="2E711846">
      <w:pPr>
        <w:spacing w:line="360" w:lineRule="auto"/>
        <w:ind w:firstLine="360" w:firstLineChars="150"/>
        <w:rPr>
          <w:color w:val="auto"/>
          <w:sz w:val="24"/>
          <w:highlight w:val="none"/>
        </w:rPr>
      </w:pPr>
      <w:r>
        <w:rPr>
          <w:color w:val="auto"/>
          <w:sz w:val="24"/>
          <w:highlight w:val="none"/>
        </w:rPr>
        <w:t>（</w:t>
      </w:r>
      <w:r>
        <w:rPr>
          <w:rFonts w:hint="eastAsia"/>
          <w:color w:val="auto"/>
          <w:sz w:val="24"/>
          <w:highlight w:val="none"/>
        </w:rPr>
        <w:t>9</w:t>
      </w:r>
      <w:r>
        <w:rPr>
          <w:color w:val="auto"/>
          <w:sz w:val="24"/>
          <w:highlight w:val="none"/>
        </w:rPr>
        <w:t>）其他要求：见投标人须知前附表。</w:t>
      </w:r>
    </w:p>
    <w:p w14:paraId="5183159C">
      <w:pPr>
        <w:spacing w:line="360" w:lineRule="auto"/>
        <w:ind w:firstLine="480" w:firstLineChars="200"/>
        <w:rPr>
          <w:color w:val="auto"/>
          <w:sz w:val="24"/>
          <w:highlight w:val="none"/>
        </w:rPr>
      </w:pPr>
      <w:r>
        <w:rPr>
          <w:color w:val="auto"/>
          <w:sz w:val="24"/>
          <w:highlight w:val="none"/>
        </w:rPr>
        <w:t>需要提交的相关证明材料见本章第3.5款的规定。</w:t>
      </w:r>
    </w:p>
    <w:p w14:paraId="6DC9DC77">
      <w:pPr>
        <w:spacing w:line="360" w:lineRule="auto"/>
        <w:ind w:firstLine="360" w:firstLineChars="150"/>
        <w:rPr>
          <w:rFonts w:hint="eastAsia"/>
          <w:color w:val="auto"/>
          <w:sz w:val="24"/>
          <w:highlight w:val="none"/>
        </w:rPr>
      </w:pPr>
      <w:r>
        <w:rPr>
          <w:color w:val="auto"/>
          <w:sz w:val="24"/>
          <w:highlight w:val="none"/>
        </w:rPr>
        <w:t>1.4.2投标人须知前附表规定接受联合体投标的，联合体应符合本章第1.4.1项和投标人须知前附表的要求</w:t>
      </w:r>
      <w:r>
        <w:rPr>
          <w:rFonts w:hint="eastAsia"/>
          <w:color w:val="auto"/>
          <w:sz w:val="24"/>
          <w:highlight w:val="none"/>
        </w:rPr>
        <w:t>。</w:t>
      </w:r>
    </w:p>
    <w:p w14:paraId="387CF6F8">
      <w:pPr>
        <w:spacing w:line="400" w:lineRule="exact"/>
        <w:ind w:firstLine="480" w:firstLineChars="200"/>
        <w:rPr>
          <w:rFonts w:ascii="宋体" w:hAnsi="宋体" w:cs="宋体"/>
          <w:color w:val="auto"/>
          <w:sz w:val="24"/>
          <w:szCs w:val="24"/>
          <w:highlight w:val="none"/>
        </w:rPr>
      </w:pPr>
      <w:r>
        <w:rPr>
          <w:color w:val="auto"/>
          <w:sz w:val="24"/>
          <w:highlight w:val="none"/>
        </w:rPr>
        <w:t>1.4.3</w:t>
      </w:r>
      <w:r>
        <w:rPr>
          <w:rFonts w:hint="eastAsia" w:ascii="宋体" w:hAnsi="宋体" w:cs="宋体"/>
          <w:color w:val="auto"/>
          <w:sz w:val="24"/>
          <w:szCs w:val="24"/>
          <w:highlight w:val="none"/>
        </w:rPr>
        <w:t>投标人不得存在下列情形之一：</w:t>
      </w:r>
    </w:p>
    <w:p w14:paraId="207E13A1">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（1）为招标人不具有独立法人资格的附属机构（单位）；</w:t>
      </w:r>
    </w:p>
    <w:p w14:paraId="03221160">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（2）与招标人存在利害关系且可能影响招标公正性；</w:t>
      </w:r>
    </w:p>
    <w:p w14:paraId="6FFE1751">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（3）与本</w:t>
      </w:r>
      <w:r>
        <w:rPr>
          <w:rFonts w:hint="eastAsia" w:ascii="宋体" w:hAnsi="宋体"/>
          <w:color w:val="auto"/>
          <w:sz w:val="24"/>
          <w:szCs w:val="24"/>
          <w:highlight w:val="none"/>
        </w:rPr>
        <w:t>标段</w:t>
      </w:r>
      <w:r>
        <w:rPr>
          <w:rFonts w:hint="eastAsia" w:ascii="宋体" w:hAnsi="宋体" w:cs="宋体"/>
          <w:color w:val="auto"/>
          <w:sz w:val="24"/>
          <w:szCs w:val="24"/>
          <w:highlight w:val="none"/>
        </w:rPr>
        <w:t>的其他投标人为同一个单位负责人；</w:t>
      </w:r>
    </w:p>
    <w:p w14:paraId="0A9B1271">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（4）与本</w:t>
      </w:r>
      <w:r>
        <w:rPr>
          <w:rFonts w:hint="eastAsia" w:ascii="宋体" w:hAnsi="宋体"/>
          <w:color w:val="auto"/>
          <w:sz w:val="24"/>
          <w:szCs w:val="24"/>
          <w:highlight w:val="none"/>
        </w:rPr>
        <w:t>标段</w:t>
      </w:r>
      <w:r>
        <w:rPr>
          <w:rFonts w:hint="eastAsia" w:ascii="宋体" w:hAnsi="宋体" w:cs="宋体"/>
          <w:color w:val="auto"/>
          <w:sz w:val="24"/>
          <w:szCs w:val="24"/>
          <w:highlight w:val="none"/>
        </w:rPr>
        <w:t>的其他投标人存在控股、管理关系；</w:t>
      </w:r>
    </w:p>
    <w:p w14:paraId="1837220C">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（5）为本</w:t>
      </w:r>
      <w:r>
        <w:rPr>
          <w:rFonts w:hint="eastAsia" w:ascii="宋体" w:hAnsi="宋体"/>
          <w:color w:val="auto"/>
          <w:sz w:val="24"/>
          <w:szCs w:val="24"/>
          <w:highlight w:val="none"/>
        </w:rPr>
        <w:t>标段</w:t>
      </w:r>
      <w:r>
        <w:rPr>
          <w:rFonts w:hint="eastAsia" w:ascii="宋体" w:hAnsi="宋体" w:cs="宋体"/>
          <w:color w:val="auto"/>
          <w:sz w:val="24"/>
          <w:szCs w:val="24"/>
          <w:highlight w:val="none"/>
        </w:rPr>
        <w:t>的代建人；</w:t>
      </w:r>
    </w:p>
    <w:p w14:paraId="450F29BF">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（6）为本</w:t>
      </w:r>
      <w:r>
        <w:rPr>
          <w:rFonts w:hint="eastAsia" w:ascii="宋体" w:hAnsi="宋体"/>
          <w:color w:val="auto"/>
          <w:sz w:val="24"/>
          <w:szCs w:val="24"/>
          <w:highlight w:val="none"/>
        </w:rPr>
        <w:t>标段</w:t>
      </w:r>
      <w:r>
        <w:rPr>
          <w:rFonts w:hint="eastAsia" w:ascii="宋体" w:hAnsi="宋体" w:cs="宋体"/>
          <w:color w:val="auto"/>
          <w:sz w:val="24"/>
          <w:szCs w:val="24"/>
          <w:highlight w:val="none"/>
        </w:rPr>
        <w:t>的招标代理机构；</w:t>
      </w:r>
    </w:p>
    <w:p w14:paraId="5C7A61FD">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（7）与本</w:t>
      </w:r>
      <w:r>
        <w:rPr>
          <w:rFonts w:hint="eastAsia" w:ascii="宋体" w:hAnsi="宋体"/>
          <w:color w:val="auto"/>
          <w:sz w:val="24"/>
          <w:szCs w:val="24"/>
          <w:highlight w:val="none"/>
        </w:rPr>
        <w:t>标段</w:t>
      </w:r>
      <w:r>
        <w:rPr>
          <w:rFonts w:hint="eastAsia" w:ascii="宋体" w:hAnsi="宋体" w:cs="宋体"/>
          <w:color w:val="auto"/>
          <w:sz w:val="24"/>
          <w:szCs w:val="24"/>
          <w:highlight w:val="none"/>
        </w:rPr>
        <w:t>的代建人或招标代理机构同为一个法定代表人；</w:t>
      </w:r>
    </w:p>
    <w:p w14:paraId="48EC77AD">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（8）与本</w:t>
      </w:r>
      <w:r>
        <w:rPr>
          <w:rFonts w:hint="eastAsia" w:ascii="宋体" w:hAnsi="宋体"/>
          <w:color w:val="auto"/>
          <w:sz w:val="24"/>
          <w:szCs w:val="24"/>
          <w:highlight w:val="none"/>
        </w:rPr>
        <w:t>标段</w:t>
      </w:r>
      <w:r>
        <w:rPr>
          <w:rFonts w:hint="eastAsia" w:ascii="宋体" w:hAnsi="宋体" w:cs="宋体"/>
          <w:color w:val="auto"/>
          <w:sz w:val="24"/>
          <w:szCs w:val="24"/>
          <w:highlight w:val="none"/>
        </w:rPr>
        <w:t>的代建人或招标代理机构存在控股或参股关系；</w:t>
      </w:r>
    </w:p>
    <w:p w14:paraId="2FF08547">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（9）与本</w:t>
      </w:r>
      <w:r>
        <w:rPr>
          <w:rFonts w:hint="eastAsia" w:ascii="宋体" w:hAnsi="宋体"/>
          <w:color w:val="auto"/>
          <w:sz w:val="24"/>
          <w:szCs w:val="24"/>
          <w:highlight w:val="none"/>
        </w:rPr>
        <w:t>标段</w:t>
      </w:r>
      <w:r>
        <w:rPr>
          <w:rFonts w:hint="eastAsia" w:ascii="宋体" w:hAnsi="宋体" w:cs="宋体"/>
          <w:color w:val="auto"/>
          <w:sz w:val="24"/>
          <w:szCs w:val="24"/>
          <w:highlight w:val="none"/>
        </w:rPr>
        <w:t>的施工承包人以及建筑材料、建筑构配件和设备供应商有隶属关系或者其他利害关系；</w:t>
      </w:r>
    </w:p>
    <w:p w14:paraId="3647588D">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10）被依法暂停或者取消投标资格（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0B377F84">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（11）被责令停产停业、暂扣或者吊销许可证、暂扣或者吊销执照的（本项事实应当以根据《中华人民共和国行政处罚法》依法作出并已经生效的行政处罚决定为认定依据）；</w:t>
      </w:r>
    </w:p>
    <w:p w14:paraId="35B946FD">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（12）进入清算程序，或被宣告破产，或其他丧失履约能力的情形；</w:t>
      </w:r>
    </w:p>
    <w:p w14:paraId="573528B1">
      <w:pPr>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（13）本公司自2023年1月1日至今未因以往监测工作中存在伪造监测数据、出具虚假监测报告的行为被各级建设、交通行政主管部门或市场监督管理部门行政处罚或通报的。</w:t>
      </w:r>
    </w:p>
    <w:p w14:paraId="262007A1">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（14）法律法规或投标人须知前附表规定的其他情形。</w:t>
      </w:r>
    </w:p>
    <w:p w14:paraId="7E776D5A">
      <w:pPr>
        <w:pStyle w:val="5"/>
        <w:ind w:firstLine="118"/>
        <w:rPr>
          <w:color w:val="auto"/>
          <w:sz w:val="24"/>
          <w:szCs w:val="24"/>
          <w:highlight w:val="none"/>
        </w:rPr>
      </w:pPr>
      <w:bookmarkStart w:id="23" w:name="_Toc15663"/>
      <w:bookmarkStart w:id="24" w:name="_Toc529196525"/>
      <w:bookmarkStart w:id="25" w:name="_Toc515205198"/>
      <w:r>
        <w:rPr>
          <w:color w:val="auto"/>
          <w:sz w:val="24"/>
          <w:szCs w:val="24"/>
          <w:highlight w:val="none"/>
        </w:rPr>
        <w:t xml:space="preserve">1.5 </w:t>
      </w:r>
      <w:r>
        <w:rPr>
          <w:rFonts w:hint="eastAsia"/>
          <w:color w:val="auto"/>
          <w:sz w:val="24"/>
          <w:szCs w:val="24"/>
          <w:highlight w:val="none"/>
        </w:rPr>
        <w:t>费用承担</w:t>
      </w:r>
      <w:bookmarkEnd w:id="23"/>
      <w:bookmarkEnd w:id="24"/>
      <w:bookmarkEnd w:id="25"/>
    </w:p>
    <w:p w14:paraId="03EAEC68">
      <w:pPr>
        <w:spacing w:line="360" w:lineRule="auto"/>
        <w:ind w:firstLine="480" w:firstLineChars="200"/>
        <w:rPr>
          <w:color w:val="auto"/>
          <w:sz w:val="24"/>
          <w:highlight w:val="none"/>
        </w:rPr>
      </w:pPr>
      <w:r>
        <w:rPr>
          <w:color w:val="auto"/>
          <w:sz w:val="24"/>
          <w:highlight w:val="none"/>
        </w:rPr>
        <w:t>投标人准备和参加投标活动发生的费用自理。</w:t>
      </w:r>
    </w:p>
    <w:p w14:paraId="6CE03D11">
      <w:pPr>
        <w:pStyle w:val="5"/>
        <w:ind w:firstLine="118"/>
        <w:rPr>
          <w:color w:val="auto"/>
          <w:sz w:val="24"/>
          <w:szCs w:val="24"/>
          <w:highlight w:val="none"/>
        </w:rPr>
      </w:pPr>
      <w:bookmarkStart w:id="26" w:name="_Toc853"/>
      <w:bookmarkStart w:id="27" w:name="_Toc529196526"/>
      <w:bookmarkStart w:id="28" w:name="_Toc515205199"/>
      <w:r>
        <w:rPr>
          <w:color w:val="auto"/>
          <w:sz w:val="24"/>
          <w:szCs w:val="24"/>
          <w:highlight w:val="none"/>
        </w:rPr>
        <w:t>1.6</w:t>
      </w:r>
      <w:r>
        <w:rPr>
          <w:rFonts w:hint="eastAsia"/>
          <w:color w:val="auto"/>
          <w:sz w:val="24"/>
          <w:szCs w:val="24"/>
          <w:highlight w:val="none"/>
        </w:rPr>
        <w:t>保密</w:t>
      </w:r>
      <w:bookmarkEnd w:id="26"/>
      <w:bookmarkEnd w:id="27"/>
      <w:bookmarkEnd w:id="28"/>
    </w:p>
    <w:p w14:paraId="170D1C55">
      <w:pPr>
        <w:spacing w:line="360" w:lineRule="auto"/>
        <w:ind w:firstLine="480" w:firstLineChars="200"/>
        <w:rPr>
          <w:color w:val="auto"/>
          <w:sz w:val="24"/>
          <w:highlight w:val="none"/>
        </w:rPr>
      </w:pPr>
      <w:r>
        <w:rPr>
          <w:color w:val="auto"/>
          <w:sz w:val="24"/>
          <w:highlight w:val="none"/>
        </w:rPr>
        <w:t>参与招标投标活动的各方应对招标文件和投标文件中</w:t>
      </w:r>
      <w:bookmarkStart w:id="29" w:name="_Toc352691477"/>
      <w:bookmarkStart w:id="30" w:name="_Toc369531519"/>
      <w:bookmarkStart w:id="31" w:name="_Toc384308214"/>
      <w:bookmarkStart w:id="32" w:name="_Toc5326"/>
      <w:bookmarkStart w:id="33" w:name="_Toc361508589"/>
      <w:r>
        <w:rPr>
          <w:color w:val="auto"/>
          <w:sz w:val="24"/>
          <w:highlight w:val="none"/>
        </w:rPr>
        <w:t>的商业和技术等秘密保密</w:t>
      </w:r>
      <w:bookmarkEnd w:id="29"/>
      <w:bookmarkEnd w:id="30"/>
      <w:bookmarkEnd w:id="31"/>
      <w:bookmarkEnd w:id="32"/>
      <w:bookmarkEnd w:id="33"/>
      <w:r>
        <w:rPr>
          <w:color w:val="auto"/>
          <w:sz w:val="24"/>
          <w:highlight w:val="none"/>
        </w:rPr>
        <w:t>，否则应承担相应的法律责任。</w:t>
      </w:r>
    </w:p>
    <w:p w14:paraId="5661EC7C">
      <w:pPr>
        <w:pStyle w:val="5"/>
        <w:ind w:firstLine="118"/>
        <w:rPr>
          <w:color w:val="auto"/>
          <w:sz w:val="24"/>
          <w:szCs w:val="24"/>
          <w:highlight w:val="none"/>
        </w:rPr>
      </w:pPr>
      <w:bookmarkStart w:id="34" w:name="_Toc529196527"/>
      <w:bookmarkStart w:id="35" w:name="_Toc515205200"/>
      <w:bookmarkStart w:id="36" w:name="_Toc4914"/>
      <w:r>
        <w:rPr>
          <w:color w:val="auto"/>
          <w:sz w:val="24"/>
          <w:szCs w:val="24"/>
          <w:highlight w:val="none"/>
        </w:rPr>
        <w:t>1.7 语言文字</w:t>
      </w:r>
      <w:bookmarkEnd w:id="34"/>
      <w:bookmarkEnd w:id="35"/>
      <w:bookmarkEnd w:id="36"/>
    </w:p>
    <w:p w14:paraId="6531F11E">
      <w:pPr>
        <w:spacing w:line="360" w:lineRule="auto"/>
        <w:ind w:firstLine="480" w:firstLineChars="200"/>
        <w:rPr>
          <w:color w:val="auto"/>
          <w:sz w:val="24"/>
          <w:highlight w:val="none"/>
        </w:rPr>
      </w:pPr>
      <w:r>
        <w:rPr>
          <w:color w:val="auto"/>
          <w:sz w:val="24"/>
          <w:highlight w:val="none"/>
        </w:rPr>
        <w:t>招标投标文件使用的语言文字为中文。专用术语使用外文的，应附有中文注释。</w:t>
      </w:r>
    </w:p>
    <w:p w14:paraId="2490A860">
      <w:pPr>
        <w:pStyle w:val="5"/>
        <w:ind w:firstLine="118"/>
        <w:rPr>
          <w:color w:val="auto"/>
          <w:sz w:val="24"/>
          <w:szCs w:val="24"/>
          <w:highlight w:val="none"/>
        </w:rPr>
      </w:pPr>
      <w:bookmarkStart w:id="37" w:name="_Toc515205201"/>
      <w:bookmarkStart w:id="38" w:name="_Toc11166"/>
      <w:bookmarkStart w:id="39" w:name="_Toc529196528"/>
      <w:r>
        <w:rPr>
          <w:color w:val="auto"/>
          <w:sz w:val="24"/>
          <w:szCs w:val="24"/>
          <w:highlight w:val="none"/>
        </w:rPr>
        <w:t>1.8计量单位</w:t>
      </w:r>
      <w:bookmarkEnd w:id="37"/>
      <w:bookmarkEnd w:id="38"/>
      <w:bookmarkEnd w:id="39"/>
    </w:p>
    <w:p w14:paraId="6512282B">
      <w:pPr>
        <w:spacing w:line="360" w:lineRule="auto"/>
        <w:ind w:firstLine="480" w:firstLineChars="200"/>
        <w:rPr>
          <w:color w:val="auto"/>
          <w:sz w:val="24"/>
          <w:highlight w:val="none"/>
        </w:rPr>
      </w:pPr>
      <w:r>
        <w:rPr>
          <w:color w:val="auto"/>
          <w:sz w:val="24"/>
          <w:highlight w:val="none"/>
        </w:rPr>
        <w:t>所有计量均采用中华人民共和国法定计量单位。</w:t>
      </w:r>
    </w:p>
    <w:p w14:paraId="385A85A9">
      <w:pPr>
        <w:pStyle w:val="5"/>
        <w:ind w:firstLine="118"/>
        <w:rPr>
          <w:color w:val="auto"/>
          <w:sz w:val="24"/>
          <w:szCs w:val="24"/>
          <w:highlight w:val="none"/>
        </w:rPr>
      </w:pPr>
      <w:bookmarkStart w:id="40" w:name="_Toc152042315"/>
      <w:bookmarkStart w:id="41" w:name="_Toc482188480"/>
      <w:bookmarkStart w:id="42" w:name="_Toc32130"/>
      <w:bookmarkStart w:id="43" w:name="_Toc152045539"/>
      <w:bookmarkStart w:id="44" w:name="_Toc144974507"/>
      <w:bookmarkStart w:id="45" w:name="_Toc384308219"/>
      <w:bookmarkStart w:id="46" w:name="_Toc370676289"/>
      <w:bookmarkStart w:id="47" w:name="_Toc515205202"/>
      <w:bookmarkStart w:id="48" w:name="_Toc529196529"/>
      <w:bookmarkStart w:id="49" w:name="_Toc247527563"/>
      <w:bookmarkStart w:id="50" w:name="_Toc247513962"/>
      <w:bookmarkStart w:id="51" w:name="_Toc361508594"/>
      <w:bookmarkStart w:id="52" w:name="_Toc300834959"/>
      <w:bookmarkStart w:id="53" w:name="_Toc391393967"/>
      <w:r>
        <w:rPr>
          <w:color w:val="auto"/>
          <w:sz w:val="24"/>
          <w:szCs w:val="24"/>
          <w:highlight w:val="none"/>
        </w:rPr>
        <w:t xml:space="preserve">1.9 </w:t>
      </w:r>
      <w:r>
        <w:rPr>
          <w:rFonts w:hint="eastAsia"/>
          <w:color w:val="auto"/>
          <w:sz w:val="24"/>
          <w:szCs w:val="24"/>
          <w:highlight w:val="none"/>
        </w:rPr>
        <w:t>踏勘现场</w:t>
      </w:r>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7349F806">
      <w:pPr>
        <w:spacing w:line="360" w:lineRule="auto"/>
        <w:ind w:firstLine="480" w:firstLineChars="200"/>
        <w:rPr>
          <w:color w:val="auto"/>
          <w:sz w:val="24"/>
          <w:highlight w:val="none"/>
        </w:rPr>
      </w:pPr>
      <w:r>
        <w:rPr>
          <w:color w:val="auto"/>
          <w:sz w:val="24"/>
          <w:highlight w:val="none"/>
        </w:rPr>
        <w:t>1.9.1 投标人须知前附表规定组织踏勘现场的，招标人按投标人须知前附表规定的时间、地点组织投标人踏勘项目现场。部分投标人未按时参加踏勘现场的，不影响踏勘现场的正常进行。</w:t>
      </w:r>
    </w:p>
    <w:p w14:paraId="5B88D294">
      <w:pPr>
        <w:spacing w:line="360" w:lineRule="auto"/>
        <w:ind w:firstLine="480" w:firstLineChars="200"/>
        <w:rPr>
          <w:color w:val="auto"/>
          <w:sz w:val="24"/>
          <w:highlight w:val="none"/>
        </w:rPr>
      </w:pPr>
      <w:r>
        <w:rPr>
          <w:color w:val="auto"/>
          <w:sz w:val="24"/>
          <w:highlight w:val="none"/>
        </w:rPr>
        <w:t>1.9.2 投标人踏勘现场发生的费用自理。</w:t>
      </w:r>
    </w:p>
    <w:p w14:paraId="7CC021F9">
      <w:pPr>
        <w:spacing w:line="360" w:lineRule="auto"/>
        <w:ind w:firstLine="480" w:firstLineChars="200"/>
        <w:rPr>
          <w:color w:val="auto"/>
          <w:sz w:val="24"/>
          <w:highlight w:val="none"/>
        </w:rPr>
      </w:pPr>
      <w:r>
        <w:rPr>
          <w:color w:val="auto"/>
          <w:sz w:val="24"/>
          <w:highlight w:val="none"/>
        </w:rPr>
        <w:t>1.9.3 除招标人的原因外，投标人自行负责在踏勘现场中所发生的人员伤亡和财产损失。</w:t>
      </w:r>
    </w:p>
    <w:p w14:paraId="176E0100">
      <w:pPr>
        <w:spacing w:line="360" w:lineRule="auto"/>
        <w:ind w:firstLine="480" w:firstLineChars="200"/>
        <w:rPr>
          <w:color w:val="auto"/>
          <w:sz w:val="24"/>
          <w:highlight w:val="none"/>
        </w:rPr>
      </w:pPr>
      <w:r>
        <w:rPr>
          <w:color w:val="auto"/>
          <w:sz w:val="24"/>
          <w:highlight w:val="none"/>
        </w:rPr>
        <w:t>1.9.4 招标人在踏勘现场中介绍的工程场地和相关的周边环境情况，供投标人在编制投标文件时参考，招标人不对投标人据此作出的判断和决策负责。</w:t>
      </w:r>
    </w:p>
    <w:p w14:paraId="7A9EE24A">
      <w:pPr>
        <w:pStyle w:val="5"/>
        <w:ind w:firstLine="118"/>
        <w:rPr>
          <w:color w:val="auto"/>
          <w:sz w:val="24"/>
          <w:szCs w:val="24"/>
          <w:highlight w:val="none"/>
        </w:rPr>
      </w:pPr>
      <w:bookmarkStart w:id="54" w:name="_Toc7376"/>
      <w:bookmarkStart w:id="55" w:name="_Toc529196530"/>
      <w:bookmarkStart w:id="56" w:name="_Toc515205203"/>
      <w:r>
        <w:rPr>
          <w:color w:val="auto"/>
          <w:sz w:val="24"/>
          <w:szCs w:val="24"/>
          <w:highlight w:val="none"/>
        </w:rPr>
        <w:t>1.10投标预备会</w:t>
      </w:r>
      <w:bookmarkEnd w:id="54"/>
      <w:bookmarkEnd w:id="55"/>
      <w:bookmarkEnd w:id="56"/>
    </w:p>
    <w:p w14:paraId="12239B84">
      <w:pPr>
        <w:spacing w:line="360" w:lineRule="auto"/>
        <w:ind w:firstLine="480" w:firstLineChars="200"/>
        <w:rPr>
          <w:color w:val="auto"/>
          <w:sz w:val="24"/>
          <w:highlight w:val="none"/>
        </w:rPr>
      </w:pPr>
      <w:r>
        <w:rPr>
          <w:color w:val="auto"/>
          <w:sz w:val="24"/>
          <w:highlight w:val="none"/>
        </w:rPr>
        <w:t>1.10.1 投标人须知前附表规定召开投标预备会的，招标人按投标人须知前附表规定的时间和地点召开投标预备会，澄清投标人提出的问题。</w:t>
      </w:r>
    </w:p>
    <w:p w14:paraId="4E56BAEC">
      <w:pPr>
        <w:spacing w:line="360" w:lineRule="auto"/>
        <w:ind w:firstLine="480" w:firstLineChars="200"/>
        <w:rPr>
          <w:color w:val="auto"/>
          <w:sz w:val="24"/>
          <w:highlight w:val="none"/>
        </w:rPr>
      </w:pPr>
      <w:r>
        <w:rPr>
          <w:color w:val="auto"/>
          <w:sz w:val="24"/>
          <w:highlight w:val="none"/>
        </w:rPr>
        <w:t>1.10.2 投标人应按投标人须知前附表规定的时间和形式将提出的问题送达招标人，以便招标人在会议期间澄清。</w:t>
      </w:r>
    </w:p>
    <w:p w14:paraId="6FD1B9E7">
      <w:pPr>
        <w:spacing w:line="360" w:lineRule="auto"/>
        <w:ind w:firstLine="480" w:firstLineChars="200"/>
        <w:rPr>
          <w:color w:val="auto"/>
          <w:sz w:val="24"/>
          <w:highlight w:val="none"/>
        </w:rPr>
      </w:pPr>
      <w:r>
        <w:rPr>
          <w:color w:val="auto"/>
          <w:sz w:val="24"/>
          <w:highlight w:val="none"/>
        </w:rPr>
        <w:t>1.10.3 投标预备会后，招标人将对投标人所提问题的澄清，以投标人须知前附表规定的形式通知所有购买招标文件的投标人。该澄清内容为招标文件的组成部分。</w:t>
      </w:r>
    </w:p>
    <w:p w14:paraId="089C67C0">
      <w:pPr>
        <w:pStyle w:val="5"/>
        <w:ind w:firstLine="118"/>
        <w:rPr>
          <w:color w:val="auto"/>
          <w:sz w:val="24"/>
          <w:szCs w:val="24"/>
          <w:highlight w:val="none"/>
        </w:rPr>
      </w:pPr>
      <w:bookmarkStart w:id="57" w:name="_Toc3235"/>
      <w:bookmarkStart w:id="58" w:name="_Toc529196531"/>
      <w:bookmarkStart w:id="59" w:name="_Toc515205204"/>
      <w:r>
        <w:rPr>
          <w:color w:val="auto"/>
          <w:sz w:val="24"/>
          <w:szCs w:val="24"/>
          <w:highlight w:val="none"/>
        </w:rPr>
        <w:t>1.11 分包</w:t>
      </w:r>
      <w:bookmarkEnd w:id="57"/>
      <w:bookmarkEnd w:id="58"/>
      <w:bookmarkEnd w:id="59"/>
    </w:p>
    <w:p w14:paraId="34E2D094">
      <w:pPr>
        <w:spacing w:line="360" w:lineRule="auto"/>
        <w:ind w:firstLine="480" w:firstLineChars="200"/>
        <w:rPr>
          <w:color w:val="auto"/>
          <w:sz w:val="24"/>
          <w:highlight w:val="none"/>
        </w:rPr>
      </w:pPr>
      <w:bookmarkStart w:id="60" w:name="_Toc28131"/>
      <w:bookmarkStart w:id="61" w:name="_Toc529196532"/>
      <w:bookmarkStart w:id="62" w:name="_Toc515205205"/>
      <w:r>
        <w:rPr>
          <w:color w:val="auto"/>
          <w:sz w:val="24"/>
          <w:highlight w:val="none"/>
        </w:rPr>
        <w:t>本项目</w:t>
      </w:r>
      <w:r>
        <w:rPr>
          <w:rFonts w:hint="eastAsia"/>
          <w:color w:val="auto"/>
          <w:sz w:val="24"/>
          <w:highlight w:val="none"/>
        </w:rPr>
        <w:t>不允许</w:t>
      </w:r>
      <w:r>
        <w:rPr>
          <w:color w:val="auto"/>
          <w:sz w:val="24"/>
          <w:highlight w:val="none"/>
        </w:rPr>
        <w:t>分包。</w:t>
      </w:r>
      <w:bookmarkEnd w:id="60"/>
    </w:p>
    <w:p w14:paraId="6BF21020">
      <w:pPr>
        <w:pStyle w:val="5"/>
        <w:ind w:firstLine="118"/>
        <w:rPr>
          <w:color w:val="auto"/>
          <w:sz w:val="24"/>
          <w:szCs w:val="24"/>
          <w:highlight w:val="none"/>
        </w:rPr>
      </w:pPr>
      <w:bookmarkStart w:id="63" w:name="_Toc10798"/>
      <w:r>
        <w:rPr>
          <w:color w:val="auto"/>
          <w:sz w:val="24"/>
          <w:szCs w:val="24"/>
          <w:highlight w:val="none"/>
        </w:rPr>
        <w:t>1.12响应和偏差</w:t>
      </w:r>
      <w:bookmarkEnd w:id="61"/>
      <w:bookmarkEnd w:id="62"/>
      <w:bookmarkEnd w:id="63"/>
    </w:p>
    <w:p w14:paraId="582AF242">
      <w:pPr>
        <w:spacing w:line="360" w:lineRule="auto"/>
        <w:ind w:firstLine="480" w:firstLineChars="200"/>
        <w:rPr>
          <w:color w:val="auto"/>
          <w:sz w:val="24"/>
          <w:highlight w:val="none"/>
        </w:rPr>
      </w:pPr>
      <w:r>
        <w:rPr>
          <w:color w:val="auto"/>
          <w:sz w:val="24"/>
          <w:highlight w:val="none"/>
        </w:rPr>
        <w:t>1.12.1投标文件应当对招标文件的实质性要求和条件作出满足性或更有利于招标人的响应，否则，投标人的投标将被否决。实质性要求和条件见投标人须知前附表。</w:t>
      </w:r>
    </w:p>
    <w:p w14:paraId="53667ABD">
      <w:pPr>
        <w:spacing w:line="360" w:lineRule="auto"/>
        <w:ind w:firstLine="480" w:firstLineChars="200"/>
        <w:rPr>
          <w:color w:val="auto"/>
          <w:sz w:val="24"/>
          <w:highlight w:val="none"/>
        </w:rPr>
      </w:pPr>
      <w:r>
        <w:rPr>
          <w:color w:val="auto"/>
          <w:sz w:val="24"/>
          <w:highlight w:val="none"/>
        </w:rPr>
        <w:t>1.12.2 投标人应根据招标文件的要求提供投标</w:t>
      </w:r>
      <w:r>
        <w:rPr>
          <w:rFonts w:hint="eastAsia"/>
          <w:color w:val="auto"/>
          <w:sz w:val="24"/>
          <w:highlight w:val="none"/>
        </w:rPr>
        <w:t>方案</w:t>
      </w:r>
      <w:r>
        <w:rPr>
          <w:color w:val="auto"/>
          <w:sz w:val="24"/>
          <w:highlight w:val="none"/>
        </w:rPr>
        <w:t>等内容以对招标文件作出响应。</w:t>
      </w:r>
    </w:p>
    <w:p w14:paraId="7B530000">
      <w:pPr>
        <w:spacing w:line="360" w:lineRule="auto"/>
        <w:ind w:firstLine="480" w:firstLineChars="200"/>
        <w:rPr>
          <w:color w:val="auto"/>
          <w:sz w:val="24"/>
          <w:highlight w:val="none"/>
        </w:rPr>
      </w:pPr>
      <w:r>
        <w:rPr>
          <w:color w:val="auto"/>
          <w:sz w:val="24"/>
          <w:highlight w:val="none"/>
        </w:rPr>
        <w:t>1.12.3投标人须知前附表允许投标文件偏离招标文件某些要求的，偏差应当符合招标文件规定的偏差范围和幅度。</w:t>
      </w:r>
    </w:p>
    <w:p w14:paraId="6252106A">
      <w:pPr>
        <w:pStyle w:val="5"/>
        <w:jc w:val="center"/>
        <w:rPr>
          <w:color w:val="auto"/>
          <w:highlight w:val="none"/>
        </w:rPr>
      </w:pPr>
      <w:bookmarkStart w:id="64" w:name="_Toc16024"/>
      <w:bookmarkStart w:id="65" w:name="_Toc529196533"/>
      <w:bookmarkStart w:id="66" w:name="_Toc515205206"/>
      <w:r>
        <w:rPr>
          <w:color w:val="auto"/>
          <w:highlight w:val="none"/>
        </w:rPr>
        <w:t>2. 招标文件</w:t>
      </w:r>
      <w:bookmarkEnd w:id="64"/>
      <w:bookmarkEnd w:id="65"/>
      <w:bookmarkEnd w:id="66"/>
    </w:p>
    <w:p w14:paraId="535E0239">
      <w:pPr>
        <w:pStyle w:val="5"/>
        <w:spacing w:before="120" w:after="120"/>
        <w:ind w:firstLine="137"/>
        <w:rPr>
          <w:color w:val="auto"/>
          <w:highlight w:val="none"/>
        </w:rPr>
      </w:pPr>
      <w:bookmarkStart w:id="67" w:name="_Toc10531"/>
      <w:bookmarkStart w:id="68" w:name="_Toc529196534"/>
      <w:bookmarkStart w:id="69" w:name="_Toc515205207"/>
      <w:r>
        <w:rPr>
          <w:color w:val="auto"/>
          <w:highlight w:val="none"/>
        </w:rPr>
        <w:t>2.1 招标文件的组成</w:t>
      </w:r>
      <w:bookmarkEnd w:id="67"/>
      <w:bookmarkEnd w:id="68"/>
      <w:bookmarkEnd w:id="69"/>
    </w:p>
    <w:p w14:paraId="2005EE5D">
      <w:pPr>
        <w:spacing w:line="360" w:lineRule="auto"/>
        <w:ind w:firstLine="410" w:firstLineChars="171"/>
        <w:rPr>
          <w:color w:val="auto"/>
          <w:sz w:val="24"/>
          <w:highlight w:val="none"/>
        </w:rPr>
      </w:pPr>
      <w:r>
        <w:rPr>
          <w:color w:val="auto"/>
          <w:sz w:val="24"/>
          <w:highlight w:val="none"/>
        </w:rPr>
        <w:t>本招标文件包括：</w:t>
      </w:r>
    </w:p>
    <w:p w14:paraId="4A3DAAF8">
      <w:pPr>
        <w:spacing w:line="360" w:lineRule="auto"/>
        <w:ind w:firstLine="410" w:firstLineChars="171"/>
        <w:rPr>
          <w:color w:val="auto"/>
          <w:sz w:val="24"/>
          <w:highlight w:val="none"/>
        </w:rPr>
      </w:pPr>
      <w:r>
        <w:rPr>
          <w:color w:val="auto"/>
          <w:sz w:val="24"/>
          <w:highlight w:val="none"/>
        </w:rPr>
        <w:t>（1）招标公告（或投标邀请书）；</w:t>
      </w:r>
    </w:p>
    <w:p w14:paraId="0DC6A69E">
      <w:pPr>
        <w:spacing w:line="360" w:lineRule="auto"/>
        <w:ind w:firstLine="410" w:firstLineChars="171"/>
        <w:rPr>
          <w:color w:val="auto"/>
          <w:sz w:val="24"/>
          <w:highlight w:val="none"/>
        </w:rPr>
      </w:pPr>
      <w:r>
        <w:rPr>
          <w:color w:val="auto"/>
          <w:sz w:val="24"/>
          <w:highlight w:val="none"/>
        </w:rPr>
        <w:t>（2）投标人须知；</w:t>
      </w:r>
    </w:p>
    <w:p w14:paraId="4F8BBF8E">
      <w:pPr>
        <w:spacing w:line="360" w:lineRule="auto"/>
        <w:ind w:firstLine="410" w:firstLineChars="171"/>
        <w:rPr>
          <w:color w:val="auto"/>
          <w:sz w:val="24"/>
          <w:highlight w:val="none"/>
        </w:rPr>
      </w:pPr>
      <w:r>
        <w:rPr>
          <w:color w:val="auto"/>
          <w:sz w:val="24"/>
          <w:highlight w:val="none"/>
        </w:rPr>
        <w:t>（3）评标办法；</w:t>
      </w:r>
    </w:p>
    <w:p w14:paraId="2232414F">
      <w:pPr>
        <w:spacing w:line="360" w:lineRule="auto"/>
        <w:ind w:firstLine="410" w:firstLineChars="171"/>
        <w:rPr>
          <w:color w:val="auto"/>
          <w:sz w:val="24"/>
          <w:highlight w:val="none"/>
        </w:rPr>
      </w:pPr>
      <w:r>
        <w:rPr>
          <w:color w:val="auto"/>
          <w:sz w:val="24"/>
          <w:highlight w:val="none"/>
        </w:rPr>
        <w:t>（4）合同条款及格式；</w:t>
      </w:r>
    </w:p>
    <w:p w14:paraId="1B811486">
      <w:pPr>
        <w:spacing w:line="360" w:lineRule="auto"/>
        <w:ind w:firstLine="410" w:firstLineChars="171"/>
        <w:rPr>
          <w:color w:val="auto"/>
          <w:sz w:val="24"/>
          <w:highlight w:val="none"/>
        </w:rPr>
      </w:pPr>
      <w:r>
        <w:rPr>
          <w:color w:val="auto"/>
          <w:sz w:val="24"/>
          <w:highlight w:val="none"/>
        </w:rPr>
        <w:t>（5）委托人要求；</w:t>
      </w:r>
    </w:p>
    <w:p w14:paraId="117C1C84">
      <w:pPr>
        <w:spacing w:line="360" w:lineRule="auto"/>
        <w:ind w:firstLine="410" w:firstLineChars="171"/>
        <w:rPr>
          <w:rFonts w:hint="eastAsia"/>
          <w:color w:val="auto"/>
          <w:sz w:val="24"/>
          <w:highlight w:val="none"/>
        </w:rPr>
      </w:pPr>
      <w:r>
        <w:rPr>
          <w:color w:val="auto"/>
          <w:sz w:val="24"/>
          <w:highlight w:val="none"/>
        </w:rPr>
        <w:t>（6）投标文件格式；</w:t>
      </w:r>
    </w:p>
    <w:p w14:paraId="2FEB3BE3">
      <w:pPr>
        <w:spacing w:line="360" w:lineRule="auto"/>
        <w:ind w:firstLine="410" w:firstLineChars="171"/>
        <w:rPr>
          <w:color w:val="auto"/>
          <w:sz w:val="24"/>
          <w:highlight w:val="none"/>
        </w:rPr>
      </w:pPr>
      <w:r>
        <w:rPr>
          <w:color w:val="auto"/>
          <w:sz w:val="24"/>
          <w:highlight w:val="none"/>
        </w:rPr>
        <w:t>（</w:t>
      </w:r>
      <w:r>
        <w:rPr>
          <w:rFonts w:hint="eastAsia"/>
          <w:color w:val="auto"/>
          <w:sz w:val="24"/>
          <w:highlight w:val="none"/>
        </w:rPr>
        <w:t>7</w:t>
      </w:r>
      <w:r>
        <w:rPr>
          <w:color w:val="auto"/>
          <w:sz w:val="24"/>
          <w:highlight w:val="none"/>
        </w:rPr>
        <w:t>）投标人须知前附表规定的其他资料。</w:t>
      </w:r>
    </w:p>
    <w:p w14:paraId="5C408AF4">
      <w:pPr>
        <w:spacing w:line="360" w:lineRule="auto"/>
        <w:ind w:firstLine="480" w:firstLineChars="200"/>
        <w:rPr>
          <w:color w:val="auto"/>
          <w:sz w:val="24"/>
          <w:highlight w:val="none"/>
        </w:rPr>
      </w:pPr>
      <w:r>
        <w:rPr>
          <w:color w:val="auto"/>
          <w:sz w:val="24"/>
          <w:highlight w:val="none"/>
        </w:rPr>
        <w:t>根据本章第1.10款、第2.2款和第2.3款对招标文件所作的澄清、修改，构成招标文件的组成部分。</w:t>
      </w:r>
    </w:p>
    <w:p w14:paraId="58BC72C3">
      <w:pPr>
        <w:pStyle w:val="5"/>
        <w:spacing w:before="120" w:after="120"/>
        <w:ind w:firstLine="137"/>
        <w:rPr>
          <w:color w:val="auto"/>
          <w:highlight w:val="none"/>
        </w:rPr>
      </w:pPr>
      <w:bookmarkStart w:id="70" w:name="_Toc515205208"/>
      <w:bookmarkStart w:id="71" w:name="_Toc10010"/>
      <w:bookmarkStart w:id="72" w:name="_Toc529196535"/>
      <w:r>
        <w:rPr>
          <w:color w:val="auto"/>
          <w:highlight w:val="none"/>
        </w:rPr>
        <w:t>2.2 招标文件的澄清</w:t>
      </w:r>
      <w:bookmarkEnd w:id="70"/>
      <w:bookmarkEnd w:id="71"/>
      <w:bookmarkEnd w:id="72"/>
    </w:p>
    <w:p w14:paraId="74FD0C7E">
      <w:pPr>
        <w:spacing w:line="360" w:lineRule="auto"/>
        <w:ind w:firstLine="410" w:firstLineChars="171"/>
        <w:rPr>
          <w:color w:val="auto"/>
          <w:sz w:val="24"/>
          <w:highlight w:val="none"/>
        </w:rPr>
      </w:pPr>
      <w:r>
        <w:rPr>
          <w:color w:val="auto"/>
          <w:sz w:val="24"/>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3419BC61">
      <w:pPr>
        <w:spacing w:line="360" w:lineRule="auto"/>
        <w:ind w:firstLine="410" w:firstLineChars="171"/>
        <w:rPr>
          <w:color w:val="auto"/>
          <w:sz w:val="24"/>
          <w:highlight w:val="none"/>
        </w:rPr>
      </w:pPr>
      <w:r>
        <w:rPr>
          <w:color w:val="auto"/>
          <w:sz w:val="24"/>
          <w:highlight w:val="none"/>
        </w:rPr>
        <w:t>2.2.2招标文件的澄清以投标人须知前附表规定的形式发给所有</w:t>
      </w:r>
      <w:r>
        <w:rPr>
          <w:rFonts w:hint="eastAsia"/>
          <w:color w:val="auto"/>
          <w:sz w:val="24"/>
          <w:highlight w:val="none"/>
        </w:rPr>
        <w:t>潜在</w:t>
      </w:r>
      <w:r>
        <w:rPr>
          <w:color w:val="auto"/>
          <w:sz w:val="24"/>
          <w:highlight w:val="none"/>
        </w:rPr>
        <w:t>投标人，但不指明澄清问题的来源。澄清发出的时间距本章第4.2.1项规定的投标截止时间不足15日的，并且澄清内容可能影响投标文件编制的，将相应延长投标截止时间。</w:t>
      </w:r>
    </w:p>
    <w:p w14:paraId="56440FD0">
      <w:pPr>
        <w:spacing w:line="360" w:lineRule="auto"/>
        <w:ind w:firstLine="410" w:firstLineChars="171"/>
        <w:rPr>
          <w:color w:val="auto"/>
          <w:sz w:val="24"/>
          <w:highlight w:val="none"/>
        </w:rPr>
      </w:pPr>
      <w:r>
        <w:rPr>
          <w:color w:val="auto"/>
          <w:sz w:val="24"/>
          <w:highlight w:val="none"/>
        </w:rPr>
        <w:t>2.2.3 投标人在收到澄清后，应按投标人须知前附表规定的时间和形式通知招标人，确认已收到该澄清。</w:t>
      </w:r>
    </w:p>
    <w:p w14:paraId="69DB769D">
      <w:pPr>
        <w:spacing w:line="360" w:lineRule="auto"/>
        <w:ind w:firstLine="410" w:firstLineChars="171"/>
        <w:rPr>
          <w:color w:val="auto"/>
          <w:sz w:val="24"/>
          <w:highlight w:val="none"/>
        </w:rPr>
      </w:pPr>
      <w:r>
        <w:rPr>
          <w:color w:val="auto"/>
          <w:sz w:val="24"/>
          <w:highlight w:val="none"/>
        </w:rPr>
        <w:t>2.2.4 除非招标人认为确有必要答复，否则，招标人有权拒绝回复投标人在</w:t>
      </w:r>
      <w:r>
        <w:rPr>
          <w:rFonts w:hint="eastAsia"/>
          <w:color w:val="auto"/>
          <w:sz w:val="24"/>
          <w:highlight w:val="none"/>
        </w:rPr>
        <w:t>本章第2.2.1项</w:t>
      </w:r>
      <w:r>
        <w:rPr>
          <w:color w:val="auto"/>
          <w:sz w:val="24"/>
          <w:highlight w:val="none"/>
        </w:rPr>
        <w:t>规定的时间后的任何澄清要求。</w:t>
      </w:r>
    </w:p>
    <w:p w14:paraId="50AECE0B">
      <w:pPr>
        <w:pStyle w:val="5"/>
        <w:spacing w:line="360" w:lineRule="auto"/>
        <w:ind w:firstLine="137"/>
        <w:rPr>
          <w:color w:val="auto"/>
          <w:highlight w:val="none"/>
        </w:rPr>
      </w:pPr>
      <w:bookmarkStart w:id="73" w:name="_Toc5537"/>
      <w:bookmarkStart w:id="74" w:name="_Toc529196536"/>
      <w:bookmarkStart w:id="75" w:name="_Toc515205209"/>
      <w:bookmarkStart w:id="76" w:name="_Toc352691479"/>
      <w:r>
        <w:rPr>
          <w:color w:val="auto"/>
          <w:highlight w:val="none"/>
        </w:rPr>
        <w:t>2.3 招标文件的修</w:t>
      </w:r>
      <w:bookmarkStart w:id="77" w:name="_Toc16514"/>
      <w:bookmarkStart w:id="78" w:name="_Toc369531521"/>
      <w:r>
        <w:rPr>
          <w:color w:val="auto"/>
          <w:highlight w:val="none"/>
        </w:rPr>
        <w:t>改</w:t>
      </w:r>
      <w:bookmarkEnd w:id="73"/>
      <w:bookmarkEnd w:id="74"/>
      <w:bookmarkEnd w:id="75"/>
    </w:p>
    <w:p w14:paraId="6A65BC8A">
      <w:pPr>
        <w:spacing w:line="360" w:lineRule="auto"/>
        <w:ind w:firstLine="410" w:firstLineChars="171"/>
        <w:rPr>
          <w:color w:val="auto"/>
          <w:sz w:val="24"/>
          <w:highlight w:val="none"/>
        </w:rPr>
      </w:pPr>
      <w:r>
        <w:rPr>
          <w:color w:val="auto"/>
          <w:sz w:val="24"/>
          <w:highlight w:val="none"/>
        </w:rPr>
        <w:t>2.3.1招标人以投标人须知前附表规定的形式修改招标文件，并通知所有</w:t>
      </w:r>
      <w:r>
        <w:rPr>
          <w:rFonts w:hint="eastAsia"/>
          <w:color w:val="auto"/>
          <w:sz w:val="24"/>
          <w:highlight w:val="none"/>
        </w:rPr>
        <w:t>潜在</w:t>
      </w:r>
      <w:r>
        <w:rPr>
          <w:color w:val="auto"/>
          <w:sz w:val="24"/>
          <w:highlight w:val="none"/>
        </w:rPr>
        <w:t>投标人。修改招标文件的时间距本章第4.2.1项规定的投标截止时间不足15日的，并且修改内容可能影响投标文件编制的，将相应延长投标截止时间。</w:t>
      </w:r>
    </w:p>
    <w:bookmarkEnd w:id="76"/>
    <w:bookmarkEnd w:id="77"/>
    <w:bookmarkEnd w:id="78"/>
    <w:p w14:paraId="2915E77C">
      <w:pPr>
        <w:spacing w:line="360" w:lineRule="auto"/>
        <w:ind w:firstLine="410" w:firstLineChars="171"/>
        <w:rPr>
          <w:color w:val="auto"/>
          <w:sz w:val="24"/>
          <w:highlight w:val="none"/>
        </w:rPr>
      </w:pPr>
      <w:r>
        <w:rPr>
          <w:color w:val="auto"/>
          <w:sz w:val="24"/>
          <w:highlight w:val="none"/>
        </w:rPr>
        <w:t>2.3.2 投标人收到修改内容</w:t>
      </w:r>
      <w:bookmarkStart w:id="79" w:name="_Toc144974506"/>
      <w:bookmarkStart w:id="80" w:name="_Toc300834958"/>
      <w:bookmarkStart w:id="81" w:name="_Toc152045538"/>
      <w:bookmarkStart w:id="82" w:name="_Toc247527562"/>
      <w:bookmarkStart w:id="83" w:name="_Toc247513961"/>
      <w:bookmarkStart w:id="84" w:name="_Toc384308218"/>
      <w:bookmarkStart w:id="85" w:name="_Toc361508593"/>
      <w:bookmarkStart w:id="86" w:name="_Toc352691482"/>
      <w:bookmarkStart w:id="87" w:name="_Toc24632"/>
      <w:bookmarkStart w:id="88" w:name="_Toc369531524"/>
      <w:bookmarkStart w:id="89" w:name="_Toc152042314"/>
      <w:r>
        <w:rPr>
          <w:color w:val="auto"/>
          <w:sz w:val="24"/>
          <w:highlight w:val="none"/>
        </w:rPr>
        <w:t>后，</w:t>
      </w:r>
      <w:bookmarkEnd w:id="79"/>
      <w:bookmarkEnd w:id="80"/>
      <w:bookmarkEnd w:id="81"/>
      <w:bookmarkEnd w:id="82"/>
      <w:bookmarkEnd w:id="83"/>
      <w:bookmarkEnd w:id="84"/>
      <w:bookmarkEnd w:id="85"/>
      <w:bookmarkEnd w:id="86"/>
      <w:bookmarkEnd w:id="87"/>
      <w:bookmarkEnd w:id="88"/>
      <w:bookmarkEnd w:id="89"/>
      <w:bookmarkStart w:id="90" w:name="_Toc384308220"/>
      <w:bookmarkStart w:id="91" w:name="_Toc144974508"/>
      <w:bookmarkStart w:id="92" w:name="_Toc300834960"/>
      <w:bookmarkStart w:id="93" w:name="_Toc152042316"/>
      <w:bookmarkStart w:id="94" w:name="_Toc352691484"/>
      <w:bookmarkStart w:id="95" w:name="_Toc247513963"/>
      <w:bookmarkStart w:id="96" w:name="_Toc361508595"/>
      <w:bookmarkStart w:id="97" w:name="_Toc247527564"/>
      <w:bookmarkStart w:id="98" w:name="_Toc369531526"/>
      <w:bookmarkStart w:id="99" w:name="_Toc16623"/>
      <w:bookmarkStart w:id="100" w:name="_Toc152045540"/>
      <w:r>
        <w:rPr>
          <w:color w:val="auto"/>
          <w:sz w:val="24"/>
          <w:highlight w:val="none"/>
        </w:rPr>
        <w:t>应按投标人须知前附表规定的时间和形式通知招标人，确认已收到该修改。</w:t>
      </w:r>
    </w:p>
    <w:p w14:paraId="45B7F0EC">
      <w:pPr>
        <w:pStyle w:val="5"/>
        <w:spacing w:before="120" w:after="120"/>
        <w:ind w:firstLine="137"/>
        <w:rPr>
          <w:color w:val="auto"/>
          <w:highlight w:val="none"/>
        </w:rPr>
      </w:pPr>
      <w:bookmarkStart w:id="101" w:name="_Toc27959"/>
      <w:bookmarkStart w:id="102" w:name="_Toc529196537"/>
      <w:bookmarkStart w:id="103" w:name="_Toc515205210"/>
      <w:r>
        <w:rPr>
          <w:color w:val="auto"/>
          <w:highlight w:val="none"/>
        </w:rPr>
        <w:t>2.</w:t>
      </w:r>
      <w:bookmarkEnd w:id="90"/>
      <w:bookmarkEnd w:id="91"/>
      <w:bookmarkEnd w:id="92"/>
      <w:bookmarkEnd w:id="93"/>
      <w:bookmarkEnd w:id="94"/>
      <w:bookmarkEnd w:id="95"/>
      <w:bookmarkEnd w:id="96"/>
      <w:bookmarkEnd w:id="97"/>
      <w:bookmarkEnd w:id="98"/>
      <w:bookmarkEnd w:id="99"/>
      <w:bookmarkEnd w:id="100"/>
      <w:r>
        <w:rPr>
          <w:color w:val="auto"/>
          <w:highlight w:val="none"/>
        </w:rPr>
        <w:t>4 招标文件的异议</w:t>
      </w:r>
      <w:bookmarkEnd w:id="101"/>
      <w:bookmarkEnd w:id="102"/>
      <w:bookmarkEnd w:id="103"/>
    </w:p>
    <w:p w14:paraId="1AE8979C">
      <w:pPr>
        <w:spacing w:line="360" w:lineRule="auto"/>
        <w:ind w:firstLine="410" w:firstLineChars="171"/>
        <w:rPr>
          <w:color w:val="auto"/>
          <w:sz w:val="24"/>
          <w:highlight w:val="none"/>
        </w:rPr>
      </w:pPr>
      <w:r>
        <w:rPr>
          <w:color w:val="auto"/>
          <w:sz w:val="24"/>
          <w:highlight w:val="none"/>
        </w:rPr>
        <w:t>投标人或者其他利害关系人对招标文件有异议的，应当在投标截止时间10日前以书面形式提出。招标人将在收到异议之日起3日内作出答复；作出答复前，将暂停招标投标活动。</w:t>
      </w:r>
    </w:p>
    <w:p w14:paraId="592500BB">
      <w:pPr>
        <w:spacing w:line="360" w:lineRule="auto"/>
        <w:ind w:firstLine="410" w:firstLineChars="171"/>
        <w:rPr>
          <w:color w:val="auto"/>
          <w:sz w:val="24"/>
          <w:highlight w:val="none"/>
          <w:u w:val="single"/>
        </w:rPr>
      </w:pPr>
      <w:r>
        <w:rPr>
          <w:rFonts w:hint="eastAsia"/>
          <w:color w:val="auto"/>
          <w:sz w:val="24"/>
          <w:highlight w:val="none"/>
          <w:u w:val="single"/>
        </w:rPr>
        <w:t>注：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p w14:paraId="29107195">
      <w:pPr>
        <w:spacing w:line="360" w:lineRule="auto"/>
        <w:ind w:firstLine="410" w:firstLineChars="171"/>
        <w:rPr>
          <w:color w:val="auto"/>
          <w:sz w:val="24"/>
          <w:highlight w:val="none"/>
        </w:rPr>
      </w:pPr>
    </w:p>
    <w:p w14:paraId="15DE46E3">
      <w:pPr>
        <w:pStyle w:val="5"/>
        <w:jc w:val="center"/>
        <w:rPr>
          <w:color w:val="auto"/>
          <w:highlight w:val="none"/>
        </w:rPr>
      </w:pPr>
      <w:bookmarkStart w:id="104" w:name="_Toc10149"/>
      <w:bookmarkStart w:id="105" w:name="_Toc515205211"/>
      <w:bookmarkStart w:id="106" w:name="_Toc529196538"/>
      <w:r>
        <w:rPr>
          <w:color w:val="auto"/>
          <w:highlight w:val="none"/>
        </w:rPr>
        <w:t>3. 投标文件</w:t>
      </w:r>
      <w:bookmarkEnd w:id="104"/>
      <w:bookmarkEnd w:id="105"/>
      <w:bookmarkEnd w:id="106"/>
    </w:p>
    <w:p w14:paraId="18028C17">
      <w:pPr>
        <w:pStyle w:val="5"/>
        <w:spacing w:before="120" w:after="120"/>
        <w:ind w:firstLine="137"/>
        <w:rPr>
          <w:color w:val="auto"/>
          <w:highlight w:val="none"/>
        </w:rPr>
      </w:pPr>
      <w:bookmarkStart w:id="107" w:name="_Toc529196539"/>
      <w:bookmarkStart w:id="108" w:name="_Toc515205212"/>
      <w:bookmarkStart w:id="109" w:name="_Toc29885"/>
      <w:r>
        <w:rPr>
          <w:color w:val="auto"/>
          <w:highlight w:val="none"/>
        </w:rPr>
        <w:t>3.1 投标文件的组成</w:t>
      </w:r>
      <w:bookmarkEnd w:id="107"/>
      <w:bookmarkEnd w:id="108"/>
      <w:bookmarkEnd w:id="109"/>
    </w:p>
    <w:p w14:paraId="7AE56E0D">
      <w:pPr>
        <w:spacing w:line="360" w:lineRule="auto"/>
        <w:rPr>
          <w:color w:val="auto"/>
          <w:sz w:val="24"/>
          <w:highlight w:val="none"/>
        </w:rPr>
      </w:pPr>
      <w:r>
        <w:rPr>
          <w:color w:val="auto"/>
          <w:sz w:val="24"/>
          <w:highlight w:val="none"/>
        </w:rPr>
        <w:t>　　3.1.1 投标文件应包括下列内容：</w:t>
      </w:r>
    </w:p>
    <w:p w14:paraId="725C3C35">
      <w:pPr>
        <w:spacing w:line="440" w:lineRule="exact"/>
        <w:ind w:firstLine="480" w:firstLineChars="200"/>
        <w:rPr>
          <w:rFonts w:hint="eastAsia" w:cs="宋体"/>
          <w:color w:val="auto"/>
          <w:sz w:val="24"/>
          <w:szCs w:val="24"/>
          <w:highlight w:val="none"/>
          <w:u w:val="single"/>
        </w:rPr>
      </w:pPr>
      <w:r>
        <w:rPr>
          <w:rFonts w:hint="eastAsia" w:hAnsi="宋体" w:cs="宋体"/>
          <w:color w:val="auto"/>
          <w:sz w:val="24"/>
          <w:szCs w:val="24"/>
          <w:highlight w:val="none"/>
          <w:u w:val="single"/>
        </w:rPr>
        <w:t>（</w:t>
      </w:r>
      <w:r>
        <w:rPr>
          <w:rFonts w:hint="eastAsia" w:cs="宋体"/>
          <w:color w:val="auto"/>
          <w:sz w:val="24"/>
          <w:szCs w:val="24"/>
          <w:highlight w:val="none"/>
          <w:u w:val="single"/>
        </w:rPr>
        <w:t>1</w:t>
      </w:r>
      <w:r>
        <w:rPr>
          <w:rFonts w:hint="eastAsia" w:hAnsi="宋体" w:cs="宋体"/>
          <w:color w:val="auto"/>
          <w:sz w:val="24"/>
          <w:szCs w:val="24"/>
          <w:highlight w:val="none"/>
          <w:u w:val="single"/>
        </w:rPr>
        <w:t>）</w:t>
      </w:r>
      <w:r>
        <w:rPr>
          <w:rFonts w:hAnsi="宋体" w:cs="宋体"/>
          <w:color w:val="auto"/>
          <w:sz w:val="24"/>
          <w:szCs w:val="24"/>
          <w:highlight w:val="none"/>
          <w:u w:val="single"/>
        </w:rPr>
        <w:t>投标函及</w:t>
      </w:r>
      <w:r>
        <w:rPr>
          <w:rFonts w:hint="eastAsia" w:hAnsi="宋体" w:cs="宋体"/>
          <w:color w:val="auto"/>
          <w:sz w:val="24"/>
          <w:szCs w:val="24"/>
          <w:highlight w:val="none"/>
          <w:u w:val="single"/>
        </w:rPr>
        <w:t>投标函附录；</w:t>
      </w:r>
    </w:p>
    <w:p w14:paraId="07F8F58C">
      <w:pPr>
        <w:spacing w:line="440" w:lineRule="exact"/>
        <w:ind w:firstLine="480" w:firstLineChars="200"/>
        <w:rPr>
          <w:rFonts w:hint="eastAsia" w:cs="宋体"/>
          <w:color w:val="auto"/>
          <w:sz w:val="24"/>
          <w:szCs w:val="24"/>
          <w:highlight w:val="none"/>
          <w:u w:val="single"/>
        </w:rPr>
      </w:pPr>
      <w:r>
        <w:rPr>
          <w:rFonts w:hint="eastAsia" w:hAnsi="宋体" w:cs="宋体"/>
          <w:color w:val="auto"/>
          <w:sz w:val="24"/>
          <w:szCs w:val="24"/>
          <w:highlight w:val="none"/>
          <w:u w:val="single"/>
        </w:rPr>
        <w:t>（</w:t>
      </w:r>
      <w:r>
        <w:rPr>
          <w:rFonts w:hint="eastAsia" w:cs="宋体"/>
          <w:color w:val="auto"/>
          <w:sz w:val="24"/>
          <w:szCs w:val="24"/>
          <w:highlight w:val="none"/>
          <w:u w:val="single"/>
        </w:rPr>
        <w:t>2</w:t>
      </w:r>
      <w:r>
        <w:rPr>
          <w:rFonts w:hint="eastAsia" w:hAnsi="宋体" w:cs="宋体"/>
          <w:color w:val="auto"/>
          <w:sz w:val="24"/>
          <w:szCs w:val="24"/>
          <w:highlight w:val="none"/>
          <w:u w:val="single"/>
        </w:rPr>
        <w:t>）法定代表人身份证明或授权委托书；</w:t>
      </w:r>
    </w:p>
    <w:p w14:paraId="037F444E">
      <w:pPr>
        <w:spacing w:line="440" w:lineRule="exact"/>
        <w:ind w:firstLine="480" w:firstLineChars="200"/>
        <w:rPr>
          <w:rFonts w:hint="eastAsia" w:cs="宋体"/>
          <w:strike/>
          <w:color w:val="auto"/>
          <w:sz w:val="24"/>
          <w:szCs w:val="24"/>
          <w:highlight w:val="none"/>
          <w:u w:val="single"/>
        </w:rPr>
      </w:pPr>
      <w:r>
        <w:rPr>
          <w:rFonts w:hint="eastAsia" w:hAnsi="宋体" w:cs="宋体"/>
          <w:strike/>
          <w:color w:val="auto"/>
          <w:sz w:val="24"/>
          <w:szCs w:val="24"/>
          <w:highlight w:val="none"/>
          <w:u w:val="single"/>
        </w:rPr>
        <w:t>（</w:t>
      </w:r>
      <w:r>
        <w:rPr>
          <w:rFonts w:hint="eastAsia" w:cs="宋体"/>
          <w:strike/>
          <w:color w:val="auto"/>
          <w:sz w:val="24"/>
          <w:szCs w:val="24"/>
          <w:highlight w:val="none"/>
          <w:u w:val="single"/>
        </w:rPr>
        <w:t>3</w:t>
      </w:r>
      <w:r>
        <w:rPr>
          <w:rFonts w:hint="eastAsia" w:hAnsi="宋体" w:cs="宋体"/>
          <w:strike/>
          <w:color w:val="auto"/>
          <w:sz w:val="24"/>
          <w:szCs w:val="24"/>
          <w:highlight w:val="none"/>
          <w:u w:val="single"/>
        </w:rPr>
        <w:t>）投标保证金</w:t>
      </w:r>
    </w:p>
    <w:p w14:paraId="121A31FD">
      <w:pPr>
        <w:spacing w:line="440" w:lineRule="exact"/>
        <w:ind w:firstLine="480" w:firstLineChars="200"/>
        <w:rPr>
          <w:rFonts w:hint="eastAsia" w:cs="宋体"/>
          <w:color w:val="auto"/>
          <w:sz w:val="24"/>
          <w:szCs w:val="24"/>
          <w:highlight w:val="none"/>
          <w:u w:val="single"/>
        </w:rPr>
      </w:pPr>
      <w:r>
        <w:rPr>
          <w:rFonts w:hint="eastAsia" w:hAnsi="宋体" w:cs="宋体"/>
          <w:color w:val="auto"/>
          <w:sz w:val="24"/>
          <w:szCs w:val="24"/>
          <w:highlight w:val="none"/>
          <w:u w:val="single"/>
        </w:rPr>
        <w:t>（</w:t>
      </w:r>
      <w:r>
        <w:rPr>
          <w:rFonts w:hint="eastAsia" w:cs="宋体"/>
          <w:color w:val="auto"/>
          <w:sz w:val="24"/>
          <w:szCs w:val="24"/>
          <w:highlight w:val="none"/>
          <w:u w:val="single"/>
        </w:rPr>
        <w:t>4</w:t>
      </w:r>
      <w:r>
        <w:rPr>
          <w:rFonts w:hint="eastAsia" w:hAnsi="宋体" w:cs="宋体"/>
          <w:color w:val="auto"/>
          <w:sz w:val="24"/>
          <w:szCs w:val="24"/>
          <w:highlight w:val="none"/>
          <w:u w:val="single"/>
        </w:rPr>
        <w:t>）投标报价书；</w:t>
      </w:r>
    </w:p>
    <w:p w14:paraId="27681373">
      <w:pPr>
        <w:spacing w:line="440" w:lineRule="exact"/>
        <w:ind w:firstLine="480" w:firstLineChars="200"/>
        <w:rPr>
          <w:rFonts w:hint="eastAsia" w:cs="宋体"/>
          <w:color w:val="auto"/>
          <w:sz w:val="24"/>
          <w:szCs w:val="24"/>
          <w:highlight w:val="none"/>
          <w:u w:val="single"/>
        </w:rPr>
      </w:pPr>
      <w:r>
        <w:rPr>
          <w:rFonts w:hint="eastAsia" w:hAnsi="宋体" w:cs="宋体"/>
          <w:color w:val="auto"/>
          <w:sz w:val="24"/>
          <w:szCs w:val="24"/>
          <w:highlight w:val="none"/>
          <w:u w:val="single"/>
        </w:rPr>
        <w:t>（</w:t>
      </w:r>
      <w:r>
        <w:rPr>
          <w:rFonts w:hint="eastAsia" w:cs="宋体"/>
          <w:color w:val="auto"/>
          <w:sz w:val="24"/>
          <w:szCs w:val="24"/>
          <w:highlight w:val="none"/>
          <w:u w:val="single"/>
        </w:rPr>
        <w:t>5</w:t>
      </w:r>
      <w:r>
        <w:rPr>
          <w:rFonts w:hint="eastAsia" w:hAnsi="宋体" w:cs="宋体"/>
          <w:color w:val="auto"/>
          <w:sz w:val="24"/>
          <w:szCs w:val="24"/>
          <w:highlight w:val="none"/>
          <w:u w:val="single"/>
        </w:rPr>
        <w:t>）资格审查资料；</w:t>
      </w:r>
    </w:p>
    <w:p w14:paraId="6E2E577C">
      <w:pPr>
        <w:spacing w:line="440" w:lineRule="exact"/>
        <w:ind w:firstLine="480" w:firstLineChars="200"/>
        <w:rPr>
          <w:rFonts w:hint="eastAsia" w:cs="宋体"/>
          <w:color w:val="auto"/>
          <w:sz w:val="24"/>
          <w:szCs w:val="24"/>
          <w:highlight w:val="none"/>
          <w:u w:val="single"/>
        </w:rPr>
      </w:pPr>
      <w:r>
        <w:rPr>
          <w:rFonts w:hint="eastAsia" w:hAnsi="宋体" w:cs="宋体"/>
          <w:color w:val="auto"/>
          <w:sz w:val="24"/>
          <w:szCs w:val="24"/>
          <w:highlight w:val="none"/>
          <w:u w:val="single"/>
        </w:rPr>
        <w:t>（</w:t>
      </w:r>
      <w:r>
        <w:rPr>
          <w:rFonts w:hint="eastAsia" w:cs="宋体"/>
          <w:color w:val="auto"/>
          <w:sz w:val="24"/>
          <w:szCs w:val="24"/>
          <w:highlight w:val="none"/>
          <w:u w:val="single"/>
        </w:rPr>
        <w:t>6</w:t>
      </w:r>
      <w:r>
        <w:rPr>
          <w:rFonts w:hint="eastAsia" w:hAnsi="宋体" w:cs="宋体"/>
          <w:color w:val="auto"/>
          <w:sz w:val="24"/>
          <w:szCs w:val="24"/>
          <w:highlight w:val="none"/>
          <w:u w:val="single"/>
        </w:rPr>
        <w:t>）企业资信业绩证明资料；</w:t>
      </w:r>
    </w:p>
    <w:p w14:paraId="116F4449">
      <w:pPr>
        <w:spacing w:line="440" w:lineRule="exact"/>
        <w:ind w:firstLine="480" w:firstLineChars="200"/>
        <w:rPr>
          <w:rFonts w:hint="eastAsia" w:cs="宋体"/>
          <w:color w:val="auto"/>
          <w:sz w:val="24"/>
          <w:szCs w:val="24"/>
          <w:highlight w:val="none"/>
          <w:u w:val="single"/>
        </w:rPr>
      </w:pPr>
      <w:r>
        <w:rPr>
          <w:rFonts w:hint="eastAsia" w:hAnsi="宋体" w:cs="宋体"/>
          <w:color w:val="auto"/>
          <w:sz w:val="24"/>
          <w:szCs w:val="24"/>
          <w:highlight w:val="none"/>
          <w:u w:val="single"/>
        </w:rPr>
        <w:t>（</w:t>
      </w:r>
      <w:r>
        <w:rPr>
          <w:rFonts w:hint="eastAsia" w:cs="宋体"/>
          <w:color w:val="auto"/>
          <w:sz w:val="24"/>
          <w:szCs w:val="24"/>
          <w:highlight w:val="none"/>
          <w:u w:val="single"/>
        </w:rPr>
        <w:t>7</w:t>
      </w:r>
      <w:r>
        <w:rPr>
          <w:rFonts w:hint="eastAsia" w:hAnsi="宋体" w:cs="宋体"/>
          <w:color w:val="auto"/>
          <w:sz w:val="24"/>
          <w:szCs w:val="24"/>
          <w:highlight w:val="none"/>
          <w:u w:val="single"/>
        </w:rPr>
        <w:t>）监测监控方案；</w:t>
      </w:r>
    </w:p>
    <w:p w14:paraId="3D888CC5">
      <w:pPr>
        <w:spacing w:line="440" w:lineRule="exact"/>
        <w:ind w:firstLine="480" w:firstLineChars="200"/>
        <w:rPr>
          <w:rFonts w:hint="eastAsia" w:cs="宋体"/>
          <w:color w:val="auto"/>
          <w:sz w:val="24"/>
          <w:szCs w:val="24"/>
          <w:highlight w:val="none"/>
        </w:rPr>
      </w:pPr>
      <w:r>
        <w:rPr>
          <w:rFonts w:hint="eastAsia" w:hAnsi="宋体" w:cs="宋体"/>
          <w:color w:val="auto"/>
          <w:sz w:val="24"/>
          <w:szCs w:val="24"/>
          <w:highlight w:val="none"/>
          <w:u w:val="single"/>
        </w:rPr>
        <w:t>（</w:t>
      </w:r>
      <w:r>
        <w:rPr>
          <w:rFonts w:hint="eastAsia" w:cs="宋体"/>
          <w:color w:val="auto"/>
          <w:sz w:val="24"/>
          <w:szCs w:val="24"/>
          <w:highlight w:val="none"/>
          <w:u w:val="single"/>
          <w:lang w:val="en-US" w:eastAsia="zh-CN"/>
        </w:rPr>
        <w:t>8</w:t>
      </w:r>
      <w:r>
        <w:rPr>
          <w:rFonts w:hint="eastAsia" w:hAnsi="宋体" w:cs="宋体"/>
          <w:color w:val="auto"/>
          <w:sz w:val="24"/>
          <w:szCs w:val="24"/>
          <w:highlight w:val="none"/>
          <w:u w:val="single"/>
        </w:rPr>
        <w:t>）其他资料（投标人认为有必要提交或根据投标人资格和评标办法要求提交的其他资料）。</w:t>
      </w:r>
    </w:p>
    <w:p w14:paraId="08CE29C2">
      <w:pPr>
        <w:spacing w:line="440" w:lineRule="exact"/>
        <w:ind w:firstLine="480" w:firstLineChars="200"/>
        <w:rPr>
          <w:rFonts w:hint="eastAsia" w:cs="宋体"/>
          <w:color w:val="auto"/>
          <w:sz w:val="24"/>
          <w:szCs w:val="24"/>
          <w:highlight w:val="none"/>
          <w:u w:val="single"/>
        </w:rPr>
      </w:pPr>
      <w:r>
        <w:rPr>
          <w:rFonts w:hint="eastAsia" w:hAnsi="宋体" w:cs="宋体"/>
          <w:color w:val="auto"/>
          <w:sz w:val="24"/>
          <w:szCs w:val="24"/>
          <w:highlight w:val="none"/>
        </w:rPr>
        <w:t>投标人在评标过程中作出的符合法律法规和招标文件规定的澄清确认，构成投标文件的组成部分。</w:t>
      </w:r>
    </w:p>
    <w:p w14:paraId="01575829">
      <w:pPr>
        <w:spacing w:line="360" w:lineRule="auto"/>
        <w:ind w:firstLine="410" w:firstLineChars="171"/>
        <w:rPr>
          <w:color w:val="auto"/>
          <w:sz w:val="24"/>
          <w:highlight w:val="none"/>
        </w:rPr>
      </w:pPr>
      <w:r>
        <w:rPr>
          <w:color w:val="auto"/>
          <w:sz w:val="24"/>
          <w:highlight w:val="none"/>
        </w:rPr>
        <w:t>3.1.2 投标人须知前附表规定不接受联合体投标的，或投标人没有组成联合体的，投标文件不包括本章第3.1.1（3）目所指的联合体协议书。</w:t>
      </w:r>
    </w:p>
    <w:p w14:paraId="5FF0C50E">
      <w:pPr>
        <w:spacing w:line="360" w:lineRule="auto"/>
        <w:ind w:firstLine="410" w:firstLineChars="171"/>
        <w:rPr>
          <w:color w:val="auto"/>
          <w:sz w:val="24"/>
          <w:highlight w:val="none"/>
        </w:rPr>
      </w:pPr>
      <w:r>
        <w:rPr>
          <w:color w:val="auto"/>
          <w:sz w:val="24"/>
          <w:highlight w:val="none"/>
        </w:rPr>
        <w:t>3.1.3 投标人须知前附表未要求提交投标保证金的，投标文件不包括本章第3.1.1（4）目所指的投标保证金。</w:t>
      </w:r>
    </w:p>
    <w:p w14:paraId="0DF7AB28">
      <w:pPr>
        <w:pStyle w:val="5"/>
        <w:spacing w:before="120" w:after="120"/>
        <w:ind w:firstLine="137"/>
        <w:rPr>
          <w:color w:val="auto"/>
          <w:highlight w:val="none"/>
        </w:rPr>
      </w:pPr>
      <w:bookmarkStart w:id="110" w:name="_Toc515205213"/>
      <w:bookmarkStart w:id="111" w:name="_Toc6271"/>
      <w:bookmarkStart w:id="112" w:name="_Toc529196540"/>
      <w:bookmarkStart w:id="113" w:name="_Toc514876754"/>
      <w:r>
        <w:rPr>
          <w:color w:val="auto"/>
          <w:highlight w:val="none"/>
        </w:rPr>
        <w:t>3.2 投标报价</w:t>
      </w:r>
      <w:bookmarkEnd w:id="110"/>
      <w:bookmarkEnd w:id="111"/>
      <w:bookmarkEnd w:id="112"/>
      <w:bookmarkEnd w:id="113"/>
    </w:p>
    <w:p w14:paraId="41C7264F">
      <w:pPr>
        <w:pStyle w:val="32"/>
        <w:ind w:firstLine="480"/>
        <w:rPr>
          <w:color w:val="auto"/>
          <w:spacing w:val="0"/>
          <w:highlight w:val="none"/>
        </w:rPr>
      </w:pPr>
      <w:r>
        <w:rPr>
          <w:rFonts w:hint="eastAsia"/>
          <w:color w:val="auto"/>
          <w:spacing w:val="0"/>
          <w:highlight w:val="none"/>
        </w:rPr>
        <w:t xml:space="preserve">3.2.1 </w:t>
      </w:r>
      <w:r>
        <w:rPr>
          <w:color w:val="auto"/>
          <w:spacing w:val="0"/>
          <w:highlight w:val="none"/>
        </w:rPr>
        <w:t>投标报价应包括国家规定的增值税税金，除投标人须知前附表另有规定外，增值税税金按一般计税方法计算。投标人应按第</w:t>
      </w:r>
      <w:r>
        <w:rPr>
          <w:rFonts w:hint="eastAsia"/>
          <w:color w:val="auto"/>
          <w:spacing w:val="0"/>
          <w:highlight w:val="none"/>
        </w:rPr>
        <w:t>六</w:t>
      </w:r>
      <w:r>
        <w:rPr>
          <w:color w:val="auto"/>
          <w:spacing w:val="0"/>
          <w:highlight w:val="none"/>
        </w:rPr>
        <w:t>章“投标文件格式”的要求在投标函中进行报价并填写</w:t>
      </w:r>
      <w:r>
        <w:rPr>
          <w:rFonts w:hint="eastAsia"/>
          <w:color w:val="auto"/>
          <w:spacing w:val="0"/>
          <w:highlight w:val="none"/>
        </w:rPr>
        <w:t>投标报价书</w:t>
      </w:r>
      <w:r>
        <w:rPr>
          <w:color w:val="auto"/>
          <w:spacing w:val="0"/>
          <w:highlight w:val="none"/>
        </w:rPr>
        <w:t>。</w:t>
      </w:r>
    </w:p>
    <w:p w14:paraId="540E2ECA">
      <w:pPr>
        <w:pStyle w:val="32"/>
        <w:ind w:firstLine="480"/>
        <w:rPr>
          <w:color w:val="auto"/>
          <w:spacing w:val="0"/>
          <w:highlight w:val="none"/>
        </w:rPr>
      </w:pPr>
      <w:r>
        <w:rPr>
          <w:rFonts w:hint="eastAsia"/>
          <w:color w:val="auto"/>
          <w:spacing w:val="0"/>
          <w:highlight w:val="none"/>
        </w:rPr>
        <w:t xml:space="preserve">3.2.2 </w:t>
      </w:r>
      <w:r>
        <w:rPr>
          <w:color w:val="auto"/>
          <w:spacing w:val="0"/>
          <w:highlight w:val="none"/>
        </w:rPr>
        <w:t>投标人应充分了解该项目的总体情况以及影响投标报价的其他要素</w:t>
      </w:r>
      <w:r>
        <w:rPr>
          <w:rFonts w:hint="eastAsia"/>
          <w:color w:val="auto"/>
          <w:spacing w:val="0"/>
          <w:highlight w:val="none"/>
        </w:rPr>
        <w:t>。</w:t>
      </w:r>
    </w:p>
    <w:p w14:paraId="26DC749E">
      <w:pPr>
        <w:pStyle w:val="32"/>
        <w:ind w:firstLine="480"/>
        <w:rPr>
          <w:color w:val="auto"/>
          <w:spacing w:val="0"/>
          <w:highlight w:val="none"/>
        </w:rPr>
      </w:pPr>
      <w:r>
        <w:rPr>
          <w:rFonts w:hint="eastAsia"/>
          <w:color w:val="auto"/>
          <w:spacing w:val="0"/>
          <w:highlight w:val="none"/>
        </w:rPr>
        <w:t>3.2.3</w:t>
      </w:r>
      <w:r>
        <w:rPr>
          <w:color w:val="auto"/>
          <w:spacing w:val="0"/>
          <w:highlight w:val="none"/>
        </w:rPr>
        <w:t>本项目的报价方式见投标人须知前附表。投标人在投标截止时间前修改投标函中的投标报价总额，应同时修改投标文件“</w:t>
      </w:r>
      <w:r>
        <w:rPr>
          <w:rFonts w:hint="eastAsia"/>
          <w:color w:val="auto"/>
          <w:spacing w:val="0"/>
          <w:highlight w:val="none"/>
        </w:rPr>
        <w:t>报价书</w:t>
      </w:r>
      <w:r>
        <w:rPr>
          <w:color w:val="auto"/>
          <w:spacing w:val="0"/>
          <w:highlight w:val="none"/>
        </w:rPr>
        <w:t>”中的相应报价。此修改须符合本章第 4.3 款的有关要求</w:t>
      </w:r>
      <w:r>
        <w:rPr>
          <w:rFonts w:hint="eastAsia"/>
          <w:color w:val="auto"/>
          <w:spacing w:val="0"/>
          <w:highlight w:val="none"/>
        </w:rPr>
        <w:t>。</w:t>
      </w:r>
    </w:p>
    <w:p w14:paraId="33402E64">
      <w:pPr>
        <w:spacing w:line="360" w:lineRule="auto"/>
        <w:ind w:firstLine="480" w:firstLineChars="200"/>
        <w:rPr>
          <w:rFonts w:hint="eastAsia"/>
          <w:color w:val="auto"/>
          <w:sz w:val="24"/>
          <w:highlight w:val="none"/>
        </w:rPr>
      </w:pPr>
      <w:r>
        <w:rPr>
          <w:rFonts w:hint="eastAsia"/>
          <w:color w:val="auto"/>
          <w:sz w:val="24"/>
          <w:highlight w:val="none"/>
        </w:rPr>
        <w:t>3.2.4．</w:t>
      </w:r>
      <w:r>
        <w:rPr>
          <w:color w:val="auto"/>
          <w:sz w:val="24"/>
          <w:highlight w:val="none"/>
        </w:rPr>
        <w:t>招标人设有最高投标限价的，投标人的投标报价不得超过最高投标限价，最高投标限价在投标人须知前附表中载明。</w:t>
      </w:r>
    </w:p>
    <w:p w14:paraId="18986DCD">
      <w:pPr>
        <w:spacing w:line="360" w:lineRule="auto"/>
        <w:ind w:firstLine="480" w:firstLineChars="200"/>
        <w:rPr>
          <w:color w:val="auto"/>
          <w:sz w:val="24"/>
          <w:highlight w:val="none"/>
        </w:rPr>
      </w:pPr>
      <w:r>
        <w:rPr>
          <w:color w:val="auto"/>
          <w:sz w:val="24"/>
          <w:highlight w:val="none"/>
        </w:rPr>
        <w:t>3.2.5 投标报价的其他要求见投标人须知前附表</w:t>
      </w:r>
      <w:r>
        <w:rPr>
          <w:rFonts w:hint="eastAsia"/>
          <w:color w:val="auto"/>
          <w:sz w:val="24"/>
          <w:highlight w:val="none"/>
        </w:rPr>
        <w:t>3.2.5</w:t>
      </w:r>
      <w:r>
        <w:rPr>
          <w:color w:val="auto"/>
          <w:sz w:val="24"/>
          <w:highlight w:val="none"/>
        </w:rPr>
        <w:t>。</w:t>
      </w:r>
    </w:p>
    <w:p w14:paraId="638F80CE">
      <w:pPr>
        <w:pStyle w:val="5"/>
        <w:spacing w:before="120" w:after="120"/>
        <w:ind w:firstLine="137"/>
        <w:rPr>
          <w:color w:val="auto"/>
          <w:highlight w:val="none"/>
        </w:rPr>
      </w:pPr>
      <w:bookmarkStart w:id="114" w:name="_Toc529196541"/>
      <w:bookmarkStart w:id="115" w:name="_Toc19341"/>
      <w:bookmarkStart w:id="116" w:name="_Toc515205214"/>
      <w:r>
        <w:rPr>
          <w:color w:val="auto"/>
          <w:highlight w:val="none"/>
        </w:rPr>
        <w:t>3.3 投标有效期</w:t>
      </w:r>
      <w:bookmarkEnd w:id="114"/>
      <w:bookmarkEnd w:id="115"/>
      <w:bookmarkEnd w:id="116"/>
    </w:p>
    <w:p w14:paraId="1C9AC192">
      <w:pPr>
        <w:spacing w:line="360" w:lineRule="auto"/>
        <w:ind w:firstLine="480" w:firstLineChars="200"/>
        <w:rPr>
          <w:color w:val="auto"/>
          <w:sz w:val="24"/>
          <w:highlight w:val="none"/>
        </w:rPr>
      </w:pPr>
      <w:r>
        <w:rPr>
          <w:color w:val="auto"/>
          <w:sz w:val="24"/>
          <w:highlight w:val="none"/>
        </w:rPr>
        <w:t>3.3.1 除投标人须知前附表另有规定外，投标有效期为90天。</w:t>
      </w:r>
    </w:p>
    <w:p w14:paraId="4DCA5E0B">
      <w:pPr>
        <w:spacing w:line="360" w:lineRule="auto"/>
        <w:ind w:firstLine="480" w:firstLineChars="200"/>
        <w:rPr>
          <w:color w:val="auto"/>
          <w:sz w:val="24"/>
          <w:highlight w:val="none"/>
        </w:rPr>
      </w:pPr>
      <w:r>
        <w:rPr>
          <w:color w:val="auto"/>
          <w:sz w:val="24"/>
          <w:highlight w:val="none"/>
        </w:rPr>
        <w:t>3.3.2 在投标有效期内，投标人撤销投标文件的，应承担招标文件和法律规定的责任。</w:t>
      </w:r>
    </w:p>
    <w:p w14:paraId="375D1F7A">
      <w:pPr>
        <w:spacing w:line="360" w:lineRule="auto"/>
        <w:ind w:firstLine="480" w:firstLineChars="200"/>
        <w:rPr>
          <w:color w:val="auto"/>
          <w:sz w:val="24"/>
          <w:highlight w:val="none"/>
        </w:rPr>
      </w:pPr>
      <w:r>
        <w:rPr>
          <w:color w:val="auto"/>
          <w:sz w:val="24"/>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6078D4BB">
      <w:pPr>
        <w:pStyle w:val="5"/>
        <w:spacing w:before="120" w:after="120"/>
        <w:ind w:firstLine="137"/>
        <w:rPr>
          <w:strike/>
          <w:color w:val="auto"/>
          <w:highlight w:val="none"/>
        </w:rPr>
      </w:pPr>
      <w:bookmarkStart w:id="117" w:name="_Toc22806"/>
      <w:bookmarkStart w:id="118" w:name="_Toc529196542"/>
      <w:bookmarkStart w:id="119" w:name="_Toc515205215"/>
      <w:r>
        <w:rPr>
          <w:strike/>
          <w:color w:val="auto"/>
          <w:highlight w:val="none"/>
        </w:rPr>
        <w:t>3.4 投标保证金</w:t>
      </w:r>
      <w:bookmarkEnd w:id="117"/>
      <w:bookmarkEnd w:id="118"/>
      <w:bookmarkEnd w:id="119"/>
    </w:p>
    <w:p w14:paraId="6FF81847">
      <w:pPr>
        <w:spacing w:line="360" w:lineRule="auto"/>
        <w:ind w:firstLine="480" w:firstLineChars="200"/>
        <w:rPr>
          <w:strike/>
          <w:color w:val="auto"/>
          <w:sz w:val="24"/>
          <w:highlight w:val="none"/>
        </w:rPr>
      </w:pPr>
      <w:r>
        <w:rPr>
          <w:strike/>
          <w:color w:val="auto"/>
          <w:sz w:val="24"/>
          <w:highlight w:val="none"/>
        </w:rPr>
        <w:t>3.4.1 投标人在递交投标文件的同时，应按投标人须知前附表规定的金额</w:t>
      </w:r>
      <w:bookmarkStart w:id="120" w:name="_Toc247527570"/>
      <w:bookmarkStart w:id="121" w:name="_Toc144974513"/>
      <w:bookmarkStart w:id="122" w:name="_Toc152042321"/>
      <w:bookmarkStart w:id="123" w:name="_Toc384308226"/>
      <w:bookmarkStart w:id="124" w:name="_Toc369531532"/>
      <w:bookmarkStart w:id="125" w:name="_Toc4592"/>
      <w:bookmarkStart w:id="126" w:name="_Toc247513969"/>
      <w:bookmarkStart w:id="127" w:name="_Toc352691489"/>
      <w:bookmarkStart w:id="128" w:name="_Toc361508601"/>
      <w:bookmarkStart w:id="129" w:name="_Toc152045545"/>
      <w:bookmarkStart w:id="130" w:name="_Toc300834966"/>
      <w:r>
        <w:rPr>
          <w:strike/>
          <w:color w:val="auto"/>
          <w:sz w:val="24"/>
          <w:highlight w:val="none"/>
        </w:rPr>
        <w:t>、形式和第</w:t>
      </w:r>
      <w:r>
        <w:rPr>
          <w:rFonts w:hint="eastAsia"/>
          <w:strike/>
          <w:color w:val="auto"/>
          <w:sz w:val="24"/>
          <w:highlight w:val="none"/>
        </w:rPr>
        <w:t>六</w:t>
      </w:r>
      <w:r>
        <w:rPr>
          <w:strike/>
          <w:color w:val="auto"/>
          <w:sz w:val="24"/>
          <w:highlight w:val="none"/>
        </w:rPr>
        <w:t>章“投标文</w:t>
      </w:r>
      <w:bookmarkEnd w:id="120"/>
      <w:bookmarkEnd w:id="121"/>
      <w:bookmarkEnd w:id="122"/>
      <w:bookmarkEnd w:id="123"/>
      <w:bookmarkEnd w:id="124"/>
      <w:bookmarkEnd w:id="125"/>
      <w:bookmarkEnd w:id="126"/>
      <w:bookmarkEnd w:id="127"/>
      <w:bookmarkEnd w:id="128"/>
      <w:bookmarkEnd w:id="129"/>
      <w:bookmarkEnd w:id="130"/>
      <w:r>
        <w:rPr>
          <w:strike/>
          <w:color w:val="auto"/>
          <w:sz w:val="24"/>
          <w:highlight w:val="none"/>
        </w:rPr>
        <w:t>件格式”规定的投标保证金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14:paraId="778D6DFF">
      <w:pPr>
        <w:spacing w:line="360" w:lineRule="auto"/>
        <w:ind w:firstLine="480" w:firstLineChars="200"/>
        <w:jc w:val="left"/>
        <w:rPr>
          <w:strike/>
          <w:color w:val="auto"/>
          <w:sz w:val="24"/>
          <w:highlight w:val="none"/>
        </w:rPr>
      </w:pPr>
      <w:r>
        <w:rPr>
          <w:strike/>
          <w:color w:val="auto"/>
          <w:sz w:val="24"/>
          <w:highlight w:val="none"/>
        </w:rPr>
        <w:t>3.4.2 投标人不按本章第3.4.1项</w:t>
      </w:r>
      <w:bookmarkStart w:id="131" w:name="_Toc369531533"/>
      <w:bookmarkStart w:id="132" w:name="_Toc384308227"/>
      <w:bookmarkStart w:id="133" w:name="_Toc361508602"/>
      <w:bookmarkStart w:id="134" w:name="_Toc29025"/>
      <w:bookmarkStart w:id="135" w:name="_Toc352691490"/>
      <w:r>
        <w:rPr>
          <w:strike/>
          <w:color w:val="auto"/>
          <w:sz w:val="24"/>
          <w:highlight w:val="none"/>
        </w:rPr>
        <w:t>要求提交投标保证金的，</w:t>
      </w:r>
      <w:bookmarkEnd w:id="131"/>
      <w:bookmarkEnd w:id="132"/>
      <w:bookmarkEnd w:id="133"/>
      <w:bookmarkEnd w:id="134"/>
      <w:bookmarkEnd w:id="135"/>
      <w:r>
        <w:rPr>
          <w:strike/>
          <w:color w:val="auto"/>
          <w:sz w:val="24"/>
          <w:highlight w:val="none"/>
        </w:rPr>
        <w:t>评标委员会将否决其投标。</w:t>
      </w:r>
    </w:p>
    <w:p w14:paraId="7C5CC4F4">
      <w:pPr>
        <w:spacing w:line="360" w:lineRule="auto"/>
        <w:ind w:firstLine="480" w:firstLineChars="200"/>
        <w:rPr>
          <w:strike/>
          <w:color w:val="auto"/>
          <w:sz w:val="24"/>
          <w:highlight w:val="none"/>
        </w:rPr>
      </w:pPr>
      <w:r>
        <w:rPr>
          <w:strike/>
          <w:color w:val="auto"/>
          <w:sz w:val="24"/>
          <w:highlight w:val="none"/>
        </w:rPr>
        <w:t>3.4.3 招标人最迟将在与中标人</w:t>
      </w:r>
      <w:bookmarkStart w:id="136" w:name="_Toc369531534"/>
      <w:bookmarkStart w:id="137" w:name="_Toc152045546"/>
      <w:bookmarkStart w:id="138" w:name="_Toc14751"/>
      <w:bookmarkStart w:id="139" w:name="_Toc384308228"/>
      <w:bookmarkStart w:id="140" w:name="_Toc152042322"/>
      <w:bookmarkStart w:id="141" w:name="_Toc247527571"/>
      <w:bookmarkStart w:id="142" w:name="_Toc300834967"/>
      <w:bookmarkStart w:id="143" w:name="_Toc247513970"/>
      <w:bookmarkStart w:id="144" w:name="_Toc144974514"/>
      <w:bookmarkStart w:id="145" w:name="_Toc361508603"/>
      <w:bookmarkStart w:id="146" w:name="_Toc352691491"/>
      <w:r>
        <w:rPr>
          <w:strike/>
          <w:color w:val="auto"/>
          <w:sz w:val="24"/>
          <w:highlight w:val="none"/>
        </w:rPr>
        <w:t>签订合同后5日</w:t>
      </w:r>
      <w:bookmarkEnd w:id="136"/>
      <w:bookmarkEnd w:id="137"/>
      <w:bookmarkEnd w:id="138"/>
      <w:bookmarkEnd w:id="139"/>
      <w:bookmarkEnd w:id="140"/>
      <w:bookmarkEnd w:id="141"/>
      <w:bookmarkEnd w:id="142"/>
      <w:bookmarkEnd w:id="143"/>
      <w:bookmarkEnd w:id="144"/>
      <w:bookmarkEnd w:id="145"/>
      <w:bookmarkEnd w:id="146"/>
      <w:r>
        <w:rPr>
          <w:strike/>
          <w:color w:val="auto"/>
          <w:sz w:val="24"/>
          <w:highlight w:val="none"/>
        </w:rPr>
        <w:t>内</w:t>
      </w:r>
      <w:bookmarkStart w:id="147" w:name="_Toc144974515"/>
      <w:bookmarkStart w:id="148" w:name="_Toc352691492"/>
      <w:bookmarkStart w:id="149" w:name="_Toc384308229"/>
      <w:bookmarkStart w:id="150" w:name="_Toc369531535"/>
      <w:bookmarkStart w:id="151" w:name="_Toc152042323"/>
      <w:bookmarkStart w:id="152" w:name="_Toc152045547"/>
      <w:bookmarkStart w:id="153" w:name="_Toc17952"/>
      <w:bookmarkStart w:id="154" w:name="_Toc300834968"/>
      <w:bookmarkStart w:id="155" w:name="_Toc247513971"/>
      <w:bookmarkStart w:id="156" w:name="_Toc361508604"/>
      <w:bookmarkStart w:id="157" w:name="_Toc247527572"/>
      <w:r>
        <w:rPr>
          <w:strike/>
          <w:color w:val="auto"/>
          <w:sz w:val="24"/>
          <w:highlight w:val="none"/>
        </w:rPr>
        <w:t>，向未中标的投标人和中</w:t>
      </w:r>
      <w:bookmarkEnd w:id="147"/>
      <w:bookmarkEnd w:id="148"/>
      <w:bookmarkEnd w:id="149"/>
      <w:bookmarkEnd w:id="150"/>
      <w:bookmarkEnd w:id="151"/>
      <w:bookmarkEnd w:id="152"/>
      <w:bookmarkEnd w:id="153"/>
      <w:bookmarkEnd w:id="154"/>
      <w:bookmarkEnd w:id="155"/>
      <w:bookmarkEnd w:id="156"/>
      <w:bookmarkEnd w:id="157"/>
      <w:r>
        <w:rPr>
          <w:strike/>
          <w:color w:val="auto"/>
          <w:sz w:val="24"/>
          <w:highlight w:val="none"/>
        </w:rPr>
        <w:t>标人退还投标保证金。投标保证金以现金或者支票形式递交的，还应退还银行同期存款利息。</w:t>
      </w:r>
    </w:p>
    <w:p w14:paraId="1E9F8DC6">
      <w:pPr>
        <w:spacing w:line="360" w:lineRule="auto"/>
        <w:ind w:firstLine="480" w:firstLineChars="200"/>
        <w:rPr>
          <w:strike/>
          <w:color w:val="auto"/>
          <w:sz w:val="24"/>
          <w:highlight w:val="none"/>
        </w:rPr>
      </w:pPr>
      <w:r>
        <w:rPr>
          <w:strike/>
          <w:color w:val="auto"/>
          <w:sz w:val="24"/>
          <w:highlight w:val="none"/>
        </w:rPr>
        <w:t>3.4.4 有下列情形之一的，投标保证金将不予退还：</w:t>
      </w:r>
    </w:p>
    <w:p w14:paraId="0B76F3CD">
      <w:pPr>
        <w:spacing w:line="360" w:lineRule="auto"/>
        <w:ind w:firstLine="360" w:firstLineChars="150"/>
        <w:rPr>
          <w:strike/>
          <w:color w:val="auto"/>
          <w:sz w:val="24"/>
          <w:highlight w:val="none"/>
        </w:rPr>
      </w:pPr>
      <w:r>
        <w:rPr>
          <w:strike/>
          <w:color w:val="auto"/>
          <w:sz w:val="24"/>
          <w:highlight w:val="none"/>
        </w:rPr>
        <w:t>（1）投标人在投标有效期内撤销投标文件；</w:t>
      </w:r>
    </w:p>
    <w:p w14:paraId="7824C97F">
      <w:pPr>
        <w:spacing w:line="360" w:lineRule="auto"/>
        <w:ind w:firstLine="360" w:firstLineChars="150"/>
        <w:rPr>
          <w:strike/>
          <w:color w:val="auto"/>
          <w:sz w:val="24"/>
          <w:highlight w:val="none"/>
        </w:rPr>
      </w:pPr>
      <w:r>
        <w:rPr>
          <w:strike/>
          <w:color w:val="auto"/>
          <w:sz w:val="24"/>
          <w:highlight w:val="none"/>
        </w:rPr>
        <w:t>（2）中标人在收到中标通知书后，无正当理由不与招标人订立合同，在签订合同时向招标人提出附加条件，或者不按照招标文件要求提交履约保证金；</w:t>
      </w:r>
    </w:p>
    <w:p w14:paraId="16989A8D">
      <w:pPr>
        <w:spacing w:line="360" w:lineRule="auto"/>
        <w:ind w:firstLine="360" w:firstLineChars="150"/>
        <w:rPr>
          <w:strike/>
          <w:color w:val="auto"/>
          <w:sz w:val="24"/>
          <w:highlight w:val="none"/>
        </w:rPr>
      </w:pPr>
      <w:r>
        <w:rPr>
          <w:strike/>
          <w:color w:val="auto"/>
          <w:sz w:val="24"/>
          <w:highlight w:val="none"/>
        </w:rPr>
        <w:t>（3）发生投标人须知前附表规定的其他可以不予退还投标保证金的情形。</w:t>
      </w:r>
    </w:p>
    <w:p w14:paraId="0F0F608A">
      <w:pPr>
        <w:pStyle w:val="5"/>
        <w:spacing w:before="120" w:after="120"/>
        <w:ind w:firstLine="137"/>
        <w:rPr>
          <w:rFonts w:hint="eastAsia"/>
          <w:color w:val="auto"/>
          <w:highlight w:val="none"/>
        </w:rPr>
      </w:pPr>
      <w:bookmarkStart w:id="158" w:name="_Toc515205217"/>
      <w:bookmarkStart w:id="159" w:name="_Toc529196544"/>
      <w:bookmarkStart w:id="160" w:name="_Toc30549"/>
      <w:r>
        <w:rPr>
          <w:color w:val="auto"/>
          <w:highlight w:val="none"/>
        </w:rPr>
        <w:t>3.5 资格审查资料</w:t>
      </w:r>
      <w:bookmarkEnd w:id="158"/>
      <w:bookmarkEnd w:id="159"/>
      <w:bookmarkEnd w:id="160"/>
      <w:bookmarkStart w:id="161" w:name="_Toc529196545"/>
      <w:bookmarkStart w:id="162" w:name="_Toc515205218"/>
    </w:p>
    <w:p w14:paraId="42C268EC">
      <w:pPr>
        <w:spacing w:line="360" w:lineRule="auto"/>
        <w:ind w:firstLine="480" w:firstLineChars="200"/>
        <w:rPr>
          <w:rFonts w:hint="eastAsia"/>
          <w:color w:val="auto"/>
          <w:sz w:val="24"/>
          <w:highlight w:val="none"/>
        </w:rPr>
      </w:pPr>
      <w:r>
        <w:rPr>
          <w:rFonts w:hint="eastAsia"/>
          <w:color w:val="auto"/>
          <w:sz w:val="24"/>
          <w:highlight w:val="none"/>
        </w:rPr>
        <w:t>3.5.1投标人基本情况表[后须附投标单位的营业执照或事业单位法人证书和组织机构代码证（按照“三证合一”或“五证合一”登记制度进行登记的，可仅提供营业执照或事业单位法人证书）、</w:t>
      </w:r>
      <w:r>
        <w:rPr>
          <w:rFonts w:hint="eastAsia" w:ascii="宋体" w:hAnsi="宋体" w:cs="宋体"/>
          <w:color w:val="auto"/>
          <w:sz w:val="24"/>
          <w:szCs w:val="24"/>
          <w:highlight w:val="none"/>
        </w:rPr>
        <w:t>资质</w:t>
      </w:r>
      <w:r>
        <w:rPr>
          <w:rFonts w:hint="eastAsia"/>
          <w:color w:val="auto"/>
          <w:sz w:val="24"/>
          <w:highlight w:val="none"/>
        </w:rPr>
        <w:t>证书、CMA计量认证合格证书以及其他相关证明材料]；</w:t>
      </w:r>
    </w:p>
    <w:p w14:paraId="536082CD">
      <w:pPr>
        <w:spacing w:line="360" w:lineRule="auto"/>
        <w:ind w:firstLine="480" w:firstLineChars="200"/>
        <w:rPr>
          <w:rFonts w:hint="eastAsia"/>
          <w:color w:val="auto"/>
          <w:sz w:val="24"/>
          <w:highlight w:val="none"/>
        </w:rPr>
      </w:pPr>
      <w:r>
        <w:rPr>
          <w:rFonts w:hint="eastAsia"/>
          <w:color w:val="auto"/>
          <w:sz w:val="24"/>
          <w:highlight w:val="none"/>
        </w:rPr>
        <w:t>3.5.2项目负责人职称证；</w:t>
      </w:r>
    </w:p>
    <w:p w14:paraId="6CE0F952">
      <w:pPr>
        <w:spacing w:line="360" w:lineRule="auto"/>
        <w:ind w:firstLine="480" w:firstLineChars="200"/>
        <w:rPr>
          <w:rFonts w:hint="eastAsia"/>
          <w:color w:val="auto"/>
          <w:sz w:val="24"/>
          <w:highlight w:val="none"/>
        </w:rPr>
      </w:pPr>
      <w:r>
        <w:rPr>
          <w:rFonts w:hint="eastAsia"/>
          <w:color w:val="auto"/>
          <w:sz w:val="24"/>
          <w:highlight w:val="none"/>
        </w:rPr>
        <w:t>3.5.3投标人声明（按招标公告附件一提供）；</w:t>
      </w:r>
    </w:p>
    <w:p w14:paraId="6A0D0449">
      <w:pPr>
        <w:spacing w:line="360" w:lineRule="auto"/>
        <w:ind w:firstLine="480" w:firstLineChars="200"/>
        <w:rPr>
          <w:rFonts w:hint="eastAsia"/>
          <w:color w:val="auto"/>
          <w:sz w:val="24"/>
          <w:highlight w:val="none"/>
        </w:rPr>
      </w:pPr>
      <w:r>
        <w:rPr>
          <w:rFonts w:hint="eastAsia"/>
          <w:color w:val="auto"/>
          <w:sz w:val="24"/>
          <w:highlight w:val="none"/>
        </w:rPr>
        <w:t>3.5.4投标人认为需提供的其他材料。</w:t>
      </w:r>
    </w:p>
    <w:p w14:paraId="603BA274">
      <w:pPr>
        <w:pStyle w:val="5"/>
        <w:spacing w:before="120" w:after="120"/>
        <w:ind w:firstLine="137"/>
        <w:rPr>
          <w:color w:val="auto"/>
          <w:highlight w:val="none"/>
        </w:rPr>
      </w:pPr>
      <w:bookmarkStart w:id="163" w:name="_Toc22329"/>
      <w:r>
        <w:rPr>
          <w:color w:val="auto"/>
          <w:highlight w:val="none"/>
        </w:rPr>
        <w:t>3.6 备选投标方案</w:t>
      </w:r>
      <w:bookmarkEnd w:id="161"/>
      <w:bookmarkEnd w:id="162"/>
      <w:bookmarkEnd w:id="163"/>
    </w:p>
    <w:p w14:paraId="09881323">
      <w:pPr>
        <w:spacing w:line="360" w:lineRule="auto"/>
        <w:ind w:firstLine="480" w:firstLineChars="200"/>
        <w:rPr>
          <w:color w:val="auto"/>
          <w:sz w:val="24"/>
          <w:highlight w:val="none"/>
        </w:rPr>
      </w:pPr>
      <w:r>
        <w:rPr>
          <w:color w:val="auto"/>
          <w:sz w:val="24"/>
          <w:highlight w:val="none"/>
        </w:rPr>
        <w:t>3.6.1 除投标人须知前附表规定允许外，投标人不得递交备选投标方案，否则其投标将被否决。</w:t>
      </w:r>
    </w:p>
    <w:p w14:paraId="4231CE66">
      <w:pPr>
        <w:spacing w:line="360" w:lineRule="auto"/>
        <w:ind w:firstLine="480" w:firstLineChars="200"/>
        <w:rPr>
          <w:color w:val="auto"/>
          <w:sz w:val="24"/>
          <w:highlight w:val="none"/>
        </w:rPr>
      </w:pPr>
      <w:r>
        <w:rPr>
          <w:color w:val="auto"/>
          <w:sz w:val="24"/>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681EAF95">
      <w:pPr>
        <w:spacing w:line="360" w:lineRule="auto"/>
        <w:ind w:firstLine="480" w:firstLineChars="200"/>
        <w:rPr>
          <w:color w:val="auto"/>
          <w:sz w:val="24"/>
          <w:highlight w:val="none"/>
        </w:rPr>
      </w:pPr>
      <w:r>
        <w:rPr>
          <w:color w:val="auto"/>
          <w:sz w:val="24"/>
          <w:highlight w:val="none"/>
        </w:rPr>
        <w:t>3.6.3 投标人提供两个或两个以上投标报价，或者在投标文件中提供一个报价，但同时提供两个或两个以上</w:t>
      </w:r>
      <w:bookmarkStart w:id="164" w:name="_Toc361508607"/>
      <w:bookmarkStart w:id="165" w:name="_Toc247513974"/>
      <w:bookmarkStart w:id="166" w:name="_Toc247527575"/>
      <w:bookmarkStart w:id="167" w:name="_Toc384308232"/>
      <w:bookmarkStart w:id="168" w:name="_Toc152042326"/>
      <w:bookmarkStart w:id="169" w:name="_Toc152045550"/>
      <w:bookmarkStart w:id="170" w:name="_Toc352691495"/>
      <w:bookmarkStart w:id="171" w:name="_Toc369531538"/>
      <w:bookmarkStart w:id="172" w:name="_Toc144974518"/>
      <w:bookmarkStart w:id="173" w:name="_Toc300834971"/>
      <w:bookmarkStart w:id="174" w:name="_Toc29902"/>
      <w:r>
        <w:rPr>
          <w:rFonts w:hint="eastAsia"/>
          <w:color w:val="auto"/>
          <w:sz w:val="24"/>
          <w:highlight w:val="none"/>
        </w:rPr>
        <w:t>服务</w:t>
      </w:r>
      <w:r>
        <w:rPr>
          <w:color w:val="auto"/>
          <w:sz w:val="24"/>
          <w:highlight w:val="none"/>
        </w:rPr>
        <w:t>方案的</w:t>
      </w:r>
      <w:bookmarkEnd w:id="164"/>
      <w:bookmarkEnd w:id="165"/>
      <w:bookmarkEnd w:id="166"/>
      <w:bookmarkEnd w:id="167"/>
      <w:bookmarkEnd w:id="168"/>
      <w:bookmarkEnd w:id="169"/>
      <w:bookmarkEnd w:id="170"/>
      <w:bookmarkEnd w:id="171"/>
      <w:bookmarkEnd w:id="172"/>
      <w:bookmarkEnd w:id="173"/>
      <w:bookmarkEnd w:id="174"/>
      <w:r>
        <w:rPr>
          <w:color w:val="auto"/>
          <w:sz w:val="24"/>
          <w:highlight w:val="none"/>
        </w:rPr>
        <w:t>，视为提供备选方案。</w:t>
      </w:r>
    </w:p>
    <w:p w14:paraId="02C82EED">
      <w:pPr>
        <w:pStyle w:val="5"/>
        <w:spacing w:before="120" w:after="120"/>
        <w:ind w:firstLine="137"/>
        <w:rPr>
          <w:color w:val="auto"/>
          <w:highlight w:val="none"/>
        </w:rPr>
      </w:pPr>
      <w:bookmarkStart w:id="175" w:name="_Toc6678"/>
      <w:bookmarkStart w:id="176" w:name="_Toc529196546"/>
      <w:bookmarkStart w:id="177" w:name="_Toc515205219"/>
      <w:r>
        <w:rPr>
          <w:color w:val="auto"/>
          <w:highlight w:val="none"/>
        </w:rPr>
        <w:t>3.7 投标文件的编制</w:t>
      </w:r>
      <w:bookmarkEnd w:id="175"/>
      <w:bookmarkEnd w:id="176"/>
      <w:bookmarkEnd w:id="177"/>
    </w:p>
    <w:p w14:paraId="2A9292D7">
      <w:pPr>
        <w:spacing w:line="360" w:lineRule="auto"/>
        <w:ind w:firstLine="480" w:firstLineChars="200"/>
        <w:rPr>
          <w:color w:val="auto"/>
          <w:sz w:val="24"/>
          <w:highlight w:val="none"/>
        </w:rPr>
      </w:pPr>
      <w:r>
        <w:rPr>
          <w:color w:val="auto"/>
          <w:sz w:val="24"/>
          <w:highlight w:val="none"/>
        </w:rPr>
        <w:t>3.7.1 投标文件应按第</w:t>
      </w:r>
      <w:r>
        <w:rPr>
          <w:rFonts w:hint="eastAsia"/>
          <w:color w:val="auto"/>
          <w:sz w:val="24"/>
          <w:highlight w:val="none"/>
        </w:rPr>
        <w:t>六</w:t>
      </w:r>
      <w:r>
        <w:rPr>
          <w:color w:val="auto"/>
          <w:sz w:val="24"/>
          <w:highlight w:val="none"/>
        </w:rPr>
        <w:t>章“投标文件格式”进行编写，如有必要，可以增加附页，作为投标文件的组成部分。其中，投标函附录在满足招标文件实质性要求的基础上，可以提出比招标文件要求更有利于招标人的承诺。</w:t>
      </w:r>
    </w:p>
    <w:p w14:paraId="7C53FF22">
      <w:pPr>
        <w:spacing w:line="360" w:lineRule="auto"/>
        <w:ind w:firstLine="480" w:firstLineChars="200"/>
        <w:rPr>
          <w:color w:val="auto"/>
          <w:sz w:val="24"/>
          <w:highlight w:val="none"/>
        </w:rPr>
      </w:pPr>
      <w:r>
        <w:rPr>
          <w:color w:val="auto"/>
          <w:sz w:val="24"/>
          <w:highlight w:val="none"/>
        </w:rPr>
        <w:t>3.7.2 投标文件应当对招标文件有关服务期限、投标有效期、委托人要求、招标范围等实质性内容作出响应。</w:t>
      </w:r>
    </w:p>
    <w:p w14:paraId="75882C70">
      <w:pPr>
        <w:spacing w:line="360" w:lineRule="auto"/>
        <w:ind w:firstLine="480" w:firstLineChars="200"/>
        <w:rPr>
          <w:rFonts w:hint="eastAsia" w:ascii="宋体" w:hAnsi="宋体" w:cs="宋体"/>
          <w:color w:val="auto"/>
          <w:sz w:val="24"/>
          <w:highlight w:val="none"/>
        </w:rPr>
      </w:pPr>
      <w:bookmarkStart w:id="178" w:name="_Toc514946914"/>
      <w:r>
        <w:rPr>
          <w:color w:val="auto"/>
          <w:sz w:val="24"/>
          <w:highlight w:val="none"/>
        </w:rPr>
        <w:t>3.7.3投标文件全部采用电子文档，除投标人须知前附表另有规定外，投标文件所附证书证件均为扫描件，并采用单位和个人数字证书，按招标文件要求加盖电子印章。由投标人的法定代表人签字或加盖电子印章的，应附法定代表人身份证明，由代理人签字或加盖电子印章的，应附由法定代表人签署的授权委托书。签字或盖章的具体要求见投标人须知前附表。</w:t>
      </w:r>
      <w:bookmarkEnd w:id="178"/>
    </w:p>
    <w:p w14:paraId="4A50C0DF">
      <w:pPr>
        <w:spacing w:line="360" w:lineRule="auto"/>
        <w:ind w:firstLine="480" w:firstLineChars="200"/>
        <w:rPr>
          <w:color w:val="auto"/>
          <w:sz w:val="24"/>
          <w:highlight w:val="none"/>
        </w:rPr>
      </w:pPr>
    </w:p>
    <w:p w14:paraId="2B6EC2DC">
      <w:pPr>
        <w:pStyle w:val="5"/>
        <w:rPr>
          <w:color w:val="auto"/>
          <w:highlight w:val="none"/>
        </w:rPr>
      </w:pPr>
      <w:bookmarkStart w:id="179" w:name="_Toc12943"/>
      <w:bookmarkStart w:id="180" w:name="_Toc529196547"/>
      <w:bookmarkStart w:id="181" w:name="_Toc515205220"/>
      <w:r>
        <w:rPr>
          <w:color w:val="auto"/>
          <w:highlight w:val="none"/>
        </w:rPr>
        <w:t>4. 投标</w:t>
      </w:r>
      <w:bookmarkEnd w:id="179"/>
      <w:bookmarkEnd w:id="180"/>
      <w:bookmarkEnd w:id="181"/>
    </w:p>
    <w:p w14:paraId="7AF65E4F">
      <w:pPr>
        <w:pStyle w:val="5"/>
        <w:spacing w:before="120" w:after="120"/>
        <w:ind w:firstLine="137"/>
        <w:rPr>
          <w:color w:val="auto"/>
          <w:highlight w:val="none"/>
        </w:rPr>
      </w:pPr>
      <w:bookmarkStart w:id="182" w:name="_Toc529196548"/>
      <w:bookmarkStart w:id="183" w:name="_Toc515205221"/>
      <w:bookmarkStart w:id="184" w:name="_Toc27618"/>
      <w:r>
        <w:rPr>
          <w:color w:val="auto"/>
          <w:highlight w:val="none"/>
        </w:rPr>
        <w:t>4.1 投标文件的密封和标记</w:t>
      </w:r>
      <w:bookmarkEnd w:id="182"/>
      <w:bookmarkEnd w:id="183"/>
      <w:bookmarkEnd w:id="184"/>
    </w:p>
    <w:p w14:paraId="14DBD539">
      <w:pPr>
        <w:spacing w:line="360" w:lineRule="auto"/>
        <w:ind w:firstLine="480" w:firstLineChars="200"/>
        <w:rPr>
          <w:color w:val="auto"/>
          <w:sz w:val="24"/>
          <w:highlight w:val="none"/>
        </w:rPr>
      </w:pPr>
      <w:r>
        <w:rPr>
          <w:color w:val="auto"/>
          <w:sz w:val="24"/>
          <w:highlight w:val="none"/>
        </w:rPr>
        <w:t>4.1.1投标人应当按照招标文件和电子招标投标交易平台的要求加密投标文件，具体要求见投标人须知前附表。</w:t>
      </w:r>
    </w:p>
    <w:p w14:paraId="5C7A09A8">
      <w:pPr>
        <w:spacing w:line="360" w:lineRule="auto"/>
        <w:ind w:firstLine="480" w:firstLineChars="200"/>
        <w:rPr>
          <w:color w:val="auto"/>
          <w:sz w:val="24"/>
          <w:highlight w:val="none"/>
        </w:rPr>
      </w:pPr>
      <w:r>
        <w:rPr>
          <w:color w:val="auto"/>
          <w:sz w:val="24"/>
          <w:highlight w:val="none"/>
        </w:rPr>
        <w:t>4.1.2 投标文件封套上应写明的内容见投标人须知前附表。</w:t>
      </w:r>
    </w:p>
    <w:p w14:paraId="30E86EC7">
      <w:pPr>
        <w:spacing w:line="360" w:lineRule="auto"/>
        <w:ind w:firstLine="480" w:firstLineChars="200"/>
        <w:rPr>
          <w:color w:val="auto"/>
          <w:sz w:val="24"/>
          <w:highlight w:val="none"/>
        </w:rPr>
      </w:pPr>
      <w:r>
        <w:rPr>
          <w:color w:val="auto"/>
          <w:sz w:val="24"/>
          <w:highlight w:val="none"/>
        </w:rPr>
        <w:t>4.1.3 未按本章第4.1.1项要求密封的投标文件，招标人将予以拒收。</w:t>
      </w:r>
    </w:p>
    <w:p w14:paraId="3C1D5B54">
      <w:pPr>
        <w:pStyle w:val="5"/>
        <w:ind w:firstLine="118"/>
        <w:rPr>
          <w:color w:val="auto"/>
          <w:sz w:val="24"/>
          <w:szCs w:val="24"/>
          <w:highlight w:val="none"/>
        </w:rPr>
      </w:pPr>
      <w:bookmarkStart w:id="185" w:name="_Toc529196549"/>
      <w:bookmarkStart w:id="186" w:name="_Toc1505"/>
      <w:bookmarkStart w:id="187" w:name="_Toc515205222"/>
      <w:r>
        <w:rPr>
          <w:color w:val="auto"/>
          <w:sz w:val="24"/>
          <w:szCs w:val="24"/>
          <w:highlight w:val="none"/>
        </w:rPr>
        <w:t>4.2 投标文件的递交</w:t>
      </w:r>
      <w:bookmarkEnd w:id="185"/>
      <w:bookmarkEnd w:id="186"/>
      <w:bookmarkEnd w:id="187"/>
    </w:p>
    <w:p w14:paraId="01494376">
      <w:pPr>
        <w:spacing w:line="360" w:lineRule="auto"/>
        <w:ind w:firstLine="480" w:firstLineChars="200"/>
        <w:rPr>
          <w:color w:val="auto"/>
          <w:sz w:val="24"/>
          <w:highlight w:val="none"/>
        </w:rPr>
      </w:pPr>
      <w:r>
        <w:rPr>
          <w:color w:val="auto"/>
          <w:sz w:val="24"/>
          <w:highlight w:val="none"/>
        </w:rPr>
        <w:t>4.2.1 投标人应在投标人须知前附表规定的投标截止时间前递交投标文件。</w:t>
      </w:r>
    </w:p>
    <w:p w14:paraId="6ED8A45D">
      <w:pPr>
        <w:spacing w:line="360" w:lineRule="auto"/>
        <w:ind w:firstLine="480" w:firstLineChars="200"/>
        <w:rPr>
          <w:color w:val="auto"/>
          <w:sz w:val="24"/>
          <w:highlight w:val="none"/>
        </w:rPr>
      </w:pPr>
      <w:r>
        <w:rPr>
          <w:color w:val="auto"/>
          <w:sz w:val="24"/>
          <w:highlight w:val="none"/>
        </w:rPr>
        <w:t>4.2.2投标人通过下载招标文件的电子招标投标交易平台递交电子投标文件。</w:t>
      </w:r>
    </w:p>
    <w:p w14:paraId="6DA2862E">
      <w:pPr>
        <w:spacing w:line="360" w:lineRule="auto"/>
        <w:ind w:firstLine="480" w:firstLineChars="200"/>
        <w:rPr>
          <w:color w:val="auto"/>
          <w:sz w:val="24"/>
          <w:highlight w:val="none"/>
        </w:rPr>
      </w:pPr>
      <w:r>
        <w:rPr>
          <w:color w:val="auto"/>
          <w:sz w:val="24"/>
          <w:highlight w:val="none"/>
        </w:rPr>
        <w:t>4.2.3 除投标人须知前附表另有规定外，投标人所递交的投标文件不予退还。</w:t>
      </w:r>
    </w:p>
    <w:p w14:paraId="796912D2">
      <w:pPr>
        <w:spacing w:line="360" w:lineRule="auto"/>
        <w:ind w:firstLine="480" w:firstLineChars="200"/>
        <w:rPr>
          <w:color w:val="auto"/>
          <w:sz w:val="24"/>
          <w:highlight w:val="none"/>
        </w:rPr>
      </w:pPr>
      <w:r>
        <w:rPr>
          <w:color w:val="auto"/>
          <w:sz w:val="24"/>
          <w:highlight w:val="none"/>
        </w:rPr>
        <w:t>4.2.4投标人完成电子投标文件上传后，电子招标投标交易平台即时向投标人发出递交回执通知。递交时间以递交回执通知载明的传输完成时间为准。</w:t>
      </w:r>
    </w:p>
    <w:p w14:paraId="27B4B0B7">
      <w:pPr>
        <w:spacing w:line="360" w:lineRule="auto"/>
        <w:ind w:firstLine="480" w:firstLineChars="200"/>
        <w:jc w:val="left"/>
        <w:rPr>
          <w:color w:val="auto"/>
          <w:sz w:val="24"/>
          <w:highlight w:val="none"/>
        </w:rPr>
      </w:pPr>
      <w:r>
        <w:rPr>
          <w:color w:val="auto"/>
          <w:sz w:val="24"/>
          <w:highlight w:val="none"/>
        </w:rPr>
        <w:t>4.2.5</w:t>
      </w:r>
      <w:r>
        <w:rPr>
          <w:rFonts w:hint="eastAsia"/>
          <w:color w:val="auto"/>
          <w:sz w:val="24"/>
          <w:highlight w:val="none"/>
        </w:rPr>
        <w:t xml:space="preserve"> </w:t>
      </w:r>
      <w:r>
        <w:rPr>
          <w:color w:val="auto"/>
          <w:sz w:val="24"/>
          <w:highlight w:val="none"/>
        </w:rPr>
        <w:t>逾期送达的投标文件，电子招标投标交易平台将予以拒收。</w:t>
      </w:r>
    </w:p>
    <w:p w14:paraId="76E2CF7E">
      <w:pPr>
        <w:pStyle w:val="5"/>
        <w:ind w:firstLine="118"/>
        <w:rPr>
          <w:color w:val="auto"/>
          <w:sz w:val="24"/>
          <w:szCs w:val="24"/>
          <w:highlight w:val="none"/>
        </w:rPr>
      </w:pPr>
      <w:bookmarkStart w:id="188" w:name="_Toc15216"/>
      <w:bookmarkStart w:id="189" w:name="_Toc529196550"/>
      <w:bookmarkStart w:id="190" w:name="_Toc515205223"/>
      <w:r>
        <w:rPr>
          <w:color w:val="auto"/>
          <w:sz w:val="24"/>
          <w:szCs w:val="24"/>
          <w:highlight w:val="none"/>
        </w:rPr>
        <w:t>4.3 投标文件的修改与撤回</w:t>
      </w:r>
      <w:bookmarkEnd w:id="188"/>
      <w:bookmarkEnd w:id="189"/>
      <w:bookmarkEnd w:id="190"/>
    </w:p>
    <w:p w14:paraId="2A0A4C72">
      <w:pPr>
        <w:spacing w:line="360" w:lineRule="auto"/>
        <w:ind w:firstLine="480" w:firstLineChars="200"/>
        <w:rPr>
          <w:color w:val="auto"/>
          <w:sz w:val="24"/>
          <w:highlight w:val="none"/>
        </w:rPr>
      </w:pPr>
      <w:r>
        <w:rPr>
          <w:color w:val="auto"/>
          <w:sz w:val="24"/>
          <w:highlight w:val="none"/>
        </w:rPr>
        <w:t>4.3.1 在本章第4.2.1项规定的投标截止时间前，投标人可以修改或撤回已递交的投标文件，但应以书面形式通知招标人。</w:t>
      </w:r>
    </w:p>
    <w:p w14:paraId="70A756E9">
      <w:pPr>
        <w:spacing w:line="360" w:lineRule="auto"/>
        <w:ind w:firstLine="480" w:firstLineChars="200"/>
        <w:rPr>
          <w:color w:val="auto"/>
          <w:sz w:val="24"/>
          <w:highlight w:val="none"/>
        </w:rPr>
      </w:pPr>
      <w:r>
        <w:rPr>
          <w:color w:val="auto"/>
          <w:sz w:val="24"/>
          <w:highlight w:val="none"/>
        </w:rPr>
        <w:t>4.3.2投标人修改或撤回已递交投标文件的通知，应按照本章第3.7.3项的要求加盖电子印章。电子招标投标交易平台收到通知后，即时向投标人发出确认回执通知。</w:t>
      </w:r>
    </w:p>
    <w:p w14:paraId="725DFB62">
      <w:pPr>
        <w:spacing w:line="360" w:lineRule="auto"/>
        <w:ind w:firstLine="480" w:firstLineChars="200"/>
        <w:rPr>
          <w:strike/>
          <w:color w:val="auto"/>
          <w:sz w:val="24"/>
          <w:highlight w:val="none"/>
        </w:rPr>
      </w:pPr>
      <w:r>
        <w:rPr>
          <w:strike/>
          <w:color w:val="auto"/>
          <w:sz w:val="24"/>
          <w:highlight w:val="none"/>
        </w:rPr>
        <w:t>4.3.3 投标人撤回投标文件的，招标人自收到投标人书面撤回通知之日起5日内退还已收取的投标保证金。</w:t>
      </w:r>
    </w:p>
    <w:p w14:paraId="1F75DACF">
      <w:pPr>
        <w:spacing w:line="360" w:lineRule="auto"/>
        <w:ind w:firstLine="480" w:firstLineChars="200"/>
        <w:rPr>
          <w:color w:val="auto"/>
          <w:sz w:val="24"/>
          <w:highlight w:val="none"/>
        </w:rPr>
      </w:pPr>
      <w:r>
        <w:rPr>
          <w:color w:val="auto"/>
          <w:sz w:val="24"/>
          <w:highlight w:val="none"/>
        </w:rPr>
        <w:t>4.3.</w:t>
      </w:r>
      <w:bookmarkStart w:id="191" w:name="_Toc300834974"/>
      <w:bookmarkStart w:id="192" w:name="_Toc144974521"/>
      <w:bookmarkStart w:id="193" w:name="_Toc152042329"/>
      <w:bookmarkStart w:id="194" w:name="_Toc247513977"/>
      <w:bookmarkStart w:id="195" w:name="_Toc369531541"/>
      <w:bookmarkStart w:id="196" w:name="_Toc19203"/>
      <w:bookmarkStart w:id="197" w:name="_Toc361508610"/>
      <w:bookmarkStart w:id="198" w:name="_Toc352691497"/>
      <w:bookmarkStart w:id="199" w:name="_Toc152045553"/>
      <w:bookmarkStart w:id="200" w:name="_Toc384308235"/>
      <w:bookmarkStart w:id="201" w:name="_Toc247527578"/>
      <w:r>
        <w:rPr>
          <w:color w:val="auto"/>
          <w:sz w:val="24"/>
          <w:highlight w:val="none"/>
        </w:rPr>
        <w:t>4 修改的内容为投标</w:t>
      </w:r>
      <w:bookmarkEnd w:id="191"/>
      <w:bookmarkEnd w:id="192"/>
      <w:bookmarkEnd w:id="193"/>
      <w:bookmarkEnd w:id="194"/>
      <w:bookmarkEnd w:id="195"/>
      <w:bookmarkEnd w:id="196"/>
      <w:bookmarkEnd w:id="197"/>
      <w:bookmarkEnd w:id="198"/>
      <w:bookmarkEnd w:id="199"/>
      <w:bookmarkEnd w:id="200"/>
      <w:bookmarkEnd w:id="201"/>
      <w:r>
        <w:rPr>
          <w:color w:val="auto"/>
          <w:sz w:val="24"/>
          <w:highlight w:val="none"/>
        </w:rPr>
        <w:t>文件的组成部分。修改的投标文件应按照本章第3条、第4条的规定进行编制、密封、标记和递交，并标明“修改”字样。</w:t>
      </w:r>
    </w:p>
    <w:p w14:paraId="588A4B2C">
      <w:pPr>
        <w:pStyle w:val="5"/>
        <w:rPr>
          <w:color w:val="auto"/>
          <w:highlight w:val="none"/>
        </w:rPr>
      </w:pPr>
      <w:bookmarkStart w:id="202" w:name="_Toc20432"/>
      <w:bookmarkStart w:id="203" w:name="_Toc529196551"/>
      <w:bookmarkStart w:id="204" w:name="_Toc515205224"/>
      <w:r>
        <w:rPr>
          <w:color w:val="auto"/>
          <w:highlight w:val="none"/>
        </w:rPr>
        <w:t>5. 开标</w:t>
      </w:r>
      <w:bookmarkEnd w:id="202"/>
      <w:bookmarkEnd w:id="203"/>
      <w:bookmarkEnd w:id="204"/>
    </w:p>
    <w:p w14:paraId="57330EFF">
      <w:pPr>
        <w:pStyle w:val="5"/>
        <w:ind w:firstLine="137"/>
        <w:rPr>
          <w:color w:val="auto"/>
          <w:highlight w:val="none"/>
        </w:rPr>
      </w:pPr>
      <w:bookmarkStart w:id="205" w:name="_Toc529196553"/>
      <w:bookmarkStart w:id="206" w:name="_Toc515205226"/>
      <w:bookmarkStart w:id="207" w:name="_Toc29821"/>
      <w:r>
        <w:rPr>
          <w:color w:val="auto"/>
          <w:highlight w:val="none"/>
        </w:rPr>
        <w:t>5.1 开标时间和地点</w:t>
      </w:r>
      <w:bookmarkEnd w:id="205"/>
      <w:bookmarkEnd w:id="206"/>
      <w:bookmarkEnd w:id="207"/>
    </w:p>
    <w:p w14:paraId="639669C6">
      <w:pPr>
        <w:spacing w:line="360" w:lineRule="auto"/>
        <w:ind w:firstLine="480" w:firstLineChars="200"/>
        <w:rPr>
          <w:color w:val="auto"/>
          <w:sz w:val="24"/>
          <w:highlight w:val="none"/>
        </w:rPr>
      </w:pPr>
      <w:r>
        <w:rPr>
          <w:color w:val="auto"/>
          <w:sz w:val="24"/>
          <w:highlight w:val="none"/>
        </w:rPr>
        <w:t>招标人在本章第4.2.1项规定的投标截止时间（开标时间）,通过电子招标投标交易平台公开开标，所有投标人的法定代表人或其委托代理人应当准时参加。</w:t>
      </w:r>
    </w:p>
    <w:p w14:paraId="6FF8E308">
      <w:pPr>
        <w:pStyle w:val="5"/>
        <w:spacing w:before="120" w:after="120"/>
        <w:ind w:firstLine="137"/>
        <w:rPr>
          <w:color w:val="auto"/>
          <w:highlight w:val="none"/>
        </w:rPr>
      </w:pPr>
      <w:bookmarkStart w:id="208" w:name="_Toc515205227"/>
      <w:bookmarkStart w:id="209" w:name="_Toc7741"/>
      <w:bookmarkStart w:id="210" w:name="_Toc529196554"/>
      <w:r>
        <w:rPr>
          <w:color w:val="auto"/>
          <w:highlight w:val="none"/>
        </w:rPr>
        <w:t>5.2 开标程序</w:t>
      </w:r>
      <w:bookmarkEnd w:id="208"/>
      <w:bookmarkEnd w:id="209"/>
      <w:bookmarkEnd w:id="210"/>
    </w:p>
    <w:p w14:paraId="28B801A6">
      <w:pPr>
        <w:spacing w:line="360" w:lineRule="auto"/>
        <w:ind w:firstLine="480" w:firstLineChars="200"/>
        <w:rPr>
          <w:color w:val="auto"/>
          <w:sz w:val="24"/>
          <w:highlight w:val="none"/>
        </w:rPr>
      </w:pPr>
      <w:r>
        <w:rPr>
          <w:color w:val="auto"/>
          <w:sz w:val="24"/>
          <w:highlight w:val="none"/>
        </w:rPr>
        <w:t>主持人按下列程序进行开标：</w:t>
      </w:r>
    </w:p>
    <w:p w14:paraId="000D19EB">
      <w:pPr>
        <w:spacing w:line="360" w:lineRule="auto"/>
        <w:ind w:firstLine="480" w:firstLineChars="200"/>
        <w:rPr>
          <w:color w:val="auto"/>
          <w:sz w:val="24"/>
          <w:highlight w:val="none"/>
        </w:rPr>
      </w:pPr>
      <w:r>
        <w:rPr>
          <w:color w:val="auto"/>
          <w:sz w:val="24"/>
          <w:highlight w:val="none"/>
        </w:rPr>
        <w:t>（1）宣布开标纪律；</w:t>
      </w:r>
    </w:p>
    <w:p w14:paraId="023C7132">
      <w:pPr>
        <w:spacing w:line="360" w:lineRule="auto"/>
        <w:ind w:firstLine="480" w:firstLineChars="200"/>
        <w:rPr>
          <w:color w:val="auto"/>
          <w:sz w:val="24"/>
          <w:highlight w:val="none"/>
        </w:rPr>
      </w:pPr>
      <w:r>
        <w:rPr>
          <w:color w:val="auto"/>
          <w:sz w:val="24"/>
          <w:highlight w:val="none"/>
        </w:rPr>
        <w:t>（2）公布在投标截止时间前递交投标文件的投标人名称；</w:t>
      </w:r>
    </w:p>
    <w:p w14:paraId="39886C25">
      <w:pPr>
        <w:spacing w:line="360" w:lineRule="auto"/>
        <w:ind w:firstLine="480" w:firstLineChars="200"/>
        <w:rPr>
          <w:color w:val="auto"/>
          <w:sz w:val="24"/>
          <w:highlight w:val="none"/>
        </w:rPr>
      </w:pPr>
      <w:r>
        <w:rPr>
          <w:color w:val="auto"/>
          <w:sz w:val="24"/>
          <w:highlight w:val="none"/>
        </w:rPr>
        <w:t>（3）宣布</w:t>
      </w:r>
      <w:bookmarkStart w:id="211" w:name="_Toc361508611"/>
      <w:bookmarkStart w:id="212" w:name="_Toc144974522"/>
      <w:bookmarkStart w:id="213" w:name="_Toc247527579"/>
      <w:bookmarkStart w:id="214" w:name="_Toc352691498"/>
      <w:bookmarkStart w:id="215" w:name="_Toc152045554"/>
      <w:bookmarkStart w:id="216" w:name="_Toc22119"/>
      <w:bookmarkStart w:id="217" w:name="_Toc247513978"/>
      <w:bookmarkStart w:id="218" w:name="_Toc300834975"/>
      <w:bookmarkStart w:id="219" w:name="_Toc384308236"/>
      <w:bookmarkStart w:id="220" w:name="_Toc369531542"/>
      <w:bookmarkStart w:id="221" w:name="_Toc152042330"/>
      <w:r>
        <w:rPr>
          <w:color w:val="auto"/>
          <w:sz w:val="24"/>
          <w:highlight w:val="none"/>
        </w:rPr>
        <w:t>开标人、唱标人、记录人</w:t>
      </w:r>
      <w:bookmarkEnd w:id="211"/>
      <w:bookmarkEnd w:id="212"/>
      <w:bookmarkEnd w:id="213"/>
      <w:bookmarkEnd w:id="214"/>
      <w:bookmarkEnd w:id="215"/>
      <w:bookmarkEnd w:id="216"/>
      <w:bookmarkEnd w:id="217"/>
      <w:bookmarkEnd w:id="218"/>
      <w:bookmarkEnd w:id="219"/>
      <w:bookmarkEnd w:id="220"/>
      <w:bookmarkEnd w:id="221"/>
      <w:r>
        <w:rPr>
          <w:color w:val="auto"/>
          <w:sz w:val="24"/>
          <w:highlight w:val="none"/>
        </w:rPr>
        <w:t>、监标人等有关人员姓名；</w:t>
      </w:r>
    </w:p>
    <w:p w14:paraId="2013C1AE">
      <w:pPr>
        <w:spacing w:line="360" w:lineRule="auto"/>
        <w:ind w:firstLine="480" w:firstLineChars="200"/>
        <w:rPr>
          <w:color w:val="auto"/>
          <w:sz w:val="24"/>
          <w:highlight w:val="none"/>
        </w:rPr>
      </w:pPr>
      <w:r>
        <w:rPr>
          <w:color w:val="auto"/>
          <w:sz w:val="24"/>
          <w:highlight w:val="none"/>
        </w:rPr>
        <w:t>（4</w:t>
      </w:r>
      <w:r>
        <w:rPr>
          <w:rFonts w:hint="eastAsia"/>
          <w:color w:val="auto"/>
          <w:sz w:val="24"/>
          <w:highlight w:val="none"/>
        </w:rPr>
        <w:t>）</w:t>
      </w:r>
      <w:r>
        <w:rPr>
          <w:color w:val="auto"/>
          <w:sz w:val="24"/>
          <w:highlight w:val="none"/>
        </w:rPr>
        <w:t>投标人通过电子招标投标交易平台对已递交的电子投标文件进行解密，公布招标项目名称、投标人名称、投标保证金的递交情况、投标报价、服务期限及其他内容，并记录在案；</w:t>
      </w:r>
    </w:p>
    <w:p w14:paraId="4DCA8020">
      <w:pPr>
        <w:spacing w:line="360" w:lineRule="auto"/>
        <w:ind w:firstLine="480" w:firstLineChars="200"/>
        <w:rPr>
          <w:color w:val="auto"/>
          <w:sz w:val="24"/>
          <w:highlight w:val="none"/>
        </w:rPr>
      </w:pPr>
      <w:r>
        <w:rPr>
          <w:color w:val="auto"/>
          <w:sz w:val="24"/>
          <w:highlight w:val="none"/>
        </w:rPr>
        <w:t>（5</w:t>
      </w:r>
      <w:r>
        <w:rPr>
          <w:rFonts w:hint="eastAsia"/>
          <w:color w:val="auto"/>
          <w:sz w:val="24"/>
          <w:highlight w:val="none"/>
        </w:rPr>
        <w:t>）</w:t>
      </w:r>
      <w:r>
        <w:rPr>
          <w:color w:val="auto"/>
          <w:sz w:val="24"/>
          <w:highlight w:val="none"/>
        </w:rPr>
        <w:t>投标人代表、招标人代表、监标人、记录人等有关人员使用本人的电子印章在开标记录上签字确认；</w:t>
      </w:r>
    </w:p>
    <w:p w14:paraId="4721B658">
      <w:pPr>
        <w:spacing w:line="360" w:lineRule="auto"/>
        <w:ind w:firstLine="480" w:firstLineChars="200"/>
        <w:rPr>
          <w:color w:val="auto"/>
          <w:sz w:val="24"/>
          <w:highlight w:val="none"/>
        </w:rPr>
      </w:pPr>
      <w:r>
        <w:rPr>
          <w:color w:val="auto"/>
          <w:sz w:val="24"/>
          <w:highlight w:val="none"/>
        </w:rPr>
        <w:t>（6）开标结束。</w:t>
      </w:r>
    </w:p>
    <w:p w14:paraId="756362D9">
      <w:pPr>
        <w:pStyle w:val="5"/>
        <w:spacing w:before="120" w:after="120"/>
        <w:ind w:firstLine="137"/>
        <w:rPr>
          <w:color w:val="auto"/>
          <w:highlight w:val="none"/>
        </w:rPr>
      </w:pPr>
      <w:bookmarkStart w:id="222" w:name="_Toc25111"/>
      <w:bookmarkStart w:id="223" w:name="_Toc515205228"/>
      <w:bookmarkStart w:id="224" w:name="_Toc529196555"/>
      <w:r>
        <w:rPr>
          <w:color w:val="auto"/>
          <w:highlight w:val="none"/>
        </w:rPr>
        <w:t>5.3 开标异议</w:t>
      </w:r>
      <w:bookmarkEnd w:id="222"/>
      <w:bookmarkEnd w:id="223"/>
      <w:bookmarkEnd w:id="224"/>
    </w:p>
    <w:p w14:paraId="4ECF9914">
      <w:pPr>
        <w:spacing w:line="360" w:lineRule="auto"/>
        <w:ind w:firstLine="410" w:firstLineChars="171"/>
        <w:rPr>
          <w:color w:val="auto"/>
          <w:sz w:val="24"/>
          <w:highlight w:val="none"/>
        </w:rPr>
      </w:pPr>
      <w:bookmarkStart w:id="225" w:name="OLE_LINK9"/>
      <w:r>
        <w:rPr>
          <w:rFonts w:hint="eastAsia"/>
          <w:color w:val="auto"/>
          <w:sz w:val="24"/>
          <w:highlight w:val="none"/>
          <w:u w:val="singl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bookmarkEnd w:id="225"/>
    <w:p w14:paraId="4281B46E">
      <w:pPr>
        <w:pStyle w:val="5"/>
        <w:rPr>
          <w:color w:val="auto"/>
          <w:highlight w:val="none"/>
        </w:rPr>
      </w:pPr>
      <w:bookmarkStart w:id="226" w:name="_Toc515205229"/>
      <w:bookmarkStart w:id="227" w:name="_Toc529196556"/>
      <w:bookmarkStart w:id="228" w:name="_Toc31210"/>
      <w:r>
        <w:rPr>
          <w:color w:val="auto"/>
          <w:highlight w:val="none"/>
        </w:rPr>
        <w:t>6. 评标</w:t>
      </w:r>
      <w:bookmarkEnd w:id="226"/>
      <w:bookmarkEnd w:id="227"/>
      <w:bookmarkEnd w:id="228"/>
    </w:p>
    <w:p w14:paraId="15652C25">
      <w:pPr>
        <w:pStyle w:val="5"/>
        <w:ind w:firstLine="137"/>
        <w:rPr>
          <w:color w:val="auto"/>
          <w:highlight w:val="none"/>
        </w:rPr>
      </w:pPr>
      <w:bookmarkStart w:id="229" w:name="_Toc21564"/>
      <w:bookmarkStart w:id="230" w:name="_Toc529196557"/>
      <w:bookmarkStart w:id="231" w:name="_Toc515205230"/>
      <w:r>
        <w:rPr>
          <w:color w:val="auto"/>
          <w:highlight w:val="none"/>
        </w:rPr>
        <w:t>6.1 评标委员会</w:t>
      </w:r>
      <w:bookmarkEnd w:id="229"/>
      <w:bookmarkEnd w:id="230"/>
      <w:bookmarkEnd w:id="231"/>
    </w:p>
    <w:p w14:paraId="43EB16EC">
      <w:pPr>
        <w:spacing w:line="360" w:lineRule="auto"/>
        <w:ind w:firstLine="480" w:firstLineChars="200"/>
        <w:rPr>
          <w:color w:val="auto"/>
          <w:sz w:val="24"/>
          <w:highlight w:val="none"/>
        </w:rPr>
      </w:pPr>
      <w:r>
        <w:rPr>
          <w:color w:val="auto"/>
          <w:sz w:val="24"/>
          <w:highlight w:val="none"/>
        </w:rPr>
        <w:t>6.1.1 评标由招标人依法组建的评标委员会负责。评标委员会成员人数以及技术、经济等方面专家的确定方式见投标人须知前附表。</w:t>
      </w:r>
    </w:p>
    <w:p w14:paraId="0D316969">
      <w:pPr>
        <w:spacing w:line="360" w:lineRule="auto"/>
        <w:ind w:firstLine="480" w:firstLineChars="200"/>
        <w:rPr>
          <w:color w:val="auto"/>
          <w:sz w:val="24"/>
          <w:highlight w:val="none"/>
        </w:rPr>
      </w:pPr>
      <w:r>
        <w:rPr>
          <w:color w:val="auto"/>
          <w:sz w:val="24"/>
          <w:highlight w:val="none"/>
        </w:rPr>
        <w:t>6.1.2 评标委员会成员有下列情形之一的，应当回避：</w:t>
      </w:r>
    </w:p>
    <w:p w14:paraId="5C3DB669">
      <w:pPr>
        <w:spacing w:line="360" w:lineRule="auto"/>
        <w:ind w:firstLine="820" w:firstLineChars="342"/>
        <w:rPr>
          <w:color w:val="auto"/>
          <w:sz w:val="24"/>
          <w:highlight w:val="none"/>
        </w:rPr>
      </w:pPr>
      <w:r>
        <w:rPr>
          <w:color w:val="auto"/>
          <w:sz w:val="24"/>
          <w:highlight w:val="none"/>
        </w:rPr>
        <w:t>（1）投标人或投标人主要负责人的近亲属；</w:t>
      </w:r>
    </w:p>
    <w:p w14:paraId="399421C8">
      <w:pPr>
        <w:spacing w:line="360" w:lineRule="auto"/>
        <w:ind w:firstLine="820" w:firstLineChars="342"/>
        <w:rPr>
          <w:color w:val="auto"/>
          <w:sz w:val="24"/>
          <w:highlight w:val="none"/>
        </w:rPr>
      </w:pPr>
      <w:r>
        <w:rPr>
          <w:color w:val="auto"/>
          <w:sz w:val="24"/>
          <w:highlight w:val="none"/>
        </w:rPr>
        <w:t>（2）项目主管部门或者行政监督部门的人员；</w:t>
      </w:r>
    </w:p>
    <w:p w14:paraId="656C0066">
      <w:pPr>
        <w:spacing w:line="360" w:lineRule="auto"/>
        <w:ind w:firstLine="820" w:firstLineChars="342"/>
        <w:rPr>
          <w:color w:val="auto"/>
          <w:sz w:val="24"/>
          <w:highlight w:val="none"/>
        </w:rPr>
      </w:pPr>
      <w:r>
        <w:rPr>
          <w:color w:val="auto"/>
          <w:sz w:val="24"/>
          <w:highlight w:val="none"/>
        </w:rPr>
        <w:t>（3）与投标人有经济利益关系，可能影响对投标公正评审的；</w:t>
      </w:r>
    </w:p>
    <w:p w14:paraId="4BFA1AFC">
      <w:pPr>
        <w:spacing w:line="360" w:lineRule="auto"/>
        <w:ind w:firstLine="820" w:firstLineChars="342"/>
        <w:rPr>
          <w:color w:val="auto"/>
          <w:sz w:val="24"/>
          <w:highlight w:val="none"/>
        </w:rPr>
      </w:pPr>
      <w:r>
        <w:rPr>
          <w:color w:val="auto"/>
          <w:sz w:val="24"/>
          <w:highlight w:val="none"/>
        </w:rPr>
        <w:t>（4）曾因在招标、评</w:t>
      </w:r>
      <w:bookmarkStart w:id="232" w:name="_Toc152042331"/>
      <w:bookmarkStart w:id="233" w:name="_Toc384308237"/>
      <w:bookmarkStart w:id="234" w:name="_Toc247527580"/>
      <w:bookmarkStart w:id="235" w:name="_Toc152045555"/>
      <w:bookmarkStart w:id="236" w:name="_Toc300834976"/>
      <w:bookmarkStart w:id="237" w:name="_Toc352691499"/>
      <w:bookmarkStart w:id="238" w:name="_Toc361508612"/>
      <w:bookmarkStart w:id="239" w:name="_Toc247513979"/>
      <w:bookmarkStart w:id="240" w:name="_Toc369531543"/>
      <w:bookmarkStart w:id="241" w:name="_Toc144974523"/>
      <w:bookmarkStart w:id="242" w:name="_Toc6230"/>
      <w:r>
        <w:rPr>
          <w:color w:val="auto"/>
          <w:sz w:val="24"/>
          <w:highlight w:val="none"/>
        </w:rPr>
        <w:t>标以及其他</w:t>
      </w:r>
      <w:bookmarkEnd w:id="232"/>
      <w:bookmarkEnd w:id="233"/>
      <w:bookmarkEnd w:id="234"/>
      <w:bookmarkEnd w:id="235"/>
      <w:bookmarkEnd w:id="236"/>
      <w:bookmarkEnd w:id="237"/>
      <w:bookmarkEnd w:id="238"/>
      <w:bookmarkEnd w:id="239"/>
      <w:bookmarkEnd w:id="240"/>
      <w:bookmarkEnd w:id="241"/>
      <w:bookmarkEnd w:id="242"/>
      <w:r>
        <w:rPr>
          <w:color w:val="auto"/>
          <w:sz w:val="24"/>
          <w:highlight w:val="none"/>
        </w:rPr>
        <w:t>与</w:t>
      </w:r>
      <w:bookmarkStart w:id="243" w:name="_Toc300834977"/>
      <w:bookmarkStart w:id="244" w:name="_Toc361508613"/>
      <w:bookmarkStart w:id="245" w:name="_Toc17703"/>
      <w:bookmarkStart w:id="246" w:name="_Toc247513980"/>
      <w:bookmarkStart w:id="247" w:name="_Toc352691500"/>
      <w:bookmarkStart w:id="248" w:name="_Toc247527581"/>
      <w:bookmarkStart w:id="249" w:name="_Toc369531544"/>
      <w:bookmarkStart w:id="250" w:name="_Toc144974524"/>
      <w:bookmarkStart w:id="251" w:name="_Toc384308238"/>
      <w:bookmarkStart w:id="252" w:name="_Toc152045556"/>
      <w:bookmarkStart w:id="253" w:name="_Toc152042332"/>
      <w:r>
        <w:rPr>
          <w:color w:val="auto"/>
          <w:sz w:val="24"/>
          <w:highlight w:val="none"/>
        </w:rPr>
        <w:t>招标投标有关活动中从事违法行</w:t>
      </w:r>
      <w:bookmarkEnd w:id="243"/>
      <w:bookmarkEnd w:id="244"/>
      <w:bookmarkEnd w:id="245"/>
      <w:bookmarkEnd w:id="246"/>
      <w:bookmarkEnd w:id="247"/>
      <w:bookmarkEnd w:id="248"/>
      <w:bookmarkEnd w:id="249"/>
      <w:bookmarkEnd w:id="250"/>
      <w:bookmarkEnd w:id="251"/>
      <w:bookmarkEnd w:id="252"/>
      <w:bookmarkEnd w:id="253"/>
      <w:r>
        <w:rPr>
          <w:color w:val="auto"/>
          <w:sz w:val="24"/>
          <w:highlight w:val="none"/>
        </w:rPr>
        <w:t>为而受过行政处罚或刑事处罚的；</w:t>
      </w:r>
    </w:p>
    <w:p w14:paraId="2E409A19">
      <w:pPr>
        <w:spacing w:line="360" w:lineRule="auto"/>
        <w:ind w:firstLine="820" w:firstLineChars="342"/>
        <w:rPr>
          <w:color w:val="auto"/>
          <w:sz w:val="24"/>
          <w:highlight w:val="none"/>
        </w:rPr>
      </w:pPr>
      <w:r>
        <w:rPr>
          <w:color w:val="auto"/>
          <w:sz w:val="24"/>
          <w:highlight w:val="none"/>
        </w:rPr>
        <w:t>（5）与投标人有其他利害关系。</w:t>
      </w:r>
    </w:p>
    <w:p w14:paraId="0C6F33CD">
      <w:pPr>
        <w:spacing w:line="360" w:lineRule="auto"/>
        <w:ind w:firstLine="480" w:firstLineChars="200"/>
        <w:rPr>
          <w:color w:val="auto"/>
          <w:sz w:val="24"/>
          <w:highlight w:val="none"/>
        </w:rPr>
      </w:pPr>
      <w:r>
        <w:rPr>
          <w:color w:val="auto"/>
          <w:sz w:val="24"/>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14:paraId="733732E1">
      <w:pPr>
        <w:pStyle w:val="5"/>
        <w:ind w:firstLine="137"/>
        <w:rPr>
          <w:color w:val="auto"/>
          <w:highlight w:val="none"/>
        </w:rPr>
      </w:pPr>
      <w:bookmarkStart w:id="254" w:name="_Toc515205231"/>
      <w:bookmarkStart w:id="255" w:name="_Toc529196558"/>
      <w:bookmarkStart w:id="256" w:name="_Toc15386"/>
      <w:r>
        <w:rPr>
          <w:color w:val="auto"/>
          <w:highlight w:val="none"/>
        </w:rPr>
        <w:t>6.2 评标原则</w:t>
      </w:r>
      <w:bookmarkEnd w:id="254"/>
      <w:bookmarkEnd w:id="255"/>
      <w:bookmarkEnd w:id="256"/>
    </w:p>
    <w:p w14:paraId="5527540B">
      <w:pPr>
        <w:spacing w:line="360" w:lineRule="auto"/>
        <w:ind w:firstLine="480" w:firstLineChars="200"/>
        <w:rPr>
          <w:color w:val="auto"/>
          <w:sz w:val="24"/>
          <w:highlight w:val="none"/>
        </w:rPr>
      </w:pPr>
      <w:r>
        <w:rPr>
          <w:color w:val="auto"/>
          <w:sz w:val="24"/>
          <w:highlight w:val="none"/>
        </w:rPr>
        <w:t>评标活动遵循公平、公正、科学和择优的原</w:t>
      </w:r>
      <w:bookmarkStart w:id="257" w:name="_Toc300834978"/>
      <w:bookmarkStart w:id="258" w:name="_Toc361508614"/>
      <w:bookmarkStart w:id="259" w:name="_Toc18949"/>
      <w:bookmarkStart w:id="260" w:name="_Toc369531545"/>
      <w:bookmarkStart w:id="261" w:name="_Toc247527582"/>
      <w:bookmarkStart w:id="262" w:name="_Toc152042333"/>
      <w:bookmarkStart w:id="263" w:name="_Toc384308239"/>
      <w:bookmarkStart w:id="264" w:name="_Toc144974525"/>
      <w:bookmarkStart w:id="265" w:name="_Toc152045557"/>
      <w:bookmarkStart w:id="266" w:name="_Toc247513981"/>
      <w:bookmarkStart w:id="267" w:name="_Toc352691501"/>
      <w:r>
        <w:rPr>
          <w:color w:val="auto"/>
          <w:sz w:val="24"/>
          <w:highlight w:val="none"/>
        </w:rPr>
        <w:t>则。</w:t>
      </w:r>
    </w:p>
    <w:p w14:paraId="6A899E88">
      <w:pPr>
        <w:pStyle w:val="5"/>
        <w:ind w:firstLine="137"/>
        <w:rPr>
          <w:color w:val="auto"/>
          <w:highlight w:val="none"/>
        </w:rPr>
      </w:pPr>
      <w:bookmarkStart w:id="268" w:name="_Toc19316"/>
      <w:bookmarkStart w:id="269" w:name="_Toc529196559"/>
      <w:bookmarkStart w:id="270" w:name="_Toc515205232"/>
      <w:r>
        <w:rPr>
          <w:color w:val="auto"/>
          <w:highlight w:val="none"/>
        </w:rPr>
        <w:t>6.3 评标</w:t>
      </w:r>
      <w:bookmarkEnd w:id="268"/>
      <w:bookmarkEnd w:id="269"/>
      <w:bookmarkEnd w:id="270"/>
    </w:p>
    <w:p w14:paraId="38D719B3">
      <w:pPr>
        <w:spacing w:line="360" w:lineRule="auto"/>
        <w:ind w:firstLine="480" w:firstLineChars="200"/>
        <w:rPr>
          <w:color w:val="auto"/>
          <w:sz w:val="24"/>
          <w:highlight w:val="none"/>
        </w:rPr>
      </w:pPr>
      <w:r>
        <w:rPr>
          <w:color w:val="auto"/>
          <w:sz w:val="24"/>
          <w:highlight w:val="none"/>
        </w:rPr>
        <w:t>6</w:t>
      </w:r>
      <w:bookmarkEnd w:id="257"/>
      <w:bookmarkEnd w:id="258"/>
      <w:bookmarkEnd w:id="259"/>
      <w:bookmarkEnd w:id="260"/>
      <w:bookmarkEnd w:id="261"/>
      <w:bookmarkEnd w:id="262"/>
      <w:bookmarkEnd w:id="263"/>
      <w:bookmarkEnd w:id="264"/>
      <w:bookmarkEnd w:id="265"/>
      <w:bookmarkEnd w:id="266"/>
      <w:bookmarkEnd w:id="267"/>
      <w:r>
        <w:rPr>
          <w:color w:val="auto"/>
          <w:sz w:val="24"/>
          <w:highlight w:val="none"/>
        </w:rPr>
        <w:t>.3.1评标委员会按照第三章“评标办法”规定的方法、评审因素、标准和程序对投标文件进行评审。第三章“评标办法”没有规定的方法、评审因素和标准，不作为评标依据。</w:t>
      </w:r>
    </w:p>
    <w:p w14:paraId="47265E4B">
      <w:pPr>
        <w:spacing w:line="360" w:lineRule="auto"/>
        <w:ind w:firstLine="480" w:firstLineChars="200"/>
        <w:rPr>
          <w:color w:val="auto"/>
          <w:sz w:val="24"/>
          <w:highlight w:val="none"/>
        </w:rPr>
      </w:pPr>
      <w:r>
        <w:rPr>
          <w:color w:val="auto"/>
          <w:sz w:val="24"/>
          <w:highlight w:val="none"/>
        </w:rPr>
        <w:t>6.3.2评标完成后，评标委员会应当向招标人提交书面评标报告和中标候选人名单。评标委员会推荐中标</w:t>
      </w:r>
      <w:bookmarkStart w:id="271" w:name="_Toc12259"/>
      <w:bookmarkStart w:id="272" w:name="_Toc247513982"/>
      <w:bookmarkStart w:id="273" w:name="_Toc144974526"/>
      <w:bookmarkStart w:id="274" w:name="_Toc352691502"/>
      <w:bookmarkStart w:id="275" w:name="_Toc152045558"/>
      <w:bookmarkStart w:id="276" w:name="_Toc384308240"/>
      <w:bookmarkStart w:id="277" w:name="_Toc369531546"/>
      <w:bookmarkStart w:id="278" w:name="_Toc300834979"/>
      <w:bookmarkStart w:id="279" w:name="_Toc152042334"/>
      <w:bookmarkStart w:id="280" w:name="_Toc247527583"/>
      <w:bookmarkStart w:id="281" w:name="_Toc361508615"/>
      <w:r>
        <w:rPr>
          <w:color w:val="auto"/>
          <w:sz w:val="24"/>
          <w:highlight w:val="none"/>
        </w:rPr>
        <w:t>候选人的人数见投标人须知前附</w:t>
      </w:r>
      <w:bookmarkEnd w:id="271"/>
      <w:bookmarkEnd w:id="272"/>
      <w:bookmarkEnd w:id="273"/>
      <w:bookmarkEnd w:id="274"/>
      <w:bookmarkEnd w:id="275"/>
      <w:bookmarkEnd w:id="276"/>
      <w:bookmarkEnd w:id="277"/>
      <w:bookmarkEnd w:id="278"/>
      <w:bookmarkEnd w:id="279"/>
      <w:bookmarkEnd w:id="280"/>
      <w:bookmarkEnd w:id="281"/>
      <w:r>
        <w:rPr>
          <w:color w:val="auto"/>
          <w:sz w:val="24"/>
          <w:highlight w:val="none"/>
        </w:rPr>
        <w:t>表。</w:t>
      </w:r>
    </w:p>
    <w:p w14:paraId="177DA301">
      <w:pPr>
        <w:pStyle w:val="5"/>
        <w:rPr>
          <w:color w:val="auto"/>
          <w:highlight w:val="none"/>
        </w:rPr>
      </w:pPr>
      <w:bookmarkStart w:id="282" w:name="_Toc1595"/>
      <w:bookmarkStart w:id="283" w:name="_Toc515205233"/>
      <w:bookmarkStart w:id="284" w:name="_Toc529196560"/>
      <w:r>
        <w:rPr>
          <w:color w:val="auto"/>
          <w:highlight w:val="none"/>
        </w:rPr>
        <w:t>7. 合同授予</w:t>
      </w:r>
      <w:bookmarkEnd w:id="282"/>
      <w:bookmarkEnd w:id="283"/>
      <w:bookmarkEnd w:id="284"/>
    </w:p>
    <w:p w14:paraId="3FCCC3D5">
      <w:pPr>
        <w:pStyle w:val="5"/>
        <w:ind w:firstLine="137"/>
        <w:rPr>
          <w:color w:val="auto"/>
          <w:highlight w:val="none"/>
        </w:rPr>
      </w:pPr>
      <w:bookmarkStart w:id="285" w:name="_Toc515205234"/>
      <w:bookmarkStart w:id="286" w:name="_Toc529196561"/>
      <w:bookmarkStart w:id="287" w:name="_Toc8790"/>
      <w:r>
        <w:rPr>
          <w:color w:val="auto"/>
          <w:highlight w:val="none"/>
        </w:rPr>
        <w:t>7.1 中标候选人公示</w:t>
      </w:r>
      <w:bookmarkEnd w:id="285"/>
      <w:bookmarkEnd w:id="286"/>
      <w:bookmarkEnd w:id="287"/>
    </w:p>
    <w:p w14:paraId="6FC51820">
      <w:pPr>
        <w:spacing w:line="360" w:lineRule="auto"/>
        <w:ind w:firstLine="480" w:firstLineChars="200"/>
        <w:rPr>
          <w:color w:val="auto"/>
          <w:sz w:val="24"/>
          <w:highlight w:val="none"/>
        </w:rPr>
      </w:pPr>
      <w:r>
        <w:rPr>
          <w:color w:val="auto"/>
          <w:sz w:val="24"/>
          <w:highlight w:val="none"/>
        </w:rPr>
        <w:t>招标人在收到评标报告之日起3日内，按照投标人须知前附表规定的公示媒介和期限公示中标候选人，公示期不得少于3天。</w:t>
      </w:r>
    </w:p>
    <w:p w14:paraId="4EE1F5E2">
      <w:pPr>
        <w:pStyle w:val="5"/>
        <w:ind w:firstLine="137"/>
        <w:rPr>
          <w:color w:val="auto"/>
          <w:highlight w:val="none"/>
        </w:rPr>
      </w:pPr>
      <w:bookmarkStart w:id="288" w:name="_Toc515205235"/>
      <w:bookmarkStart w:id="289" w:name="_Toc5090"/>
      <w:bookmarkStart w:id="290" w:name="_Toc529196562"/>
      <w:r>
        <w:rPr>
          <w:color w:val="auto"/>
          <w:highlight w:val="none"/>
        </w:rPr>
        <w:t>7.2 评标结果异议</w:t>
      </w:r>
      <w:bookmarkEnd w:id="288"/>
      <w:bookmarkEnd w:id="289"/>
      <w:bookmarkEnd w:id="290"/>
    </w:p>
    <w:p w14:paraId="0C630A1E">
      <w:pPr>
        <w:spacing w:line="360" w:lineRule="auto"/>
        <w:ind w:firstLine="480" w:firstLineChars="200"/>
        <w:rPr>
          <w:color w:val="auto"/>
          <w:sz w:val="24"/>
          <w:highlight w:val="none"/>
        </w:rPr>
      </w:pPr>
      <w:r>
        <w:rPr>
          <w:rFonts w:hint="eastAsia"/>
          <w:color w:val="auto"/>
          <w:sz w:val="24"/>
          <w:highlight w:val="none"/>
          <w:u w:val="single"/>
        </w:rPr>
        <w:t>投标人或其他利害关系人对评标结果有异议的，应当在中标候选人公示期间提出，可以通过线下或线上的形式提出异议。线上提交的，应通过交易平台进行，招标人也应通过交易平台答复线上提交的异议。招标人将在收到异议之日起 3 日内作出答复；作出答复前，应当暂停招标投标活动。</w:t>
      </w:r>
    </w:p>
    <w:p w14:paraId="4D5AC44E">
      <w:pPr>
        <w:pStyle w:val="5"/>
        <w:ind w:firstLine="137"/>
        <w:rPr>
          <w:color w:val="auto"/>
          <w:highlight w:val="none"/>
        </w:rPr>
      </w:pPr>
      <w:bookmarkStart w:id="291" w:name="_Toc11286"/>
      <w:bookmarkStart w:id="292" w:name="_Toc515205236"/>
      <w:bookmarkStart w:id="293" w:name="_Toc529196563"/>
      <w:r>
        <w:rPr>
          <w:color w:val="auto"/>
          <w:highlight w:val="none"/>
        </w:rPr>
        <w:t>7.3 中标候选人履约能力审查</w:t>
      </w:r>
      <w:bookmarkEnd w:id="291"/>
      <w:bookmarkEnd w:id="292"/>
      <w:bookmarkEnd w:id="293"/>
    </w:p>
    <w:p w14:paraId="059225F8">
      <w:pPr>
        <w:spacing w:line="360" w:lineRule="auto"/>
        <w:ind w:firstLine="480" w:firstLineChars="200"/>
        <w:rPr>
          <w:color w:val="auto"/>
          <w:sz w:val="24"/>
          <w:highlight w:val="none"/>
        </w:rPr>
      </w:pPr>
      <w:r>
        <w:rPr>
          <w:color w:val="auto"/>
          <w:sz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241751AE">
      <w:pPr>
        <w:pStyle w:val="5"/>
        <w:ind w:firstLine="137"/>
        <w:rPr>
          <w:color w:val="auto"/>
          <w:highlight w:val="none"/>
        </w:rPr>
      </w:pPr>
      <w:bookmarkStart w:id="294" w:name="_Toc529196564"/>
      <w:bookmarkStart w:id="295" w:name="_Toc515205237"/>
      <w:bookmarkStart w:id="296" w:name="_Toc8607"/>
      <w:r>
        <w:rPr>
          <w:color w:val="auto"/>
          <w:highlight w:val="none"/>
        </w:rPr>
        <w:t>7.4 定标</w:t>
      </w:r>
      <w:bookmarkEnd w:id="294"/>
      <w:bookmarkEnd w:id="295"/>
      <w:bookmarkEnd w:id="296"/>
    </w:p>
    <w:p w14:paraId="5630DD0F">
      <w:pPr>
        <w:spacing w:line="360" w:lineRule="auto"/>
        <w:ind w:firstLine="480" w:firstLineChars="200"/>
        <w:rPr>
          <w:color w:val="auto"/>
          <w:sz w:val="24"/>
          <w:highlight w:val="none"/>
        </w:rPr>
      </w:pPr>
      <w:r>
        <w:rPr>
          <w:color w:val="auto"/>
          <w:sz w:val="24"/>
          <w:highlight w:val="none"/>
        </w:rPr>
        <w:t>按照投标人须知前附表的规定，招标人或招标人授权的评标委员会依法确定中标人。</w:t>
      </w:r>
    </w:p>
    <w:p w14:paraId="2E4B9F51">
      <w:pPr>
        <w:pStyle w:val="5"/>
        <w:ind w:firstLine="137"/>
        <w:rPr>
          <w:color w:val="auto"/>
          <w:highlight w:val="none"/>
        </w:rPr>
      </w:pPr>
      <w:bookmarkStart w:id="297" w:name="_Toc515205238"/>
      <w:bookmarkStart w:id="298" w:name="_Toc14471"/>
      <w:bookmarkStart w:id="299" w:name="_Toc529196565"/>
      <w:r>
        <w:rPr>
          <w:color w:val="auto"/>
          <w:highlight w:val="none"/>
        </w:rPr>
        <w:t>7.5 中标通知</w:t>
      </w:r>
      <w:bookmarkEnd w:id="297"/>
      <w:bookmarkEnd w:id="298"/>
      <w:bookmarkEnd w:id="299"/>
    </w:p>
    <w:p w14:paraId="5EA4D4DA">
      <w:pPr>
        <w:spacing w:line="360" w:lineRule="auto"/>
        <w:ind w:firstLine="480" w:firstLineChars="200"/>
        <w:rPr>
          <w:color w:val="auto"/>
          <w:sz w:val="24"/>
          <w:highlight w:val="none"/>
        </w:rPr>
      </w:pPr>
      <w:r>
        <w:rPr>
          <w:color w:val="auto"/>
          <w:sz w:val="24"/>
          <w:highlight w:val="none"/>
        </w:rPr>
        <w:t>在本章第3.3款规定的投标有效期内，招标人以书面形式向中标人发出中标</w:t>
      </w:r>
      <w:bookmarkStart w:id="300" w:name="_Toc352691506"/>
      <w:bookmarkStart w:id="301" w:name="_Toc384308244"/>
      <w:bookmarkStart w:id="302" w:name="_Toc369531550"/>
      <w:bookmarkStart w:id="303" w:name="_Toc361508619"/>
      <w:bookmarkStart w:id="304" w:name="_Toc5668"/>
      <w:bookmarkStart w:id="305" w:name="_Toc300834983"/>
      <w:r>
        <w:rPr>
          <w:color w:val="auto"/>
          <w:sz w:val="24"/>
          <w:highlight w:val="none"/>
        </w:rPr>
        <w:t>通知书，同时将中</w:t>
      </w:r>
      <w:bookmarkEnd w:id="300"/>
      <w:bookmarkEnd w:id="301"/>
      <w:bookmarkEnd w:id="302"/>
      <w:bookmarkEnd w:id="303"/>
      <w:bookmarkEnd w:id="304"/>
      <w:bookmarkEnd w:id="305"/>
      <w:r>
        <w:rPr>
          <w:color w:val="auto"/>
          <w:sz w:val="24"/>
          <w:highlight w:val="none"/>
        </w:rPr>
        <w:t>标结果通知未中标的投标人。</w:t>
      </w:r>
    </w:p>
    <w:p w14:paraId="7652DB62">
      <w:pPr>
        <w:pStyle w:val="5"/>
        <w:ind w:firstLine="137"/>
        <w:rPr>
          <w:color w:val="auto"/>
          <w:highlight w:val="none"/>
        </w:rPr>
      </w:pPr>
      <w:bookmarkStart w:id="306" w:name="_Toc529196566"/>
      <w:bookmarkStart w:id="307" w:name="_Toc14193"/>
      <w:bookmarkStart w:id="308" w:name="_Toc515205239"/>
      <w:r>
        <w:rPr>
          <w:color w:val="auto"/>
          <w:highlight w:val="none"/>
        </w:rPr>
        <w:t>7.6 履约保证金</w:t>
      </w:r>
      <w:bookmarkEnd w:id="306"/>
      <w:bookmarkEnd w:id="307"/>
      <w:bookmarkEnd w:id="308"/>
    </w:p>
    <w:p w14:paraId="4C6E520D">
      <w:pPr>
        <w:spacing w:line="360" w:lineRule="auto"/>
        <w:ind w:firstLine="480" w:firstLineChars="200"/>
        <w:rPr>
          <w:color w:val="auto"/>
          <w:sz w:val="24"/>
          <w:highlight w:val="none"/>
        </w:rPr>
      </w:pPr>
      <w:r>
        <w:rPr>
          <w:color w:val="auto"/>
          <w:sz w:val="24"/>
          <w:highlight w:val="none"/>
        </w:rPr>
        <w:t xml:space="preserve">7.6.1 </w:t>
      </w:r>
      <w:r>
        <w:rPr>
          <w:rFonts w:hint="eastAsia"/>
          <w:color w:val="auto"/>
          <w:sz w:val="24"/>
          <w:highlight w:val="none"/>
        </w:rPr>
        <w:t>在签订合同前，</w:t>
      </w:r>
      <w:r>
        <w:rPr>
          <w:color w:val="auto"/>
          <w:sz w:val="24"/>
          <w:highlight w:val="none"/>
        </w:rPr>
        <w:t>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14:paraId="757005F9">
      <w:pPr>
        <w:spacing w:line="360" w:lineRule="auto"/>
        <w:ind w:firstLine="480" w:firstLineChars="200"/>
        <w:rPr>
          <w:color w:val="auto"/>
          <w:sz w:val="24"/>
          <w:highlight w:val="none"/>
        </w:rPr>
      </w:pPr>
      <w:r>
        <w:rPr>
          <w:color w:val="auto"/>
          <w:sz w:val="24"/>
          <w:highlight w:val="none"/>
        </w:rPr>
        <w:t>7.6.2 中标人不能按本章第7.6.1项要求提交履约保证金的，视为放弃中标，其投标保证金不予退还，给招标人造成的损失超过投标保证金数额的，中标人还应当对超过部分予以赔偿。</w:t>
      </w:r>
    </w:p>
    <w:p w14:paraId="06CF868D">
      <w:pPr>
        <w:pStyle w:val="5"/>
        <w:ind w:firstLine="137"/>
        <w:rPr>
          <w:color w:val="auto"/>
          <w:highlight w:val="none"/>
        </w:rPr>
      </w:pPr>
      <w:bookmarkStart w:id="309" w:name="_Toc12607"/>
      <w:bookmarkStart w:id="310" w:name="_Toc529196567"/>
      <w:bookmarkStart w:id="311" w:name="_Toc515205240"/>
      <w:r>
        <w:rPr>
          <w:color w:val="auto"/>
          <w:highlight w:val="none"/>
        </w:rPr>
        <w:t>7.7 签订合同</w:t>
      </w:r>
      <w:bookmarkEnd w:id="309"/>
      <w:bookmarkEnd w:id="310"/>
      <w:bookmarkEnd w:id="311"/>
    </w:p>
    <w:p w14:paraId="556EEA8E">
      <w:pPr>
        <w:spacing w:line="360" w:lineRule="auto"/>
        <w:ind w:firstLine="480" w:firstLineChars="200"/>
        <w:rPr>
          <w:color w:val="auto"/>
          <w:sz w:val="24"/>
          <w:highlight w:val="none"/>
        </w:rPr>
      </w:pPr>
      <w:r>
        <w:rPr>
          <w:color w:val="auto"/>
          <w:sz w:val="24"/>
          <w:highlight w:val="none"/>
        </w:rPr>
        <w:t>7.7.1 招标人和中标人应当在中标通知书发出之日起30日内，根据招标文件和中标人的投标文件订立书面合同。中标人无正当理由</w:t>
      </w:r>
      <w:r>
        <w:rPr>
          <w:rFonts w:hint="eastAsia"/>
          <w:color w:val="auto"/>
          <w:sz w:val="24"/>
          <w:highlight w:val="none"/>
        </w:rPr>
        <w:t>拒签</w:t>
      </w:r>
      <w:r>
        <w:rPr>
          <w:color w:val="auto"/>
          <w:sz w:val="24"/>
          <w:highlight w:val="none"/>
        </w:rPr>
        <w:t>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43AA8213">
      <w:pPr>
        <w:spacing w:line="360" w:lineRule="auto"/>
        <w:ind w:firstLine="480" w:firstLineChars="200"/>
        <w:rPr>
          <w:color w:val="auto"/>
          <w:sz w:val="24"/>
          <w:highlight w:val="none"/>
        </w:rPr>
      </w:pPr>
      <w:r>
        <w:rPr>
          <w:color w:val="auto"/>
          <w:sz w:val="24"/>
          <w:highlight w:val="none"/>
        </w:rPr>
        <w:t>7.7.2 发出中标通知书后，招标人无正当理由拒签合同，或者在签订合同时</w:t>
      </w:r>
      <w:r>
        <w:rPr>
          <w:rFonts w:hint="eastAsia"/>
          <w:color w:val="auto"/>
          <w:sz w:val="24"/>
          <w:highlight w:val="none"/>
        </w:rPr>
        <w:t>向中标人</w:t>
      </w:r>
      <w:r>
        <w:rPr>
          <w:color w:val="auto"/>
          <w:sz w:val="24"/>
          <w:highlight w:val="none"/>
        </w:rPr>
        <w:t>提出附加条件的，招标人向中标人退还投标保证金；给中标人造成损失的，还应当赔偿损失。</w:t>
      </w:r>
    </w:p>
    <w:p w14:paraId="652C521E">
      <w:pPr>
        <w:spacing w:line="360" w:lineRule="auto"/>
        <w:ind w:firstLine="480" w:firstLineChars="200"/>
        <w:rPr>
          <w:color w:val="auto"/>
          <w:sz w:val="24"/>
          <w:highlight w:val="none"/>
        </w:rPr>
      </w:pPr>
      <w:r>
        <w:rPr>
          <w:color w:val="auto"/>
          <w:sz w:val="24"/>
          <w:highlight w:val="none"/>
        </w:rPr>
        <w:t>7.7.3联合体中标的，联合体各方应当共同与招标人签订合同，就中标项目向招标人承担连带责任。</w:t>
      </w:r>
    </w:p>
    <w:p w14:paraId="00C0BA56">
      <w:pPr>
        <w:pStyle w:val="5"/>
        <w:rPr>
          <w:color w:val="auto"/>
          <w:highlight w:val="none"/>
        </w:rPr>
      </w:pPr>
      <w:bookmarkStart w:id="312" w:name="_Toc361508627"/>
      <w:bookmarkStart w:id="313" w:name="_Toc24067"/>
      <w:bookmarkStart w:id="314" w:name="_Toc384308252"/>
      <w:bookmarkStart w:id="315" w:name="_Toc515205241"/>
      <w:bookmarkStart w:id="316" w:name="_Toc529196568"/>
      <w:bookmarkStart w:id="317" w:name="_Toc23525"/>
      <w:bookmarkStart w:id="318" w:name="_Toc247513992"/>
      <w:bookmarkStart w:id="319" w:name="_Toc152042344"/>
      <w:bookmarkStart w:id="320" w:name="_Toc144974536"/>
      <w:bookmarkStart w:id="321" w:name="_Toc300834991"/>
      <w:bookmarkStart w:id="322" w:name="_Toc152045568"/>
      <w:bookmarkStart w:id="323" w:name="_Toc247527593"/>
      <w:r>
        <w:rPr>
          <w:color w:val="auto"/>
          <w:highlight w:val="none"/>
        </w:rPr>
        <w:t>8.</w:t>
      </w:r>
      <w:bookmarkEnd w:id="312"/>
      <w:bookmarkEnd w:id="313"/>
      <w:bookmarkEnd w:id="314"/>
      <w:r>
        <w:rPr>
          <w:color w:val="auto"/>
          <w:highlight w:val="none"/>
        </w:rPr>
        <w:t>纪律和监督</w:t>
      </w:r>
      <w:bookmarkEnd w:id="315"/>
      <w:bookmarkEnd w:id="316"/>
      <w:bookmarkEnd w:id="317"/>
    </w:p>
    <w:p w14:paraId="65A28ADD">
      <w:pPr>
        <w:pStyle w:val="5"/>
        <w:ind w:firstLine="137"/>
        <w:rPr>
          <w:color w:val="auto"/>
          <w:highlight w:val="none"/>
        </w:rPr>
      </w:pPr>
      <w:bookmarkStart w:id="324" w:name="_Toc24758"/>
      <w:bookmarkStart w:id="325" w:name="_Toc515205242"/>
      <w:bookmarkStart w:id="326" w:name="_Toc529196569"/>
      <w:r>
        <w:rPr>
          <w:color w:val="auto"/>
          <w:highlight w:val="none"/>
        </w:rPr>
        <w:t>8.1 对招标人的纪律要求</w:t>
      </w:r>
      <w:bookmarkEnd w:id="324"/>
      <w:bookmarkEnd w:id="325"/>
      <w:bookmarkEnd w:id="326"/>
    </w:p>
    <w:p w14:paraId="41C3E889">
      <w:pPr>
        <w:spacing w:line="360" w:lineRule="auto"/>
        <w:ind w:firstLine="480" w:firstLineChars="200"/>
        <w:rPr>
          <w:color w:val="auto"/>
          <w:sz w:val="24"/>
          <w:highlight w:val="none"/>
        </w:rPr>
      </w:pPr>
      <w:r>
        <w:rPr>
          <w:color w:val="auto"/>
          <w:sz w:val="24"/>
          <w:highlight w:val="none"/>
        </w:rPr>
        <w:t>招标人不得泄露招标投标活动中应当保密的情况和资料，不得与投标人串通损害国家利益、社会公共利益或者他人合法权益。</w:t>
      </w:r>
    </w:p>
    <w:p w14:paraId="14781BE6">
      <w:pPr>
        <w:pStyle w:val="5"/>
        <w:ind w:firstLine="137"/>
        <w:rPr>
          <w:color w:val="auto"/>
          <w:highlight w:val="none"/>
        </w:rPr>
      </w:pPr>
      <w:bookmarkStart w:id="327" w:name="_Toc529196570"/>
      <w:bookmarkStart w:id="328" w:name="_Toc7461"/>
      <w:bookmarkStart w:id="329" w:name="_Toc515205243"/>
      <w:r>
        <w:rPr>
          <w:color w:val="auto"/>
          <w:highlight w:val="none"/>
        </w:rPr>
        <w:t>8.2 对投标人的纪律要求</w:t>
      </w:r>
      <w:bookmarkEnd w:id="327"/>
      <w:bookmarkEnd w:id="328"/>
      <w:bookmarkEnd w:id="329"/>
    </w:p>
    <w:p w14:paraId="2AA74507">
      <w:pPr>
        <w:spacing w:line="360" w:lineRule="auto"/>
        <w:ind w:firstLine="480" w:firstLineChars="200"/>
        <w:rPr>
          <w:color w:val="auto"/>
          <w:sz w:val="24"/>
          <w:highlight w:val="none"/>
        </w:rPr>
      </w:pPr>
      <w:r>
        <w:rPr>
          <w:color w:val="auto"/>
          <w:sz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6CA93BE8">
      <w:pPr>
        <w:pStyle w:val="5"/>
        <w:ind w:firstLine="137"/>
        <w:rPr>
          <w:color w:val="auto"/>
          <w:highlight w:val="none"/>
        </w:rPr>
      </w:pPr>
      <w:bookmarkStart w:id="330" w:name="_Toc515205244"/>
      <w:bookmarkStart w:id="331" w:name="_Toc529196571"/>
      <w:bookmarkStart w:id="332" w:name="_Toc15266"/>
      <w:r>
        <w:rPr>
          <w:color w:val="auto"/>
          <w:highlight w:val="none"/>
        </w:rPr>
        <w:t>8.3 对评标委员会成员的纪律要求</w:t>
      </w:r>
      <w:bookmarkEnd w:id="330"/>
      <w:bookmarkEnd w:id="331"/>
      <w:bookmarkEnd w:id="332"/>
    </w:p>
    <w:p w14:paraId="5637A0E7">
      <w:pPr>
        <w:spacing w:line="360" w:lineRule="auto"/>
        <w:ind w:firstLine="480" w:firstLineChars="200"/>
        <w:rPr>
          <w:color w:val="auto"/>
          <w:sz w:val="24"/>
          <w:highlight w:val="none"/>
        </w:rPr>
      </w:pPr>
      <w:r>
        <w:rPr>
          <w:color w:val="auto"/>
          <w:sz w:val="24"/>
          <w:highlight w:val="none"/>
        </w:rPr>
        <w:t>评标委员会成员不得收受他人的财物或者其他好处，不得向他人透露对投标文件的评审</w:t>
      </w:r>
      <w:bookmarkStart w:id="333" w:name="_Toc384308253"/>
      <w:bookmarkStart w:id="334" w:name="_Toc369531559"/>
      <w:bookmarkStart w:id="335" w:name="_Toc13644"/>
      <w:bookmarkStart w:id="336" w:name="_Toc352691515"/>
      <w:bookmarkStart w:id="337" w:name="_Toc361508628"/>
      <w:r>
        <w:rPr>
          <w:color w:val="auto"/>
          <w:sz w:val="24"/>
          <w:highlight w:val="none"/>
        </w:rPr>
        <w:t>和比较、中标候选人</w:t>
      </w:r>
      <w:bookmarkEnd w:id="318"/>
      <w:bookmarkEnd w:id="319"/>
      <w:bookmarkEnd w:id="320"/>
      <w:bookmarkEnd w:id="321"/>
      <w:bookmarkEnd w:id="322"/>
      <w:bookmarkEnd w:id="323"/>
      <w:bookmarkEnd w:id="333"/>
      <w:bookmarkEnd w:id="334"/>
      <w:bookmarkEnd w:id="335"/>
      <w:bookmarkEnd w:id="336"/>
      <w:bookmarkEnd w:id="337"/>
      <w:r>
        <w:rPr>
          <w:color w:val="auto"/>
          <w:sz w:val="24"/>
          <w:highlight w:val="none"/>
        </w:rPr>
        <w:t>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6DE947FF">
      <w:pPr>
        <w:pStyle w:val="5"/>
        <w:ind w:firstLine="137"/>
        <w:rPr>
          <w:color w:val="auto"/>
          <w:highlight w:val="none"/>
        </w:rPr>
      </w:pPr>
      <w:bookmarkStart w:id="338" w:name="_Toc515205245"/>
      <w:bookmarkStart w:id="339" w:name="_Toc1920"/>
      <w:bookmarkStart w:id="340" w:name="_Toc529196572"/>
      <w:r>
        <w:rPr>
          <w:color w:val="auto"/>
          <w:highlight w:val="none"/>
        </w:rPr>
        <w:t>8.4 对与评标活动有关的工作人员的纪律要求</w:t>
      </w:r>
      <w:bookmarkEnd w:id="338"/>
      <w:bookmarkEnd w:id="339"/>
      <w:bookmarkEnd w:id="340"/>
    </w:p>
    <w:p w14:paraId="20158799">
      <w:pPr>
        <w:spacing w:line="360" w:lineRule="auto"/>
        <w:ind w:firstLine="480" w:firstLineChars="200"/>
        <w:rPr>
          <w:color w:val="auto"/>
          <w:sz w:val="24"/>
          <w:highlight w:val="none"/>
        </w:rPr>
      </w:pPr>
      <w:r>
        <w:rPr>
          <w:color w:val="auto"/>
          <w:sz w:val="24"/>
          <w:highlight w:val="none"/>
        </w:rPr>
        <w:t>与评标活动有关的工作人员不得收受他人的财物或者其他好处，不得向他人透露对投标文件</w:t>
      </w:r>
      <w:bookmarkStart w:id="341" w:name="_Toc361508629"/>
      <w:bookmarkStart w:id="342" w:name="_Toc247513993"/>
      <w:bookmarkStart w:id="343" w:name="_Toc247527594"/>
      <w:bookmarkStart w:id="344" w:name="_Toc19429"/>
      <w:bookmarkStart w:id="345" w:name="_Toc300834992"/>
      <w:bookmarkStart w:id="346" w:name="_Toc152042345"/>
      <w:bookmarkStart w:id="347" w:name="_Toc144974537"/>
      <w:bookmarkStart w:id="348" w:name="_Toc152045569"/>
      <w:bookmarkStart w:id="349" w:name="_Toc369531560"/>
      <w:bookmarkStart w:id="350" w:name="_Toc352691516"/>
      <w:bookmarkStart w:id="351" w:name="_Toc384308254"/>
      <w:r>
        <w:rPr>
          <w:color w:val="auto"/>
          <w:sz w:val="24"/>
          <w:highlight w:val="none"/>
        </w:rPr>
        <w:t>的评审和比较、中标</w:t>
      </w:r>
      <w:bookmarkEnd w:id="341"/>
      <w:bookmarkEnd w:id="342"/>
      <w:bookmarkEnd w:id="343"/>
      <w:bookmarkEnd w:id="344"/>
      <w:bookmarkEnd w:id="345"/>
      <w:bookmarkEnd w:id="346"/>
      <w:bookmarkEnd w:id="347"/>
      <w:bookmarkEnd w:id="348"/>
      <w:bookmarkEnd w:id="349"/>
      <w:bookmarkEnd w:id="350"/>
      <w:bookmarkEnd w:id="351"/>
      <w:r>
        <w:rPr>
          <w:color w:val="auto"/>
          <w:sz w:val="24"/>
          <w:highlight w:val="none"/>
        </w:rPr>
        <w:t>候选人的推荐情况以及评标有关的其他情况。在评标活动中，与评标活动有关的工作人员不得擅离职守，影响评标程序正常进行。</w:t>
      </w:r>
    </w:p>
    <w:p w14:paraId="3977B198">
      <w:pPr>
        <w:pStyle w:val="5"/>
        <w:ind w:firstLine="137"/>
        <w:rPr>
          <w:color w:val="auto"/>
          <w:highlight w:val="none"/>
        </w:rPr>
      </w:pPr>
      <w:bookmarkStart w:id="352" w:name="_Toc515205246"/>
      <w:bookmarkStart w:id="353" w:name="_Toc1494"/>
      <w:bookmarkStart w:id="354" w:name="_Toc529196573"/>
      <w:r>
        <w:rPr>
          <w:color w:val="auto"/>
          <w:highlight w:val="none"/>
        </w:rPr>
        <w:t>8.5 投诉</w:t>
      </w:r>
      <w:bookmarkEnd w:id="352"/>
      <w:bookmarkEnd w:id="353"/>
      <w:bookmarkEnd w:id="354"/>
    </w:p>
    <w:p w14:paraId="6E6BBBB7">
      <w:pPr>
        <w:spacing w:line="360" w:lineRule="auto"/>
        <w:ind w:firstLine="480" w:firstLineChars="200"/>
        <w:rPr>
          <w:color w:val="auto"/>
          <w:sz w:val="24"/>
          <w:highlight w:val="none"/>
        </w:rPr>
      </w:pPr>
      <w:r>
        <w:rPr>
          <w:color w:val="auto"/>
          <w:sz w:val="24"/>
          <w:highlight w:val="none"/>
        </w:rPr>
        <w:t>8.5.1 投标人或者其他利害关系人认为招标投标活动不符合法律、行政法规规定的，可以自知道或者应当知道之日起10日内向有关行政监督部门投诉。投诉应当有明确的请求和必要的证明材料。</w:t>
      </w:r>
    </w:p>
    <w:p w14:paraId="38653A28">
      <w:pPr>
        <w:spacing w:line="360" w:lineRule="auto"/>
        <w:ind w:firstLine="480" w:firstLineChars="200"/>
        <w:rPr>
          <w:color w:val="auto"/>
          <w:sz w:val="24"/>
          <w:highlight w:val="none"/>
        </w:rPr>
      </w:pPr>
      <w:r>
        <w:rPr>
          <w:color w:val="auto"/>
          <w:sz w:val="24"/>
          <w:highlight w:val="none"/>
        </w:rPr>
        <w:t>8.5.2 投标人或者其他利害关系人对招标文件、开标和评标结果提出投诉的，应当按照投标人须知第2.4款、第5.3款和第7.2款的规定先向招标人提出异议。异议答复期间</w:t>
      </w:r>
      <w:bookmarkStart w:id="355" w:name="_Toc247527595"/>
      <w:bookmarkStart w:id="356" w:name="_Toc352691517"/>
      <w:bookmarkStart w:id="357" w:name="_Toc144974538"/>
      <w:bookmarkStart w:id="358" w:name="_Toc361508630"/>
      <w:bookmarkStart w:id="359" w:name="_Toc384308255"/>
      <w:bookmarkStart w:id="360" w:name="_Toc369531561"/>
      <w:bookmarkStart w:id="361" w:name="_Toc247513994"/>
      <w:bookmarkStart w:id="362" w:name="_Toc300834993"/>
      <w:bookmarkStart w:id="363" w:name="_Toc12776"/>
      <w:bookmarkStart w:id="364" w:name="_Toc152042346"/>
      <w:bookmarkStart w:id="365" w:name="_Toc152045570"/>
      <w:r>
        <w:rPr>
          <w:color w:val="auto"/>
          <w:sz w:val="24"/>
          <w:highlight w:val="none"/>
        </w:rPr>
        <w:t>不计算在第8.5.</w:t>
      </w:r>
      <w:bookmarkEnd w:id="355"/>
      <w:bookmarkEnd w:id="356"/>
      <w:bookmarkEnd w:id="357"/>
      <w:bookmarkEnd w:id="358"/>
      <w:bookmarkEnd w:id="359"/>
      <w:bookmarkEnd w:id="360"/>
      <w:bookmarkEnd w:id="361"/>
      <w:bookmarkEnd w:id="362"/>
      <w:bookmarkEnd w:id="363"/>
      <w:bookmarkEnd w:id="364"/>
      <w:bookmarkEnd w:id="365"/>
      <w:r>
        <w:rPr>
          <w:color w:val="auto"/>
          <w:sz w:val="24"/>
          <w:highlight w:val="none"/>
        </w:rPr>
        <w:t>1项规定的期限内。</w:t>
      </w:r>
    </w:p>
    <w:p w14:paraId="5E932F4C">
      <w:pPr>
        <w:pStyle w:val="5"/>
        <w:rPr>
          <w:color w:val="auto"/>
          <w:highlight w:val="none"/>
        </w:rPr>
      </w:pPr>
      <w:bookmarkStart w:id="366" w:name="_Toc529196574"/>
      <w:bookmarkStart w:id="367" w:name="_Toc515205247"/>
      <w:bookmarkStart w:id="368" w:name="_Toc477134992"/>
      <w:bookmarkStart w:id="369" w:name="_Toc7476"/>
      <w:r>
        <w:rPr>
          <w:color w:val="auto"/>
          <w:highlight w:val="none"/>
        </w:rPr>
        <w:t>9. 是否采用电子招标投标</w:t>
      </w:r>
      <w:bookmarkEnd w:id="366"/>
      <w:bookmarkEnd w:id="367"/>
      <w:bookmarkEnd w:id="368"/>
      <w:bookmarkEnd w:id="369"/>
    </w:p>
    <w:p w14:paraId="0AA4CECD">
      <w:pPr>
        <w:spacing w:line="360" w:lineRule="auto"/>
        <w:ind w:firstLine="480" w:firstLineChars="200"/>
        <w:rPr>
          <w:color w:val="auto"/>
          <w:sz w:val="24"/>
          <w:highlight w:val="none"/>
        </w:rPr>
      </w:pPr>
      <w:r>
        <w:rPr>
          <w:color w:val="auto"/>
          <w:sz w:val="24"/>
          <w:highlight w:val="none"/>
        </w:rPr>
        <w:t>本招标项目是否采用电子招标投标方式，见投标人须知前附表。</w:t>
      </w:r>
    </w:p>
    <w:p w14:paraId="292DEF25">
      <w:pPr>
        <w:pStyle w:val="5"/>
        <w:rPr>
          <w:color w:val="auto"/>
          <w:highlight w:val="none"/>
        </w:rPr>
      </w:pPr>
      <w:bookmarkStart w:id="370" w:name="_Toc529196575"/>
      <w:bookmarkStart w:id="371" w:name="_Toc14187"/>
      <w:bookmarkStart w:id="372" w:name="_Toc515205248"/>
      <w:r>
        <w:rPr>
          <w:color w:val="auto"/>
          <w:highlight w:val="none"/>
        </w:rPr>
        <w:t>10. 需要补充的其他内容</w:t>
      </w:r>
      <w:bookmarkEnd w:id="370"/>
      <w:bookmarkEnd w:id="371"/>
      <w:bookmarkEnd w:id="372"/>
    </w:p>
    <w:p w14:paraId="276FC8C2">
      <w:pPr>
        <w:ind w:firstLine="360" w:firstLineChars="150"/>
        <w:rPr>
          <w:b/>
          <w:bCs/>
          <w:color w:val="auto"/>
          <w:sz w:val="28"/>
          <w:szCs w:val="20"/>
          <w:highlight w:val="none"/>
        </w:rPr>
      </w:pPr>
      <w:r>
        <w:rPr>
          <w:color w:val="auto"/>
          <w:sz w:val="24"/>
          <w:highlight w:val="none"/>
        </w:rPr>
        <w:t>见投标人须知前附表。</w:t>
      </w:r>
      <w:r>
        <w:rPr>
          <w:b/>
          <w:bCs/>
          <w:color w:val="auto"/>
          <w:sz w:val="28"/>
          <w:szCs w:val="20"/>
          <w:highlight w:val="none"/>
        </w:rPr>
        <w:br w:type="page"/>
      </w:r>
      <w:bookmarkStart w:id="373" w:name="_Toc530728900"/>
      <w:r>
        <w:rPr>
          <w:b/>
          <w:bCs/>
          <w:color w:val="auto"/>
          <w:sz w:val="28"/>
          <w:szCs w:val="20"/>
          <w:highlight w:val="none"/>
        </w:rPr>
        <w:t>附件一：开标记录表</w:t>
      </w:r>
      <w:bookmarkEnd w:id="373"/>
    </w:p>
    <w:p w14:paraId="3207A9A5">
      <w:pPr>
        <w:spacing w:line="440" w:lineRule="exact"/>
        <w:jc w:val="center"/>
        <w:rPr>
          <w:color w:val="auto"/>
          <w:sz w:val="28"/>
          <w:highlight w:val="none"/>
        </w:rPr>
      </w:pPr>
      <w:r>
        <w:rPr>
          <w:color w:val="auto"/>
          <w:sz w:val="28"/>
          <w:highlight w:val="none"/>
        </w:rPr>
        <w:t>开标记录表</w:t>
      </w:r>
    </w:p>
    <w:p w14:paraId="7D94CC5D">
      <w:pPr>
        <w:wordWrap w:val="0"/>
        <w:spacing w:before="120" w:beforeLines="50" w:after="120" w:afterLines="50" w:line="400" w:lineRule="exact"/>
        <w:ind w:right="420"/>
        <w:jc w:val="right"/>
        <w:rPr>
          <w:color w:val="auto"/>
          <w:highlight w:val="none"/>
        </w:rPr>
      </w:pPr>
      <w:r>
        <w:rPr>
          <w:color w:val="auto"/>
          <w:highlight w:val="none"/>
        </w:rPr>
        <w:t>开标时间：</w:t>
      </w:r>
      <w:r>
        <w:rPr>
          <w:rFonts w:hint="eastAsia"/>
          <w:color w:val="auto"/>
          <w:highlight w:val="none"/>
        </w:rPr>
        <w:t xml:space="preserve">  </w:t>
      </w:r>
      <w:r>
        <w:rPr>
          <w:color w:val="auto"/>
          <w:highlight w:val="none"/>
        </w:rPr>
        <w:t>年</w:t>
      </w:r>
      <w:r>
        <w:rPr>
          <w:rFonts w:hint="eastAsia"/>
          <w:color w:val="auto"/>
          <w:highlight w:val="none"/>
        </w:rPr>
        <w:t xml:space="preserve">  </w:t>
      </w:r>
      <w:r>
        <w:rPr>
          <w:color w:val="auto"/>
          <w:highlight w:val="none"/>
        </w:rPr>
        <w:t>月</w:t>
      </w:r>
      <w:r>
        <w:rPr>
          <w:rFonts w:hint="eastAsia"/>
          <w:color w:val="auto"/>
          <w:highlight w:val="none"/>
        </w:rPr>
        <w:t xml:space="preserve">  </w:t>
      </w:r>
      <w:r>
        <w:rPr>
          <w:color w:val="auto"/>
          <w:highlight w:val="none"/>
        </w:rPr>
        <w:t>日</w:t>
      </w:r>
      <w:r>
        <w:rPr>
          <w:rFonts w:hint="eastAsia"/>
          <w:color w:val="auto"/>
          <w:highlight w:val="none"/>
        </w:rPr>
        <w:t xml:space="preserve">  </w:t>
      </w:r>
      <w:r>
        <w:rPr>
          <w:color w:val="auto"/>
          <w:highlight w:val="none"/>
        </w:rPr>
        <w:t>时</w:t>
      </w:r>
      <w:r>
        <w:rPr>
          <w:rFonts w:hint="eastAsia"/>
          <w:color w:val="auto"/>
          <w:highlight w:val="none"/>
        </w:rPr>
        <w:t xml:space="preserve">  </w:t>
      </w:r>
      <w:r>
        <w:rPr>
          <w:color w:val="auto"/>
          <w:highlight w:val="none"/>
        </w:rPr>
        <w:t>分</w:t>
      </w:r>
    </w:p>
    <w:p w14:paraId="5FB1BF0B">
      <w:pPr>
        <w:spacing w:before="120" w:beforeLines="50" w:after="120" w:afterLines="50" w:line="400" w:lineRule="exact"/>
        <w:ind w:right="420"/>
        <w:rPr>
          <w:color w:val="auto"/>
          <w:highlight w:val="none"/>
        </w:rPr>
      </w:pPr>
      <w:r>
        <w:rPr>
          <w:rFonts w:hint="eastAsia"/>
          <w:color w:val="auto"/>
          <w:highlight w:val="none"/>
        </w:rPr>
        <w:t>项目</w:t>
      </w:r>
      <w:r>
        <w:rPr>
          <w:color w:val="auto"/>
          <w:highlight w:val="none"/>
        </w:rPr>
        <w:t>名称：</w:t>
      </w:r>
    </w:p>
    <w:tbl>
      <w:tblPr>
        <w:tblStyle w:val="25"/>
        <w:tblW w:w="0" w:type="auto"/>
        <w:tblInd w:w="-459" w:type="dxa"/>
        <w:tblLayout w:type="fixed"/>
        <w:tblCellMar>
          <w:top w:w="0" w:type="dxa"/>
          <w:left w:w="108" w:type="dxa"/>
          <w:bottom w:w="0" w:type="dxa"/>
          <w:right w:w="108" w:type="dxa"/>
        </w:tblCellMar>
      </w:tblPr>
      <w:tblGrid>
        <w:gridCol w:w="510"/>
        <w:gridCol w:w="622"/>
        <w:gridCol w:w="735"/>
        <w:gridCol w:w="848"/>
        <w:gridCol w:w="869"/>
        <w:gridCol w:w="961"/>
        <w:gridCol w:w="961"/>
        <w:gridCol w:w="1188"/>
        <w:gridCol w:w="1188"/>
        <w:gridCol w:w="851"/>
        <w:gridCol w:w="992"/>
      </w:tblGrid>
      <w:tr w14:paraId="0D1D78F3">
        <w:tblPrEx>
          <w:tblCellMar>
            <w:top w:w="0" w:type="dxa"/>
            <w:left w:w="108" w:type="dxa"/>
            <w:bottom w:w="0" w:type="dxa"/>
            <w:right w:w="108" w:type="dxa"/>
          </w:tblCellMar>
        </w:tblPrEx>
        <w:tc>
          <w:tcPr>
            <w:tcW w:w="510" w:type="dxa"/>
            <w:tcBorders>
              <w:top w:val="single" w:color="auto" w:sz="4" w:space="0"/>
              <w:left w:val="single" w:color="auto" w:sz="4" w:space="0"/>
              <w:bottom w:val="single" w:color="auto" w:sz="4" w:space="0"/>
              <w:right w:val="single" w:color="auto" w:sz="4" w:space="0"/>
            </w:tcBorders>
            <w:noWrap w:val="0"/>
            <w:vAlign w:val="center"/>
          </w:tcPr>
          <w:p w14:paraId="40EC2148">
            <w:pPr>
              <w:spacing w:line="360" w:lineRule="auto"/>
              <w:jc w:val="center"/>
              <w:rPr>
                <w:color w:val="auto"/>
                <w:sz w:val="18"/>
                <w:highlight w:val="none"/>
              </w:rPr>
            </w:pPr>
            <w:r>
              <w:rPr>
                <w:color w:val="auto"/>
                <w:sz w:val="18"/>
                <w:highlight w:val="none"/>
              </w:rPr>
              <w:t>序号</w:t>
            </w:r>
          </w:p>
        </w:tc>
        <w:tc>
          <w:tcPr>
            <w:tcW w:w="622" w:type="dxa"/>
            <w:tcBorders>
              <w:top w:val="single" w:color="auto" w:sz="4" w:space="0"/>
              <w:left w:val="single" w:color="auto" w:sz="4" w:space="0"/>
              <w:bottom w:val="single" w:color="auto" w:sz="4" w:space="0"/>
              <w:right w:val="single" w:color="auto" w:sz="4" w:space="0"/>
            </w:tcBorders>
            <w:noWrap w:val="0"/>
            <w:vAlign w:val="center"/>
          </w:tcPr>
          <w:p w14:paraId="2B887903">
            <w:pPr>
              <w:spacing w:line="360" w:lineRule="auto"/>
              <w:jc w:val="center"/>
              <w:rPr>
                <w:color w:val="auto"/>
                <w:sz w:val="18"/>
                <w:highlight w:val="none"/>
              </w:rPr>
            </w:pPr>
            <w:r>
              <w:rPr>
                <w:color w:val="auto"/>
                <w:sz w:val="18"/>
                <w:highlight w:val="none"/>
              </w:rPr>
              <w:t>投标人</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0B872EF0">
            <w:pPr>
              <w:spacing w:line="360" w:lineRule="auto"/>
              <w:jc w:val="center"/>
              <w:rPr>
                <w:color w:val="auto"/>
                <w:sz w:val="18"/>
                <w:highlight w:val="none"/>
              </w:rPr>
            </w:pPr>
            <w:r>
              <w:rPr>
                <w:color w:val="auto"/>
                <w:sz w:val="18"/>
                <w:highlight w:val="none"/>
              </w:rPr>
              <w:t>密封情况</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6BAE545E">
            <w:pPr>
              <w:spacing w:line="360" w:lineRule="auto"/>
              <w:jc w:val="center"/>
              <w:rPr>
                <w:color w:val="auto"/>
                <w:sz w:val="18"/>
                <w:highlight w:val="none"/>
              </w:rPr>
            </w:pPr>
            <w:r>
              <w:rPr>
                <w:strike/>
                <w:color w:val="auto"/>
                <w:sz w:val="18"/>
                <w:highlight w:val="none"/>
              </w:rPr>
              <w:t>投标保证金</w:t>
            </w:r>
          </w:p>
        </w:tc>
        <w:tc>
          <w:tcPr>
            <w:tcW w:w="869" w:type="dxa"/>
            <w:tcBorders>
              <w:top w:val="single" w:color="auto" w:sz="4" w:space="0"/>
              <w:left w:val="single" w:color="auto" w:sz="4" w:space="0"/>
              <w:bottom w:val="single" w:color="auto" w:sz="4" w:space="0"/>
              <w:right w:val="single" w:color="auto" w:sz="4" w:space="0"/>
            </w:tcBorders>
            <w:noWrap w:val="0"/>
            <w:vAlign w:val="center"/>
          </w:tcPr>
          <w:p w14:paraId="0DDF9EDE">
            <w:pPr>
              <w:spacing w:line="360" w:lineRule="auto"/>
              <w:jc w:val="center"/>
              <w:rPr>
                <w:color w:val="auto"/>
                <w:sz w:val="18"/>
                <w:highlight w:val="none"/>
              </w:rPr>
            </w:pPr>
            <w:r>
              <w:rPr>
                <w:color w:val="auto"/>
                <w:sz w:val="18"/>
                <w:highlight w:val="none"/>
              </w:rPr>
              <w:t>投标报价</w:t>
            </w:r>
          </w:p>
          <w:p w14:paraId="3754D59A">
            <w:pPr>
              <w:spacing w:line="360" w:lineRule="auto"/>
              <w:jc w:val="center"/>
              <w:rPr>
                <w:color w:val="auto"/>
                <w:sz w:val="18"/>
                <w:highlight w:val="none"/>
              </w:rPr>
            </w:pPr>
            <w:r>
              <w:rPr>
                <w:color w:val="auto"/>
                <w:sz w:val="18"/>
                <w:highlight w:val="none"/>
              </w:rPr>
              <w:t>（元）</w:t>
            </w:r>
          </w:p>
        </w:tc>
        <w:tc>
          <w:tcPr>
            <w:tcW w:w="961" w:type="dxa"/>
            <w:tcBorders>
              <w:top w:val="single" w:color="auto" w:sz="4" w:space="0"/>
              <w:left w:val="single" w:color="auto" w:sz="4" w:space="0"/>
              <w:bottom w:val="single" w:color="auto" w:sz="4" w:space="0"/>
              <w:right w:val="single" w:color="auto" w:sz="4" w:space="0"/>
            </w:tcBorders>
            <w:noWrap w:val="0"/>
            <w:vAlign w:val="center"/>
          </w:tcPr>
          <w:p w14:paraId="10353BAD">
            <w:pPr>
              <w:spacing w:line="360" w:lineRule="auto"/>
              <w:jc w:val="center"/>
              <w:rPr>
                <w:color w:val="auto"/>
                <w:sz w:val="18"/>
                <w:highlight w:val="none"/>
              </w:rPr>
            </w:pPr>
            <w:r>
              <w:rPr>
                <w:rFonts w:hint="eastAsia"/>
                <w:color w:val="auto"/>
                <w:sz w:val="18"/>
                <w:highlight w:val="none"/>
              </w:rPr>
              <w:t>项目负责人</w:t>
            </w:r>
          </w:p>
        </w:tc>
        <w:tc>
          <w:tcPr>
            <w:tcW w:w="961" w:type="dxa"/>
            <w:tcBorders>
              <w:top w:val="single" w:color="auto" w:sz="4" w:space="0"/>
              <w:left w:val="single" w:color="auto" w:sz="4" w:space="0"/>
              <w:bottom w:val="single" w:color="auto" w:sz="4" w:space="0"/>
              <w:right w:val="single" w:color="auto" w:sz="4" w:space="0"/>
            </w:tcBorders>
            <w:noWrap w:val="0"/>
            <w:vAlign w:val="center"/>
          </w:tcPr>
          <w:p w14:paraId="5A1218AC">
            <w:pPr>
              <w:spacing w:line="360" w:lineRule="auto"/>
              <w:jc w:val="center"/>
              <w:rPr>
                <w:color w:val="auto"/>
                <w:sz w:val="18"/>
                <w:highlight w:val="none"/>
              </w:rPr>
            </w:pPr>
            <w:r>
              <w:rPr>
                <w:color w:val="auto"/>
                <w:sz w:val="18"/>
                <w:highlight w:val="none"/>
              </w:rPr>
              <w:t>服务期限</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6C4BC5FC">
            <w:pPr>
              <w:spacing w:line="360" w:lineRule="auto"/>
              <w:jc w:val="center"/>
              <w:rPr>
                <w:color w:val="auto"/>
                <w:sz w:val="18"/>
                <w:highlight w:val="none"/>
              </w:rPr>
            </w:pPr>
            <w:r>
              <w:rPr>
                <w:rFonts w:hint="eastAsia"/>
                <w:color w:val="auto"/>
                <w:sz w:val="18"/>
                <w:highlight w:val="none"/>
              </w:rPr>
              <w:t>投标文件递交情况</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438D74E7">
            <w:pPr>
              <w:spacing w:line="360" w:lineRule="auto"/>
              <w:jc w:val="center"/>
              <w:rPr>
                <w:color w:val="auto"/>
                <w:sz w:val="18"/>
                <w:highlight w:val="none"/>
              </w:rPr>
            </w:pPr>
            <w:r>
              <w:rPr>
                <w:rFonts w:hint="eastAsia"/>
                <w:color w:val="auto"/>
                <w:sz w:val="18"/>
                <w:highlight w:val="none"/>
              </w:rPr>
              <w:t>投标文件解密情况</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02AF3A6">
            <w:pPr>
              <w:spacing w:line="360" w:lineRule="auto"/>
              <w:jc w:val="center"/>
              <w:rPr>
                <w:color w:val="auto"/>
                <w:sz w:val="18"/>
                <w:highlight w:val="none"/>
              </w:rPr>
            </w:pPr>
            <w:r>
              <w:rPr>
                <w:color w:val="auto"/>
                <w:sz w:val="18"/>
                <w:highlight w:val="none"/>
              </w:rPr>
              <w:t>备注</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6AD294E">
            <w:pPr>
              <w:spacing w:line="360" w:lineRule="auto"/>
              <w:jc w:val="center"/>
              <w:rPr>
                <w:color w:val="auto"/>
                <w:sz w:val="18"/>
                <w:highlight w:val="none"/>
              </w:rPr>
            </w:pPr>
            <w:r>
              <w:rPr>
                <w:color w:val="auto"/>
                <w:sz w:val="18"/>
                <w:highlight w:val="none"/>
              </w:rPr>
              <w:t>投标人代表签名</w:t>
            </w:r>
          </w:p>
        </w:tc>
      </w:tr>
      <w:tr w14:paraId="1392BD29">
        <w:tblPrEx>
          <w:tblCellMar>
            <w:top w:w="0" w:type="dxa"/>
            <w:left w:w="108" w:type="dxa"/>
            <w:bottom w:w="0" w:type="dxa"/>
            <w:right w:w="108" w:type="dxa"/>
          </w:tblCellMar>
        </w:tblPrEx>
        <w:tc>
          <w:tcPr>
            <w:tcW w:w="510" w:type="dxa"/>
            <w:tcBorders>
              <w:top w:val="single" w:color="auto" w:sz="4" w:space="0"/>
              <w:left w:val="single" w:color="auto" w:sz="4" w:space="0"/>
              <w:bottom w:val="single" w:color="auto" w:sz="4" w:space="0"/>
              <w:right w:val="single" w:color="auto" w:sz="4" w:space="0"/>
            </w:tcBorders>
            <w:noWrap w:val="0"/>
            <w:vAlign w:val="center"/>
          </w:tcPr>
          <w:p w14:paraId="3326D0C3">
            <w:pPr>
              <w:spacing w:line="500" w:lineRule="exact"/>
              <w:jc w:val="center"/>
              <w:rPr>
                <w:color w:val="auto"/>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0B915BF5">
            <w:pPr>
              <w:spacing w:line="500" w:lineRule="exact"/>
              <w:jc w:val="center"/>
              <w:rPr>
                <w:color w:val="auto"/>
                <w:highlight w:val="none"/>
              </w:rPr>
            </w:pPr>
          </w:p>
        </w:tc>
        <w:tc>
          <w:tcPr>
            <w:tcW w:w="735" w:type="dxa"/>
            <w:tcBorders>
              <w:top w:val="single" w:color="auto" w:sz="4" w:space="0"/>
              <w:left w:val="single" w:color="auto" w:sz="4" w:space="0"/>
              <w:bottom w:val="single" w:color="auto" w:sz="4" w:space="0"/>
              <w:right w:val="single" w:color="auto" w:sz="4" w:space="0"/>
            </w:tcBorders>
            <w:noWrap w:val="0"/>
            <w:vAlign w:val="center"/>
          </w:tcPr>
          <w:p w14:paraId="4E1043AF">
            <w:pPr>
              <w:spacing w:line="500" w:lineRule="exact"/>
              <w:jc w:val="center"/>
              <w:rPr>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14:paraId="58869CF3">
            <w:pPr>
              <w:spacing w:line="500" w:lineRule="exact"/>
              <w:jc w:val="center"/>
              <w:rPr>
                <w:color w:val="auto"/>
                <w:highlight w:val="none"/>
              </w:rPr>
            </w:pPr>
          </w:p>
        </w:tc>
        <w:tc>
          <w:tcPr>
            <w:tcW w:w="869" w:type="dxa"/>
            <w:tcBorders>
              <w:top w:val="single" w:color="auto" w:sz="4" w:space="0"/>
              <w:left w:val="single" w:color="auto" w:sz="4" w:space="0"/>
              <w:bottom w:val="single" w:color="auto" w:sz="4" w:space="0"/>
              <w:right w:val="single" w:color="auto" w:sz="4" w:space="0"/>
            </w:tcBorders>
            <w:noWrap w:val="0"/>
            <w:vAlign w:val="center"/>
          </w:tcPr>
          <w:p w14:paraId="527EE430">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575A7B73">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6F82083C">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66E81EDA">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17295F9F">
            <w:pPr>
              <w:spacing w:line="500" w:lineRule="exact"/>
              <w:jc w:val="center"/>
              <w:rPr>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5D44338">
            <w:pPr>
              <w:spacing w:line="500" w:lineRule="exact"/>
              <w:jc w:val="center"/>
              <w:rPr>
                <w:color w:val="auto"/>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3928A116">
            <w:pPr>
              <w:spacing w:line="500" w:lineRule="exact"/>
              <w:jc w:val="center"/>
              <w:rPr>
                <w:color w:val="auto"/>
                <w:highlight w:val="none"/>
              </w:rPr>
            </w:pPr>
          </w:p>
        </w:tc>
      </w:tr>
      <w:tr w14:paraId="72143E2A">
        <w:tblPrEx>
          <w:tblCellMar>
            <w:top w:w="0" w:type="dxa"/>
            <w:left w:w="108" w:type="dxa"/>
            <w:bottom w:w="0" w:type="dxa"/>
            <w:right w:w="108" w:type="dxa"/>
          </w:tblCellMar>
        </w:tblPrEx>
        <w:tc>
          <w:tcPr>
            <w:tcW w:w="510" w:type="dxa"/>
            <w:tcBorders>
              <w:top w:val="single" w:color="auto" w:sz="4" w:space="0"/>
              <w:left w:val="single" w:color="auto" w:sz="4" w:space="0"/>
              <w:bottom w:val="single" w:color="auto" w:sz="4" w:space="0"/>
              <w:right w:val="single" w:color="auto" w:sz="4" w:space="0"/>
            </w:tcBorders>
            <w:noWrap w:val="0"/>
            <w:vAlign w:val="center"/>
          </w:tcPr>
          <w:p w14:paraId="42F3A626">
            <w:pPr>
              <w:spacing w:line="500" w:lineRule="exact"/>
              <w:jc w:val="center"/>
              <w:rPr>
                <w:color w:val="auto"/>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2463F2D0">
            <w:pPr>
              <w:spacing w:line="500" w:lineRule="exact"/>
              <w:jc w:val="center"/>
              <w:rPr>
                <w:color w:val="auto"/>
                <w:highlight w:val="none"/>
              </w:rPr>
            </w:pPr>
          </w:p>
        </w:tc>
        <w:tc>
          <w:tcPr>
            <w:tcW w:w="735" w:type="dxa"/>
            <w:tcBorders>
              <w:top w:val="single" w:color="auto" w:sz="4" w:space="0"/>
              <w:left w:val="single" w:color="auto" w:sz="4" w:space="0"/>
              <w:bottom w:val="single" w:color="auto" w:sz="4" w:space="0"/>
              <w:right w:val="single" w:color="auto" w:sz="4" w:space="0"/>
            </w:tcBorders>
            <w:noWrap w:val="0"/>
            <w:vAlign w:val="center"/>
          </w:tcPr>
          <w:p w14:paraId="72502650">
            <w:pPr>
              <w:spacing w:line="500" w:lineRule="exact"/>
              <w:jc w:val="center"/>
              <w:rPr>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14:paraId="163B3687">
            <w:pPr>
              <w:spacing w:line="500" w:lineRule="exact"/>
              <w:jc w:val="center"/>
              <w:rPr>
                <w:color w:val="auto"/>
                <w:highlight w:val="none"/>
              </w:rPr>
            </w:pPr>
          </w:p>
        </w:tc>
        <w:tc>
          <w:tcPr>
            <w:tcW w:w="869" w:type="dxa"/>
            <w:tcBorders>
              <w:top w:val="single" w:color="auto" w:sz="4" w:space="0"/>
              <w:left w:val="single" w:color="auto" w:sz="4" w:space="0"/>
              <w:bottom w:val="single" w:color="auto" w:sz="4" w:space="0"/>
              <w:right w:val="single" w:color="auto" w:sz="4" w:space="0"/>
            </w:tcBorders>
            <w:noWrap w:val="0"/>
            <w:vAlign w:val="center"/>
          </w:tcPr>
          <w:p w14:paraId="38332D03">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79508D9E">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5566E347">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3329E3B0">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292049B8">
            <w:pPr>
              <w:spacing w:line="500" w:lineRule="exact"/>
              <w:jc w:val="center"/>
              <w:rPr>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7C25AC1">
            <w:pPr>
              <w:spacing w:line="500" w:lineRule="exact"/>
              <w:jc w:val="center"/>
              <w:rPr>
                <w:color w:val="auto"/>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2686DAD3">
            <w:pPr>
              <w:spacing w:line="500" w:lineRule="exact"/>
              <w:jc w:val="center"/>
              <w:rPr>
                <w:color w:val="auto"/>
                <w:highlight w:val="none"/>
              </w:rPr>
            </w:pPr>
          </w:p>
        </w:tc>
      </w:tr>
      <w:tr w14:paraId="1A690235">
        <w:tblPrEx>
          <w:tblCellMar>
            <w:top w:w="0" w:type="dxa"/>
            <w:left w:w="108" w:type="dxa"/>
            <w:bottom w:w="0" w:type="dxa"/>
            <w:right w:w="108" w:type="dxa"/>
          </w:tblCellMar>
        </w:tblPrEx>
        <w:tc>
          <w:tcPr>
            <w:tcW w:w="510" w:type="dxa"/>
            <w:tcBorders>
              <w:top w:val="single" w:color="auto" w:sz="4" w:space="0"/>
              <w:left w:val="single" w:color="auto" w:sz="4" w:space="0"/>
              <w:bottom w:val="single" w:color="auto" w:sz="4" w:space="0"/>
              <w:right w:val="single" w:color="auto" w:sz="4" w:space="0"/>
            </w:tcBorders>
            <w:noWrap w:val="0"/>
            <w:vAlign w:val="center"/>
          </w:tcPr>
          <w:p w14:paraId="3A80470D">
            <w:pPr>
              <w:spacing w:line="500" w:lineRule="exact"/>
              <w:jc w:val="center"/>
              <w:rPr>
                <w:color w:val="auto"/>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533858DB">
            <w:pPr>
              <w:spacing w:line="500" w:lineRule="exact"/>
              <w:jc w:val="center"/>
              <w:rPr>
                <w:color w:val="auto"/>
                <w:highlight w:val="none"/>
              </w:rPr>
            </w:pPr>
          </w:p>
        </w:tc>
        <w:tc>
          <w:tcPr>
            <w:tcW w:w="735" w:type="dxa"/>
            <w:tcBorders>
              <w:top w:val="single" w:color="auto" w:sz="4" w:space="0"/>
              <w:left w:val="single" w:color="auto" w:sz="4" w:space="0"/>
              <w:bottom w:val="single" w:color="auto" w:sz="4" w:space="0"/>
              <w:right w:val="single" w:color="auto" w:sz="4" w:space="0"/>
            </w:tcBorders>
            <w:noWrap w:val="0"/>
            <w:vAlign w:val="center"/>
          </w:tcPr>
          <w:p w14:paraId="1281BDC1">
            <w:pPr>
              <w:spacing w:line="500" w:lineRule="exact"/>
              <w:jc w:val="center"/>
              <w:rPr>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14:paraId="53F13410">
            <w:pPr>
              <w:spacing w:line="500" w:lineRule="exact"/>
              <w:jc w:val="center"/>
              <w:rPr>
                <w:color w:val="auto"/>
                <w:highlight w:val="none"/>
              </w:rPr>
            </w:pPr>
          </w:p>
        </w:tc>
        <w:tc>
          <w:tcPr>
            <w:tcW w:w="869" w:type="dxa"/>
            <w:tcBorders>
              <w:top w:val="single" w:color="auto" w:sz="4" w:space="0"/>
              <w:left w:val="single" w:color="auto" w:sz="4" w:space="0"/>
              <w:bottom w:val="single" w:color="auto" w:sz="4" w:space="0"/>
              <w:right w:val="single" w:color="auto" w:sz="4" w:space="0"/>
            </w:tcBorders>
            <w:noWrap w:val="0"/>
            <w:vAlign w:val="center"/>
          </w:tcPr>
          <w:p w14:paraId="3AAA037C">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5CB39A57">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06CA356E">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56ED3C2A">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4F90BDFF">
            <w:pPr>
              <w:spacing w:line="500" w:lineRule="exact"/>
              <w:jc w:val="center"/>
              <w:rPr>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DE18C17">
            <w:pPr>
              <w:spacing w:line="500" w:lineRule="exact"/>
              <w:jc w:val="center"/>
              <w:rPr>
                <w:color w:val="auto"/>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5406DC84">
            <w:pPr>
              <w:spacing w:line="500" w:lineRule="exact"/>
              <w:jc w:val="center"/>
              <w:rPr>
                <w:color w:val="auto"/>
                <w:highlight w:val="none"/>
              </w:rPr>
            </w:pPr>
          </w:p>
        </w:tc>
      </w:tr>
      <w:tr w14:paraId="54AC892E">
        <w:tblPrEx>
          <w:tblCellMar>
            <w:top w:w="0" w:type="dxa"/>
            <w:left w:w="108" w:type="dxa"/>
            <w:bottom w:w="0" w:type="dxa"/>
            <w:right w:w="108" w:type="dxa"/>
          </w:tblCellMar>
        </w:tblPrEx>
        <w:tc>
          <w:tcPr>
            <w:tcW w:w="510" w:type="dxa"/>
            <w:tcBorders>
              <w:top w:val="single" w:color="auto" w:sz="4" w:space="0"/>
              <w:left w:val="single" w:color="auto" w:sz="4" w:space="0"/>
              <w:bottom w:val="single" w:color="auto" w:sz="4" w:space="0"/>
              <w:right w:val="single" w:color="auto" w:sz="4" w:space="0"/>
            </w:tcBorders>
            <w:noWrap w:val="0"/>
            <w:vAlign w:val="center"/>
          </w:tcPr>
          <w:p w14:paraId="1C32DA57">
            <w:pPr>
              <w:spacing w:line="500" w:lineRule="exact"/>
              <w:jc w:val="center"/>
              <w:rPr>
                <w:color w:val="auto"/>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17C5D46A">
            <w:pPr>
              <w:spacing w:line="500" w:lineRule="exact"/>
              <w:jc w:val="center"/>
              <w:rPr>
                <w:color w:val="auto"/>
                <w:highlight w:val="none"/>
              </w:rPr>
            </w:pPr>
          </w:p>
        </w:tc>
        <w:tc>
          <w:tcPr>
            <w:tcW w:w="735" w:type="dxa"/>
            <w:tcBorders>
              <w:top w:val="single" w:color="auto" w:sz="4" w:space="0"/>
              <w:left w:val="single" w:color="auto" w:sz="4" w:space="0"/>
              <w:bottom w:val="single" w:color="auto" w:sz="4" w:space="0"/>
              <w:right w:val="single" w:color="auto" w:sz="4" w:space="0"/>
            </w:tcBorders>
            <w:noWrap w:val="0"/>
            <w:vAlign w:val="center"/>
          </w:tcPr>
          <w:p w14:paraId="4ED87813">
            <w:pPr>
              <w:spacing w:line="500" w:lineRule="exact"/>
              <w:jc w:val="center"/>
              <w:rPr>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14:paraId="3CB1F2FA">
            <w:pPr>
              <w:spacing w:line="500" w:lineRule="exact"/>
              <w:jc w:val="center"/>
              <w:rPr>
                <w:color w:val="auto"/>
                <w:highlight w:val="none"/>
              </w:rPr>
            </w:pPr>
          </w:p>
        </w:tc>
        <w:tc>
          <w:tcPr>
            <w:tcW w:w="869" w:type="dxa"/>
            <w:tcBorders>
              <w:top w:val="single" w:color="auto" w:sz="4" w:space="0"/>
              <w:left w:val="single" w:color="auto" w:sz="4" w:space="0"/>
              <w:bottom w:val="single" w:color="auto" w:sz="4" w:space="0"/>
              <w:right w:val="single" w:color="auto" w:sz="4" w:space="0"/>
            </w:tcBorders>
            <w:noWrap w:val="0"/>
            <w:vAlign w:val="center"/>
          </w:tcPr>
          <w:p w14:paraId="572A14D7">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1A8CF4C5">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2D328AF1">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03F7DA55">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3CE04054">
            <w:pPr>
              <w:spacing w:line="500" w:lineRule="exact"/>
              <w:jc w:val="center"/>
              <w:rPr>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26004BCA">
            <w:pPr>
              <w:spacing w:line="500" w:lineRule="exact"/>
              <w:jc w:val="center"/>
              <w:rPr>
                <w:color w:val="auto"/>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6DF3BA41">
            <w:pPr>
              <w:spacing w:line="500" w:lineRule="exact"/>
              <w:jc w:val="center"/>
              <w:rPr>
                <w:color w:val="auto"/>
                <w:highlight w:val="none"/>
              </w:rPr>
            </w:pPr>
          </w:p>
        </w:tc>
      </w:tr>
      <w:tr w14:paraId="286DB0EE">
        <w:tblPrEx>
          <w:tblCellMar>
            <w:top w:w="0" w:type="dxa"/>
            <w:left w:w="108" w:type="dxa"/>
            <w:bottom w:w="0" w:type="dxa"/>
            <w:right w:w="108" w:type="dxa"/>
          </w:tblCellMar>
        </w:tblPrEx>
        <w:tc>
          <w:tcPr>
            <w:tcW w:w="510" w:type="dxa"/>
            <w:tcBorders>
              <w:top w:val="single" w:color="auto" w:sz="4" w:space="0"/>
              <w:left w:val="single" w:color="auto" w:sz="4" w:space="0"/>
              <w:bottom w:val="single" w:color="auto" w:sz="4" w:space="0"/>
              <w:right w:val="single" w:color="auto" w:sz="4" w:space="0"/>
            </w:tcBorders>
            <w:noWrap w:val="0"/>
            <w:vAlign w:val="center"/>
          </w:tcPr>
          <w:p w14:paraId="0E84F510">
            <w:pPr>
              <w:spacing w:line="500" w:lineRule="exact"/>
              <w:jc w:val="center"/>
              <w:rPr>
                <w:color w:val="auto"/>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098E6134">
            <w:pPr>
              <w:spacing w:line="500" w:lineRule="exact"/>
              <w:jc w:val="center"/>
              <w:rPr>
                <w:color w:val="auto"/>
                <w:highlight w:val="none"/>
              </w:rPr>
            </w:pPr>
          </w:p>
        </w:tc>
        <w:tc>
          <w:tcPr>
            <w:tcW w:w="735" w:type="dxa"/>
            <w:tcBorders>
              <w:top w:val="single" w:color="auto" w:sz="4" w:space="0"/>
              <w:left w:val="single" w:color="auto" w:sz="4" w:space="0"/>
              <w:bottom w:val="single" w:color="auto" w:sz="4" w:space="0"/>
              <w:right w:val="single" w:color="auto" w:sz="4" w:space="0"/>
            </w:tcBorders>
            <w:noWrap w:val="0"/>
            <w:vAlign w:val="center"/>
          </w:tcPr>
          <w:p w14:paraId="6110B257">
            <w:pPr>
              <w:spacing w:line="500" w:lineRule="exact"/>
              <w:jc w:val="center"/>
              <w:rPr>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14:paraId="550F956F">
            <w:pPr>
              <w:spacing w:line="500" w:lineRule="exact"/>
              <w:jc w:val="center"/>
              <w:rPr>
                <w:color w:val="auto"/>
                <w:highlight w:val="none"/>
              </w:rPr>
            </w:pPr>
          </w:p>
        </w:tc>
        <w:tc>
          <w:tcPr>
            <w:tcW w:w="869" w:type="dxa"/>
            <w:tcBorders>
              <w:top w:val="single" w:color="auto" w:sz="4" w:space="0"/>
              <w:left w:val="single" w:color="auto" w:sz="4" w:space="0"/>
              <w:bottom w:val="single" w:color="auto" w:sz="4" w:space="0"/>
              <w:right w:val="single" w:color="auto" w:sz="4" w:space="0"/>
            </w:tcBorders>
            <w:noWrap w:val="0"/>
            <w:vAlign w:val="center"/>
          </w:tcPr>
          <w:p w14:paraId="39209F14">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1EAF7696">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6CFD2868">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37110D00">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4C48069C">
            <w:pPr>
              <w:spacing w:line="500" w:lineRule="exact"/>
              <w:jc w:val="center"/>
              <w:rPr>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093CFE46">
            <w:pPr>
              <w:spacing w:line="500" w:lineRule="exact"/>
              <w:jc w:val="center"/>
              <w:rPr>
                <w:color w:val="auto"/>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4D2B879F">
            <w:pPr>
              <w:spacing w:line="500" w:lineRule="exact"/>
              <w:jc w:val="center"/>
              <w:rPr>
                <w:color w:val="auto"/>
                <w:highlight w:val="none"/>
              </w:rPr>
            </w:pPr>
          </w:p>
        </w:tc>
      </w:tr>
      <w:tr w14:paraId="56075057">
        <w:tc>
          <w:tcPr>
            <w:tcW w:w="510" w:type="dxa"/>
            <w:tcBorders>
              <w:top w:val="single" w:color="auto" w:sz="4" w:space="0"/>
              <w:left w:val="single" w:color="auto" w:sz="4" w:space="0"/>
              <w:bottom w:val="single" w:color="auto" w:sz="4" w:space="0"/>
              <w:right w:val="single" w:color="auto" w:sz="4" w:space="0"/>
            </w:tcBorders>
            <w:noWrap w:val="0"/>
            <w:vAlign w:val="center"/>
          </w:tcPr>
          <w:p w14:paraId="4AC8186D">
            <w:pPr>
              <w:spacing w:line="500" w:lineRule="exact"/>
              <w:jc w:val="center"/>
              <w:rPr>
                <w:color w:val="auto"/>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0F72FBD3">
            <w:pPr>
              <w:spacing w:line="500" w:lineRule="exact"/>
              <w:jc w:val="center"/>
              <w:rPr>
                <w:color w:val="auto"/>
                <w:highlight w:val="none"/>
              </w:rPr>
            </w:pPr>
          </w:p>
        </w:tc>
        <w:tc>
          <w:tcPr>
            <w:tcW w:w="735" w:type="dxa"/>
            <w:tcBorders>
              <w:top w:val="single" w:color="auto" w:sz="4" w:space="0"/>
              <w:left w:val="single" w:color="auto" w:sz="4" w:space="0"/>
              <w:bottom w:val="single" w:color="auto" w:sz="4" w:space="0"/>
              <w:right w:val="single" w:color="auto" w:sz="4" w:space="0"/>
            </w:tcBorders>
            <w:noWrap w:val="0"/>
            <w:vAlign w:val="center"/>
          </w:tcPr>
          <w:p w14:paraId="153F06BE">
            <w:pPr>
              <w:spacing w:line="500" w:lineRule="exact"/>
              <w:jc w:val="center"/>
              <w:rPr>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14:paraId="6FE846D6">
            <w:pPr>
              <w:spacing w:line="500" w:lineRule="exact"/>
              <w:jc w:val="center"/>
              <w:rPr>
                <w:color w:val="auto"/>
                <w:highlight w:val="none"/>
              </w:rPr>
            </w:pPr>
          </w:p>
        </w:tc>
        <w:tc>
          <w:tcPr>
            <w:tcW w:w="869" w:type="dxa"/>
            <w:tcBorders>
              <w:top w:val="single" w:color="auto" w:sz="4" w:space="0"/>
              <w:left w:val="single" w:color="auto" w:sz="4" w:space="0"/>
              <w:bottom w:val="single" w:color="auto" w:sz="4" w:space="0"/>
              <w:right w:val="single" w:color="auto" w:sz="4" w:space="0"/>
            </w:tcBorders>
            <w:noWrap w:val="0"/>
            <w:vAlign w:val="center"/>
          </w:tcPr>
          <w:p w14:paraId="4F7C3FA0">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26CC8315">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15418B12">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27348F3E">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45C79FDA">
            <w:pPr>
              <w:spacing w:line="500" w:lineRule="exact"/>
              <w:jc w:val="center"/>
              <w:rPr>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97CE946">
            <w:pPr>
              <w:spacing w:line="500" w:lineRule="exact"/>
              <w:jc w:val="center"/>
              <w:rPr>
                <w:color w:val="auto"/>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5537C127">
            <w:pPr>
              <w:spacing w:line="500" w:lineRule="exact"/>
              <w:jc w:val="center"/>
              <w:rPr>
                <w:color w:val="auto"/>
                <w:highlight w:val="none"/>
              </w:rPr>
            </w:pPr>
          </w:p>
        </w:tc>
      </w:tr>
      <w:tr w14:paraId="5FEAFFB1">
        <w:tc>
          <w:tcPr>
            <w:tcW w:w="510" w:type="dxa"/>
            <w:tcBorders>
              <w:top w:val="single" w:color="auto" w:sz="4" w:space="0"/>
              <w:left w:val="single" w:color="auto" w:sz="4" w:space="0"/>
              <w:bottom w:val="single" w:color="auto" w:sz="4" w:space="0"/>
              <w:right w:val="single" w:color="auto" w:sz="4" w:space="0"/>
            </w:tcBorders>
            <w:noWrap w:val="0"/>
            <w:vAlign w:val="center"/>
          </w:tcPr>
          <w:p w14:paraId="16F68C17">
            <w:pPr>
              <w:spacing w:line="500" w:lineRule="exact"/>
              <w:jc w:val="center"/>
              <w:rPr>
                <w:color w:val="auto"/>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5F0E265F">
            <w:pPr>
              <w:spacing w:line="500" w:lineRule="exact"/>
              <w:jc w:val="center"/>
              <w:rPr>
                <w:color w:val="auto"/>
                <w:highlight w:val="none"/>
              </w:rPr>
            </w:pPr>
          </w:p>
        </w:tc>
        <w:tc>
          <w:tcPr>
            <w:tcW w:w="735" w:type="dxa"/>
            <w:tcBorders>
              <w:top w:val="single" w:color="auto" w:sz="4" w:space="0"/>
              <w:left w:val="single" w:color="auto" w:sz="4" w:space="0"/>
              <w:bottom w:val="single" w:color="auto" w:sz="4" w:space="0"/>
              <w:right w:val="single" w:color="auto" w:sz="4" w:space="0"/>
            </w:tcBorders>
            <w:noWrap w:val="0"/>
            <w:vAlign w:val="center"/>
          </w:tcPr>
          <w:p w14:paraId="4DF46834">
            <w:pPr>
              <w:spacing w:line="500" w:lineRule="exact"/>
              <w:jc w:val="center"/>
              <w:rPr>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14:paraId="1755F05B">
            <w:pPr>
              <w:spacing w:line="500" w:lineRule="exact"/>
              <w:jc w:val="center"/>
              <w:rPr>
                <w:color w:val="auto"/>
                <w:highlight w:val="none"/>
              </w:rPr>
            </w:pPr>
          </w:p>
        </w:tc>
        <w:tc>
          <w:tcPr>
            <w:tcW w:w="869" w:type="dxa"/>
            <w:tcBorders>
              <w:top w:val="single" w:color="auto" w:sz="4" w:space="0"/>
              <w:left w:val="single" w:color="auto" w:sz="4" w:space="0"/>
              <w:bottom w:val="single" w:color="auto" w:sz="4" w:space="0"/>
              <w:right w:val="single" w:color="auto" w:sz="4" w:space="0"/>
            </w:tcBorders>
            <w:noWrap w:val="0"/>
            <w:vAlign w:val="center"/>
          </w:tcPr>
          <w:p w14:paraId="1856E841">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1DE2B24F">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6C9D240D">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0E5093A0">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44D91F7C">
            <w:pPr>
              <w:spacing w:line="500" w:lineRule="exact"/>
              <w:jc w:val="center"/>
              <w:rPr>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E737679">
            <w:pPr>
              <w:spacing w:line="500" w:lineRule="exact"/>
              <w:jc w:val="center"/>
              <w:rPr>
                <w:color w:val="auto"/>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19090C73">
            <w:pPr>
              <w:spacing w:line="500" w:lineRule="exact"/>
              <w:jc w:val="center"/>
              <w:rPr>
                <w:color w:val="auto"/>
                <w:highlight w:val="none"/>
              </w:rPr>
            </w:pPr>
          </w:p>
        </w:tc>
      </w:tr>
      <w:tr w14:paraId="3086BE4B">
        <w:tc>
          <w:tcPr>
            <w:tcW w:w="510" w:type="dxa"/>
            <w:tcBorders>
              <w:top w:val="single" w:color="auto" w:sz="4" w:space="0"/>
              <w:left w:val="single" w:color="auto" w:sz="4" w:space="0"/>
              <w:bottom w:val="single" w:color="auto" w:sz="4" w:space="0"/>
              <w:right w:val="single" w:color="auto" w:sz="4" w:space="0"/>
            </w:tcBorders>
            <w:noWrap w:val="0"/>
            <w:vAlign w:val="center"/>
          </w:tcPr>
          <w:p w14:paraId="500A5AA7">
            <w:pPr>
              <w:spacing w:line="500" w:lineRule="exact"/>
              <w:jc w:val="center"/>
              <w:rPr>
                <w:color w:val="auto"/>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475D543E">
            <w:pPr>
              <w:spacing w:line="500" w:lineRule="exact"/>
              <w:jc w:val="center"/>
              <w:rPr>
                <w:color w:val="auto"/>
                <w:highlight w:val="none"/>
              </w:rPr>
            </w:pPr>
          </w:p>
        </w:tc>
        <w:tc>
          <w:tcPr>
            <w:tcW w:w="735" w:type="dxa"/>
            <w:tcBorders>
              <w:top w:val="single" w:color="auto" w:sz="4" w:space="0"/>
              <w:left w:val="single" w:color="auto" w:sz="4" w:space="0"/>
              <w:bottom w:val="single" w:color="auto" w:sz="4" w:space="0"/>
              <w:right w:val="single" w:color="auto" w:sz="4" w:space="0"/>
            </w:tcBorders>
            <w:noWrap w:val="0"/>
            <w:vAlign w:val="center"/>
          </w:tcPr>
          <w:p w14:paraId="6EEC1C9C">
            <w:pPr>
              <w:spacing w:line="500" w:lineRule="exact"/>
              <w:jc w:val="center"/>
              <w:rPr>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14:paraId="20F54008">
            <w:pPr>
              <w:spacing w:line="500" w:lineRule="exact"/>
              <w:jc w:val="center"/>
              <w:rPr>
                <w:color w:val="auto"/>
                <w:highlight w:val="none"/>
              </w:rPr>
            </w:pPr>
          </w:p>
        </w:tc>
        <w:tc>
          <w:tcPr>
            <w:tcW w:w="869" w:type="dxa"/>
            <w:tcBorders>
              <w:top w:val="single" w:color="auto" w:sz="4" w:space="0"/>
              <w:left w:val="single" w:color="auto" w:sz="4" w:space="0"/>
              <w:bottom w:val="single" w:color="auto" w:sz="4" w:space="0"/>
              <w:right w:val="single" w:color="auto" w:sz="4" w:space="0"/>
            </w:tcBorders>
            <w:noWrap w:val="0"/>
            <w:vAlign w:val="center"/>
          </w:tcPr>
          <w:p w14:paraId="18F7656A">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20DD85CC">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12811069">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7DA5F9F1">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7D40F590">
            <w:pPr>
              <w:spacing w:line="500" w:lineRule="exact"/>
              <w:jc w:val="center"/>
              <w:rPr>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6BD864F">
            <w:pPr>
              <w:spacing w:line="500" w:lineRule="exact"/>
              <w:jc w:val="center"/>
              <w:rPr>
                <w:color w:val="auto"/>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2A64346D">
            <w:pPr>
              <w:spacing w:line="500" w:lineRule="exact"/>
              <w:jc w:val="center"/>
              <w:rPr>
                <w:color w:val="auto"/>
                <w:highlight w:val="none"/>
              </w:rPr>
            </w:pPr>
          </w:p>
        </w:tc>
      </w:tr>
      <w:tr w14:paraId="02759833">
        <w:tblPrEx>
          <w:tblCellMar>
            <w:top w:w="0" w:type="dxa"/>
            <w:left w:w="108" w:type="dxa"/>
            <w:bottom w:w="0" w:type="dxa"/>
            <w:right w:w="108" w:type="dxa"/>
          </w:tblCellMar>
        </w:tblPrEx>
        <w:trPr>
          <w:trHeight w:val="502" w:hRule="atLeast"/>
        </w:trPr>
        <w:tc>
          <w:tcPr>
            <w:tcW w:w="510" w:type="dxa"/>
            <w:tcBorders>
              <w:top w:val="single" w:color="auto" w:sz="4" w:space="0"/>
              <w:left w:val="single" w:color="auto" w:sz="4" w:space="0"/>
              <w:bottom w:val="single" w:color="auto" w:sz="4" w:space="0"/>
              <w:right w:val="single" w:color="auto" w:sz="4" w:space="0"/>
            </w:tcBorders>
            <w:noWrap w:val="0"/>
            <w:vAlign w:val="center"/>
          </w:tcPr>
          <w:p w14:paraId="6C5B7DF7">
            <w:pPr>
              <w:spacing w:line="500" w:lineRule="exact"/>
              <w:jc w:val="center"/>
              <w:rPr>
                <w:color w:val="auto"/>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722B64A0">
            <w:pPr>
              <w:spacing w:line="500" w:lineRule="exact"/>
              <w:jc w:val="center"/>
              <w:rPr>
                <w:color w:val="auto"/>
                <w:highlight w:val="none"/>
              </w:rPr>
            </w:pPr>
          </w:p>
        </w:tc>
        <w:tc>
          <w:tcPr>
            <w:tcW w:w="735" w:type="dxa"/>
            <w:tcBorders>
              <w:top w:val="single" w:color="auto" w:sz="4" w:space="0"/>
              <w:left w:val="single" w:color="auto" w:sz="4" w:space="0"/>
              <w:bottom w:val="single" w:color="auto" w:sz="4" w:space="0"/>
              <w:right w:val="single" w:color="auto" w:sz="4" w:space="0"/>
            </w:tcBorders>
            <w:noWrap w:val="0"/>
            <w:vAlign w:val="center"/>
          </w:tcPr>
          <w:p w14:paraId="1AED2015">
            <w:pPr>
              <w:spacing w:line="500" w:lineRule="exact"/>
              <w:jc w:val="center"/>
              <w:rPr>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14:paraId="68B2AA52">
            <w:pPr>
              <w:spacing w:line="500" w:lineRule="exact"/>
              <w:jc w:val="center"/>
              <w:rPr>
                <w:color w:val="auto"/>
                <w:highlight w:val="none"/>
              </w:rPr>
            </w:pPr>
          </w:p>
        </w:tc>
        <w:tc>
          <w:tcPr>
            <w:tcW w:w="869" w:type="dxa"/>
            <w:tcBorders>
              <w:top w:val="single" w:color="auto" w:sz="4" w:space="0"/>
              <w:left w:val="single" w:color="auto" w:sz="4" w:space="0"/>
              <w:bottom w:val="single" w:color="auto" w:sz="4" w:space="0"/>
              <w:right w:val="single" w:color="auto" w:sz="4" w:space="0"/>
            </w:tcBorders>
            <w:noWrap w:val="0"/>
            <w:vAlign w:val="center"/>
          </w:tcPr>
          <w:p w14:paraId="044619FB">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51AFDF5E">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6DF19793">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3357D3AC">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594B894F">
            <w:pPr>
              <w:spacing w:line="500" w:lineRule="exact"/>
              <w:jc w:val="center"/>
              <w:rPr>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0E696A2">
            <w:pPr>
              <w:spacing w:line="500" w:lineRule="exact"/>
              <w:jc w:val="center"/>
              <w:rPr>
                <w:color w:val="auto"/>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52A9DF99">
            <w:pPr>
              <w:spacing w:line="500" w:lineRule="exact"/>
              <w:jc w:val="center"/>
              <w:rPr>
                <w:color w:val="auto"/>
                <w:highlight w:val="none"/>
              </w:rPr>
            </w:pPr>
          </w:p>
        </w:tc>
      </w:tr>
      <w:tr w14:paraId="30D7AC38">
        <w:tblPrEx>
          <w:tblCellMar>
            <w:top w:w="0" w:type="dxa"/>
            <w:left w:w="108" w:type="dxa"/>
            <w:bottom w:w="0" w:type="dxa"/>
            <w:right w:w="108" w:type="dxa"/>
          </w:tblCellMar>
        </w:tblPrEx>
        <w:tc>
          <w:tcPr>
            <w:tcW w:w="510" w:type="dxa"/>
            <w:tcBorders>
              <w:top w:val="single" w:color="auto" w:sz="4" w:space="0"/>
              <w:left w:val="single" w:color="auto" w:sz="4" w:space="0"/>
              <w:bottom w:val="single" w:color="auto" w:sz="4" w:space="0"/>
              <w:right w:val="single" w:color="auto" w:sz="4" w:space="0"/>
            </w:tcBorders>
            <w:noWrap w:val="0"/>
            <w:vAlign w:val="center"/>
          </w:tcPr>
          <w:p w14:paraId="3638AD11">
            <w:pPr>
              <w:spacing w:line="500" w:lineRule="exact"/>
              <w:jc w:val="center"/>
              <w:rPr>
                <w:color w:val="auto"/>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3238987C">
            <w:pPr>
              <w:spacing w:line="500" w:lineRule="exact"/>
              <w:jc w:val="center"/>
              <w:rPr>
                <w:color w:val="auto"/>
                <w:highlight w:val="none"/>
              </w:rPr>
            </w:pPr>
          </w:p>
        </w:tc>
        <w:tc>
          <w:tcPr>
            <w:tcW w:w="735" w:type="dxa"/>
            <w:tcBorders>
              <w:top w:val="single" w:color="auto" w:sz="4" w:space="0"/>
              <w:left w:val="single" w:color="auto" w:sz="4" w:space="0"/>
              <w:bottom w:val="single" w:color="auto" w:sz="4" w:space="0"/>
              <w:right w:val="single" w:color="auto" w:sz="4" w:space="0"/>
            </w:tcBorders>
            <w:noWrap w:val="0"/>
            <w:vAlign w:val="center"/>
          </w:tcPr>
          <w:p w14:paraId="37FC72EA">
            <w:pPr>
              <w:spacing w:line="500" w:lineRule="exact"/>
              <w:jc w:val="center"/>
              <w:rPr>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14:paraId="1B11C2AE">
            <w:pPr>
              <w:spacing w:line="500" w:lineRule="exact"/>
              <w:jc w:val="center"/>
              <w:rPr>
                <w:color w:val="auto"/>
                <w:highlight w:val="none"/>
              </w:rPr>
            </w:pPr>
          </w:p>
        </w:tc>
        <w:tc>
          <w:tcPr>
            <w:tcW w:w="869" w:type="dxa"/>
            <w:tcBorders>
              <w:top w:val="single" w:color="auto" w:sz="4" w:space="0"/>
              <w:left w:val="single" w:color="auto" w:sz="4" w:space="0"/>
              <w:bottom w:val="single" w:color="auto" w:sz="4" w:space="0"/>
              <w:right w:val="single" w:color="auto" w:sz="4" w:space="0"/>
            </w:tcBorders>
            <w:noWrap w:val="0"/>
            <w:vAlign w:val="center"/>
          </w:tcPr>
          <w:p w14:paraId="0A2A894D">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390AC094">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334FB809">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45E75868">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2E88D753">
            <w:pPr>
              <w:spacing w:line="500" w:lineRule="exact"/>
              <w:jc w:val="center"/>
              <w:rPr>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2C6490F">
            <w:pPr>
              <w:spacing w:line="500" w:lineRule="exact"/>
              <w:jc w:val="center"/>
              <w:rPr>
                <w:color w:val="auto"/>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62FAF059">
            <w:pPr>
              <w:spacing w:line="500" w:lineRule="exact"/>
              <w:jc w:val="center"/>
              <w:rPr>
                <w:color w:val="auto"/>
                <w:highlight w:val="none"/>
              </w:rPr>
            </w:pPr>
          </w:p>
        </w:tc>
      </w:tr>
      <w:tr w14:paraId="726627A6">
        <w:tblPrEx>
          <w:tblCellMar>
            <w:top w:w="0" w:type="dxa"/>
            <w:left w:w="108" w:type="dxa"/>
            <w:bottom w:w="0" w:type="dxa"/>
            <w:right w:w="108" w:type="dxa"/>
          </w:tblCellMar>
        </w:tblPrEx>
        <w:tc>
          <w:tcPr>
            <w:tcW w:w="510" w:type="dxa"/>
            <w:tcBorders>
              <w:top w:val="single" w:color="auto" w:sz="4" w:space="0"/>
              <w:left w:val="single" w:color="auto" w:sz="4" w:space="0"/>
              <w:bottom w:val="single" w:color="auto" w:sz="4" w:space="0"/>
              <w:right w:val="single" w:color="auto" w:sz="4" w:space="0"/>
            </w:tcBorders>
            <w:noWrap w:val="0"/>
            <w:vAlign w:val="center"/>
          </w:tcPr>
          <w:p w14:paraId="395939BD">
            <w:pPr>
              <w:spacing w:line="500" w:lineRule="exact"/>
              <w:jc w:val="center"/>
              <w:rPr>
                <w:color w:val="auto"/>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4529DA78">
            <w:pPr>
              <w:spacing w:line="500" w:lineRule="exact"/>
              <w:jc w:val="center"/>
              <w:rPr>
                <w:color w:val="auto"/>
                <w:highlight w:val="none"/>
              </w:rPr>
            </w:pPr>
          </w:p>
        </w:tc>
        <w:tc>
          <w:tcPr>
            <w:tcW w:w="735" w:type="dxa"/>
            <w:tcBorders>
              <w:top w:val="single" w:color="auto" w:sz="4" w:space="0"/>
              <w:left w:val="single" w:color="auto" w:sz="4" w:space="0"/>
              <w:bottom w:val="single" w:color="auto" w:sz="4" w:space="0"/>
              <w:right w:val="single" w:color="auto" w:sz="4" w:space="0"/>
            </w:tcBorders>
            <w:noWrap w:val="0"/>
            <w:vAlign w:val="center"/>
          </w:tcPr>
          <w:p w14:paraId="026269D4">
            <w:pPr>
              <w:spacing w:line="500" w:lineRule="exact"/>
              <w:jc w:val="center"/>
              <w:rPr>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14:paraId="4009AF66">
            <w:pPr>
              <w:spacing w:line="500" w:lineRule="exact"/>
              <w:jc w:val="center"/>
              <w:rPr>
                <w:color w:val="auto"/>
                <w:highlight w:val="none"/>
              </w:rPr>
            </w:pPr>
          </w:p>
        </w:tc>
        <w:tc>
          <w:tcPr>
            <w:tcW w:w="869" w:type="dxa"/>
            <w:tcBorders>
              <w:top w:val="single" w:color="auto" w:sz="4" w:space="0"/>
              <w:left w:val="single" w:color="auto" w:sz="4" w:space="0"/>
              <w:bottom w:val="single" w:color="auto" w:sz="4" w:space="0"/>
              <w:right w:val="single" w:color="auto" w:sz="4" w:space="0"/>
            </w:tcBorders>
            <w:noWrap w:val="0"/>
            <w:vAlign w:val="center"/>
          </w:tcPr>
          <w:p w14:paraId="43DAB743">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4760BCA9">
            <w:pPr>
              <w:spacing w:line="500" w:lineRule="exact"/>
              <w:jc w:val="center"/>
              <w:rPr>
                <w:color w:val="auto"/>
                <w:highlight w:val="none"/>
              </w:rPr>
            </w:pPr>
          </w:p>
        </w:tc>
        <w:tc>
          <w:tcPr>
            <w:tcW w:w="961" w:type="dxa"/>
            <w:tcBorders>
              <w:top w:val="single" w:color="auto" w:sz="4" w:space="0"/>
              <w:left w:val="single" w:color="auto" w:sz="4" w:space="0"/>
              <w:bottom w:val="single" w:color="auto" w:sz="4" w:space="0"/>
              <w:right w:val="single" w:color="auto" w:sz="4" w:space="0"/>
            </w:tcBorders>
            <w:noWrap w:val="0"/>
            <w:vAlign w:val="center"/>
          </w:tcPr>
          <w:p w14:paraId="61814AF0">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2E96D218">
            <w:pPr>
              <w:spacing w:line="500" w:lineRule="exact"/>
              <w:jc w:val="center"/>
              <w:rPr>
                <w:color w:val="auto"/>
                <w:highlight w:val="none"/>
              </w:rPr>
            </w:pPr>
          </w:p>
        </w:tc>
        <w:tc>
          <w:tcPr>
            <w:tcW w:w="1188" w:type="dxa"/>
            <w:tcBorders>
              <w:top w:val="single" w:color="auto" w:sz="4" w:space="0"/>
              <w:left w:val="single" w:color="auto" w:sz="4" w:space="0"/>
              <w:bottom w:val="single" w:color="auto" w:sz="4" w:space="0"/>
              <w:right w:val="single" w:color="auto" w:sz="4" w:space="0"/>
            </w:tcBorders>
            <w:noWrap w:val="0"/>
            <w:vAlign w:val="center"/>
          </w:tcPr>
          <w:p w14:paraId="45507CC4">
            <w:pPr>
              <w:spacing w:line="500" w:lineRule="exact"/>
              <w:jc w:val="center"/>
              <w:rPr>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B76974B">
            <w:pPr>
              <w:spacing w:line="500" w:lineRule="exact"/>
              <w:jc w:val="center"/>
              <w:rPr>
                <w:color w:val="auto"/>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162E9AC7">
            <w:pPr>
              <w:spacing w:line="500" w:lineRule="exact"/>
              <w:jc w:val="center"/>
              <w:rPr>
                <w:color w:val="auto"/>
                <w:highlight w:val="none"/>
              </w:rPr>
            </w:pPr>
          </w:p>
        </w:tc>
      </w:tr>
      <w:tr w14:paraId="295EB23C">
        <w:tblPrEx>
          <w:tblCellMar>
            <w:top w:w="0" w:type="dxa"/>
            <w:left w:w="108" w:type="dxa"/>
            <w:bottom w:w="0" w:type="dxa"/>
            <w:right w:w="108" w:type="dxa"/>
          </w:tblCellMar>
        </w:tblPrEx>
        <w:tc>
          <w:tcPr>
            <w:tcW w:w="1867" w:type="dxa"/>
            <w:gridSpan w:val="3"/>
            <w:tcBorders>
              <w:top w:val="single" w:color="auto" w:sz="4" w:space="0"/>
              <w:left w:val="single" w:color="auto" w:sz="4" w:space="0"/>
              <w:bottom w:val="single" w:color="auto" w:sz="4" w:space="0"/>
              <w:right w:val="single" w:color="auto" w:sz="4" w:space="0"/>
            </w:tcBorders>
            <w:noWrap w:val="0"/>
            <w:vAlign w:val="center"/>
          </w:tcPr>
          <w:p w14:paraId="5CDA1924">
            <w:pPr>
              <w:spacing w:line="500" w:lineRule="exact"/>
              <w:jc w:val="center"/>
              <w:rPr>
                <w:color w:val="auto"/>
                <w:highlight w:val="none"/>
              </w:rPr>
            </w:pPr>
            <w:r>
              <w:rPr>
                <w:color w:val="auto"/>
                <w:highlight w:val="none"/>
              </w:rPr>
              <w:t>最高投标限价：</w:t>
            </w:r>
          </w:p>
        </w:tc>
        <w:tc>
          <w:tcPr>
            <w:tcW w:w="7858" w:type="dxa"/>
            <w:gridSpan w:val="8"/>
            <w:tcBorders>
              <w:top w:val="single" w:color="auto" w:sz="4" w:space="0"/>
              <w:left w:val="single" w:color="auto" w:sz="4" w:space="0"/>
              <w:bottom w:val="single" w:color="auto" w:sz="4" w:space="0"/>
              <w:right w:val="single" w:color="auto" w:sz="4" w:space="0"/>
            </w:tcBorders>
            <w:noWrap w:val="0"/>
            <w:vAlign w:val="center"/>
          </w:tcPr>
          <w:p w14:paraId="431F0B8C">
            <w:pPr>
              <w:spacing w:line="500" w:lineRule="exact"/>
              <w:jc w:val="center"/>
              <w:rPr>
                <w:color w:val="auto"/>
                <w:highlight w:val="none"/>
              </w:rPr>
            </w:pPr>
          </w:p>
        </w:tc>
      </w:tr>
    </w:tbl>
    <w:p w14:paraId="62CE8C92">
      <w:pPr>
        <w:spacing w:before="120" w:beforeLines="50" w:after="120" w:afterLines="50" w:line="400" w:lineRule="exact"/>
        <w:ind w:right="420"/>
        <w:jc w:val="right"/>
        <w:rPr>
          <w:color w:val="auto"/>
          <w:highlight w:val="none"/>
        </w:rPr>
      </w:pPr>
    </w:p>
    <w:p w14:paraId="0E9D9448">
      <w:pPr>
        <w:spacing w:line="440" w:lineRule="exact"/>
        <w:rPr>
          <w:color w:val="auto"/>
          <w:highlight w:val="none"/>
        </w:rPr>
      </w:pPr>
      <w:r>
        <w:rPr>
          <w:color w:val="auto"/>
          <w:highlight w:val="none"/>
        </w:rPr>
        <w:t>　　　</w:t>
      </w:r>
    </w:p>
    <w:p w14:paraId="348C069E">
      <w:pPr>
        <w:spacing w:line="620" w:lineRule="exact"/>
        <w:rPr>
          <w:color w:val="auto"/>
          <w:highlight w:val="none"/>
        </w:rPr>
      </w:pPr>
      <w:r>
        <w:rPr>
          <w:color w:val="auto"/>
          <w:highlight w:val="none"/>
        </w:rPr>
        <w:t>招标人代表：</w:t>
      </w:r>
      <w:r>
        <w:rPr>
          <w:rFonts w:hint="eastAsia"/>
          <w:color w:val="auto"/>
          <w:highlight w:val="none"/>
        </w:rPr>
        <w:t xml:space="preserve">       </w:t>
      </w:r>
      <w:r>
        <w:rPr>
          <w:color w:val="auto"/>
          <w:highlight w:val="none"/>
        </w:rPr>
        <w:t>记录人：</w:t>
      </w:r>
      <w:r>
        <w:rPr>
          <w:rFonts w:hint="eastAsia"/>
          <w:color w:val="auto"/>
          <w:highlight w:val="none"/>
        </w:rPr>
        <w:t xml:space="preserve">              </w:t>
      </w:r>
      <w:r>
        <w:rPr>
          <w:color w:val="auto"/>
          <w:highlight w:val="none"/>
        </w:rPr>
        <w:t>监标人：</w:t>
      </w:r>
    </w:p>
    <w:p w14:paraId="4145F072">
      <w:pPr>
        <w:wordWrap w:val="0"/>
        <w:spacing w:line="620" w:lineRule="exact"/>
        <w:jc w:val="right"/>
        <w:rPr>
          <w:color w:val="auto"/>
          <w:highlight w:val="none"/>
        </w:rPr>
      </w:pPr>
      <w:r>
        <w:rPr>
          <w:color w:val="auto"/>
          <w:highlight w:val="none"/>
        </w:rPr>
        <w:t xml:space="preserve">   年</w:t>
      </w:r>
      <w:r>
        <w:rPr>
          <w:rFonts w:hint="eastAsia"/>
          <w:color w:val="auto"/>
          <w:highlight w:val="none"/>
        </w:rPr>
        <w:t xml:space="preserve">    </w:t>
      </w:r>
      <w:r>
        <w:rPr>
          <w:color w:val="auto"/>
          <w:highlight w:val="none"/>
        </w:rPr>
        <w:t>月</w:t>
      </w:r>
      <w:r>
        <w:rPr>
          <w:rFonts w:hint="eastAsia"/>
          <w:color w:val="auto"/>
          <w:highlight w:val="none"/>
        </w:rPr>
        <w:t xml:space="preserve">    </w:t>
      </w:r>
      <w:r>
        <w:rPr>
          <w:color w:val="auto"/>
          <w:highlight w:val="none"/>
        </w:rPr>
        <w:t>日</w:t>
      </w:r>
    </w:p>
    <w:p w14:paraId="139D161B">
      <w:pPr>
        <w:rPr>
          <w:rFonts w:hint="eastAsia"/>
          <w:color w:val="auto"/>
          <w:sz w:val="28"/>
          <w:szCs w:val="28"/>
          <w:highlight w:val="none"/>
        </w:rPr>
      </w:pPr>
      <w:bookmarkStart w:id="374" w:name="_Toc530728901"/>
    </w:p>
    <w:p w14:paraId="103362E5">
      <w:pPr>
        <w:pStyle w:val="24"/>
        <w:ind w:firstLine="440"/>
        <w:rPr>
          <w:rFonts w:hint="eastAsia"/>
          <w:color w:val="auto"/>
          <w:highlight w:val="none"/>
        </w:rPr>
      </w:pPr>
    </w:p>
    <w:p w14:paraId="54C81940">
      <w:pPr>
        <w:rPr>
          <w:color w:val="auto"/>
          <w:highlight w:val="none"/>
        </w:rPr>
      </w:pPr>
    </w:p>
    <w:p w14:paraId="2581DF9C">
      <w:pPr>
        <w:pStyle w:val="5"/>
        <w:spacing w:line="412" w:lineRule="auto"/>
        <w:ind w:firstLine="137" w:firstLineChars="49"/>
        <w:rPr>
          <w:color w:val="auto"/>
          <w:sz w:val="28"/>
          <w:szCs w:val="28"/>
          <w:highlight w:val="none"/>
        </w:rPr>
      </w:pPr>
      <w:bookmarkStart w:id="375" w:name="_Toc16767"/>
    </w:p>
    <w:p w14:paraId="75B78EE4">
      <w:pPr>
        <w:pStyle w:val="5"/>
        <w:spacing w:line="412" w:lineRule="auto"/>
        <w:ind w:firstLine="137" w:firstLineChars="49"/>
        <w:rPr>
          <w:color w:val="auto"/>
          <w:sz w:val="28"/>
          <w:szCs w:val="28"/>
          <w:highlight w:val="none"/>
        </w:rPr>
      </w:pPr>
    </w:p>
    <w:p w14:paraId="770CDC24">
      <w:pPr>
        <w:pStyle w:val="5"/>
        <w:spacing w:line="412" w:lineRule="auto"/>
        <w:ind w:firstLine="137" w:firstLineChars="49"/>
        <w:rPr>
          <w:color w:val="auto"/>
          <w:sz w:val="28"/>
          <w:szCs w:val="28"/>
          <w:highlight w:val="none"/>
        </w:rPr>
      </w:pPr>
    </w:p>
    <w:p w14:paraId="7CA0ED7C">
      <w:pPr>
        <w:pStyle w:val="5"/>
        <w:spacing w:line="412" w:lineRule="auto"/>
        <w:ind w:firstLine="137" w:firstLineChars="49"/>
        <w:rPr>
          <w:color w:val="auto"/>
          <w:sz w:val="28"/>
          <w:szCs w:val="28"/>
          <w:highlight w:val="none"/>
        </w:rPr>
      </w:pPr>
    </w:p>
    <w:p w14:paraId="7E18B881">
      <w:pPr>
        <w:pStyle w:val="5"/>
        <w:spacing w:line="412" w:lineRule="auto"/>
        <w:ind w:firstLine="137" w:firstLineChars="49"/>
        <w:rPr>
          <w:color w:val="auto"/>
          <w:sz w:val="28"/>
          <w:szCs w:val="28"/>
          <w:highlight w:val="none"/>
        </w:rPr>
      </w:pPr>
      <w:r>
        <w:rPr>
          <w:color w:val="auto"/>
          <w:sz w:val="28"/>
          <w:szCs w:val="28"/>
          <w:highlight w:val="none"/>
        </w:rPr>
        <w:t>附件二：问题澄清通知</w:t>
      </w:r>
      <w:r>
        <w:rPr>
          <w:rFonts w:hint="eastAsia"/>
          <w:color w:val="auto"/>
          <w:sz w:val="28"/>
          <w:szCs w:val="28"/>
          <w:highlight w:val="none"/>
        </w:rPr>
        <w:t>（按广州公共资源交易中心版式为准）</w:t>
      </w:r>
      <w:bookmarkEnd w:id="374"/>
      <w:bookmarkEnd w:id="375"/>
    </w:p>
    <w:p w14:paraId="4CC72BB7">
      <w:pPr>
        <w:spacing w:line="400" w:lineRule="exact"/>
        <w:rPr>
          <w:b/>
          <w:bCs/>
          <w:color w:val="auto"/>
          <w:sz w:val="28"/>
          <w:szCs w:val="28"/>
          <w:highlight w:val="none"/>
        </w:rPr>
      </w:pPr>
    </w:p>
    <w:p w14:paraId="33A25DCF">
      <w:pPr>
        <w:spacing w:line="400" w:lineRule="exact"/>
        <w:rPr>
          <w:b/>
          <w:bCs/>
          <w:color w:val="auto"/>
          <w:sz w:val="28"/>
          <w:szCs w:val="28"/>
          <w:highlight w:val="none"/>
        </w:rPr>
      </w:pPr>
    </w:p>
    <w:p w14:paraId="2BDFF216">
      <w:pPr>
        <w:pStyle w:val="5"/>
        <w:spacing w:line="412" w:lineRule="auto"/>
        <w:ind w:firstLine="137" w:firstLineChars="49"/>
        <w:rPr>
          <w:color w:val="auto"/>
          <w:sz w:val="28"/>
          <w:szCs w:val="28"/>
          <w:highlight w:val="none"/>
        </w:rPr>
      </w:pPr>
      <w:bookmarkStart w:id="376" w:name="_Toc27658"/>
      <w:bookmarkStart w:id="377" w:name="_Toc530728902"/>
      <w:r>
        <w:rPr>
          <w:rFonts w:hint="eastAsia"/>
          <w:color w:val="auto"/>
          <w:sz w:val="28"/>
          <w:szCs w:val="28"/>
          <w:highlight w:val="none"/>
        </w:rPr>
        <w:t>附</w:t>
      </w:r>
      <w:r>
        <w:rPr>
          <w:color w:val="auto"/>
          <w:sz w:val="28"/>
          <w:szCs w:val="28"/>
          <w:highlight w:val="none"/>
        </w:rPr>
        <w:t>件三：问题的澄清</w:t>
      </w:r>
      <w:r>
        <w:rPr>
          <w:rFonts w:hint="eastAsia"/>
          <w:color w:val="auto"/>
          <w:sz w:val="28"/>
          <w:szCs w:val="28"/>
          <w:highlight w:val="none"/>
        </w:rPr>
        <w:t>（按广州公共资源交易中心版式为准）</w:t>
      </w:r>
      <w:bookmarkEnd w:id="376"/>
      <w:bookmarkEnd w:id="377"/>
    </w:p>
    <w:p w14:paraId="4C73C329">
      <w:pPr>
        <w:spacing w:line="400" w:lineRule="exact"/>
        <w:rPr>
          <w:b/>
          <w:bCs/>
          <w:color w:val="auto"/>
          <w:sz w:val="28"/>
          <w:szCs w:val="28"/>
          <w:highlight w:val="none"/>
        </w:rPr>
      </w:pPr>
    </w:p>
    <w:p w14:paraId="7DE6E552">
      <w:pPr>
        <w:spacing w:line="400" w:lineRule="exact"/>
        <w:rPr>
          <w:b/>
          <w:bCs/>
          <w:color w:val="auto"/>
          <w:sz w:val="28"/>
          <w:szCs w:val="28"/>
          <w:highlight w:val="none"/>
        </w:rPr>
      </w:pPr>
    </w:p>
    <w:p w14:paraId="7B9DDEEC">
      <w:pPr>
        <w:pStyle w:val="5"/>
        <w:spacing w:line="412" w:lineRule="auto"/>
        <w:ind w:firstLine="137" w:firstLineChars="49"/>
        <w:rPr>
          <w:color w:val="auto"/>
          <w:sz w:val="28"/>
          <w:szCs w:val="28"/>
          <w:highlight w:val="none"/>
        </w:rPr>
      </w:pPr>
      <w:bookmarkStart w:id="378" w:name="_Toc530728903"/>
      <w:bookmarkStart w:id="379" w:name="_Toc22851"/>
      <w:r>
        <w:rPr>
          <w:rFonts w:hint="eastAsia"/>
          <w:color w:val="auto"/>
          <w:sz w:val="28"/>
          <w:szCs w:val="28"/>
          <w:highlight w:val="none"/>
        </w:rPr>
        <w:t>附件四：中标通知书（按广州公共资源交易中心中标通知书格式）</w:t>
      </w:r>
      <w:bookmarkEnd w:id="378"/>
      <w:bookmarkEnd w:id="379"/>
    </w:p>
    <w:p w14:paraId="5220AA74">
      <w:pPr>
        <w:spacing w:line="440" w:lineRule="exact"/>
        <w:rPr>
          <w:b/>
          <w:bCs/>
          <w:color w:val="auto"/>
          <w:sz w:val="28"/>
          <w:szCs w:val="28"/>
          <w:highlight w:val="none"/>
        </w:rPr>
      </w:pPr>
    </w:p>
    <w:p w14:paraId="6C4D4A28">
      <w:pPr>
        <w:spacing w:line="440" w:lineRule="exact"/>
        <w:rPr>
          <w:b/>
          <w:bCs/>
          <w:color w:val="auto"/>
          <w:sz w:val="28"/>
          <w:szCs w:val="28"/>
          <w:highlight w:val="none"/>
        </w:rPr>
      </w:pPr>
    </w:p>
    <w:p w14:paraId="2CD074A7">
      <w:pPr>
        <w:rPr>
          <w:color w:val="auto"/>
          <w:highlight w:val="none"/>
        </w:rPr>
      </w:pPr>
    </w:p>
    <w:p w14:paraId="7E15EEBD">
      <w:pPr>
        <w:spacing w:line="502" w:lineRule="exact"/>
        <w:jc w:val="center"/>
        <w:outlineLvl w:val="1"/>
        <w:rPr>
          <w:b/>
          <w:color w:val="auto"/>
          <w:sz w:val="44"/>
          <w:highlight w:val="none"/>
        </w:rPr>
      </w:pPr>
      <w:r>
        <w:rPr>
          <w:b/>
          <w:color w:val="auto"/>
          <w:sz w:val="32"/>
          <w:highlight w:val="none"/>
        </w:rPr>
        <w:br w:type="page"/>
      </w:r>
      <w:bookmarkStart w:id="555" w:name="_GoBack"/>
      <w:bookmarkStart w:id="380" w:name="_Toc13696"/>
      <w:bookmarkStart w:id="381" w:name="_Toc530728906"/>
      <w:r>
        <w:rPr>
          <w:b/>
          <w:color w:val="auto"/>
          <w:sz w:val="44"/>
          <w:highlight w:val="none"/>
        </w:rPr>
        <w:t>第三章</w:t>
      </w:r>
      <w:r>
        <w:rPr>
          <w:rFonts w:hint="eastAsia"/>
          <w:b/>
          <w:color w:val="auto"/>
          <w:sz w:val="44"/>
          <w:highlight w:val="none"/>
        </w:rPr>
        <w:t xml:space="preserve"> </w:t>
      </w:r>
      <w:r>
        <w:rPr>
          <w:b/>
          <w:color w:val="auto"/>
          <w:sz w:val="44"/>
          <w:highlight w:val="none"/>
        </w:rPr>
        <w:t>评标办法（综合评估法）</w:t>
      </w:r>
      <w:bookmarkEnd w:id="380"/>
      <w:bookmarkEnd w:id="381"/>
    </w:p>
    <w:bookmarkEnd w:id="555"/>
    <w:p w14:paraId="6D18E3A3">
      <w:pPr>
        <w:spacing w:before="120" w:beforeLines="50" w:after="120" w:afterLines="50" w:line="366" w:lineRule="exact"/>
        <w:ind w:left="357"/>
        <w:jc w:val="center"/>
        <w:rPr>
          <w:b/>
          <w:color w:val="auto"/>
          <w:sz w:val="32"/>
          <w:highlight w:val="none"/>
        </w:rPr>
      </w:pPr>
      <w:r>
        <w:rPr>
          <w:b/>
          <w:color w:val="auto"/>
          <w:sz w:val="32"/>
          <w:highlight w:val="none"/>
        </w:rPr>
        <w:t>评标办法前附表</w:t>
      </w:r>
    </w:p>
    <w:tbl>
      <w:tblPr>
        <w:tblStyle w:val="25"/>
        <w:tblW w:w="9356"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2"/>
        <w:gridCol w:w="1315"/>
        <w:gridCol w:w="1659"/>
        <w:gridCol w:w="5570"/>
      </w:tblGrid>
      <w:tr w14:paraId="4B8BA8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27" w:type="dxa"/>
            <w:gridSpan w:val="2"/>
            <w:tcBorders>
              <w:top w:val="single" w:color="auto" w:sz="4" w:space="0"/>
              <w:bottom w:val="single" w:color="auto" w:sz="4" w:space="0"/>
              <w:right w:val="single" w:color="auto" w:sz="4" w:space="0"/>
            </w:tcBorders>
            <w:noWrap w:val="0"/>
            <w:vAlign w:val="center"/>
          </w:tcPr>
          <w:p w14:paraId="7775EA21">
            <w:pPr>
              <w:spacing w:line="400" w:lineRule="exact"/>
              <w:jc w:val="center"/>
              <w:rPr>
                <w:b/>
                <w:color w:val="auto"/>
                <w:highlight w:val="none"/>
              </w:rPr>
            </w:pPr>
            <w:r>
              <w:rPr>
                <w:rFonts w:hint="eastAsia"/>
                <w:b/>
                <w:color w:val="auto"/>
                <w:highlight w:val="none"/>
              </w:rPr>
              <w:t>条款号</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B3AC86D">
            <w:pPr>
              <w:spacing w:line="400" w:lineRule="exact"/>
              <w:jc w:val="center"/>
              <w:rPr>
                <w:b/>
                <w:color w:val="auto"/>
                <w:highlight w:val="none"/>
              </w:rPr>
            </w:pPr>
            <w:r>
              <w:rPr>
                <w:rFonts w:hint="eastAsia"/>
                <w:b/>
                <w:color w:val="auto"/>
                <w:highlight w:val="none"/>
              </w:rPr>
              <w:t>评审因素</w:t>
            </w:r>
          </w:p>
        </w:tc>
        <w:tc>
          <w:tcPr>
            <w:tcW w:w="5570" w:type="dxa"/>
            <w:tcBorders>
              <w:top w:val="single" w:color="auto" w:sz="4" w:space="0"/>
              <w:left w:val="single" w:color="auto" w:sz="4" w:space="0"/>
              <w:bottom w:val="single" w:color="auto" w:sz="4" w:space="0"/>
            </w:tcBorders>
            <w:noWrap w:val="0"/>
            <w:vAlign w:val="center"/>
          </w:tcPr>
          <w:p w14:paraId="123823E5">
            <w:pPr>
              <w:spacing w:line="400" w:lineRule="exact"/>
              <w:jc w:val="center"/>
              <w:rPr>
                <w:b/>
                <w:color w:val="auto"/>
                <w:highlight w:val="none"/>
              </w:rPr>
            </w:pPr>
            <w:r>
              <w:rPr>
                <w:rFonts w:hint="eastAsia"/>
                <w:b/>
                <w:color w:val="auto"/>
                <w:highlight w:val="none"/>
              </w:rPr>
              <w:t>评审标准</w:t>
            </w:r>
          </w:p>
        </w:tc>
      </w:tr>
      <w:tr w14:paraId="49B822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812" w:type="dxa"/>
            <w:tcBorders>
              <w:top w:val="single" w:color="auto" w:sz="4" w:space="0"/>
              <w:bottom w:val="single" w:color="auto" w:sz="4" w:space="0"/>
              <w:right w:val="single" w:color="auto" w:sz="4" w:space="0"/>
            </w:tcBorders>
            <w:noWrap w:val="0"/>
            <w:vAlign w:val="center"/>
          </w:tcPr>
          <w:p w14:paraId="73E4B2FC">
            <w:pPr>
              <w:spacing w:line="400" w:lineRule="exact"/>
              <w:jc w:val="center"/>
              <w:rPr>
                <w:color w:val="auto"/>
                <w:highlight w:val="none"/>
              </w:rPr>
            </w:pPr>
            <w:r>
              <w:rPr>
                <w:color w:val="auto"/>
                <w:highlight w:val="none"/>
              </w:rPr>
              <w:t>1</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448E4BF0">
            <w:pPr>
              <w:spacing w:line="400" w:lineRule="exact"/>
              <w:jc w:val="center"/>
              <w:rPr>
                <w:color w:val="auto"/>
                <w:highlight w:val="none"/>
              </w:rPr>
            </w:pPr>
            <w:r>
              <w:rPr>
                <w:rFonts w:hint="eastAsia"/>
                <w:color w:val="auto"/>
                <w:highlight w:val="none"/>
              </w:rPr>
              <w:t>评标方法</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2390C984">
            <w:pPr>
              <w:spacing w:line="400" w:lineRule="exact"/>
              <w:jc w:val="center"/>
              <w:rPr>
                <w:color w:val="auto"/>
                <w:highlight w:val="none"/>
              </w:rPr>
            </w:pPr>
            <w:r>
              <w:rPr>
                <w:rFonts w:hint="eastAsia"/>
                <w:color w:val="auto"/>
                <w:highlight w:val="none"/>
              </w:rPr>
              <w:t>中标候选人排序方法</w:t>
            </w:r>
          </w:p>
        </w:tc>
        <w:tc>
          <w:tcPr>
            <w:tcW w:w="5570" w:type="dxa"/>
            <w:tcBorders>
              <w:top w:val="single" w:color="auto" w:sz="4" w:space="0"/>
              <w:left w:val="single" w:color="auto" w:sz="4" w:space="0"/>
              <w:bottom w:val="single" w:color="auto" w:sz="4" w:space="0"/>
            </w:tcBorders>
            <w:noWrap w:val="0"/>
            <w:vAlign w:val="center"/>
          </w:tcPr>
          <w:p w14:paraId="10069D1E">
            <w:pPr>
              <w:spacing w:line="400" w:lineRule="exact"/>
              <w:rPr>
                <w:rFonts w:hint="eastAsia" w:ascii="宋体" w:hAnsi="宋体" w:cs="宋体"/>
                <w:color w:val="auto"/>
                <w:highlight w:val="none"/>
                <w:u w:val="single"/>
              </w:rPr>
            </w:pPr>
            <w:r>
              <w:rPr>
                <w:rFonts w:hint="eastAsia" w:ascii="宋体" w:hAnsi="宋体" w:cs="宋体"/>
                <w:color w:val="auto"/>
                <w:highlight w:val="none"/>
                <w:u w:val="single"/>
              </w:rPr>
              <w:t>1.本次评标采用综合评估法。</w:t>
            </w:r>
          </w:p>
          <w:p w14:paraId="47E22647">
            <w:pPr>
              <w:spacing w:line="360" w:lineRule="auto"/>
              <w:rPr>
                <w:rFonts w:hint="eastAsia" w:ascii="宋体" w:hAnsi="宋体" w:cs="宋体"/>
                <w:color w:val="auto"/>
                <w:sz w:val="22"/>
                <w:highlight w:val="none"/>
                <w:u w:val="single"/>
              </w:rPr>
            </w:pPr>
            <w:r>
              <w:rPr>
                <w:rFonts w:hint="eastAsia" w:ascii="宋体" w:hAnsi="宋体" w:cs="宋体"/>
                <w:color w:val="auto"/>
                <w:highlight w:val="none"/>
                <w:u w:val="single"/>
              </w:rPr>
              <w:t>2.评标委员会对满足招标文件实质性要求的投标文件，按照招标文件规定的评分标准进行打分，并按照各投标人</w:t>
            </w:r>
            <w:r>
              <w:rPr>
                <w:rFonts w:hint="eastAsia" w:ascii="宋体" w:hAnsi="宋体" w:cs="宋体"/>
                <w:color w:val="auto"/>
                <w:sz w:val="22"/>
                <w:highlight w:val="none"/>
                <w:u w:val="single"/>
              </w:rPr>
              <w:t>综合</w:t>
            </w:r>
            <w:r>
              <w:rPr>
                <w:rFonts w:hint="eastAsia" w:ascii="宋体" w:hAnsi="宋体" w:cs="宋体"/>
                <w:color w:val="auto"/>
                <w:highlight w:val="none"/>
                <w:u w:val="single"/>
              </w:rPr>
              <w:t>得分从高到低排列先后次序，推荐得分最高的第一名投标人为第一中标候选人，推荐得分第二名的投标人为第二中标候选人，如此类推，推荐三名中标候选人，并编写评审报告。</w:t>
            </w:r>
            <w:r>
              <w:rPr>
                <w:rFonts w:hint="eastAsia" w:ascii="宋体" w:hAnsi="宋体" w:cs="宋体"/>
                <w:color w:val="auto"/>
                <w:sz w:val="22"/>
                <w:highlight w:val="none"/>
                <w:u w:val="single"/>
              </w:rPr>
              <w:t>若两家或以上的投标人综合得分相同时，则投标报价得分高的排前；若投标报价得分相同，则对具有相同情况的投标人，按中标候选人数量规定，由评标委员会采用记名投票方式，确定中标候选人的排序。</w:t>
            </w:r>
          </w:p>
          <w:p w14:paraId="6F769503">
            <w:pPr>
              <w:spacing w:line="360" w:lineRule="auto"/>
              <w:rPr>
                <w:rFonts w:hint="eastAsia" w:ascii="宋体" w:hAnsi="宋体" w:cs="宋体"/>
                <w:color w:val="auto"/>
                <w:highlight w:val="none"/>
                <w:u w:val="single"/>
              </w:rPr>
            </w:pPr>
            <w:r>
              <w:rPr>
                <w:rFonts w:hint="eastAsia" w:ascii="宋体" w:hAnsi="宋体" w:cs="宋体"/>
                <w:color w:val="auto"/>
                <w:sz w:val="22"/>
                <w:highlight w:val="none"/>
              </w:rPr>
              <w:t>记名投票方式确定排序的具体步骤为：由评标委员会对出现该情况的投标人采用记名投票的方式确定，按得票数高低进行排序，根据得票数高低确定中标候选人排序。</w:t>
            </w:r>
          </w:p>
          <w:p w14:paraId="1CA3A6A4">
            <w:pPr>
              <w:spacing w:line="400" w:lineRule="exact"/>
              <w:rPr>
                <w:rFonts w:hint="eastAsia"/>
                <w:color w:val="auto"/>
                <w:highlight w:val="none"/>
                <w:u w:val="single"/>
              </w:rPr>
            </w:pPr>
            <w:r>
              <w:rPr>
                <w:rFonts w:hint="eastAsia" w:ascii="宋体" w:hAnsi="宋体" w:cs="宋体"/>
                <w:color w:val="auto"/>
                <w:highlight w:val="none"/>
                <w:u w:val="single"/>
              </w:rPr>
              <w:t>3. 若本项目递交投标文件的投标人数量、或通过初步评审的合格投标人家数不足3家的，则本次招标失败，招标人将视情况重新组织招标。</w:t>
            </w:r>
          </w:p>
        </w:tc>
      </w:tr>
      <w:tr w14:paraId="6DEEBA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restart"/>
            <w:tcBorders>
              <w:top w:val="single" w:color="auto" w:sz="4" w:space="0"/>
              <w:bottom w:val="single" w:color="auto" w:sz="4" w:space="0"/>
              <w:right w:val="single" w:color="auto" w:sz="4" w:space="0"/>
            </w:tcBorders>
            <w:noWrap w:val="0"/>
            <w:vAlign w:val="center"/>
          </w:tcPr>
          <w:p w14:paraId="671944C1">
            <w:pPr>
              <w:spacing w:line="400" w:lineRule="exact"/>
              <w:jc w:val="center"/>
              <w:rPr>
                <w:color w:val="auto"/>
                <w:highlight w:val="none"/>
              </w:rPr>
            </w:pPr>
            <w:r>
              <w:rPr>
                <w:color w:val="auto"/>
                <w:highlight w:val="none"/>
              </w:rPr>
              <w:t>2.1.1</w:t>
            </w:r>
          </w:p>
        </w:tc>
        <w:tc>
          <w:tcPr>
            <w:tcW w:w="1315" w:type="dxa"/>
            <w:vMerge w:val="restart"/>
            <w:tcBorders>
              <w:top w:val="single" w:color="auto" w:sz="4" w:space="0"/>
              <w:right w:val="single" w:color="auto" w:sz="4" w:space="0"/>
            </w:tcBorders>
            <w:noWrap w:val="0"/>
            <w:vAlign w:val="center"/>
          </w:tcPr>
          <w:p w14:paraId="0D54DDD8">
            <w:pPr>
              <w:spacing w:line="400" w:lineRule="exact"/>
              <w:jc w:val="center"/>
              <w:rPr>
                <w:color w:val="auto"/>
                <w:highlight w:val="none"/>
              </w:rPr>
            </w:pPr>
            <w:r>
              <w:rPr>
                <w:rFonts w:hint="eastAsia"/>
                <w:color w:val="auto"/>
                <w:highlight w:val="none"/>
              </w:rPr>
              <w:t>形式评审标准</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36270068">
            <w:pPr>
              <w:spacing w:line="400" w:lineRule="exact"/>
              <w:jc w:val="center"/>
              <w:rPr>
                <w:color w:val="auto"/>
                <w:highlight w:val="none"/>
              </w:rPr>
            </w:pPr>
            <w:r>
              <w:rPr>
                <w:rFonts w:hint="eastAsia"/>
                <w:color w:val="auto"/>
                <w:highlight w:val="none"/>
              </w:rPr>
              <w:t>投标人名称</w:t>
            </w:r>
          </w:p>
        </w:tc>
        <w:tc>
          <w:tcPr>
            <w:tcW w:w="5570" w:type="dxa"/>
            <w:tcBorders>
              <w:top w:val="single" w:color="auto" w:sz="4" w:space="0"/>
              <w:left w:val="single" w:color="auto" w:sz="4" w:space="0"/>
              <w:bottom w:val="single" w:color="auto" w:sz="4" w:space="0"/>
            </w:tcBorders>
            <w:noWrap w:val="0"/>
            <w:vAlign w:val="center"/>
          </w:tcPr>
          <w:p w14:paraId="5238B8F9">
            <w:pPr>
              <w:spacing w:line="400" w:lineRule="exact"/>
              <w:rPr>
                <w:color w:val="auto"/>
                <w:highlight w:val="none"/>
              </w:rPr>
            </w:pPr>
            <w:r>
              <w:rPr>
                <w:rFonts w:hint="eastAsia"/>
                <w:color w:val="auto"/>
                <w:highlight w:val="none"/>
              </w:rPr>
              <w:t>与营业执照、资质证书一致；</w:t>
            </w:r>
          </w:p>
        </w:tc>
      </w:tr>
      <w:tr w14:paraId="669ADF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top w:val="nil"/>
              <w:bottom w:val="single" w:color="auto" w:sz="4" w:space="0"/>
              <w:right w:val="single" w:color="auto" w:sz="4" w:space="0"/>
            </w:tcBorders>
            <w:noWrap w:val="0"/>
            <w:vAlign w:val="center"/>
          </w:tcPr>
          <w:p w14:paraId="6E6ACA29">
            <w:pPr>
              <w:spacing w:line="400" w:lineRule="exact"/>
              <w:rPr>
                <w:color w:val="auto"/>
                <w:highlight w:val="none"/>
              </w:rPr>
            </w:pPr>
          </w:p>
        </w:tc>
        <w:tc>
          <w:tcPr>
            <w:tcW w:w="1315" w:type="dxa"/>
            <w:vMerge w:val="continue"/>
            <w:tcBorders>
              <w:right w:val="single" w:color="auto" w:sz="4" w:space="0"/>
            </w:tcBorders>
            <w:noWrap w:val="0"/>
            <w:vAlign w:val="center"/>
          </w:tcPr>
          <w:p w14:paraId="2DE9DA60">
            <w:pPr>
              <w:spacing w:line="400" w:lineRule="exact"/>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30CCB9E">
            <w:pPr>
              <w:spacing w:line="400" w:lineRule="exact"/>
              <w:jc w:val="center"/>
              <w:rPr>
                <w:color w:val="auto"/>
                <w:highlight w:val="none"/>
              </w:rPr>
            </w:pPr>
            <w:r>
              <w:rPr>
                <w:rFonts w:hint="eastAsia"/>
                <w:color w:val="auto"/>
                <w:highlight w:val="none"/>
              </w:rPr>
              <w:t>投标函及投标函附录签字盖章</w:t>
            </w:r>
          </w:p>
        </w:tc>
        <w:tc>
          <w:tcPr>
            <w:tcW w:w="5570" w:type="dxa"/>
            <w:tcBorders>
              <w:top w:val="single" w:color="auto" w:sz="4" w:space="0"/>
              <w:left w:val="single" w:color="auto" w:sz="4" w:space="0"/>
              <w:bottom w:val="single" w:color="auto" w:sz="4" w:space="0"/>
            </w:tcBorders>
            <w:noWrap w:val="0"/>
            <w:vAlign w:val="center"/>
          </w:tcPr>
          <w:p w14:paraId="30E0A73A">
            <w:pPr>
              <w:spacing w:line="400" w:lineRule="exact"/>
              <w:rPr>
                <w:rFonts w:hint="eastAsia"/>
                <w:color w:val="auto"/>
                <w:highlight w:val="none"/>
              </w:rPr>
            </w:pPr>
            <w:r>
              <w:rPr>
                <w:rFonts w:hint="eastAsia"/>
                <w:color w:val="auto"/>
                <w:highlight w:val="none"/>
              </w:rPr>
              <w:t>有法定代表人或被授权人签字（或盖章）并加盖单位章。由法定代表人签字（或盖章）的，应附法定代表人身份证明；由被授权人签字（或盖章）的，应附法定代表人身份证明及授权委托书。</w:t>
            </w:r>
          </w:p>
        </w:tc>
      </w:tr>
      <w:tr w14:paraId="1EFD0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84" w:hRule="atLeast"/>
        </w:trPr>
        <w:tc>
          <w:tcPr>
            <w:tcW w:w="812" w:type="dxa"/>
            <w:vMerge w:val="continue"/>
            <w:tcBorders>
              <w:top w:val="nil"/>
              <w:bottom w:val="single" w:color="auto" w:sz="4" w:space="0"/>
              <w:right w:val="single" w:color="auto" w:sz="4" w:space="0"/>
            </w:tcBorders>
            <w:noWrap w:val="0"/>
            <w:vAlign w:val="center"/>
          </w:tcPr>
          <w:p w14:paraId="27C5863B">
            <w:pPr>
              <w:spacing w:line="400" w:lineRule="exact"/>
              <w:rPr>
                <w:color w:val="auto"/>
                <w:highlight w:val="none"/>
              </w:rPr>
            </w:pPr>
          </w:p>
        </w:tc>
        <w:tc>
          <w:tcPr>
            <w:tcW w:w="1315" w:type="dxa"/>
            <w:vMerge w:val="continue"/>
            <w:tcBorders>
              <w:right w:val="single" w:color="auto" w:sz="4" w:space="0"/>
            </w:tcBorders>
            <w:noWrap w:val="0"/>
            <w:vAlign w:val="center"/>
          </w:tcPr>
          <w:p w14:paraId="0BD468AC">
            <w:pPr>
              <w:spacing w:line="400" w:lineRule="exact"/>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504BCAFB">
            <w:pPr>
              <w:spacing w:line="400" w:lineRule="exact"/>
              <w:jc w:val="center"/>
              <w:rPr>
                <w:color w:val="auto"/>
                <w:highlight w:val="none"/>
              </w:rPr>
            </w:pPr>
            <w:r>
              <w:rPr>
                <w:rFonts w:hint="eastAsia"/>
                <w:color w:val="auto"/>
                <w:highlight w:val="none"/>
              </w:rPr>
              <w:t>投标文件格式</w:t>
            </w:r>
          </w:p>
        </w:tc>
        <w:tc>
          <w:tcPr>
            <w:tcW w:w="5570" w:type="dxa"/>
            <w:tcBorders>
              <w:top w:val="single" w:color="auto" w:sz="4" w:space="0"/>
              <w:left w:val="single" w:color="auto" w:sz="4" w:space="0"/>
              <w:bottom w:val="single" w:color="auto" w:sz="4" w:space="0"/>
            </w:tcBorders>
            <w:noWrap w:val="0"/>
            <w:vAlign w:val="center"/>
          </w:tcPr>
          <w:p w14:paraId="35185401">
            <w:pPr>
              <w:rPr>
                <w:rFonts w:hint="eastAsia" w:cs="楷体"/>
                <w:color w:val="auto"/>
                <w:kern w:val="0"/>
                <w:szCs w:val="21"/>
                <w:highlight w:val="none"/>
                <w:u w:val="single"/>
              </w:rPr>
            </w:pPr>
            <w:r>
              <w:rPr>
                <w:rFonts w:hint="eastAsia" w:cs="楷体"/>
                <w:b/>
                <w:color w:val="auto"/>
                <w:kern w:val="0"/>
                <w:szCs w:val="21"/>
                <w:highlight w:val="none"/>
                <w:u w:val="single"/>
              </w:rPr>
              <w:t>投标人声明、投标函及投标函附录</w:t>
            </w:r>
            <w:r>
              <w:rPr>
                <w:rFonts w:hint="eastAsia" w:cs="楷体"/>
                <w:color w:val="auto"/>
                <w:kern w:val="0"/>
                <w:szCs w:val="21"/>
                <w:highlight w:val="none"/>
                <w:u w:val="single"/>
              </w:rPr>
              <w:t>符合第七章“投标文件格式”的规定；</w:t>
            </w:r>
          </w:p>
        </w:tc>
      </w:tr>
      <w:tr w14:paraId="543F03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top w:val="nil"/>
              <w:bottom w:val="single" w:color="auto" w:sz="4" w:space="0"/>
              <w:right w:val="single" w:color="auto" w:sz="4" w:space="0"/>
            </w:tcBorders>
            <w:noWrap w:val="0"/>
            <w:vAlign w:val="center"/>
          </w:tcPr>
          <w:p w14:paraId="02B07813">
            <w:pPr>
              <w:spacing w:line="400" w:lineRule="exact"/>
              <w:rPr>
                <w:color w:val="auto"/>
                <w:highlight w:val="none"/>
              </w:rPr>
            </w:pPr>
          </w:p>
        </w:tc>
        <w:tc>
          <w:tcPr>
            <w:tcW w:w="1315" w:type="dxa"/>
            <w:vMerge w:val="continue"/>
            <w:tcBorders>
              <w:right w:val="single" w:color="auto" w:sz="4" w:space="0"/>
            </w:tcBorders>
            <w:noWrap w:val="0"/>
            <w:vAlign w:val="center"/>
          </w:tcPr>
          <w:p w14:paraId="20EE7D0D">
            <w:pPr>
              <w:spacing w:line="400" w:lineRule="exact"/>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21745210">
            <w:pPr>
              <w:widowControl/>
              <w:spacing w:before="100" w:beforeAutospacing="1" w:after="100" w:afterAutospacing="1" w:line="400" w:lineRule="atLeast"/>
              <w:jc w:val="center"/>
              <w:rPr>
                <w:rFonts w:cs="楷体"/>
                <w:color w:val="auto"/>
                <w:kern w:val="0"/>
                <w:szCs w:val="21"/>
                <w:highlight w:val="none"/>
              </w:rPr>
            </w:pPr>
            <w:r>
              <w:rPr>
                <w:rFonts w:hint="eastAsia" w:cs="楷体"/>
                <w:color w:val="auto"/>
                <w:spacing w:val="-7"/>
                <w:highlight w:val="none"/>
              </w:rPr>
              <w:t>备选投标方案</w:t>
            </w:r>
          </w:p>
        </w:tc>
        <w:tc>
          <w:tcPr>
            <w:tcW w:w="5570" w:type="dxa"/>
            <w:tcBorders>
              <w:top w:val="single" w:color="auto" w:sz="4" w:space="0"/>
              <w:left w:val="single" w:color="auto" w:sz="4" w:space="0"/>
              <w:bottom w:val="single" w:color="auto" w:sz="4" w:space="0"/>
            </w:tcBorders>
            <w:noWrap w:val="0"/>
            <w:vAlign w:val="center"/>
          </w:tcPr>
          <w:p w14:paraId="0D8DD894">
            <w:pPr>
              <w:widowControl/>
              <w:spacing w:before="100" w:beforeAutospacing="1" w:after="100" w:afterAutospacing="1"/>
              <w:jc w:val="left"/>
              <w:rPr>
                <w:rFonts w:cs="楷体"/>
                <w:color w:val="auto"/>
                <w:kern w:val="0"/>
                <w:szCs w:val="21"/>
                <w:highlight w:val="none"/>
              </w:rPr>
            </w:pPr>
            <w:r>
              <w:rPr>
                <w:rFonts w:hint="eastAsia" w:cs="楷体"/>
                <w:color w:val="auto"/>
                <w:kern w:val="0"/>
                <w:szCs w:val="21"/>
                <w:highlight w:val="none"/>
                <w:u w:val="single"/>
              </w:rPr>
              <w:t>不接受备选投标方案</w:t>
            </w:r>
            <w:r>
              <w:rPr>
                <w:rFonts w:hint="eastAsia"/>
                <w:color w:val="auto"/>
                <w:highlight w:val="none"/>
              </w:rPr>
              <w:t>；</w:t>
            </w:r>
          </w:p>
        </w:tc>
      </w:tr>
      <w:tr w14:paraId="001522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top w:val="nil"/>
              <w:bottom w:val="single" w:color="auto" w:sz="4" w:space="0"/>
              <w:right w:val="single" w:color="auto" w:sz="4" w:space="0"/>
            </w:tcBorders>
            <w:noWrap w:val="0"/>
            <w:vAlign w:val="center"/>
          </w:tcPr>
          <w:p w14:paraId="6A818AA5">
            <w:pPr>
              <w:spacing w:line="400" w:lineRule="exact"/>
              <w:rPr>
                <w:color w:val="auto"/>
                <w:highlight w:val="none"/>
              </w:rPr>
            </w:pPr>
          </w:p>
        </w:tc>
        <w:tc>
          <w:tcPr>
            <w:tcW w:w="1315" w:type="dxa"/>
            <w:vMerge w:val="continue"/>
            <w:tcBorders>
              <w:right w:val="single" w:color="auto" w:sz="4" w:space="0"/>
            </w:tcBorders>
            <w:noWrap w:val="0"/>
            <w:vAlign w:val="center"/>
          </w:tcPr>
          <w:p w14:paraId="3C712A0B">
            <w:pPr>
              <w:spacing w:line="400" w:lineRule="exact"/>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78676338">
            <w:pPr>
              <w:widowControl/>
              <w:spacing w:before="100" w:beforeAutospacing="1" w:after="100" w:afterAutospacing="1" w:line="400" w:lineRule="atLeast"/>
              <w:jc w:val="center"/>
              <w:rPr>
                <w:rFonts w:cs="楷体"/>
                <w:color w:val="auto"/>
                <w:kern w:val="0"/>
                <w:szCs w:val="21"/>
                <w:highlight w:val="none"/>
              </w:rPr>
            </w:pPr>
            <w:r>
              <w:rPr>
                <w:rFonts w:hint="eastAsia" w:cs="楷体"/>
                <w:color w:val="auto"/>
                <w:kern w:val="0"/>
                <w:szCs w:val="21"/>
                <w:highlight w:val="none"/>
              </w:rPr>
              <w:t>联合体投标人</w:t>
            </w:r>
          </w:p>
        </w:tc>
        <w:tc>
          <w:tcPr>
            <w:tcW w:w="5570" w:type="dxa"/>
            <w:tcBorders>
              <w:top w:val="single" w:color="auto" w:sz="4" w:space="0"/>
              <w:left w:val="single" w:color="auto" w:sz="4" w:space="0"/>
              <w:bottom w:val="single" w:color="auto" w:sz="4" w:space="0"/>
            </w:tcBorders>
            <w:noWrap w:val="0"/>
            <w:vAlign w:val="center"/>
          </w:tcPr>
          <w:p w14:paraId="65009D3F">
            <w:pPr>
              <w:widowControl/>
              <w:spacing w:before="100" w:beforeAutospacing="1" w:after="100" w:afterAutospacing="1" w:line="400" w:lineRule="atLeast"/>
              <w:jc w:val="left"/>
              <w:rPr>
                <w:rFonts w:hint="eastAsia" w:cs="楷体"/>
                <w:color w:val="auto"/>
                <w:kern w:val="0"/>
                <w:szCs w:val="21"/>
                <w:highlight w:val="none"/>
              </w:rPr>
            </w:pPr>
            <w:r>
              <w:rPr>
                <w:rFonts w:hint="eastAsia" w:cs="楷体"/>
                <w:color w:val="auto"/>
                <w:highlight w:val="none"/>
                <w:u w:val="single"/>
              </w:rPr>
              <w:t>本项目接受联合体投标；</w:t>
            </w:r>
          </w:p>
        </w:tc>
      </w:tr>
      <w:tr w14:paraId="7DDDB1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812" w:type="dxa"/>
            <w:vMerge w:val="continue"/>
            <w:tcBorders>
              <w:top w:val="nil"/>
              <w:bottom w:val="single" w:color="auto" w:sz="4" w:space="0"/>
              <w:right w:val="single" w:color="auto" w:sz="4" w:space="0"/>
            </w:tcBorders>
            <w:noWrap w:val="0"/>
            <w:vAlign w:val="center"/>
          </w:tcPr>
          <w:p w14:paraId="40804D2E">
            <w:pPr>
              <w:spacing w:line="400" w:lineRule="exact"/>
              <w:rPr>
                <w:color w:val="auto"/>
                <w:highlight w:val="none"/>
              </w:rPr>
            </w:pPr>
          </w:p>
        </w:tc>
        <w:tc>
          <w:tcPr>
            <w:tcW w:w="1315" w:type="dxa"/>
            <w:vMerge w:val="continue"/>
            <w:tcBorders>
              <w:right w:val="single" w:color="auto" w:sz="4" w:space="0"/>
            </w:tcBorders>
            <w:noWrap w:val="0"/>
            <w:vAlign w:val="center"/>
          </w:tcPr>
          <w:p w14:paraId="4989501F">
            <w:pPr>
              <w:spacing w:line="400" w:lineRule="exact"/>
              <w:rPr>
                <w:color w:val="auto"/>
                <w:highlight w:val="none"/>
              </w:rPr>
            </w:pPr>
          </w:p>
        </w:tc>
        <w:tc>
          <w:tcPr>
            <w:tcW w:w="1659" w:type="dxa"/>
            <w:tcBorders>
              <w:top w:val="single" w:color="auto" w:sz="4" w:space="0"/>
              <w:left w:val="single" w:color="auto" w:sz="4" w:space="0"/>
              <w:right w:val="single" w:color="auto" w:sz="4" w:space="0"/>
            </w:tcBorders>
            <w:noWrap w:val="0"/>
            <w:vAlign w:val="center"/>
          </w:tcPr>
          <w:p w14:paraId="4AD49484">
            <w:pPr>
              <w:spacing w:line="400" w:lineRule="exact"/>
              <w:jc w:val="center"/>
              <w:rPr>
                <w:color w:val="auto"/>
                <w:highlight w:val="none"/>
              </w:rPr>
            </w:pPr>
            <w:r>
              <w:rPr>
                <w:rFonts w:hint="eastAsia"/>
                <w:color w:val="auto"/>
                <w:highlight w:val="none"/>
              </w:rPr>
              <w:t>投标人机器码</w:t>
            </w:r>
          </w:p>
        </w:tc>
        <w:tc>
          <w:tcPr>
            <w:tcW w:w="5570" w:type="dxa"/>
            <w:tcBorders>
              <w:top w:val="single" w:color="auto" w:sz="4" w:space="0"/>
              <w:left w:val="single" w:color="auto" w:sz="4" w:space="0"/>
            </w:tcBorders>
            <w:noWrap w:val="0"/>
            <w:vAlign w:val="center"/>
          </w:tcPr>
          <w:p w14:paraId="6BB6E47D">
            <w:pPr>
              <w:spacing w:line="400" w:lineRule="exact"/>
              <w:rPr>
                <w:color w:val="auto"/>
                <w:highlight w:val="none"/>
              </w:rPr>
            </w:pPr>
            <w:r>
              <w:rPr>
                <w:rFonts w:hint="eastAsia"/>
                <w:color w:val="auto"/>
                <w:highlight w:val="none"/>
              </w:rPr>
              <w:t>投标人与其他投标人加密打包投标文件电脑机器特征码一致的(以</w:t>
            </w:r>
            <w:r>
              <w:rPr>
                <w:rFonts w:hint="eastAsia" w:ascii="宋体" w:hAnsi="宋体" w:cs="宋体"/>
                <w:color w:val="auto"/>
                <w:szCs w:val="21"/>
                <w:highlight w:val="none"/>
              </w:rPr>
              <w:t>广州交易集团有限公司（广州公共资源交易中心）</w:t>
            </w:r>
            <w:r>
              <w:rPr>
                <w:rFonts w:hint="eastAsia"/>
                <w:color w:val="auto"/>
                <w:highlight w:val="none"/>
              </w:rPr>
              <w:t>评标系统的检索信息为准)将被否决。</w:t>
            </w:r>
          </w:p>
        </w:tc>
      </w:tr>
      <w:tr w14:paraId="259F6B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restart"/>
            <w:tcBorders>
              <w:top w:val="single" w:color="auto" w:sz="4" w:space="0"/>
              <w:right w:val="single" w:color="auto" w:sz="4" w:space="0"/>
            </w:tcBorders>
            <w:noWrap w:val="0"/>
            <w:vAlign w:val="center"/>
          </w:tcPr>
          <w:p w14:paraId="1687F600">
            <w:pPr>
              <w:spacing w:line="400" w:lineRule="exact"/>
              <w:jc w:val="center"/>
              <w:rPr>
                <w:color w:val="auto"/>
                <w:highlight w:val="none"/>
              </w:rPr>
            </w:pPr>
            <w:bookmarkStart w:id="382" w:name="OLE_LINK1"/>
            <w:r>
              <w:rPr>
                <w:color w:val="auto"/>
                <w:highlight w:val="none"/>
              </w:rPr>
              <w:t>2.1.2</w:t>
            </w:r>
            <w:bookmarkEnd w:id="382"/>
          </w:p>
        </w:tc>
        <w:tc>
          <w:tcPr>
            <w:tcW w:w="1315" w:type="dxa"/>
            <w:vMerge w:val="restart"/>
            <w:tcBorders>
              <w:top w:val="single" w:color="auto" w:sz="4" w:space="0"/>
              <w:left w:val="single" w:color="auto" w:sz="4" w:space="0"/>
              <w:right w:val="single" w:color="auto" w:sz="4" w:space="0"/>
            </w:tcBorders>
            <w:noWrap w:val="0"/>
            <w:vAlign w:val="center"/>
          </w:tcPr>
          <w:p w14:paraId="7B0B0066">
            <w:pPr>
              <w:spacing w:line="400" w:lineRule="exact"/>
              <w:jc w:val="center"/>
              <w:rPr>
                <w:color w:val="auto"/>
                <w:highlight w:val="none"/>
              </w:rPr>
            </w:pPr>
            <w:r>
              <w:rPr>
                <w:rFonts w:hint="eastAsia" w:cs="楷体"/>
                <w:color w:val="auto"/>
                <w:kern w:val="0"/>
                <w:szCs w:val="21"/>
                <w:highlight w:val="none"/>
              </w:rPr>
              <w:t>资格评审标准</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E691888">
            <w:pPr>
              <w:widowControl/>
              <w:spacing w:before="100" w:beforeAutospacing="1" w:after="100" w:afterAutospacing="1"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highlight w:val="none"/>
              </w:rPr>
              <w:t>营业执照和组织机构代码证</w:t>
            </w:r>
          </w:p>
        </w:tc>
        <w:tc>
          <w:tcPr>
            <w:tcW w:w="5570" w:type="dxa"/>
            <w:tcBorders>
              <w:top w:val="single" w:color="auto" w:sz="4" w:space="0"/>
              <w:left w:val="single" w:color="auto" w:sz="4" w:space="0"/>
              <w:bottom w:val="single" w:color="auto" w:sz="4" w:space="0"/>
            </w:tcBorders>
            <w:noWrap w:val="0"/>
            <w:vAlign w:val="center"/>
          </w:tcPr>
          <w:p w14:paraId="6C42D26C">
            <w:pPr>
              <w:widowControl/>
              <w:spacing w:before="100" w:beforeAutospacing="1" w:after="100" w:afterAutospacing="1" w:line="360" w:lineRule="auto"/>
              <w:ind w:left="-4" w:leftChars="-2" w:right="71" w:rightChars="34"/>
              <w:rPr>
                <w:rFonts w:hint="eastAsia" w:ascii="宋体" w:hAnsi="宋体" w:eastAsia="宋体" w:cs="宋体"/>
                <w:color w:val="auto"/>
                <w:kern w:val="0"/>
                <w:szCs w:val="21"/>
                <w:highlight w:val="none"/>
              </w:rPr>
            </w:pPr>
            <w:r>
              <w:rPr>
                <w:rFonts w:hint="eastAsia" w:ascii="宋体" w:hAnsi="宋体" w:eastAsia="宋体" w:cs="宋体"/>
                <w:color w:val="auto"/>
                <w:highlight w:val="none"/>
              </w:rPr>
              <w:t>符合第二章“投标人须知”第3.5.1项规定；</w:t>
            </w:r>
          </w:p>
        </w:tc>
      </w:tr>
      <w:tr w14:paraId="5BADC3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noWrap w:val="0"/>
            <w:vAlign w:val="center"/>
          </w:tcPr>
          <w:p w14:paraId="259F3192">
            <w:pPr>
              <w:spacing w:line="400" w:lineRule="exact"/>
              <w:jc w:val="center"/>
              <w:rPr>
                <w:color w:val="auto"/>
                <w:highlight w:val="none"/>
              </w:rPr>
            </w:pPr>
          </w:p>
        </w:tc>
        <w:tc>
          <w:tcPr>
            <w:tcW w:w="1315" w:type="dxa"/>
            <w:vMerge w:val="continue"/>
            <w:tcBorders>
              <w:left w:val="single" w:color="auto" w:sz="4" w:space="0"/>
              <w:right w:val="single" w:color="auto" w:sz="4" w:space="0"/>
            </w:tcBorders>
            <w:noWrap w:val="0"/>
            <w:vAlign w:val="center"/>
          </w:tcPr>
          <w:p w14:paraId="5DE0D784">
            <w:pPr>
              <w:spacing w:line="400" w:lineRule="exact"/>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60DA566B">
            <w:pPr>
              <w:widowControl/>
              <w:spacing w:before="100" w:beforeAutospacing="1" w:after="100" w:afterAutospacing="1"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highlight w:val="none"/>
              </w:rPr>
              <w:t>资质要求</w:t>
            </w:r>
          </w:p>
        </w:tc>
        <w:tc>
          <w:tcPr>
            <w:tcW w:w="5570" w:type="dxa"/>
            <w:tcBorders>
              <w:top w:val="single" w:color="auto" w:sz="4" w:space="0"/>
              <w:left w:val="single" w:color="auto" w:sz="4" w:space="0"/>
              <w:bottom w:val="single" w:color="auto" w:sz="4" w:space="0"/>
            </w:tcBorders>
            <w:noWrap w:val="0"/>
            <w:vAlign w:val="center"/>
          </w:tcPr>
          <w:p w14:paraId="5EE8D683">
            <w:pPr>
              <w:widowControl/>
              <w:spacing w:before="100" w:beforeAutospacing="1" w:after="100" w:afterAutospacing="1" w:line="360" w:lineRule="auto"/>
              <w:rPr>
                <w:rFonts w:hint="eastAsia" w:ascii="宋体" w:hAnsi="宋体" w:eastAsia="宋体" w:cs="宋体"/>
                <w:color w:val="auto"/>
                <w:kern w:val="0"/>
                <w:szCs w:val="21"/>
                <w:highlight w:val="none"/>
              </w:rPr>
            </w:pPr>
            <w:r>
              <w:rPr>
                <w:rFonts w:hint="eastAsia" w:ascii="宋体" w:hAnsi="宋体" w:eastAsia="宋体" w:cs="宋体"/>
                <w:color w:val="auto"/>
                <w:highlight w:val="none"/>
              </w:rPr>
              <w:t>符合第二章“投标人须知”第1.4.1项规定；</w:t>
            </w:r>
          </w:p>
        </w:tc>
      </w:tr>
      <w:tr w14:paraId="205E45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noWrap w:val="0"/>
            <w:vAlign w:val="center"/>
          </w:tcPr>
          <w:p w14:paraId="0FA94ED5">
            <w:pPr>
              <w:spacing w:line="400" w:lineRule="exact"/>
              <w:jc w:val="center"/>
              <w:rPr>
                <w:color w:val="auto"/>
                <w:highlight w:val="none"/>
              </w:rPr>
            </w:pPr>
          </w:p>
        </w:tc>
        <w:tc>
          <w:tcPr>
            <w:tcW w:w="1315" w:type="dxa"/>
            <w:vMerge w:val="continue"/>
            <w:tcBorders>
              <w:left w:val="single" w:color="auto" w:sz="4" w:space="0"/>
              <w:right w:val="single" w:color="auto" w:sz="4" w:space="0"/>
            </w:tcBorders>
            <w:noWrap w:val="0"/>
            <w:vAlign w:val="center"/>
          </w:tcPr>
          <w:p w14:paraId="609FE272">
            <w:pPr>
              <w:spacing w:line="400" w:lineRule="exact"/>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0F70DE6A">
            <w:pPr>
              <w:widowControl/>
              <w:spacing w:before="100" w:beforeAutospacing="1" w:after="100" w:afterAutospacing="1"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highlight w:val="none"/>
              </w:rPr>
              <w:t>项目负责人</w:t>
            </w:r>
          </w:p>
        </w:tc>
        <w:tc>
          <w:tcPr>
            <w:tcW w:w="5570" w:type="dxa"/>
            <w:tcBorders>
              <w:top w:val="single" w:color="auto" w:sz="4" w:space="0"/>
              <w:left w:val="single" w:color="auto" w:sz="4" w:space="0"/>
              <w:bottom w:val="single" w:color="auto" w:sz="4" w:space="0"/>
            </w:tcBorders>
            <w:noWrap w:val="0"/>
            <w:vAlign w:val="center"/>
          </w:tcPr>
          <w:p w14:paraId="625F3C6D">
            <w:pPr>
              <w:widowControl/>
              <w:spacing w:before="100" w:beforeAutospacing="1" w:after="100" w:afterAutospacing="1" w:line="360" w:lineRule="auto"/>
              <w:rPr>
                <w:rFonts w:hint="eastAsia" w:ascii="宋体" w:hAnsi="宋体" w:eastAsia="宋体" w:cs="宋体"/>
                <w:color w:val="auto"/>
                <w:kern w:val="0"/>
                <w:szCs w:val="21"/>
                <w:highlight w:val="none"/>
              </w:rPr>
            </w:pPr>
            <w:r>
              <w:rPr>
                <w:rFonts w:hint="eastAsia" w:ascii="宋体" w:hAnsi="宋体" w:eastAsia="宋体" w:cs="宋体"/>
                <w:color w:val="auto"/>
                <w:highlight w:val="none"/>
              </w:rPr>
              <w:t>符合第二章“投标人须知”第1.4.1项规定；</w:t>
            </w:r>
          </w:p>
        </w:tc>
      </w:tr>
      <w:tr w14:paraId="3D580F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noWrap w:val="0"/>
            <w:vAlign w:val="center"/>
          </w:tcPr>
          <w:p w14:paraId="26A230F3">
            <w:pPr>
              <w:spacing w:line="400" w:lineRule="exact"/>
              <w:jc w:val="center"/>
              <w:rPr>
                <w:color w:val="auto"/>
                <w:highlight w:val="none"/>
              </w:rPr>
            </w:pPr>
          </w:p>
        </w:tc>
        <w:tc>
          <w:tcPr>
            <w:tcW w:w="1315" w:type="dxa"/>
            <w:vMerge w:val="continue"/>
            <w:tcBorders>
              <w:left w:val="single" w:color="auto" w:sz="4" w:space="0"/>
              <w:right w:val="single" w:color="auto" w:sz="4" w:space="0"/>
            </w:tcBorders>
            <w:noWrap w:val="0"/>
            <w:vAlign w:val="center"/>
          </w:tcPr>
          <w:p w14:paraId="71F9C829">
            <w:pPr>
              <w:spacing w:line="400" w:lineRule="exact"/>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72D69C6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CMA计量认证要求</w:t>
            </w:r>
          </w:p>
        </w:tc>
        <w:tc>
          <w:tcPr>
            <w:tcW w:w="5570" w:type="dxa"/>
            <w:tcBorders>
              <w:top w:val="single" w:color="auto" w:sz="4" w:space="0"/>
              <w:left w:val="single" w:color="auto" w:sz="4" w:space="0"/>
              <w:bottom w:val="single" w:color="auto" w:sz="4" w:space="0"/>
            </w:tcBorders>
            <w:noWrap w:val="0"/>
            <w:vAlign w:val="center"/>
          </w:tcPr>
          <w:p w14:paraId="73339F1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符合第二章“投标人须知”第1.4.1项规定；</w:t>
            </w:r>
          </w:p>
        </w:tc>
      </w:tr>
      <w:tr w14:paraId="4EF116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noWrap w:val="0"/>
            <w:vAlign w:val="center"/>
          </w:tcPr>
          <w:p w14:paraId="46E5ECBD">
            <w:pPr>
              <w:spacing w:line="400" w:lineRule="exact"/>
              <w:jc w:val="center"/>
              <w:rPr>
                <w:color w:val="auto"/>
                <w:highlight w:val="none"/>
              </w:rPr>
            </w:pPr>
          </w:p>
        </w:tc>
        <w:tc>
          <w:tcPr>
            <w:tcW w:w="1315" w:type="dxa"/>
            <w:vMerge w:val="continue"/>
            <w:tcBorders>
              <w:left w:val="single" w:color="auto" w:sz="4" w:space="0"/>
              <w:right w:val="single" w:color="auto" w:sz="4" w:space="0"/>
            </w:tcBorders>
            <w:noWrap w:val="0"/>
            <w:vAlign w:val="center"/>
          </w:tcPr>
          <w:p w14:paraId="0B9A67B1">
            <w:pPr>
              <w:spacing w:line="400" w:lineRule="exact"/>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79814EEA">
            <w:pPr>
              <w:widowControl/>
              <w:spacing w:before="100" w:beforeAutospacing="1" w:after="100" w:afterAutospacing="1"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highlight w:val="none"/>
              </w:rPr>
              <w:t>其他要求</w:t>
            </w:r>
          </w:p>
        </w:tc>
        <w:tc>
          <w:tcPr>
            <w:tcW w:w="5570" w:type="dxa"/>
            <w:tcBorders>
              <w:top w:val="single" w:color="auto" w:sz="4" w:space="0"/>
              <w:left w:val="single" w:color="auto" w:sz="4" w:space="0"/>
              <w:bottom w:val="single" w:color="auto" w:sz="4" w:space="0"/>
            </w:tcBorders>
            <w:noWrap w:val="0"/>
            <w:vAlign w:val="center"/>
          </w:tcPr>
          <w:p w14:paraId="24298D4E">
            <w:pPr>
              <w:widowControl/>
              <w:spacing w:before="100" w:beforeAutospacing="1" w:after="100" w:afterAutospacing="1" w:line="360" w:lineRule="auto"/>
              <w:rPr>
                <w:rFonts w:hint="eastAsia" w:ascii="宋体" w:hAnsi="宋体" w:eastAsia="宋体" w:cs="宋体"/>
                <w:color w:val="auto"/>
                <w:kern w:val="0"/>
                <w:szCs w:val="21"/>
                <w:highlight w:val="none"/>
              </w:rPr>
            </w:pPr>
            <w:r>
              <w:rPr>
                <w:rFonts w:hint="eastAsia" w:ascii="宋体" w:hAnsi="宋体" w:eastAsia="宋体" w:cs="宋体"/>
                <w:color w:val="auto"/>
                <w:highlight w:val="none"/>
              </w:rPr>
              <w:t>符合第二章“投标人须知”第1.4.1项规定；</w:t>
            </w:r>
          </w:p>
        </w:tc>
      </w:tr>
      <w:tr w14:paraId="617C41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noWrap w:val="0"/>
            <w:vAlign w:val="center"/>
          </w:tcPr>
          <w:p w14:paraId="4BC79343">
            <w:pPr>
              <w:spacing w:line="400" w:lineRule="exact"/>
              <w:jc w:val="center"/>
              <w:rPr>
                <w:color w:val="auto"/>
                <w:highlight w:val="none"/>
              </w:rPr>
            </w:pPr>
          </w:p>
        </w:tc>
        <w:tc>
          <w:tcPr>
            <w:tcW w:w="1315" w:type="dxa"/>
            <w:vMerge w:val="continue"/>
            <w:tcBorders>
              <w:left w:val="single" w:color="auto" w:sz="4" w:space="0"/>
              <w:right w:val="single" w:color="auto" w:sz="4" w:space="0"/>
            </w:tcBorders>
            <w:noWrap w:val="0"/>
            <w:vAlign w:val="center"/>
          </w:tcPr>
          <w:p w14:paraId="1BD7EA1C">
            <w:pPr>
              <w:spacing w:line="400" w:lineRule="exact"/>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29103580">
            <w:pPr>
              <w:widowControl/>
              <w:spacing w:before="100" w:beforeAutospacing="1" w:after="100" w:afterAutospacing="1" w:line="360" w:lineRule="auto"/>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联合体投标人</w:t>
            </w:r>
          </w:p>
        </w:tc>
        <w:tc>
          <w:tcPr>
            <w:tcW w:w="5570" w:type="dxa"/>
            <w:tcBorders>
              <w:top w:val="single" w:color="auto" w:sz="4" w:space="0"/>
              <w:left w:val="single" w:color="auto" w:sz="4" w:space="0"/>
              <w:bottom w:val="single" w:color="auto" w:sz="4" w:space="0"/>
            </w:tcBorders>
            <w:noWrap w:val="0"/>
            <w:vAlign w:val="center"/>
          </w:tcPr>
          <w:p w14:paraId="33A079FD">
            <w:pPr>
              <w:widowControl/>
              <w:spacing w:before="100" w:beforeAutospacing="1" w:after="100" w:afterAutospacing="1" w:line="360" w:lineRule="auto"/>
              <w:rPr>
                <w:rFonts w:hint="eastAsia" w:ascii="宋体" w:hAnsi="宋体" w:eastAsia="宋体" w:cs="宋体"/>
                <w:color w:val="auto"/>
                <w:highlight w:val="none"/>
              </w:rPr>
            </w:pPr>
            <w:r>
              <w:rPr>
                <w:rFonts w:hint="eastAsia" w:ascii="宋体" w:hAnsi="宋体" w:eastAsia="宋体" w:cs="宋体"/>
                <w:color w:val="auto"/>
                <w:szCs w:val="21"/>
                <w:highlight w:val="none"/>
              </w:rPr>
              <w:t>符合第二章“投标人须知”第 1.4.2 项规定</w:t>
            </w:r>
          </w:p>
        </w:tc>
      </w:tr>
      <w:tr w14:paraId="7CE91B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bottom w:val="single" w:color="auto" w:sz="4" w:space="0"/>
              <w:right w:val="single" w:color="auto" w:sz="4" w:space="0"/>
            </w:tcBorders>
            <w:noWrap w:val="0"/>
            <w:vAlign w:val="center"/>
          </w:tcPr>
          <w:p w14:paraId="36D5796A">
            <w:pPr>
              <w:spacing w:line="400" w:lineRule="exact"/>
              <w:jc w:val="center"/>
              <w:rPr>
                <w:color w:val="auto"/>
                <w:highlight w:val="none"/>
              </w:rPr>
            </w:pPr>
          </w:p>
        </w:tc>
        <w:tc>
          <w:tcPr>
            <w:tcW w:w="1315" w:type="dxa"/>
            <w:vMerge w:val="continue"/>
            <w:tcBorders>
              <w:left w:val="single" w:color="auto" w:sz="4" w:space="0"/>
              <w:bottom w:val="single" w:color="auto" w:sz="4" w:space="0"/>
              <w:right w:val="single" w:color="auto" w:sz="4" w:space="0"/>
            </w:tcBorders>
            <w:noWrap w:val="0"/>
            <w:vAlign w:val="center"/>
          </w:tcPr>
          <w:p w14:paraId="6DCA159C">
            <w:pPr>
              <w:spacing w:line="400" w:lineRule="exact"/>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2B975E6D">
            <w:pPr>
              <w:widowControl/>
              <w:spacing w:before="100" w:beforeAutospacing="1" w:after="100" w:afterAutospacing="1"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highlight w:val="none"/>
              </w:rPr>
              <w:t>不存在禁止投标的情形</w:t>
            </w:r>
          </w:p>
        </w:tc>
        <w:tc>
          <w:tcPr>
            <w:tcW w:w="5570" w:type="dxa"/>
            <w:tcBorders>
              <w:top w:val="single" w:color="auto" w:sz="4" w:space="0"/>
              <w:left w:val="single" w:color="auto" w:sz="4" w:space="0"/>
              <w:bottom w:val="single" w:color="auto" w:sz="4" w:space="0"/>
            </w:tcBorders>
            <w:noWrap w:val="0"/>
            <w:vAlign w:val="center"/>
          </w:tcPr>
          <w:p w14:paraId="2C4769EB">
            <w:pPr>
              <w:rPr>
                <w:rFonts w:hint="eastAsia" w:ascii="宋体" w:hAnsi="宋体" w:eastAsia="宋体" w:cs="宋体"/>
                <w:color w:val="auto"/>
                <w:kern w:val="0"/>
                <w:szCs w:val="21"/>
                <w:highlight w:val="none"/>
              </w:rPr>
            </w:pPr>
            <w:r>
              <w:rPr>
                <w:rFonts w:hint="eastAsia" w:ascii="宋体" w:hAnsi="宋体" w:eastAsia="宋体" w:cs="宋体"/>
                <w:color w:val="auto"/>
                <w:highlight w:val="none"/>
              </w:rPr>
              <w:t>不存在第二章“投标人须知”第1.4.3项规定的任何一种情形。</w:t>
            </w:r>
            <w:r>
              <w:rPr>
                <w:rFonts w:hint="eastAsia" w:ascii="宋体" w:hAnsi="宋体" w:eastAsia="宋体" w:cs="宋体"/>
                <w:color w:val="auto"/>
                <w:szCs w:val="21"/>
                <w:highlight w:val="none"/>
              </w:rPr>
              <w:t>（以《投标人声明》为准）</w:t>
            </w:r>
          </w:p>
        </w:tc>
      </w:tr>
      <w:tr w14:paraId="07ADD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1" w:hRule="atLeast"/>
        </w:trPr>
        <w:tc>
          <w:tcPr>
            <w:tcW w:w="812" w:type="dxa"/>
            <w:vMerge w:val="restart"/>
            <w:tcBorders>
              <w:top w:val="single" w:color="auto" w:sz="4" w:space="0"/>
              <w:right w:val="single" w:color="auto" w:sz="4" w:space="0"/>
            </w:tcBorders>
            <w:noWrap w:val="0"/>
            <w:vAlign w:val="center"/>
          </w:tcPr>
          <w:p w14:paraId="4ACB1C84">
            <w:pPr>
              <w:spacing w:line="400" w:lineRule="exact"/>
              <w:jc w:val="center"/>
              <w:rPr>
                <w:color w:val="auto"/>
                <w:highlight w:val="none"/>
              </w:rPr>
            </w:pPr>
            <w:r>
              <w:rPr>
                <w:color w:val="auto"/>
                <w:highlight w:val="none"/>
              </w:rPr>
              <w:t>2.1.3</w:t>
            </w:r>
          </w:p>
        </w:tc>
        <w:tc>
          <w:tcPr>
            <w:tcW w:w="1315" w:type="dxa"/>
            <w:vMerge w:val="restart"/>
            <w:tcBorders>
              <w:top w:val="single" w:color="auto" w:sz="4" w:space="0"/>
              <w:left w:val="single" w:color="auto" w:sz="4" w:space="0"/>
              <w:right w:val="single" w:color="auto" w:sz="4" w:space="0"/>
            </w:tcBorders>
            <w:noWrap w:val="0"/>
            <w:vAlign w:val="center"/>
          </w:tcPr>
          <w:p w14:paraId="115054C1">
            <w:pPr>
              <w:spacing w:line="400" w:lineRule="exact"/>
              <w:jc w:val="center"/>
              <w:rPr>
                <w:color w:val="auto"/>
                <w:highlight w:val="none"/>
              </w:rPr>
            </w:pPr>
            <w:bookmarkStart w:id="383" w:name="OLE_LINK2"/>
            <w:r>
              <w:rPr>
                <w:rFonts w:hint="eastAsia"/>
                <w:color w:val="auto"/>
                <w:highlight w:val="none"/>
              </w:rPr>
              <w:t>响应性评审标准</w:t>
            </w:r>
            <w:bookmarkEnd w:id="383"/>
          </w:p>
        </w:tc>
        <w:tc>
          <w:tcPr>
            <w:tcW w:w="1659" w:type="dxa"/>
            <w:tcBorders>
              <w:top w:val="single" w:color="auto" w:sz="4" w:space="0"/>
              <w:left w:val="single" w:color="auto" w:sz="4" w:space="0"/>
              <w:right w:val="single" w:color="auto" w:sz="4" w:space="0"/>
            </w:tcBorders>
            <w:noWrap w:val="0"/>
            <w:vAlign w:val="center"/>
          </w:tcPr>
          <w:p w14:paraId="5868DBD9">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投标报价</w:t>
            </w:r>
          </w:p>
        </w:tc>
        <w:tc>
          <w:tcPr>
            <w:tcW w:w="5570" w:type="dxa"/>
            <w:tcBorders>
              <w:top w:val="single" w:color="auto" w:sz="4" w:space="0"/>
              <w:left w:val="single" w:color="auto" w:sz="4" w:space="0"/>
              <w:bottom w:val="single" w:color="auto" w:sz="4" w:space="0"/>
            </w:tcBorders>
            <w:noWrap w:val="0"/>
            <w:vAlign w:val="center"/>
          </w:tcPr>
          <w:p w14:paraId="619D3EC0">
            <w:pPr>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符合第二章“投标人须知”第3.2款规定</w:t>
            </w:r>
            <w:r>
              <w:rPr>
                <w:rFonts w:hint="eastAsia" w:ascii="宋体" w:hAnsi="宋体" w:eastAsia="宋体" w:cs="宋体"/>
                <w:color w:val="auto"/>
                <w:highlight w:val="none"/>
                <w:u w:val="single"/>
              </w:rPr>
              <w:t>，</w:t>
            </w:r>
            <w:r>
              <w:rPr>
                <w:rFonts w:hint="eastAsia" w:ascii="宋体" w:hAnsi="宋体" w:eastAsia="宋体" w:cs="宋体"/>
                <w:color w:val="auto"/>
                <w:szCs w:val="21"/>
                <w:highlight w:val="none"/>
                <w:u w:val="single"/>
              </w:rPr>
              <w:t>对同一招标项目没有出现两个或以上的投标报价，且修正无依据；</w:t>
            </w:r>
          </w:p>
        </w:tc>
      </w:tr>
      <w:tr w14:paraId="796E2D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noWrap w:val="0"/>
            <w:vAlign w:val="center"/>
          </w:tcPr>
          <w:p w14:paraId="3D494370">
            <w:pPr>
              <w:spacing w:line="400" w:lineRule="exact"/>
              <w:jc w:val="center"/>
              <w:rPr>
                <w:color w:val="auto"/>
                <w:highlight w:val="none"/>
              </w:rPr>
            </w:pPr>
          </w:p>
        </w:tc>
        <w:tc>
          <w:tcPr>
            <w:tcW w:w="1315" w:type="dxa"/>
            <w:vMerge w:val="continue"/>
            <w:tcBorders>
              <w:left w:val="single" w:color="auto" w:sz="4" w:space="0"/>
              <w:right w:val="single" w:color="auto" w:sz="4" w:space="0"/>
            </w:tcBorders>
            <w:noWrap w:val="0"/>
            <w:vAlign w:val="center"/>
          </w:tcPr>
          <w:p w14:paraId="51329383">
            <w:pPr>
              <w:spacing w:line="400" w:lineRule="exact"/>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17704C70">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投标内容</w:t>
            </w:r>
          </w:p>
        </w:tc>
        <w:tc>
          <w:tcPr>
            <w:tcW w:w="5570" w:type="dxa"/>
            <w:tcBorders>
              <w:top w:val="single" w:color="auto" w:sz="4" w:space="0"/>
              <w:left w:val="single" w:color="auto" w:sz="4" w:space="0"/>
              <w:bottom w:val="single" w:color="auto" w:sz="4" w:space="0"/>
            </w:tcBorders>
            <w:noWrap w:val="0"/>
            <w:vAlign w:val="center"/>
          </w:tcPr>
          <w:p w14:paraId="25BE8270">
            <w:pPr>
              <w:spacing w:line="400" w:lineRule="exact"/>
              <w:rPr>
                <w:rFonts w:hint="eastAsia" w:ascii="宋体" w:hAnsi="宋体" w:eastAsia="宋体" w:cs="宋体"/>
                <w:color w:val="auto"/>
                <w:highlight w:val="none"/>
              </w:rPr>
            </w:pPr>
            <w:bookmarkStart w:id="384" w:name="OLE_LINK32"/>
            <w:r>
              <w:rPr>
                <w:rFonts w:hint="eastAsia" w:ascii="宋体" w:hAnsi="宋体" w:eastAsia="宋体" w:cs="宋体"/>
                <w:color w:val="auto"/>
                <w:highlight w:val="none"/>
              </w:rPr>
              <w:t>符合第二章“投标人须知”第1.3.1项规定；</w:t>
            </w:r>
            <w:bookmarkEnd w:id="384"/>
          </w:p>
        </w:tc>
      </w:tr>
      <w:tr w14:paraId="2ACC53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noWrap w:val="0"/>
            <w:vAlign w:val="center"/>
          </w:tcPr>
          <w:p w14:paraId="71D6A7B0">
            <w:pPr>
              <w:spacing w:line="400" w:lineRule="exact"/>
              <w:jc w:val="center"/>
              <w:rPr>
                <w:color w:val="auto"/>
                <w:highlight w:val="none"/>
              </w:rPr>
            </w:pPr>
          </w:p>
        </w:tc>
        <w:tc>
          <w:tcPr>
            <w:tcW w:w="1315" w:type="dxa"/>
            <w:vMerge w:val="continue"/>
            <w:tcBorders>
              <w:left w:val="single" w:color="auto" w:sz="4" w:space="0"/>
              <w:right w:val="single" w:color="auto" w:sz="4" w:space="0"/>
            </w:tcBorders>
            <w:noWrap w:val="0"/>
            <w:vAlign w:val="center"/>
          </w:tcPr>
          <w:p w14:paraId="3A8A4858">
            <w:pPr>
              <w:spacing w:line="400" w:lineRule="exact"/>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7E785902">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服务期限</w:t>
            </w:r>
          </w:p>
        </w:tc>
        <w:tc>
          <w:tcPr>
            <w:tcW w:w="5570" w:type="dxa"/>
            <w:tcBorders>
              <w:top w:val="single" w:color="auto" w:sz="4" w:space="0"/>
              <w:left w:val="single" w:color="auto" w:sz="4" w:space="0"/>
              <w:bottom w:val="single" w:color="auto" w:sz="4" w:space="0"/>
            </w:tcBorders>
            <w:noWrap w:val="0"/>
            <w:vAlign w:val="center"/>
          </w:tcPr>
          <w:p w14:paraId="58AE81D7">
            <w:pPr>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符合第二章“投标人须知”第1.3.2项规定；</w:t>
            </w:r>
          </w:p>
        </w:tc>
      </w:tr>
      <w:tr w14:paraId="286CF7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noWrap w:val="0"/>
            <w:vAlign w:val="center"/>
          </w:tcPr>
          <w:p w14:paraId="2F739FBA">
            <w:pPr>
              <w:spacing w:line="400" w:lineRule="exact"/>
              <w:jc w:val="center"/>
              <w:rPr>
                <w:color w:val="auto"/>
                <w:highlight w:val="none"/>
              </w:rPr>
            </w:pPr>
          </w:p>
        </w:tc>
        <w:tc>
          <w:tcPr>
            <w:tcW w:w="1315" w:type="dxa"/>
            <w:vMerge w:val="continue"/>
            <w:tcBorders>
              <w:left w:val="single" w:color="auto" w:sz="4" w:space="0"/>
              <w:right w:val="single" w:color="auto" w:sz="4" w:space="0"/>
            </w:tcBorders>
            <w:noWrap w:val="0"/>
            <w:vAlign w:val="center"/>
          </w:tcPr>
          <w:p w14:paraId="69EDC2DC">
            <w:pPr>
              <w:spacing w:line="400" w:lineRule="exact"/>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8B9DDA6">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质量标准</w:t>
            </w:r>
          </w:p>
        </w:tc>
        <w:tc>
          <w:tcPr>
            <w:tcW w:w="5570" w:type="dxa"/>
            <w:tcBorders>
              <w:top w:val="single" w:color="auto" w:sz="4" w:space="0"/>
              <w:left w:val="single" w:color="auto" w:sz="4" w:space="0"/>
              <w:bottom w:val="single" w:color="auto" w:sz="4" w:space="0"/>
            </w:tcBorders>
            <w:noWrap w:val="0"/>
            <w:vAlign w:val="center"/>
          </w:tcPr>
          <w:p w14:paraId="4F41263A">
            <w:pPr>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符合第二章“投标人须知”第1.3.3项规定；</w:t>
            </w:r>
          </w:p>
        </w:tc>
      </w:tr>
      <w:tr w14:paraId="45F708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noWrap w:val="0"/>
            <w:vAlign w:val="center"/>
          </w:tcPr>
          <w:p w14:paraId="11F112AE">
            <w:pPr>
              <w:spacing w:line="400" w:lineRule="exact"/>
              <w:rPr>
                <w:color w:val="auto"/>
                <w:highlight w:val="none"/>
              </w:rPr>
            </w:pPr>
          </w:p>
        </w:tc>
        <w:tc>
          <w:tcPr>
            <w:tcW w:w="1315" w:type="dxa"/>
            <w:vMerge w:val="continue"/>
            <w:tcBorders>
              <w:left w:val="single" w:color="auto" w:sz="4" w:space="0"/>
              <w:right w:val="single" w:color="auto" w:sz="4" w:space="0"/>
            </w:tcBorders>
            <w:noWrap w:val="0"/>
            <w:vAlign w:val="center"/>
          </w:tcPr>
          <w:p w14:paraId="1F22A75E">
            <w:pPr>
              <w:spacing w:line="400" w:lineRule="exact"/>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top"/>
          </w:tcPr>
          <w:p w14:paraId="311CBBCE">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5570" w:type="dxa"/>
            <w:tcBorders>
              <w:top w:val="single" w:color="auto" w:sz="4" w:space="0"/>
              <w:left w:val="single" w:color="auto" w:sz="4" w:space="0"/>
              <w:bottom w:val="single" w:color="auto" w:sz="4" w:space="0"/>
            </w:tcBorders>
            <w:noWrap w:val="0"/>
            <w:vAlign w:val="top"/>
          </w:tcPr>
          <w:p w14:paraId="3EE63D61">
            <w:pPr>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符合第二章“投标人须知”第3.3.1项规定；</w:t>
            </w:r>
          </w:p>
        </w:tc>
      </w:tr>
      <w:tr w14:paraId="4223D5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7" w:hRule="atLeast"/>
        </w:trPr>
        <w:tc>
          <w:tcPr>
            <w:tcW w:w="812" w:type="dxa"/>
            <w:vMerge w:val="continue"/>
            <w:tcBorders>
              <w:bottom w:val="single" w:color="auto" w:sz="4" w:space="0"/>
              <w:right w:val="single" w:color="auto" w:sz="4" w:space="0"/>
            </w:tcBorders>
            <w:noWrap w:val="0"/>
            <w:vAlign w:val="center"/>
          </w:tcPr>
          <w:p w14:paraId="275A32DE">
            <w:pPr>
              <w:spacing w:line="400" w:lineRule="exact"/>
              <w:rPr>
                <w:color w:val="auto"/>
                <w:highlight w:val="none"/>
              </w:rPr>
            </w:pPr>
          </w:p>
        </w:tc>
        <w:tc>
          <w:tcPr>
            <w:tcW w:w="1315" w:type="dxa"/>
            <w:vMerge w:val="continue"/>
            <w:tcBorders>
              <w:left w:val="single" w:color="auto" w:sz="4" w:space="0"/>
              <w:bottom w:val="single" w:color="auto" w:sz="4" w:space="0"/>
              <w:right w:val="single" w:color="auto" w:sz="4" w:space="0"/>
            </w:tcBorders>
            <w:noWrap w:val="0"/>
            <w:vAlign w:val="center"/>
          </w:tcPr>
          <w:p w14:paraId="7DDE53C7">
            <w:pPr>
              <w:spacing w:line="400" w:lineRule="exact"/>
              <w:rPr>
                <w:color w:val="auto"/>
                <w:highlight w:val="none"/>
              </w:rPr>
            </w:pPr>
          </w:p>
        </w:tc>
        <w:tc>
          <w:tcPr>
            <w:tcW w:w="1659" w:type="dxa"/>
            <w:tcBorders>
              <w:top w:val="single" w:color="auto" w:sz="4" w:space="0"/>
              <w:left w:val="single" w:color="auto" w:sz="4" w:space="0"/>
              <w:right w:val="single" w:color="auto" w:sz="4" w:space="0"/>
            </w:tcBorders>
            <w:noWrap w:val="0"/>
            <w:vAlign w:val="top"/>
          </w:tcPr>
          <w:p w14:paraId="44DC98A7">
            <w:pPr>
              <w:widowControl/>
              <w:spacing w:before="100" w:beforeAutospacing="1" w:after="100" w:afterAutospacing="1" w:line="400" w:lineRule="atLeast"/>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rPr>
              <w:t>串通投标情形</w:t>
            </w:r>
          </w:p>
        </w:tc>
        <w:tc>
          <w:tcPr>
            <w:tcW w:w="5570" w:type="dxa"/>
            <w:tcBorders>
              <w:top w:val="single" w:color="auto" w:sz="4" w:space="0"/>
              <w:left w:val="single" w:color="auto" w:sz="4" w:space="0"/>
            </w:tcBorders>
            <w:noWrap w:val="0"/>
            <w:vAlign w:val="top"/>
          </w:tcPr>
          <w:p w14:paraId="5ABF3B14">
            <w:pPr>
              <w:widowControl/>
              <w:spacing w:before="100" w:beforeAutospacing="1" w:after="100" w:afterAutospacing="1" w:line="400" w:lineRule="atLeast"/>
              <w:jc w:val="left"/>
              <w:rPr>
                <w:rFonts w:hint="eastAsia" w:ascii="宋体" w:hAnsi="宋体" w:eastAsia="宋体" w:cs="宋体"/>
                <w:color w:val="auto"/>
                <w:highlight w:val="none"/>
              </w:rPr>
            </w:pPr>
            <w:bookmarkStart w:id="385" w:name="OLE_LINK33"/>
            <w:r>
              <w:rPr>
                <w:rFonts w:hint="eastAsia" w:ascii="宋体" w:hAnsi="宋体" w:eastAsia="宋体" w:cs="宋体"/>
                <w:color w:val="auto"/>
                <w:kern w:val="0"/>
                <w:szCs w:val="21"/>
                <w:highlight w:val="none"/>
              </w:rPr>
              <w:t>不存在串通投标情形（串通投标情形以《中华人民共和国招标投标法实施条例》的规定为准）。</w:t>
            </w:r>
            <w:bookmarkEnd w:id="385"/>
          </w:p>
        </w:tc>
      </w:tr>
      <w:tr w14:paraId="7E22E8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27" w:type="dxa"/>
            <w:gridSpan w:val="2"/>
            <w:tcBorders>
              <w:top w:val="single" w:color="auto" w:sz="4" w:space="0"/>
              <w:bottom w:val="single" w:color="auto" w:sz="4" w:space="0"/>
              <w:right w:val="single" w:color="auto" w:sz="4" w:space="0"/>
            </w:tcBorders>
            <w:noWrap w:val="0"/>
            <w:vAlign w:val="center"/>
          </w:tcPr>
          <w:p w14:paraId="09E4C1E0">
            <w:pPr>
              <w:spacing w:line="400" w:lineRule="exact"/>
              <w:jc w:val="center"/>
              <w:rPr>
                <w:b/>
                <w:color w:val="auto"/>
                <w:highlight w:val="none"/>
              </w:rPr>
            </w:pPr>
            <w:r>
              <w:rPr>
                <w:rFonts w:hint="eastAsia"/>
                <w:b/>
                <w:color w:val="auto"/>
                <w:highlight w:val="none"/>
              </w:rPr>
              <w:t>条款号</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31F1CAF">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条款内容</w:t>
            </w:r>
          </w:p>
        </w:tc>
        <w:tc>
          <w:tcPr>
            <w:tcW w:w="5570" w:type="dxa"/>
            <w:tcBorders>
              <w:top w:val="single" w:color="auto" w:sz="4" w:space="0"/>
              <w:left w:val="single" w:color="auto" w:sz="4" w:space="0"/>
              <w:bottom w:val="single" w:color="auto" w:sz="4" w:space="0"/>
            </w:tcBorders>
            <w:noWrap w:val="0"/>
            <w:vAlign w:val="center"/>
          </w:tcPr>
          <w:p w14:paraId="7DC02622">
            <w:pPr>
              <w:spacing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编列内容</w:t>
            </w:r>
          </w:p>
        </w:tc>
      </w:tr>
      <w:tr w14:paraId="33CDA1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27" w:type="dxa"/>
            <w:gridSpan w:val="2"/>
            <w:tcBorders>
              <w:bottom w:val="single" w:color="auto" w:sz="4" w:space="0"/>
              <w:right w:val="single" w:color="auto" w:sz="4" w:space="0"/>
            </w:tcBorders>
            <w:noWrap w:val="0"/>
            <w:vAlign w:val="center"/>
          </w:tcPr>
          <w:p w14:paraId="0ECC7F30">
            <w:pPr>
              <w:spacing w:line="400" w:lineRule="exact"/>
              <w:jc w:val="center"/>
              <w:rPr>
                <w:color w:val="auto"/>
                <w:highlight w:val="none"/>
              </w:rPr>
            </w:pPr>
            <w:r>
              <w:rPr>
                <w:color w:val="auto"/>
                <w:highlight w:val="none"/>
              </w:rPr>
              <w:t>2.2.1</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79AA13EF">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分值构成</w:t>
            </w:r>
          </w:p>
          <w:p w14:paraId="25841232">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(总分100分)</w:t>
            </w:r>
          </w:p>
        </w:tc>
        <w:tc>
          <w:tcPr>
            <w:tcW w:w="5570" w:type="dxa"/>
            <w:tcBorders>
              <w:top w:val="single" w:color="auto" w:sz="4" w:space="0"/>
              <w:left w:val="single" w:color="auto" w:sz="4" w:space="0"/>
              <w:bottom w:val="single" w:color="auto" w:sz="4" w:space="0"/>
            </w:tcBorders>
            <w:noWrap w:val="0"/>
            <w:vAlign w:val="center"/>
          </w:tcPr>
          <w:p w14:paraId="652D0F65">
            <w:pPr>
              <w:spacing w:line="400" w:lineRule="exact"/>
              <w:rPr>
                <w:rFonts w:hint="eastAsia" w:ascii="宋体" w:hAnsi="宋体" w:eastAsia="宋体" w:cs="宋体"/>
                <w:color w:val="auto"/>
                <w:highlight w:val="none"/>
                <w:lang w:bidi="zh-CN"/>
              </w:rPr>
            </w:pPr>
            <w:r>
              <w:rPr>
                <w:rFonts w:hint="eastAsia" w:ascii="宋体" w:hAnsi="宋体" w:eastAsia="宋体" w:cs="宋体"/>
                <w:b/>
                <w:color w:val="auto"/>
                <w:highlight w:val="none"/>
                <w:lang w:bidi="zh-CN"/>
              </w:rPr>
              <w:t>A资信业绩部分：</w:t>
            </w:r>
            <w:r>
              <w:rPr>
                <w:rFonts w:hint="eastAsia" w:ascii="宋体" w:hAnsi="宋体" w:eastAsia="宋体" w:cs="宋体"/>
                <w:bCs/>
                <w:color w:val="auto"/>
                <w:highlight w:val="none"/>
                <w:u w:val="single"/>
                <w:lang w:bidi="zh-CN"/>
              </w:rPr>
              <w:t xml:space="preserve">50 </w:t>
            </w:r>
            <w:r>
              <w:rPr>
                <w:rFonts w:hint="eastAsia" w:ascii="宋体" w:hAnsi="宋体" w:eastAsia="宋体" w:cs="宋体"/>
                <w:bCs/>
                <w:color w:val="auto"/>
                <w:highlight w:val="none"/>
                <w:lang w:bidi="zh-CN"/>
              </w:rPr>
              <w:t>分</w:t>
            </w:r>
          </w:p>
          <w:p w14:paraId="08FD94F2">
            <w:pPr>
              <w:spacing w:line="400" w:lineRule="exact"/>
              <w:rPr>
                <w:rFonts w:hint="eastAsia" w:ascii="宋体" w:hAnsi="宋体" w:eastAsia="宋体" w:cs="宋体"/>
                <w:b/>
                <w:color w:val="auto"/>
                <w:highlight w:val="none"/>
                <w:lang w:bidi="zh-CN"/>
              </w:rPr>
            </w:pPr>
            <w:r>
              <w:rPr>
                <w:rFonts w:hint="eastAsia" w:ascii="宋体" w:hAnsi="宋体" w:eastAsia="宋体" w:cs="宋体"/>
                <w:b/>
                <w:color w:val="auto"/>
                <w:highlight w:val="none"/>
                <w:lang w:bidi="zh-CN"/>
              </w:rPr>
              <w:t>B监测监控方案部分：</w:t>
            </w:r>
            <w:r>
              <w:rPr>
                <w:rFonts w:hint="eastAsia" w:ascii="宋体" w:hAnsi="宋体" w:eastAsia="宋体" w:cs="宋体"/>
                <w:bCs/>
                <w:color w:val="auto"/>
                <w:highlight w:val="none"/>
                <w:u w:val="single"/>
                <w:lang w:bidi="zh-CN"/>
              </w:rPr>
              <w:t>30</w:t>
            </w:r>
            <w:r>
              <w:rPr>
                <w:rFonts w:hint="eastAsia" w:ascii="宋体" w:hAnsi="宋体" w:eastAsia="宋体" w:cs="宋体"/>
                <w:bCs/>
                <w:color w:val="auto"/>
                <w:highlight w:val="none"/>
                <w:lang w:bidi="zh-CN"/>
              </w:rPr>
              <w:t>分</w:t>
            </w:r>
          </w:p>
          <w:p w14:paraId="6A317C1C">
            <w:pPr>
              <w:spacing w:line="400" w:lineRule="exact"/>
              <w:rPr>
                <w:rFonts w:hint="eastAsia" w:ascii="宋体" w:hAnsi="宋体" w:eastAsia="宋体" w:cs="宋体"/>
                <w:color w:val="auto"/>
                <w:highlight w:val="none"/>
                <w:lang w:bidi="zh-CN"/>
              </w:rPr>
            </w:pPr>
            <w:r>
              <w:rPr>
                <w:rFonts w:hint="eastAsia" w:ascii="宋体" w:hAnsi="宋体" w:eastAsia="宋体" w:cs="宋体"/>
                <w:b/>
                <w:color w:val="auto"/>
                <w:highlight w:val="none"/>
                <w:lang w:bidi="zh-CN"/>
              </w:rPr>
              <w:t>C投标报价部分：</w:t>
            </w:r>
            <w:r>
              <w:rPr>
                <w:rFonts w:hint="eastAsia" w:ascii="宋体" w:hAnsi="宋体" w:eastAsia="宋体" w:cs="宋体"/>
                <w:bCs/>
                <w:color w:val="auto"/>
                <w:highlight w:val="none"/>
                <w:u w:val="single"/>
                <w:lang w:bidi="zh-CN"/>
              </w:rPr>
              <w:t>20分</w:t>
            </w:r>
          </w:p>
          <w:p w14:paraId="7BC38A43">
            <w:pPr>
              <w:spacing w:line="400" w:lineRule="exact"/>
              <w:rPr>
                <w:rFonts w:hint="eastAsia" w:ascii="宋体" w:hAnsi="宋体" w:eastAsia="宋体" w:cs="宋体"/>
                <w:b/>
                <w:color w:val="auto"/>
                <w:highlight w:val="none"/>
                <w:u w:val="single"/>
                <w:lang w:bidi="zh-CN"/>
              </w:rPr>
            </w:pPr>
            <w:r>
              <w:rPr>
                <w:rFonts w:hint="eastAsia" w:ascii="宋体" w:hAnsi="宋体" w:eastAsia="宋体" w:cs="宋体"/>
                <w:b/>
                <w:color w:val="auto"/>
                <w:highlight w:val="none"/>
                <w:lang w:bidi="zh-CN"/>
              </w:rPr>
              <w:t>D其他因素部分：</w:t>
            </w:r>
            <w:r>
              <w:rPr>
                <w:rFonts w:hint="eastAsia" w:ascii="宋体" w:hAnsi="宋体" w:eastAsia="宋体" w:cs="宋体"/>
                <w:b/>
                <w:color w:val="auto"/>
                <w:highlight w:val="none"/>
                <w:u w:val="single"/>
                <w:lang w:bidi="zh-CN"/>
              </w:rPr>
              <w:t>/</w:t>
            </w:r>
          </w:p>
          <w:p w14:paraId="509CB378">
            <w:pPr>
              <w:spacing w:line="400" w:lineRule="exact"/>
              <w:rPr>
                <w:rFonts w:hint="eastAsia" w:ascii="宋体" w:hAnsi="宋体" w:eastAsia="宋体" w:cs="宋体"/>
                <w:color w:val="auto"/>
                <w:highlight w:val="none"/>
              </w:rPr>
            </w:pPr>
            <w:r>
              <w:rPr>
                <w:rFonts w:hint="eastAsia" w:ascii="宋体" w:hAnsi="宋体" w:eastAsia="宋体" w:cs="宋体"/>
                <w:color w:val="auto"/>
                <w:highlight w:val="none"/>
                <w:lang w:bidi="zh-CN"/>
              </w:rPr>
              <w:t>注：投标人得分=A+B+C（分数出现小数点时，保留小数点后二位，第三位小数四舍五入）。</w:t>
            </w:r>
          </w:p>
        </w:tc>
      </w:tr>
      <w:tr w14:paraId="20B5FC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2127" w:type="dxa"/>
            <w:gridSpan w:val="2"/>
            <w:tcBorders>
              <w:top w:val="single" w:color="auto" w:sz="4" w:space="0"/>
              <w:bottom w:val="single" w:color="auto" w:sz="4" w:space="0"/>
              <w:right w:val="single" w:color="auto" w:sz="4" w:space="0"/>
            </w:tcBorders>
            <w:noWrap w:val="0"/>
            <w:vAlign w:val="center"/>
          </w:tcPr>
          <w:p w14:paraId="1CE3EDA9">
            <w:pPr>
              <w:spacing w:line="400" w:lineRule="exact"/>
              <w:jc w:val="center"/>
              <w:rPr>
                <w:color w:val="auto"/>
                <w:highlight w:val="none"/>
              </w:rPr>
            </w:pPr>
            <w:r>
              <w:rPr>
                <w:color w:val="auto"/>
                <w:highlight w:val="none"/>
              </w:rPr>
              <w:t>2.2.2</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0E2D6D57">
            <w:pPr>
              <w:spacing w:line="360" w:lineRule="auto"/>
              <w:jc w:val="center"/>
              <w:rPr>
                <w:color w:val="auto"/>
                <w:highlight w:val="none"/>
              </w:rPr>
            </w:pPr>
            <w:r>
              <w:rPr>
                <w:color w:val="auto"/>
                <w:highlight w:val="none"/>
              </w:rPr>
              <w:t>评标基准价计算方法</w:t>
            </w:r>
          </w:p>
        </w:tc>
        <w:tc>
          <w:tcPr>
            <w:tcW w:w="5570" w:type="dxa"/>
            <w:tcBorders>
              <w:top w:val="single" w:color="auto" w:sz="4" w:space="0"/>
              <w:left w:val="single" w:color="auto" w:sz="4" w:space="0"/>
              <w:bottom w:val="single" w:color="auto" w:sz="4" w:space="0"/>
            </w:tcBorders>
            <w:noWrap w:val="0"/>
            <w:vAlign w:val="center"/>
          </w:tcPr>
          <w:p w14:paraId="7301D293">
            <w:pPr>
              <w:widowControl/>
              <w:jc w:val="left"/>
              <w:rPr>
                <w:rFonts w:cs="楷体"/>
                <w:color w:val="auto"/>
                <w:kern w:val="0"/>
                <w:szCs w:val="21"/>
                <w:highlight w:val="none"/>
                <w:u w:val="single"/>
              </w:rPr>
            </w:pPr>
            <w:r>
              <w:rPr>
                <w:rFonts w:hint="eastAsia" w:ascii="宋体" w:hAnsi="宋体" w:cs="宋体"/>
                <w:color w:val="auto"/>
                <w:szCs w:val="21"/>
                <w:highlight w:val="none"/>
              </w:rPr>
              <w:t>投标人投标报价以投标函中投标总价的人民币大写金额为准。取投标报价</w:t>
            </w:r>
            <w:r>
              <w:rPr>
                <w:rFonts w:hint="eastAsia" w:ascii="宋体" w:hAnsi="宋体" w:cs="宋体"/>
                <w:color w:val="auto"/>
                <w:szCs w:val="21"/>
                <w:highlight w:val="none"/>
                <w:lang w:val="en-US" w:eastAsia="zh-CN"/>
              </w:rPr>
              <w:t>不超过</w:t>
            </w:r>
            <w:r>
              <w:rPr>
                <w:rFonts w:hint="eastAsia" w:ascii="宋体" w:hAnsi="宋体" w:cs="宋体"/>
                <w:color w:val="auto"/>
                <w:szCs w:val="21"/>
                <w:highlight w:val="none"/>
              </w:rPr>
              <w:t>最高投标限价的有效投标人(指通过</w:t>
            </w:r>
            <w:r>
              <w:rPr>
                <w:rFonts w:hint="eastAsia"/>
                <w:color w:val="auto"/>
                <w:highlight w:val="none"/>
              </w:rPr>
              <w:t>形式评审、</w:t>
            </w:r>
            <w:r>
              <w:rPr>
                <w:rFonts w:hint="eastAsia" w:cs="楷体"/>
                <w:color w:val="auto"/>
                <w:kern w:val="0"/>
                <w:szCs w:val="21"/>
                <w:highlight w:val="none"/>
              </w:rPr>
              <w:t>资格评审、</w:t>
            </w:r>
            <w:r>
              <w:rPr>
                <w:rFonts w:hint="eastAsia"/>
                <w:color w:val="auto"/>
                <w:highlight w:val="none"/>
              </w:rPr>
              <w:t>响应性评审的投标人</w:t>
            </w:r>
            <w:r>
              <w:rPr>
                <w:rFonts w:hint="eastAsia" w:ascii="宋体" w:hAnsi="宋体" w:cs="宋体"/>
                <w:color w:val="auto"/>
                <w:szCs w:val="21"/>
                <w:highlight w:val="none"/>
              </w:rPr>
              <w:t>)的报价算术平均值计算评标基准价：当有效投标人大于5名时，去掉其中一个最高价和一个最低价，取余下有效投标人的投标价的算术平均值作为评标基准价；当位于最高投标限价的有效投标人小于或等于5名时，取其中所有入围的有效投标人的投标价的算术平均值作为评标基准价。</w:t>
            </w:r>
          </w:p>
        </w:tc>
      </w:tr>
      <w:tr w14:paraId="25EE1C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2127" w:type="dxa"/>
            <w:gridSpan w:val="2"/>
            <w:tcBorders>
              <w:top w:val="single" w:color="auto" w:sz="4" w:space="0"/>
              <w:bottom w:val="single" w:color="auto" w:sz="4" w:space="0"/>
              <w:right w:val="single" w:color="auto" w:sz="4" w:space="0"/>
            </w:tcBorders>
            <w:noWrap w:val="0"/>
            <w:vAlign w:val="center"/>
          </w:tcPr>
          <w:p w14:paraId="3BF3E59C">
            <w:pPr>
              <w:spacing w:line="400" w:lineRule="exact"/>
              <w:jc w:val="center"/>
              <w:rPr>
                <w:color w:val="auto"/>
                <w:highlight w:val="none"/>
              </w:rPr>
            </w:pPr>
            <w:r>
              <w:rPr>
                <w:color w:val="auto"/>
                <w:highlight w:val="none"/>
              </w:rPr>
              <w:t>2.2.3</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3D3BA5E">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投标报价的偏差率</w:t>
            </w:r>
          </w:p>
          <w:p w14:paraId="5EC1DEDF">
            <w:pPr>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计算公式</w:t>
            </w:r>
          </w:p>
        </w:tc>
        <w:tc>
          <w:tcPr>
            <w:tcW w:w="5570" w:type="dxa"/>
            <w:tcBorders>
              <w:top w:val="single" w:color="auto" w:sz="4" w:space="0"/>
              <w:left w:val="single" w:color="auto" w:sz="4" w:space="0"/>
              <w:bottom w:val="single" w:color="auto" w:sz="4" w:space="0"/>
            </w:tcBorders>
            <w:noWrap w:val="0"/>
            <w:vAlign w:val="center"/>
          </w:tcPr>
          <w:p w14:paraId="5B362F39">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偏差率=︱（投标报价-评标基准价）︳/评标基准价*100%</w:t>
            </w:r>
          </w:p>
          <w:p w14:paraId="3E526834">
            <w:pPr>
              <w:spacing w:line="400" w:lineRule="exact"/>
              <w:rPr>
                <w:rFonts w:hint="eastAsia" w:ascii="宋体" w:hAnsi="宋体" w:eastAsia="宋体" w:cs="宋体"/>
                <w:b/>
                <w:color w:val="auto"/>
                <w:highlight w:val="none"/>
                <w:u w:val="single"/>
              </w:rPr>
            </w:pPr>
            <w:r>
              <w:rPr>
                <w:rFonts w:hint="eastAsia" w:ascii="宋体" w:hAnsi="宋体" w:eastAsia="宋体" w:cs="宋体"/>
                <w:color w:val="auto"/>
                <w:szCs w:val="21"/>
                <w:highlight w:val="none"/>
              </w:rPr>
              <w:t>偏差率四舍五入保留2位小数，所有不足1%的差价按插值法计算。</w:t>
            </w:r>
          </w:p>
        </w:tc>
      </w:tr>
    </w:tbl>
    <w:p w14:paraId="6A30EE9C">
      <w:pPr>
        <w:spacing w:line="400" w:lineRule="exact"/>
        <w:rPr>
          <w:color w:val="auto"/>
          <w:highlight w:val="none"/>
        </w:rPr>
      </w:pPr>
      <w:r>
        <w:rPr>
          <w:color w:val="auto"/>
          <w:highlight w:val="none"/>
        </w:rPr>
        <w:br w:type="page"/>
      </w:r>
    </w:p>
    <w:tbl>
      <w:tblPr>
        <w:tblStyle w:val="25"/>
        <w:tblW w:w="9356"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227"/>
        <w:gridCol w:w="1945"/>
        <w:gridCol w:w="5284"/>
      </w:tblGrid>
      <w:tr w14:paraId="4B32F9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2" w:hRule="atLeast"/>
        </w:trPr>
        <w:tc>
          <w:tcPr>
            <w:tcW w:w="900" w:type="dxa"/>
            <w:vMerge w:val="restart"/>
            <w:tcBorders>
              <w:top w:val="single" w:color="auto" w:sz="4" w:space="0"/>
              <w:right w:val="single" w:color="auto" w:sz="4" w:space="0"/>
            </w:tcBorders>
            <w:noWrap w:val="0"/>
            <w:vAlign w:val="center"/>
          </w:tcPr>
          <w:p w14:paraId="1461C849">
            <w:pPr>
              <w:spacing w:line="400" w:lineRule="exact"/>
              <w:rPr>
                <w:color w:val="auto"/>
                <w:highlight w:val="none"/>
              </w:rPr>
            </w:pPr>
            <w:r>
              <w:rPr>
                <w:color w:val="auto"/>
                <w:highlight w:val="none"/>
              </w:rPr>
              <w:t>.2.4（1）</w:t>
            </w:r>
          </w:p>
        </w:tc>
        <w:tc>
          <w:tcPr>
            <w:tcW w:w="1227" w:type="dxa"/>
            <w:vMerge w:val="restart"/>
            <w:tcBorders>
              <w:top w:val="single" w:color="auto" w:sz="4" w:space="0"/>
              <w:right w:val="single" w:color="auto" w:sz="4" w:space="0"/>
            </w:tcBorders>
            <w:noWrap w:val="0"/>
            <w:vAlign w:val="center"/>
          </w:tcPr>
          <w:p w14:paraId="24AE713C">
            <w:pPr>
              <w:rPr>
                <w:rFonts w:hint="eastAsia" w:ascii="宋体" w:hAnsi="宋体" w:cs="宋体"/>
                <w:color w:val="auto"/>
                <w:highlight w:val="none"/>
              </w:rPr>
            </w:pPr>
            <w:r>
              <w:rPr>
                <w:rFonts w:hint="eastAsia" w:ascii="宋体" w:hAnsi="宋体" w:cs="宋体"/>
                <w:color w:val="auto"/>
                <w:highlight w:val="none"/>
              </w:rPr>
              <w:t>资信业绩部分（50分）</w:t>
            </w:r>
          </w:p>
        </w:tc>
        <w:tc>
          <w:tcPr>
            <w:tcW w:w="1945" w:type="dxa"/>
            <w:tcBorders>
              <w:top w:val="single" w:color="auto" w:sz="4" w:space="0"/>
              <w:left w:val="single" w:color="auto" w:sz="4" w:space="0"/>
              <w:bottom w:val="single" w:color="auto" w:sz="4" w:space="0"/>
              <w:right w:val="single" w:color="auto" w:sz="4" w:space="0"/>
            </w:tcBorders>
            <w:noWrap w:val="0"/>
            <w:vAlign w:val="center"/>
          </w:tcPr>
          <w:p w14:paraId="39631EB7">
            <w:pPr>
              <w:ind w:right="-20"/>
              <w:jc w:val="center"/>
              <w:rPr>
                <w:rFonts w:hint="eastAsia" w:ascii="宋体" w:hAnsi="宋体" w:cs="宋体"/>
                <w:color w:val="auto"/>
                <w:szCs w:val="21"/>
                <w:highlight w:val="none"/>
              </w:rPr>
            </w:pPr>
            <w:r>
              <w:rPr>
                <w:rFonts w:hint="eastAsia" w:ascii="宋体" w:hAnsi="宋体" w:cs="宋体"/>
                <w:color w:val="auto"/>
                <w:szCs w:val="21"/>
                <w:highlight w:val="none"/>
              </w:rPr>
              <w:t>类似业绩</w:t>
            </w:r>
          </w:p>
          <w:p w14:paraId="5F5F6E01">
            <w:pPr>
              <w:ind w:right="-20"/>
              <w:jc w:val="center"/>
              <w:rPr>
                <w:rFonts w:hint="eastAsia" w:ascii="宋体" w:hAnsi="宋体" w:cs="宋体"/>
                <w:color w:val="auto"/>
                <w:szCs w:val="21"/>
                <w:highlight w:val="none"/>
              </w:rPr>
            </w:pPr>
            <w:r>
              <w:rPr>
                <w:rFonts w:hint="eastAsia" w:ascii="宋体" w:hAnsi="宋体" w:cs="宋体"/>
                <w:color w:val="auto"/>
                <w:szCs w:val="21"/>
                <w:highlight w:val="none"/>
              </w:rPr>
              <w:t>（20分）</w:t>
            </w:r>
          </w:p>
        </w:tc>
        <w:tc>
          <w:tcPr>
            <w:tcW w:w="5284" w:type="dxa"/>
            <w:tcBorders>
              <w:top w:val="single" w:color="auto" w:sz="4" w:space="0"/>
              <w:left w:val="single" w:color="auto" w:sz="4" w:space="0"/>
              <w:bottom w:val="single" w:color="auto" w:sz="4" w:space="0"/>
              <w:right w:val="single" w:color="auto" w:sz="4" w:space="0"/>
            </w:tcBorders>
            <w:noWrap w:val="0"/>
            <w:vAlign w:val="center"/>
          </w:tcPr>
          <w:p w14:paraId="7DA04D2B">
            <w:pPr>
              <w:snapToGrid w:val="0"/>
              <w:spacing w:before="120" w:beforeLines="50" w:line="288" w:lineRule="auto"/>
              <w:rPr>
                <w:rFonts w:hint="eastAsia" w:ascii="宋体" w:hAnsi="宋体" w:cs="宋体"/>
                <w:color w:val="auto"/>
                <w:szCs w:val="21"/>
                <w:highlight w:val="none"/>
              </w:rPr>
            </w:pPr>
            <w:r>
              <w:rPr>
                <w:rFonts w:hint="eastAsia" w:ascii="宋体" w:hAnsi="宋体" w:cs="宋体"/>
                <w:color w:val="auto"/>
                <w:szCs w:val="21"/>
                <w:highlight w:val="none"/>
              </w:rPr>
              <w:t>1.投标人2020年1月1日至投标截止承接过类似监测项目业绩，每项得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分，本项最多得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7AC81048">
            <w:pPr>
              <w:snapToGrid w:val="0"/>
              <w:spacing w:before="120" w:beforeLines="50" w:line="288" w:lineRule="auto"/>
              <w:rPr>
                <w:rFonts w:hint="eastAsia" w:ascii="宋体" w:hAnsi="宋体" w:cs="宋体"/>
                <w:color w:val="auto"/>
                <w:szCs w:val="21"/>
                <w:highlight w:val="none"/>
              </w:rPr>
            </w:pPr>
            <w:r>
              <w:rPr>
                <w:rFonts w:hint="eastAsia" w:ascii="宋体" w:hAnsi="宋体" w:cs="宋体"/>
                <w:color w:val="auto"/>
                <w:szCs w:val="21"/>
                <w:highlight w:val="none"/>
              </w:rPr>
              <w:t>注：类似监测业绩是指已运营城市轨道交通结构保护监测类工程，业绩证明需提供服务合同扫描件，时间以</w:t>
            </w:r>
            <w:r>
              <w:rPr>
                <w:rFonts w:hint="eastAsia" w:ascii="宋体" w:hAnsi="宋体" w:cs="宋体"/>
                <w:color w:val="auto"/>
                <w:szCs w:val="21"/>
                <w:highlight w:val="none"/>
                <w:lang w:eastAsia="zh-CN"/>
              </w:rPr>
              <w:t>服务</w:t>
            </w:r>
            <w:r>
              <w:rPr>
                <w:rFonts w:hint="eastAsia" w:ascii="宋体" w:hAnsi="宋体" w:cs="宋体"/>
                <w:color w:val="auto"/>
                <w:szCs w:val="21"/>
                <w:highlight w:val="none"/>
              </w:rPr>
              <w:t>合同签订时间为准。联合体投标的，由</w:t>
            </w:r>
            <w:r>
              <w:rPr>
                <w:rFonts w:hint="eastAsia" w:ascii="宋体" w:hAnsi="宋体" w:cs="宋体"/>
                <w:color w:val="auto"/>
                <w:szCs w:val="21"/>
                <w:highlight w:val="none"/>
                <w:lang w:bidi="ar"/>
              </w:rPr>
              <w:t>主办方</w:t>
            </w:r>
            <w:r>
              <w:rPr>
                <w:rFonts w:hint="eastAsia" w:ascii="宋体" w:hAnsi="宋体" w:cs="宋体"/>
                <w:color w:val="auto"/>
                <w:szCs w:val="21"/>
                <w:highlight w:val="none"/>
              </w:rPr>
              <w:t>提供。</w:t>
            </w:r>
          </w:p>
          <w:p w14:paraId="24196C24">
            <w:pPr>
              <w:snapToGrid w:val="0"/>
              <w:spacing w:before="120" w:beforeLines="50" w:line="288" w:lineRule="auto"/>
              <w:rPr>
                <w:rFonts w:hint="eastAsia" w:ascii="宋体" w:hAnsi="宋体" w:cs="宋体"/>
                <w:color w:val="auto"/>
                <w:szCs w:val="21"/>
                <w:highlight w:val="none"/>
              </w:rPr>
            </w:pPr>
            <w:r>
              <w:rPr>
                <w:rFonts w:hint="eastAsia" w:ascii="宋体" w:hAnsi="宋体" w:cs="宋体"/>
                <w:color w:val="auto"/>
                <w:szCs w:val="21"/>
                <w:highlight w:val="none"/>
              </w:rPr>
              <w:t>2.投标人2020年1月1日至投标截止承接过城市轨道交通保护监控服务的业绩，每项得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分，最多得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4ACDE819">
            <w:pPr>
              <w:snapToGrid w:val="0"/>
              <w:spacing w:before="120" w:beforeLines="50" w:line="288" w:lineRule="auto"/>
              <w:rPr>
                <w:color w:val="auto"/>
                <w:highlight w:val="none"/>
              </w:rPr>
            </w:pPr>
            <w:r>
              <w:rPr>
                <w:rFonts w:hint="eastAsia" w:ascii="宋体" w:hAnsi="宋体" w:cs="宋体"/>
                <w:color w:val="auto"/>
                <w:szCs w:val="21"/>
                <w:highlight w:val="none"/>
              </w:rPr>
              <w:t>注：业绩证明需提供服务合同扫描件，时间以服务合同签订时间时间为准。联合体投标的，由</w:t>
            </w:r>
            <w:r>
              <w:rPr>
                <w:rFonts w:hint="eastAsia" w:ascii="宋体" w:hAnsi="宋体" w:cs="宋体"/>
                <w:color w:val="auto"/>
                <w:szCs w:val="21"/>
                <w:highlight w:val="none"/>
                <w:lang w:bidi="ar"/>
              </w:rPr>
              <w:t>成员方</w:t>
            </w:r>
            <w:r>
              <w:rPr>
                <w:rFonts w:hint="eastAsia" w:ascii="宋体" w:hAnsi="宋体" w:cs="宋体"/>
                <w:color w:val="auto"/>
                <w:szCs w:val="21"/>
                <w:highlight w:val="none"/>
              </w:rPr>
              <w:t>提供。</w:t>
            </w:r>
          </w:p>
        </w:tc>
      </w:tr>
      <w:tr w14:paraId="7CBABF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2" w:hRule="atLeast"/>
        </w:trPr>
        <w:tc>
          <w:tcPr>
            <w:tcW w:w="900" w:type="dxa"/>
            <w:vMerge w:val="continue"/>
            <w:tcBorders>
              <w:top w:val="single" w:color="auto" w:sz="4" w:space="0"/>
              <w:right w:val="single" w:color="auto" w:sz="4" w:space="0"/>
            </w:tcBorders>
            <w:noWrap w:val="0"/>
            <w:vAlign w:val="center"/>
          </w:tcPr>
          <w:p w14:paraId="784BFDAC">
            <w:pPr>
              <w:spacing w:line="400" w:lineRule="exact"/>
              <w:rPr>
                <w:color w:val="auto"/>
                <w:highlight w:val="none"/>
              </w:rPr>
            </w:pPr>
          </w:p>
        </w:tc>
        <w:tc>
          <w:tcPr>
            <w:tcW w:w="1227" w:type="dxa"/>
            <w:vMerge w:val="continue"/>
            <w:tcBorders>
              <w:top w:val="single" w:color="auto" w:sz="4" w:space="0"/>
              <w:right w:val="single" w:color="auto" w:sz="4" w:space="0"/>
            </w:tcBorders>
            <w:noWrap w:val="0"/>
            <w:vAlign w:val="center"/>
          </w:tcPr>
          <w:p w14:paraId="4204292E">
            <w:pPr>
              <w:snapToGrid w:val="0"/>
              <w:spacing w:line="400" w:lineRule="exact"/>
              <w:rPr>
                <w:rFonts w:hint="eastAsia" w:ascii="宋体" w:hAnsi="宋体" w:cs="宋体"/>
                <w:color w:val="auto"/>
                <w:highlight w:val="none"/>
              </w:rPr>
            </w:pPr>
          </w:p>
        </w:tc>
        <w:tc>
          <w:tcPr>
            <w:tcW w:w="1945" w:type="dxa"/>
            <w:vMerge w:val="restart"/>
            <w:tcBorders>
              <w:top w:val="single" w:color="auto" w:sz="4" w:space="0"/>
              <w:left w:val="single" w:color="auto" w:sz="4" w:space="0"/>
              <w:right w:val="single" w:color="auto" w:sz="4" w:space="0"/>
            </w:tcBorders>
            <w:noWrap w:val="0"/>
            <w:vAlign w:val="center"/>
          </w:tcPr>
          <w:p w14:paraId="6836F05A">
            <w:pPr>
              <w:ind w:right="-2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企业信誉</w:t>
            </w:r>
          </w:p>
          <w:p w14:paraId="256D84B5">
            <w:pPr>
              <w:widowControl/>
              <w:contextualSpacing/>
              <w:jc w:val="center"/>
              <w:rPr>
                <w:rFonts w:hint="eastAsia" w:ascii="宋体" w:hAnsi="宋体" w:cs="宋体"/>
                <w:color w:val="auto"/>
                <w:szCs w:val="21"/>
                <w:highlight w:val="none"/>
              </w:rPr>
            </w:pPr>
            <w:r>
              <w:rPr>
                <w:rFonts w:hint="eastAsia" w:ascii="宋体" w:hAnsi="宋体" w:cs="宋体"/>
                <w:color w:val="auto"/>
                <w:szCs w:val="21"/>
                <w:highlight w:val="none"/>
              </w:rPr>
              <w:t>（15分）</w:t>
            </w:r>
          </w:p>
        </w:tc>
        <w:tc>
          <w:tcPr>
            <w:tcW w:w="5284" w:type="dxa"/>
            <w:tcBorders>
              <w:top w:val="single" w:color="auto" w:sz="4" w:space="0"/>
              <w:left w:val="single" w:color="auto" w:sz="4" w:space="0"/>
              <w:bottom w:val="single" w:color="auto" w:sz="4" w:space="0"/>
              <w:right w:val="single" w:color="auto" w:sz="4" w:space="0"/>
            </w:tcBorders>
            <w:noWrap w:val="0"/>
            <w:vAlign w:val="center"/>
          </w:tcPr>
          <w:p w14:paraId="5C5757B8">
            <w:pPr>
              <w:snapToGrid w:val="0"/>
              <w:spacing w:line="288" w:lineRule="auto"/>
              <w:rPr>
                <w:rFonts w:hint="eastAsia" w:ascii="宋体" w:hAnsi="宋体" w:cs="宋体"/>
                <w:color w:val="auto"/>
                <w:szCs w:val="21"/>
                <w:highlight w:val="none"/>
              </w:rPr>
            </w:pPr>
            <w:bookmarkStart w:id="386" w:name="OLE_LINK5"/>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2020年1月1日至投标文件递交截止日止投标人获得纳税信用为A级纳税人（须含2024年度）：</w:t>
            </w:r>
          </w:p>
          <w:p w14:paraId="00BA3CDA">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连续</w:t>
            </w:r>
            <w:r>
              <w:rPr>
                <w:rFonts w:hint="eastAsia" w:ascii="宋体" w:hAnsi="宋体" w:cs="宋体"/>
                <w:color w:val="auto"/>
                <w:szCs w:val="21"/>
                <w:highlight w:val="none"/>
              </w:rPr>
              <w:t>5年获得纳税信用为A级纳税人得4分；</w:t>
            </w:r>
          </w:p>
          <w:p w14:paraId="79A83E7B">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连续</w:t>
            </w:r>
            <w:r>
              <w:rPr>
                <w:rFonts w:hint="eastAsia" w:ascii="宋体" w:hAnsi="宋体" w:cs="宋体"/>
                <w:color w:val="auto"/>
                <w:szCs w:val="21"/>
                <w:highlight w:val="none"/>
              </w:rPr>
              <w:t>3-4年获得纳税信用为A级纳税人得2分；</w:t>
            </w:r>
          </w:p>
          <w:p w14:paraId="2ED593D4">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连续</w:t>
            </w:r>
            <w:r>
              <w:rPr>
                <w:rFonts w:hint="eastAsia" w:ascii="宋体" w:hAnsi="宋体" w:cs="宋体"/>
                <w:color w:val="auto"/>
                <w:szCs w:val="21"/>
                <w:highlight w:val="none"/>
              </w:rPr>
              <w:t>1-2年获得纳税信用为A级纳税人得1分；</w:t>
            </w:r>
          </w:p>
          <w:p w14:paraId="4C30FBE5">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其余不得分，本项最高得4分。</w:t>
            </w:r>
          </w:p>
          <w:p w14:paraId="68214628">
            <w:pPr>
              <w:jc w:val="left"/>
              <w:rPr>
                <w:rFonts w:hint="eastAsia" w:ascii="宋体" w:hAnsi="宋体" w:cs="宋体"/>
                <w:color w:val="auto"/>
                <w:szCs w:val="21"/>
                <w:highlight w:val="none"/>
                <w:lang w:bidi="zh-CN"/>
              </w:rPr>
            </w:pPr>
            <w:r>
              <w:rPr>
                <w:rFonts w:hint="eastAsia" w:ascii="宋体" w:hAnsi="宋体" w:cs="宋体"/>
                <w:color w:val="auto"/>
                <w:szCs w:val="21"/>
                <w:highlight w:val="none"/>
              </w:rPr>
              <w:t>注：“纳税信用A级纳税人”须提供国家税务总局官网（http://www.chinatax.gov.cn/）“纳税信用A级纳税人名单公布栏”查询结果网页截图或其省级（含直辖市）税务局官网“纳税信用A级纳税人名单公布栏”查询结果网页截图。时间以国家税务总局或其省级（含直辖市）税务局网站纳税信用信息查询结果的网页截图公布的评价年度为准，上述资料显示的企业全称须与投标单位名称一致，否则不得分。一个年度只计算一次得分，不满足上述要求或无提交上述资料不得分。</w:t>
            </w:r>
            <w:bookmarkEnd w:id="386"/>
            <w:r>
              <w:rPr>
                <w:rFonts w:hint="eastAsia" w:ascii="宋体" w:hAnsi="宋体" w:cs="宋体"/>
                <w:color w:val="auto"/>
                <w:szCs w:val="21"/>
                <w:highlight w:val="none"/>
              </w:rPr>
              <w:t>联合体投标的，由</w:t>
            </w:r>
            <w:r>
              <w:rPr>
                <w:rFonts w:hint="eastAsia" w:ascii="宋体" w:hAnsi="宋体" w:cs="宋体"/>
                <w:color w:val="auto"/>
                <w:szCs w:val="21"/>
                <w:highlight w:val="none"/>
                <w:lang w:bidi="ar"/>
              </w:rPr>
              <w:t>主办方</w:t>
            </w:r>
            <w:r>
              <w:rPr>
                <w:rFonts w:hint="eastAsia" w:ascii="宋体" w:hAnsi="宋体" w:cs="宋体"/>
                <w:color w:val="auto"/>
                <w:szCs w:val="21"/>
                <w:highlight w:val="none"/>
              </w:rPr>
              <w:t>提供。</w:t>
            </w:r>
          </w:p>
        </w:tc>
      </w:tr>
      <w:tr w14:paraId="741A8E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2" w:hRule="atLeast"/>
        </w:trPr>
        <w:tc>
          <w:tcPr>
            <w:tcW w:w="900" w:type="dxa"/>
            <w:vMerge w:val="continue"/>
            <w:tcBorders>
              <w:top w:val="single" w:color="auto" w:sz="4" w:space="0"/>
              <w:right w:val="single" w:color="auto" w:sz="4" w:space="0"/>
            </w:tcBorders>
            <w:noWrap w:val="0"/>
            <w:vAlign w:val="center"/>
          </w:tcPr>
          <w:p w14:paraId="5C002875">
            <w:pPr>
              <w:spacing w:line="400" w:lineRule="exact"/>
              <w:rPr>
                <w:color w:val="auto"/>
                <w:highlight w:val="none"/>
              </w:rPr>
            </w:pPr>
          </w:p>
        </w:tc>
        <w:tc>
          <w:tcPr>
            <w:tcW w:w="1227" w:type="dxa"/>
            <w:vMerge w:val="continue"/>
            <w:tcBorders>
              <w:top w:val="single" w:color="auto" w:sz="4" w:space="0"/>
              <w:right w:val="single" w:color="auto" w:sz="4" w:space="0"/>
            </w:tcBorders>
            <w:noWrap w:val="0"/>
            <w:vAlign w:val="center"/>
          </w:tcPr>
          <w:p w14:paraId="0A34EAD1">
            <w:pPr>
              <w:snapToGrid w:val="0"/>
              <w:spacing w:line="400" w:lineRule="exact"/>
              <w:rPr>
                <w:rFonts w:hint="eastAsia" w:ascii="宋体" w:hAnsi="宋体" w:cs="宋体"/>
                <w:color w:val="auto"/>
                <w:highlight w:val="none"/>
              </w:rPr>
            </w:pPr>
          </w:p>
        </w:tc>
        <w:tc>
          <w:tcPr>
            <w:tcW w:w="1945" w:type="dxa"/>
            <w:vMerge w:val="continue"/>
            <w:tcBorders>
              <w:top w:val="single" w:color="auto" w:sz="4" w:space="0"/>
              <w:left w:val="single" w:color="auto" w:sz="4" w:space="0"/>
              <w:right w:val="single" w:color="auto" w:sz="4" w:space="0"/>
            </w:tcBorders>
            <w:noWrap w:val="0"/>
            <w:vAlign w:val="center"/>
          </w:tcPr>
          <w:p w14:paraId="042A505B">
            <w:pPr>
              <w:ind w:right="-20"/>
              <w:jc w:val="center"/>
              <w:rPr>
                <w:rFonts w:hint="eastAsia" w:ascii="宋体" w:hAnsi="宋体" w:cs="宋体"/>
                <w:color w:val="auto"/>
                <w:szCs w:val="21"/>
                <w:highlight w:val="none"/>
              </w:rPr>
            </w:pPr>
          </w:p>
        </w:tc>
        <w:tc>
          <w:tcPr>
            <w:tcW w:w="5284" w:type="dxa"/>
            <w:tcBorders>
              <w:top w:val="single" w:color="auto" w:sz="4" w:space="0"/>
              <w:left w:val="single" w:color="auto" w:sz="4" w:space="0"/>
              <w:bottom w:val="single" w:color="auto" w:sz="4" w:space="0"/>
              <w:right w:val="single" w:color="auto" w:sz="4" w:space="0"/>
            </w:tcBorders>
            <w:noWrap w:val="0"/>
            <w:vAlign w:val="center"/>
          </w:tcPr>
          <w:p w14:paraId="6018AB05">
            <w:pPr>
              <w:pStyle w:val="33"/>
              <w:spacing w:line="240" w:lineRule="auto"/>
              <w:ind w:firstLine="0" w:firstLineChars="0"/>
              <w:rPr>
                <w:rFonts w:hint="eastAsia" w:ascii="宋体" w:hAnsi="宋体" w:cs="宋体"/>
                <w:color w:val="auto"/>
                <w:szCs w:val="21"/>
                <w:highlight w:val="none"/>
              </w:rPr>
            </w:pPr>
            <w:r>
              <w:rPr>
                <w:rFonts w:hint="eastAsia" w:ascii="宋体" w:hAnsi="宋体" w:cs="宋体"/>
                <w:color w:val="auto"/>
                <w:kern w:val="0"/>
                <w:szCs w:val="21"/>
                <w:highlight w:val="none"/>
              </w:rPr>
              <w:t>2</w:t>
            </w:r>
            <w:r>
              <w:rPr>
                <w:rFonts w:hint="eastAsia" w:ascii="宋体" w:hAnsi="宋体" w:cs="宋体"/>
                <w:color w:val="auto"/>
                <w:szCs w:val="21"/>
                <w:highlight w:val="none"/>
              </w:rPr>
              <w:t>. 投标人主编或参编过工程监测类技术标准/规范成果文件，省级或以上的每提供一项得1分；市级的每提供一项得0.5分；无或其他不得分。</w:t>
            </w:r>
          </w:p>
          <w:p w14:paraId="5C7181E9">
            <w:pPr>
              <w:rPr>
                <w:rFonts w:hint="eastAsia" w:ascii="宋体" w:hAnsi="宋体" w:cs="宋体"/>
                <w:color w:val="auto"/>
                <w:szCs w:val="21"/>
                <w:highlight w:val="none"/>
                <w:lang w:val="zh-CN" w:bidi="zh-CN"/>
              </w:rPr>
            </w:pPr>
            <w:r>
              <w:rPr>
                <w:rFonts w:hint="eastAsia" w:ascii="宋体" w:hAnsi="宋体" w:cs="宋体"/>
                <w:color w:val="auto"/>
                <w:szCs w:val="21"/>
                <w:highlight w:val="none"/>
              </w:rPr>
              <w:t>注：本项最高得4分。投标人需提供以上已出版发行的标准/规范证明材料的关键页</w:t>
            </w:r>
            <w:r>
              <w:rPr>
                <w:rFonts w:hint="eastAsia" w:ascii="宋体" w:hAnsi="宋体" w:cs="宋体"/>
                <w:color w:val="auto"/>
                <w:szCs w:val="21"/>
                <w:highlight w:val="none"/>
                <w:lang w:eastAsia="zh-CN"/>
              </w:rPr>
              <w:t>扫描件</w:t>
            </w:r>
            <w:r>
              <w:rPr>
                <w:rFonts w:hint="eastAsia" w:ascii="宋体" w:hAnsi="宋体" w:cs="宋体"/>
                <w:color w:val="auto"/>
                <w:szCs w:val="21"/>
                <w:highlight w:val="none"/>
              </w:rPr>
              <w:t>，不符合上述条件或未提供上述资料的不得分。联合体投标的，由</w:t>
            </w:r>
            <w:r>
              <w:rPr>
                <w:rFonts w:hint="eastAsia" w:ascii="宋体" w:hAnsi="宋体" w:cs="宋体"/>
                <w:color w:val="auto"/>
                <w:szCs w:val="21"/>
                <w:highlight w:val="none"/>
                <w:lang w:bidi="ar"/>
              </w:rPr>
              <w:t>主办方</w:t>
            </w:r>
            <w:r>
              <w:rPr>
                <w:rFonts w:hint="eastAsia" w:ascii="宋体" w:hAnsi="宋体" w:cs="宋体"/>
                <w:color w:val="auto"/>
                <w:szCs w:val="21"/>
                <w:highlight w:val="none"/>
              </w:rPr>
              <w:t>提供。</w:t>
            </w:r>
          </w:p>
        </w:tc>
      </w:tr>
      <w:tr w14:paraId="142FC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2" w:hRule="atLeast"/>
        </w:trPr>
        <w:tc>
          <w:tcPr>
            <w:tcW w:w="900" w:type="dxa"/>
            <w:vMerge w:val="continue"/>
            <w:tcBorders>
              <w:top w:val="single" w:color="auto" w:sz="4" w:space="0"/>
              <w:right w:val="single" w:color="auto" w:sz="4" w:space="0"/>
            </w:tcBorders>
            <w:noWrap w:val="0"/>
            <w:vAlign w:val="center"/>
          </w:tcPr>
          <w:p w14:paraId="7C2C1587">
            <w:pPr>
              <w:spacing w:line="400" w:lineRule="exact"/>
              <w:rPr>
                <w:color w:val="auto"/>
                <w:highlight w:val="none"/>
              </w:rPr>
            </w:pPr>
          </w:p>
        </w:tc>
        <w:tc>
          <w:tcPr>
            <w:tcW w:w="1227" w:type="dxa"/>
            <w:vMerge w:val="continue"/>
            <w:tcBorders>
              <w:top w:val="single" w:color="auto" w:sz="4" w:space="0"/>
              <w:right w:val="single" w:color="auto" w:sz="4" w:space="0"/>
            </w:tcBorders>
            <w:noWrap w:val="0"/>
            <w:vAlign w:val="center"/>
          </w:tcPr>
          <w:p w14:paraId="53CBA936">
            <w:pPr>
              <w:snapToGrid w:val="0"/>
              <w:spacing w:line="400" w:lineRule="exact"/>
              <w:rPr>
                <w:rFonts w:hint="eastAsia" w:ascii="宋体" w:hAnsi="宋体" w:cs="宋体"/>
                <w:color w:val="auto"/>
                <w:highlight w:val="none"/>
              </w:rPr>
            </w:pPr>
          </w:p>
        </w:tc>
        <w:tc>
          <w:tcPr>
            <w:tcW w:w="1945" w:type="dxa"/>
            <w:vMerge w:val="continue"/>
            <w:tcBorders>
              <w:top w:val="single" w:color="auto" w:sz="4" w:space="0"/>
              <w:left w:val="single" w:color="auto" w:sz="4" w:space="0"/>
              <w:right w:val="single" w:color="auto" w:sz="4" w:space="0"/>
            </w:tcBorders>
            <w:noWrap w:val="0"/>
            <w:vAlign w:val="center"/>
          </w:tcPr>
          <w:p w14:paraId="27EF7F25">
            <w:pPr>
              <w:ind w:right="-20"/>
              <w:jc w:val="center"/>
              <w:rPr>
                <w:rFonts w:hint="eastAsia" w:ascii="宋体" w:hAnsi="宋体" w:cs="宋体"/>
                <w:color w:val="auto"/>
                <w:szCs w:val="21"/>
                <w:highlight w:val="none"/>
              </w:rPr>
            </w:pPr>
          </w:p>
        </w:tc>
        <w:tc>
          <w:tcPr>
            <w:tcW w:w="5284" w:type="dxa"/>
            <w:tcBorders>
              <w:top w:val="single" w:color="auto" w:sz="4" w:space="0"/>
              <w:left w:val="single" w:color="auto" w:sz="4" w:space="0"/>
              <w:bottom w:val="single" w:color="auto" w:sz="4" w:space="0"/>
              <w:right w:val="single" w:color="auto" w:sz="4" w:space="0"/>
            </w:tcBorders>
            <w:noWrap w:val="0"/>
            <w:vAlign w:val="center"/>
          </w:tcPr>
          <w:p w14:paraId="6E5DB167">
            <w:pPr>
              <w:pStyle w:val="33"/>
              <w:spacing w:line="240" w:lineRule="auto"/>
              <w:ind w:firstLine="0" w:firstLineChars="0"/>
              <w:rPr>
                <w:rFonts w:hint="eastAsia" w:ascii="宋体" w:hAnsi="宋体" w:cs="宋体"/>
                <w:bCs/>
                <w:color w:val="auto"/>
                <w:szCs w:val="21"/>
                <w:highlight w:val="none"/>
              </w:rPr>
            </w:pPr>
            <w:r>
              <w:rPr>
                <w:rFonts w:hint="eastAsia" w:ascii="宋体" w:hAnsi="宋体" w:cs="宋体"/>
                <w:bCs/>
                <w:color w:val="auto"/>
                <w:szCs w:val="21"/>
                <w:highlight w:val="none"/>
              </w:rPr>
              <w:t>3.</w:t>
            </w:r>
            <w:r>
              <w:rPr>
                <w:rFonts w:hint="eastAsia"/>
                <w:color w:val="auto"/>
                <w:highlight w:val="none"/>
              </w:rPr>
              <w:t xml:space="preserve"> </w:t>
            </w:r>
            <w:r>
              <w:rPr>
                <w:rFonts w:hint="eastAsia" w:ascii="宋体" w:hAnsi="宋体" w:cs="宋体"/>
                <w:bCs/>
                <w:color w:val="auto"/>
                <w:szCs w:val="21"/>
                <w:highlight w:val="none"/>
              </w:rPr>
              <w:t>2020年1月1日至投标截止时间止,投标人获得工程监测类发明专利的，每提供一项得1分；无或其他不得分。</w:t>
            </w:r>
          </w:p>
          <w:p w14:paraId="161E1705">
            <w:pPr>
              <w:rPr>
                <w:rFonts w:hint="eastAsia" w:ascii="宋体" w:hAnsi="宋体" w:cs="宋体"/>
                <w:b/>
                <w:color w:val="auto"/>
                <w:szCs w:val="21"/>
                <w:highlight w:val="none"/>
              </w:rPr>
            </w:pPr>
            <w:r>
              <w:rPr>
                <w:rFonts w:hint="eastAsia" w:ascii="宋体" w:hAnsi="宋体" w:cs="宋体"/>
                <w:bCs/>
                <w:color w:val="auto"/>
                <w:szCs w:val="21"/>
                <w:highlight w:val="none"/>
                <w:lang w:bidi="ar"/>
              </w:rPr>
              <w:t>注：本项最高得4分。专利以国家知识产权局网站（http://www.cnipa.gov.cn/）中的“专利检索查询”查询的专利为准，时间以授权公告日期为准，投标人需提交上述网站可反映企业专利类型为“发明专利”、专利号、授权公告日的查询截图，不符合上述条件或未提供上述资料的不得分。</w:t>
            </w:r>
            <w:r>
              <w:rPr>
                <w:rFonts w:hint="eastAsia" w:ascii="宋体" w:hAnsi="宋体" w:cs="宋体"/>
                <w:color w:val="auto"/>
                <w:szCs w:val="21"/>
                <w:highlight w:val="none"/>
              </w:rPr>
              <w:t>联合体投标的，由</w:t>
            </w:r>
            <w:r>
              <w:rPr>
                <w:rFonts w:hint="eastAsia" w:ascii="宋体" w:hAnsi="宋体" w:cs="宋体"/>
                <w:color w:val="auto"/>
                <w:szCs w:val="21"/>
                <w:highlight w:val="none"/>
                <w:lang w:bidi="ar"/>
              </w:rPr>
              <w:t>主办方</w:t>
            </w:r>
            <w:r>
              <w:rPr>
                <w:rFonts w:hint="eastAsia" w:ascii="宋体" w:hAnsi="宋体" w:cs="宋体"/>
                <w:color w:val="auto"/>
                <w:szCs w:val="21"/>
                <w:highlight w:val="none"/>
              </w:rPr>
              <w:t>提供。</w:t>
            </w:r>
          </w:p>
        </w:tc>
      </w:tr>
      <w:tr w14:paraId="2CEC8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2" w:hRule="atLeast"/>
        </w:trPr>
        <w:tc>
          <w:tcPr>
            <w:tcW w:w="900" w:type="dxa"/>
            <w:vMerge w:val="continue"/>
            <w:tcBorders>
              <w:top w:val="single" w:color="auto" w:sz="4" w:space="0"/>
              <w:right w:val="single" w:color="auto" w:sz="4" w:space="0"/>
            </w:tcBorders>
            <w:noWrap w:val="0"/>
            <w:vAlign w:val="center"/>
          </w:tcPr>
          <w:p w14:paraId="75D6A8F9">
            <w:pPr>
              <w:spacing w:line="400" w:lineRule="exact"/>
              <w:rPr>
                <w:color w:val="auto"/>
                <w:highlight w:val="none"/>
              </w:rPr>
            </w:pPr>
          </w:p>
        </w:tc>
        <w:tc>
          <w:tcPr>
            <w:tcW w:w="1227" w:type="dxa"/>
            <w:vMerge w:val="continue"/>
            <w:tcBorders>
              <w:top w:val="single" w:color="auto" w:sz="4" w:space="0"/>
              <w:right w:val="single" w:color="auto" w:sz="4" w:space="0"/>
            </w:tcBorders>
            <w:noWrap w:val="0"/>
            <w:vAlign w:val="center"/>
          </w:tcPr>
          <w:p w14:paraId="0CEEDB7B">
            <w:pPr>
              <w:snapToGrid w:val="0"/>
              <w:spacing w:line="400" w:lineRule="exact"/>
              <w:rPr>
                <w:rFonts w:hint="eastAsia" w:ascii="宋体" w:hAnsi="宋体" w:cs="宋体"/>
                <w:color w:val="auto"/>
                <w:highlight w:val="none"/>
              </w:rPr>
            </w:pPr>
          </w:p>
        </w:tc>
        <w:tc>
          <w:tcPr>
            <w:tcW w:w="1945" w:type="dxa"/>
            <w:vMerge w:val="continue"/>
            <w:tcBorders>
              <w:top w:val="single" w:color="auto" w:sz="4" w:space="0"/>
              <w:left w:val="single" w:color="auto" w:sz="4" w:space="0"/>
              <w:right w:val="single" w:color="auto" w:sz="4" w:space="0"/>
            </w:tcBorders>
            <w:noWrap w:val="0"/>
            <w:vAlign w:val="center"/>
          </w:tcPr>
          <w:p w14:paraId="0C078A30">
            <w:pPr>
              <w:ind w:right="-20"/>
              <w:jc w:val="center"/>
              <w:rPr>
                <w:rFonts w:hint="eastAsia" w:ascii="宋体" w:hAnsi="宋体" w:cs="宋体"/>
                <w:color w:val="auto"/>
                <w:szCs w:val="21"/>
                <w:highlight w:val="none"/>
              </w:rPr>
            </w:pPr>
          </w:p>
        </w:tc>
        <w:tc>
          <w:tcPr>
            <w:tcW w:w="5284" w:type="dxa"/>
            <w:tcBorders>
              <w:top w:val="single" w:color="auto" w:sz="4" w:space="0"/>
              <w:left w:val="single" w:color="auto" w:sz="4" w:space="0"/>
              <w:bottom w:val="single" w:color="auto" w:sz="4" w:space="0"/>
              <w:right w:val="single" w:color="auto" w:sz="4" w:space="0"/>
            </w:tcBorders>
            <w:noWrap w:val="0"/>
            <w:vAlign w:val="center"/>
          </w:tcPr>
          <w:p w14:paraId="51867BAC">
            <w:pPr>
              <w:snapToGrid w:val="0"/>
              <w:spacing w:line="288" w:lineRule="auto"/>
              <w:rPr>
                <w:rFonts w:hint="eastAsia" w:ascii="宋体" w:hAnsi="宋体" w:cs="宋体"/>
                <w:color w:val="auto"/>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投标人同时具有“质量管理体系、环境管理体系、职业健康安全管理体系”认证证书且在有效期内，得3分；具有上述中的任意2项体系认证且在有效期内得2分；具有上述中的任意1项体系认证且在有效期内得1分；没有的得0分。</w:t>
            </w:r>
          </w:p>
          <w:p w14:paraId="6155CB81">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按最高得分计算一次，本项最高得3分。</w:t>
            </w:r>
          </w:p>
          <w:p w14:paraId="28ACE961">
            <w:pPr>
              <w:rPr>
                <w:rFonts w:hint="eastAsia" w:ascii="宋体" w:hAnsi="宋体" w:cs="宋体"/>
                <w:color w:val="auto"/>
                <w:szCs w:val="21"/>
                <w:highlight w:val="none"/>
                <w:lang w:val="zh-CN" w:bidi="zh-CN"/>
              </w:rPr>
            </w:pPr>
            <w:r>
              <w:rPr>
                <w:rFonts w:hint="eastAsia" w:ascii="宋体" w:hAnsi="宋体" w:cs="宋体"/>
                <w:color w:val="auto"/>
                <w:szCs w:val="21"/>
                <w:highlight w:val="none"/>
              </w:rPr>
              <w:t>注：需同时提供有效期内的认证证书</w:t>
            </w:r>
            <w:r>
              <w:rPr>
                <w:rFonts w:hint="eastAsia" w:ascii="宋体" w:hAnsi="宋体" w:cs="宋体"/>
                <w:color w:val="auto"/>
                <w:szCs w:val="21"/>
                <w:highlight w:val="none"/>
                <w:lang w:eastAsia="zh-CN"/>
              </w:rPr>
              <w:t>和</w:t>
            </w:r>
            <w:r>
              <w:rPr>
                <w:rFonts w:hint="eastAsia" w:ascii="宋体" w:hAnsi="宋体" w:cs="宋体"/>
                <w:color w:val="auto"/>
                <w:szCs w:val="21"/>
                <w:highlight w:val="none"/>
              </w:rPr>
              <w:t>在“全国认证认可信息公共服务平台 (http://cx.cnca.cn/）公示查询的有效信息，包括投标人名称、证书编号、认证依据、相关认证证书覆盖及相应体系的截图，不符合上述条件或未提供上述资料的不得分。联合体投标的，由</w:t>
            </w:r>
            <w:r>
              <w:rPr>
                <w:rFonts w:hint="eastAsia" w:ascii="宋体" w:hAnsi="宋体" w:cs="宋体"/>
                <w:color w:val="auto"/>
                <w:szCs w:val="21"/>
                <w:highlight w:val="none"/>
                <w:lang w:bidi="ar"/>
              </w:rPr>
              <w:t>主办方</w:t>
            </w:r>
            <w:r>
              <w:rPr>
                <w:rFonts w:hint="eastAsia" w:ascii="宋体" w:hAnsi="宋体" w:cs="宋体"/>
                <w:color w:val="auto"/>
                <w:szCs w:val="21"/>
                <w:highlight w:val="none"/>
              </w:rPr>
              <w:t>提供。</w:t>
            </w:r>
          </w:p>
        </w:tc>
      </w:tr>
      <w:tr w14:paraId="4135CD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56" w:hRule="atLeast"/>
        </w:trPr>
        <w:tc>
          <w:tcPr>
            <w:tcW w:w="900" w:type="dxa"/>
            <w:vMerge w:val="continue"/>
            <w:tcBorders>
              <w:right w:val="single" w:color="auto" w:sz="4" w:space="0"/>
            </w:tcBorders>
            <w:noWrap w:val="0"/>
            <w:vAlign w:val="center"/>
          </w:tcPr>
          <w:p w14:paraId="6C768EFB">
            <w:pPr>
              <w:spacing w:line="400" w:lineRule="exact"/>
              <w:rPr>
                <w:color w:val="auto"/>
                <w:highlight w:val="none"/>
              </w:rPr>
            </w:pPr>
          </w:p>
        </w:tc>
        <w:tc>
          <w:tcPr>
            <w:tcW w:w="1227" w:type="dxa"/>
            <w:vMerge w:val="continue"/>
            <w:tcBorders>
              <w:right w:val="single" w:color="auto" w:sz="4" w:space="0"/>
            </w:tcBorders>
            <w:noWrap w:val="0"/>
            <w:vAlign w:val="center"/>
          </w:tcPr>
          <w:p w14:paraId="1A4E6F7B">
            <w:pPr>
              <w:snapToGrid w:val="0"/>
              <w:spacing w:line="400" w:lineRule="exact"/>
              <w:rPr>
                <w:rFonts w:hint="eastAsia" w:ascii="宋体" w:hAnsi="宋体" w:cs="宋体"/>
                <w:color w:val="auto"/>
                <w:highlight w:val="none"/>
              </w:rPr>
            </w:pPr>
          </w:p>
        </w:tc>
        <w:tc>
          <w:tcPr>
            <w:tcW w:w="1945" w:type="dxa"/>
            <w:tcBorders>
              <w:top w:val="single" w:color="auto" w:sz="4" w:space="0"/>
              <w:left w:val="single" w:color="auto" w:sz="4" w:space="0"/>
              <w:bottom w:val="single" w:color="auto" w:sz="4" w:space="0"/>
              <w:right w:val="single" w:color="auto" w:sz="4" w:space="0"/>
            </w:tcBorders>
            <w:noWrap w:val="0"/>
            <w:vAlign w:val="center"/>
          </w:tcPr>
          <w:p w14:paraId="5A97ABC8">
            <w:pPr>
              <w:ind w:right="-20"/>
              <w:jc w:val="center"/>
              <w:rPr>
                <w:rFonts w:hint="eastAsia" w:ascii="宋体" w:hAnsi="宋体" w:cs="宋体"/>
                <w:color w:val="auto"/>
                <w:szCs w:val="21"/>
                <w:highlight w:val="none"/>
              </w:rPr>
            </w:pPr>
            <w:bookmarkStart w:id="387" w:name="OLE_LINK35"/>
            <w:r>
              <w:rPr>
                <w:rFonts w:hint="eastAsia" w:ascii="宋体" w:hAnsi="宋体" w:cs="宋体"/>
                <w:color w:val="auto"/>
                <w:szCs w:val="21"/>
                <w:highlight w:val="none"/>
              </w:rPr>
              <w:t>项目负责人</w:t>
            </w:r>
          </w:p>
          <w:p w14:paraId="24BC9ECB">
            <w:pPr>
              <w:ind w:right="-20"/>
              <w:jc w:val="center"/>
              <w:rPr>
                <w:rFonts w:hint="eastAsia" w:ascii="宋体" w:hAnsi="宋体" w:cs="宋体"/>
                <w:color w:val="auto"/>
                <w:szCs w:val="21"/>
                <w:highlight w:val="none"/>
              </w:rPr>
            </w:pPr>
            <w:r>
              <w:rPr>
                <w:rFonts w:hint="eastAsia" w:ascii="宋体" w:hAnsi="宋体" w:cs="宋体"/>
                <w:color w:val="auto"/>
                <w:szCs w:val="21"/>
                <w:highlight w:val="none"/>
              </w:rPr>
              <w:t>（5分）</w:t>
            </w:r>
            <w:bookmarkEnd w:id="387"/>
          </w:p>
        </w:tc>
        <w:tc>
          <w:tcPr>
            <w:tcW w:w="5284" w:type="dxa"/>
            <w:tcBorders>
              <w:top w:val="single" w:color="auto" w:sz="4" w:space="0"/>
              <w:left w:val="single" w:color="auto" w:sz="4" w:space="0"/>
              <w:bottom w:val="single" w:color="auto" w:sz="4" w:space="0"/>
              <w:right w:val="single" w:color="auto" w:sz="4" w:space="0"/>
            </w:tcBorders>
            <w:noWrap w:val="0"/>
            <w:vAlign w:val="center"/>
          </w:tcPr>
          <w:p w14:paraId="0BA66DA7">
            <w:pPr>
              <w:numPr>
                <w:ilvl w:val="0"/>
                <w:numId w:val="2"/>
              </w:numPr>
              <w:rPr>
                <w:rFonts w:hint="eastAsia" w:ascii="宋体" w:hAnsi="宋体" w:cs="宋体"/>
                <w:color w:val="auto"/>
                <w:szCs w:val="21"/>
                <w:highlight w:val="none"/>
              </w:rPr>
            </w:pPr>
            <w:bookmarkStart w:id="388" w:name="OLE_LINK34"/>
            <w:r>
              <w:rPr>
                <w:rFonts w:hint="eastAsia" w:ascii="宋体" w:hAnsi="宋体" w:cs="宋体"/>
                <w:color w:val="auto"/>
                <w:szCs w:val="21"/>
                <w:highlight w:val="none"/>
              </w:rPr>
              <w:t>具有工程类相关专业高级工程师或以上职称得2分。</w:t>
            </w:r>
          </w:p>
          <w:p w14:paraId="1090DDFF">
            <w:pPr>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 w:val="24"/>
                <w:szCs w:val="24"/>
                <w:highlight w:val="none"/>
              </w:rPr>
              <w:t>、</w:t>
            </w:r>
            <w:r>
              <w:rPr>
                <w:rFonts w:hint="eastAsia" w:ascii="宋体" w:hAnsi="宋体" w:cs="宋体"/>
                <w:color w:val="auto"/>
                <w:szCs w:val="21"/>
                <w:highlight w:val="none"/>
              </w:rPr>
              <w:t>2020年1月1日至至投标截止时间止，担任过类似监测项目的项目负责人的得3分。无或其他不得分。</w:t>
            </w:r>
          </w:p>
          <w:p w14:paraId="5C963BB5">
            <w:pPr>
              <w:pStyle w:val="17"/>
              <w:spacing w:line="288" w:lineRule="auto"/>
              <w:rPr>
                <w:rFonts w:hint="eastAsia" w:hAnsi="宋体" w:cs="宋体"/>
                <w:color w:val="auto"/>
                <w:kern w:val="2"/>
                <w:sz w:val="21"/>
                <w:szCs w:val="21"/>
                <w:highlight w:val="none"/>
              </w:rPr>
            </w:pPr>
            <w:r>
              <w:rPr>
                <w:rFonts w:hint="eastAsia" w:hAnsi="宋体" w:cs="宋体"/>
                <w:color w:val="auto"/>
                <w:sz w:val="21"/>
                <w:szCs w:val="21"/>
                <w:highlight w:val="none"/>
              </w:rPr>
              <w:t>本项最多得5分。</w:t>
            </w:r>
          </w:p>
          <w:p w14:paraId="406D8516">
            <w:pPr>
              <w:jc w:val="left"/>
              <w:rPr>
                <w:rFonts w:hint="eastAsia" w:ascii="宋体" w:hAnsi="宋体" w:cs="宋体"/>
                <w:color w:val="auto"/>
                <w:szCs w:val="21"/>
                <w:highlight w:val="none"/>
              </w:rPr>
            </w:pPr>
            <w:r>
              <w:rPr>
                <w:rFonts w:hint="eastAsia" w:ascii="宋体" w:hAnsi="宋体" w:cs="宋体"/>
                <w:color w:val="auto"/>
                <w:szCs w:val="21"/>
                <w:highlight w:val="none"/>
              </w:rPr>
              <w:t>注：须提供身份证、职称证、社保证明及拟派项目负责人担任相关业绩的项目负责人职务等证明材料原件清晰扫描件或电子证照，</w:t>
            </w:r>
            <w:bookmarkEnd w:id="388"/>
            <w:r>
              <w:rPr>
                <w:rFonts w:hint="eastAsia" w:ascii="宋体" w:hAnsi="宋体" w:cs="宋体"/>
                <w:color w:val="auto"/>
                <w:szCs w:val="21"/>
                <w:highlight w:val="none"/>
              </w:rPr>
              <w:t>不符合上述条件或未提供上述资料的不得分。联合体投标的，由</w:t>
            </w:r>
            <w:r>
              <w:rPr>
                <w:rFonts w:hint="eastAsia" w:ascii="宋体" w:hAnsi="宋体" w:cs="宋体"/>
                <w:color w:val="auto"/>
                <w:szCs w:val="21"/>
                <w:highlight w:val="none"/>
                <w:lang w:bidi="ar"/>
              </w:rPr>
              <w:t>主办方</w:t>
            </w:r>
            <w:r>
              <w:rPr>
                <w:rFonts w:hint="eastAsia" w:ascii="宋体" w:hAnsi="宋体" w:cs="宋体"/>
                <w:color w:val="auto"/>
                <w:szCs w:val="21"/>
                <w:highlight w:val="none"/>
              </w:rPr>
              <w:t>提供。</w:t>
            </w:r>
          </w:p>
        </w:tc>
      </w:tr>
      <w:tr w14:paraId="2B1F58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7" w:hRule="atLeast"/>
        </w:trPr>
        <w:tc>
          <w:tcPr>
            <w:tcW w:w="900" w:type="dxa"/>
            <w:vMerge w:val="continue"/>
            <w:tcBorders>
              <w:right w:val="single" w:color="auto" w:sz="4" w:space="0"/>
            </w:tcBorders>
            <w:noWrap w:val="0"/>
            <w:vAlign w:val="center"/>
          </w:tcPr>
          <w:p w14:paraId="75482556">
            <w:pPr>
              <w:spacing w:line="400" w:lineRule="exact"/>
              <w:rPr>
                <w:color w:val="auto"/>
                <w:highlight w:val="none"/>
              </w:rPr>
            </w:pPr>
          </w:p>
        </w:tc>
        <w:tc>
          <w:tcPr>
            <w:tcW w:w="1227" w:type="dxa"/>
            <w:vMerge w:val="continue"/>
            <w:tcBorders>
              <w:right w:val="single" w:color="auto" w:sz="4" w:space="0"/>
            </w:tcBorders>
            <w:noWrap w:val="0"/>
            <w:vAlign w:val="center"/>
          </w:tcPr>
          <w:p w14:paraId="654FBFF1">
            <w:pPr>
              <w:snapToGrid w:val="0"/>
              <w:spacing w:line="400" w:lineRule="exact"/>
              <w:rPr>
                <w:rFonts w:hint="eastAsia" w:ascii="宋体" w:hAnsi="宋体" w:cs="宋体"/>
                <w:color w:val="auto"/>
                <w:highlight w:val="none"/>
              </w:rPr>
            </w:pPr>
          </w:p>
        </w:tc>
        <w:tc>
          <w:tcPr>
            <w:tcW w:w="1945" w:type="dxa"/>
            <w:tcBorders>
              <w:top w:val="single" w:color="auto" w:sz="4" w:space="0"/>
              <w:left w:val="single" w:color="auto" w:sz="4" w:space="0"/>
              <w:right w:val="single" w:color="auto" w:sz="4" w:space="0"/>
            </w:tcBorders>
            <w:noWrap w:val="0"/>
            <w:vAlign w:val="center"/>
          </w:tcPr>
          <w:p w14:paraId="0F6657FA">
            <w:pPr>
              <w:ind w:right="-20"/>
              <w:jc w:val="center"/>
              <w:rPr>
                <w:rFonts w:hint="eastAsia" w:ascii="宋体" w:hAnsi="宋体" w:cs="宋体"/>
                <w:color w:val="auto"/>
                <w:szCs w:val="21"/>
                <w:highlight w:val="none"/>
              </w:rPr>
            </w:pPr>
            <w:bookmarkStart w:id="389" w:name="OLE_LINK38"/>
            <w:r>
              <w:rPr>
                <w:rFonts w:hint="eastAsia" w:ascii="宋体" w:hAnsi="宋体" w:cs="宋体"/>
                <w:color w:val="auto"/>
                <w:szCs w:val="21"/>
                <w:highlight w:val="none"/>
              </w:rPr>
              <w:t>监测监控技术人员（10分）</w:t>
            </w:r>
          </w:p>
          <w:bookmarkEnd w:id="389"/>
          <w:p w14:paraId="5CA45783">
            <w:pPr>
              <w:ind w:right="-20"/>
              <w:jc w:val="center"/>
              <w:rPr>
                <w:rFonts w:hint="eastAsia" w:ascii="宋体" w:hAnsi="宋体" w:cs="宋体"/>
                <w:color w:val="auto"/>
                <w:szCs w:val="21"/>
                <w:highlight w:val="none"/>
              </w:rPr>
            </w:pPr>
          </w:p>
        </w:tc>
        <w:tc>
          <w:tcPr>
            <w:tcW w:w="5284" w:type="dxa"/>
            <w:tcBorders>
              <w:top w:val="single" w:color="auto" w:sz="4" w:space="0"/>
              <w:left w:val="single" w:color="auto" w:sz="4" w:space="0"/>
              <w:bottom w:val="single" w:color="auto" w:sz="4" w:space="0"/>
              <w:right w:val="single" w:color="auto" w:sz="4" w:space="0"/>
            </w:tcBorders>
            <w:noWrap w:val="0"/>
            <w:vAlign w:val="center"/>
          </w:tcPr>
          <w:p w14:paraId="120EE61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（项目负责人除外）具有工程相关专业高级工程师或以上职称的每人得</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分，具有工程相关专业</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rPr>
              <w:t>级工程师职称的每人得1分</w:t>
            </w:r>
            <w:r>
              <w:rPr>
                <w:rFonts w:hint="eastAsia" w:ascii="宋体" w:hAnsi="宋体" w:cs="宋体"/>
                <w:color w:val="auto"/>
                <w:szCs w:val="21"/>
                <w:highlight w:val="none"/>
                <w:lang w:eastAsia="zh-CN"/>
              </w:rPr>
              <w:t>，</w:t>
            </w:r>
            <w:r>
              <w:rPr>
                <w:rFonts w:hint="eastAsia" w:ascii="宋体" w:hAnsi="宋体" w:cs="宋体"/>
                <w:color w:val="auto"/>
                <w:szCs w:val="21"/>
                <w:highlight w:val="none"/>
              </w:rPr>
              <w:t>具有工程相关专业</w:t>
            </w:r>
            <w:r>
              <w:rPr>
                <w:rFonts w:hint="eastAsia" w:ascii="宋体" w:hAnsi="宋体" w:cs="宋体"/>
                <w:color w:val="auto"/>
                <w:szCs w:val="21"/>
                <w:highlight w:val="none"/>
                <w:lang w:val="en-US" w:eastAsia="zh-CN"/>
              </w:rPr>
              <w:t>助理</w:t>
            </w:r>
            <w:r>
              <w:rPr>
                <w:rFonts w:hint="eastAsia" w:ascii="宋体" w:hAnsi="宋体" w:cs="宋体"/>
                <w:color w:val="auto"/>
                <w:szCs w:val="21"/>
                <w:highlight w:val="none"/>
              </w:rPr>
              <w:t>工程师职称的每人得</w:t>
            </w:r>
            <w:r>
              <w:rPr>
                <w:rFonts w:hint="eastAsia" w:ascii="宋体" w:hAnsi="宋体" w:cs="宋体"/>
                <w:color w:val="auto"/>
                <w:szCs w:val="21"/>
                <w:highlight w:val="none"/>
                <w:lang w:val="en-US" w:eastAsia="zh-CN"/>
              </w:rPr>
              <w:t>0.5</w:t>
            </w:r>
            <w:r>
              <w:rPr>
                <w:rFonts w:hint="eastAsia" w:ascii="宋体" w:hAnsi="宋体" w:cs="宋体"/>
                <w:color w:val="auto"/>
                <w:szCs w:val="21"/>
                <w:highlight w:val="none"/>
              </w:rPr>
              <w:t>分</w:t>
            </w:r>
            <w:r>
              <w:rPr>
                <w:rFonts w:hint="eastAsia" w:ascii="宋体" w:hAnsi="宋体" w:cs="宋体"/>
                <w:color w:val="auto"/>
                <w:szCs w:val="21"/>
                <w:highlight w:val="none"/>
                <w:lang w:eastAsia="zh-CN"/>
              </w:rPr>
              <w:t>，</w:t>
            </w:r>
            <w:r>
              <w:rPr>
                <w:rFonts w:hint="eastAsia" w:ascii="宋体" w:hAnsi="宋体" w:cs="宋体"/>
                <w:color w:val="auto"/>
                <w:szCs w:val="21"/>
                <w:highlight w:val="none"/>
              </w:rPr>
              <w:t>本项最多得10分。</w:t>
            </w:r>
          </w:p>
          <w:p w14:paraId="106DBB5A">
            <w:pPr>
              <w:pStyle w:val="34"/>
              <w:rPr>
                <w:rFonts w:hint="eastAsia" w:ascii="宋体" w:hAnsi="宋体" w:cs="宋体"/>
                <w:color w:val="auto"/>
                <w:szCs w:val="21"/>
                <w:highlight w:val="none"/>
              </w:rPr>
            </w:pPr>
            <w:r>
              <w:rPr>
                <w:rFonts w:hint="eastAsia" w:hAnsi="宋体" w:cs="宋体"/>
                <w:color w:val="auto"/>
                <w:szCs w:val="21"/>
                <w:highlight w:val="none"/>
              </w:rPr>
              <w:t>注：须提供身份证、职称证、社保证明等原件清晰扫描件或电子证照，不符合上述条件或未提供上述资料的不得分。</w:t>
            </w:r>
            <w:r>
              <w:rPr>
                <w:rFonts w:hint="eastAsia" w:ascii="宋体" w:hAnsi="宋体" w:cs="宋体"/>
                <w:color w:val="auto"/>
                <w:szCs w:val="21"/>
                <w:highlight w:val="none"/>
              </w:rPr>
              <w:t>联合体投标的，可由联合体任意一方或</w:t>
            </w:r>
            <w:r>
              <w:rPr>
                <w:rFonts w:hint="eastAsia" w:ascii="宋体" w:hAnsi="宋体" w:cs="宋体"/>
                <w:color w:val="auto"/>
                <w:szCs w:val="21"/>
                <w:highlight w:val="none"/>
                <w:lang w:bidi="ar"/>
              </w:rPr>
              <w:t>双方共同</w:t>
            </w:r>
            <w:r>
              <w:rPr>
                <w:rFonts w:hint="eastAsia" w:ascii="宋体" w:hAnsi="宋体" w:cs="宋体"/>
                <w:color w:val="auto"/>
                <w:szCs w:val="21"/>
                <w:highlight w:val="none"/>
              </w:rPr>
              <w:t>提供。</w:t>
            </w:r>
          </w:p>
        </w:tc>
      </w:tr>
      <w:tr w14:paraId="118A08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4" w:hRule="atLeast"/>
        </w:trPr>
        <w:tc>
          <w:tcPr>
            <w:tcW w:w="900" w:type="dxa"/>
            <w:vMerge w:val="restart"/>
            <w:tcBorders>
              <w:top w:val="single" w:color="auto" w:sz="4" w:space="0"/>
              <w:left w:val="single" w:color="auto" w:sz="4" w:space="0"/>
              <w:right w:val="single" w:color="auto" w:sz="4" w:space="0"/>
            </w:tcBorders>
            <w:noWrap w:val="0"/>
            <w:vAlign w:val="center"/>
          </w:tcPr>
          <w:p w14:paraId="1064DE5A">
            <w:pPr>
              <w:spacing w:line="400" w:lineRule="exact"/>
              <w:rPr>
                <w:color w:val="auto"/>
                <w:highlight w:val="none"/>
              </w:rPr>
            </w:pPr>
            <w:r>
              <w:rPr>
                <w:rFonts w:hint="eastAsia"/>
                <w:color w:val="auto"/>
                <w:highlight w:val="none"/>
              </w:rPr>
              <w:t>2.2.4（2）</w:t>
            </w:r>
          </w:p>
        </w:tc>
        <w:tc>
          <w:tcPr>
            <w:tcW w:w="1227" w:type="dxa"/>
            <w:vMerge w:val="restart"/>
            <w:tcBorders>
              <w:top w:val="single" w:color="auto" w:sz="4" w:space="0"/>
              <w:left w:val="single" w:color="auto" w:sz="4" w:space="0"/>
              <w:right w:val="single" w:color="auto" w:sz="4" w:space="0"/>
            </w:tcBorders>
            <w:noWrap w:val="0"/>
            <w:vAlign w:val="center"/>
          </w:tcPr>
          <w:p w14:paraId="1A2D07A8">
            <w:pPr>
              <w:rPr>
                <w:rFonts w:hint="eastAsia" w:ascii="宋体" w:hAnsi="宋体" w:cs="宋体"/>
                <w:color w:val="auto"/>
                <w:highlight w:val="none"/>
              </w:rPr>
            </w:pPr>
            <w:r>
              <w:rPr>
                <w:rFonts w:hint="eastAsia" w:ascii="宋体" w:hAnsi="宋体" w:cs="宋体"/>
                <w:color w:val="auto"/>
                <w:szCs w:val="21"/>
                <w:highlight w:val="none"/>
              </w:rPr>
              <w:t>监测监控方案评分标准（30分）</w:t>
            </w:r>
          </w:p>
        </w:tc>
        <w:tc>
          <w:tcPr>
            <w:tcW w:w="1945" w:type="dxa"/>
            <w:tcBorders>
              <w:top w:val="single" w:color="auto" w:sz="4" w:space="0"/>
              <w:left w:val="single" w:color="auto" w:sz="4" w:space="0"/>
              <w:right w:val="single" w:color="auto" w:sz="4" w:space="0"/>
            </w:tcBorders>
            <w:noWrap w:val="0"/>
            <w:vAlign w:val="center"/>
          </w:tcPr>
          <w:p w14:paraId="2D7649FC">
            <w:pPr>
              <w:spacing w:before="100" w:beforeAutospacing="1" w:after="100" w:afterAutospacing="1"/>
              <w:rPr>
                <w:rFonts w:hint="eastAsia" w:ascii="宋体" w:hAnsi="宋体" w:cs="宋体"/>
                <w:color w:val="auto"/>
                <w:szCs w:val="21"/>
                <w:highlight w:val="none"/>
              </w:rPr>
            </w:pPr>
            <w:r>
              <w:rPr>
                <w:rFonts w:hint="eastAsia" w:ascii="宋体" w:hAnsi="宋体" w:cs="宋体"/>
                <w:color w:val="auto"/>
                <w:szCs w:val="21"/>
                <w:highlight w:val="none"/>
                <w:lang w:bidi="zh-CN"/>
              </w:rPr>
              <w:t>监</w:t>
            </w:r>
            <w:r>
              <w:rPr>
                <w:rFonts w:hint="eastAsia" w:ascii="宋体" w:hAnsi="宋体" w:cs="宋体"/>
                <w:color w:val="auto"/>
                <w:szCs w:val="21"/>
                <w:highlight w:val="none"/>
              </w:rPr>
              <w:t>测方案</w:t>
            </w:r>
          </w:p>
          <w:p w14:paraId="784CD3FC">
            <w:pPr>
              <w:rPr>
                <w:rFonts w:hint="eastAsia" w:ascii="宋体" w:hAnsi="宋体" w:cs="宋体"/>
                <w:color w:val="auto"/>
                <w:szCs w:val="21"/>
                <w:highlight w:val="none"/>
              </w:rPr>
            </w:pPr>
            <w:r>
              <w:rPr>
                <w:rFonts w:hint="eastAsia" w:ascii="宋体" w:hAnsi="宋体" w:cs="宋体"/>
                <w:color w:val="auto"/>
                <w:szCs w:val="21"/>
                <w:highlight w:val="none"/>
              </w:rPr>
              <w:t>（15分）</w:t>
            </w:r>
          </w:p>
        </w:tc>
        <w:tc>
          <w:tcPr>
            <w:tcW w:w="5284" w:type="dxa"/>
            <w:tcBorders>
              <w:top w:val="single" w:color="auto" w:sz="4" w:space="0"/>
              <w:left w:val="single" w:color="auto" w:sz="4" w:space="0"/>
              <w:right w:val="single" w:color="auto" w:sz="4" w:space="0"/>
            </w:tcBorders>
            <w:noWrap w:val="0"/>
            <w:vAlign w:val="top"/>
          </w:tcPr>
          <w:p w14:paraId="0713A001">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优】：（1）监测方案详细、具体，内容齐全，能满足本工程提出的所有项目；（2）监测数据能实时上传到广州地铁集团有限公司的监管平台；（3）有合理可行的保证通过相关验收、满足工程进度确保措施，得12-15分；</w:t>
            </w:r>
          </w:p>
          <w:p w14:paraId="483F573C">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【良】：（1）监测方案较详细、较具体，内容较齐全；（2）有比较可行的保证通过相关验收、满足工程进度确保措施，得8-11分；</w:t>
            </w:r>
          </w:p>
          <w:p w14:paraId="5C59E800">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【中】：监测方案基本内容满足要求，方法符合规范要求，有能通过相关验收、满足工程进度的确保措施，得4-7分；</w:t>
            </w:r>
          </w:p>
          <w:p w14:paraId="3AE68A46">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【差】：监测方法基本内容不能满足监测要求或未提供监测方案，不得分。</w:t>
            </w:r>
          </w:p>
          <w:p w14:paraId="78122B1D">
            <w:pPr>
              <w:widowControl/>
              <w:spacing w:line="288" w:lineRule="auto"/>
              <w:jc w:val="left"/>
              <w:rPr>
                <w:rFonts w:hint="eastAsia" w:ascii="宋体" w:hAnsi="宋体" w:cs="宋体"/>
                <w:color w:val="auto"/>
                <w:szCs w:val="21"/>
                <w:highlight w:val="none"/>
              </w:rPr>
            </w:pPr>
            <w:r>
              <w:rPr>
                <w:rFonts w:hint="eastAsia" w:ascii="宋体" w:hAnsi="宋体" w:cs="宋体"/>
                <w:color w:val="auto"/>
                <w:szCs w:val="21"/>
                <w:highlight w:val="none"/>
              </w:rPr>
              <w:t>注：实时上传广州地铁集团有限公司的监管平台系统需提供本单位相关平台截图证明。</w:t>
            </w:r>
          </w:p>
        </w:tc>
      </w:tr>
      <w:tr w14:paraId="07E6D4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3" w:hRule="atLeast"/>
        </w:trPr>
        <w:tc>
          <w:tcPr>
            <w:tcW w:w="900" w:type="dxa"/>
            <w:vMerge w:val="continue"/>
            <w:tcBorders>
              <w:left w:val="single" w:color="auto" w:sz="4" w:space="0"/>
              <w:right w:val="single" w:color="auto" w:sz="4" w:space="0"/>
            </w:tcBorders>
            <w:noWrap w:val="0"/>
            <w:vAlign w:val="center"/>
          </w:tcPr>
          <w:p w14:paraId="50859394">
            <w:pPr>
              <w:spacing w:line="400" w:lineRule="exact"/>
              <w:rPr>
                <w:rFonts w:hint="eastAsia"/>
                <w:color w:val="auto"/>
                <w:highlight w:val="none"/>
              </w:rPr>
            </w:pPr>
          </w:p>
        </w:tc>
        <w:tc>
          <w:tcPr>
            <w:tcW w:w="1227" w:type="dxa"/>
            <w:vMerge w:val="continue"/>
            <w:tcBorders>
              <w:left w:val="single" w:color="auto" w:sz="4" w:space="0"/>
              <w:right w:val="single" w:color="auto" w:sz="4" w:space="0"/>
            </w:tcBorders>
            <w:noWrap w:val="0"/>
            <w:vAlign w:val="center"/>
          </w:tcPr>
          <w:p w14:paraId="24195940">
            <w:pPr>
              <w:spacing w:line="440" w:lineRule="exact"/>
              <w:jc w:val="center"/>
              <w:rPr>
                <w:rFonts w:hint="eastAsia" w:ascii="宋体" w:hAnsi="宋体" w:cs="宋体"/>
                <w:color w:val="auto"/>
                <w:szCs w:val="21"/>
                <w:highlight w:val="none"/>
              </w:rPr>
            </w:pPr>
          </w:p>
        </w:tc>
        <w:tc>
          <w:tcPr>
            <w:tcW w:w="1945" w:type="dxa"/>
            <w:tcBorders>
              <w:top w:val="single" w:color="auto" w:sz="4" w:space="0"/>
              <w:left w:val="single" w:color="auto" w:sz="4" w:space="0"/>
              <w:right w:val="single" w:color="auto" w:sz="4" w:space="0"/>
            </w:tcBorders>
            <w:noWrap w:val="0"/>
            <w:vAlign w:val="center"/>
          </w:tcPr>
          <w:p w14:paraId="5613342C">
            <w:pPr>
              <w:jc w:val="center"/>
              <w:rPr>
                <w:rFonts w:ascii="宋体" w:hAnsi="宋体" w:cs="宋体"/>
                <w:color w:val="auto"/>
                <w:szCs w:val="21"/>
                <w:highlight w:val="none"/>
              </w:rPr>
            </w:pPr>
            <w:r>
              <w:rPr>
                <w:rFonts w:hint="eastAsia" w:ascii="宋体" w:hAnsi="宋体" w:cs="宋体"/>
                <w:color w:val="auto"/>
                <w:szCs w:val="21"/>
                <w:highlight w:val="none"/>
              </w:rPr>
              <w:t>监控方案（15分）</w:t>
            </w:r>
          </w:p>
        </w:tc>
        <w:tc>
          <w:tcPr>
            <w:tcW w:w="5284" w:type="dxa"/>
            <w:tcBorders>
              <w:top w:val="single" w:color="auto" w:sz="4" w:space="0"/>
              <w:left w:val="single" w:color="auto" w:sz="4" w:space="0"/>
              <w:right w:val="single" w:color="auto" w:sz="4" w:space="0"/>
            </w:tcBorders>
            <w:noWrap w:val="0"/>
            <w:vAlign w:val="top"/>
          </w:tcPr>
          <w:p w14:paraId="7E3E5A03">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【优】：（1）监控方案详细、具体，内容齐全，能满足本工程需求；（2）有合理可行的保证通过相关验收、满足工程进度确保措施，得12-15分；</w:t>
            </w:r>
          </w:p>
          <w:p w14:paraId="71D463EE">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【良】：（1）监控方案较详细、较具体，内容较齐全；（2）有比较可行的保证通过相关验收、满足工程进度确保措施，得8-11分；</w:t>
            </w:r>
          </w:p>
          <w:p w14:paraId="5BFC4907">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【中】：监控方案基本内容满足要求，方法符合规范要求，有能通过相关验收、满足工程进度的确保措施，得4-17分；</w:t>
            </w:r>
          </w:p>
          <w:p w14:paraId="7C3F813B">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【差】：监控方法基本内容不能满足监控要求或未提供监控方案，不得分。</w:t>
            </w:r>
          </w:p>
        </w:tc>
      </w:tr>
      <w:tr w14:paraId="721CE2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29" w:hRule="atLeast"/>
        </w:trPr>
        <w:tc>
          <w:tcPr>
            <w:tcW w:w="900" w:type="dxa"/>
            <w:tcBorders>
              <w:top w:val="single" w:color="auto" w:sz="4" w:space="0"/>
              <w:left w:val="single" w:color="auto" w:sz="4" w:space="0"/>
              <w:right w:val="single" w:color="auto" w:sz="4" w:space="0"/>
            </w:tcBorders>
            <w:noWrap w:val="0"/>
            <w:vAlign w:val="center"/>
          </w:tcPr>
          <w:p w14:paraId="67DD44DA">
            <w:pPr>
              <w:spacing w:line="440" w:lineRule="exact"/>
              <w:jc w:val="center"/>
              <w:rPr>
                <w:rFonts w:hint="eastAsia"/>
                <w:color w:val="auto"/>
                <w:highlight w:val="none"/>
              </w:rPr>
            </w:pPr>
            <w:r>
              <w:rPr>
                <w:color w:val="auto"/>
                <w:szCs w:val="21"/>
                <w:highlight w:val="none"/>
              </w:rPr>
              <w:t>2.2.4</w:t>
            </w:r>
            <w:r>
              <w:rPr>
                <w:rFonts w:hint="eastAsia" w:ascii="宋体" w:hAnsi="宋体"/>
                <w:color w:val="auto"/>
                <w:szCs w:val="21"/>
                <w:highlight w:val="none"/>
              </w:rPr>
              <w:t>（</w:t>
            </w:r>
            <w:r>
              <w:rPr>
                <w:color w:val="auto"/>
                <w:szCs w:val="21"/>
                <w:highlight w:val="none"/>
              </w:rPr>
              <w:t>3</w:t>
            </w:r>
            <w:r>
              <w:rPr>
                <w:rFonts w:hint="eastAsia" w:ascii="宋体" w:hAnsi="宋体"/>
                <w:color w:val="auto"/>
                <w:szCs w:val="21"/>
                <w:highlight w:val="none"/>
              </w:rPr>
              <w:t>）</w:t>
            </w:r>
          </w:p>
        </w:tc>
        <w:tc>
          <w:tcPr>
            <w:tcW w:w="1227" w:type="dxa"/>
            <w:tcBorders>
              <w:top w:val="single" w:color="auto" w:sz="4" w:space="0"/>
              <w:left w:val="single" w:color="auto" w:sz="4" w:space="0"/>
              <w:right w:val="single" w:color="auto" w:sz="4" w:space="0"/>
            </w:tcBorders>
            <w:noWrap w:val="0"/>
            <w:vAlign w:val="center"/>
          </w:tcPr>
          <w:p w14:paraId="1F03D7BA">
            <w:pPr>
              <w:rPr>
                <w:rFonts w:hint="eastAsia" w:ascii="宋体" w:hAnsi="宋体" w:cs="宋体"/>
                <w:color w:val="auto"/>
                <w:szCs w:val="21"/>
                <w:highlight w:val="none"/>
              </w:rPr>
            </w:pPr>
            <w:r>
              <w:rPr>
                <w:rFonts w:hint="eastAsia" w:ascii="宋体" w:hAnsi="宋体" w:cs="宋体"/>
                <w:color w:val="auto"/>
                <w:szCs w:val="21"/>
                <w:highlight w:val="none"/>
              </w:rPr>
              <w:t>投标报价评分标准(20分)</w:t>
            </w:r>
          </w:p>
        </w:tc>
        <w:tc>
          <w:tcPr>
            <w:tcW w:w="1945" w:type="dxa"/>
            <w:tcBorders>
              <w:top w:val="single" w:color="auto" w:sz="4" w:space="0"/>
              <w:left w:val="single" w:color="auto" w:sz="4" w:space="0"/>
              <w:right w:val="single" w:color="auto" w:sz="4" w:space="0"/>
            </w:tcBorders>
            <w:noWrap w:val="0"/>
            <w:vAlign w:val="center"/>
          </w:tcPr>
          <w:p w14:paraId="403151AE">
            <w:pPr>
              <w:spacing w:line="420" w:lineRule="atLeast"/>
              <w:jc w:val="center"/>
              <w:rPr>
                <w:rFonts w:hint="eastAsia" w:ascii="宋体" w:hAnsi="宋体" w:cs="宋体"/>
                <w:color w:val="auto"/>
                <w:szCs w:val="21"/>
                <w:highlight w:val="none"/>
              </w:rPr>
            </w:pPr>
            <w:r>
              <w:rPr>
                <w:rFonts w:hint="eastAsia" w:ascii="宋体" w:hAnsi="宋体" w:cs="宋体"/>
                <w:color w:val="auto"/>
                <w:szCs w:val="21"/>
                <w:highlight w:val="none"/>
              </w:rPr>
              <w:t>报价得分</w:t>
            </w:r>
          </w:p>
          <w:p w14:paraId="7C18A9FA">
            <w:pPr>
              <w:jc w:val="center"/>
              <w:rPr>
                <w:rFonts w:hint="eastAsia" w:ascii="宋体" w:hAnsi="宋体" w:cs="宋体"/>
                <w:color w:val="auto"/>
                <w:szCs w:val="21"/>
                <w:highlight w:val="none"/>
              </w:rPr>
            </w:pPr>
            <w:r>
              <w:rPr>
                <w:rFonts w:hint="eastAsia" w:ascii="宋体" w:hAnsi="宋体" w:cs="宋体"/>
                <w:color w:val="auto"/>
                <w:szCs w:val="21"/>
                <w:highlight w:val="none"/>
              </w:rPr>
              <w:t>(20分)</w:t>
            </w:r>
          </w:p>
        </w:tc>
        <w:tc>
          <w:tcPr>
            <w:tcW w:w="5284" w:type="dxa"/>
            <w:tcBorders>
              <w:top w:val="single" w:color="auto" w:sz="4" w:space="0"/>
              <w:left w:val="single" w:color="auto" w:sz="4" w:space="0"/>
              <w:right w:val="single" w:color="auto" w:sz="4" w:space="0"/>
            </w:tcBorders>
            <w:noWrap w:val="0"/>
            <w:vAlign w:val="center"/>
          </w:tcPr>
          <w:p w14:paraId="4115D9C2">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以评标基准价作为计算各有效投标价得分的基础。当有效投标价等于评标基准价时，有效投标价得分为20分；有效投标价比评标基准价上偏差1%减1分，下偏差1%减0.8分，最多减至0分止。得分保留小数点后二位，第三位小数四舍五入。</w:t>
            </w:r>
          </w:p>
        </w:tc>
      </w:tr>
      <w:tr w14:paraId="541C39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900" w:type="dxa"/>
            <w:tcBorders>
              <w:top w:val="single" w:color="auto" w:sz="4" w:space="0"/>
              <w:left w:val="single" w:color="auto" w:sz="4" w:space="0"/>
              <w:right w:val="single" w:color="auto" w:sz="4" w:space="0"/>
            </w:tcBorders>
            <w:noWrap w:val="0"/>
            <w:vAlign w:val="center"/>
          </w:tcPr>
          <w:p w14:paraId="6F521584">
            <w:pPr>
              <w:spacing w:line="440" w:lineRule="exact"/>
              <w:jc w:val="center"/>
              <w:rPr>
                <w:color w:val="auto"/>
                <w:szCs w:val="21"/>
                <w:highlight w:val="none"/>
              </w:rPr>
            </w:pPr>
            <w:r>
              <w:rPr>
                <w:color w:val="auto"/>
                <w:szCs w:val="21"/>
                <w:highlight w:val="none"/>
              </w:rPr>
              <w:t>2.2.4</w:t>
            </w:r>
            <w:r>
              <w:rPr>
                <w:rFonts w:hint="eastAsia" w:ascii="宋体" w:hAnsi="宋体"/>
                <w:color w:val="auto"/>
                <w:szCs w:val="21"/>
                <w:highlight w:val="none"/>
              </w:rPr>
              <w:t>（</w:t>
            </w:r>
            <w:r>
              <w:rPr>
                <w:color w:val="auto"/>
                <w:szCs w:val="21"/>
                <w:highlight w:val="none"/>
              </w:rPr>
              <w:t>4</w:t>
            </w:r>
            <w:r>
              <w:rPr>
                <w:rFonts w:hint="eastAsia" w:ascii="宋体" w:hAnsi="宋体"/>
                <w:color w:val="auto"/>
                <w:szCs w:val="21"/>
                <w:highlight w:val="none"/>
              </w:rPr>
              <w:t>）</w:t>
            </w:r>
          </w:p>
        </w:tc>
        <w:tc>
          <w:tcPr>
            <w:tcW w:w="1227" w:type="dxa"/>
            <w:tcBorders>
              <w:top w:val="single" w:color="auto" w:sz="4" w:space="0"/>
              <w:left w:val="single" w:color="auto" w:sz="4" w:space="0"/>
              <w:right w:val="single" w:color="auto" w:sz="4" w:space="0"/>
            </w:tcBorders>
            <w:noWrap w:val="0"/>
            <w:vAlign w:val="center"/>
          </w:tcPr>
          <w:p w14:paraId="3B076004">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其他因素评分标准</w:t>
            </w:r>
          </w:p>
        </w:tc>
        <w:tc>
          <w:tcPr>
            <w:tcW w:w="1945" w:type="dxa"/>
            <w:tcBorders>
              <w:top w:val="single" w:color="auto" w:sz="4" w:space="0"/>
              <w:left w:val="single" w:color="auto" w:sz="4" w:space="0"/>
              <w:right w:val="single" w:color="auto" w:sz="4" w:space="0"/>
            </w:tcBorders>
            <w:noWrap w:val="0"/>
            <w:vAlign w:val="center"/>
          </w:tcPr>
          <w:p w14:paraId="6D3B8D1C">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5284" w:type="dxa"/>
            <w:tcBorders>
              <w:top w:val="single" w:color="auto" w:sz="4" w:space="0"/>
              <w:left w:val="single" w:color="auto" w:sz="4" w:space="0"/>
              <w:right w:val="single" w:color="auto" w:sz="4" w:space="0"/>
            </w:tcBorders>
            <w:noWrap w:val="0"/>
            <w:vAlign w:val="center"/>
          </w:tcPr>
          <w:p w14:paraId="544A3232">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w:t>
            </w:r>
          </w:p>
        </w:tc>
      </w:tr>
      <w:tr w14:paraId="1DB03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64DEDC64">
            <w:pPr>
              <w:spacing w:line="400" w:lineRule="exact"/>
              <w:rPr>
                <w:rFonts w:hint="eastAsia"/>
                <w:color w:val="auto"/>
                <w:highlight w:val="none"/>
              </w:rPr>
            </w:pPr>
            <w:r>
              <w:rPr>
                <w:rFonts w:hint="eastAsia"/>
                <w:color w:val="auto"/>
                <w:highlight w:val="none"/>
              </w:rPr>
              <w:t>2.2.4</w:t>
            </w:r>
          </w:p>
          <w:p w14:paraId="5E584BEA">
            <w:pPr>
              <w:spacing w:line="400" w:lineRule="exact"/>
              <w:rPr>
                <w:color w:val="auto"/>
                <w:highlight w:val="none"/>
              </w:rPr>
            </w:pPr>
            <w:r>
              <w:rPr>
                <w:rFonts w:hint="eastAsia"/>
                <w:color w:val="auto"/>
                <w:highlight w:val="none"/>
              </w:rPr>
              <w:t>说明</w:t>
            </w:r>
          </w:p>
        </w:tc>
        <w:tc>
          <w:tcPr>
            <w:tcW w:w="8456" w:type="dxa"/>
            <w:gridSpan w:val="3"/>
            <w:tcBorders>
              <w:top w:val="single" w:color="auto" w:sz="4" w:space="0"/>
              <w:left w:val="single" w:color="auto" w:sz="4" w:space="0"/>
              <w:bottom w:val="single" w:color="auto" w:sz="4" w:space="0"/>
              <w:right w:val="single" w:color="auto" w:sz="4" w:space="0"/>
            </w:tcBorders>
            <w:noWrap w:val="0"/>
            <w:vAlign w:val="center"/>
          </w:tcPr>
          <w:p w14:paraId="22AD9ADB">
            <w:pPr>
              <w:spacing w:after="123" w:line="264" w:lineRule="auto"/>
              <w:ind w:right="103"/>
              <w:jc w:val="left"/>
              <w:rPr>
                <w:rFonts w:hint="eastAsia" w:ascii="宋体" w:hAnsi="宋体" w:cs="宋体"/>
                <w:color w:val="auto"/>
                <w:szCs w:val="21"/>
                <w:highlight w:val="none"/>
              </w:rPr>
            </w:pPr>
            <w:r>
              <w:rPr>
                <w:rFonts w:hint="eastAsia" w:ascii="宋体" w:hAnsi="宋体" w:cs="宋体"/>
                <w:color w:val="auto"/>
                <w:szCs w:val="21"/>
                <w:highlight w:val="none"/>
              </w:rPr>
              <w:t>说明：1.所有拟投入人员需提供至递交投标文件截止时间前近一个月（2025年8月）的社保证明并加盖单位公章，否则不计分。</w:t>
            </w:r>
          </w:p>
          <w:p w14:paraId="788E9242">
            <w:pPr>
              <w:numPr>
                <w:ilvl w:val="0"/>
                <w:numId w:val="3"/>
              </w:numPr>
              <w:spacing w:after="123" w:line="264" w:lineRule="auto"/>
              <w:ind w:right="103"/>
              <w:rPr>
                <w:rFonts w:hint="eastAsia" w:ascii="宋体" w:hAnsi="宋体" w:cs="宋体"/>
                <w:color w:val="auto"/>
                <w:szCs w:val="21"/>
                <w:highlight w:val="none"/>
              </w:rPr>
            </w:pPr>
            <w:r>
              <w:rPr>
                <w:rFonts w:hint="eastAsia" w:ascii="宋体" w:hAnsi="宋体"/>
                <w:color w:val="auto"/>
                <w:highlight w:val="none"/>
              </w:rPr>
              <w:t>投标人的</w:t>
            </w:r>
            <w:r>
              <w:rPr>
                <w:rFonts w:hint="eastAsia" w:ascii="宋体" w:hAnsi="宋体" w:cs="宋体"/>
                <w:color w:val="auto"/>
                <w:szCs w:val="21"/>
                <w:highlight w:val="none"/>
              </w:rPr>
              <w:t>资信业绩</w:t>
            </w:r>
            <w:r>
              <w:rPr>
                <w:rFonts w:hint="eastAsia" w:ascii="宋体" w:hAnsi="宋体"/>
                <w:color w:val="auto"/>
                <w:highlight w:val="none"/>
              </w:rPr>
              <w:t>、</w:t>
            </w:r>
            <w:r>
              <w:rPr>
                <w:rFonts w:hint="eastAsia" w:ascii="宋体" w:hAnsi="宋体" w:cs="宋体"/>
                <w:color w:val="auto"/>
                <w:szCs w:val="21"/>
                <w:highlight w:val="none"/>
              </w:rPr>
              <w:t>监测监控方案得分</w:t>
            </w:r>
            <w:r>
              <w:rPr>
                <w:rFonts w:hint="eastAsia" w:ascii="宋体" w:hAnsi="宋体"/>
                <w:color w:val="auto"/>
                <w:highlight w:val="none"/>
              </w:rPr>
              <w:t>为各评委的评分去掉一个最高分和一个最低分后计取的算术平均分（分数出现小数点时，保留小数点后二位，第三位小数四舍五入）。</w:t>
            </w:r>
          </w:p>
        </w:tc>
      </w:tr>
    </w:tbl>
    <w:p w14:paraId="2E9585E0">
      <w:pPr>
        <w:jc w:val="center"/>
        <w:rPr>
          <w:color w:val="auto"/>
          <w:highlight w:val="none"/>
        </w:rPr>
      </w:pPr>
      <w:r>
        <w:rPr>
          <w:color w:val="auto"/>
          <w:highlight w:val="none"/>
        </w:rPr>
        <w:br w:type="page"/>
      </w:r>
    </w:p>
    <w:p w14:paraId="39E8002B">
      <w:pPr>
        <w:pStyle w:val="5"/>
        <w:rPr>
          <w:color w:val="auto"/>
          <w:highlight w:val="none"/>
        </w:rPr>
      </w:pPr>
      <w:bookmarkStart w:id="390" w:name="_Toc529196583"/>
      <w:bookmarkStart w:id="391" w:name="_Toc515205256"/>
      <w:bookmarkStart w:id="392" w:name="_Toc13760"/>
      <w:r>
        <w:rPr>
          <w:color w:val="auto"/>
          <w:highlight w:val="none"/>
        </w:rPr>
        <w:t>1. 评标方法</w:t>
      </w:r>
      <w:bookmarkEnd w:id="390"/>
      <w:bookmarkEnd w:id="391"/>
      <w:bookmarkEnd w:id="392"/>
    </w:p>
    <w:p w14:paraId="14658236">
      <w:pPr>
        <w:spacing w:line="360" w:lineRule="auto"/>
        <w:ind w:firstLine="480" w:firstLineChars="200"/>
        <w:rPr>
          <w:color w:val="auto"/>
          <w:sz w:val="24"/>
          <w:highlight w:val="none"/>
        </w:rPr>
      </w:pPr>
      <w:r>
        <w:rPr>
          <w:color w:val="auto"/>
          <w:sz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w:t>
      </w:r>
      <w:bookmarkStart w:id="393" w:name="_Toc152042375"/>
      <w:bookmarkStart w:id="394" w:name="_Toc384308272"/>
      <w:bookmarkStart w:id="395" w:name="_Toc300835008"/>
      <w:bookmarkStart w:id="396" w:name="_Toc361508646"/>
      <w:bookmarkStart w:id="397" w:name="_Toc144974565"/>
      <w:bookmarkStart w:id="398" w:name="_Toc247514022"/>
      <w:bookmarkStart w:id="399" w:name="_Toc152045598"/>
      <w:bookmarkStart w:id="400" w:name="_Toc247527623"/>
      <w:bookmarkStart w:id="401" w:name="_Toc4497"/>
      <w:bookmarkStart w:id="402" w:name="_Toc352691533"/>
      <w:bookmarkStart w:id="403" w:name="_Toc369531577"/>
      <w:r>
        <w:rPr>
          <w:color w:val="auto"/>
          <w:sz w:val="24"/>
          <w:highlight w:val="none"/>
        </w:rPr>
        <w:t>外。综合评分相等</w:t>
      </w:r>
      <w:bookmarkEnd w:id="393"/>
      <w:bookmarkEnd w:id="394"/>
      <w:bookmarkEnd w:id="395"/>
      <w:bookmarkEnd w:id="396"/>
      <w:bookmarkEnd w:id="397"/>
      <w:bookmarkEnd w:id="398"/>
      <w:bookmarkEnd w:id="399"/>
      <w:bookmarkEnd w:id="400"/>
      <w:r>
        <w:rPr>
          <w:color w:val="auto"/>
          <w:sz w:val="24"/>
          <w:highlight w:val="none"/>
        </w:rPr>
        <w:t>时，</w:t>
      </w:r>
      <w:bookmarkEnd w:id="401"/>
      <w:bookmarkEnd w:id="402"/>
      <w:bookmarkEnd w:id="403"/>
      <w:r>
        <w:rPr>
          <w:color w:val="auto"/>
          <w:sz w:val="24"/>
          <w:highlight w:val="none"/>
        </w:rPr>
        <w:t>按照评标办法前附表的规定确定中标候选人顺序。</w:t>
      </w:r>
    </w:p>
    <w:p w14:paraId="41E3FAE2">
      <w:pPr>
        <w:pStyle w:val="5"/>
        <w:rPr>
          <w:color w:val="auto"/>
          <w:highlight w:val="none"/>
        </w:rPr>
      </w:pPr>
      <w:bookmarkStart w:id="404" w:name="_Toc515205257"/>
      <w:bookmarkStart w:id="405" w:name="_Toc13324"/>
      <w:bookmarkStart w:id="406" w:name="_Toc529196584"/>
      <w:r>
        <w:rPr>
          <w:color w:val="auto"/>
          <w:highlight w:val="none"/>
        </w:rPr>
        <w:t>2. 评审标准</w:t>
      </w:r>
      <w:bookmarkEnd w:id="404"/>
      <w:bookmarkEnd w:id="405"/>
      <w:bookmarkEnd w:id="406"/>
    </w:p>
    <w:p w14:paraId="4406C904">
      <w:pPr>
        <w:pStyle w:val="5"/>
        <w:ind w:firstLine="137"/>
        <w:rPr>
          <w:color w:val="auto"/>
          <w:highlight w:val="none"/>
        </w:rPr>
      </w:pPr>
      <w:bookmarkStart w:id="407" w:name="_Toc16948"/>
      <w:bookmarkStart w:id="408" w:name="_Toc515205258"/>
      <w:bookmarkStart w:id="409" w:name="_Toc529196585"/>
      <w:r>
        <w:rPr>
          <w:color w:val="auto"/>
          <w:highlight w:val="none"/>
        </w:rPr>
        <w:t>2.1 初步评审标准</w:t>
      </w:r>
      <w:bookmarkEnd w:id="407"/>
      <w:bookmarkEnd w:id="408"/>
      <w:bookmarkEnd w:id="409"/>
    </w:p>
    <w:p w14:paraId="5D98DDE6">
      <w:pPr>
        <w:spacing w:line="360" w:lineRule="auto"/>
        <w:ind w:firstLine="480" w:firstLineChars="200"/>
        <w:rPr>
          <w:color w:val="auto"/>
          <w:sz w:val="24"/>
          <w:highlight w:val="none"/>
        </w:rPr>
      </w:pPr>
      <w:r>
        <w:rPr>
          <w:color w:val="auto"/>
          <w:sz w:val="24"/>
          <w:highlight w:val="none"/>
        </w:rPr>
        <w:t>2.1.1 形式评审标准：见评标办法前附表。</w:t>
      </w:r>
    </w:p>
    <w:p w14:paraId="2575777A">
      <w:pPr>
        <w:spacing w:line="360" w:lineRule="auto"/>
        <w:ind w:firstLine="480" w:firstLineChars="200"/>
        <w:rPr>
          <w:color w:val="auto"/>
          <w:sz w:val="24"/>
          <w:highlight w:val="none"/>
        </w:rPr>
      </w:pPr>
      <w:r>
        <w:rPr>
          <w:color w:val="auto"/>
          <w:sz w:val="24"/>
          <w:highlight w:val="none"/>
        </w:rPr>
        <w:t>2.1.2 资格评审标准：见评标办法前附表。</w:t>
      </w:r>
    </w:p>
    <w:p w14:paraId="35D1DEBA">
      <w:pPr>
        <w:spacing w:line="360" w:lineRule="auto"/>
        <w:ind w:firstLine="480" w:firstLineChars="200"/>
        <w:rPr>
          <w:color w:val="auto"/>
          <w:sz w:val="24"/>
          <w:highlight w:val="none"/>
        </w:rPr>
      </w:pPr>
      <w:r>
        <w:rPr>
          <w:color w:val="auto"/>
          <w:sz w:val="24"/>
          <w:highlight w:val="none"/>
        </w:rPr>
        <w:t>2.1.3 响应性评审标准：见评标办法前附表。</w:t>
      </w:r>
    </w:p>
    <w:p w14:paraId="3C1F71AC">
      <w:pPr>
        <w:pStyle w:val="5"/>
        <w:ind w:firstLine="137"/>
        <w:rPr>
          <w:color w:val="auto"/>
          <w:highlight w:val="none"/>
        </w:rPr>
      </w:pPr>
      <w:bookmarkStart w:id="410" w:name="_Toc529196586"/>
      <w:bookmarkStart w:id="411" w:name="_Toc515205259"/>
      <w:bookmarkStart w:id="412" w:name="_Toc10758"/>
      <w:r>
        <w:rPr>
          <w:color w:val="auto"/>
          <w:highlight w:val="none"/>
        </w:rPr>
        <w:t>2.2 分值构成与评分标准</w:t>
      </w:r>
      <w:bookmarkEnd w:id="410"/>
      <w:bookmarkEnd w:id="411"/>
      <w:bookmarkEnd w:id="412"/>
    </w:p>
    <w:p w14:paraId="1F1ACFFE">
      <w:pPr>
        <w:spacing w:line="360" w:lineRule="auto"/>
        <w:ind w:firstLine="480" w:firstLineChars="200"/>
        <w:rPr>
          <w:color w:val="auto"/>
          <w:sz w:val="24"/>
          <w:highlight w:val="none"/>
        </w:rPr>
      </w:pPr>
      <w:r>
        <w:rPr>
          <w:color w:val="auto"/>
          <w:sz w:val="24"/>
          <w:highlight w:val="none"/>
        </w:rPr>
        <w:t>2.2.1 分值构成</w:t>
      </w:r>
      <w:r>
        <w:rPr>
          <w:rFonts w:hint="eastAsia"/>
          <w:color w:val="auto"/>
          <w:sz w:val="24"/>
          <w:highlight w:val="none"/>
        </w:rPr>
        <w:t>：</w:t>
      </w:r>
    </w:p>
    <w:p w14:paraId="7CE048F6">
      <w:pPr>
        <w:spacing w:line="360" w:lineRule="auto"/>
        <w:ind w:firstLine="480" w:firstLineChars="200"/>
        <w:rPr>
          <w:color w:val="auto"/>
          <w:sz w:val="24"/>
          <w:highlight w:val="none"/>
        </w:rPr>
      </w:pPr>
      <w:r>
        <w:rPr>
          <w:color w:val="auto"/>
          <w:sz w:val="24"/>
          <w:highlight w:val="none"/>
        </w:rPr>
        <w:t>（1）资信业绩部分：见评标办法前附表；</w:t>
      </w:r>
    </w:p>
    <w:p w14:paraId="367BB7C3">
      <w:pPr>
        <w:spacing w:line="360" w:lineRule="auto"/>
        <w:ind w:firstLine="480" w:firstLineChars="200"/>
        <w:rPr>
          <w:color w:val="auto"/>
          <w:sz w:val="24"/>
          <w:highlight w:val="none"/>
        </w:rPr>
      </w:pPr>
      <w:r>
        <w:rPr>
          <w:color w:val="auto"/>
          <w:sz w:val="24"/>
          <w:highlight w:val="none"/>
        </w:rPr>
        <w:t>（2）</w:t>
      </w:r>
      <w:r>
        <w:rPr>
          <w:rFonts w:hint="eastAsia"/>
          <w:color w:val="auto"/>
          <w:sz w:val="24"/>
          <w:highlight w:val="none"/>
        </w:rPr>
        <w:t>监测监控方案</w:t>
      </w:r>
      <w:r>
        <w:rPr>
          <w:color w:val="auto"/>
          <w:sz w:val="24"/>
          <w:highlight w:val="none"/>
        </w:rPr>
        <w:t>部分：见评标办法前附表；</w:t>
      </w:r>
    </w:p>
    <w:p w14:paraId="41DEDFF3">
      <w:pPr>
        <w:spacing w:line="360" w:lineRule="auto"/>
        <w:ind w:firstLine="480" w:firstLineChars="200"/>
        <w:rPr>
          <w:color w:val="auto"/>
          <w:sz w:val="24"/>
          <w:highlight w:val="none"/>
        </w:rPr>
      </w:pPr>
      <w:r>
        <w:rPr>
          <w:color w:val="auto"/>
          <w:sz w:val="24"/>
          <w:highlight w:val="none"/>
        </w:rPr>
        <w:t>（3）投标报价：见评标办法前附表；</w:t>
      </w:r>
    </w:p>
    <w:p w14:paraId="6D0EA7AA">
      <w:pPr>
        <w:spacing w:line="360" w:lineRule="auto"/>
        <w:ind w:firstLine="480" w:firstLineChars="200"/>
        <w:rPr>
          <w:color w:val="auto"/>
          <w:sz w:val="24"/>
          <w:highlight w:val="none"/>
        </w:rPr>
      </w:pPr>
      <w:r>
        <w:rPr>
          <w:color w:val="auto"/>
          <w:sz w:val="24"/>
          <w:highlight w:val="none"/>
        </w:rPr>
        <w:t>（4）其他评分因素：见评标办法前附表。</w:t>
      </w:r>
    </w:p>
    <w:p w14:paraId="268965E5">
      <w:pPr>
        <w:spacing w:line="360" w:lineRule="auto"/>
        <w:ind w:firstLine="480" w:firstLineChars="200"/>
        <w:rPr>
          <w:color w:val="auto"/>
          <w:sz w:val="24"/>
          <w:highlight w:val="none"/>
        </w:rPr>
      </w:pPr>
      <w:r>
        <w:rPr>
          <w:color w:val="auto"/>
          <w:sz w:val="24"/>
          <w:highlight w:val="none"/>
        </w:rPr>
        <w:t>2.2.2 评标基准价计算</w:t>
      </w:r>
    </w:p>
    <w:p w14:paraId="5C6CF0C6">
      <w:pPr>
        <w:spacing w:line="360" w:lineRule="auto"/>
        <w:ind w:firstLine="480" w:firstLineChars="200"/>
        <w:rPr>
          <w:color w:val="auto"/>
          <w:sz w:val="24"/>
          <w:highlight w:val="none"/>
        </w:rPr>
      </w:pPr>
      <w:r>
        <w:rPr>
          <w:color w:val="auto"/>
          <w:sz w:val="24"/>
          <w:highlight w:val="none"/>
        </w:rPr>
        <w:t>评标基准价计算方法：见评标办法前附表。</w:t>
      </w:r>
    </w:p>
    <w:p w14:paraId="0F0BFDDF">
      <w:pPr>
        <w:spacing w:line="360" w:lineRule="auto"/>
        <w:ind w:firstLine="480" w:firstLineChars="200"/>
        <w:rPr>
          <w:color w:val="auto"/>
          <w:sz w:val="24"/>
          <w:highlight w:val="none"/>
        </w:rPr>
      </w:pPr>
      <w:r>
        <w:rPr>
          <w:color w:val="auto"/>
          <w:sz w:val="24"/>
          <w:highlight w:val="none"/>
        </w:rPr>
        <w:t>2.2.3 投标报价的偏差率计算</w:t>
      </w:r>
    </w:p>
    <w:p w14:paraId="141C4677">
      <w:pPr>
        <w:spacing w:line="360" w:lineRule="auto"/>
        <w:ind w:firstLine="480" w:firstLineChars="200"/>
        <w:rPr>
          <w:color w:val="auto"/>
          <w:sz w:val="24"/>
          <w:highlight w:val="none"/>
        </w:rPr>
      </w:pPr>
      <w:r>
        <w:rPr>
          <w:color w:val="auto"/>
          <w:sz w:val="24"/>
          <w:highlight w:val="none"/>
        </w:rPr>
        <w:t>投标报价的偏差率计算公式：见评标办法前附表。</w:t>
      </w:r>
    </w:p>
    <w:p w14:paraId="5245FE67">
      <w:pPr>
        <w:spacing w:line="360" w:lineRule="auto"/>
        <w:ind w:firstLine="480" w:firstLineChars="200"/>
        <w:rPr>
          <w:color w:val="auto"/>
          <w:sz w:val="24"/>
          <w:highlight w:val="none"/>
        </w:rPr>
      </w:pPr>
      <w:r>
        <w:rPr>
          <w:color w:val="auto"/>
          <w:sz w:val="24"/>
          <w:highlight w:val="none"/>
        </w:rPr>
        <w:t>2.2.4 评分标准</w:t>
      </w:r>
    </w:p>
    <w:p w14:paraId="1BA0A805">
      <w:pPr>
        <w:spacing w:line="360" w:lineRule="auto"/>
        <w:ind w:firstLine="480" w:firstLineChars="200"/>
        <w:rPr>
          <w:color w:val="auto"/>
          <w:sz w:val="24"/>
          <w:highlight w:val="none"/>
        </w:rPr>
      </w:pPr>
      <w:r>
        <w:rPr>
          <w:color w:val="auto"/>
          <w:sz w:val="24"/>
          <w:highlight w:val="none"/>
        </w:rPr>
        <w:t>（1）资信业绩评分标准：见评标办法前附表；</w:t>
      </w:r>
    </w:p>
    <w:p w14:paraId="77212363">
      <w:pPr>
        <w:spacing w:line="360" w:lineRule="auto"/>
        <w:ind w:firstLine="480" w:firstLineChars="200"/>
        <w:rPr>
          <w:color w:val="auto"/>
          <w:sz w:val="24"/>
          <w:highlight w:val="none"/>
        </w:rPr>
      </w:pPr>
      <w:r>
        <w:rPr>
          <w:color w:val="auto"/>
          <w:sz w:val="24"/>
          <w:highlight w:val="none"/>
        </w:rPr>
        <w:t>（2）</w:t>
      </w:r>
      <w:r>
        <w:rPr>
          <w:rFonts w:hint="eastAsia"/>
          <w:color w:val="auto"/>
          <w:sz w:val="24"/>
          <w:highlight w:val="none"/>
        </w:rPr>
        <w:t>监测监控方案</w:t>
      </w:r>
      <w:r>
        <w:rPr>
          <w:color w:val="auto"/>
          <w:sz w:val="24"/>
          <w:highlight w:val="none"/>
        </w:rPr>
        <w:t>评分标准：见评标办法前附表；</w:t>
      </w:r>
    </w:p>
    <w:p w14:paraId="28C7B7BF">
      <w:pPr>
        <w:spacing w:line="360" w:lineRule="auto"/>
        <w:ind w:firstLine="480" w:firstLineChars="200"/>
        <w:rPr>
          <w:color w:val="auto"/>
          <w:sz w:val="24"/>
          <w:highlight w:val="none"/>
        </w:rPr>
      </w:pPr>
      <w:r>
        <w:rPr>
          <w:color w:val="auto"/>
          <w:sz w:val="24"/>
          <w:highlight w:val="none"/>
        </w:rPr>
        <w:t>（3）投标报价评分标准：见评标办法前附表；</w:t>
      </w:r>
    </w:p>
    <w:p w14:paraId="0B481D36">
      <w:pPr>
        <w:spacing w:line="360" w:lineRule="auto"/>
        <w:ind w:firstLine="480" w:firstLineChars="200"/>
        <w:rPr>
          <w:color w:val="auto"/>
          <w:sz w:val="24"/>
          <w:highlight w:val="none"/>
        </w:rPr>
      </w:pPr>
      <w:r>
        <w:rPr>
          <w:color w:val="auto"/>
          <w:sz w:val="24"/>
          <w:highlight w:val="none"/>
        </w:rPr>
        <w:t>（4）其他因素评分标准：见评标办法前附表。</w:t>
      </w:r>
    </w:p>
    <w:p w14:paraId="57C84625">
      <w:pPr>
        <w:spacing w:line="360" w:lineRule="auto"/>
        <w:ind w:firstLine="480" w:firstLineChars="200"/>
        <w:rPr>
          <w:color w:val="auto"/>
          <w:sz w:val="24"/>
          <w:highlight w:val="none"/>
          <w:u w:val="single"/>
        </w:rPr>
      </w:pPr>
      <w:r>
        <w:rPr>
          <w:rFonts w:hint="eastAsia"/>
          <w:color w:val="auto"/>
          <w:sz w:val="24"/>
          <w:highlight w:val="none"/>
          <w:u w:val="single"/>
        </w:rPr>
        <w:t>注：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w:t>
      </w:r>
    </w:p>
    <w:p w14:paraId="18666413">
      <w:pPr>
        <w:spacing w:line="360" w:lineRule="auto"/>
        <w:ind w:firstLine="480" w:firstLineChars="200"/>
        <w:rPr>
          <w:color w:val="auto"/>
          <w:sz w:val="24"/>
          <w:highlight w:val="none"/>
        </w:rPr>
      </w:pPr>
      <w:r>
        <w:rPr>
          <w:rFonts w:hint="eastAsia"/>
          <w:color w:val="auto"/>
          <w:sz w:val="24"/>
          <w:highlight w:val="none"/>
          <w:u w:val="single"/>
        </w:rPr>
        <w:t>不得将文件顺序、明显的文字错误等列为否决投标的情形。若出现评标委员会否决投标的，应在评标报告中载明否决投标的具体情形、原因。</w:t>
      </w:r>
    </w:p>
    <w:p w14:paraId="0F655DE7">
      <w:pPr>
        <w:pStyle w:val="5"/>
        <w:rPr>
          <w:color w:val="auto"/>
          <w:highlight w:val="none"/>
        </w:rPr>
      </w:pPr>
      <w:bookmarkStart w:id="413" w:name="_Toc529196587"/>
      <w:bookmarkStart w:id="414" w:name="_Toc515205260"/>
      <w:bookmarkStart w:id="415" w:name="_Toc29536"/>
      <w:r>
        <w:rPr>
          <w:color w:val="auto"/>
          <w:highlight w:val="none"/>
        </w:rPr>
        <w:t>3. 评标程序</w:t>
      </w:r>
      <w:bookmarkEnd w:id="413"/>
      <w:bookmarkEnd w:id="414"/>
      <w:bookmarkEnd w:id="415"/>
    </w:p>
    <w:p w14:paraId="79EBF767">
      <w:pPr>
        <w:pStyle w:val="5"/>
        <w:ind w:firstLine="137"/>
        <w:rPr>
          <w:color w:val="auto"/>
          <w:highlight w:val="none"/>
        </w:rPr>
      </w:pPr>
      <w:bookmarkStart w:id="416" w:name="_Toc11727"/>
      <w:bookmarkStart w:id="417" w:name="_Toc529196588"/>
      <w:bookmarkStart w:id="418" w:name="_Toc515205261"/>
      <w:r>
        <w:rPr>
          <w:color w:val="auto"/>
          <w:highlight w:val="none"/>
        </w:rPr>
        <w:t>3.1 初步评审</w:t>
      </w:r>
      <w:bookmarkEnd w:id="416"/>
      <w:bookmarkEnd w:id="417"/>
      <w:bookmarkEnd w:id="418"/>
    </w:p>
    <w:p w14:paraId="2E6428E9">
      <w:pPr>
        <w:spacing w:line="360" w:lineRule="auto"/>
        <w:ind w:firstLine="480" w:firstLineChars="200"/>
        <w:rPr>
          <w:rFonts w:hint="eastAsia"/>
          <w:color w:val="auto"/>
          <w:sz w:val="24"/>
          <w:highlight w:val="none"/>
        </w:rPr>
      </w:pPr>
      <w:r>
        <w:rPr>
          <w:color w:val="auto"/>
          <w:sz w:val="24"/>
          <w:highlight w:val="none"/>
        </w:rPr>
        <w:t>3.1.1 评标委员会依据本章第2.1款规定的标准对投标文件进行初步评审。有一项不符合评审标准的，评标委员会应当否决其投标。</w:t>
      </w:r>
    </w:p>
    <w:p w14:paraId="1EFC78AD">
      <w:pPr>
        <w:spacing w:line="360" w:lineRule="auto"/>
        <w:ind w:firstLine="480" w:firstLineChars="200"/>
        <w:rPr>
          <w:color w:val="auto"/>
          <w:sz w:val="24"/>
          <w:highlight w:val="none"/>
        </w:rPr>
      </w:pPr>
      <w:r>
        <w:rPr>
          <w:color w:val="auto"/>
          <w:sz w:val="24"/>
          <w:highlight w:val="none"/>
        </w:rPr>
        <w:t>3.1.2 投标人有以下情形之一的，评标委员会应当否决其投标：</w:t>
      </w:r>
    </w:p>
    <w:p w14:paraId="7E54DE72">
      <w:pPr>
        <w:spacing w:line="360" w:lineRule="auto"/>
        <w:ind w:firstLine="480" w:firstLineChars="200"/>
        <w:rPr>
          <w:color w:val="auto"/>
          <w:sz w:val="24"/>
          <w:highlight w:val="none"/>
        </w:rPr>
      </w:pPr>
      <w:r>
        <w:rPr>
          <w:color w:val="auto"/>
          <w:sz w:val="24"/>
          <w:highlight w:val="none"/>
        </w:rPr>
        <w:t>（1）投标文件没有对招标文件的实质性要求和条件作出响应，或者对招标文件的偏差超出招标文件规定的偏差范围或最高项数；</w:t>
      </w:r>
    </w:p>
    <w:p w14:paraId="46DBE299">
      <w:pPr>
        <w:spacing w:line="360" w:lineRule="auto"/>
        <w:ind w:firstLine="480" w:firstLineChars="200"/>
        <w:rPr>
          <w:color w:val="auto"/>
          <w:sz w:val="24"/>
          <w:highlight w:val="none"/>
        </w:rPr>
      </w:pPr>
      <w:r>
        <w:rPr>
          <w:color w:val="auto"/>
          <w:sz w:val="24"/>
          <w:highlight w:val="none"/>
        </w:rPr>
        <w:t>（2）有串通投标、弄虚作假、行贿等违法行为。</w:t>
      </w:r>
    </w:p>
    <w:p w14:paraId="0AB3223E">
      <w:pPr>
        <w:spacing w:line="360" w:lineRule="auto"/>
        <w:ind w:firstLine="480" w:firstLineChars="200"/>
        <w:rPr>
          <w:color w:val="auto"/>
          <w:sz w:val="24"/>
          <w:highlight w:val="none"/>
        </w:rPr>
      </w:pPr>
      <w:r>
        <w:rPr>
          <w:color w:val="auto"/>
          <w:sz w:val="24"/>
          <w:highlight w:val="none"/>
        </w:rPr>
        <w:t>3.1.3 投标报价有算术错误及其他错误的，评标委员会按以下原则要求投标人对投标报价进</w:t>
      </w:r>
      <w:bookmarkStart w:id="419" w:name="_Toc2907"/>
      <w:bookmarkStart w:id="420" w:name="_Toc384308277"/>
      <w:bookmarkStart w:id="421" w:name="_Toc352691538"/>
      <w:bookmarkStart w:id="422" w:name="_Toc247514027"/>
      <w:bookmarkStart w:id="423" w:name="_Toc369531582"/>
      <w:bookmarkStart w:id="424" w:name="_Toc247527628"/>
      <w:bookmarkStart w:id="425" w:name="_Toc144974570"/>
      <w:bookmarkStart w:id="426" w:name="_Toc152042380"/>
      <w:bookmarkStart w:id="427" w:name="_Toc152045603"/>
      <w:bookmarkStart w:id="428" w:name="_Toc300835013"/>
      <w:bookmarkStart w:id="429" w:name="_Toc361508651"/>
      <w:r>
        <w:rPr>
          <w:color w:val="auto"/>
          <w:sz w:val="24"/>
          <w:highlight w:val="none"/>
        </w:rPr>
        <w:t>行修正，并要求投标人书面澄清确认。</w:t>
      </w:r>
      <w:bookmarkEnd w:id="419"/>
      <w:bookmarkEnd w:id="420"/>
      <w:bookmarkEnd w:id="421"/>
      <w:bookmarkEnd w:id="422"/>
      <w:bookmarkEnd w:id="423"/>
      <w:bookmarkEnd w:id="424"/>
      <w:bookmarkEnd w:id="425"/>
      <w:bookmarkEnd w:id="426"/>
      <w:bookmarkEnd w:id="427"/>
      <w:bookmarkEnd w:id="428"/>
      <w:bookmarkEnd w:id="429"/>
      <w:r>
        <w:rPr>
          <w:color w:val="auto"/>
          <w:sz w:val="24"/>
          <w:highlight w:val="none"/>
        </w:rPr>
        <w:t>投标人拒不澄清确认的，评标委员会应当否决其投标：</w:t>
      </w:r>
    </w:p>
    <w:p w14:paraId="7C404144">
      <w:pPr>
        <w:spacing w:line="360" w:lineRule="auto"/>
        <w:ind w:firstLine="480" w:firstLineChars="200"/>
        <w:rPr>
          <w:color w:val="auto"/>
          <w:sz w:val="24"/>
          <w:highlight w:val="none"/>
        </w:rPr>
      </w:pPr>
      <w:r>
        <w:rPr>
          <w:color w:val="auto"/>
          <w:sz w:val="24"/>
          <w:highlight w:val="none"/>
        </w:rPr>
        <w:t>（1）投标文件中的大写金额与小写金额不一致的，以大写金额为准；</w:t>
      </w:r>
    </w:p>
    <w:p w14:paraId="40856C40">
      <w:pPr>
        <w:spacing w:line="360" w:lineRule="auto"/>
        <w:ind w:firstLine="480" w:firstLineChars="200"/>
        <w:rPr>
          <w:color w:val="auto"/>
          <w:sz w:val="24"/>
          <w:highlight w:val="none"/>
        </w:rPr>
      </w:pPr>
      <w:r>
        <w:rPr>
          <w:color w:val="auto"/>
          <w:sz w:val="24"/>
          <w:highlight w:val="none"/>
        </w:rPr>
        <w:t>（2）总价金额与单价金额不一致的，以单价金额为准，但单价金额小数点有明显错误的除外</w:t>
      </w:r>
      <w:r>
        <w:rPr>
          <w:rFonts w:hint="eastAsia"/>
          <w:color w:val="auto"/>
          <w:sz w:val="24"/>
          <w:highlight w:val="none"/>
        </w:rPr>
        <w:t>。</w:t>
      </w:r>
    </w:p>
    <w:p w14:paraId="2C53BCBA">
      <w:pPr>
        <w:pStyle w:val="5"/>
        <w:ind w:firstLine="137"/>
        <w:rPr>
          <w:color w:val="auto"/>
          <w:highlight w:val="none"/>
        </w:rPr>
      </w:pPr>
      <w:bookmarkStart w:id="430" w:name="_Toc515205262"/>
      <w:bookmarkStart w:id="431" w:name="_Toc12351"/>
      <w:bookmarkStart w:id="432" w:name="_Toc529196589"/>
      <w:r>
        <w:rPr>
          <w:color w:val="auto"/>
          <w:highlight w:val="none"/>
        </w:rPr>
        <w:t>3.2 详细评审</w:t>
      </w:r>
      <w:bookmarkEnd w:id="430"/>
      <w:bookmarkEnd w:id="431"/>
      <w:bookmarkEnd w:id="432"/>
    </w:p>
    <w:p w14:paraId="37D81C8D">
      <w:pPr>
        <w:spacing w:line="360" w:lineRule="auto"/>
        <w:ind w:firstLine="480" w:firstLineChars="200"/>
        <w:rPr>
          <w:color w:val="auto"/>
          <w:sz w:val="24"/>
          <w:highlight w:val="none"/>
        </w:rPr>
      </w:pPr>
      <w:r>
        <w:rPr>
          <w:color w:val="auto"/>
          <w:sz w:val="24"/>
          <w:highlight w:val="none"/>
        </w:rPr>
        <w:t>3.2.1 评标委员会按本章第2.2款规定的量化因素和分值进行打分，并计算出综合评估得分。</w:t>
      </w:r>
    </w:p>
    <w:p w14:paraId="6DAFE37D">
      <w:pPr>
        <w:spacing w:line="360" w:lineRule="auto"/>
        <w:ind w:firstLine="480" w:firstLineChars="200"/>
        <w:rPr>
          <w:color w:val="auto"/>
          <w:sz w:val="24"/>
          <w:highlight w:val="none"/>
        </w:rPr>
      </w:pPr>
      <w:r>
        <w:rPr>
          <w:rFonts w:hint="eastAsia"/>
          <w:color w:val="auto"/>
          <w:sz w:val="24"/>
          <w:highlight w:val="none"/>
        </w:rPr>
        <w:t>（1）按本章第 2.2.4（1）目规定的评审因素和分值对资信业绩部分计算出得分 A；</w:t>
      </w:r>
    </w:p>
    <w:p w14:paraId="395565ED">
      <w:pPr>
        <w:spacing w:line="360" w:lineRule="auto"/>
        <w:ind w:firstLine="480" w:firstLineChars="200"/>
        <w:rPr>
          <w:color w:val="auto"/>
          <w:sz w:val="24"/>
          <w:highlight w:val="none"/>
        </w:rPr>
      </w:pPr>
      <w:r>
        <w:rPr>
          <w:rFonts w:hint="eastAsia"/>
          <w:color w:val="auto"/>
          <w:sz w:val="24"/>
          <w:highlight w:val="none"/>
        </w:rPr>
        <w:t>（2）按本章第 2.2.4（2）目规定的评审因素和分值对监测方案部分计算出得分 B；</w:t>
      </w:r>
    </w:p>
    <w:p w14:paraId="203B694E">
      <w:pPr>
        <w:spacing w:line="360" w:lineRule="auto"/>
        <w:ind w:firstLine="480" w:firstLineChars="200"/>
        <w:rPr>
          <w:color w:val="auto"/>
          <w:sz w:val="24"/>
          <w:highlight w:val="none"/>
        </w:rPr>
      </w:pPr>
      <w:r>
        <w:rPr>
          <w:rFonts w:hint="eastAsia"/>
          <w:color w:val="auto"/>
          <w:sz w:val="24"/>
          <w:highlight w:val="none"/>
        </w:rPr>
        <w:t>（3）按本章第 2.2.4（3）目规定的评审因素和分值对投标报价计算出得分 C；</w:t>
      </w:r>
    </w:p>
    <w:p w14:paraId="0BD1263F">
      <w:pPr>
        <w:spacing w:line="360" w:lineRule="auto"/>
        <w:ind w:firstLine="480" w:firstLineChars="200"/>
        <w:rPr>
          <w:strike/>
          <w:color w:val="auto"/>
          <w:sz w:val="24"/>
          <w:highlight w:val="none"/>
        </w:rPr>
      </w:pPr>
      <w:r>
        <w:rPr>
          <w:rFonts w:hint="eastAsia"/>
          <w:strike/>
          <w:color w:val="auto"/>
          <w:sz w:val="24"/>
          <w:highlight w:val="none"/>
        </w:rPr>
        <w:t>（4）按本章第 2.2.4（4）目规定的评审因素和分值对其他部分计算出得分 D。</w:t>
      </w:r>
    </w:p>
    <w:p w14:paraId="439464D3">
      <w:pPr>
        <w:spacing w:line="360" w:lineRule="auto"/>
        <w:ind w:firstLine="480" w:firstLineChars="200"/>
        <w:rPr>
          <w:color w:val="auto"/>
          <w:sz w:val="24"/>
          <w:highlight w:val="none"/>
        </w:rPr>
      </w:pPr>
      <w:r>
        <w:rPr>
          <w:color w:val="auto"/>
          <w:sz w:val="24"/>
          <w:highlight w:val="none"/>
        </w:rPr>
        <w:t>3.2.2 评分分值计算保留小数点后两位，小数点后第三位“四舍五入”。</w:t>
      </w:r>
    </w:p>
    <w:p w14:paraId="184C51D6">
      <w:pPr>
        <w:spacing w:line="360" w:lineRule="auto"/>
        <w:ind w:firstLine="480" w:firstLineChars="200"/>
        <w:rPr>
          <w:color w:val="auto"/>
          <w:sz w:val="24"/>
          <w:highlight w:val="none"/>
        </w:rPr>
      </w:pPr>
      <w:r>
        <w:rPr>
          <w:rFonts w:hint="eastAsia"/>
          <w:color w:val="auto"/>
          <w:sz w:val="24"/>
          <w:highlight w:val="none"/>
        </w:rPr>
        <w:t>3.2.3 投标人得分=A+B+C</w:t>
      </w:r>
    </w:p>
    <w:p w14:paraId="5F92C6ED">
      <w:pPr>
        <w:spacing w:line="360" w:lineRule="auto"/>
        <w:ind w:firstLine="480" w:firstLineChars="200"/>
        <w:rPr>
          <w:color w:val="auto"/>
          <w:sz w:val="24"/>
          <w:highlight w:val="none"/>
        </w:rPr>
      </w:pPr>
      <w:r>
        <w:rPr>
          <w:color w:val="auto"/>
          <w:sz w:val="24"/>
          <w:highlight w:val="none"/>
        </w:rPr>
        <w:t>3.2.4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240F5194">
      <w:pPr>
        <w:pStyle w:val="5"/>
        <w:ind w:firstLine="137"/>
        <w:rPr>
          <w:color w:val="auto"/>
          <w:highlight w:val="none"/>
        </w:rPr>
      </w:pPr>
      <w:bookmarkStart w:id="433" w:name="_Toc29736"/>
      <w:bookmarkStart w:id="434" w:name="_Toc529196590"/>
      <w:bookmarkStart w:id="435" w:name="_Toc515205263"/>
      <w:r>
        <w:rPr>
          <w:color w:val="auto"/>
          <w:highlight w:val="none"/>
        </w:rPr>
        <w:t>3.3 投标文件的澄清</w:t>
      </w:r>
      <w:bookmarkEnd w:id="433"/>
      <w:bookmarkEnd w:id="434"/>
      <w:bookmarkEnd w:id="435"/>
    </w:p>
    <w:p w14:paraId="417BD170">
      <w:pPr>
        <w:spacing w:line="360" w:lineRule="auto"/>
        <w:ind w:firstLine="480" w:firstLineChars="200"/>
        <w:rPr>
          <w:color w:val="auto"/>
          <w:sz w:val="24"/>
          <w:highlight w:val="none"/>
        </w:rPr>
      </w:pPr>
      <w:r>
        <w:rPr>
          <w:color w:val="auto"/>
          <w:sz w:val="24"/>
          <w:highlight w:val="none"/>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636BFBAA">
      <w:pPr>
        <w:spacing w:line="360" w:lineRule="auto"/>
        <w:ind w:firstLine="480" w:firstLineChars="200"/>
        <w:rPr>
          <w:color w:val="auto"/>
          <w:sz w:val="24"/>
          <w:highlight w:val="none"/>
        </w:rPr>
      </w:pPr>
      <w:r>
        <w:rPr>
          <w:color w:val="auto"/>
          <w:sz w:val="24"/>
          <w:highlight w:val="none"/>
        </w:rPr>
        <w:t>3.3.2 澄清、说明或补正不得超出投标文件的范围且不得改变投标文件的实质性内容，并构成投标文件的组成部分。</w:t>
      </w:r>
    </w:p>
    <w:p w14:paraId="588741A0">
      <w:pPr>
        <w:spacing w:line="360" w:lineRule="auto"/>
        <w:ind w:firstLine="480" w:firstLineChars="200"/>
        <w:rPr>
          <w:color w:val="auto"/>
          <w:sz w:val="24"/>
          <w:highlight w:val="none"/>
        </w:rPr>
      </w:pPr>
      <w:r>
        <w:rPr>
          <w:color w:val="auto"/>
          <w:sz w:val="24"/>
          <w:highlight w:val="none"/>
        </w:rPr>
        <w:t>3.3.3 评标委员会对投标人提交的澄清、说明或补正有疑问的，可以要求投标人进一步澄清、说明或补正，直至满足评标委员会的要求。</w:t>
      </w:r>
    </w:p>
    <w:p w14:paraId="246282EE">
      <w:pPr>
        <w:pStyle w:val="5"/>
        <w:ind w:firstLine="137"/>
        <w:rPr>
          <w:color w:val="auto"/>
          <w:highlight w:val="none"/>
        </w:rPr>
      </w:pPr>
      <w:bookmarkStart w:id="436" w:name="_Toc515205264"/>
      <w:bookmarkStart w:id="437" w:name="_Toc529196591"/>
      <w:bookmarkStart w:id="438" w:name="_Toc25973"/>
      <w:r>
        <w:rPr>
          <w:color w:val="auto"/>
          <w:highlight w:val="none"/>
        </w:rPr>
        <w:t>3.4 评标结果</w:t>
      </w:r>
      <w:bookmarkEnd w:id="436"/>
      <w:bookmarkEnd w:id="437"/>
      <w:bookmarkEnd w:id="438"/>
    </w:p>
    <w:p w14:paraId="1A95F557">
      <w:pPr>
        <w:spacing w:line="360" w:lineRule="auto"/>
        <w:ind w:firstLine="480" w:firstLineChars="200"/>
        <w:rPr>
          <w:b/>
          <w:color w:val="auto"/>
          <w:sz w:val="24"/>
          <w:highlight w:val="none"/>
        </w:rPr>
      </w:pPr>
      <w:r>
        <w:rPr>
          <w:color w:val="auto"/>
          <w:sz w:val="24"/>
          <w:highlight w:val="none"/>
        </w:rPr>
        <w:t>3.4.1 除第二章“投标人须知”前附表授权直接确定中标人外，评标委员会按照得分由高到低的顺序推荐中标候选人，并标明排序。</w:t>
      </w:r>
    </w:p>
    <w:p w14:paraId="20ADBF00">
      <w:pPr>
        <w:spacing w:line="360" w:lineRule="auto"/>
        <w:ind w:firstLine="482"/>
        <w:rPr>
          <w:color w:val="auto"/>
          <w:sz w:val="24"/>
          <w:highlight w:val="none"/>
        </w:rPr>
      </w:pPr>
      <w:r>
        <w:rPr>
          <w:color w:val="auto"/>
          <w:sz w:val="24"/>
          <w:highlight w:val="none"/>
        </w:rPr>
        <w:t>3.4.2 评标委员会完成评标后，应当向招标人提交书面评标报告和中标候选人名单。</w:t>
      </w:r>
    </w:p>
    <w:p w14:paraId="3BAAF225">
      <w:pPr>
        <w:rPr>
          <w:color w:val="auto"/>
          <w:highlight w:val="none"/>
        </w:rPr>
      </w:pPr>
      <w:r>
        <w:rPr>
          <w:rFonts w:hint="eastAsia"/>
          <w:color w:val="auto"/>
          <w:highlight w:val="none"/>
        </w:rPr>
        <w:br w:type="page"/>
      </w:r>
    </w:p>
    <w:p w14:paraId="15137D01">
      <w:pPr>
        <w:spacing w:line="200" w:lineRule="exact"/>
        <w:rPr>
          <w:color w:val="auto"/>
          <w:highlight w:val="none"/>
        </w:rPr>
      </w:pPr>
    </w:p>
    <w:p w14:paraId="5DD744F9">
      <w:pPr>
        <w:spacing w:line="502" w:lineRule="exact"/>
        <w:jc w:val="center"/>
        <w:outlineLvl w:val="1"/>
        <w:rPr>
          <w:b/>
          <w:color w:val="auto"/>
          <w:sz w:val="44"/>
          <w:highlight w:val="none"/>
        </w:rPr>
      </w:pPr>
      <w:bookmarkStart w:id="439" w:name="_Toc530728908"/>
      <w:bookmarkStart w:id="440" w:name="_Toc15971"/>
      <w:r>
        <w:rPr>
          <w:b/>
          <w:color w:val="auto"/>
          <w:sz w:val="44"/>
          <w:highlight w:val="none"/>
        </w:rPr>
        <w:t>第四章</w:t>
      </w:r>
      <w:r>
        <w:rPr>
          <w:rFonts w:hint="eastAsia"/>
          <w:b/>
          <w:color w:val="auto"/>
          <w:sz w:val="44"/>
          <w:highlight w:val="none"/>
        </w:rPr>
        <w:t xml:space="preserve"> </w:t>
      </w:r>
      <w:r>
        <w:rPr>
          <w:b/>
          <w:color w:val="auto"/>
          <w:sz w:val="44"/>
          <w:highlight w:val="none"/>
        </w:rPr>
        <w:t>合同条款及格式</w:t>
      </w:r>
      <w:bookmarkEnd w:id="439"/>
      <w:bookmarkEnd w:id="440"/>
    </w:p>
    <w:p w14:paraId="2BC99AE4">
      <w:pPr>
        <w:spacing w:line="324" w:lineRule="exact"/>
        <w:rPr>
          <w:color w:val="auto"/>
          <w:highlight w:val="none"/>
        </w:rPr>
      </w:pPr>
    </w:p>
    <w:p w14:paraId="21F306EB">
      <w:pPr>
        <w:spacing w:before="120" w:after="120" w:line="360" w:lineRule="auto"/>
        <w:jc w:val="center"/>
        <w:rPr>
          <w:color w:val="auto"/>
          <w:highlight w:val="none"/>
        </w:rPr>
        <w:sectPr>
          <w:pgSz w:w="11905" w:h="16838"/>
          <w:pgMar w:top="1145" w:right="850" w:bottom="850" w:left="1287" w:header="0" w:footer="454" w:gutter="0"/>
          <w:pgNumType w:fmt="decimal"/>
          <w:cols w:space="720" w:num="1"/>
          <w:rtlGutter w:val="0"/>
          <w:docGrid w:linePitch="360" w:charSpace="0"/>
        </w:sectPr>
      </w:pPr>
      <w:r>
        <w:rPr>
          <w:rFonts w:hint="eastAsia"/>
          <w:b/>
          <w:bCs/>
          <w:color w:val="auto"/>
          <w:sz w:val="32"/>
          <w:szCs w:val="32"/>
          <w:highlight w:val="none"/>
        </w:rPr>
        <w:t>（另册</w:t>
      </w:r>
      <w:r>
        <w:rPr>
          <w:b/>
          <w:bCs/>
          <w:color w:val="auto"/>
          <w:sz w:val="32"/>
          <w:szCs w:val="32"/>
          <w:highlight w:val="none"/>
        </w:rPr>
        <w:t>）</w:t>
      </w:r>
    </w:p>
    <w:p w14:paraId="1E4ADF40">
      <w:pPr>
        <w:numPr>
          <w:ilvl w:val="0"/>
          <w:numId w:val="4"/>
        </w:numPr>
        <w:spacing w:line="491" w:lineRule="exact"/>
        <w:jc w:val="center"/>
        <w:outlineLvl w:val="1"/>
        <w:rPr>
          <w:b/>
          <w:color w:val="auto"/>
          <w:sz w:val="43"/>
          <w:highlight w:val="none"/>
        </w:rPr>
      </w:pPr>
      <w:bookmarkStart w:id="441" w:name="OLE_LINK12"/>
      <w:bookmarkStart w:id="442" w:name="_Toc16708"/>
      <w:bookmarkStart w:id="443" w:name="_Toc530728910"/>
      <w:r>
        <w:rPr>
          <w:b/>
          <w:color w:val="auto"/>
          <w:sz w:val="43"/>
          <w:highlight w:val="none"/>
        </w:rPr>
        <w:t>委托人</w:t>
      </w:r>
      <w:bookmarkEnd w:id="441"/>
      <w:r>
        <w:rPr>
          <w:b/>
          <w:color w:val="auto"/>
          <w:sz w:val="43"/>
          <w:highlight w:val="none"/>
        </w:rPr>
        <w:t>要求</w:t>
      </w:r>
      <w:bookmarkEnd w:id="442"/>
    </w:p>
    <w:p w14:paraId="34EC4D50">
      <w:pPr>
        <w:pStyle w:val="3"/>
        <w:spacing w:before="156" w:after="156"/>
        <w:jc w:val="center"/>
        <w:rPr>
          <w:rFonts w:hint="eastAsia" w:ascii="宋体" w:hAnsi="宋体" w:cs="宋体"/>
          <w:color w:val="auto"/>
          <w:sz w:val="32"/>
          <w:szCs w:val="32"/>
        </w:rPr>
      </w:pPr>
      <w:bookmarkStart w:id="444" w:name="_Toc24267"/>
      <w:r>
        <w:rPr>
          <w:rFonts w:hint="eastAsia" w:ascii="宋体" w:hAnsi="宋体" w:cs="宋体"/>
          <w:color w:val="auto"/>
          <w:sz w:val="32"/>
          <w:szCs w:val="32"/>
        </w:rPr>
        <w:t>第一节</w:t>
      </w:r>
      <w:r>
        <w:rPr>
          <w:rFonts w:hint="eastAsia" w:cs="宋体"/>
          <w:color w:val="auto"/>
          <w:sz w:val="32"/>
          <w:szCs w:val="32"/>
          <w:lang w:val="en-US" w:eastAsia="zh-CN"/>
        </w:rPr>
        <w:t xml:space="preserve"> </w:t>
      </w:r>
      <w:r>
        <w:rPr>
          <w:rFonts w:hint="eastAsia" w:ascii="宋体" w:hAnsi="宋体" w:cs="宋体"/>
          <w:color w:val="auto"/>
          <w:sz w:val="32"/>
          <w:szCs w:val="32"/>
        </w:rPr>
        <w:t>项目概况</w:t>
      </w:r>
      <w:bookmarkEnd w:id="444"/>
    </w:p>
    <w:p w14:paraId="4924704C">
      <w:pPr>
        <w:pStyle w:val="3"/>
        <w:spacing w:before="156" w:after="156"/>
        <w:ind w:firstLine="578" w:firstLineChars="200"/>
        <w:rPr>
          <w:rFonts w:hint="eastAsia" w:ascii="黑体" w:hAnsi="黑体" w:eastAsia="黑体" w:cs="黑体"/>
          <w:color w:val="auto"/>
          <w:sz w:val="28"/>
          <w:szCs w:val="28"/>
        </w:rPr>
      </w:pPr>
      <w:bookmarkStart w:id="445" w:name="_Toc27196"/>
      <w:r>
        <w:rPr>
          <w:rFonts w:hint="eastAsia" w:ascii="黑体" w:hAnsi="黑体" w:eastAsia="黑体" w:cs="黑体"/>
          <w:color w:val="auto"/>
          <w:sz w:val="28"/>
          <w:szCs w:val="28"/>
        </w:rPr>
        <w:t>一、项目背景</w:t>
      </w:r>
      <w:bookmarkEnd w:id="445"/>
    </w:p>
    <w:p w14:paraId="72257E01">
      <w:pPr>
        <w:spacing w:line="360" w:lineRule="auto"/>
        <w:ind w:firstLine="480" w:firstLineChars="200"/>
        <w:rPr>
          <w:rFonts w:hint="eastAsia"/>
          <w:color w:val="auto"/>
          <w:sz w:val="24"/>
          <w:highlight w:val="none"/>
        </w:rPr>
      </w:pPr>
      <w:r>
        <w:rPr>
          <w:color w:val="auto"/>
          <w:sz w:val="24"/>
          <w:highlight w:val="none"/>
        </w:rPr>
        <w:t>（一）建设背景</w:t>
      </w:r>
    </w:p>
    <w:p w14:paraId="72E91F39">
      <w:pPr>
        <w:spacing w:line="360" w:lineRule="auto"/>
        <w:ind w:firstLine="480" w:firstLineChars="200"/>
        <w:rPr>
          <w:rFonts w:hint="eastAsia"/>
          <w:color w:val="auto"/>
          <w:sz w:val="24"/>
          <w:highlight w:val="none"/>
        </w:rPr>
      </w:pPr>
      <w:r>
        <w:rPr>
          <w:color w:val="auto"/>
          <w:sz w:val="24"/>
          <w:highlight w:val="none"/>
        </w:rPr>
        <w:t>2020年，广州南沙现代农业产业集团有限公司成立广州南沙智汇农业科技有限公司，拟通过建设湾区农谷项目，进一步引领南沙和大湾区现代农业转型升级和推进乡村振兴的优质现代化国有经济发展平台，助力南沙“三区一中心”开发建设更上新台阶。</w:t>
      </w:r>
    </w:p>
    <w:p w14:paraId="19C4092C">
      <w:pPr>
        <w:spacing w:line="360" w:lineRule="auto"/>
        <w:ind w:firstLine="480" w:firstLineChars="200"/>
        <w:rPr>
          <w:rFonts w:hint="eastAsia"/>
          <w:color w:val="auto"/>
          <w:sz w:val="24"/>
          <w:highlight w:val="none"/>
        </w:rPr>
      </w:pPr>
      <w:r>
        <w:rPr>
          <w:color w:val="auto"/>
          <w:sz w:val="24"/>
          <w:highlight w:val="none"/>
        </w:rPr>
        <w:t>（二）建设目的</w:t>
      </w:r>
    </w:p>
    <w:p w14:paraId="712DAB76">
      <w:pPr>
        <w:spacing w:line="360" w:lineRule="auto"/>
        <w:ind w:firstLine="480" w:firstLineChars="200"/>
        <w:rPr>
          <w:rFonts w:hint="eastAsia"/>
          <w:color w:val="auto"/>
          <w:sz w:val="24"/>
          <w:highlight w:val="none"/>
        </w:rPr>
      </w:pPr>
      <w:bookmarkStart w:id="446" w:name="_Toc30876"/>
      <w:r>
        <w:rPr>
          <w:color w:val="auto"/>
          <w:sz w:val="24"/>
          <w:highlight w:val="none"/>
        </w:rPr>
        <w:t>项目符合广州南沙现代农业产业集团有限公司打造现代农业产业板块的主营方向，一期项目建成投产运营后将实现水产智能化养殖、循环水智能化养殖数据采集、养殖技术研发、研学教育、科学技术研发等功能；二期项目紧紧围绕现代农业、生物领域不同发展阶段的核心需求，构建以现代农业、生物技术为主线的产业链平台，形成产业聚焦效应，整合并聚合相关产业服务资源，形成强大的产业服务生态圈，实现资源的优化配置与高效利用，从而带动相关行业的持续健康发展。</w:t>
      </w:r>
    </w:p>
    <w:p w14:paraId="0A097F0F">
      <w:pPr>
        <w:pStyle w:val="3"/>
        <w:spacing w:before="156" w:after="156"/>
        <w:ind w:firstLine="578" w:firstLineChars="200"/>
        <w:rPr>
          <w:rFonts w:hint="eastAsia" w:ascii="黑体" w:hAnsi="黑体" w:eastAsia="黑体" w:cs="黑体"/>
          <w:color w:val="auto"/>
          <w:sz w:val="28"/>
          <w:szCs w:val="28"/>
        </w:rPr>
      </w:pPr>
      <w:bookmarkStart w:id="447" w:name="_Toc700"/>
      <w:r>
        <w:rPr>
          <w:rFonts w:hint="eastAsia" w:ascii="黑体" w:hAnsi="黑体" w:eastAsia="黑体" w:cs="黑体"/>
          <w:color w:val="auto"/>
          <w:sz w:val="28"/>
          <w:szCs w:val="28"/>
        </w:rPr>
        <w:t>二、项目基本信息</w:t>
      </w:r>
      <w:bookmarkEnd w:id="446"/>
      <w:bookmarkEnd w:id="447"/>
    </w:p>
    <w:p w14:paraId="514354C8">
      <w:pPr>
        <w:spacing w:line="360" w:lineRule="auto"/>
        <w:ind w:firstLine="480" w:firstLineChars="200"/>
        <w:rPr>
          <w:rFonts w:hint="eastAsia"/>
          <w:color w:val="auto"/>
          <w:sz w:val="24"/>
          <w:highlight w:val="none"/>
        </w:rPr>
      </w:pPr>
      <w:r>
        <w:rPr>
          <w:color w:val="auto"/>
          <w:sz w:val="24"/>
          <w:highlight w:val="none"/>
        </w:rPr>
        <w:t>（一）项目名称：湾区农谷</w:t>
      </w:r>
    </w:p>
    <w:p w14:paraId="70B5672E">
      <w:pPr>
        <w:spacing w:line="360" w:lineRule="auto"/>
        <w:ind w:firstLine="480" w:firstLineChars="200"/>
        <w:rPr>
          <w:rFonts w:hint="eastAsia"/>
          <w:color w:val="auto"/>
          <w:sz w:val="24"/>
          <w:highlight w:val="none"/>
        </w:rPr>
      </w:pPr>
      <w:r>
        <w:rPr>
          <w:color w:val="auto"/>
          <w:sz w:val="24"/>
          <w:highlight w:val="none"/>
        </w:rPr>
        <w:t>（二）项目建设单位：广州南沙智汇农业科技有限公司</w:t>
      </w:r>
    </w:p>
    <w:p w14:paraId="717CEC4E">
      <w:pPr>
        <w:spacing w:line="360" w:lineRule="auto"/>
        <w:ind w:firstLine="480" w:firstLineChars="200"/>
        <w:rPr>
          <w:rFonts w:hint="eastAsia"/>
          <w:color w:val="auto"/>
          <w:sz w:val="24"/>
          <w:highlight w:val="none"/>
        </w:rPr>
      </w:pPr>
      <w:r>
        <w:rPr>
          <w:color w:val="auto"/>
          <w:sz w:val="24"/>
          <w:highlight w:val="none"/>
        </w:rPr>
        <w:t>（三）项目性质：新建</w:t>
      </w:r>
    </w:p>
    <w:p w14:paraId="7DE56C56">
      <w:pPr>
        <w:spacing w:line="360" w:lineRule="auto"/>
        <w:ind w:firstLine="480" w:firstLineChars="200"/>
        <w:rPr>
          <w:rFonts w:hint="eastAsia"/>
          <w:color w:val="auto"/>
          <w:sz w:val="24"/>
          <w:highlight w:val="none"/>
        </w:rPr>
      </w:pPr>
      <w:r>
        <w:rPr>
          <w:color w:val="auto"/>
          <w:sz w:val="24"/>
          <w:highlight w:val="none"/>
        </w:rPr>
        <w:t>（四）项目选址：广州市南沙区珠江街17号路北侧、二涌北路西侧</w:t>
      </w:r>
    </w:p>
    <w:p w14:paraId="1F2299DE">
      <w:pPr>
        <w:spacing w:line="360" w:lineRule="auto"/>
        <w:ind w:firstLine="480" w:firstLineChars="200"/>
        <w:rPr>
          <w:rFonts w:hint="eastAsia"/>
          <w:color w:val="auto"/>
          <w:sz w:val="24"/>
          <w:highlight w:val="none"/>
        </w:rPr>
      </w:pPr>
      <w:r>
        <w:rPr>
          <w:color w:val="auto"/>
          <w:sz w:val="24"/>
          <w:highlight w:val="none"/>
        </w:rPr>
        <w:t>图. 项目选址示意图</w:t>
      </w:r>
    </w:p>
    <w:p w14:paraId="63208F3D">
      <w:pPr>
        <w:rPr>
          <w:rFonts w:hint="eastAsia" w:eastAsia="黑体"/>
          <w:color w:val="auto"/>
          <w:highlight w:val="none"/>
        </w:rPr>
      </w:pPr>
      <w:r>
        <w:rPr>
          <w:color w:val="auto"/>
          <w:highlight w:val="none"/>
        </w:rPr>
        <w:drawing>
          <wp:inline distT="0" distB="0" distL="114300" distR="114300">
            <wp:extent cx="5580380" cy="4234815"/>
            <wp:effectExtent l="0" t="0" r="127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80380" cy="4234815"/>
                    </a:xfrm>
                    <a:prstGeom prst="rect">
                      <a:avLst/>
                    </a:prstGeom>
                    <a:noFill/>
                    <a:ln>
                      <a:noFill/>
                    </a:ln>
                  </pic:spPr>
                </pic:pic>
              </a:graphicData>
            </a:graphic>
          </wp:inline>
        </w:drawing>
      </w:r>
    </w:p>
    <w:p w14:paraId="39BD9D1F">
      <w:pPr>
        <w:pStyle w:val="3"/>
        <w:spacing w:before="156" w:after="156"/>
        <w:ind w:firstLine="578" w:firstLineChars="200"/>
        <w:rPr>
          <w:rFonts w:hint="eastAsia" w:ascii="黑体" w:hAnsi="黑体" w:eastAsia="黑体" w:cs="黑体"/>
          <w:color w:val="auto"/>
          <w:sz w:val="28"/>
          <w:szCs w:val="28"/>
        </w:rPr>
      </w:pPr>
      <w:bookmarkStart w:id="448" w:name="_Toc6643"/>
      <w:r>
        <w:rPr>
          <w:rFonts w:hint="eastAsia" w:ascii="黑体" w:hAnsi="黑体" w:eastAsia="黑体" w:cs="黑体"/>
          <w:color w:val="auto"/>
          <w:sz w:val="28"/>
          <w:szCs w:val="28"/>
        </w:rPr>
        <w:t>三、开展项目</w:t>
      </w:r>
      <w:bookmarkEnd w:id="448"/>
    </w:p>
    <w:p w14:paraId="784318BC">
      <w:pPr>
        <w:spacing w:line="360" w:lineRule="auto"/>
        <w:ind w:firstLine="480" w:firstLineChars="200"/>
        <w:rPr>
          <w:rFonts w:hint="eastAsia"/>
          <w:color w:val="auto"/>
          <w:sz w:val="24"/>
          <w:highlight w:val="none"/>
        </w:rPr>
      </w:pPr>
      <w:r>
        <w:rPr>
          <w:color w:val="auto"/>
          <w:sz w:val="24"/>
          <w:highlight w:val="none"/>
        </w:rPr>
        <w:t>（一）项目名称：</w:t>
      </w:r>
    </w:p>
    <w:p w14:paraId="65DBFF45">
      <w:pPr>
        <w:spacing w:line="360" w:lineRule="auto"/>
        <w:ind w:firstLine="480" w:firstLineChars="200"/>
        <w:rPr>
          <w:rFonts w:hint="eastAsia"/>
          <w:color w:val="auto"/>
          <w:sz w:val="24"/>
          <w:highlight w:val="none"/>
        </w:rPr>
      </w:pPr>
      <w:r>
        <w:rPr>
          <w:rFonts w:hint="eastAsia"/>
          <w:color w:val="auto"/>
          <w:sz w:val="24"/>
          <w:highlight w:val="none"/>
        </w:rPr>
        <w:t>湾区农谷二期地铁保护动态监测和安全监控服务</w:t>
      </w:r>
    </w:p>
    <w:p w14:paraId="6C08BE15">
      <w:pPr>
        <w:spacing w:line="360" w:lineRule="auto"/>
        <w:ind w:firstLine="480" w:firstLineChars="200"/>
        <w:rPr>
          <w:rFonts w:hint="eastAsia"/>
          <w:color w:val="auto"/>
          <w:sz w:val="24"/>
          <w:highlight w:val="none"/>
        </w:rPr>
      </w:pPr>
      <w:r>
        <w:rPr>
          <w:color w:val="auto"/>
          <w:sz w:val="24"/>
          <w:highlight w:val="none"/>
        </w:rPr>
        <w:t>（二）项目介绍：</w:t>
      </w:r>
    </w:p>
    <w:p w14:paraId="1E896AB2">
      <w:pPr>
        <w:spacing w:line="360" w:lineRule="auto"/>
        <w:ind w:firstLine="480" w:firstLineChars="200"/>
        <w:rPr>
          <w:color w:val="auto"/>
          <w:sz w:val="24"/>
          <w:highlight w:val="none"/>
        </w:rPr>
      </w:pPr>
      <w:r>
        <w:rPr>
          <w:color w:val="auto"/>
          <w:sz w:val="24"/>
          <w:highlight w:val="none"/>
        </w:rPr>
        <w:t>因湾区农谷二期建设用地部分区域位于广州地铁18号线保护范围内，在项目施工过程中需进行影响范围内的地铁保护</w:t>
      </w:r>
      <w:r>
        <w:rPr>
          <w:rFonts w:hint="eastAsia"/>
          <w:color w:val="auto"/>
          <w:sz w:val="24"/>
          <w:highlight w:val="none"/>
        </w:rPr>
        <w:t>动态</w:t>
      </w:r>
      <w:r>
        <w:rPr>
          <w:color w:val="auto"/>
          <w:sz w:val="24"/>
          <w:highlight w:val="none"/>
        </w:rPr>
        <w:t>监测</w:t>
      </w:r>
      <w:r>
        <w:rPr>
          <w:rFonts w:hint="eastAsia"/>
          <w:color w:val="auto"/>
          <w:sz w:val="24"/>
          <w:highlight w:val="none"/>
        </w:rPr>
        <w:t>和安全监控</w:t>
      </w:r>
      <w:r>
        <w:rPr>
          <w:color w:val="auto"/>
          <w:sz w:val="24"/>
          <w:highlight w:val="none"/>
        </w:rPr>
        <w:t>方可施工。</w:t>
      </w:r>
    </w:p>
    <w:p w14:paraId="73865DA2">
      <w:pPr>
        <w:spacing w:line="360" w:lineRule="auto"/>
        <w:ind w:firstLine="480" w:firstLineChars="200"/>
        <w:rPr>
          <w:color w:val="auto"/>
          <w:sz w:val="24"/>
          <w:highlight w:val="none"/>
        </w:rPr>
      </w:pPr>
      <w:r>
        <w:rPr>
          <w:rFonts w:hint="eastAsia"/>
          <w:color w:val="auto"/>
          <w:sz w:val="24"/>
          <w:highlight w:val="none"/>
        </w:rPr>
        <w:t>（三）项目工期</w:t>
      </w:r>
    </w:p>
    <w:p w14:paraId="4D5B64FA">
      <w:pPr>
        <w:spacing w:line="360" w:lineRule="auto"/>
        <w:ind w:firstLine="480" w:firstLineChars="200"/>
        <w:rPr>
          <w:color w:val="auto"/>
          <w:sz w:val="24"/>
          <w:highlight w:val="none"/>
        </w:rPr>
      </w:pPr>
      <w:r>
        <w:rPr>
          <w:rFonts w:hint="eastAsia"/>
          <w:color w:val="auto"/>
          <w:sz w:val="24"/>
          <w:highlight w:val="none"/>
        </w:rPr>
        <w:t>本项目工期暂定为16个月（15个月施工期和1个月观察期，具体工期以实际为准）。</w:t>
      </w:r>
    </w:p>
    <w:p w14:paraId="2E7DE7F7">
      <w:pPr>
        <w:pStyle w:val="3"/>
        <w:spacing w:before="156" w:after="156"/>
        <w:jc w:val="center"/>
        <w:rPr>
          <w:rFonts w:hint="eastAsia" w:ascii="宋体" w:hAnsi="宋体" w:cs="宋体"/>
          <w:color w:val="auto"/>
          <w:sz w:val="32"/>
          <w:szCs w:val="32"/>
        </w:rPr>
      </w:pPr>
      <w:bookmarkStart w:id="449" w:name="_Toc16023"/>
      <w:r>
        <w:rPr>
          <w:rFonts w:hint="eastAsia" w:ascii="宋体" w:hAnsi="宋体" w:cs="宋体"/>
          <w:color w:val="auto"/>
          <w:sz w:val="32"/>
          <w:szCs w:val="32"/>
        </w:rPr>
        <w:t>第二节</w:t>
      </w:r>
      <w:r>
        <w:rPr>
          <w:rFonts w:hint="eastAsia" w:cs="宋体"/>
          <w:color w:val="auto"/>
          <w:sz w:val="32"/>
          <w:szCs w:val="32"/>
          <w:lang w:val="en-US" w:eastAsia="zh-CN"/>
        </w:rPr>
        <w:t xml:space="preserve"> </w:t>
      </w:r>
      <w:r>
        <w:rPr>
          <w:rFonts w:hint="eastAsia" w:ascii="宋体" w:hAnsi="宋体" w:cs="宋体"/>
          <w:color w:val="auto"/>
          <w:sz w:val="32"/>
          <w:szCs w:val="32"/>
        </w:rPr>
        <w:t>地铁保护动态监测</w:t>
      </w:r>
      <w:bookmarkEnd w:id="449"/>
    </w:p>
    <w:p w14:paraId="5B4C332A">
      <w:pPr>
        <w:spacing w:line="360" w:lineRule="auto"/>
        <w:ind w:firstLine="480" w:firstLineChars="200"/>
        <w:rPr>
          <w:rFonts w:hint="eastAsia"/>
          <w:color w:val="auto"/>
          <w:sz w:val="24"/>
          <w:highlight w:val="none"/>
        </w:rPr>
      </w:pPr>
      <w:r>
        <w:rPr>
          <w:rFonts w:hint="eastAsia"/>
          <w:color w:val="auto"/>
          <w:sz w:val="24"/>
          <w:highlight w:val="none"/>
        </w:rPr>
        <w:t>湾区农谷二期地铁保护动态监测主要包含工作步骤、具体工作内容、费用预算及成果完成时间，具体如下。</w:t>
      </w:r>
    </w:p>
    <w:p w14:paraId="1565262E">
      <w:pPr>
        <w:pStyle w:val="3"/>
        <w:spacing w:before="156" w:after="156"/>
        <w:ind w:firstLine="578" w:firstLineChars="200"/>
        <w:rPr>
          <w:rFonts w:hint="eastAsia" w:ascii="黑体" w:hAnsi="黑体" w:eastAsia="黑体" w:cs="黑体"/>
          <w:color w:val="auto"/>
          <w:sz w:val="28"/>
          <w:szCs w:val="28"/>
        </w:rPr>
      </w:pPr>
      <w:bookmarkStart w:id="450" w:name="_Toc11397"/>
      <w:r>
        <w:rPr>
          <w:rFonts w:hint="eastAsia" w:ascii="黑体" w:hAnsi="黑体" w:eastAsia="黑体" w:cs="黑体"/>
          <w:color w:val="auto"/>
          <w:sz w:val="28"/>
          <w:szCs w:val="28"/>
        </w:rPr>
        <w:t>一、工作步骤</w:t>
      </w:r>
      <w:bookmarkEnd w:id="450"/>
    </w:p>
    <w:p w14:paraId="01261AB4">
      <w:pPr>
        <w:spacing w:line="360" w:lineRule="auto"/>
        <w:ind w:firstLine="480" w:firstLineChars="200"/>
        <w:rPr>
          <w:rFonts w:hint="eastAsia"/>
          <w:color w:val="auto"/>
          <w:sz w:val="24"/>
          <w:highlight w:val="none"/>
        </w:rPr>
      </w:pPr>
      <w:r>
        <w:rPr>
          <w:rFonts w:hint="eastAsia"/>
          <w:color w:val="auto"/>
          <w:sz w:val="24"/>
          <w:highlight w:val="none"/>
        </w:rPr>
        <w:t>在施工前，需采集施工影响区域地铁随道变形的初始值方可施工，本项目对地铁18号线地铁保护动态监测工作，包括但不限于:</w:t>
      </w:r>
    </w:p>
    <w:p w14:paraId="6B73E671">
      <w:pPr>
        <w:pStyle w:val="3"/>
        <w:spacing w:before="156" w:after="156"/>
        <w:ind w:firstLine="578" w:firstLineChars="200"/>
        <w:rPr>
          <w:rFonts w:hint="eastAsia"/>
          <w:color w:val="auto"/>
          <w:sz w:val="28"/>
          <w:szCs w:val="28"/>
        </w:rPr>
      </w:pPr>
      <w:bookmarkStart w:id="451" w:name="_Toc16153"/>
      <w:r>
        <w:rPr>
          <w:rFonts w:hint="eastAsia"/>
          <w:color w:val="auto"/>
          <w:sz w:val="28"/>
          <w:szCs w:val="28"/>
        </w:rPr>
        <w:t>（一）地铁保护动态监测步骤</w:t>
      </w:r>
      <w:bookmarkEnd w:id="451"/>
    </w:p>
    <w:p w14:paraId="640F84C3">
      <w:pPr>
        <w:spacing w:line="360" w:lineRule="auto"/>
        <w:ind w:firstLine="480" w:firstLineChars="200"/>
        <w:rPr>
          <w:rFonts w:hint="eastAsia"/>
          <w:color w:val="auto"/>
          <w:sz w:val="24"/>
          <w:highlight w:val="none"/>
        </w:rPr>
      </w:pPr>
      <w:r>
        <w:rPr>
          <w:rFonts w:hint="eastAsia"/>
          <w:color w:val="auto"/>
          <w:sz w:val="24"/>
          <w:highlight w:val="none"/>
        </w:rPr>
        <w:t>（1）编制监测方案；</w:t>
      </w:r>
    </w:p>
    <w:p w14:paraId="5F2EB1FB">
      <w:pPr>
        <w:spacing w:line="360" w:lineRule="auto"/>
        <w:ind w:firstLine="480" w:firstLineChars="200"/>
        <w:rPr>
          <w:rFonts w:hint="eastAsia"/>
          <w:color w:val="auto"/>
          <w:sz w:val="24"/>
          <w:highlight w:val="none"/>
        </w:rPr>
      </w:pPr>
      <w:r>
        <w:rPr>
          <w:rFonts w:hint="eastAsia"/>
          <w:color w:val="auto"/>
          <w:sz w:val="24"/>
          <w:highlight w:val="none"/>
        </w:rPr>
        <w:t>（2）监测方案报审（报地铁保护相关部门）；</w:t>
      </w:r>
    </w:p>
    <w:p w14:paraId="0830A191">
      <w:pPr>
        <w:spacing w:line="360" w:lineRule="auto"/>
        <w:ind w:firstLine="480" w:firstLineChars="200"/>
        <w:rPr>
          <w:rFonts w:hint="eastAsia"/>
          <w:color w:val="auto"/>
          <w:sz w:val="24"/>
          <w:highlight w:val="none"/>
        </w:rPr>
      </w:pPr>
      <w:r>
        <w:rPr>
          <w:rFonts w:hint="eastAsia"/>
          <w:color w:val="auto"/>
          <w:sz w:val="24"/>
          <w:highlight w:val="none"/>
        </w:rPr>
        <w:t>（3）项目报建（报地铁运营相关部门）；</w:t>
      </w:r>
    </w:p>
    <w:p w14:paraId="10090AC0">
      <w:pPr>
        <w:spacing w:line="360" w:lineRule="auto"/>
        <w:ind w:firstLine="480" w:firstLineChars="200"/>
        <w:rPr>
          <w:rFonts w:hint="eastAsia"/>
          <w:color w:val="auto"/>
          <w:sz w:val="24"/>
          <w:highlight w:val="none"/>
        </w:rPr>
      </w:pPr>
      <w:r>
        <w:rPr>
          <w:rFonts w:hint="eastAsia"/>
          <w:color w:val="auto"/>
          <w:sz w:val="24"/>
          <w:highlight w:val="none"/>
        </w:rPr>
        <w:t>（4）签订安全协议、办理施工许可单；</w:t>
      </w:r>
    </w:p>
    <w:p w14:paraId="24FCC84D">
      <w:pPr>
        <w:spacing w:line="360" w:lineRule="auto"/>
        <w:ind w:firstLine="480" w:firstLineChars="200"/>
        <w:rPr>
          <w:rFonts w:hint="eastAsia"/>
          <w:color w:val="auto"/>
          <w:sz w:val="24"/>
          <w:highlight w:val="none"/>
        </w:rPr>
      </w:pPr>
      <w:r>
        <w:rPr>
          <w:rFonts w:hint="eastAsia"/>
          <w:color w:val="auto"/>
          <w:sz w:val="24"/>
          <w:highlight w:val="none"/>
        </w:rPr>
        <w:t>（5）协调运营申请《作业令》，拿到作业令后方可下隧道装点；</w:t>
      </w:r>
    </w:p>
    <w:p w14:paraId="5AB9C162">
      <w:pPr>
        <w:spacing w:line="360" w:lineRule="auto"/>
        <w:ind w:firstLine="480" w:firstLineChars="200"/>
        <w:rPr>
          <w:rFonts w:hint="eastAsia"/>
          <w:color w:val="auto"/>
          <w:sz w:val="24"/>
          <w:highlight w:val="none"/>
        </w:rPr>
      </w:pPr>
      <w:r>
        <w:rPr>
          <w:rFonts w:hint="eastAsia"/>
          <w:color w:val="auto"/>
          <w:sz w:val="24"/>
          <w:highlight w:val="none"/>
        </w:rPr>
        <w:t>（6）断面引测，确定施工影响的地铁隧道范围；</w:t>
      </w:r>
    </w:p>
    <w:p w14:paraId="4D1A24EC">
      <w:pPr>
        <w:spacing w:line="360" w:lineRule="auto"/>
        <w:ind w:firstLine="480" w:firstLineChars="200"/>
        <w:rPr>
          <w:rFonts w:hint="eastAsia"/>
          <w:color w:val="auto"/>
          <w:sz w:val="24"/>
          <w:highlight w:val="none"/>
        </w:rPr>
      </w:pPr>
      <w:r>
        <w:rPr>
          <w:rFonts w:hint="eastAsia"/>
          <w:color w:val="auto"/>
          <w:sz w:val="24"/>
          <w:highlight w:val="none"/>
        </w:rPr>
        <w:t>（7）工前地铁隧道现状普查、三维激光扫描；</w:t>
      </w:r>
    </w:p>
    <w:p w14:paraId="54A5B9F8">
      <w:pPr>
        <w:spacing w:line="360" w:lineRule="auto"/>
        <w:ind w:firstLine="480" w:firstLineChars="200"/>
        <w:rPr>
          <w:rFonts w:hint="eastAsia"/>
          <w:color w:val="auto"/>
          <w:sz w:val="24"/>
          <w:highlight w:val="none"/>
        </w:rPr>
      </w:pPr>
      <w:r>
        <w:rPr>
          <w:rFonts w:hint="eastAsia"/>
          <w:color w:val="auto"/>
          <w:sz w:val="24"/>
          <w:highlight w:val="none"/>
        </w:rPr>
        <w:t>（8）现场监测断面埋设、仪器调试；</w:t>
      </w:r>
    </w:p>
    <w:p w14:paraId="16A5EAAB">
      <w:pPr>
        <w:spacing w:line="360" w:lineRule="auto"/>
        <w:ind w:firstLine="480" w:firstLineChars="200"/>
        <w:rPr>
          <w:rFonts w:hint="eastAsia"/>
          <w:color w:val="auto"/>
          <w:sz w:val="24"/>
          <w:highlight w:val="none"/>
        </w:rPr>
      </w:pPr>
      <w:r>
        <w:rPr>
          <w:rFonts w:hint="eastAsia"/>
          <w:color w:val="auto"/>
          <w:sz w:val="24"/>
          <w:highlight w:val="none"/>
        </w:rPr>
        <w:t>（9）进行六方确认，即建设单位、设计、监理、施工、监测和运营单位对埋设好的监测断面和仪器设备进行现场确认；</w:t>
      </w:r>
    </w:p>
    <w:p w14:paraId="3B84BA6C">
      <w:pPr>
        <w:spacing w:line="360" w:lineRule="auto"/>
        <w:ind w:firstLine="480" w:firstLineChars="200"/>
        <w:rPr>
          <w:rFonts w:hint="eastAsia"/>
          <w:color w:val="auto"/>
          <w:sz w:val="24"/>
          <w:highlight w:val="none"/>
        </w:rPr>
      </w:pPr>
      <w:r>
        <w:rPr>
          <w:rFonts w:hint="eastAsia"/>
          <w:color w:val="auto"/>
          <w:sz w:val="24"/>
          <w:highlight w:val="none"/>
        </w:rPr>
        <w:t>（10）开展施工过程中的自动化数据采集，过程中包含基准网的校核和人工沉降监测；</w:t>
      </w:r>
    </w:p>
    <w:p w14:paraId="00DEA115">
      <w:pPr>
        <w:spacing w:line="360" w:lineRule="auto"/>
        <w:ind w:firstLine="480" w:firstLineChars="200"/>
        <w:rPr>
          <w:rFonts w:hint="eastAsia"/>
          <w:color w:val="auto"/>
          <w:sz w:val="24"/>
          <w:highlight w:val="none"/>
        </w:rPr>
      </w:pPr>
      <w:r>
        <w:rPr>
          <w:rFonts w:hint="eastAsia"/>
          <w:color w:val="auto"/>
          <w:sz w:val="24"/>
          <w:highlight w:val="none"/>
        </w:rPr>
        <w:t>（11）施工结束后，对地铁隧道现状普查、三维激光扫描。</w:t>
      </w:r>
    </w:p>
    <w:p w14:paraId="603DBC1F">
      <w:pPr>
        <w:pStyle w:val="3"/>
        <w:spacing w:before="156" w:after="156"/>
        <w:ind w:firstLine="578" w:firstLineChars="200"/>
        <w:rPr>
          <w:rFonts w:hint="eastAsia" w:ascii="黑体" w:hAnsi="黑体" w:eastAsia="黑体" w:cs="黑体"/>
          <w:color w:val="auto"/>
          <w:sz w:val="28"/>
          <w:szCs w:val="28"/>
        </w:rPr>
      </w:pPr>
      <w:bookmarkStart w:id="452" w:name="_Toc22169"/>
      <w:r>
        <w:rPr>
          <w:rFonts w:hint="eastAsia" w:ascii="黑体" w:hAnsi="黑体" w:eastAsia="黑体" w:cs="黑体"/>
          <w:color w:val="auto"/>
          <w:sz w:val="28"/>
          <w:szCs w:val="28"/>
        </w:rPr>
        <w:t>二、具体工作内容</w:t>
      </w:r>
      <w:bookmarkEnd w:id="452"/>
    </w:p>
    <w:p w14:paraId="16E594B1">
      <w:pPr>
        <w:pStyle w:val="3"/>
        <w:spacing w:before="156" w:after="156"/>
        <w:ind w:firstLine="578" w:firstLineChars="200"/>
        <w:rPr>
          <w:rFonts w:hint="eastAsia"/>
          <w:color w:val="auto"/>
          <w:sz w:val="28"/>
          <w:szCs w:val="28"/>
        </w:rPr>
      </w:pPr>
      <w:bookmarkStart w:id="453" w:name="_Toc20802"/>
      <w:r>
        <w:rPr>
          <w:rFonts w:hint="eastAsia"/>
          <w:color w:val="auto"/>
          <w:sz w:val="28"/>
          <w:szCs w:val="28"/>
        </w:rPr>
        <w:t>地铁保护动态监测</w:t>
      </w:r>
      <w:bookmarkEnd w:id="453"/>
    </w:p>
    <w:tbl>
      <w:tblPr>
        <w:tblStyle w:val="25"/>
        <w:tblW w:w="87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92"/>
      </w:tblGrid>
      <w:tr w14:paraId="5D21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1FC4CDC5">
            <w:pPr>
              <w:rPr>
                <w:rFonts w:hint="eastAsia"/>
                <w:color w:val="auto"/>
                <w:sz w:val="24"/>
                <w:szCs w:val="24"/>
                <w:highlight w:val="none"/>
              </w:rPr>
            </w:pPr>
            <w:r>
              <w:rPr>
                <w:color w:val="auto"/>
                <w:sz w:val="24"/>
                <w:szCs w:val="24"/>
                <w:highlight w:val="none"/>
              </w:rPr>
              <w:t>序号</w:t>
            </w:r>
          </w:p>
        </w:tc>
        <w:tc>
          <w:tcPr>
            <w:tcW w:w="7692" w:type="dxa"/>
            <w:noWrap w:val="0"/>
            <w:vAlign w:val="center"/>
          </w:tcPr>
          <w:p w14:paraId="311F1539">
            <w:pPr>
              <w:ind w:firstLine="480"/>
              <w:rPr>
                <w:rFonts w:hint="eastAsia"/>
                <w:color w:val="auto"/>
                <w:sz w:val="24"/>
                <w:szCs w:val="24"/>
                <w:highlight w:val="none"/>
              </w:rPr>
            </w:pPr>
            <w:r>
              <w:rPr>
                <w:color w:val="auto"/>
                <w:sz w:val="24"/>
                <w:szCs w:val="24"/>
                <w:highlight w:val="none"/>
              </w:rPr>
              <w:t>工作内容</w:t>
            </w:r>
          </w:p>
        </w:tc>
      </w:tr>
      <w:tr w14:paraId="5CC1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080" w:type="dxa"/>
            <w:noWrap w:val="0"/>
            <w:vAlign w:val="center"/>
          </w:tcPr>
          <w:p w14:paraId="171A3E81">
            <w:pPr>
              <w:jc w:val="center"/>
              <w:rPr>
                <w:rFonts w:hint="eastAsia"/>
                <w:color w:val="auto"/>
                <w:sz w:val="24"/>
                <w:szCs w:val="24"/>
                <w:highlight w:val="none"/>
              </w:rPr>
            </w:pPr>
            <w:r>
              <w:rPr>
                <w:color w:val="auto"/>
                <w:sz w:val="24"/>
                <w:szCs w:val="24"/>
                <w:highlight w:val="none"/>
              </w:rPr>
              <w:t>1</w:t>
            </w:r>
          </w:p>
        </w:tc>
        <w:tc>
          <w:tcPr>
            <w:tcW w:w="7692" w:type="dxa"/>
            <w:noWrap w:val="0"/>
            <w:vAlign w:val="center"/>
          </w:tcPr>
          <w:p w14:paraId="27038963">
            <w:pPr>
              <w:rPr>
                <w:rFonts w:hint="eastAsia"/>
                <w:color w:val="auto"/>
                <w:sz w:val="24"/>
                <w:szCs w:val="24"/>
                <w:highlight w:val="none"/>
              </w:rPr>
            </w:pPr>
            <w:r>
              <w:rPr>
                <w:rFonts w:hint="eastAsia"/>
                <w:color w:val="auto"/>
                <w:sz w:val="24"/>
                <w:szCs w:val="24"/>
                <w:highlight w:val="none"/>
              </w:rPr>
              <w:t>收集项目相关资料(主要包括：设计图纸、地质资料、安评报告)，并编制</w:t>
            </w:r>
            <w:r>
              <w:rPr>
                <w:color w:val="auto"/>
                <w:sz w:val="24"/>
                <w:szCs w:val="24"/>
                <w:highlight w:val="none"/>
              </w:rPr>
              <w:t>监测方案</w:t>
            </w:r>
            <w:r>
              <w:rPr>
                <w:rFonts w:hint="eastAsia"/>
                <w:color w:val="auto"/>
                <w:sz w:val="24"/>
                <w:szCs w:val="24"/>
                <w:highlight w:val="none"/>
              </w:rPr>
              <w:t>。</w:t>
            </w:r>
          </w:p>
        </w:tc>
      </w:tr>
      <w:tr w14:paraId="48DC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25993F9E">
            <w:pPr>
              <w:jc w:val="center"/>
              <w:rPr>
                <w:rFonts w:hint="eastAsia"/>
                <w:color w:val="auto"/>
                <w:sz w:val="24"/>
                <w:szCs w:val="24"/>
                <w:highlight w:val="none"/>
              </w:rPr>
            </w:pPr>
            <w:r>
              <w:rPr>
                <w:color w:val="auto"/>
                <w:sz w:val="24"/>
                <w:szCs w:val="24"/>
                <w:highlight w:val="none"/>
              </w:rPr>
              <w:t>2</w:t>
            </w:r>
          </w:p>
        </w:tc>
        <w:tc>
          <w:tcPr>
            <w:tcW w:w="7692" w:type="dxa"/>
            <w:noWrap w:val="0"/>
            <w:vAlign w:val="center"/>
          </w:tcPr>
          <w:p w14:paraId="28DDA045">
            <w:pPr>
              <w:rPr>
                <w:rFonts w:hint="eastAsia"/>
                <w:color w:val="auto"/>
                <w:sz w:val="24"/>
                <w:szCs w:val="24"/>
                <w:highlight w:val="none"/>
              </w:rPr>
            </w:pPr>
            <w:r>
              <w:rPr>
                <w:color w:val="auto"/>
                <w:sz w:val="24"/>
                <w:szCs w:val="24"/>
                <w:highlight w:val="none"/>
              </w:rPr>
              <w:t>组织监测方案内部咨询审核</w:t>
            </w:r>
            <w:r>
              <w:rPr>
                <w:rFonts w:hint="eastAsia"/>
                <w:color w:val="auto"/>
                <w:sz w:val="24"/>
                <w:szCs w:val="24"/>
                <w:highlight w:val="none"/>
              </w:rPr>
              <w:t>（三级校审）。</w:t>
            </w:r>
          </w:p>
        </w:tc>
      </w:tr>
      <w:tr w14:paraId="3494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0E822E02">
            <w:pPr>
              <w:jc w:val="center"/>
              <w:rPr>
                <w:rFonts w:hint="eastAsia"/>
                <w:color w:val="auto"/>
                <w:sz w:val="24"/>
                <w:szCs w:val="24"/>
                <w:highlight w:val="none"/>
              </w:rPr>
            </w:pPr>
            <w:r>
              <w:rPr>
                <w:color w:val="auto"/>
                <w:sz w:val="24"/>
                <w:szCs w:val="24"/>
                <w:highlight w:val="none"/>
              </w:rPr>
              <w:t>3</w:t>
            </w:r>
          </w:p>
        </w:tc>
        <w:tc>
          <w:tcPr>
            <w:tcW w:w="7692" w:type="dxa"/>
            <w:noWrap w:val="0"/>
            <w:vAlign w:val="center"/>
          </w:tcPr>
          <w:p w14:paraId="55CA5700">
            <w:pPr>
              <w:rPr>
                <w:rFonts w:hint="eastAsia"/>
                <w:color w:val="auto"/>
                <w:sz w:val="24"/>
                <w:szCs w:val="24"/>
                <w:highlight w:val="none"/>
              </w:rPr>
            </w:pPr>
            <w:r>
              <w:rPr>
                <w:rFonts w:hint="eastAsia"/>
                <w:color w:val="auto"/>
                <w:sz w:val="24"/>
                <w:szCs w:val="24"/>
                <w:highlight w:val="none"/>
              </w:rPr>
              <w:t>监测方案报地保审核（需要以业主的名义报审地保办，报审资料主要包含：①报审函（盖业主公章）；②合同或中标通知书；③地铁保护监测方案（盖监测单位+业主公章））。</w:t>
            </w:r>
          </w:p>
        </w:tc>
      </w:tr>
      <w:tr w14:paraId="5AC5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45344E2B">
            <w:pPr>
              <w:jc w:val="center"/>
              <w:rPr>
                <w:rFonts w:hint="eastAsia"/>
                <w:color w:val="auto"/>
                <w:sz w:val="24"/>
                <w:szCs w:val="24"/>
                <w:highlight w:val="none"/>
              </w:rPr>
            </w:pPr>
            <w:r>
              <w:rPr>
                <w:color w:val="auto"/>
                <w:sz w:val="24"/>
                <w:szCs w:val="24"/>
                <w:highlight w:val="none"/>
              </w:rPr>
              <w:t>4</w:t>
            </w:r>
          </w:p>
        </w:tc>
        <w:tc>
          <w:tcPr>
            <w:tcW w:w="7692" w:type="dxa"/>
            <w:noWrap w:val="0"/>
            <w:vAlign w:val="center"/>
          </w:tcPr>
          <w:p w14:paraId="2412D163">
            <w:pPr>
              <w:rPr>
                <w:rFonts w:hint="eastAsia"/>
                <w:color w:val="auto"/>
                <w:sz w:val="24"/>
                <w:szCs w:val="24"/>
                <w:highlight w:val="none"/>
              </w:rPr>
            </w:pPr>
            <w:r>
              <w:rPr>
                <w:rFonts w:hint="eastAsia"/>
                <w:color w:val="auto"/>
                <w:sz w:val="24"/>
                <w:szCs w:val="24"/>
                <w:highlight w:val="none"/>
              </w:rPr>
              <w:t>项目报建（相关资料报审地保办后，地保办组织人员进行审核，审核结束后出局复函，报建流程结束）。</w:t>
            </w:r>
          </w:p>
        </w:tc>
      </w:tr>
      <w:tr w14:paraId="7EC0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750174CD">
            <w:pPr>
              <w:jc w:val="center"/>
              <w:rPr>
                <w:rFonts w:hint="eastAsia"/>
                <w:color w:val="auto"/>
                <w:sz w:val="24"/>
                <w:szCs w:val="24"/>
                <w:highlight w:val="none"/>
              </w:rPr>
            </w:pPr>
            <w:r>
              <w:rPr>
                <w:color w:val="auto"/>
                <w:sz w:val="24"/>
                <w:szCs w:val="24"/>
                <w:highlight w:val="none"/>
              </w:rPr>
              <w:t>5</w:t>
            </w:r>
          </w:p>
        </w:tc>
        <w:tc>
          <w:tcPr>
            <w:tcW w:w="7692" w:type="dxa"/>
            <w:noWrap w:val="0"/>
            <w:vAlign w:val="center"/>
          </w:tcPr>
          <w:p w14:paraId="02B4CE74">
            <w:pPr>
              <w:rPr>
                <w:rFonts w:hint="eastAsia"/>
                <w:color w:val="auto"/>
                <w:sz w:val="24"/>
                <w:szCs w:val="24"/>
                <w:highlight w:val="none"/>
              </w:rPr>
            </w:pPr>
            <w:r>
              <w:rPr>
                <w:rFonts w:hint="eastAsia"/>
                <w:color w:val="auto"/>
                <w:sz w:val="24"/>
                <w:szCs w:val="24"/>
                <w:highlight w:val="none"/>
              </w:rPr>
              <w:t>签订安全协议、办理施工许可单（取得地保复函后，需报审运营总部办理施工许可，办理施工许可需要资料主要包括：①地保办复函；②地铁保护项目施工的委托证明（运营总部提供模板，须业主盖公章）；③监测方案；④施工员合格证书）。</w:t>
            </w:r>
          </w:p>
        </w:tc>
      </w:tr>
      <w:tr w14:paraId="60CD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5A29187E">
            <w:pPr>
              <w:jc w:val="center"/>
              <w:rPr>
                <w:rFonts w:hint="eastAsia"/>
                <w:color w:val="auto"/>
                <w:sz w:val="24"/>
                <w:szCs w:val="24"/>
                <w:highlight w:val="none"/>
              </w:rPr>
            </w:pPr>
            <w:r>
              <w:rPr>
                <w:color w:val="auto"/>
                <w:sz w:val="24"/>
                <w:szCs w:val="24"/>
                <w:highlight w:val="none"/>
              </w:rPr>
              <w:t>6</w:t>
            </w:r>
          </w:p>
        </w:tc>
        <w:tc>
          <w:tcPr>
            <w:tcW w:w="7692" w:type="dxa"/>
            <w:noWrap w:val="0"/>
            <w:vAlign w:val="center"/>
          </w:tcPr>
          <w:p w14:paraId="51712383">
            <w:pPr>
              <w:rPr>
                <w:rFonts w:hint="eastAsia"/>
                <w:color w:val="auto"/>
                <w:sz w:val="24"/>
                <w:szCs w:val="24"/>
                <w:highlight w:val="none"/>
              </w:rPr>
            </w:pPr>
            <w:r>
              <w:rPr>
                <w:color w:val="auto"/>
                <w:sz w:val="24"/>
                <w:szCs w:val="24"/>
                <w:highlight w:val="none"/>
              </w:rPr>
              <w:t>申请作业令</w:t>
            </w:r>
            <w:r>
              <w:rPr>
                <w:rFonts w:hint="eastAsia"/>
                <w:color w:val="auto"/>
                <w:sz w:val="24"/>
                <w:szCs w:val="24"/>
                <w:highlight w:val="none"/>
              </w:rPr>
              <w:t>（申请作业区域的作业令，运营根据行车计划，安排时间下隧道进行监测设备安装，作业令时间不固定，需要根据运营安排调整）。</w:t>
            </w:r>
          </w:p>
        </w:tc>
      </w:tr>
      <w:tr w14:paraId="20FC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7D086B5A">
            <w:pPr>
              <w:jc w:val="center"/>
              <w:rPr>
                <w:rFonts w:hint="eastAsia"/>
                <w:color w:val="auto"/>
                <w:sz w:val="24"/>
                <w:szCs w:val="24"/>
                <w:highlight w:val="none"/>
              </w:rPr>
            </w:pPr>
            <w:r>
              <w:rPr>
                <w:color w:val="auto"/>
                <w:sz w:val="24"/>
                <w:szCs w:val="24"/>
                <w:highlight w:val="none"/>
              </w:rPr>
              <w:t>7</w:t>
            </w:r>
          </w:p>
        </w:tc>
        <w:tc>
          <w:tcPr>
            <w:tcW w:w="7692" w:type="dxa"/>
            <w:noWrap w:val="0"/>
            <w:vAlign w:val="center"/>
          </w:tcPr>
          <w:p w14:paraId="619C05B4">
            <w:pPr>
              <w:rPr>
                <w:rFonts w:hint="eastAsia"/>
                <w:color w:val="auto"/>
                <w:sz w:val="24"/>
                <w:szCs w:val="24"/>
                <w:highlight w:val="none"/>
              </w:rPr>
            </w:pPr>
            <w:r>
              <w:rPr>
                <w:rFonts w:hint="eastAsia"/>
                <w:color w:val="auto"/>
                <w:sz w:val="24"/>
                <w:szCs w:val="24"/>
                <w:highlight w:val="none"/>
              </w:rPr>
              <w:t>断面引测（从外部施工现场通过导线测量，将施工影响的范围放样到隧道对应区间，检验监测方案设计断面的准确性）。</w:t>
            </w:r>
          </w:p>
        </w:tc>
      </w:tr>
      <w:tr w14:paraId="3AB7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48CA85B3">
            <w:pPr>
              <w:jc w:val="center"/>
              <w:rPr>
                <w:rFonts w:hint="eastAsia"/>
                <w:color w:val="auto"/>
                <w:sz w:val="24"/>
                <w:szCs w:val="24"/>
                <w:highlight w:val="none"/>
              </w:rPr>
            </w:pPr>
            <w:r>
              <w:rPr>
                <w:color w:val="auto"/>
                <w:sz w:val="24"/>
                <w:szCs w:val="24"/>
                <w:highlight w:val="none"/>
              </w:rPr>
              <w:t>8</w:t>
            </w:r>
          </w:p>
        </w:tc>
        <w:tc>
          <w:tcPr>
            <w:tcW w:w="7692" w:type="dxa"/>
            <w:noWrap w:val="0"/>
            <w:vAlign w:val="center"/>
          </w:tcPr>
          <w:p w14:paraId="5ACEAD69">
            <w:pPr>
              <w:rPr>
                <w:rFonts w:hint="eastAsia"/>
                <w:color w:val="auto"/>
                <w:sz w:val="24"/>
                <w:szCs w:val="24"/>
                <w:highlight w:val="none"/>
              </w:rPr>
            </w:pPr>
            <w:r>
              <w:rPr>
                <w:color w:val="auto"/>
                <w:sz w:val="24"/>
                <w:szCs w:val="24"/>
                <w:highlight w:val="none"/>
              </w:rPr>
              <w:t>工前普查</w:t>
            </w:r>
            <w:r>
              <w:rPr>
                <w:rFonts w:hint="eastAsia"/>
                <w:color w:val="auto"/>
                <w:sz w:val="24"/>
                <w:szCs w:val="24"/>
                <w:highlight w:val="none"/>
              </w:rPr>
              <w:t>（在业主、监理、施工、监测、运营等各方参与下，对施工前隧道现状进行调查，主要包含：三维激光扫描+人工普查）。</w:t>
            </w:r>
          </w:p>
        </w:tc>
      </w:tr>
      <w:tr w14:paraId="7D19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6C57CE1E">
            <w:pPr>
              <w:jc w:val="center"/>
              <w:rPr>
                <w:rFonts w:hint="eastAsia"/>
                <w:color w:val="auto"/>
                <w:sz w:val="24"/>
                <w:szCs w:val="24"/>
                <w:highlight w:val="none"/>
              </w:rPr>
            </w:pPr>
            <w:r>
              <w:rPr>
                <w:color w:val="auto"/>
                <w:sz w:val="24"/>
                <w:szCs w:val="24"/>
                <w:highlight w:val="none"/>
              </w:rPr>
              <w:t>9</w:t>
            </w:r>
          </w:p>
        </w:tc>
        <w:tc>
          <w:tcPr>
            <w:tcW w:w="7692" w:type="dxa"/>
            <w:noWrap w:val="0"/>
            <w:vAlign w:val="center"/>
          </w:tcPr>
          <w:p w14:paraId="33A6E588">
            <w:pPr>
              <w:rPr>
                <w:rFonts w:hint="eastAsia"/>
                <w:color w:val="auto"/>
                <w:sz w:val="24"/>
                <w:szCs w:val="24"/>
                <w:highlight w:val="none"/>
              </w:rPr>
            </w:pPr>
            <w:r>
              <w:rPr>
                <w:rFonts w:hint="eastAsia"/>
                <w:color w:val="auto"/>
                <w:sz w:val="24"/>
                <w:szCs w:val="24"/>
                <w:highlight w:val="none"/>
              </w:rPr>
              <w:t>现场监测断面埋设、仪器调试；</w:t>
            </w:r>
          </w:p>
        </w:tc>
      </w:tr>
      <w:tr w14:paraId="6E0A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33F43CC9">
            <w:pPr>
              <w:jc w:val="center"/>
              <w:rPr>
                <w:rFonts w:hint="eastAsia"/>
                <w:color w:val="auto"/>
                <w:sz w:val="24"/>
                <w:szCs w:val="24"/>
                <w:highlight w:val="none"/>
              </w:rPr>
            </w:pPr>
            <w:r>
              <w:rPr>
                <w:color w:val="auto"/>
                <w:sz w:val="24"/>
                <w:szCs w:val="24"/>
                <w:highlight w:val="none"/>
              </w:rPr>
              <w:t>10</w:t>
            </w:r>
          </w:p>
        </w:tc>
        <w:tc>
          <w:tcPr>
            <w:tcW w:w="7692" w:type="dxa"/>
            <w:noWrap w:val="0"/>
            <w:vAlign w:val="center"/>
          </w:tcPr>
          <w:p w14:paraId="58CC2D08">
            <w:pPr>
              <w:rPr>
                <w:rFonts w:hint="eastAsia"/>
                <w:color w:val="auto"/>
                <w:sz w:val="24"/>
                <w:szCs w:val="24"/>
                <w:highlight w:val="none"/>
              </w:rPr>
            </w:pPr>
            <w:r>
              <w:rPr>
                <w:rFonts w:hint="eastAsia"/>
                <w:color w:val="auto"/>
                <w:sz w:val="24"/>
                <w:szCs w:val="24"/>
                <w:highlight w:val="none"/>
              </w:rPr>
              <w:t>进行六方确认，即建设单位、设计、监理、施工、监测和运营单位对埋设好的监测断面和仪器设备进行现场确认；</w:t>
            </w:r>
          </w:p>
        </w:tc>
      </w:tr>
      <w:tr w14:paraId="096B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1A604E25">
            <w:pPr>
              <w:jc w:val="center"/>
              <w:rPr>
                <w:rFonts w:hint="eastAsia"/>
                <w:color w:val="auto"/>
                <w:sz w:val="24"/>
                <w:szCs w:val="24"/>
                <w:highlight w:val="none"/>
              </w:rPr>
            </w:pPr>
            <w:r>
              <w:rPr>
                <w:rFonts w:hint="eastAsia"/>
                <w:color w:val="auto"/>
                <w:sz w:val="24"/>
                <w:szCs w:val="24"/>
                <w:highlight w:val="none"/>
              </w:rPr>
              <w:t>11</w:t>
            </w:r>
          </w:p>
        </w:tc>
        <w:tc>
          <w:tcPr>
            <w:tcW w:w="7692" w:type="dxa"/>
            <w:noWrap w:val="0"/>
            <w:vAlign w:val="center"/>
          </w:tcPr>
          <w:p w14:paraId="14FB7712">
            <w:pPr>
              <w:rPr>
                <w:rFonts w:hint="eastAsia"/>
                <w:color w:val="auto"/>
                <w:sz w:val="24"/>
                <w:szCs w:val="24"/>
                <w:highlight w:val="none"/>
              </w:rPr>
            </w:pPr>
            <w:r>
              <w:rPr>
                <w:rFonts w:hint="eastAsia"/>
                <w:color w:val="auto"/>
                <w:sz w:val="24"/>
                <w:szCs w:val="24"/>
                <w:highlight w:val="none"/>
              </w:rPr>
              <w:t>开展施工过程中的自动化数据采集，过程中包含基准网的校核、人工沉降监测和实时数据报送；</w:t>
            </w:r>
          </w:p>
        </w:tc>
      </w:tr>
      <w:tr w14:paraId="6157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1382F0D3">
            <w:pPr>
              <w:jc w:val="center"/>
              <w:rPr>
                <w:rFonts w:hint="eastAsia"/>
                <w:color w:val="auto"/>
                <w:sz w:val="24"/>
                <w:szCs w:val="24"/>
                <w:highlight w:val="none"/>
              </w:rPr>
            </w:pPr>
            <w:r>
              <w:rPr>
                <w:rFonts w:hint="eastAsia"/>
                <w:color w:val="auto"/>
                <w:sz w:val="24"/>
                <w:szCs w:val="24"/>
                <w:highlight w:val="none"/>
              </w:rPr>
              <w:t>12</w:t>
            </w:r>
          </w:p>
        </w:tc>
        <w:tc>
          <w:tcPr>
            <w:tcW w:w="7692" w:type="dxa"/>
            <w:noWrap w:val="0"/>
            <w:vAlign w:val="center"/>
          </w:tcPr>
          <w:p w14:paraId="56E7E5AC">
            <w:pPr>
              <w:rPr>
                <w:rFonts w:hint="eastAsia"/>
                <w:color w:val="auto"/>
                <w:sz w:val="24"/>
                <w:szCs w:val="24"/>
                <w:highlight w:val="none"/>
              </w:rPr>
            </w:pPr>
            <w:r>
              <w:rPr>
                <w:rFonts w:hint="eastAsia"/>
                <w:color w:val="auto"/>
                <w:sz w:val="24"/>
                <w:szCs w:val="24"/>
                <w:highlight w:val="none"/>
              </w:rPr>
              <w:t>外部施工结束后，对地铁隧道现状普查、三维激光扫描，编写阶段监测报告，报审地保办申请停止监测工作，报审资料主要包含：①停止监测报审函（盖业主公章）；②工前、工后既有结构调查报告（盖业主+监测单位公章）；③监测阶段报告（盖业主+监测单位公章）。</w:t>
            </w:r>
          </w:p>
        </w:tc>
      </w:tr>
      <w:tr w14:paraId="2EF8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2819EFC9">
            <w:pPr>
              <w:jc w:val="center"/>
              <w:rPr>
                <w:rFonts w:hint="eastAsia"/>
                <w:color w:val="auto"/>
                <w:sz w:val="24"/>
                <w:szCs w:val="24"/>
                <w:highlight w:val="none"/>
              </w:rPr>
            </w:pPr>
            <w:r>
              <w:rPr>
                <w:rFonts w:hint="eastAsia"/>
                <w:color w:val="auto"/>
                <w:sz w:val="24"/>
                <w:szCs w:val="24"/>
                <w:highlight w:val="none"/>
              </w:rPr>
              <w:t>13</w:t>
            </w:r>
          </w:p>
        </w:tc>
        <w:tc>
          <w:tcPr>
            <w:tcW w:w="7692" w:type="dxa"/>
            <w:noWrap w:val="0"/>
            <w:vAlign w:val="center"/>
          </w:tcPr>
          <w:p w14:paraId="1D0DCA54">
            <w:pPr>
              <w:rPr>
                <w:rFonts w:hint="eastAsia"/>
                <w:color w:val="auto"/>
                <w:sz w:val="24"/>
                <w:szCs w:val="24"/>
                <w:highlight w:val="none"/>
              </w:rPr>
            </w:pPr>
            <w:r>
              <w:rPr>
                <w:rFonts w:hint="eastAsia"/>
                <w:color w:val="auto"/>
                <w:sz w:val="24"/>
                <w:szCs w:val="24"/>
                <w:highlight w:val="none"/>
              </w:rPr>
              <w:t>取得地保办停止监测复函，项目停止监测工作，并出具监测总报告。</w:t>
            </w:r>
          </w:p>
        </w:tc>
      </w:tr>
    </w:tbl>
    <w:p w14:paraId="4B228D35">
      <w:pPr>
        <w:pStyle w:val="3"/>
        <w:spacing w:before="156" w:after="156"/>
        <w:ind w:firstLine="578" w:firstLineChars="200"/>
        <w:rPr>
          <w:rFonts w:hint="eastAsia" w:ascii="黑体" w:hAnsi="黑体" w:eastAsia="黑体" w:cs="黑体"/>
          <w:color w:val="auto"/>
          <w:sz w:val="28"/>
          <w:szCs w:val="28"/>
        </w:rPr>
      </w:pPr>
      <w:bookmarkStart w:id="454" w:name="_Toc13437"/>
      <w:bookmarkStart w:id="455" w:name="_Toc203490496"/>
      <w:r>
        <w:rPr>
          <w:rFonts w:hint="eastAsia" w:ascii="黑体" w:hAnsi="黑体" w:eastAsia="黑体" w:cs="黑体"/>
          <w:color w:val="auto"/>
          <w:sz w:val="28"/>
          <w:szCs w:val="28"/>
        </w:rPr>
        <w:t>三、费用构成</w:t>
      </w:r>
      <w:bookmarkEnd w:id="454"/>
      <w:bookmarkStart w:id="456" w:name="_Toc9201"/>
    </w:p>
    <w:bookmarkEnd w:id="456"/>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800"/>
        <w:gridCol w:w="1380"/>
        <w:gridCol w:w="1248"/>
        <w:gridCol w:w="3900"/>
      </w:tblGrid>
      <w:tr w14:paraId="433A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6DB526DA">
            <w:pP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1800" w:type="dxa"/>
            <w:noWrap w:val="0"/>
            <w:vAlign w:val="center"/>
          </w:tcPr>
          <w:p w14:paraId="3486FC9B">
            <w:pPr>
              <w:rPr>
                <w:rFonts w:hint="eastAsia" w:ascii="宋体" w:hAnsi="宋体" w:cs="宋体"/>
                <w:color w:val="auto"/>
                <w:sz w:val="24"/>
                <w:szCs w:val="24"/>
                <w:highlight w:val="none"/>
              </w:rPr>
            </w:pPr>
            <w:r>
              <w:rPr>
                <w:rFonts w:hint="eastAsia" w:ascii="宋体" w:hAnsi="宋体" w:cs="宋体"/>
                <w:color w:val="auto"/>
                <w:sz w:val="24"/>
                <w:szCs w:val="24"/>
                <w:highlight w:val="none"/>
              </w:rPr>
              <w:t>项目</w:t>
            </w:r>
          </w:p>
        </w:tc>
        <w:tc>
          <w:tcPr>
            <w:tcW w:w="1380" w:type="dxa"/>
            <w:noWrap w:val="0"/>
            <w:vAlign w:val="center"/>
          </w:tcPr>
          <w:p w14:paraId="6E7B14ED">
            <w:pPr>
              <w:rPr>
                <w:rFonts w:hint="eastAsia" w:ascii="宋体" w:hAnsi="宋体" w:cs="宋体"/>
                <w:color w:val="auto"/>
                <w:sz w:val="24"/>
                <w:szCs w:val="24"/>
                <w:highlight w:val="none"/>
              </w:rPr>
            </w:pPr>
            <w:r>
              <w:rPr>
                <w:rFonts w:hint="eastAsia" w:ascii="宋体" w:hAnsi="宋体" w:cs="宋体"/>
                <w:color w:val="auto"/>
                <w:sz w:val="24"/>
                <w:szCs w:val="24"/>
                <w:highlight w:val="none"/>
              </w:rPr>
              <w:t>预计工程量</w:t>
            </w:r>
          </w:p>
        </w:tc>
        <w:tc>
          <w:tcPr>
            <w:tcW w:w="1248" w:type="dxa"/>
            <w:noWrap w:val="0"/>
            <w:vAlign w:val="center"/>
          </w:tcPr>
          <w:p w14:paraId="5C056597">
            <w:pPr>
              <w:rPr>
                <w:rFonts w:hint="eastAsia" w:ascii="宋体" w:hAnsi="宋体" w:cs="宋体"/>
                <w:color w:val="auto"/>
                <w:sz w:val="24"/>
                <w:szCs w:val="24"/>
                <w:highlight w:val="none"/>
              </w:rPr>
            </w:pPr>
            <w:r>
              <w:rPr>
                <w:rFonts w:hint="eastAsia" w:ascii="宋体" w:hAnsi="宋体" w:cs="宋体"/>
                <w:color w:val="auto"/>
                <w:sz w:val="24"/>
                <w:szCs w:val="24"/>
                <w:highlight w:val="none"/>
              </w:rPr>
              <w:t>计费单位</w:t>
            </w:r>
          </w:p>
        </w:tc>
        <w:tc>
          <w:tcPr>
            <w:tcW w:w="3900" w:type="dxa"/>
            <w:noWrap w:val="0"/>
            <w:vAlign w:val="center"/>
          </w:tcPr>
          <w:p w14:paraId="27CB79FB">
            <w:pPr>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r>
      <w:tr w14:paraId="4FEB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663E9265">
            <w:pPr>
              <w:rPr>
                <w:rFonts w:hint="eastAsia" w:ascii="宋体" w:hAnsi="宋体" w:cs="宋体"/>
                <w:color w:val="auto"/>
                <w:sz w:val="24"/>
                <w:szCs w:val="24"/>
                <w:highlight w:val="none"/>
              </w:rPr>
            </w:pPr>
            <w:r>
              <w:rPr>
                <w:rFonts w:hint="eastAsia" w:ascii="宋体" w:hAnsi="宋体" w:cs="宋体"/>
                <w:color w:val="auto"/>
                <w:sz w:val="24"/>
                <w:szCs w:val="24"/>
                <w:highlight w:val="none"/>
              </w:rPr>
              <w:t>一、</w:t>
            </w:r>
          </w:p>
        </w:tc>
        <w:tc>
          <w:tcPr>
            <w:tcW w:w="8328" w:type="dxa"/>
            <w:gridSpan w:val="4"/>
            <w:noWrap w:val="0"/>
            <w:vAlign w:val="center"/>
          </w:tcPr>
          <w:p w14:paraId="30E3711A">
            <w:pPr>
              <w:rPr>
                <w:rFonts w:hint="eastAsia" w:ascii="宋体" w:hAnsi="宋体" w:cs="宋体"/>
                <w:color w:val="auto"/>
                <w:sz w:val="24"/>
                <w:szCs w:val="24"/>
                <w:highlight w:val="none"/>
              </w:rPr>
            </w:pPr>
            <w:r>
              <w:rPr>
                <w:rFonts w:hint="eastAsia" w:ascii="宋体" w:hAnsi="宋体" w:cs="宋体"/>
                <w:color w:val="auto"/>
                <w:sz w:val="24"/>
                <w:szCs w:val="24"/>
                <w:highlight w:val="none"/>
              </w:rPr>
              <w:t>材料及安装费</w:t>
            </w:r>
          </w:p>
        </w:tc>
      </w:tr>
      <w:tr w14:paraId="30B6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2F233A2A">
            <w:pPr>
              <w:rPr>
                <w:rFonts w:hint="eastAsia" w:ascii="宋体" w:hAnsi="宋体" w:cs="宋体"/>
                <w:color w:val="auto"/>
                <w:sz w:val="24"/>
                <w:szCs w:val="24"/>
                <w:highlight w:val="none"/>
              </w:rPr>
            </w:pPr>
            <w:r>
              <w:rPr>
                <w:rFonts w:hint="eastAsia" w:ascii="宋体" w:hAnsi="宋体" w:cs="宋体"/>
                <w:color w:val="auto"/>
                <w:sz w:val="24"/>
                <w:szCs w:val="24"/>
                <w:highlight w:val="none"/>
              </w:rPr>
              <w:t>1.1</w:t>
            </w:r>
          </w:p>
        </w:tc>
        <w:tc>
          <w:tcPr>
            <w:tcW w:w="1800" w:type="dxa"/>
            <w:noWrap w:val="0"/>
            <w:vAlign w:val="center"/>
          </w:tcPr>
          <w:p w14:paraId="42F9E42D">
            <w:pPr>
              <w:rPr>
                <w:rFonts w:hint="eastAsia" w:ascii="宋体" w:hAnsi="宋体" w:cs="宋体"/>
                <w:color w:val="auto"/>
                <w:sz w:val="24"/>
                <w:szCs w:val="24"/>
                <w:highlight w:val="none"/>
              </w:rPr>
            </w:pPr>
            <w:r>
              <w:rPr>
                <w:rFonts w:hint="eastAsia" w:ascii="宋体" w:hAnsi="宋体" w:cs="宋体"/>
                <w:color w:val="auto"/>
                <w:sz w:val="24"/>
                <w:szCs w:val="24"/>
                <w:highlight w:val="none"/>
              </w:rPr>
              <w:t>材料及安装费（全站仪自动化监测）</w:t>
            </w:r>
          </w:p>
        </w:tc>
        <w:tc>
          <w:tcPr>
            <w:tcW w:w="1380" w:type="dxa"/>
            <w:noWrap w:val="0"/>
            <w:vAlign w:val="center"/>
          </w:tcPr>
          <w:p w14:paraId="206DE07D">
            <w:pPr>
              <w:rPr>
                <w:rFonts w:hint="eastAsia" w:ascii="宋体" w:hAnsi="宋体" w:cs="宋体"/>
                <w:color w:val="auto"/>
                <w:sz w:val="24"/>
                <w:szCs w:val="24"/>
                <w:highlight w:val="none"/>
              </w:rPr>
            </w:pPr>
            <w:r>
              <w:rPr>
                <w:rFonts w:hint="eastAsia" w:ascii="宋体" w:hAnsi="宋体" w:cs="宋体"/>
                <w:color w:val="auto"/>
                <w:sz w:val="24"/>
                <w:szCs w:val="24"/>
                <w:highlight w:val="none"/>
              </w:rPr>
              <w:t>44</w:t>
            </w:r>
          </w:p>
        </w:tc>
        <w:tc>
          <w:tcPr>
            <w:tcW w:w="1248" w:type="dxa"/>
            <w:noWrap w:val="0"/>
            <w:vAlign w:val="center"/>
          </w:tcPr>
          <w:p w14:paraId="056C8C3D">
            <w:pPr>
              <w:rPr>
                <w:rFonts w:hint="eastAsia" w:ascii="宋体" w:hAnsi="宋体" w:cs="宋体"/>
                <w:color w:val="auto"/>
                <w:sz w:val="24"/>
                <w:szCs w:val="24"/>
                <w:highlight w:val="none"/>
              </w:rPr>
            </w:pPr>
            <w:r>
              <w:rPr>
                <w:rFonts w:hint="eastAsia" w:ascii="宋体" w:hAnsi="宋体" w:cs="宋体"/>
                <w:color w:val="auto"/>
                <w:sz w:val="24"/>
                <w:szCs w:val="24"/>
                <w:highlight w:val="none"/>
              </w:rPr>
              <w:t>断面</w:t>
            </w:r>
          </w:p>
        </w:tc>
        <w:tc>
          <w:tcPr>
            <w:tcW w:w="3900" w:type="dxa"/>
            <w:noWrap w:val="0"/>
            <w:vAlign w:val="center"/>
          </w:tcPr>
          <w:p w14:paraId="42DF0889">
            <w:pPr>
              <w:rPr>
                <w:rFonts w:hint="eastAsia" w:ascii="宋体" w:hAnsi="宋体" w:cs="宋体"/>
                <w:color w:val="auto"/>
                <w:sz w:val="24"/>
                <w:szCs w:val="24"/>
                <w:highlight w:val="none"/>
              </w:rPr>
            </w:pPr>
            <w:r>
              <w:rPr>
                <w:rFonts w:hint="eastAsia" w:ascii="宋体" w:hAnsi="宋体" w:cs="宋体"/>
                <w:color w:val="auto"/>
                <w:sz w:val="24"/>
                <w:szCs w:val="24"/>
                <w:highlight w:val="none"/>
              </w:rPr>
              <w:t>监测线路为18号线横沥站-万顷沙站地铁盾构隧道。基坑垂直隧道投影长度为170米，两端外扩3倍基坑深度（按2个断面计算），监测范围为210米。左右线隧道各按每隔10米布设1个断面，共计44=22+22个断面。</w:t>
            </w:r>
          </w:p>
        </w:tc>
      </w:tr>
      <w:tr w14:paraId="7565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085999CB">
            <w:pPr>
              <w:rPr>
                <w:rFonts w:hint="eastAsia" w:ascii="宋体" w:hAnsi="宋体" w:cs="宋体"/>
                <w:color w:val="auto"/>
                <w:sz w:val="24"/>
                <w:szCs w:val="24"/>
                <w:highlight w:val="none"/>
              </w:rPr>
            </w:pPr>
            <w:r>
              <w:rPr>
                <w:rFonts w:hint="eastAsia" w:ascii="宋体" w:hAnsi="宋体" w:cs="宋体"/>
                <w:color w:val="auto"/>
                <w:sz w:val="24"/>
                <w:szCs w:val="24"/>
                <w:highlight w:val="none"/>
              </w:rPr>
              <w:t>二、</w:t>
            </w:r>
          </w:p>
        </w:tc>
        <w:tc>
          <w:tcPr>
            <w:tcW w:w="8328" w:type="dxa"/>
            <w:gridSpan w:val="4"/>
            <w:noWrap w:val="0"/>
            <w:vAlign w:val="center"/>
          </w:tcPr>
          <w:p w14:paraId="34D3809B">
            <w:pPr>
              <w:rPr>
                <w:rFonts w:hint="eastAsia" w:ascii="宋体" w:hAnsi="宋体" w:cs="宋体"/>
                <w:color w:val="auto"/>
                <w:sz w:val="24"/>
                <w:szCs w:val="24"/>
                <w:highlight w:val="none"/>
              </w:rPr>
            </w:pPr>
            <w:r>
              <w:rPr>
                <w:rFonts w:hint="eastAsia" w:ascii="宋体" w:hAnsi="宋体" w:cs="宋体"/>
                <w:color w:val="auto"/>
                <w:sz w:val="24"/>
                <w:szCs w:val="24"/>
                <w:highlight w:val="none"/>
              </w:rPr>
              <w:t>全站仪自动化监测费</w:t>
            </w:r>
          </w:p>
        </w:tc>
      </w:tr>
      <w:tr w14:paraId="5CA0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6763C5CA">
            <w:pPr>
              <w:rPr>
                <w:rFonts w:hint="eastAsia" w:ascii="宋体" w:hAnsi="宋体" w:cs="宋体"/>
                <w:color w:val="auto"/>
                <w:sz w:val="24"/>
                <w:szCs w:val="24"/>
                <w:highlight w:val="none"/>
              </w:rPr>
            </w:pPr>
            <w:r>
              <w:rPr>
                <w:rFonts w:hint="eastAsia" w:ascii="宋体" w:hAnsi="宋体" w:cs="宋体"/>
                <w:color w:val="auto"/>
                <w:sz w:val="24"/>
                <w:szCs w:val="24"/>
                <w:highlight w:val="none"/>
              </w:rPr>
              <w:t>2.1</w:t>
            </w:r>
          </w:p>
        </w:tc>
        <w:tc>
          <w:tcPr>
            <w:tcW w:w="1800" w:type="dxa"/>
            <w:noWrap w:val="0"/>
            <w:vAlign w:val="center"/>
          </w:tcPr>
          <w:p w14:paraId="5FEEE61F">
            <w:pPr>
              <w:rPr>
                <w:rFonts w:hint="eastAsia" w:ascii="宋体" w:hAnsi="宋体" w:cs="宋体"/>
                <w:color w:val="auto"/>
                <w:sz w:val="24"/>
                <w:szCs w:val="24"/>
                <w:highlight w:val="none"/>
              </w:rPr>
            </w:pPr>
            <w:r>
              <w:rPr>
                <w:rFonts w:hint="eastAsia" w:ascii="宋体" w:hAnsi="宋体" w:cs="宋体"/>
                <w:color w:val="auto"/>
                <w:sz w:val="24"/>
                <w:szCs w:val="24"/>
                <w:highlight w:val="none"/>
              </w:rPr>
              <w:t>全站仪自动化监测</w:t>
            </w:r>
          </w:p>
        </w:tc>
        <w:tc>
          <w:tcPr>
            <w:tcW w:w="1380" w:type="dxa"/>
            <w:noWrap w:val="0"/>
            <w:vAlign w:val="center"/>
          </w:tcPr>
          <w:p w14:paraId="1CBDCE15">
            <w:pPr>
              <w:rPr>
                <w:rFonts w:hint="eastAsia" w:ascii="宋体" w:hAnsi="宋体" w:cs="宋体"/>
                <w:color w:val="auto"/>
                <w:sz w:val="24"/>
                <w:szCs w:val="24"/>
                <w:highlight w:val="none"/>
              </w:rPr>
            </w:pPr>
            <w:r>
              <w:rPr>
                <w:rFonts w:hint="eastAsia" w:ascii="宋体" w:hAnsi="宋体" w:cs="宋体"/>
                <w:color w:val="auto"/>
                <w:sz w:val="24"/>
                <w:szCs w:val="24"/>
                <w:highlight w:val="none"/>
              </w:rPr>
              <w:t>44*16</w:t>
            </w:r>
          </w:p>
        </w:tc>
        <w:tc>
          <w:tcPr>
            <w:tcW w:w="1248" w:type="dxa"/>
            <w:noWrap w:val="0"/>
            <w:vAlign w:val="center"/>
          </w:tcPr>
          <w:p w14:paraId="1665CD23">
            <w:pPr>
              <w:rPr>
                <w:rFonts w:hint="eastAsia" w:ascii="宋体" w:hAnsi="宋体" w:cs="宋体"/>
                <w:color w:val="auto"/>
                <w:sz w:val="24"/>
                <w:szCs w:val="24"/>
                <w:highlight w:val="none"/>
              </w:rPr>
            </w:pPr>
            <w:r>
              <w:rPr>
                <w:rFonts w:hint="eastAsia" w:ascii="宋体" w:hAnsi="宋体" w:cs="宋体"/>
                <w:color w:val="auto"/>
                <w:sz w:val="24"/>
                <w:szCs w:val="24"/>
                <w:highlight w:val="none"/>
              </w:rPr>
              <w:t>断面·月</w:t>
            </w:r>
          </w:p>
        </w:tc>
        <w:tc>
          <w:tcPr>
            <w:tcW w:w="3900" w:type="dxa"/>
            <w:noWrap w:val="0"/>
            <w:vAlign w:val="center"/>
          </w:tcPr>
          <w:p w14:paraId="3FC205C3">
            <w:pPr>
              <w:rPr>
                <w:rFonts w:hint="eastAsia" w:ascii="宋体" w:hAnsi="宋体" w:cs="宋体"/>
                <w:color w:val="auto"/>
                <w:sz w:val="24"/>
                <w:szCs w:val="24"/>
                <w:highlight w:val="none"/>
              </w:rPr>
            </w:pPr>
            <w:r>
              <w:rPr>
                <w:rFonts w:hint="eastAsia" w:ascii="宋体" w:hAnsi="宋体" w:cs="宋体"/>
                <w:color w:val="auto"/>
                <w:sz w:val="24"/>
                <w:szCs w:val="24"/>
                <w:highlight w:val="none"/>
              </w:rPr>
              <w:t>监测工期16个月（15个月施工期+1个月工后观察期）。</w:t>
            </w:r>
          </w:p>
        </w:tc>
      </w:tr>
      <w:tr w14:paraId="4746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163BF045">
            <w:pPr>
              <w:rPr>
                <w:rFonts w:hint="eastAsia" w:ascii="宋体" w:hAnsi="宋体" w:cs="宋体"/>
                <w:color w:val="auto"/>
                <w:sz w:val="24"/>
                <w:szCs w:val="24"/>
                <w:highlight w:val="none"/>
              </w:rPr>
            </w:pPr>
            <w:r>
              <w:rPr>
                <w:rFonts w:hint="eastAsia" w:ascii="宋体" w:hAnsi="宋体" w:cs="宋体"/>
                <w:color w:val="auto"/>
                <w:sz w:val="24"/>
                <w:szCs w:val="24"/>
                <w:highlight w:val="none"/>
              </w:rPr>
              <w:t>三、</w:t>
            </w:r>
          </w:p>
        </w:tc>
        <w:tc>
          <w:tcPr>
            <w:tcW w:w="8328" w:type="dxa"/>
            <w:gridSpan w:val="4"/>
            <w:noWrap w:val="0"/>
            <w:vAlign w:val="center"/>
          </w:tcPr>
          <w:p w14:paraId="012C60B2">
            <w:pPr>
              <w:rPr>
                <w:rFonts w:hint="eastAsia" w:ascii="宋体" w:hAnsi="宋体" w:cs="宋体"/>
                <w:color w:val="auto"/>
                <w:sz w:val="24"/>
                <w:szCs w:val="24"/>
                <w:highlight w:val="none"/>
              </w:rPr>
            </w:pPr>
            <w:r>
              <w:rPr>
                <w:rFonts w:hint="eastAsia" w:ascii="宋体" w:hAnsi="宋体" w:cs="宋体"/>
                <w:color w:val="auto"/>
                <w:sz w:val="24"/>
                <w:szCs w:val="24"/>
                <w:highlight w:val="none"/>
              </w:rPr>
              <w:t>现状调查费</w:t>
            </w:r>
          </w:p>
        </w:tc>
      </w:tr>
      <w:tr w14:paraId="62AA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6136D33D">
            <w:pPr>
              <w:rPr>
                <w:rFonts w:hint="eastAsia" w:ascii="宋体" w:hAnsi="宋体" w:cs="宋体"/>
                <w:color w:val="auto"/>
                <w:sz w:val="24"/>
                <w:szCs w:val="24"/>
                <w:highlight w:val="none"/>
              </w:rPr>
            </w:pPr>
            <w:r>
              <w:rPr>
                <w:rFonts w:hint="eastAsia" w:ascii="宋体" w:hAnsi="宋体" w:cs="宋体"/>
                <w:color w:val="auto"/>
                <w:sz w:val="24"/>
                <w:szCs w:val="24"/>
                <w:highlight w:val="none"/>
              </w:rPr>
              <w:t>3.1</w:t>
            </w:r>
          </w:p>
        </w:tc>
        <w:tc>
          <w:tcPr>
            <w:tcW w:w="1800" w:type="dxa"/>
            <w:noWrap w:val="0"/>
            <w:vAlign w:val="center"/>
          </w:tcPr>
          <w:p w14:paraId="12CBE1F8">
            <w:pPr>
              <w:rPr>
                <w:rFonts w:hint="eastAsia" w:ascii="宋体" w:hAnsi="宋体" w:cs="宋体"/>
                <w:color w:val="auto"/>
                <w:sz w:val="24"/>
                <w:szCs w:val="24"/>
                <w:highlight w:val="none"/>
              </w:rPr>
            </w:pPr>
            <w:r>
              <w:rPr>
                <w:rFonts w:hint="eastAsia" w:ascii="宋体" w:hAnsi="宋体" w:cs="宋体"/>
                <w:color w:val="auto"/>
                <w:sz w:val="24"/>
                <w:szCs w:val="24"/>
                <w:highlight w:val="none"/>
              </w:rPr>
              <w:t>三维激光扫描</w:t>
            </w:r>
          </w:p>
        </w:tc>
        <w:tc>
          <w:tcPr>
            <w:tcW w:w="1380" w:type="dxa"/>
            <w:noWrap w:val="0"/>
            <w:vAlign w:val="center"/>
          </w:tcPr>
          <w:p w14:paraId="1E4CDF98">
            <w:pPr>
              <w:rPr>
                <w:rFonts w:hint="eastAsia" w:ascii="宋体" w:hAnsi="宋体" w:cs="宋体"/>
                <w:color w:val="auto"/>
                <w:sz w:val="24"/>
                <w:szCs w:val="24"/>
                <w:highlight w:val="none"/>
              </w:rPr>
            </w:pPr>
            <w:r>
              <w:rPr>
                <w:rFonts w:hint="eastAsia" w:ascii="宋体" w:hAnsi="宋体" w:cs="宋体"/>
                <w:color w:val="auto"/>
                <w:sz w:val="24"/>
                <w:szCs w:val="24"/>
                <w:highlight w:val="none"/>
              </w:rPr>
              <w:t>2</w:t>
            </w:r>
          </w:p>
        </w:tc>
        <w:tc>
          <w:tcPr>
            <w:tcW w:w="1248" w:type="dxa"/>
            <w:noWrap w:val="0"/>
            <w:vAlign w:val="center"/>
          </w:tcPr>
          <w:p w14:paraId="218D9878">
            <w:pPr>
              <w:rPr>
                <w:rFonts w:hint="eastAsia" w:ascii="宋体" w:hAnsi="宋体" w:cs="宋体"/>
                <w:color w:val="auto"/>
                <w:sz w:val="24"/>
                <w:szCs w:val="24"/>
                <w:highlight w:val="none"/>
              </w:rPr>
            </w:pPr>
            <w:r>
              <w:rPr>
                <w:rFonts w:hint="eastAsia" w:ascii="宋体" w:hAnsi="宋体" w:cs="宋体"/>
                <w:color w:val="auto"/>
                <w:sz w:val="24"/>
                <w:szCs w:val="24"/>
                <w:highlight w:val="none"/>
              </w:rPr>
              <w:t>Km</w:t>
            </w:r>
          </w:p>
        </w:tc>
        <w:tc>
          <w:tcPr>
            <w:tcW w:w="3900" w:type="dxa"/>
            <w:noWrap w:val="0"/>
            <w:vAlign w:val="center"/>
          </w:tcPr>
          <w:p w14:paraId="437ACC2E">
            <w:pPr>
              <w:rPr>
                <w:rFonts w:hint="eastAsia" w:ascii="宋体" w:hAnsi="宋体" w:cs="宋体"/>
                <w:color w:val="auto"/>
                <w:sz w:val="24"/>
                <w:szCs w:val="24"/>
                <w:highlight w:val="none"/>
              </w:rPr>
            </w:pPr>
            <w:r>
              <w:rPr>
                <w:rFonts w:hint="eastAsia" w:ascii="宋体" w:hAnsi="宋体" w:cs="宋体"/>
                <w:color w:val="auto"/>
                <w:sz w:val="24"/>
                <w:szCs w:val="24"/>
                <w:highlight w:val="none"/>
              </w:rPr>
              <w:t>工前、工后各一次，共2次。累计扫描长度2km（不足1km按1km计算）。</w:t>
            </w:r>
          </w:p>
        </w:tc>
      </w:tr>
      <w:tr w14:paraId="45D8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center"/>
          </w:tcPr>
          <w:p w14:paraId="7918DC77">
            <w:pPr>
              <w:rPr>
                <w:rFonts w:hint="eastAsia" w:ascii="宋体" w:hAnsi="宋体" w:cs="宋体"/>
                <w:color w:val="auto"/>
                <w:sz w:val="24"/>
                <w:szCs w:val="24"/>
                <w:highlight w:val="none"/>
              </w:rPr>
            </w:pPr>
            <w:r>
              <w:rPr>
                <w:rFonts w:hint="eastAsia" w:ascii="宋体" w:hAnsi="宋体" w:cs="宋体"/>
                <w:color w:val="auto"/>
                <w:sz w:val="24"/>
                <w:szCs w:val="24"/>
                <w:highlight w:val="none"/>
              </w:rPr>
              <w:t>3.2</w:t>
            </w:r>
          </w:p>
        </w:tc>
        <w:tc>
          <w:tcPr>
            <w:tcW w:w="1800" w:type="dxa"/>
            <w:noWrap w:val="0"/>
            <w:vAlign w:val="center"/>
          </w:tcPr>
          <w:p w14:paraId="4C8D8A88">
            <w:pPr>
              <w:rPr>
                <w:rFonts w:hint="eastAsia" w:ascii="宋体" w:hAnsi="宋体" w:cs="宋体"/>
                <w:color w:val="auto"/>
                <w:sz w:val="24"/>
                <w:szCs w:val="24"/>
                <w:highlight w:val="none"/>
              </w:rPr>
            </w:pPr>
            <w:r>
              <w:rPr>
                <w:rFonts w:hint="eastAsia" w:ascii="宋体" w:hAnsi="宋体" w:cs="宋体"/>
                <w:color w:val="auto"/>
                <w:sz w:val="24"/>
                <w:szCs w:val="24"/>
                <w:highlight w:val="none"/>
              </w:rPr>
              <w:t>人工现状调查</w:t>
            </w:r>
          </w:p>
        </w:tc>
        <w:tc>
          <w:tcPr>
            <w:tcW w:w="1380" w:type="dxa"/>
            <w:noWrap w:val="0"/>
            <w:vAlign w:val="center"/>
          </w:tcPr>
          <w:p w14:paraId="0E1BAD76">
            <w:pPr>
              <w:rPr>
                <w:rFonts w:hint="eastAsia" w:ascii="宋体" w:hAnsi="宋体" w:cs="宋体"/>
                <w:color w:val="auto"/>
                <w:sz w:val="24"/>
                <w:szCs w:val="24"/>
                <w:highlight w:val="none"/>
              </w:rPr>
            </w:pPr>
            <w:r>
              <w:rPr>
                <w:rFonts w:hint="eastAsia" w:ascii="宋体" w:hAnsi="宋体" w:cs="宋体"/>
                <w:color w:val="auto"/>
                <w:sz w:val="24"/>
                <w:szCs w:val="24"/>
                <w:highlight w:val="none"/>
              </w:rPr>
              <w:t>2</w:t>
            </w:r>
          </w:p>
        </w:tc>
        <w:tc>
          <w:tcPr>
            <w:tcW w:w="1248" w:type="dxa"/>
            <w:noWrap w:val="0"/>
            <w:vAlign w:val="center"/>
          </w:tcPr>
          <w:p w14:paraId="5DE98B8E">
            <w:pPr>
              <w:rPr>
                <w:rFonts w:hint="eastAsia" w:ascii="宋体" w:hAnsi="宋体" w:cs="宋体"/>
                <w:color w:val="auto"/>
                <w:sz w:val="24"/>
                <w:szCs w:val="24"/>
                <w:highlight w:val="none"/>
              </w:rPr>
            </w:pPr>
            <w:r>
              <w:rPr>
                <w:rFonts w:hint="eastAsia" w:ascii="宋体" w:hAnsi="宋体" w:cs="宋体"/>
                <w:color w:val="auto"/>
                <w:sz w:val="24"/>
                <w:szCs w:val="24"/>
                <w:highlight w:val="none"/>
              </w:rPr>
              <w:t>次</w:t>
            </w:r>
          </w:p>
        </w:tc>
        <w:tc>
          <w:tcPr>
            <w:tcW w:w="3900" w:type="dxa"/>
            <w:noWrap w:val="0"/>
            <w:vAlign w:val="center"/>
          </w:tcPr>
          <w:p w14:paraId="3332B142">
            <w:pPr>
              <w:rPr>
                <w:rFonts w:hint="eastAsia" w:ascii="宋体" w:hAnsi="宋体" w:cs="宋体"/>
                <w:color w:val="auto"/>
                <w:sz w:val="24"/>
                <w:szCs w:val="24"/>
                <w:highlight w:val="none"/>
              </w:rPr>
            </w:pPr>
            <w:r>
              <w:rPr>
                <w:rFonts w:hint="eastAsia" w:ascii="宋体" w:hAnsi="宋体" w:cs="宋体"/>
                <w:color w:val="auto"/>
                <w:sz w:val="24"/>
                <w:szCs w:val="24"/>
                <w:highlight w:val="none"/>
              </w:rPr>
              <w:t>工前、工后各普查一次，共2次。</w:t>
            </w:r>
          </w:p>
        </w:tc>
      </w:tr>
      <w:bookmarkEnd w:id="455"/>
    </w:tbl>
    <w:p w14:paraId="6EC23EBA">
      <w:pPr>
        <w:pStyle w:val="3"/>
        <w:spacing w:before="156" w:after="156"/>
        <w:ind w:firstLine="498" w:firstLineChars="200"/>
        <w:rPr>
          <w:rFonts w:hint="eastAsia" w:ascii="宋体" w:hAnsi="宋体" w:cs="宋体"/>
          <w:color w:val="auto"/>
          <w:sz w:val="24"/>
          <w:szCs w:val="24"/>
        </w:rPr>
      </w:pPr>
      <w:bookmarkStart w:id="457" w:name="_Toc17089"/>
      <w:r>
        <w:rPr>
          <w:rFonts w:hint="eastAsia" w:ascii="宋体" w:hAnsi="宋体" w:cs="宋体"/>
          <w:color w:val="auto"/>
          <w:sz w:val="24"/>
          <w:szCs w:val="24"/>
        </w:rPr>
        <w:t>四、成果完成时间</w:t>
      </w:r>
      <w:bookmarkEnd w:id="457"/>
    </w:p>
    <w:tbl>
      <w:tblPr>
        <w:tblStyle w:val="25"/>
        <w:tblW w:w="487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2"/>
        <w:gridCol w:w="1982"/>
        <w:gridCol w:w="1926"/>
        <w:gridCol w:w="2220"/>
        <w:gridCol w:w="2655"/>
      </w:tblGrid>
      <w:tr w14:paraId="611CD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4" w:type="pct"/>
            <w:noWrap w:val="0"/>
            <w:vAlign w:val="center"/>
          </w:tcPr>
          <w:p w14:paraId="780E7C08">
            <w:pP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1039" w:type="pct"/>
            <w:noWrap w:val="0"/>
            <w:vAlign w:val="center"/>
          </w:tcPr>
          <w:p w14:paraId="75B5A607">
            <w:pPr>
              <w:rPr>
                <w:rFonts w:hint="eastAsia" w:ascii="宋体" w:hAnsi="宋体" w:cs="宋体"/>
                <w:color w:val="auto"/>
                <w:sz w:val="24"/>
                <w:szCs w:val="24"/>
                <w:highlight w:val="none"/>
              </w:rPr>
            </w:pPr>
            <w:r>
              <w:rPr>
                <w:rFonts w:hint="eastAsia" w:ascii="宋体" w:hAnsi="宋体" w:cs="宋体"/>
                <w:color w:val="auto"/>
                <w:sz w:val="24"/>
                <w:szCs w:val="24"/>
                <w:highlight w:val="none"/>
              </w:rPr>
              <w:t>工作内容</w:t>
            </w:r>
          </w:p>
        </w:tc>
        <w:tc>
          <w:tcPr>
            <w:tcW w:w="1010" w:type="pct"/>
            <w:noWrap w:val="0"/>
            <w:vAlign w:val="center"/>
          </w:tcPr>
          <w:p w14:paraId="1E295AC9">
            <w:pPr>
              <w:rPr>
                <w:rFonts w:hint="eastAsia" w:ascii="宋体" w:hAnsi="宋体" w:cs="宋体"/>
                <w:color w:val="auto"/>
                <w:sz w:val="24"/>
                <w:szCs w:val="24"/>
                <w:highlight w:val="none"/>
              </w:rPr>
            </w:pPr>
            <w:r>
              <w:rPr>
                <w:rFonts w:hint="eastAsia" w:ascii="宋体" w:hAnsi="宋体" w:cs="宋体"/>
                <w:color w:val="auto"/>
                <w:sz w:val="24"/>
                <w:szCs w:val="24"/>
                <w:highlight w:val="none"/>
              </w:rPr>
              <w:t>流程</w:t>
            </w:r>
          </w:p>
        </w:tc>
        <w:tc>
          <w:tcPr>
            <w:tcW w:w="1164" w:type="pct"/>
            <w:noWrap w:val="0"/>
            <w:vAlign w:val="center"/>
          </w:tcPr>
          <w:p w14:paraId="641FC595">
            <w:pPr>
              <w:rPr>
                <w:rFonts w:hint="eastAsia" w:ascii="宋体" w:hAnsi="宋体" w:cs="宋体"/>
                <w:color w:val="auto"/>
                <w:sz w:val="24"/>
                <w:szCs w:val="24"/>
                <w:highlight w:val="none"/>
              </w:rPr>
            </w:pPr>
            <w:r>
              <w:rPr>
                <w:rFonts w:hint="eastAsia" w:ascii="宋体" w:hAnsi="宋体" w:cs="宋体"/>
                <w:color w:val="auto"/>
                <w:sz w:val="24"/>
                <w:szCs w:val="24"/>
                <w:highlight w:val="none"/>
              </w:rPr>
              <w:t>取得成果</w:t>
            </w:r>
          </w:p>
        </w:tc>
        <w:tc>
          <w:tcPr>
            <w:tcW w:w="1391" w:type="pct"/>
            <w:noWrap w:val="0"/>
            <w:vAlign w:val="center"/>
          </w:tcPr>
          <w:p w14:paraId="45682726">
            <w:pPr>
              <w:rPr>
                <w:rFonts w:hint="eastAsia" w:ascii="宋体" w:hAnsi="宋体" w:cs="宋体"/>
                <w:color w:val="auto"/>
                <w:sz w:val="24"/>
                <w:szCs w:val="24"/>
                <w:highlight w:val="none"/>
              </w:rPr>
            </w:pPr>
            <w:r>
              <w:rPr>
                <w:rFonts w:hint="eastAsia" w:ascii="宋体" w:hAnsi="宋体" w:cs="宋体"/>
                <w:color w:val="auto"/>
                <w:sz w:val="24"/>
                <w:szCs w:val="24"/>
                <w:highlight w:val="none"/>
              </w:rPr>
              <w:t>限定时间</w:t>
            </w:r>
          </w:p>
          <w:p w14:paraId="5709CE54">
            <w:pPr>
              <w:rPr>
                <w:rFonts w:hint="eastAsia" w:ascii="宋体" w:hAnsi="宋体" w:cs="宋体"/>
                <w:color w:val="auto"/>
                <w:sz w:val="24"/>
                <w:szCs w:val="24"/>
                <w:highlight w:val="none"/>
              </w:rPr>
            </w:pPr>
            <w:r>
              <w:rPr>
                <w:rFonts w:hint="eastAsia" w:ascii="宋体" w:hAnsi="宋体" w:cs="宋体"/>
                <w:color w:val="auto"/>
                <w:sz w:val="24"/>
                <w:szCs w:val="24"/>
                <w:highlight w:val="none"/>
              </w:rPr>
              <w:t>（工作日）</w:t>
            </w:r>
          </w:p>
        </w:tc>
      </w:tr>
      <w:tr w14:paraId="7E72D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394" w:type="pct"/>
            <w:noWrap w:val="0"/>
            <w:vAlign w:val="center"/>
          </w:tcPr>
          <w:p w14:paraId="62B3649D">
            <w:pP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c>
          <w:tcPr>
            <w:tcW w:w="1039" w:type="pct"/>
            <w:vMerge w:val="restart"/>
            <w:noWrap w:val="0"/>
            <w:vAlign w:val="center"/>
          </w:tcPr>
          <w:p w14:paraId="23813533">
            <w:pPr>
              <w:rPr>
                <w:rFonts w:hint="eastAsia" w:ascii="宋体" w:hAnsi="宋体" w:cs="宋体"/>
                <w:color w:val="auto"/>
                <w:sz w:val="24"/>
                <w:szCs w:val="24"/>
                <w:highlight w:val="none"/>
              </w:rPr>
            </w:pPr>
            <w:r>
              <w:rPr>
                <w:rFonts w:hint="eastAsia" w:ascii="宋体" w:hAnsi="宋体" w:cs="宋体"/>
                <w:color w:val="auto"/>
                <w:sz w:val="24"/>
                <w:szCs w:val="24"/>
                <w:highlight w:val="none"/>
              </w:rPr>
              <w:t>湾区农谷二期涉地铁保护动态监测服务</w:t>
            </w:r>
          </w:p>
        </w:tc>
        <w:tc>
          <w:tcPr>
            <w:tcW w:w="1010" w:type="pct"/>
            <w:noWrap w:val="0"/>
            <w:vAlign w:val="center"/>
          </w:tcPr>
          <w:p w14:paraId="7B5F190E">
            <w:pPr>
              <w:rPr>
                <w:rFonts w:hint="eastAsia" w:ascii="宋体" w:hAnsi="宋体" w:cs="宋体"/>
                <w:color w:val="auto"/>
                <w:sz w:val="24"/>
                <w:szCs w:val="24"/>
                <w:highlight w:val="none"/>
              </w:rPr>
            </w:pPr>
            <w:r>
              <w:rPr>
                <w:rFonts w:hint="eastAsia" w:ascii="宋体" w:hAnsi="宋体" w:cs="宋体"/>
                <w:color w:val="auto"/>
                <w:sz w:val="24"/>
                <w:szCs w:val="24"/>
                <w:highlight w:val="none"/>
              </w:rPr>
              <w:t>监测方案编制</w:t>
            </w:r>
          </w:p>
        </w:tc>
        <w:tc>
          <w:tcPr>
            <w:tcW w:w="1164" w:type="pct"/>
            <w:noWrap w:val="0"/>
            <w:vAlign w:val="center"/>
          </w:tcPr>
          <w:p w14:paraId="05C156D0">
            <w:pPr>
              <w:rPr>
                <w:rFonts w:hint="eastAsia" w:ascii="宋体" w:hAnsi="宋体" w:cs="宋体"/>
                <w:color w:val="auto"/>
                <w:sz w:val="24"/>
                <w:szCs w:val="24"/>
                <w:highlight w:val="none"/>
              </w:rPr>
            </w:pPr>
            <w:r>
              <w:rPr>
                <w:rFonts w:hint="eastAsia" w:ascii="宋体" w:hAnsi="宋体" w:cs="宋体"/>
                <w:color w:val="auto"/>
                <w:sz w:val="24"/>
                <w:szCs w:val="24"/>
                <w:highlight w:val="none"/>
              </w:rPr>
              <w:t>形成监测方案</w:t>
            </w:r>
          </w:p>
        </w:tc>
        <w:tc>
          <w:tcPr>
            <w:tcW w:w="1391" w:type="pct"/>
            <w:noWrap w:val="0"/>
            <w:vAlign w:val="center"/>
          </w:tcPr>
          <w:p w14:paraId="08616782">
            <w:pPr>
              <w:rPr>
                <w:rFonts w:hint="eastAsia" w:ascii="宋体" w:hAnsi="宋体" w:cs="宋体"/>
                <w:color w:val="auto"/>
                <w:sz w:val="24"/>
                <w:szCs w:val="24"/>
                <w:highlight w:val="none"/>
              </w:rPr>
            </w:pPr>
            <w:r>
              <w:rPr>
                <w:rFonts w:hint="eastAsia" w:ascii="宋体" w:hAnsi="宋体" w:cs="宋体"/>
                <w:color w:val="auto"/>
                <w:sz w:val="24"/>
                <w:szCs w:val="24"/>
                <w:highlight w:val="none"/>
              </w:rPr>
              <w:t>5</w:t>
            </w:r>
          </w:p>
        </w:tc>
      </w:tr>
      <w:tr w14:paraId="28E89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394" w:type="pct"/>
            <w:noWrap w:val="0"/>
            <w:vAlign w:val="center"/>
          </w:tcPr>
          <w:p w14:paraId="05BAA844">
            <w:pPr>
              <w:rPr>
                <w:rFonts w:hint="eastAsia" w:ascii="宋体" w:hAnsi="宋体" w:cs="宋体"/>
                <w:color w:val="auto"/>
                <w:sz w:val="24"/>
                <w:szCs w:val="24"/>
                <w:highlight w:val="none"/>
              </w:rPr>
            </w:pPr>
            <w:r>
              <w:rPr>
                <w:rFonts w:hint="eastAsia" w:ascii="宋体" w:hAnsi="宋体" w:cs="宋体"/>
                <w:color w:val="auto"/>
                <w:sz w:val="24"/>
                <w:szCs w:val="24"/>
                <w:highlight w:val="none"/>
              </w:rPr>
              <w:t>2</w:t>
            </w:r>
          </w:p>
        </w:tc>
        <w:tc>
          <w:tcPr>
            <w:tcW w:w="1039" w:type="pct"/>
            <w:vMerge w:val="continue"/>
            <w:noWrap w:val="0"/>
            <w:vAlign w:val="center"/>
          </w:tcPr>
          <w:p w14:paraId="4D527B08">
            <w:pPr>
              <w:rPr>
                <w:rFonts w:hint="eastAsia" w:ascii="宋体" w:hAnsi="宋体" w:cs="宋体"/>
                <w:color w:val="auto"/>
                <w:sz w:val="24"/>
                <w:szCs w:val="24"/>
                <w:highlight w:val="none"/>
              </w:rPr>
            </w:pPr>
          </w:p>
        </w:tc>
        <w:tc>
          <w:tcPr>
            <w:tcW w:w="1010" w:type="pct"/>
            <w:noWrap w:val="0"/>
            <w:vAlign w:val="center"/>
          </w:tcPr>
          <w:p w14:paraId="29E7BBCE">
            <w:pPr>
              <w:rPr>
                <w:rFonts w:hint="eastAsia" w:ascii="宋体" w:hAnsi="宋体" w:cs="宋体"/>
                <w:color w:val="auto"/>
                <w:sz w:val="24"/>
                <w:szCs w:val="24"/>
                <w:highlight w:val="none"/>
              </w:rPr>
            </w:pPr>
            <w:r>
              <w:rPr>
                <w:rFonts w:hint="eastAsia" w:ascii="宋体" w:hAnsi="宋体" w:cs="宋体"/>
                <w:color w:val="auto"/>
                <w:sz w:val="24"/>
                <w:szCs w:val="24"/>
                <w:highlight w:val="none"/>
              </w:rPr>
              <w:t>监测方案报审</w:t>
            </w:r>
          </w:p>
        </w:tc>
        <w:tc>
          <w:tcPr>
            <w:tcW w:w="1164" w:type="pct"/>
            <w:noWrap w:val="0"/>
            <w:vAlign w:val="center"/>
          </w:tcPr>
          <w:p w14:paraId="718F87F9">
            <w:pPr>
              <w:rPr>
                <w:rFonts w:hint="eastAsia" w:ascii="宋体" w:hAnsi="宋体" w:cs="宋体"/>
                <w:color w:val="auto"/>
                <w:sz w:val="24"/>
                <w:szCs w:val="24"/>
                <w:highlight w:val="none"/>
              </w:rPr>
            </w:pPr>
            <w:r>
              <w:rPr>
                <w:rFonts w:hint="eastAsia" w:ascii="宋体" w:hAnsi="宋体" w:cs="宋体"/>
                <w:color w:val="auto"/>
                <w:sz w:val="24"/>
                <w:szCs w:val="24"/>
                <w:highlight w:val="none"/>
              </w:rPr>
              <w:t>地保复函</w:t>
            </w:r>
          </w:p>
        </w:tc>
        <w:tc>
          <w:tcPr>
            <w:tcW w:w="1391" w:type="pct"/>
            <w:noWrap w:val="0"/>
            <w:vAlign w:val="center"/>
          </w:tcPr>
          <w:p w14:paraId="0364F33A">
            <w:pPr>
              <w:rPr>
                <w:rFonts w:hint="eastAsia" w:ascii="宋体" w:hAnsi="宋体" w:cs="宋体"/>
                <w:color w:val="auto"/>
                <w:sz w:val="24"/>
                <w:szCs w:val="24"/>
                <w:highlight w:val="none"/>
              </w:rPr>
            </w:pPr>
            <w:r>
              <w:rPr>
                <w:rFonts w:hint="eastAsia" w:ascii="宋体" w:hAnsi="宋体" w:cs="宋体"/>
                <w:color w:val="auto"/>
                <w:sz w:val="24"/>
                <w:szCs w:val="24"/>
                <w:highlight w:val="none"/>
              </w:rPr>
              <w:t>15</w:t>
            </w:r>
          </w:p>
        </w:tc>
      </w:tr>
      <w:tr w14:paraId="4D224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94" w:type="pct"/>
            <w:noWrap w:val="0"/>
            <w:vAlign w:val="center"/>
          </w:tcPr>
          <w:p w14:paraId="1018D9C9">
            <w:pPr>
              <w:rPr>
                <w:rFonts w:hint="eastAsia" w:ascii="宋体" w:hAnsi="宋体" w:cs="宋体"/>
                <w:color w:val="auto"/>
                <w:sz w:val="24"/>
                <w:szCs w:val="24"/>
                <w:highlight w:val="none"/>
              </w:rPr>
            </w:pPr>
            <w:r>
              <w:rPr>
                <w:rFonts w:hint="eastAsia" w:ascii="宋体" w:hAnsi="宋体" w:cs="宋体"/>
                <w:color w:val="auto"/>
                <w:sz w:val="24"/>
                <w:szCs w:val="24"/>
                <w:highlight w:val="none"/>
              </w:rPr>
              <w:t>3</w:t>
            </w:r>
          </w:p>
        </w:tc>
        <w:tc>
          <w:tcPr>
            <w:tcW w:w="1039" w:type="pct"/>
            <w:vMerge w:val="continue"/>
            <w:noWrap w:val="0"/>
            <w:vAlign w:val="center"/>
          </w:tcPr>
          <w:p w14:paraId="1064D114">
            <w:pPr>
              <w:rPr>
                <w:rFonts w:hint="eastAsia" w:ascii="宋体" w:hAnsi="宋体" w:cs="宋体"/>
                <w:color w:val="auto"/>
                <w:sz w:val="24"/>
                <w:szCs w:val="24"/>
                <w:highlight w:val="none"/>
              </w:rPr>
            </w:pPr>
          </w:p>
        </w:tc>
        <w:tc>
          <w:tcPr>
            <w:tcW w:w="1010" w:type="pct"/>
            <w:noWrap w:val="0"/>
            <w:vAlign w:val="center"/>
          </w:tcPr>
          <w:p w14:paraId="407F589F">
            <w:pPr>
              <w:rPr>
                <w:rFonts w:hint="eastAsia" w:ascii="宋体" w:hAnsi="宋体" w:cs="宋体"/>
                <w:color w:val="auto"/>
                <w:sz w:val="24"/>
                <w:szCs w:val="24"/>
                <w:highlight w:val="none"/>
              </w:rPr>
            </w:pPr>
            <w:r>
              <w:rPr>
                <w:rFonts w:hint="eastAsia" w:ascii="宋体" w:hAnsi="宋体" w:cs="宋体"/>
                <w:color w:val="auto"/>
                <w:sz w:val="24"/>
                <w:szCs w:val="24"/>
                <w:highlight w:val="none"/>
              </w:rPr>
              <w:t>项目报建</w:t>
            </w:r>
          </w:p>
        </w:tc>
        <w:tc>
          <w:tcPr>
            <w:tcW w:w="1164" w:type="pct"/>
            <w:noWrap w:val="0"/>
            <w:vAlign w:val="center"/>
          </w:tcPr>
          <w:p w14:paraId="5DE52B41">
            <w:pPr>
              <w:rPr>
                <w:rFonts w:hint="eastAsia" w:ascii="宋体" w:hAnsi="宋体" w:cs="宋体"/>
                <w:color w:val="auto"/>
                <w:sz w:val="24"/>
                <w:szCs w:val="24"/>
                <w:highlight w:val="none"/>
              </w:rPr>
            </w:pPr>
            <w:r>
              <w:rPr>
                <w:rFonts w:hint="eastAsia" w:ascii="宋体" w:hAnsi="宋体" w:cs="宋体"/>
                <w:color w:val="auto"/>
                <w:sz w:val="24"/>
                <w:szCs w:val="24"/>
                <w:highlight w:val="none"/>
              </w:rPr>
              <w:t>签订安全协议</w:t>
            </w:r>
          </w:p>
        </w:tc>
        <w:tc>
          <w:tcPr>
            <w:tcW w:w="1391" w:type="pct"/>
            <w:noWrap w:val="0"/>
            <w:vAlign w:val="center"/>
          </w:tcPr>
          <w:p w14:paraId="10BF1BFF">
            <w:pPr>
              <w:rPr>
                <w:rFonts w:hint="eastAsia" w:ascii="宋体" w:hAnsi="宋体" w:cs="宋体"/>
                <w:color w:val="auto"/>
                <w:sz w:val="24"/>
                <w:szCs w:val="24"/>
                <w:highlight w:val="none"/>
              </w:rPr>
            </w:pPr>
            <w:r>
              <w:rPr>
                <w:rFonts w:hint="eastAsia" w:ascii="宋体" w:hAnsi="宋体" w:cs="宋体"/>
                <w:color w:val="auto"/>
                <w:sz w:val="24"/>
                <w:szCs w:val="24"/>
                <w:highlight w:val="none"/>
              </w:rPr>
              <w:t>15</w:t>
            </w:r>
          </w:p>
        </w:tc>
      </w:tr>
      <w:tr w14:paraId="21FC9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394" w:type="pct"/>
            <w:noWrap w:val="0"/>
            <w:vAlign w:val="center"/>
          </w:tcPr>
          <w:p w14:paraId="64E1486B">
            <w:pPr>
              <w:rPr>
                <w:rFonts w:hint="eastAsia" w:ascii="宋体" w:hAnsi="宋体" w:cs="宋体"/>
                <w:color w:val="auto"/>
                <w:sz w:val="24"/>
                <w:szCs w:val="24"/>
                <w:highlight w:val="none"/>
              </w:rPr>
            </w:pPr>
            <w:r>
              <w:rPr>
                <w:rFonts w:hint="eastAsia" w:ascii="宋体" w:hAnsi="宋体" w:cs="宋体"/>
                <w:color w:val="auto"/>
                <w:sz w:val="24"/>
                <w:szCs w:val="24"/>
                <w:highlight w:val="none"/>
              </w:rPr>
              <w:t>4</w:t>
            </w:r>
          </w:p>
        </w:tc>
        <w:tc>
          <w:tcPr>
            <w:tcW w:w="1039" w:type="pct"/>
            <w:vMerge w:val="continue"/>
            <w:noWrap w:val="0"/>
            <w:vAlign w:val="center"/>
          </w:tcPr>
          <w:p w14:paraId="1E2C2B8C">
            <w:pPr>
              <w:rPr>
                <w:rFonts w:hint="eastAsia" w:ascii="宋体" w:hAnsi="宋体" w:cs="宋体"/>
                <w:color w:val="auto"/>
                <w:sz w:val="24"/>
                <w:szCs w:val="24"/>
                <w:highlight w:val="none"/>
              </w:rPr>
            </w:pPr>
          </w:p>
        </w:tc>
        <w:tc>
          <w:tcPr>
            <w:tcW w:w="1010" w:type="pct"/>
            <w:noWrap w:val="0"/>
            <w:vAlign w:val="center"/>
          </w:tcPr>
          <w:p w14:paraId="0E23F133">
            <w:pPr>
              <w:rPr>
                <w:rFonts w:hint="eastAsia" w:ascii="宋体" w:hAnsi="宋体" w:cs="宋体"/>
                <w:color w:val="auto"/>
                <w:sz w:val="24"/>
                <w:szCs w:val="24"/>
                <w:highlight w:val="none"/>
              </w:rPr>
            </w:pPr>
            <w:r>
              <w:rPr>
                <w:rFonts w:hint="eastAsia" w:ascii="宋体" w:hAnsi="宋体" w:cs="宋体"/>
                <w:color w:val="auto"/>
                <w:sz w:val="24"/>
                <w:szCs w:val="24"/>
                <w:highlight w:val="none"/>
              </w:rPr>
              <w:t>申报计划</w:t>
            </w:r>
          </w:p>
        </w:tc>
        <w:tc>
          <w:tcPr>
            <w:tcW w:w="1164" w:type="pct"/>
            <w:noWrap w:val="0"/>
            <w:vAlign w:val="center"/>
          </w:tcPr>
          <w:p w14:paraId="1F4D5656">
            <w:pPr>
              <w:rPr>
                <w:rFonts w:hint="eastAsia" w:ascii="宋体" w:hAnsi="宋体" w:cs="宋体"/>
                <w:color w:val="auto"/>
                <w:sz w:val="24"/>
                <w:szCs w:val="24"/>
                <w:highlight w:val="none"/>
              </w:rPr>
            </w:pPr>
            <w:r>
              <w:rPr>
                <w:rFonts w:hint="eastAsia" w:ascii="宋体" w:hAnsi="宋体" w:cs="宋体"/>
                <w:color w:val="auto"/>
                <w:sz w:val="24"/>
                <w:szCs w:val="24"/>
                <w:highlight w:val="none"/>
              </w:rPr>
              <w:t>作业令</w:t>
            </w:r>
          </w:p>
        </w:tc>
        <w:tc>
          <w:tcPr>
            <w:tcW w:w="1391" w:type="pct"/>
            <w:noWrap w:val="0"/>
            <w:vAlign w:val="center"/>
          </w:tcPr>
          <w:p w14:paraId="452BEEF1">
            <w:pPr>
              <w:rPr>
                <w:rFonts w:hint="eastAsia" w:ascii="宋体" w:hAnsi="宋体" w:cs="宋体"/>
                <w:color w:val="auto"/>
                <w:sz w:val="24"/>
                <w:szCs w:val="24"/>
                <w:highlight w:val="none"/>
              </w:rPr>
            </w:pPr>
            <w:r>
              <w:rPr>
                <w:rFonts w:hint="eastAsia" w:ascii="宋体" w:hAnsi="宋体" w:cs="宋体"/>
                <w:color w:val="auto"/>
                <w:sz w:val="24"/>
                <w:szCs w:val="24"/>
                <w:highlight w:val="none"/>
              </w:rPr>
              <w:t>视地铁集团批复情况而定</w:t>
            </w:r>
          </w:p>
        </w:tc>
      </w:tr>
      <w:tr w14:paraId="7F54C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394" w:type="pct"/>
            <w:noWrap w:val="0"/>
            <w:vAlign w:val="center"/>
          </w:tcPr>
          <w:p w14:paraId="2BFD37D6">
            <w:pPr>
              <w:rPr>
                <w:rFonts w:hint="eastAsia" w:ascii="宋体" w:hAnsi="宋体" w:cs="宋体"/>
                <w:color w:val="auto"/>
                <w:sz w:val="24"/>
                <w:szCs w:val="24"/>
                <w:highlight w:val="none"/>
              </w:rPr>
            </w:pPr>
            <w:r>
              <w:rPr>
                <w:rFonts w:hint="eastAsia" w:ascii="宋体" w:hAnsi="宋体" w:cs="宋体"/>
                <w:color w:val="auto"/>
                <w:sz w:val="24"/>
                <w:szCs w:val="24"/>
                <w:highlight w:val="none"/>
              </w:rPr>
              <w:t>5</w:t>
            </w:r>
          </w:p>
        </w:tc>
        <w:tc>
          <w:tcPr>
            <w:tcW w:w="1039" w:type="pct"/>
            <w:vMerge w:val="continue"/>
            <w:noWrap w:val="0"/>
            <w:vAlign w:val="center"/>
          </w:tcPr>
          <w:p w14:paraId="6A9543BF">
            <w:pPr>
              <w:rPr>
                <w:rFonts w:hint="eastAsia" w:ascii="宋体" w:hAnsi="宋体" w:cs="宋体"/>
                <w:color w:val="auto"/>
                <w:sz w:val="24"/>
                <w:szCs w:val="24"/>
                <w:highlight w:val="none"/>
              </w:rPr>
            </w:pPr>
          </w:p>
        </w:tc>
        <w:tc>
          <w:tcPr>
            <w:tcW w:w="1010" w:type="pct"/>
            <w:noWrap w:val="0"/>
            <w:vAlign w:val="center"/>
          </w:tcPr>
          <w:p w14:paraId="14881DDD">
            <w:pPr>
              <w:rPr>
                <w:rFonts w:hint="eastAsia" w:ascii="宋体" w:hAnsi="宋体" w:cs="宋体"/>
                <w:color w:val="auto"/>
                <w:sz w:val="24"/>
                <w:szCs w:val="24"/>
                <w:highlight w:val="none"/>
              </w:rPr>
            </w:pPr>
            <w:r>
              <w:rPr>
                <w:rFonts w:hint="eastAsia" w:ascii="宋体" w:hAnsi="宋体" w:cs="宋体"/>
                <w:color w:val="auto"/>
                <w:sz w:val="24"/>
                <w:szCs w:val="24"/>
                <w:highlight w:val="none"/>
              </w:rPr>
              <w:t>工前普查、现状确认和进场装点、调试</w:t>
            </w:r>
          </w:p>
        </w:tc>
        <w:tc>
          <w:tcPr>
            <w:tcW w:w="1164" w:type="pct"/>
            <w:noWrap w:val="0"/>
            <w:vAlign w:val="center"/>
          </w:tcPr>
          <w:p w14:paraId="444C3AA4">
            <w:pPr>
              <w:rPr>
                <w:rFonts w:hint="eastAsia" w:ascii="宋体" w:hAnsi="宋体" w:cs="宋体"/>
                <w:color w:val="auto"/>
                <w:sz w:val="24"/>
                <w:szCs w:val="24"/>
                <w:highlight w:val="none"/>
              </w:rPr>
            </w:pPr>
            <w:r>
              <w:rPr>
                <w:rFonts w:hint="eastAsia" w:ascii="宋体" w:hAnsi="宋体" w:cs="宋体"/>
                <w:color w:val="auto"/>
                <w:sz w:val="24"/>
                <w:szCs w:val="24"/>
                <w:highlight w:val="none"/>
              </w:rPr>
              <w:t>采集初始值</w:t>
            </w:r>
          </w:p>
        </w:tc>
        <w:tc>
          <w:tcPr>
            <w:tcW w:w="1391" w:type="pct"/>
            <w:noWrap w:val="0"/>
            <w:vAlign w:val="center"/>
          </w:tcPr>
          <w:p w14:paraId="7CED92F7">
            <w:pPr>
              <w:rPr>
                <w:rFonts w:hint="eastAsia" w:ascii="宋体" w:hAnsi="宋体" w:cs="宋体"/>
                <w:color w:val="auto"/>
                <w:sz w:val="24"/>
                <w:szCs w:val="24"/>
                <w:highlight w:val="none"/>
              </w:rPr>
            </w:pPr>
            <w:r>
              <w:rPr>
                <w:rFonts w:hint="eastAsia" w:ascii="宋体" w:hAnsi="宋体" w:cs="宋体"/>
                <w:color w:val="auto"/>
                <w:sz w:val="24"/>
                <w:szCs w:val="24"/>
                <w:highlight w:val="none"/>
              </w:rPr>
              <w:t>10-20（日历日）</w:t>
            </w:r>
          </w:p>
        </w:tc>
      </w:tr>
      <w:tr w14:paraId="74937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394" w:type="pct"/>
            <w:noWrap w:val="0"/>
            <w:vAlign w:val="center"/>
          </w:tcPr>
          <w:p w14:paraId="181897A9">
            <w:pPr>
              <w:rPr>
                <w:rFonts w:hint="eastAsia" w:ascii="宋体" w:hAnsi="宋体" w:cs="宋体"/>
                <w:color w:val="auto"/>
                <w:sz w:val="24"/>
                <w:szCs w:val="24"/>
                <w:highlight w:val="none"/>
              </w:rPr>
            </w:pPr>
            <w:r>
              <w:rPr>
                <w:rFonts w:hint="eastAsia" w:ascii="宋体" w:hAnsi="宋体" w:cs="宋体"/>
                <w:color w:val="auto"/>
                <w:sz w:val="24"/>
                <w:szCs w:val="24"/>
                <w:highlight w:val="none"/>
              </w:rPr>
              <w:t>6</w:t>
            </w:r>
          </w:p>
        </w:tc>
        <w:tc>
          <w:tcPr>
            <w:tcW w:w="1039" w:type="pct"/>
            <w:vMerge w:val="continue"/>
            <w:noWrap w:val="0"/>
            <w:vAlign w:val="center"/>
          </w:tcPr>
          <w:p w14:paraId="69DC8267">
            <w:pPr>
              <w:rPr>
                <w:rFonts w:hint="eastAsia" w:ascii="宋体" w:hAnsi="宋体" w:cs="宋体"/>
                <w:color w:val="auto"/>
                <w:sz w:val="24"/>
                <w:szCs w:val="24"/>
                <w:highlight w:val="none"/>
              </w:rPr>
            </w:pPr>
          </w:p>
        </w:tc>
        <w:tc>
          <w:tcPr>
            <w:tcW w:w="1010" w:type="pct"/>
            <w:noWrap w:val="0"/>
            <w:vAlign w:val="center"/>
          </w:tcPr>
          <w:p w14:paraId="798A2887">
            <w:pPr>
              <w:rPr>
                <w:rFonts w:hint="eastAsia" w:ascii="宋体" w:hAnsi="宋体" w:cs="宋体"/>
                <w:color w:val="auto"/>
                <w:sz w:val="24"/>
                <w:szCs w:val="24"/>
                <w:highlight w:val="none"/>
              </w:rPr>
            </w:pPr>
            <w:r>
              <w:rPr>
                <w:rFonts w:hint="eastAsia" w:ascii="宋体" w:hAnsi="宋体" w:cs="宋体"/>
                <w:color w:val="auto"/>
                <w:sz w:val="24"/>
                <w:szCs w:val="24"/>
                <w:highlight w:val="none"/>
              </w:rPr>
              <w:t>安全交底</w:t>
            </w:r>
          </w:p>
        </w:tc>
        <w:tc>
          <w:tcPr>
            <w:tcW w:w="1164" w:type="pct"/>
            <w:noWrap w:val="0"/>
            <w:vAlign w:val="center"/>
          </w:tcPr>
          <w:p w14:paraId="063095A0">
            <w:pPr>
              <w:rPr>
                <w:rFonts w:hint="eastAsia" w:ascii="宋体" w:hAnsi="宋体" w:cs="宋体"/>
                <w:color w:val="auto"/>
                <w:sz w:val="24"/>
                <w:szCs w:val="24"/>
                <w:highlight w:val="none"/>
              </w:rPr>
            </w:pPr>
            <w:r>
              <w:rPr>
                <w:rFonts w:hint="eastAsia" w:ascii="宋体" w:hAnsi="宋体" w:cs="宋体"/>
                <w:color w:val="auto"/>
                <w:sz w:val="24"/>
                <w:szCs w:val="24"/>
                <w:highlight w:val="none"/>
              </w:rPr>
              <w:t>交底完成后可施工</w:t>
            </w:r>
          </w:p>
        </w:tc>
        <w:tc>
          <w:tcPr>
            <w:tcW w:w="1391" w:type="pct"/>
            <w:noWrap w:val="0"/>
            <w:vAlign w:val="center"/>
          </w:tcPr>
          <w:p w14:paraId="510DE125">
            <w:pP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r>
    </w:tbl>
    <w:p w14:paraId="12334816">
      <w:pPr>
        <w:pStyle w:val="23"/>
        <w:ind w:firstLine="480" w:firstLineChars="200"/>
        <w:rPr>
          <w:rFonts w:hint="eastAsia"/>
          <w:color w:val="auto"/>
          <w:sz w:val="24"/>
          <w:highlight w:val="none"/>
        </w:rPr>
      </w:pPr>
      <w:r>
        <w:rPr>
          <w:color w:val="auto"/>
          <w:sz w:val="24"/>
          <w:highlight w:val="none"/>
        </w:rPr>
        <w:t>注：</w:t>
      </w:r>
      <w:r>
        <w:rPr>
          <w:rFonts w:hint="eastAsia"/>
          <w:color w:val="auto"/>
          <w:sz w:val="24"/>
          <w:highlight w:val="none"/>
        </w:rPr>
        <w:t>以上限定时间为参照日期，不作为最终时间。</w:t>
      </w:r>
    </w:p>
    <w:p w14:paraId="3758B04A">
      <w:pPr>
        <w:pStyle w:val="3"/>
        <w:spacing w:before="156" w:after="156"/>
        <w:jc w:val="center"/>
        <w:rPr>
          <w:rFonts w:hint="eastAsia" w:ascii="宋体" w:hAnsi="宋体" w:cs="宋体"/>
          <w:color w:val="auto"/>
          <w:sz w:val="32"/>
          <w:szCs w:val="32"/>
        </w:rPr>
      </w:pPr>
      <w:bookmarkStart w:id="458" w:name="_Toc14623"/>
      <w:bookmarkStart w:id="459" w:name="_Toc2866"/>
      <w:r>
        <w:rPr>
          <w:rFonts w:hint="eastAsia" w:ascii="宋体" w:hAnsi="宋体" w:cs="宋体"/>
          <w:color w:val="auto"/>
          <w:sz w:val="32"/>
          <w:szCs w:val="32"/>
        </w:rPr>
        <w:t>第三节 地铁保护安全监控</w:t>
      </w:r>
      <w:bookmarkEnd w:id="458"/>
      <w:bookmarkEnd w:id="459"/>
    </w:p>
    <w:p w14:paraId="3B5F5950">
      <w:pPr>
        <w:rPr>
          <w:rFonts w:hint="eastAsia" w:ascii="宋体" w:hAnsi="宋体" w:cs="宋体"/>
          <w:color w:val="auto"/>
          <w:kern w:val="0"/>
          <w:sz w:val="24"/>
          <w:szCs w:val="24"/>
          <w:highlight w:val="none"/>
        </w:rPr>
      </w:pPr>
      <w:bookmarkStart w:id="460" w:name="_Toc1855"/>
      <w:r>
        <w:rPr>
          <w:rFonts w:hint="eastAsia"/>
          <w:color w:val="auto"/>
          <w:sz w:val="24"/>
          <w:szCs w:val="24"/>
          <w:highlight w:val="none"/>
        </w:rPr>
        <w:t>湾区农谷二期</w:t>
      </w:r>
      <w:r>
        <w:rPr>
          <w:rFonts w:hint="eastAsia" w:ascii="宋体" w:hAnsi="宋体" w:cs="宋体"/>
          <w:color w:val="auto"/>
          <w:kern w:val="0"/>
          <w:sz w:val="24"/>
          <w:szCs w:val="24"/>
          <w:highlight w:val="none"/>
        </w:rPr>
        <w:t>地铁保护安全监控</w:t>
      </w:r>
      <w:r>
        <w:rPr>
          <w:rFonts w:hint="eastAsia"/>
          <w:color w:val="auto"/>
          <w:sz w:val="24"/>
          <w:szCs w:val="24"/>
          <w:highlight w:val="none"/>
        </w:rPr>
        <w:t>主要包含现场监控主要工作</w:t>
      </w:r>
      <w:r>
        <w:rPr>
          <w:rFonts w:hint="eastAsia"/>
          <w:color w:val="auto"/>
          <w:sz w:val="24"/>
          <w:highlight w:val="none"/>
          <w:lang w:eastAsia="zh-CN"/>
        </w:rPr>
        <w:t>、</w:t>
      </w:r>
      <w:r>
        <w:rPr>
          <w:rFonts w:hint="eastAsia"/>
          <w:color w:val="auto"/>
          <w:sz w:val="24"/>
          <w:szCs w:val="24"/>
          <w:highlight w:val="none"/>
        </w:rPr>
        <w:t>具体工作内容、费用预算及成果完成时间，</w:t>
      </w:r>
      <w:r>
        <w:rPr>
          <w:color w:val="auto"/>
          <w:sz w:val="24"/>
          <w:szCs w:val="24"/>
          <w:highlight w:val="none"/>
        </w:rPr>
        <w:t>具</w:t>
      </w:r>
      <w:r>
        <w:rPr>
          <w:rFonts w:ascii="宋体" w:hAnsi="宋体" w:cs="宋体"/>
          <w:color w:val="auto"/>
          <w:sz w:val="24"/>
          <w:szCs w:val="24"/>
          <w:highlight w:val="none"/>
        </w:rPr>
        <w:t>体如下</w:t>
      </w:r>
      <w:r>
        <w:rPr>
          <w:color w:val="auto"/>
          <w:sz w:val="24"/>
          <w:szCs w:val="24"/>
          <w:highlight w:val="none"/>
        </w:rPr>
        <w:t>。</w:t>
      </w:r>
    </w:p>
    <w:p w14:paraId="61C2AE66">
      <w:pPr>
        <w:pStyle w:val="3"/>
        <w:spacing w:before="156" w:after="156"/>
        <w:ind w:firstLine="578" w:firstLineChars="200"/>
        <w:rPr>
          <w:rFonts w:hint="eastAsia" w:ascii="黑体" w:hAnsi="黑体" w:eastAsia="黑体" w:cs="黑体"/>
          <w:color w:val="auto"/>
          <w:sz w:val="28"/>
          <w:szCs w:val="28"/>
        </w:rPr>
      </w:pPr>
      <w:bookmarkStart w:id="461" w:name="_Toc11800"/>
      <w:r>
        <w:rPr>
          <w:rFonts w:hint="eastAsia" w:ascii="黑体" w:hAnsi="黑体" w:eastAsia="黑体" w:cs="黑体"/>
          <w:color w:val="auto"/>
          <w:sz w:val="28"/>
          <w:szCs w:val="28"/>
        </w:rPr>
        <w:t>一、现场监控主要工作</w:t>
      </w:r>
      <w:bookmarkEnd w:id="460"/>
      <w:bookmarkEnd w:id="461"/>
    </w:p>
    <w:p w14:paraId="44E01881">
      <w:pPr>
        <w:pStyle w:val="3"/>
        <w:snapToGrid w:val="0"/>
        <w:spacing w:before="156" w:after="156"/>
        <w:ind w:left="284" w:firstLine="578" w:firstLineChars="200"/>
        <w:rPr>
          <w:rFonts w:hint="eastAsia" w:ascii="宋体" w:hAnsi="宋体" w:cs="宋体"/>
          <w:color w:val="auto"/>
          <w:kern w:val="0"/>
          <w:sz w:val="28"/>
          <w:szCs w:val="28"/>
          <w:lang w:val="en-US" w:eastAsia="zh-CN"/>
        </w:rPr>
      </w:pPr>
      <w:r>
        <w:rPr>
          <w:rFonts w:hint="eastAsia" w:ascii="宋体" w:hAnsi="宋体" w:cs="宋体"/>
          <w:color w:val="auto"/>
          <w:kern w:val="0"/>
          <w:sz w:val="28"/>
          <w:szCs w:val="28"/>
          <w:lang w:eastAsia="zh-CN"/>
        </w:rPr>
        <w:t>（</w:t>
      </w:r>
      <w:r>
        <w:rPr>
          <w:rFonts w:hint="eastAsia" w:ascii="宋体" w:hAnsi="宋体" w:cs="宋体"/>
          <w:color w:val="auto"/>
          <w:kern w:val="0"/>
          <w:sz w:val="28"/>
          <w:szCs w:val="28"/>
          <w:lang w:val="en-US" w:eastAsia="zh-CN"/>
        </w:rPr>
        <w:t>一</w:t>
      </w:r>
      <w:r>
        <w:rPr>
          <w:rFonts w:hint="eastAsia" w:ascii="宋体" w:hAnsi="宋体" w:cs="宋体"/>
          <w:color w:val="auto"/>
          <w:kern w:val="0"/>
          <w:sz w:val="28"/>
          <w:szCs w:val="28"/>
          <w:lang w:eastAsia="zh-CN"/>
        </w:rPr>
        <w:t>）</w:t>
      </w:r>
      <w:r>
        <w:rPr>
          <w:rFonts w:hint="eastAsia" w:cs="宋体"/>
          <w:color w:val="auto"/>
          <w:kern w:val="0"/>
          <w:sz w:val="28"/>
          <w:szCs w:val="28"/>
          <w:lang w:val="en-US" w:eastAsia="zh-CN"/>
        </w:rPr>
        <w:t>地铁保护</w:t>
      </w:r>
      <w:r>
        <w:rPr>
          <w:rFonts w:hint="eastAsia" w:ascii="宋体" w:hAnsi="宋体" w:cs="宋体"/>
          <w:color w:val="auto"/>
          <w:kern w:val="0"/>
          <w:sz w:val="28"/>
          <w:szCs w:val="28"/>
          <w:lang w:val="en-US" w:eastAsia="zh-CN"/>
        </w:rPr>
        <w:t>安全监控步骤：</w:t>
      </w:r>
    </w:p>
    <w:p w14:paraId="7B270791">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地铁保护区建设项目±0.00以下的基坑工程（含围护结构、止水帷幕、土方开挖、爆破、内支撑安装和拆除、基坑回填等）、桩基础、地下室结构工程等工序和涉及到地铁安全保护方面的工程施工监控。</w:t>
      </w:r>
    </w:p>
    <w:p w14:paraId="6CDAC3A3">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1、地铁保护驻场安全监控工作交底</w:t>
      </w:r>
    </w:p>
    <w:p w14:paraId="49D60ADB">
      <w:pPr>
        <w:snapToGrid w:val="0"/>
        <w:spacing w:line="360" w:lineRule="auto"/>
        <w:ind w:left="284" w:firstLine="504" w:firstLineChars="21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介绍地铁保护安全监控的工作目的、内容、流程、方式等工作；对地铁设施保护管理要求、地铁运营管理办法以及专家审查会议意见、实施过程注意事项、沟通协调机制等向项目参建各方进行交底。</w:t>
      </w:r>
    </w:p>
    <w:p w14:paraId="5570BAAB">
      <w:pPr>
        <w:snapToGrid w:val="0"/>
        <w:spacing w:line="360" w:lineRule="auto"/>
        <w:ind w:left="284" w:firstLine="504" w:firstLineChars="210"/>
        <w:rPr>
          <w:rFonts w:hint="eastAsia" w:cs="宋体"/>
          <w:color w:val="auto"/>
          <w:kern w:val="0"/>
          <w:sz w:val="24"/>
          <w:szCs w:val="24"/>
          <w:highlight w:val="none"/>
        </w:rPr>
      </w:pPr>
      <w:r>
        <w:rPr>
          <w:rFonts w:hint="eastAsia" w:cs="宋体"/>
          <w:color w:val="auto"/>
          <w:kern w:val="0"/>
          <w:sz w:val="24"/>
          <w:szCs w:val="24"/>
          <w:highlight w:val="none"/>
        </w:rPr>
        <w:t>2、编写监控方案</w:t>
      </w:r>
    </w:p>
    <w:p w14:paraId="60C742CA">
      <w:pPr>
        <w:snapToGrid w:val="0"/>
        <w:spacing w:line="360" w:lineRule="auto"/>
        <w:ind w:left="284" w:firstLine="504" w:firstLineChars="210"/>
        <w:rPr>
          <w:rFonts w:cs="宋体"/>
          <w:color w:val="auto"/>
          <w:kern w:val="0"/>
          <w:sz w:val="24"/>
          <w:szCs w:val="24"/>
          <w:highlight w:val="none"/>
        </w:rPr>
      </w:pPr>
      <w:r>
        <w:rPr>
          <w:rFonts w:hint="eastAsia" w:cs="宋体"/>
          <w:color w:val="auto"/>
          <w:kern w:val="0"/>
          <w:sz w:val="24"/>
          <w:szCs w:val="24"/>
          <w:highlight w:val="none"/>
        </w:rPr>
        <w:t>收集项目相关设计、评估、复函等资料，编写地铁结构安全监控实施方案。</w:t>
      </w:r>
    </w:p>
    <w:p w14:paraId="70D62820">
      <w:pPr>
        <w:snapToGrid w:val="0"/>
        <w:spacing w:line="360" w:lineRule="auto"/>
        <w:ind w:left="284" w:firstLine="504" w:firstLineChars="210"/>
        <w:rPr>
          <w:rFonts w:ascii="宋体" w:hAnsi="宋体" w:cs="宋体"/>
          <w:color w:val="auto"/>
          <w:kern w:val="0"/>
          <w:sz w:val="24"/>
          <w:szCs w:val="24"/>
          <w:highlight w:val="none"/>
        </w:rPr>
      </w:pPr>
      <w:r>
        <w:rPr>
          <w:rFonts w:hint="eastAsia" w:cs="宋体"/>
          <w:color w:val="auto"/>
          <w:kern w:val="0"/>
          <w:sz w:val="24"/>
          <w:szCs w:val="24"/>
          <w:highlight w:val="none"/>
        </w:rPr>
        <w:t>3</w:t>
      </w:r>
      <w:r>
        <w:rPr>
          <w:rFonts w:hint="eastAsia" w:ascii="宋体" w:hAnsi="宋体" w:cs="宋体"/>
          <w:color w:val="auto"/>
          <w:kern w:val="0"/>
          <w:sz w:val="24"/>
          <w:szCs w:val="24"/>
          <w:highlight w:val="none"/>
        </w:rPr>
        <w:t>、组织工前普查</w:t>
      </w:r>
    </w:p>
    <w:p w14:paraId="688AAA3B">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组织项目参建各方对受影响范围地铁既有结构进行工前现状普查、病害量测与记录，由地铁监测单位出具书面报告；或由建设方委托有结构鉴定资质的单位实施。</w:t>
      </w:r>
    </w:p>
    <w:p w14:paraId="13CFC063">
      <w:pPr>
        <w:snapToGrid w:val="0"/>
        <w:spacing w:line="360" w:lineRule="auto"/>
        <w:ind w:left="284" w:firstLine="504" w:firstLineChars="210"/>
        <w:rPr>
          <w:rFonts w:hint="eastAsia" w:ascii="宋体" w:hAnsi="宋体" w:cs="宋体"/>
          <w:color w:val="auto"/>
          <w:kern w:val="0"/>
          <w:sz w:val="24"/>
          <w:szCs w:val="24"/>
          <w:highlight w:val="none"/>
        </w:rPr>
      </w:pPr>
      <w:r>
        <w:rPr>
          <w:rFonts w:hint="eastAsia" w:cs="宋体"/>
          <w:color w:val="auto"/>
          <w:kern w:val="0"/>
          <w:sz w:val="24"/>
          <w:szCs w:val="24"/>
          <w:highlight w:val="none"/>
        </w:rPr>
        <w:t>4</w:t>
      </w:r>
      <w:r>
        <w:rPr>
          <w:rFonts w:hint="eastAsia" w:ascii="宋体" w:hAnsi="宋体" w:cs="宋体"/>
          <w:color w:val="auto"/>
          <w:kern w:val="0"/>
          <w:sz w:val="24"/>
          <w:szCs w:val="24"/>
          <w:highlight w:val="none"/>
        </w:rPr>
        <w:t>、图纸复查</w:t>
      </w:r>
      <w:r>
        <w:rPr>
          <w:rFonts w:hint="eastAsia" w:cs="宋体"/>
          <w:color w:val="auto"/>
          <w:kern w:val="0"/>
          <w:sz w:val="24"/>
          <w:szCs w:val="24"/>
          <w:highlight w:val="none"/>
        </w:rPr>
        <w:t>、</w:t>
      </w:r>
      <w:r>
        <w:rPr>
          <w:rFonts w:hint="eastAsia" w:ascii="宋体" w:hAnsi="宋体" w:cs="宋体"/>
          <w:color w:val="auto"/>
          <w:kern w:val="0"/>
          <w:sz w:val="24"/>
          <w:szCs w:val="24"/>
          <w:highlight w:val="none"/>
        </w:rPr>
        <w:t>方案复查</w:t>
      </w:r>
    </w:p>
    <w:p w14:paraId="56E9EDAD">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复查地保区范围内对地铁有影响的分部工程施工图是否符合地铁保护办公室审批要求。复查涉及地铁保护相关的施工方案是否符合地铁保护要求。</w:t>
      </w:r>
    </w:p>
    <w:p w14:paraId="01674D55">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5、测量放样复核或复测</w:t>
      </w:r>
    </w:p>
    <w:p w14:paraId="0FB05059">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邻近地铁侧勘探、施工测量放样的复核或复测。</w:t>
      </w:r>
    </w:p>
    <w:p w14:paraId="1D0F2E92">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6、地铁监测布点检查</w:t>
      </w:r>
    </w:p>
    <w:p w14:paraId="4A00FBC1">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检查地铁结构监测布点是否符合监测方案要求。</w:t>
      </w:r>
    </w:p>
    <w:p w14:paraId="03E8C22A">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7、基坑监测布点检查</w:t>
      </w:r>
    </w:p>
    <w:p w14:paraId="0FAC3133">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检查邻近地铁侧基坑监测布点是否符合监测方案要求。</w:t>
      </w:r>
    </w:p>
    <w:p w14:paraId="27A85FE3">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8、工地巡检</w:t>
      </w:r>
    </w:p>
    <w:p w14:paraId="5487B8D3">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巡视项目现场施工情况，是否按图纸、方案实施和落实地保措施。</w:t>
      </w:r>
    </w:p>
    <w:p w14:paraId="1A6E11A3">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9、监测数据收集分析</w:t>
      </w:r>
    </w:p>
    <w:p w14:paraId="5D43E3A4">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对基坑监测、地铁结构监测数据进行收集，调取地铁营运内部数据对比分析，并根据地铁结构、运营现状进行风险识别、风险分析及应对建议。</w:t>
      </w:r>
    </w:p>
    <w:p w14:paraId="590CAFDF">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10、现场地保专题会议</w:t>
      </w:r>
    </w:p>
    <w:p w14:paraId="52880C87">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根据项目现场情况，在有必要时主持召开现场地铁保护专题会议，解决与地铁保护相关的问题。</w:t>
      </w:r>
    </w:p>
    <w:p w14:paraId="79729483">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w:t>
      </w:r>
      <w:r>
        <w:rPr>
          <w:rFonts w:hint="eastAsia" w:cs="宋体"/>
          <w:color w:val="auto"/>
          <w:kern w:val="0"/>
          <w:sz w:val="24"/>
          <w:szCs w:val="24"/>
          <w:highlight w:val="none"/>
        </w:rPr>
        <w:t>组织工后普查</w:t>
      </w:r>
    </w:p>
    <w:p w14:paraId="3FDBC0FE">
      <w:pPr>
        <w:snapToGrid w:val="0"/>
        <w:spacing w:line="360" w:lineRule="auto"/>
        <w:ind w:left="284" w:firstLine="504" w:firstLineChars="210"/>
        <w:rPr>
          <w:rFonts w:ascii="宋体" w:hAnsi="宋体" w:cs="宋体"/>
          <w:color w:val="auto"/>
          <w:kern w:val="0"/>
          <w:sz w:val="24"/>
          <w:szCs w:val="24"/>
          <w:highlight w:val="none"/>
        </w:rPr>
      </w:pPr>
      <w:r>
        <w:rPr>
          <w:rFonts w:hint="eastAsia" w:cs="宋体"/>
          <w:color w:val="auto"/>
          <w:kern w:val="0"/>
          <w:sz w:val="24"/>
          <w:szCs w:val="24"/>
          <w:highlight w:val="none"/>
        </w:rPr>
        <w:t>项目回填至±0.00后，</w:t>
      </w:r>
      <w:r>
        <w:rPr>
          <w:rFonts w:hint="eastAsia" w:ascii="宋体" w:hAnsi="宋体" w:cs="宋体"/>
          <w:color w:val="auto"/>
          <w:kern w:val="0"/>
          <w:sz w:val="24"/>
          <w:szCs w:val="24"/>
          <w:highlight w:val="none"/>
        </w:rPr>
        <w:t>组织项目参建各方对受影响范围地铁既有结构进行工</w:t>
      </w:r>
      <w:r>
        <w:rPr>
          <w:rFonts w:hint="eastAsia" w:cs="宋体"/>
          <w:color w:val="auto"/>
          <w:kern w:val="0"/>
          <w:sz w:val="24"/>
          <w:szCs w:val="24"/>
          <w:highlight w:val="none"/>
        </w:rPr>
        <w:t>后普查</w:t>
      </w:r>
      <w:r>
        <w:rPr>
          <w:rFonts w:hint="eastAsia" w:ascii="宋体" w:hAnsi="宋体" w:cs="宋体"/>
          <w:color w:val="auto"/>
          <w:kern w:val="0"/>
          <w:sz w:val="24"/>
          <w:szCs w:val="24"/>
          <w:highlight w:val="none"/>
        </w:rPr>
        <w:t>、病害量测与记录，由地铁监测单位出具书面报告。</w:t>
      </w:r>
    </w:p>
    <w:p w14:paraId="3EC81E5A">
      <w:pPr>
        <w:snapToGrid w:val="0"/>
        <w:spacing w:line="360" w:lineRule="auto"/>
        <w:ind w:left="284" w:firstLine="504" w:firstLineChars="21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12、监控日志、监控周报、监控月报的编写</w:t>
      </w:r>
    </w:p>
    <w:p w14:paraId="5D2CE314">
      <w:pPr>
        <w:snapToGrid w:val="0"/>
        <w:spacing w:line="360" w:lineRule="auto"/>
        <w:ind w:left="284" w:firstLine="504" w:firstLineChars="21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13、监控总结及地保结案</w:t>
      </w:r>
    </w:p>
    <w:p w14:paraId="3143003F">
      <w:pPr>
        <w:pStyle w:val="3"/>
        <w:spacing w:before="156" w:after="156"/>
        <w:ind w:firstLine="578" w:firstLineChars="200"/>
        <w:rPr>
          <w:rFonts w:hint="eastAsia"/>
          <w:color w:val="auto"/>
          <w:sz w:val="28"/>
          <w:szCs w:val="28"/>
        </w:rPr>
      </w:pPr>
      <w:r>
        <w:rPr>
          <w:rFonts w:hint="eastAsia"/>
          <w:color w:val="auto"/>
          <w:sz w:val="28"/>
          <w:szCs w:val="28"/>
        </w:rPr>
        <w:t>（二）施工配合步骤</w:t>
      </w:r>
    </w:p>
    <w:p w14:paraId="56553641">
      <w:pPr>
        <w:spacing w:line="360" w:lineRule="auto"/>
        <w:ind w:firstLine="480" w:firstLineChars="200"/>
        <w:rPr>
          <w:rFonts w:hint="eastAsia"/>
          <w:color w:val="auto"/>
          <w:sz w:val="24"/>
          <w:highlight w:val="none"/>
        </w:rPr>
      </w:pPr>
      <w:r>
        <w:rPr>
          <w:rFonts w:hint="eastAsia"/>
          <w:color w:val="auto"/>
          <w:sz w:val="24"/>
          <w:highlight w:val="none"/>
        </w:rPr>
        <w:t>（1）运营场所内施工许可办理；</w:t>
      </w:r>
    </w:p>
    <w:p w14:paraId="79AF4516">
      <w:pPr>
        <w:spacing w:line="360" w:lineRule="auto"/>
        <w:ind w:firstLine="480" w:firstLineChars="200"/>
        <w:rPr>
          <w:rFonts w:hint="eastAsia"/>
          <w:color w:val="auto"/>
          <w:sz w:val="24"/>
          <w:highlight w:val="none"/>
        </w:rPr>
      </w:pPr>
      <w:r>
        <w:rPr>
          <w:rFonts w:hint="eastAsia"/>
          <w:color w:val="auto"/>
          <w:sz w:val="24"/>
          <w:highlight w:val="none"/>
        </w:rPr>
        <w:t>（2）作业点办理；</w:t>
      </w:r>
    </w:p>
    <w:p w14:paraId="77F0A0E8">
      <w:pPr>
        <w:spacing w:line="360" w:lineRule="auto"/>
        <w:ind w:firstLine="480" w:firstLineChars="200"/>
        <w:rPr>
          <w:rFonts w:hint="eastAsia"/>
          <w:color w:val="auto"/>
          <w:sz w:val="24"/>
          <w:highlight w:val="none"/>
        </w:rPr>
      </w:pPr>
      <w:r>
        <w:rPr>
          <w:rFonts w:hint="eastAsia"/>
          <w:color w:val="auto"/>
          <w:sz w:val="24"/>
          <w:highlight w:val="none"/>
        </w:rPr>
        <w:t>（3）接挂地线配合；</w:t>
      </w:r>
    </w:p>
    <w:p w14:paraId="773B3B42">
      <w:pPr>
        <w:spacing w:line="360" w:lineRule="auto"/>
        <w:ind w:firstLine="480" w:firstLineChars="200"/>
        <w:rPr>
          <w:rFonts w:hint="eastAsia"/>
          <w:color w:val="auto"/>
          <w:sz w:val="24"/>
          <w:highlight w:val="none"/>
        </w:rPr>
      </w:pPr>
      <w:r>
        <w:rPr>
          <w:rFonts w:hint="eastAsia"/>
          <w:color w:val="auto"/>
          <w:sz w:val="24"/>
          <w:highlight w:val="none"/>
        </w:rPr>
        <w:t>（4）结构设施状态调查；</w:t>
      </w:r>
    </w:p>
    <w:p w14:paraId="3D233DCE">
      <w:pPr>
        <w:spacing w:line="360" w:lineRule="auto"/>
        <w:ind w:firstLine="480" w:firstLineChars="200"/>
        <w:rPr>
          <w:rFonts w:hint="eastAsia"/>
          <w:color w:val="auto"/>
          <w:sz w:val="24"/>
          <w:highlight w:val="none"/>
        </w:rPr>
      </w:pPr>
      <w:r>
        <w:rPr>
          <w:rFonts w:hint="eastAsia"/>
          <w:color w:val="auto"/>
          <w:sz w:val="24"/>
          <w:highlight w:val="none"/>
        </w:rPr>
        <w:t>（5）轨道交通保护监测点安拆配合；</w:t>
      </w:r>
    </w:p>
    <w:p w14:paraId="7AE5DCDF">
      <w:pPr>
        <w:spacing w:line="360" w:lineRule="auto"/>
        <w:ind w:firstLine="480" w:firstLineChars="200"/>
        <w:rPr>
          <w:rFonts w:hint="eastAsia"/>
          <w:color w:val="auto"/>
          <w:sz w:val="24"/>
          <w:highlight w:val="none"/>
        </w:rPr>
      </w:pPr>
      <w:r>
        <w:rPr>
          <w:rFonts w:hint="eastAsia"/>
          <w:color w:val="auto"/>
          <w:sz w:val="24"/>
          <w:highlight w:val="none"/>
        </w:rPr>
        <w:t>（6）监测设备布设附着修复；</w:t>
      </w:r>
    </w:p>
    <w:p w14:paraId="51DAA9F8">
      <w:pPr>
        <w:spacing w:line="360" w:lineRule="auto"/>
        <w:ind w:firstLine="480" w:firstLineChars="200"/>
        <w:rPr>
          <w:rFonts w:hint="eastAsia"/>
          <w:color w:val="auto"/>
          <w:sz w:val="24"/>
          <w:highlight w:val="none"/>
        </w:rPr>
      </w:pPr>
      <w:r>
        <w:rPr>
          <w:rFonts w:hint="eastAsia"/>
          <w:color w:val="auto"/>
          <w:sz w:val="24"/>
          <w:highlight w:val="none"/>
        </w:rPr>
        <w:t>（7）监测设备定期检查配合</w:t>
      </w:r>
    </w:p>
    <w:p w14:paraId="19EC75DF">
      <w:pPr>
        <w:spacing w:line="360" w:lineRule="auto"/>
        <w:ind w:firstLine="480" w:firstLineChars="200"/>
        <w:rPr>
          <w:rFonts w:hint="eastAsia"/>
          <w:color w:val="auto"/>
          <w:sz w:val="24"/>
          <w:highlight w:val="none"/>
        </w:rPr>
      </w:pPr>
      <w:r>
        <w:rPr>
          <w:rFonts w:hint="eastAsia"/>
          <w:color w:val="auto"/>
          <w:sz w:val="24"/>
          <w:highlight w:val="none"/>
        </w:rPr>
        <w:t>（8）轨道交通设备设施安全检查；</w:t>
      </w:r>
    </w:p>
    <w:p w14:paraId="29BA351D">
      <w:pPr>
        <w:spacing w:line="360" w:lineRule="auto"/>
        <w:ind w:firstLine="480" w:firstLineChars="200"/>
        <w:rPr>
          <w:rFonts w:hint="eastAsia"/>
          <w:color w:val="auto"/>
          <w:sz w:val="24"/>
          <w:highlight w:val="none"/>
        </w:rPr>
      </w:pPr>
      <w:r>
        <w:rPr>
          <w:rFonts w:hint="eastAsia"/>
          <w:color w:val="auto"/>
          <w:sz w:val="24"/>
          <w:highlight w:val="none"/>
        </w:rPr>
        <w:t>（9）预防性措施施工配合</w:t>
      </w:r>
    </w:p>
    <w:p w14:paraId="4B6E2B17">
      <w:pPr>
        <w:spacing w:line="360" w:lineRule="auto"/>
        <w:ind w:firstLine="480" w:firstLineChars="200"/>
        <w:rPr>
          <w:rFonts w:hint="eastAsia"/>
          <w:color w:val="auto"/>
          <w:sz w:val="24"/>
          <w:highlight w:val="none"/>
        </w:rPr>
      </w:pPr>
      <w:r>
        <w:rPr>
          <w:rFonts w:hint="eastAsia"/>
          <w:color w:val="auto"/>
          <w:sz w:val="24"/>
          <w:highlight w:val="none"/>
        </w:rPr>
        <w:t>（10）运营保障值班；</w:t>
      </w:r>
    </w:p>
    <w:p w14:paraId="3C184B95">
      <w:pPr>
        <w:spacing w:line="360" w:lineRule="auto"/>
        <w:ind w:firstLine="480" w:firstLineChars="200"/>
        <w:rPr>
          <w:rFonts w:hint="eastAsia"/>
          <w:color w:val="auto"/>
          <w:sz w:val="24"/>
          <w:highlight w:val="none"/>
        </w:rPr>
      </w:pPr>
      <w:r>
        <w:rPr>
          <w:rFonts w:hint="eastAsia"/>
          <w:color w:val="auto"/>
          <w:sz w:val="24"/>
          <w:highlight w:val="none"/>
        </w:rPr>
        <w:t>（11）运营应急管理；</w:t>
      </w:r>
    </w:p>
    <w:p w14:paraId="3DA77A57">
      <w:pPr>
        <w:spacing w:line="360" w:lineRule="auto"/>
        <w:ind w:firstLine="480" w:firstLineChars="200"/>
        <w:rPr>
          <w:rFonts w:hint="eastAsia"/>
          <w:color w:val="auto"/>
          <w:sz w:val="24"/>
          <w:highlight w:val="none"/>
        </w:rPr>
      </w:pPr>
      <w:r>
        <w:rPr>
          <w:rFonts w:hint="eastAsia"/>
          <w:color w:val="auto"/>
          <w:sz w:val="24"/>
          <w:highlight w:val="none"/>
        </w:rPr>
        <w:t>（12）项目风险管理。</w:t>
      </w:r>
    </w:p>
    <w:p w14:paraId="0DA5D74C">
      <w:pPr>
        <w:pStyle w:val="2"/>
        <w:rPr>
          <w:rFonts w:hint="eastAsia"/>
          <w:color w:val="auto"/>
          <w:highlight w:val="none"/>
        </w:rPr>
      </w:pPr>
    </w:p>
    <w:p w14:paraId="5FF7CD48">
      <w:pPr>
        <w:pStyle w:val="3"/>
        <w:numPr>
          <w:ilvl w:val="0"/>
          <w:numId w:val="0"/>
        </w:numPr>
        <w:spacing w:before="156" w:after="156"/>
        <w:ind w:firstLine="578" w:firstLineChars="200"/>
        <w:rPr>
          <w:rFonts w:hint="eastAsia" w:ascii="黑体" w:hAnsi="黑体" w:eastAsia="黑体" w:cs="黑体"/>
          <w:color w:val="auto"/>
          <w:sz w:val="28"/>
          <w:szCs w:val="28"/>
        </w:rPr>
      </w:pPr>
      <w:bookmarkStart w:id="462" w:name="_Toc3817"/>
      <w:bookmarkStart w:id="463" w:name="_Toc774"/>
      <w:r>
        <w:rPr>
          <w:rFonts w:hint="eastAsia" w:ascii="黑体" w:hAnsi="黑体" w:eastAsia="黑体" w:cs="黑体"/>
          <w:b/>
          <w:bCs/>
          <w:snapToGrid w:val="0"/>
          <w:color w:val="auto"/>
          <w:spacing w:val="4"/>
          <w:kern w:val="0"/>
          <w:sz w:val="28"/>
          <w:szCs w:val="28"/>
          <w:lang w:val="en-US" w:eastAsia="zh-CN" w:bidi="ar-SA"/>
        </w:rPr>
        <w:t>二、</w:t>
      </w:r>
      <w:r>
        <w:rPr>
          <w:rFonts w:hint="eastAsia" w:ascii="黑体" w:hAnsi="黑体" w:eastAsia="黑体" w:cs="黑体"/>
          <w:color w:val="auto"/>
          <w:sz w:val="28"/>
          <w:szCs w:val="28"/>
        </w:rPr>
        <w:t>具体工作内容</w:t>
      </w:r>
      <w:bookmarkEnd w:id="462"/>
      <w:bookmarkEnd w:id="463"/>
    </w:p>
    <w:p w14:paraId="2DDCBAB3">
      <w:pPr>
        <w:pStyle w:val="3"/>
        <w:spacing w:before="156" w:after="156"/>
        <w:ind w:firstLine="578" w:firstLineChars="200"/>
        <w:rPr>
          <w:rFonts w:hint="eastAsia"/>
          <w:color w:val="auto"/>
        </w:rPr>
      </w:pPr>
      <w:r>
        <w:rPr>
          <w:rFonts w:hint="eastAsia"/>
          <w:color w:val="auto"/>
          <w:sz w:val="28"/>
          <w:szCs w:val="28"/>
        </w:rPr>
        <w:t>（</w:t>
      </w:r>
      <w:r>
        <w:rPr>
          <w:rFonts w:hint="eastAsia"/>
          <w:color w:val="auto"/>
          <w:sz w:val="28"/>
          <w:szCs w:val="28"/>
          <w:lang w:val="en-US" w:eastAsia="zh-CN"/>
        </w:rPr>
        <w:t>一</w:t>
      </w:r>
      <w:r>
        <w:rPr>
          <w:rFonts w:hint="eastAsia"/>
          <w:color w:val="auto"/>
          <w:sz w:val="28"/>
          <w:szCs w:val="28"/>
        </w:rPr>
        <w:t>）</w:t>
      </w:r>
      <w:r>
        <w:rPr>
          <w:rFonts w:hint="eastAsia"/>
          <w:color w:val="auto"/>
          <w:sz w:val="28"/>
          <w:szCs w:val="28"/>
          <w:lang w:val="en-US" w:eastAsia="zh-CN"/>
        </w:rPr>
        <w:t>地铁保护安全监控</w:t>
      </w:r>
    </w:p>
    <w:tbl>
      <w:tblPr>
        <w:tblStyle w:val="25"/>
        <w:tblW w:w="87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92"/>
      </w:tblGrid>
      <w:tr w14:paraId="41DB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5776F953">
            <w:pPr>
              <w:rPr>
                <w:color w:val="auto"/>
                <w:sz w:val="24"/>
                <w:szCs w:val="24"/>
                <w:highlight w:val="none"/>
              </w:rPr>
            </w:pPr>
            <w:r>
              <w:rPr>
                <w:color w:val="auto"/>
                <w:sz w:val="24"/>
                <w:szCs w:val="24"/>
                <w:highlight w:val="none"/>
              </w:rPr>
              <w:t>序号</w:t>
            </w:r>
          </w:p>
        </w:tc>
        <w:tc>
          <w:tcPr>
            <w:tcW w:w="7692" w:type="dxa"/>
            <w:noWrap w:val="0"/>
            <w:vAlign w:val="center"/>
          </w:tcPr>
          <w:p w14:paraId="56906778">
            <w:pPr>
              <w:ind w:firstLine="480"/>
              <w:rPr>
                <w:color w:val="auto"/>
                <w:sz w:val="24"/>
                <w:szCs w:val="24"/>
                <w:highlight w:val="none"/>
              </w:rPr>
            </w:pPr>
            <w:r>
              <w:rPr>
                <w:color w:val="auto"/>
                <w:sz w:val="24"/>
                <w:szCs w:val="24"/>
                <w:highlight w:val="none"/>
              </w:rPr>
              <w:t>工作内容</w:t>
            </w:r>
          </w:p>
        </w:tc>
      </w:tr>
      <w:tr w14:paraId="1EAD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080" w:type="dxa"/>
            <w:noWrap w:val="0"/>
            <w:vAlign w:val="center"/>
          </w:tcPr>
          <w:p w14:paraId="05F21115">
            <w:pPr>
              <w:jc w:val="center"/>
              <w:rPr>
                <w:color w:val="auto"/>
                <w:sz w:val="24"/>
                <w:szCs w:val="24"/>
                <w:highlight w:val="none"/>
              </w:rPr>
            </w:pPr>
            <w:r>
              <w:rPr>
                <w:color w:val="auto"/>
                <w:sz w:val="24"/>
                <w:szCs w:val="24"/>
                <w:highlight w:val="none"/>
              </w:rPr>
              <w:t>1</w:t>
            </w:r>
          </w:p>
        </w:tc>
        <w:tc>
          <w:tcPr>
            <w:tcW w:w="7692" w:type="dxa"/>
            <w:noWrap w:val="0"/>
            <w:vAlign w:val="center"/>
          </w:tcPr>
          <w:p w14:paraId="37427D80">
            <w:pPr>
              <w:rPr>
                <w:rFonts w:hint="eastAsia"/>
                <w:color w:val="auto"/>
                <w:sz w:val="24"/>
                <w:szCs w:val="24"/>
                <w:highlight w:val="none"/>
              </w:rPr>
            </w:pPr>
            <w:r>
              <w:rPr>
                <w:rFonts w:hint="eastAsia"/>
                <w:color w:val="auto"/>
                <w:sz w:val="24"/>
                <w:szCs w:val="24"/>
                <w:highlight w:val="none"/>
              </w:rPr>
              <w:t>收集基坑、桩基础和地下室设计图纸、地保办复函、地保专家审查意见及报审图纸、地保专项施工方案及应急预案、地铁监测方案、基坑监测方案，各类涉及地铁保护区施工的专项方案、监理实施细则，编写监控方案；</w:t>
            </w:r>
          </w:p>
        </w:tc>
      </w:tr>
      <w:tr w14:paraId="7CB8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2C9F6C45">
            <w:pPr>
              <w:jc w:val="center"/>
              <w:rPr>
                <w:color w:val="auto"/>
                <w:sz w:val="24"/>
                <w:szCs w:val="24"/>
                <w:highlight w:val="none"/>
              </w:rPr>
            </w:pPr>
            <w:r>
              <w:rPr>
                <w:color w:val="auto"/>
                <w:sz w:val="24"/>
                <w:szCs w:val="24"/>
                <w:highlight w:val="none"/>
              </w:rPr>
              <w:t>2</w:t>
            </w:r>
          </w:p>
        </w:tc>
        <w:tc>
          <w:tcPr>
            <w:tcW w:w="7692" w:type="dxa"/>
            <w:noWrap w:val="0"/>
            <w:vAlign w:val="center"/>
          </w:tcPr>
          <w:p w14:paraId="46282D37">
            <w:pPr>
              <w:rPr>
                <w:rFonts w:hint="eastAsia"/>
                <w:color w:val="auto"/>
                <w:sz w:val="24"/>
                <w:szCs w:val="24"/>
                <w:highlight w:val="none"/>
              </w:rPr>
            </w:pPr>
            <w:r>
              <w:rPr>
                <w:rFonts w:hint="eastAsia"/>
                <w:color w:val="auto"/>
                <w:sz w:val="24"/>
                <w:szCs w:val="24"/>
                <w:highlight w:val="none"/>
              </w:rPr>
              <w:t>组织建设、监理、施工单位进行现场安全监控工作交底；</w:t>
            </w:r>
          </w:p>
        </w:tc>
      </w:tr>
      <w:tr w14:paraId="57AC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7D701C45">
            <w:pPr>
              <w:jc w:val="center"/>
              <w:rPr>
                <w:color w:val="auto"/>
                <w:sz w:val="24"/>
                <w:szCs w:val="24"/>
                <w:highlight w:val="none"/>
              </w:rPr>
            </w:pPr>
            <w:r>
              <w:rPr>
                <w:color w:val="auto"/>
                <w:sz w:val="24"/>
                <w:szCs w:val="24"/>
                <w:highlight w:val="none"/>
              </w:rPr>
              <w:t>3</w:t>
            </w:r>
          </w:p>
        </w:tc>
        <w:tc>
          <w:tcPr>
            <w:tcW w:w="7692" w:type="dxa"/>
            <w:noWrap w:val="0"/>
            <w:vAlign w:val="center"/>
          </w:tcPr>
          <w:p w14:paraId="2E26977C">
            <w:pPr>
              <w:rPr>
                <w:rFonts w:hint="eastAsia"/>
                <w:color w:val="auto"/>
                <w:sz w:val="24"/>
                <w:szCs w:val="24"/>
                <w:highlight w:val="none"/>
              </w:rPr>
            </w:pPr>
            <w:r>
              <w:rPr>
                <w:rFonts w:hint="eastAsia"/>
                <w:color w:val="auto"/>
                <w:sz w:val="24"/>
                <w:szCs w:val="24"/>
                <w:highlight w:val="none"/>
              </w:rPr>
              <w:t>组织建设、监理、施工、地铁监测单位进行工前普查，记录隧道既有现状是否存在渗漏水、裂缝、错台、崩缺等病害，检查地铁结构监测点位（棱镜位置、数量、监测仪器的有效性），地铁监测单位出具普查报告；</w:t>
            </w:r>
          </w:p>
        </w:tc>
      </w:tr>
      <w:tr w14:paraId="62FF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5620FA5C">
            <w:pPr>
              <w:jc w:val="center"/>
              <w:rPr>
                <w:color w:val="auto"/>
                <w:sz w:val="24"/>
                <w:szCs w:val="24"/>
                <w:highlight w:val="none"/>
              </w:rPr>
            </w:pPr>
            <w:r>
              <w:rPr>
                <w:color w:val="auto"/>
                <w:sz w:val="24"/>
                <w:szCs w:val="24"/>
                <w:highlight w:val="none"/>
              </w:rPr>
              <w:t>4</w:t>
            </w:r>
          </w:p>
        </w:tc>
        <w:tc>
          <w:tcPr>
            <w:tcW w:w="7692" w:type="dxa"/>
            <w:noWrap w:val="0"/>
            <w:vAlign w:val="center"/>
          </w:tcPr>
          <w:p w14:paraId="75D362BE">
            <w:pPr>
              <w:rPr>
                <w:rFonts w:hint="eastAsia"/>
                <w:color w:val="auto"/>
                <w:sz w:val="24"/>
                <w:szCs w:val="24"/>
                <w:highlight w:val="none"/>
              </w:rPr>
            </w:pPr>
            <w:r>
              <w:rPr>
                <w:rFonts w:hint="eastAsia"/>
                <w:color w:val="auto"/>
                <w:sz w:val="24"/>
                <w:szCs w:val="24"/>
                <w:highlight w:val="none"/>
              </w:rPr>
              <w:t>复查报审图纸与施工图纸的一致性，复查地保专项施工方案及应急预案、地铁监测方案、基坑监测方案、各类涉及地铁保护区施工的专项方案是否复核地保规范和地保复函；</w:t>
            </w:r>
          </w:p>
        </w:tc>
      </w:tr>
      <w:tr w14:paraId="438A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55BCBFEF">
            <w:pPr>
              <w:jc w:val="center"/>
              <w:rPr>
                <w:color w:val="auto"/>
                <w:sz w:val="24"/>
                <w:szCs w:val="24"/>
                <w:highlight w:val="none"/>
              </w:rPr>
            </w:pPr>
            <w:r>
              <w:rPr>
                <w:color w:val="auto"/>
                <w:sz w:val="24"/>
                <w:szCs w:val="24"/>
                <w:highlight w:val="none"/>
              </w:rPr>
              <w:t>5</w:t>
            </w:r>
          </w:p>
        </w:tc>
        <w:tc>
          <w:tcPr>
            <w:tcW w:w="7692" w:type="dxa"/>
            <w:noWrap w:val="0"/>
            <w:vAlign w:val="center"/>
          </w:tcPr>
          <w:p w14:paraId="0F3F3903">
            <w:pPr>
              <w:rPr>
                <w:rFonts w:hint="eastAsia"/>
                <w:color w:val="auto"/>
                <w:sz w:val="24"/>
                <w:szCs w:val="24"/>
                <w:highlight w:val="none"/>
              </w:rPr>
            </w:pPr>
            <w:r>
              <w:rPr>
                <w:rFonts w:hint="eastAsia"/>
                <w:color w:val="auto"/>
                <w:sz w:val="24"/>
                <w:szCs w:val="24"/>
                <w:highlight w:val="none"/>
              </w:rPr>
              <w:t>对地铁保护区的钻孔测量放样（包括但不限于各类桩基础、各类围护结构和止水帷幕、钻孔勘探和检测）进行复核或复测；</w:t>
            </w:r>
          </w:p>
        </w:tc>
      </w:tr>
      <w:tr w14:paraId="25D2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70D87201">
            <w:pPr>
              <w:jc w:val="center"/>
              <w:rPr>
                <w:color w:val="auto"/>
                <w:sz w:val="24"/>
                <w:szCs w:val="24"/>
                <w:highlight w:val="none"/>
              </w:rPr>
            </w:pPr>
            <w:r>
              <w:rPr>
                <w:color w:val="auto"/>
                <w:sz w:val="24"/>
                <w:szCs w:val="24"/>
                <w:highlight w:val="none"/>
              </w:rPr>
              <w:t>6</w:t>
            </w:r>
          </w:p>
        </w:tc>
        <w:tc>
          <w:tcPr>
            <w:tcW w:w="7692" w:type="dxa"/>
            <w:noWrap w:val="0"/>
            <w:vAlign w:val="center"/>
          </w:tcPr>
          <w:p w14:paraId="04778EAF">
            <w:pPr>
              <w:rPr>
                <w:rFonts w:hint="eastAsia"/>
                <w:color w:val="auto"/>
                <w:sz w:val="24"/>
                <w:szCs w:val="24"/>
                <w:highlight w:val="none"/>
              </w:rPr>
            </w:pPr>
            <w:r>
              <w:rPr>
                <w:rFonts w:hint="eastAsia"/>
                <w:color w:val="auto"/>
                <w:sz w:val="24"/>
                <w:szCs w:val="24"/>
                <w:highlight w:val="none"/>
              </w:rPr>
              <w:t>检查基坑地下水位、支护结构沉降及位移、支护结构墙体变形、土体测斜、支撑梁轴力、立柱沉降及位移、周边地面和管线沉降等监测布点；</w:t>
            </w:r>
          </w:p>
        </w:tc>
      </w:tr>
      <w:tr w14:paraId="7134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6D5B0C9A">
            <w:pPr>
              <w:jc w:val="center"/>
              <w:rPr>
                <w:color w:val="auto"/>
                <w:sz w:val="24"/>
                <w:szCs w:val="24"/>
                <w:highlight w:val="none"/>
              </w:rPr>
            </w:pPr>
            <w:r>
              <w:rPr>
                <w:color w:val="auto"/>
                <w:sz w:val="24"/>
                <w:szCs w:val="24"/>
                <w:highlight w:val="none"/>
              </w:rPr>
              <w:t>7</w:t>
            </w:r>
          </w:p>
        </w:tc>
        <w:tc>
          <w:tcPr>
            <w:tcW w:w="7692" w:type="dxa"/>
            <w:noWrap w:val="0"/>
            <w:vAlign w:val="center"/>
          </w:tcPr>
          <w:p w14:paraId="76FB9139">
            <w:pPr>
              <w:rPr>
                <w:rFonts w:hint="eastAsia"/>
                <w:color w:val="auto"/>
                <w:sz w:val="24"/>
                <w:szCs w:val="24"/>
                <w:highlight w:val="none"/>
              </w:rPr>
            </w:pPr>
            <w:r>
              <w:rPr>
                <w:rFonts w:hint="eastAsia"/>
                <w:color w:val="auto"/>
                <w:sz w:val="24"/>
                <w:szCs w:val="24"/>
                <w:highlight w:val="none"/>
              </w:rPr>
              <w:t>巡检地铁保护区平面布置、桩基础、各类钻孔、支护结构、土方开挖施工是否符合地保规范、设计图纸和地保方案；</w:t>
            </w:r>
          </w:p>
        </w:tc>
      </w:tr>
      <w:tr w14:paraId="053E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0C5C05B2">
            <w:pPr>
              <w:jc w:val="center"/>
              <w:rPr>
                <w:color w:val="auto"/>
                <w:sz w:val="24"/>
                <w:szCs w:val="24"/>
                <w:highlight w:val="none"/>
              </w:rPr>
            </w:pPr>
            <w:r>
              <w:rPr>
                <w:color w:val="auto"/>
                <w:sz w:val="24"/>
                <w:szCs w:val="24"/>
                <w:highlight w:val="none"/>
              </w:rPr>
              <w:t>8</w:t>
            </w:r>
          </w:p>
        </w:tc>
        <w:tc>
          <w:tcPr>
            <w:tcW w:w="7692" w:type="dxa"/>
            <w:noWrap w:val="0"/>
            <w:vAlign w:val="center"/>
          </w:tcPr>
          <w:p w14:paraId="76D22993">
            <w:pPr>
              <w:rPr>
                <w:rFonts w:hint="eastAsia"/>
                <w:color w:val="auto"/>
                <w:sz w:val="24"/>
                <w:szCs w:val="24"/>
                <w:highlight w:val="none"/>
              </w:rPr>
            </w:pPr>
            <w:r>
              <w:rPr>
                <w:rFonts w:hint="eastAsia"/>
                <w:color w:val="auto"/>
                <w:sz w:val="24"/>
                <w:szCs w:val="24"/>
                <w:highlight w:val="none"/>
              </w:rPr>
              <w:t>收集地铁结构（沉降、位移、收敛、道床高差等）和基坑各类监测数据（序号6），每周/每月和工序转换时作对比分析；</w:t>
            </w:r>
          </w:p>
        </w:tc>
      </w:tr>
      <w:tr w14:paraId="59B1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5408605A">
            <w:pPr>
              <w:jc w:val="center"/>
              <w:rPr>
                <w:color w:val="auto"/>
                <w:sz w:val="24"/>
                <w:szCs w:val="24"/>
                <w:highlight w:val="none"/>
              </w:rPr>
            </w:pPr>
            <w:r>
              <w:rPr>
                <w:color w:val="auto"/>
                <w:sz w:val="24"/>
                <w:szCs w:val="24"/>
                <w:highlight w:val="none"/>
              </w:rPr>
              <w:t>9</w:t>
            </w:r>
          </w:p>
        </w:tc>
        <w:tc>
          <w:tcPr>
            <w:tcW w:w="7692" w:type="dxa"/>
            <w:noWrap w:val="0"/>
            <w:vAlign w:val="center"/>
          </w:tcPr>
          <w:p w14:paraId="2244121B">
            <w:pPr>
              <w:rPr>
                <w:rFonts w:hint="eastAsia"/>
                <w:color w:val="auto"/>
                <w:sz w:val="24"/>
                <w:szCs w:val="24"/>
                <w:highlight w:val="none"/>
              </w:rPr>
            </w:pPr>
            <w:r>
              <w:rPr>
                <w:rFonts w:hint="eastAsia"/>
                <w:color w:val="auto"/>
                <w:sz w:val="24"/>
                <w:szCs w:val="24"/>
                <w:highlight w:val="none"/>
              </w:rPr>
              <w:t>组织建设、监理、施工、地铁监测单位进行工后普查，记录隧道在基坑回填后是否有新增渗漏水、裂缝、错台、崩缺等病害；</w:t>
            </w:r>
          </w:p>
        </w:tc>
      </w:tr>
      <w:tr w14:paraId="1582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672396FE">
            <w:pPr>
              <w:jc w:val="center"/>
              <w:rPr>
                <w:color w:val="auto"/>
                <w:sz w:val="24"/>
                <w:szCs w:val="24"/>
                <w:highlight w:val="none"/>
              </w:rPr>
            </w:pPr>
            <w:r>
              <w:rPr>
                <w:color w:val="auto"/>
                <w:sz w:val="24"/>
                <w:szCs w:val="24"/>
                <w:highlight w:val="none"/>
              </w:rPr>
              <w:t>10</w:t>
            </w:r>
          </w:p>
        </w:tc>
        <w:tc>
          <w:tcPr>
            <w:tcW w:w="7692" w:type="dxa"/>
            <w:noWrap w:val="0"/>
            <w:vAlign w:val="center"/>
          </w:tcPr>
          <w:p w14:paraId="26DB2F01">
            <w:pPr>
              <w:rPr>
                <w:rFonts w:hint="eastAsia"/>
                <w:color w:val="auto"/>
                <w:sz w:val="24"/>
                <w:szCs w:val="24"/>
                <w:highlight w:val="none"/>
              </w:rPr>
            </w:pPr>
            <w:r>
              <w:rPr>
                <w:rFonts w:hint="eastAsia"/>
                <w:color w:val="auto"/>
                <w:sz w:val="24"/>
                <w:szCs w:val="24"/>
                <w:highlight w:val="none"/>
              </w:rPr>
              <w:t>每日填写监控日志，每周编写监控周报，每月编写监控月报；</w:t>
            </w:r>
          </w:p>
        </w:tc>
      </w:tr>
      <w:tr w14:paraId="1FB5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3C87F0B1">
            <w:pPr>
              <w:jc w:val="center"/>
              <w:rPr>
                <w:color w:val="auto"/>
                <w:sz w:val="24"/>
                <w:szCs w:val="24"/>
                <w:highlight w:val="none"/>
              </w:rPr>
            </w:pPr>
            <w:r>
              <w:rPr>
                <w:rFonts w:hint="eastAsia"/>
                <w:color w:val="auto"/>
                <w:sz w:val="24"/>
                <w:szCs w:val="24"/>
                <w:highlight w:val="none"/>
              </w:rPr>
              <w:t>11</w:t>
            </w:r>
          </w:p>
        </w:tc>
        <w:tc>
          <w:tcPr>
            <w:tcW w:w="7692" w:type="dxa"/>
            <w:noWrap w:val="0"/>
            <w:vAlign w:val="center"/>
          </w:tcPr>
          <w:p w14:paraId="3D8090D2">
            <w:pPr>
              <w:rPr>
                <w:rFonts w:hint="eastAsia"/>
                <w:color w:val="auto"/>
                <w:sz w:val="24"/>
                <w:szCs w:val="24"/>
                <w:highlight w:val="none"/>
              </w:rPr>
            </w:pPr>
            <w:r>
              <w:rPr>
                <w:rFonts w:hint="eastAsia"/>
                <w:color w:val="auto"/>
                <w:sz w:val="24"/>
                <w:szCs w:val="24"/>
                <w:highlight w:val="none"/>
              </w:rPr>
              <w:t>提醒进入稳定期监测和协助地保结案，收到地保办同意停止地铁监测的复函后，编写监控总结。</w:t>
            </w:r>
          </w:p>
        </w:tc>
      </w:tr>
    </w:tbl>
    <w:p w14:paraId="10BEAC1A">
      <w:pPr>
        <w:pStyle w:val="3"/>
        <w:spacing w:before="156" w:after="156"/>
        <w:ind w:firstLine="578" w:firstLineChars="200"/>
        <w:rPr>
          <w:rFonts w:hint="eastAsia"/>
          <w:color w:val="auto"/>
          <w:sz w:val="28"/>
          <w:szCs w:val="28"/>
        </w:rPr>
      </w:pPr>
      <w:bookmarkStart w:id="464" w:name="_Toc5470"/>
      <w:bookmarkStart w:id="465" w:name="_Toc1672"/>
      <w:r>
        <w:rPr>
          <w:rFonts w:hint="eastAsia"/>
          <w:color w:val="auto"/>
          <w:sz w:val="28"/>
          <w:szCs w:val="28"/>
        </w:rPr>
        <w:t>（二）施工配合</w:t>
      </w:r>
    </w:p>
    <w:tbl>
      <w:tblPr>
        <w:tblStyle w:val="25"/>
        <w:tblW w:w="87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92"/>
      </w:tblGrid>
      <w:tr w14:paraId="3173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72C656B5">
            <w:pPr>
              <w:rPr>
                <w:rFonts w:hint="eastAsia"/>
                <w:color w:val="auto"/>
                <w:sz w:val="24"/>
                <w:szCs w:val="24"/>
                <w:highlight w:val="none"/>
              </w:rPr>
            </w:pPr>
            <w:r>
              <w:rPr>
                <w:color w:val="auto"/>
                <w:sz w:val="24"/>
                <w:szCs w:val="24"/>
                <w:highlight w:val="none"/>
              </w:rPr>
              <w:t>序号</w:t>
            </w:r>
          </w:p>
        </w:tc>
        <w:tc>
          <w:tcPr>
            <w:tcW w:w="7692" w:type="dxa"/>
            <w:noWrap w:val="0"/>
            <w:vAlign w:val="center"/>
          </w:tcPr>
          <w:p w14:paraId="28C5C94F">
            <w:pPr>
              <w:ind w:firstLine="0"/>
              <w:rPr>
                <w:rFonts w:hint="eastAsia"/>
                <w:color w:val="auto"/>
                <w:sz w:val="24"/>
                <w:szCs w:val="24"/>
                <w:highlight w:val="none"/>
              </w:rPr>
            </w:pPr>
            <w:r>
              <w:rPr>
                <w:color w:val="auto"/>
                <w:sz w:val="24"/>
                <w:szCs w:val="24"/>
                <w:highlight w:val="none"/>
              </w:rPr>
              <w:t>工作内容</w:t>
            </w:r>
          </w:p>
        </w:tc>
      </w:tr>
      <w:tr w14:paraId="466C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080" w:type="dxa"/>
            <w:noWrap w:val="0"/>
            <w:vAlign w:val="center"/>
          </w:tcPr>
          <w:p w14:paraId="1715678B">
            <w:pPr>
              <w:jc w:val="center"/>
              <w:rPr>
                <w:rFonts w:hint="eastAsia"/>
                <w:color w:val="auto"/>
                <w:sz w:val="24"/>
                <w:szCs w:val="24"/>
                <w:highlight w:val="none"/>
              </w:rPr>
            </w:pPr>
            <w:r>
              <w:rPr>
                <w:color w:val="auto"/>
                <w:sz w:val="24"/>
                <w:szCs w:val="24"/>
                <w:highlight w:val="none"/>
              </w:rPr>
              <w:t>1</w:t>
            </w:r>
          </w:p>
        </w:tc>
        <w:tc>
          <w:tcPr>
            <w:tcW w:w="7692" w:type="dxa"/>
            <w:noWrap w:val="0"/>
            <w:vAlign w:val="center"/>
          </w:tcPr>
          <w:p w14:paraId="150739F9">
            <w:pPr>
              <w:rPr>
                <w:rFonts w:hint="eastAsia"/>
                <w:color w:val="auto"/>
                <w:sz w:val="24"/>
                <w:szCs w:val="24"/>
                <w:highlight w:val="none"/>
              </w:rPr>
            </w:pPr>
            <w:r>
              <w:rPr>
                <w:rFonts w:hint="eastAsia"/>
                <w:color w:val="auto"/>
                <w:sz w:val="24"/>
                <w:szCs w:val="24"/>
                <w:highlight w:val="none"/>
              </w:rPr>
              <w:t>运营场所内施工许可办理（监测单位整理好报审资料，报送运营总部，运营总部进行审批，审批结束后，通知监测单位签订安全协议，并办理施工许可单）</w:t>
            </w:r>
            <w:r>
              <w:rPr>
                <w:color w:val="auto"/>
                <w:sz w:val="24"/>
                <w:szCs w:val="24"/>
                <w:highlight w:val="none"/>
              </w:rPr>
              <w:t>；</w:t>
            </w:r>
          </w:p>
        </w:tc>
      </w:tr>
      <w:tr w14:paraId="7199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38A99498">
            <w:pPr>
              <w:jc w:val="center"/>
              <w:rPr>
                <w:rFonts w:hint="eastAsia"/>
                <w:color w:val="auto"/>
                <w:sz w:val="24"/>
                <w:szCs w:val="24"/>
                <w:highlight w:val="none"/>
              </w:rPr>
            </w:pPr>
            <w:r>
              <w:rPr>
                <w:color w:val="auto"/>
                <w:sz w:val="24"/>
                <w:szCs w:val="24"/>
                <w:highlight w:val="none"/>
              </w:rPr>
              <w:t>2</w:t>
            </w:r>
          </w:p>
        </w:tc>
        <w:tc>
          <w:tcPr>
            <w:tcW w:w="7692" w:type="dxa"/>
            <w:noWrap w:val="0"/>
            <w:vAlign w:val="center"/>
          </w:tcPr>
          <w:p w14:paraId="00D5B712">
            <w:pPr>
              <w:rPr>
                <w:rFonts w:hint="eastAsia"/>
                <w:color w:val="auto"/>
                <w:sz w:val="24"/>
                <w:szCs w:val="24"/>
                <w:highlight w:val="none"/>
              </w:rPr>
            </w:pPr>
            <w:r>
              <w:rPr>
                <w:rFonts w:hint="eastAsia"/>
                <w:color w:val="auto"/>
                <w:sz w:val="24"/>
                <w:szCs w:val="24"/>
                <w:highlight w:val="none"/>
              </w:rPr>
              <w:t>作业点办理（监测单位提交请点申请，运营部门根据行车计划进行相关作业令审批）</w:t>
            </w:r>
            <w:r>
              <w:rPr>
                <w:color w:val="auto"/>
                <w:sz w:val="24"/>
                <w:szCs w:val="24"/>
                <w:highlight w:val="none"/>
              </w:rPr>
              <w:t>；</w:t>
            </w:r>
          </w:p>
        </w:tc>
      </w:tr>
      <w:tr w14:paraId="1C50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216A055F">
            <w:pPr>
              <w:jc w:val="center"/>
              <w:rPr>
                <w:rFonts w:hint="eastAsia"/>
                <w:color w:val="auto"/>
                <w:sz w:val="24"/>
                <w:szCs w:val="24"/>
                <w:highlight w:val="none"/>
              </w:rPr>
            </w:pPr>
            <w:r>
              <w:rPr>
                <w:color w:val="auto"/>
                <w:sz w:val="24"/>
                <w:szCs w:val="24"/>
                <w:highlight w:val="none"/>
              </w:rPr>
              <w:t>3</w:t>
            </w:r>
          </w:p>
        </w:tc>
        <w:tc>
          <w:tcPr>
            <w:tcW w:w="7692" w:type="dxa"/>
            <w:noWrap w:val="0"/>
            <w:vAlign w:val="center"/>
          </w:tcPr>
          <w:p w14:paraId="2A5C2E3E">
            <w:pPr>
              <w:rPr>
                <w:rFonts w:hint="eastAsia"/>
                <w:color w:val="auto"/>
                <w:sz w:val="24"/>
                <w:szCs w:val="24"/>
                <w:highlight w:val="none"/>
              </w:rPr>
            </w:pPr>
            <w:r>
              <w:rPr>
                <w:rFonts w:hint="eastAsia"/>
                <w:color w:val="auto"/>
                <w:sz w:val="24"/>
                <w:szCs w:val="24"/>
                <w:highlight w:val="none"/>
              </w:rPr>
              <w:t>接挂地线配合（运营部门安排专人配合监测设备安装，负责相关安全监督、出清等工作）；</w:t>
            </w:r>
          </w:p>
        </w:tc>
      </w:tr>
      <w:tr w14:paraId="39D5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16A63E78">
            <w:pPr>
              <w:jc w:val="center"/>
              <w:rPr>
                <w:rFonts w:hint="eastAsia"/>
                <w:color w:val="auto"/>
                <w:sz w:val="24"/>
                <w:szCs w:val="24"/>
                <w:highlight w:val="none"/>
              </w:rPr>
            </w:pPr>
            <w:r>
              <w:rPr>
                <w:color w:val="auto"/>
                <w:sz w:val="24"/>
                <w:szCs w:val="24"/>
                <w:highlight w:val="none"/>
              </w:rPr>
              <w:t>4</w:t>
            </w:r>
          </w:p>
        </w:tc>
        <w:tc>
          <w:tcPr>
            <w:tcW w:w="7692" w:type="dxa"/>
            <w:noWrap w:val="0"/>
            <w:vAlign w:val="center"/>
          </w:tcPr>
          <w:p w14:paraId="43658D8B">
            <w:pPr>
              <w:rPr>
                <w:rFonts w:hint="eastAsia"/>
                <w:color w:val="auto"/>
                <w:sz w:val="24"/>
                <w:szCs w:val="24"/>
                <w:highlight w:val="none"/>
              </w:rPr>
            </w:pPr>
            <w:r>
              <w:rPr>
                <w:rFonts w:hint="eastAsia"/>
                <w:color w:val="auto"/>
                <w:sz w:val="24"/>
                <w:szCs w:val="24"/>
                <w:highlight w:val="none"/>
              </w:rPr>
              <w:t>结构设施状态调查（涉及工前普查、工后普查阶段、三维激光扫描配合等）；</w:t>
            </w:r>
          </w:p>
        </w:tc>
      </w:tr>
      <w:tr w14:paraId="0879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44D8267C">
            <w:pPr>
              <w:jc w:val="center"/>
              <w:rPr>
                <w:rFonts w:hint="eastAsia"/>
                <w:color w:val="auto"/>
                <w:sz w:val="24"/>
                <w:szCs w:val="24"/>
                <w:highlight w:val="none"/>
              </w:rPr>
            </w:pPr>
            <w:r>
              <w:rPr>
                <w:color w:val="auto"/>
                <w:sz w:val="24"/>
                <w:szCs w:val="24"/>
                <w:highlight w:val="none"/>
              </w:rPr>
              <w:t>5</w:t>
            </w:r>
          </w:p>
        </w:tc>
        <w:tc>
          <w:tcPr>
            <w:tcW w:w="7692" w:type="dxa"/>
            <w:noWrap w:val="0"/>
            <w:vAlign w:val="center"/>
          </w:tcPr>
          <w:p w14:paraId="3DC68B4A">
            <w:pPr>
              <w:rPr>
                <w:rFonts w:hint="eastAsia"/>
                <w:color w:val="auto"/>
                <w:sz w:val="24"/>
                <w:szCs w:val="24"/>
                <w:highlight w:val="none"/>
              </w:rPr>
            </w:pPr>
            <w:r>
              <w:rPr>
                <w:rFonts w:hint="eastAsia"/>
                <w:color w:val="auto"/>
                <w:sz w:val="24"/>
                <w:szCs w:val="24"/>
                <w:highlight w:val="none"/>
              </w:rPr>
              <w:t>轨道交通保护监测点安拆配合（涉及工前普查、工后普查阶段、三维激光扫描配合等）；</w:t>
            </w:r>
          </w:p>
        </w:tc>
      </w:tr>
      <w:tr w14:paraId="0B50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3EEACF6C">
            <w:pPr>
              <w:jc w:val="center"/>
              <w:rPr>
                <w:rFonts w:hint="eastAsia"/>
                <w:color w:val="auto"/>
                <w:sz w:val="24"/>
                <w:szCs w:val="24"/>
                <w:highlight w:val="none"/>
              </w:rPr>
            </w:pPr>
            <w:r>
              <w:rPr>
                <w:color w:val="auto"/>
                <w:sz w:val="24"/>
                <w:szCs w:val="24"/>
                <w:highlight w:val="none"/>
              </w:rPr>
              <w:t>6</w:t>
            </w:r>
          </w:p>
        </w:tc>
        <w:tc>
          <w:tcPr>
            <w:tcW w:w="7692" w:type="dxa"/>
            <w:noWrap w:val="0"/>
            <w:vAlign w:val="center"/>
          </w:tcPr>
          <w:p w14:paraId="13C18AEA">
            <w:pPr>
              <w:rPr>
                <w:rFonts w:hint="eastAsia"/>
                <w:color w:val="auto"/>
                <w:sz w:val="24"/>
                <w:szCs w:val="24"/>
                <w:highlight w:val="none"/>
              </w:rPr>
            </w:pPr>
            <w:r>
              <w:rPr>
                <w:rFonts w:hint="eastAsia"/>
                <w:color w:val="auto"/>
                <w:sz w:val="24"/>
                <w:szCs w:val="24"/>
                <w:highlight w:val="none"/>
              </w:rPr>
              <w:t>监测设备布设附着修复（结构/道床表面安装设备开孔缺陷修复）</w:t>
            </w:r>
            <w:r>
              <w:rPr>
                <w:color w:val="auto"/>
                <w:sz w:val="24"/>
                <w:szCs w:val="24"/>
                <w:highlight w:val="none"/>
              </w:rPr>
              <w:t>；</w:t>
            </w:r>
          </w:p>
        </w:tc>
      </w:tr>
      <w:tr w14:paraId="6FBD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5332F06C">
            <w:pPr>
              <w:jc w:val="center"/>
              <w:rPr>
                <w:rFonts w:hint="eastAsia"/>
                <w:color w:val="auto"/>
                <w:sz w:val="24"/>
                <w:szCs w:val="24"/>
                <w:highlight w:val="none"/>
              </w:rPr>
            </w:pPr>
            <w:r>
              <w:rPr>
                <w:color w:val="auto"/>
                <w:sz w:val="24"/>
                <w:szCs w:val="24"/>
                <w:highlight w:val="none"/>
              </w:rPr>
              <w:t>7</w:t>
            </w:r>
          </w:p>
        </w:tc>
        <w:tc>
          <w:tcPr>
            <w:tcW w:w="7692" w:type="dxa"/>
            <w:noWrap w:val="0"/>
            <w:vAlign w:val="center"/>
          </w:tcPr>
          <w:p w14:paraId="4C7CE303">
            <w:pPr>
              <w:rPr>
                <w:rFonts w:hint="eastAsia"/>
                <w:color w:val="auto"/>
                <w:sz w:val="24"/>
                <w:szCs w:val="24"/>
                <w:highlight w:val="none"/>
              </w:rPr>
            </w:pPr>
            <w:r>
              <w:rPr>
                <w:rFonts w:hint="eastAsia"/>
                <w:color w:val="auto"/>
                <w:sz w:val="24"/>
                <w:szCs w:val="24"/>
                <w:highlight w:val="none"/>
              </w:rPr>
              <w:t>监测设备定期检查配合（安排专人配合监测单位每月至少开展一次监测设备检查和人工复核）；</w:t>
            </w:r>
          </w:p>
        </w:tc>
      </w:tr>
      <w:tr w14:paraId="0630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523DF021">
            <w:pPr>
              <w:jc w:val="center"/>
              <w:rPr>
                <w:rFonts w:hint="eastAsia"/>
                <w:color w:val="auto"/>
                <w:sz w:val="24"/>
                <w:szCs w:val="24"/>
                <w:highlight w:val="none"/>
              </w:rPr>
            </w:pPr>
            <w:r>
              <w:rPr>
                <w:color w:val="auto"/>
                <w:sz w:val="24"/>
                <w:szCs w:val="24"/>
                <w:highlight w:val="none"/>
              </w:rPr>
              <w:t>8</w:t>
            </w:r>
          </w:p>
        </w:tc>
        <w:tc>
          <w:tcPr>
            <w:tcW w:w="7692" w:type="dxa"/>
            <w:noWrap w:val="0"/>
            <w:vAlign w:val="center"/>
          </w:tcPr>
          <w:p w14:paraId="3B89F03E">
            <w:pPr>
              <w:rPr>
                <w:rFonts w:hint="eastAsia"/>
                <w:color w:val="auto"/>
                <w:sz w:val="24"/>
                <w:szCs w:val="24"/>
                <w:highlight w:val="none"/>
              </w:rPr>
            </w:pPr>
            <w:r>
              <w:rPr>
                <w:rFonts w:hint="eastAsia"/>
                <w:color w:val="auto"/>
                <w:sz w:val="24"/>
                <w:szCs w:val="24"/>
                <w:highlight w:val="none"/>
              </w:rPr>
              <w:t>轨道交通设备设施安全检查（安排专人配合监测单位每月至少开展一次监测设备检查和人工复核）</w:t>
            </w:r>
            <w:r>
              <w:rPr>
                <w:color w:val="auto"/>
                <w:sz w:val="24"/>
                <w:szCs w:val="24"/>
                <w:highlight w:val="none"/>
              </w:rPr>
              <w:t>；</w:t>
            </w:r>
          </w:p>
        </w:tc>
      </w:tr>
      <w:tr w14:paraId="45E8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15B93CD0">
            <w:pPr>
              <w:jc w:val="center"/>
              <w:rPr>
                <w:rFonts w:hint="eastAsia"/>
                <w:color w:val="auto"/>
                <w:sz w:val="24"/>
                <w:szCs w:val="24"/>
                <w:highlight w:val="none"/>
              </w:rPr>
            </w:pPr>
            <w:r>
              <w:rPr>
                <w:color w:val="auto"/>
                <w:sz w:val="24"/>
                <w:szCs w:val="24"/>
                <w:highlight w:val="none"/>
              </w:rPr>
              <w:t>9</w:t>
            </w:r>
          </w:p>
        </w:tc>
        <w:tc>
          <w:tcPr>
            <w:tcW w:w="7692" w:type="dxa"/>
            <w:noWrap w:val="0"/>
            <w:vAlign w:val="center"/>
          </w:tcPr>
          <w:p w14:paraId="25308AA3">
            <w:pPr>
              <w:rPr>
                <w:rFonts w:hint="eastAsia"/>
                <w:color w:val="auto"/>
                <w:sz w:val="24"/>
                <w:szCs w:val="24"/>
                <w:highlight w:val="none"/>
              </w:rPr>
            </w:pPr>
            <w:r>
              <w:rPr>
                <w:rFonts w:hint="eastAsia"/>
                <w:color w:val="auto"/>
                <w:sz w:val="24"/>
                <w:szCs w:val="24"/>
                <w:highlight w:val="none"/>
              </w:rPr>
              <w:t>预防性措施施工配合（含应急预案编制及各层级审批）；</w:t>
            </w:r>
          </w:p>
        </w:tc>
      </w:tr>
      <w:tr w14:paraId="4018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4F563939">
            <w:pPr>
              <w:jc w:val="center"/>
              <w:rPr>
                <w:rFonts w:hint="eastAsia"/>
                <w:color w:val="auto"/>
                <w:sz w:val="24"/>
                <w:szCs w:val="24"/>
                <w:highlight w:val="none"/>
              </w:rPr>
            </w:pPr>
            <w:r>
              <w:rPr>
                <w:color w:val="auto"/>
                <w:sz w:val="24"/>
                <w:szCs w:val="24"/>
                <w:highlight w:val="none"/>
              </w:rPr>
              <w:t>10</w:t>
            </w:r>
          </w:p>
        </w:tc>
        <w:tc>
          <w:tcPr>
            <w:tcW w:w="7692" w:type="dxa"/>
            <w:noWrap w:val="0"/>
            <w:vAlign w:val="center"/>
          </w:tcPr>
          <w:p w14:paraId="1E722F7A">
            <w:pPr>
              <w:rPr>
                <w:rFonts w:hint="eastAsia"/>
                <w:color w:val="auto"/>
                <w:sz w:val="24"/>
                <w:szCs w:val="24"/>
                <w:highlight w:val="none"/>
              </w:rPr>
            </w:pPr>
            <w:r>
              <w:rPr>
                <w:rFonts w:hint="eastAsia"/>
                <w:color w:val="auto"/>
                <w:sz w:val="24"/>
                <w:szCs w:val="24"/>
                <w:highlight w:val="none"/>
              </w:rPr>
              <w:t>运营保障值班（安排人员进行运营保障值班）；</w:t>
            </w:r>
          </w:p>
        </w:tc>
      </w:tr>
      <w:tr w14:paraId="2FE1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2A243926">
            <w:pPr>
              <w:jc w:val="center"/>
              <w:rPr>
                <w:rFonts w:hint="eastAsia"/>
                <w:color w:val="auto"/>
                <w:sz w:val="24"/>
                <w:szCs w:val="24"/>
                <w:highlight w:val="none"/>
              </w:rPr>
            </w:pPr>
            <w:r>
              <w:rPr>
                <w:rFonts w:hint="eastAsia"/>
                <w:color w:val="auto"/>
                <w:sz w:val="24"/>
                <w:szCs w:val="24"/>
                <w:highlight w:val="none"/>
              </w:rPr>
              <w:t>11</w:t>
            </w:r>
          </w:p>
        </w:tc>
        <w:tc>
          <w:tcPr>
            <w:tcW w:w="7692" w:type="dxa"/>
            <w:noWrap w:val="0"/>
            <w:vAlign w:val="center"/>
          </w:tcPr>
          <w:p w14:paraId="59F800C3">
            <w:pPr>
              <w:rPr>
                <w:rFonts w:hint="eastAsia"/>
                <w:color w:val="auto"/>
                <w:sz w:val="24"/>
                <w:szCs w:val="24"/>
                <w:highlight w:val="none"/>
              </w:rPr>
            </w:pPr>
            <w:r>
              <w:rPr>
                <w:rFonts w:hint="eastAsia"/>
                <w:color w:val="auto"/>
                <w:sz w:val="24"/>
                <w:szCs w:val="24"/>
                <w:highlight w:val="none"/>
              </w:rPr>
              <w:t>运营应急管理（安排人员进行运营应急管理）；</w:t>
            </w:r>
          </w:p>
        </w:tc>
      </w:tr>
      <w:tr w14:paraId="5CC3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noWrap w:val="0"/>
            <w:vAlign w:val="center"/>
          </w:tcPr>
          <w:p w14:paraId="1E0A781E">
            <w:pPr>
              <w:jc w:val="center"/>
              <w:rPr>
                <w:rFonts w:hint="eastAsia"/>
                <w:color w:val="auto"/>
                <w:sz w:val="24"/>
                <w:szCs w:val="24"/>
                <w:highlight w:val="none"/>
              </w:rPr>
            </w:pPr>
            <w:r>
              <w:rPr>
                <w:rFonts w:hint="eastAsia"/>
                <w:color w:val="auto"/>
                <w:sz w:val="24"/>
                <w:szCs w:val="24"/>
                <w:highlight w:val="none"/>
              </w:rPr>
              <w:t>12</w:t>
            </w:r>
          </w:p>
        </w:tc>
        <w:tc>
          <w:tcPr>
            <w:tcW w:w="7692" w:type="dxa"/>
            <w:noWrap w:val="0"/>
            <w:vAlign w:val="center"/>
          </w:tcPr>
          <w:p w14:paraId="0687A544">
            <w:pPr>
              <w:rPr>
                <w:rFonts w:hint="eastAsia"/>
                <w:color w:val="auto"/>
                <w:sz w:val="24"/>
                <w:szCs w:val="24"/>
                <w:highlight w:val="none"/>
              </w:rPr>
            </w:pPr>
            <w:r>
              <w:rPr>
                <w:rFonts w:hint="eastAsia"/>
                <w:color w:val="auto"/>
                <w:sz w:val="24"/>
                <w:szCs w:val="24"/>
                <w:highlight w:val="none"/>
              </w:rPr>
              <w:t>项目风险管理（施工前：开工前地保风险交底，地保警示标识设置复核等工作。施工中：实施阶段运营结构日常监测数据复核。施工后：施工完成情况检查确认）。</w:t>
            </w:r>
          </w:p>
        </w:tc>
      </w:tr>
    </w:tbl>
    <w:p w14:paraId="7FAD89A4">
      <w:pPr>
        <w:pStyle w:val="3"/>
        <w:spacing w:before="156" w:after="156"/>
        <w:ind w:firstLine="578" w:firstLineChars="200"/>
        <w:rPr>
          <w:rFonts w:hint="eastAsia" w:ascii="黑体" w:hAnsi="黑体" w:eastAsia="黑体" w:cs="黑体"/>
          <w:color w:val="auto"/>
          <w:sz w:val="28"/>
          <w:szCs w:val="28"/>
        </w:rPr>
      </w:pPr>
      <w:r>
        <w:rPr>
          <w:rFonts w:hint="eastAsia" w:ascii="黑体" w:hAnsi="黑体" w:eastAsia="黑体" w:cs="黑体"/>
          <w:color w:val="auto"/>
          <w:sz w:val="28"/>
          <w:szCs w:val="28"/>
        </w:rPr>
        <w:t>三、费用构成</w:t>
      </w:r>
      <w:bookmarkEnd w:id="464"/>
      <w:bookmarkEnd w:id="465"/>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884"/>
        <w:gridCol w:w="1440"/>
        <w:gridCol w:w="1284"/>
        <w:gridCol w:w="3192"/>
      </w:tblGrid>
      <w:tr w14:paraId="1A83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noWrap w:val="0"/>
            <w:vAlign w:val="center"/>
          </w:tcPr>
          <w:p w14:paraId="790C9DF8">
            <w:pPr>
              <w:jc w:val="center"/>
              <w:rPr>
                <w:color w:val="auto"/>
                <w:sz w:val="24"/>
                <w:szCs w:val="24"/>
                <w:highlight w:val="none"/>
              </w:rPr>
            </w:pPr>
            <w:r>
              <w:rPr>
                <w:rFonts w:hint="eastAsia"/>
                <w:color w:val="auto"/>
                <w:sz w:val="24"/>
                <w:szCs w:val="24"/>
                <w:highlight w:val="none"/>
              </w:rPr>
              <w:t>序号</w:t>
            </w:r>
          </w:p>
        </w:tc>
        <w:tc>
          <w:tcPr>
            <w:tcW w:w="1884" w:type="dxa"/>
            <w:noWrap w:val="0"/>
            <w:vAlign w:val="center"/>
          </w:tcPr>
          <w:p w14:paraId="5BF995CB">
            <w:pPr>
              <w:jc w:val="center"/>
              <w:rPr>
                <w:color w:val="auto"/>
                <w:sz w:val="24"/>
                <w:szCs w:val="24"/>
                <w:highlight w:val="none"/>
              </w:rPr>
            </w:pPr>
            <w:r>
              <w:rPr>
                <w:rFonts w:hint="eastAsia"/>
                <w:color w:val="auto"/>
                <w:sz w:val="24"/>
                <w:szCs w:val="24"/>
                <w:highlight w:val="none"/>
              </w:rPr>
              <w:t>项目</w:t>
            </w:r>
          </w:p>
        </w:tc>
        <w:tc>
          <w:tcPr>
            <w:tcW w:w="1440" w:type="dxa"/>
            <w:noWrap w:val="0"/>
            <w:vAlign w:val="center"/>
          </w:tcPr>
          <w:p w14:paraId="6C40D792">
            <w:pPr>
              <w:jc w:val="center"/>
              <w:rPr>
                <w:rFonts w:hint="eastAsia"/>
                <w:color w:val="auto"/>
                <w:sz w:val="24"/>
                <w:szCs w:val="24"/>
                <w:highlight w:val="none"/>
              </w:rPr>
            </w:pPr>
            <w:r>
              <w:rPr>
                <w:rFonts w:hint="eastAsia"/>
                <w:color w:val="auto"/>
                <w:sz w:val="24"/>
                <w:szCs w:val="24"/>
                <w:highlight w:val="none"/>
              </w:rPr>
              <w:t>服务期限</w:t>
            </w:r>
          </w:p>
          <w:p w14:paraId="605031AB">
            <w:pPr>
              <w:jc w:val="center"/>
              <w:rPr>
                <w:color w:val="auto"/>
                <w:sz w:val="24"/>
                <w:szCs w:val="24"/>
                <w:highlight w:val="none"/>
              </w:rPr>
            </w:pPr>
            <w:r>
              <w:rPr>
                <w:rFonts w:hint="eastAsia"/>
                <w:color w:val="auto"/>
                <w:sz w:val="24"/>
                <w:szCs w:val="24"/>
                <w:highlight w:val="none"/>
              </w:rPr>
              <w:t>（人/月）</w:t>
            </w:r>
          </w:p>
        </w:tc>
        <w:tc>
          <w:tcPr>
            <w:tcW w:w="1284" w:type="dxa"/>
            <w:noWrap w:val="0"/>
            <w:vAlign w:val="center"/>
          </w:tcPr>
          <w:p w14:paraId="5F48FB84">
            <w:pPr>
              <w:jc w:val="center"/>
              <w:rPr>
                <w:rFonts w:hint="eastAsia"/>
                <w:color w:val="auto"/>
                <w:sz w:val="24"/>
                <w:szCs w:val="24"/>
                <w:highlight w:val="none"/>
              </w:rPr>
            </w:pPr>
            <w:r>
              <w:rPr>
                <w:rFonts w:hint="eastAsia"/>
                <w:color w:val="auto"/>
                <w:sz w:val="24"/>
                <w:szCs w:val="24"/>
                <w:highlight w:val="none"/>
              </w:rPr>
              <w:t>费率</w:t>
            </w:r>
          </w:p>
          <w:p w14:paraId="2EB8FE60">
            <w:pPr>
              <w:jc w:val="center"/>
              <w:rPr>
                <w:color w:val="auto"/>
                <w:sz w:val="24"/>
                <w:szCs w:val="24"/>
                <w:highlight w:val="none"/>
              </w:rPr>
            </w:pPr>
            <w:r>
              <w:rPr>
                <w:rFonts w:hint="eastAsia"/>
                <w:color w:val="auto"/>
                <w:sz w:val="24"/>
                <w:szCs w:val="24"/>
                <w:highlight w:val="none"/>
              </w:rPr>
              <w:t>（元/月）</w:t>
            </w:r>
          </w:p>
        </w:tc>
        <w:tc>
          <w:tcPr>
            <w:tcW w:w="3192" w:type="dxa"/>
            <w:noWrap w:val="0"/>
            <w:vAlign w:val="center"/>
          </w:tcPr>
          <w:p w14:paraId="17871E8B">
            <w:pPr>
              <w:jc w:val="center"/>
              <w:rPr>
                <w:color w:val="auto"/>
                <w:sz w:val="24"/>
                <w:szCs w:val="24"/>
                <w:highlight w:val="none"/>
              </w:rPr>
            </w:pPr>
            <w:r>
              <w:rPr>
                <w:rFonts w:hint="eastAsia"/>
                <w:color w:val="auto"/>
                <w:sz w:val="24"/>
                <w:szCs w:val="24"/>
                <w:highlight w:val="none"/>
              </w:rPr>
              <w:t>备注</w:t>
            </w:r>
          </w:p>
        </w:tc>
      </w:tr>
      <w:tr w14:paraId="2ACB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noWrap w:val="0"/>
            <w:vAlign w:val="center"/>
          </w:tcPr>
          <w:p w14:paraId="417C4F62">
            <w:pPr>
              <w:jc w:val="center"/>
              <w:rPr>
                <w:color w:val="auto"/>
                <w:sz w:val="24"/>
                <w:szCs w:val="24"/>
                <w:highlight w:val="none"/>
              </w:rPr>
            </w:pPr>
            <w:r>
              <w:rPr>
                <w:rFonts w:hint="eastAsia"/>
                <w:color w:val="auto"/>
                <w:sz w:val="24"/>
                <w:szCs w:val="24"/>
                <w:highlight w:val="none"/>
              </w:rPr>
              <w:t>1</w:t>
            </w:r>
          </w:p>
        </w:tc>
        <w:tc>
          <w:tcPr>
            <w:tcW w:w="1884" w:type="dxa"/>
            <w:noWrap w:val="0"/>
            <w:vAlign w:val="center"/>
          </w:tcPr>
          <w:p w14:paraId="3B8AE693">
            <w:pPr>
              <w:jc w:val="center"/>
              <w:rPr>
                <w:color w:val="auto"/>
                <w:sz w:val="24"/>
                <w:szCs w:val="24"/>
                <w:highlight w:val="none"/>
              </w:rPr>
            </w:pPr>
            <w:r>
              <w:rPr>
                <w:color w:val="auto"/>
                <w:sz w:val="24"/>
                <w:szCs w:val="24"/>
                <w:highlight w:val="none"/>
              </w:rPr>
              <w:t>高级职称专业工程师(1人)</w:t>
            </w:r>
          </w:p>
        </w:tc>
        <w:tc>
          <w:tcPr>
            <w:tcW w:w="1440" w:type="dxa"/>
            <w:noWrap w:val="0"/>
            <w:vAlign w:val="center"/>
          </w:tcPr>
          <w:p w14:paraId="499B0416">
            <w:pPr>
              <w:jc w:val="center"/>
              <w:rPr>
                <w:color w:val="auto"/>
                <w:sz w:val="24"/>
                <w:szCs w:val="24"/>
                <w:highlight w:val="none"/>
              </w:rPr>
            </w:pPr>
            <w:r>
              <w:rPr>
                <w:rFonts w:hint="eastAsia"/>
                <w:color w:val="auto"/>
                <w:sz w:val="24"/>
                <w:szCs w:val="24"/>
                <w:highlight w:val="none"/>
              </w:rPr>
              <w:t>16</w:t>
            </w:r>
          </w:p>
        </w:tc>
        <w:tc>
          <w:tcPr>
            <w:tcW w:w="1284" w:type="dxa"/>
            <w:noWrap w:val="0"/>
            <w:vAlign w:val="center"/>
          </w:tcPr>
          <w:p w14:paraId="222C1FC2">
            <w:pPr>
              <w:jc w:val="center"/>
              <w:rPr>
                <w:color w:val="auto"/>
                <w:sz w:val="24"/>
                <w:szCs w:val="24"/>
                <w:highlight w:val="none"/>
              </w:rPr>
            </w:pPr>
            <w:r>
              <w:rPr>
                <w:rFonts w:hint="eastAsia"/>
                <w:color w:val="auto"/>
                <w:sz w:val="24"/>
                <w:szCs w:val="24"/>
                <w:highlight w:val="none"/>
              </w:rPr>
              <w:t>/</w:t>
            </w:r>
          </w:p>
        </w:tc>
        <w:tc>
          <w:tcPr>
            <w:tcW w:w="3192" w:type="dxa"/>
            <w:vMerge w:val="restart"/>
            <w:noWrap w:val="0"/>
            <w:vAlign w:val="center"/>
          </w:tcPr>
          <w:p w14:paraId="5658BE18">
            <w:pPr>
              <w:jc w:val="center"/>
              <w:rPr>
                <w:color w:val="auto"/>
                <w:sz w:val="24"/>
                <w:szCs w:val="24"/>
                <w:highlight w:val="none"/>
              </w:rPr>
            </w:pPr>
            <w:r>
              <w:rPr>
                <w:color w:val="auto"/>
                <w:sz w:val="22"/>
                <w:highlight w:val="none"/>
              </w:rPr>
              <w:t>按《建设工程监理与相关服务收费标准(发改价格【2007】670号)</w:t>
            </w:r>
            <w:r>
              <w:rPr>
                <w:rFonts w:hint="eastAsia"/>
                <w:color w:val="auto"/>
                <w:sz w:val="22"/>
                <w:highlight w:val="none"/>
                <w:lang w:val="en-US" w:eastAsia="zh-CN"/>
              </w:rPr>
              <w:t>收费标准计算和</w:t>
            </w:r>
            <w:r>
              <w:rPr>
                <w:rFonts w:hint="eastAsia"/>
                <w:color w:val="auto"/>
                <w:sz w:val="22"/>
                <w:highlight w:val="none"/>
              </w:rPr>
              <w:t>16个月工期计算</w:t>
            </w:r>
            <w:r>
              <w:rPr>
                <w:color w:val="auto"/>
                <w:sz w:val="22"/>
                <w:highlight w:val="none"/>
              </w:rPr>
              <w:t>。</w:t>
            </w:r>
          </w:p>
        </w:tc>
      </w:tr>
      <w:tr w14:paraId="753A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noWrap w:val="0"/>
            <w:vAlign w:val="center"/>
          </w:tcPr>
          <w:p w14:paraId="2EB384E1">
            <w:pPr>
              <w:jc w:val="center"/>
              <w:rPr>
                <w:color w:val="auto"/>
                <w:sz w:val="24"/>
                <w:szCs w:val="24"/>
                <w:highlight w:val="none"/>
              </w:rPr>
            </w:pPr>
            <w:r>
              <w:rPr>
                <w:rFonts w:hint="eastAsia"/>
                <w:color w:val="auto"/>
                <w:sz w:val="24"/>
                <w:szCs w:val="24"/>
                <w:highlight w:val="none"/>
              </w:rPr>
              <w:t>2</w:t>
            </w:r>
          </w:p>
        </w:tc>
        <w:tc>
          <w:tcPr>
            <w:tcW w:w="1884" w:type="dxa"/>
            <w:noWrap w:val="0"/>
            <w:vAlign w:val="center"/>
          </w:tcPr>
          <w:p w14:paraId="34FBA2B8">
            <w:pPr>
              <w:jc w:val="center"/>
              <w:rPr>
                <w:color w:val="auto"/>
                <w:sz w:val="24"/>
                <w:szCs w:val="24"/>
                <w:highlight w:val="none"/>
              </w:rPr>
            </w:pPr>
            <w:r>
              <w:rPr>
                <w:color w:val="auto"/>
                <w:sz w:val="24"/>
                <w:szCs w:val="24"/>
                <w:highlight w:val="none"/>
              </w:rPr>
              <w:t>中级职称专业工程师(2人)</w:t>
            </w:r>
          </w:p>
        </w:tc>
        <w:tc>
          <w:tcPr>
            <w:tcW w:w="1440" w:type="dxa"/>
            <w:noWrap w:val="0"/>
            <w:vAlign w:val="center"/>
          </w:tcPr>
          <w:p w14:paraId="3061A8CB">
            <w:pPr>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16</w:t>
            </w:r>
          </w:p>
        </w:tc>
        <w:tc>
          <w:tcPr>
            <w:tcW w:w="1284" w:type="dxa"/>
            <w:noWrap w:val="0"/>
            <w:vAlign w:val="center"/>
          </w:tcPr>
          <w:p w14:paraId="1F158D94">
            <w:pPr>
              <w:jc w:val="center"/>
              <w:rPr>
                <w:color w:val="auto"/>
                <w:sz w:val="24"/>
                <w:szCs w:val="24"/>
                <w:highlight w:val="none"/>
              </w:rPr>
            </w:pPr>
            <w:r>
              <w:rPr>
                <w:rFonts w:hint="eastAsia"/>
                <w:color w:val="auto"/>
                <w:sz w:val="24"/>
                <w:szCs w:val="24"/>
                <w:highlight w:val="none"/>
              </w:rPr>
              <w:t>/</w:t>
            </w:r>
          </w:p>
        </w:tc>
        <w:tc>
          <w:tcPr>
            <w:tcW w:w="3192" w:type="dxa"/>
            <w:vMerge w:val="continue"/>
            <w:noWrap w:val="0"/>
            <w:vAlign w:val="center"/>
          </w:tcPr>
          <w:p w14:paraId="08063E73">
            <w:pPr>
              <w:jc w:val="center"/>
              <w:rPr>
                <w:color w:val="auto"/>
                <w:sz w:val="24"/>
                <w:szCs w:val="24"/>
                <w:highlight w:val="none"/>
              </w:rPr>
            </w:pPr>
          </w:p>
        </w:tc>
      </w:tr>
      <w:tr w14:paraId="5669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noWrap w:val="0"/>
            <w:vAlign w:val="center"/>
          </w:tcPr>
          <w:p w14:paraId="027EC209">
            <w:pPr>
              <w:jc w:val="center"/>
              <w:rPr>
                <w:color w:val="auto"/>
                <w:sz w:val="24"/>
                <w:szCs w:val="24"/>
                <w:highlight w:val="none"/>
              </w:rPr>
            </w:pPr>
            <w:r>
              <w:rPr>
                <w:rFonts w:hint="eastAsia"/>
                <w:color w:val="auto"/>
                <w:sz w:val="24"/>
                <w:szCs w:val="24"/>
                <w:highlight w:val="none"/>
              </w:rPr>
              <w:t>3</w:t>
            </w:r>
          </w:p>
        </w:tc>
        <w:tc>
          <w:tcPr>
            <w:tcW w:w="1884" w:type="dxa"/>
            <w:noWrap w:val="0"/>
            <w:vAlign w:val="center"/>
          </w:tcPr>
          <w:p w14:paraId="203CFB0B">
            <w:pPr>
              <w:jc w:val="center"/>
              <w:rPr>
                <w:color w:val="auto"/>
                <w:sz w:val="24"/>
                <w:szCs w:val="24"/>
                <w:highlight w:val="none"/>
              </w:rPr>
            </w:pPr>
            <w:r>
              <w:rPr>
                <w:color w:val="auto"/>
                <w:sz w:val="24"/>
                <w:szCs w:val="24"/>
                <w:highlight w:val="none"/>
              </w:rPr>
              <w:t>初级职称专业工程师(2人)</w:t>
            </w:r>
          </w:p>
        </w:tc>
        <w:tc>
          <w:tcPr>
            <w:tcW w:w="1440" w:type="dxa"/>
            <w:noWrap w:val="0"/>
            <w:vAlign w:val="center"/>
          </w:tcPr>
          <w:p w14:paraId="0E90F3D0">
            <w:pPr>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16</w:t>
            </w:r>
          </w:p>
        </w:tc>
        <w:tc>
          <w:tcPr>
            <w:tcW w:w="1284" w:type="dxa"/>
            <w:noWrap w:val="0"/>
            <w:vAlign w:val="center"/>
          </w:tcPr>
          <w:p w14:paraId="7DEA83D0">
            <w:pPr>
              <w:jc w:val="center"/>
              <w:rPr>
                <w:color w:val="auto"/>
                <w:sz w:val="24"/>
                <w:szCs w:val="24"/>
                <w:highlight w:val="none"/>
              </w:rPr>
            </w:pPr>
            <w:r>
              <w:rPr>
                <w:rFonts w:hint="eastAsia"/>
                <w:color w:val="auto"/>
                <w:sz w:val="24"/>
                <w:szCs w:val="24"/>
                <w:highlight w:val="none"/>
              </w:rPr>
              <w:t>/</w:t>
            </w:r>
          </w:p>
        </w:tc>
        <w:tc>
          <w:tcPr>
            <w:tcW w:w="3192" w:type="dxa"/>
            <w:vMerge w:val="continue"/>
            <w:noWrap w:val="0"/>
            <w:vAlign w:val="center"/>
          </w:tcPr>
          <w:p w14:paraId="7820F645">
            <w:pPr>
              <w:jc w:val="center"/>
              <w:rPr>
                <w:color w:val="auto"/>
                <w:sz w:val="24"/>
                <w:szCs w:val="24"/>
                <w:highlight w:val="none"/>
              </w:rPr>
            </w:pPr>
          </w:p>
        </w:tc>
      </w:tr>
      <w:tr w14:paraId="730B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737" w:type="dxa"/>
            <w:shd w:val="clear" w:color="auto" w:fill="auto"/>
            <w:noWrap w:val="0"/>
            <w:vAlign w:val="center"/>
          </w:tcPr>
          <w:p w14:paraId="5CA60B65">
            <w:pPr>
              <w:jc w:val="center"/>
              <w:rPr>
                <w:rFonts w:hint="eastAsia" w:ascii="宋体" w:hAnsi="宋体" w:eastAsia="宋体" w:cs="宋体"/>
                <w:color w:val="auto"/>
                <w:kern w:val="2"/>
                <w:sz w:val="24"/>
                <w:szCs w:val="24"/>
                <w:highlight w:val="none"/>
                <w:lang w:val="en-US" w:eastAsia="zh-CN" w:bidi="ar-SA"/>
              </w:rPr>
            </w:pPr>
            <w:bookmarkStart w:id="466" w:name="_Toc14069"/>
            <w:bookmarkStart w:id="467" w:name="_Toc18456"/>
            <w:r>
              <w:rPr>
                <w:rFonts w:hint="eastAsia" w:ascii="宋体" w:hAnsi="宋体" w:cs="宋体"/>
                <w:color w:val="auto"/>
                <w:sz w:val="24"/>
                <w:szCs w:val="24"/>
                <w:highlight w:val="none"/>
                <w:lang w:val="en-US" w:eastAsia="zh-CN"/>
              </w:rPr>
              <w:t>4</w:t>
            </w:r>
          </w:p>
        </w:tc>
        <w:tc>
          <w:tcPr>
            <w:tcW w:w="1884" w:type="dxa"/>
            <w:shd w:val="clear" w:color="auto" w:fill="auto"/>
            <w:noWrap w:val="0"/>
            <w:vAlign w:val="center"/>
          </w:tcPr>
          <w:p w14:paraId="14B951BA">
            <w:pP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施工配合费</w:t>
            </w:r>
          </w:p>
        </w:tc>
        <w:tc>
          <w:tcPr>
            <w:tcW w:w="1440" w:type="dxa"/>
            <w:shd w:val="clear" w:color="auto" w:fill="auto"/>
            <w:noWrap w:val="0"/>
            <w:vAlign w:val="center"/>
          </w:tcPr>
          <w:p w14:paraId="67752423">
            <w:pP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1</w:t>
            </w:r>
          </w:p>
        </w:tc>
        <w:tc>
          <w:tcPr>
            <w:tcW w:w="1284" w:type="dxa"/>
            <w:shd w:val="clear" w:color="auto" w:fill="auto"/>
            <w:noWrap w:val="0"/>
            <w:vAlign w:val="center"/>
          </w:tcPr>
          <w:p w14:paraId="1B2D778B">
            <w:pP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项</w:t>
            </w:r>
          </w:p>
        </w:tc>
        <w:tc>
          <w:tcPr>
            <w:tcW w:w="3192" w:type="dxa"/>
            <w:shd w:val="clear" w:color="auto" w:fill="auto"/>
            <w:noWrap w:val="0"/>
            <w:vAlign w:val="center"/>
          </w:tcPr>
          <w:p w14:paraId="70613008">
            <w:pPr>
              <w:rPr>
                <w:rFonts w:hint="eastAsia" w:ascii="宋体" w:hAnsi="宋体" w:cs="宋体"/>
                <w:color w:val="auto"/>
                <w:sz w:val="24"/>
                <w:szCs w:val="24"/>
                <w:highlight w:val="none"/>
              </w:rPr>
            </w:pPr>
            <w:r>
              <w:rPr>
                <w:rFonts w:hint="eastAsia" w:ascii="宋体" w:hAnsi="宋体" w:cs="宋体"/>
                <w:color w:val="auto"/>
                <w:sz w:val="24"/>
                <w:szCs w:val="24"/>
                <w:highlight w:val="none"/>
              </w:rPr>
              <w:t>根据广州市人社局发布的《广州市2022年人力资源市场工资价位及2021年企业人工成本信息》确定人工单价工资价位。</w:t>
            </w:r>
          </w:p>
          <w:p w14:paraId="56A8AB06">
            <w:pPr>
              <w:rPr>
                <w:rFonts w:hint="eastAsia" w:ascii="宋体" w:hAnsi="宋体" w:cs="宋体"/>
                <w:color w:val="auto"/>
                <w:sz w:val="24"/>
                <w:szCs w:val="24"/>
                <w:highlight w:val="none"/>
              </w:rPr>
            </w:pPr>
            <w:r>
              <w:rPr>
                <w:rFonts w:hint="eastAsia" w:ascii="宋体" w:hAnsi="宋体" w:cs="宋体"/>
                <w:color w:val="auto"/>
                <w:sz w:val="24"/>
                <w:szCs w:val="24"/>
                <w:highlight w:val="none"/>
              </w:rPr>
              <w:t>1.施工证办理：预计方案审核、施工许可办理共涉及3名技术管理人员，每人预计2个工作日。</w:t>
            </w:r>
          </w:p>
          <w:p w14:paraId="2EC39AD2">
            <w:pPr>
              <w:rPr>
                <w:rFonts w:hint="eastAsia" w:ascii="宋体" w:hAnsi="宋体" w:cs="宋体"/>
                <w:color w:val="auto"/>
                <w:sz w:val="24"/>
                <w:szCs w:val="24"/>
                <w:highlight w:val="none"/>
              </w:rPr>
            </w:pPr>
            <w:r>
              <w:rPr>
                <w:rFonts w:hint="eastAsia" w:ascii="宋体" w:hAnsi="宋体" w:cs="宋体"/>
                <w:color w:val="auto"/>
                <w:sz w:val="24"/>
                <w:szCs w:val="24"/>
                <w:highlight w:val="none"/>
              </w:rPr>
              <w:t>2.作业点办理：预计需申报15个月的作业点，每个月申报预计3人×0.5个工作日；</w:t>
            </w:r>
          </w:p>
          <w:p w14:paraId="567EEC69">
            <w:pPr>
              <w:rPr>
                <w:rFonts w:hint="eastAsia" w:ascii="宋体" w:hAnsi="宋体" w:cs="宋体"/>
                <w:color w:val="auto"/>
                <w:sz w:val="24"/>
                <w:szCs w:val="24"/>
                <w:highlight w:val="none"/>
              </w:rPr>
            </w:pPr>
            <w:r>
              <w:rPr>
                <w:rFonts w:hint="eastAsia" w:ascii="宋体" w:hAnsi="宋体" w:cs="宋体"/>
                <w:color w:val="auto"/>
                <w:sz w:val="24"/>
                <w:szCs w:val="24"/>
                <w:highlight w:val="none"/>
              </w:rPr>
              <w:t>3.接挂地线配合：接挂地线每次4人，按照一个项目6个作业点考虑</w:t>
            </w:r>
          </w:p>
          <w:p w14:paraId="769DC9B8">
            <w:pPr>
              <w:rPr>
                <w:rFonts w:hint="eastAsia" w:ascii="宋体" w:hAnsi="宋体" w:cs="宋体"/>
                <w:color w:val="auto"/>
                <w:sz w:val="24"/>
                <w:szCs w:val="24"/>
                <w:highlight w:val="none"/>
              </w:rPr>
            </w:pPr>
            <w:r>
              <w:rPr>
                <w:rFonts w:hint="eastAsia" w:ascii="宋体" w:hAnsi="宋体" w:cs="宋体"/>
                <w:color w:val="auto"/>
                <w:sz w:val="24"/>
                <w:szCs w:val="24"/>
                <w:highlight w:val="none"/>
              </w:rPr>
              <w:t>4.结构设施状态调查：技术人员2人，按照工前、施工中、施工后三阶段各2个工日算</w:t>
            </w:r>
          </w:p>
          <w:p w14:paraId="62FA8F0E">
            <w:pPr>
              <w:rPr>
                <w:rFonts w:hint="eastAsia" w:ascii="宋体" w:hAnsi="宋体" w:cs="宋体"/>
                <w:color w:val="auto"/>
                <w:sz w:val="24"/>
                <w:szCs w:val="24"/>
                <w:highlight w:val="none"/>
              </w:rPr>
            </w:pPr>
            <w:r>
              <w:rPr>
                <w:rFonts w:hint="eastAsia" w:ascii="宋体" w:hAnsi="宋体" w:cs="宋体"/>
                <w:color w:val="auto"/>
                <w:sz w:val="24"/>
                <w:szCs w:val="24"/>
                <w:highlight w:val="none"/>
              </w:rPr>
              <w:t>5.地保监测点安拆配合：技术人员2人，地保监测点安拆，预计安装3个工日，调试1个工日，拆除2个工日</w:t>
            </w:r>
          </w:p>
          <w:p w14:paraId="0006D10C">
            <w:pPr>
              <w:rPr>
                <w:rFonts w:hint="eastAsia" w:ascii="宋体" w:hAnsi="宋体" w:cs="宋体"/>
                <w:color w:val="auto"/>
                <w:sz w:val="24"/>
                <w:szCs w:val="24"/>
                <w:highlight w:val="none"/>
              </w:rPr>
            </w:pPr>
            <w:r>
              <w:rPr>
                <w:rFonts w:hint="eastAsia" w:ascii="宋体" w:hAnsi="宋体" w:cs="宋体"/>
                <w:color w:val="auto"/>
                <w:sz w:val="24"/>
                <w:szCs w:val="24"/>
                <w:highlight w:val="none"/>
              </w:rPr>
              <w:t>6.监测设备布设附着修复：每5m一个断面，每个断面5个监测点；（预估100米）</w:t>
            </w:r>
          </w:p>
          <w:p w14:paraId="2AC6FE29">
            <w:pPr>
              <w:rPr>
                <w:rFonts w:hint="eastAsia" w:ascii="宋体" w:hAnsi="宋体" w:cs="宋体"/>
                <w:color w:val="auto"/>
                <w:sz w:val="24"/>
                <w:szCs w:val="24"/>
                <w:highlight w:val="none"/>
              </w:rPr>
            </w:pPr>
            <w:r>
              <w:rPr>
                <w:rFonts w:hint="eastAsia" w:ascii="宋体" w:hAnsi="宋体" w:cs="宋体"/>
                <w:color w:val="auto"/>
                <w:sz w:val="24"/>
                <w:szCs w:val="24"/>
                <w:highlight w:val="none"/>
              </w:rPr>
              <w:t>7.监测设备定期检查配合：预计监测15个月，每月检查1次，1次需1个天窗点，每次2人检查</w:t>
            </w:r>
          </w:p>
          <w:p w14:paraId="0EBDD69E">
            <w:pPr>
              <w:rPr>
                <w:rFonts w:hint="eastAsia" w:ascii="宋体" w:hAnsi="宋体" w:cs="宋体"/>
                <w:color w:val="auto"/>
                <w:sz w:val="24"/>
                <w:szCs w:val="24"/>
                <w:highlight w:val="none"/>
              </w:rPr>
            </w:pPr>
            <w:r>
              <w:rPr>
                <w:rFonts w:hint="eastAsia" w:ascii="宋体" w:hAnsi="宋体" w:cs="宋体"/>
                <w:color w:val="auto"/>
                <w:sz w:val="24"/>
                <w:szCs w:val="24"/>
                <w:highlight w:val="none"/>
              </w:rPr>
              <w:t>8.道交通设备设施安全检查（4人次×（N月份数×30天/7天））：检查人员4名，预计工期约15个月，每月检查4次；</w:t>
            </w:r>
          </w:p>
          <w:p w14:paraId="2818692A">
            <w:pPr>
              <w:rPr>
                <w:rFonts w:hint="eastAsia" w:ascii="宋体" w:hAnsi="宋体" w:cs="宋体"/>
                <w:color w:val="auto"/>
                <w:sz w:val="24"/>
                <w:szCs w:val="24"/>
                <w:highlight w:val="none"/>
              </w:rPr>
            </w:pPr>
            <w:r>
              <w:rPr>
                <w:rFonts w:hint="eastAsia" w:ascii="宋体" w:hAnsi="宋体" w:cs="宋体"/>
                <w:color w:val="auto"/>
                <w:sz w:val="24"/>
                <w:szCs w:val="24"/>
                <w:highlight w:val="none"/>
              </w:rPr>
              <w:t>9.运营应急管理：应急人员5名，按3次应急处置计算</w:t>
            </w:r>
          </w:p>
          <w:p w14:paraId="6161B7AC">
            <w:pP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10.项目风险管理：项目风险人员按车间2人计，施工周期约15个月，每个月检查1次，每次1个天窗点。</w:t>
            </w:r>
          </w:p>
        </w:tc>
      </w:tr>
    </w:tbl>
    <w:p w14:paraId="7A95A609">
      <w:pPr>
        <w:pStyle w:val="3"/>
        <w:spacing w:before="156" w:after="156"/>
        <w:ind w:firstLine="578" w:firstLineChars="200"/>
        <w:rPr>
          <w:rFonts w:ascii="黑体" w:hAnsi="黑体" w:eastAsia="黑体" w:cs="黑体"/>
          <w:color w:val="auto"/>
          <w:sz w:val="28"/>
          <w:szCs w:val="28"/>
        </w:rPr>
      </w:pPr>
      <w:r>
        <w:rPr>
          <w:rFonts w:hint="eastAsia" w:ascii="黑体" w:hAnsi="黑体" w:eastAsia="黑体" w:cs="黑体"/>
          <w:color w:val="auto"/>
          <w:sz w:val="28"/>
          <w:szCs w:val="28"/>
        </w:rPr>
        <w:t>四、成果完成时间</w:t>
      </w:r>
      <w:bookmarkEnd w:id="466"/>
    </w:p>
    <w:bookmarkEnd w:id="467"/>
    <w:tbl>
      <w:tblPr>
        <w:tblStyle w:val="25"/>
        <w:tblW w:w="488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2178"/>
        <w:gridCol w:w="1738"/>
        <w:gridCol w:w="2222"/>
        <w:gridCol w:w="2658"/>
      </w:tblGrid>
      <w:tr w14:paraId="067EC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4" w:type="pct"/>
            <w:noWrap w:val="0"/>
            <w:vAlign w:val="center"/>
          </w:tcPr>
          <w:p w14:paraId="2BF6A1A2">
            <w:pPr>
              <w:rPr>
                <w:color w:val="auto"/>
                <w:sz w:val="24"/>
                <w:szCs w:val="24"/>
                <w:highlight w:val="none"/>
              </w:rPr>
            </w:pPr>
            <w:r>
              <w:rPr>
                <w:color w:val="auto"/>
                <w:sz w:val="24"/>
                <w:szCs w:val="24"/>
                <w:highlight w:val="none"/>
              </w:rPr>
              <w:t>序号</w:t>
            </w:r>
          </w:p>
        </w:tc>
        <w:tc>
          <w:tcPr>
            <w:tcW w:w="1140" w:type="pct"/>
            <w:noWrap w:val="0"/>
            <w:vAlign w:val="center"/>
          </w:tcPr>
          <w:p w14:paraId="6C559105">
            <w:pPr>
              <w:rPr>
                <w:color w:val="auto"/>
                <w:sz w:val="24"/>
                <w:szCs w:val="24"/>
                <w:highlight w:val="none"/>
              </w:rPr>
            </w:pPr>
            <w:r>
              <w:rPr>
                <w:color w:val="auto"/>
                <w:sz w:val="24"/>
                <w:szCs w:val="24"/>
                <w:highlight w:val="none"/>
              </w:rPr>
              <w:t>工作内容</w:t>
            </w:r>
          </w:p>
        </w:tc>
        <w:tc>
          <w:tcPr>
            <w:tcW w:w="909" w:type="pct"/>
            <w:noWrap w:val="0"/>
            <w:vAlign w:val="center"/>
          </w:tcPr>
          <w:p w14:paraId="1CD74530">
            <w:pPr>
              <w:rPr>
                <w:color w:val="auto"/>
                <w:sz w:val="24"/>
                <w:szCs w:val="24"/>
                <w:highlight w:val="none"/>
              </w:rPr>
            </w:pPr>
            <w:r>
              <w:rPr>
                <w:color w:val="auto"/>
                <w:sz w:val="24"/>
                <w:szCs w:val="24"/>
                <w:highlight w:val="none"/>
              </w:rPr>
              <w:t>流程</w:t>
            </w:r>
          </w:p>
        </w:tc>
        <w:tc>
          <w:tcPr>
            <w:tcW w:w="1163" w:type="pct"/>
            <w:noWrap w:val="0"/>
            <w:vAlign w:val="center"/>
          </w:tcPr>
          <w:p w14:paraId="01BB6643">
            <w:pPr>
              <w:rPr>
                <w:color w:val="auto"/>
                <w:sz w:val="24"/>
                <w:szCs w:val="24"/>
                <w:highlight w:val="none"/>
              </w:rPr>
            </w:pPr>
            <w:r>
              <w:rPr>
                <w:rFonts w:hint="eastAsia"/>
                <w:color w:val="auto"/>
                <w:sz w:val="24"/>
                <w:szCs w:val="24"/>
                <w:highlight w:val="none"/>
              </w:rPr>
              <w:t>取得成果</w:t>
            </w:r>
          </w:p>
        </w:tc>
        <w:tc>
          <w:tcPr>
            <w:tcW w:w="1391" w:type="pct"/>
            <w:noWrap w:val="0"/>
            <w:vAlign w:val="center"/>
          </w:tcPr>
          <w:p w14:paraId="29A099E6">
            <w:pPr>
              <w:rPr>
                <w:color w:val="auto"/>
                <w:sz w:val="24"/>
                <w:szCs w:val="24"/>
                <w:highlight w:val="none"/>
              </w:rPr>
            </w:pPr>
            <w:r>
              <w:rPr>
                <w:color w:val="auto"/>
                <w:sz w:val="24"/>
                <w:szCs w:val="24"/>
                <w:highlight w:val="none"/>
              </w:rPr>
              <w:t>限定时间</w:t>
            </w:r>
          </w:p>
          <w:p w14:paraId="1E6AD6C0">
            <w:pPr>
              <w:rPr>
                <w:color w:val="auto"/>
                <w:sz w:val="24"/>
                <w:szCs w:val="24"/>
                <w:highlight w:val="none"/>
              </w:rPr>
            </w:pPr>
            <w:r>
              <w:rPr>
                <w:color w:val="auto"/>
                <w:sz w:val="24"/>
                <w:szCs w:val="24"/>
                <w:highlight w:val="none"/>
              </w:rPr>
              <w:t>（</w:t>
            </w:r>
            <w:r>
              <w:rPr>
                <w:rFonts w:hint="eastAsia"/>
                <w:color w:val="auto"/>
                <w:sz w:val="24"/>
                <w:szCs w:val="24"/>
                <w:highlight w:val="none"/>
              </w:rPr>
              <w:t>工作日</w:t>
            </w:r>
            <w:r>
              <w:rPr>
                <w:color w:val="auto"/>
                <w:sz w:val="24"/>
                <w:szCs w:val="24"/>
                <w:highlight w:val="none"/>
              </w:rPr>
              <w:t>）</w:t>
            </w:r>
          </w:p>
        </w:tc>
      </w:tr>
      <w:tr w14:paraId="13E37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94" w:type="pct"/>
            <w:noWrap w:val="0"/>
            <w:vAlign w:val="center"/>
          </w:tcPr>
          <w:p w14:paraId="074A19BB">
            <w:pPr>
              <w:pStyle w:val="35"/>
              <w:jc w:val="center"/>
              <w:rPr>
                <w:color w:val="auto"/>
                <w:kern w:val="2"/>
                <w:sz w:val="22"/>
                <w:szCs w:val="22"/>
                <w:highlight w:val="none"/>
              </w:rPr>
            </w:pPr>
            <w:r>
              <w:rPr>
                <w:color w:val="auto"/>
                <w:kern w:val="2"/>
                <w:sz w:val="22"/>
                <w:szCs w:val="22"/>
                <w:highlight w:val="none"/>
              </w:rPr>
              <w:t>1</w:t>
            </w:r>
          </w:p>
        </w:tc>
        <w:tc>
          <w:tcPr>
            <w:tcW w:w="1140" w:type="pct"/>
            <w:vMerge w:val="restart"/>
            <w:noWrap w:val="0"/>
            <w:vAlign w:val="center"/>
          </w:tcPr>
          <w:p w14:paraId="4E1EB592">
            <w:pPr>
              <w:pStyle w:val="35"/>
              <w:rPr>
                <w:rFonts w:hint="eastAsia"/>
                <w:color w:val="auto"/>
                <w:kern w:val="2"/>
                <w:sz w:val="22"/>
                <w:szCs w:val="22"/>
                <w:highlight w:val="none"/>
              </w:rPr>
            </w:pPr>
            <w:r>
              <w:rPr>
                <w:rFonts w:hint="eastAsia"/>
                <w:color w:val="auto"/>
                <w:kern w:val="2"/>
                <w:sz w:val="22"/>
                <w:szCs w:val="22"/>
                <w:highlight w:val="none"/>
              </w:rPr>
              <w:t>湾区农谷二期地铁保护安全监控服务</w:t>
            </w:r>
          </w:p>
        </w:tc>
        <w:tc>
          <w:tcPr>
            <w:tcW w:w="909" w:type="pct"/>
            <w:noWrap w:val="0"/>
            <w:vAlign w:val="center"/>
          </w:tcPr>
          <w:p w14:paraId="6AF6AF05">
            <w:pPr>
              <w:pStyle w:val="35"/>
              <w:rPr>
                <w:color w:val="auto"/>
                <w:kern w:val="2"/>
                <w:sz w:val="22"/>
                <w:szCs w:val="22"/>
                <w:highlight w:val="none"/>
              </w:rPr>
            </w:pPr>
            <w:r>
              <w:rPr>
                <w:rFonts w:hint="eastAsia"/>
                <w:color w:val="auto"/>
                <w:kern w:val="2"/>
                <w:sz w:val="22"/>
                <w:szCs w:val="22"/>
                <w:highlight w:val="none"/>
              </w:rPr>
              <w:t>监控方案编制</w:t>
            </w:r>
          </w:p>
        </w:tc>
        <w:tc>
          <w:tcPr>
            <w:tcW w:w="1163" w:type="pct"/>
            <w:noWrap w:val="0"/>
            <w:vAlign w:val="center"/>
          </w:tcPr>
          <w:p w14:paraId="45A9DBEE">
            <w:pPr>
              <w:pStyle w:val="35"/>
              <w:rPr>
                <w:color w:val="auto"/>
                <w:kern w:val="2"/>
                <w:sz w:val="22"/>
                <w:szCs w:val="22"/>
                <w:highlight w:val="none"/>
              </w:rPr>
            </w:pPr>
            <w:r>
              <w:rPr>
                <w:rFonts w:hint="eastAsia"/>
                <w:color w:val="auto"/>
                <w:kern w:val="2"/>
                <w:sz w:val="22"/>
                <w:szCs w:val="22"/>
                <w:highlight w:val="none"/>
              </w:rPr>
              <w:t>监控方案</w:t>
            </w:r>
          </w:p>
        </w:tc>
        <w:tc>
          <w:tcPr>
            <w:tcW w:w="1391" w:type="pct"/>
            <w:noWrap w:val="0"/>
            <w:vAlign w:val="center"/>
          </w:tcPr>
          <w:p w14:paraId="651C858B">
            <w:pPr>
              <w:pStyle w:val="35"/>
              <w:rPr>
                <w:rFonts w:ascii="宋体" w:hAnsi="宋体" w:cs="宋体"/>
                <w:color w:val="auto"/>
                <w:sz w:val="22"/>
                <w:szCs w:val="22"/>
                <w:highlight w:val="none"/>
                <w:lang w:bidi="zh-CN"/>
              </w:rPr>
            </w:pPr>
            <w:r>
              <w:rPr>
                <w:rFonts w:hint="eastAsia"/>
                <w:color w:val="auto"/>
                <w:kern w:val="2"/>
                <w:sz w:val="22"/>
                <w:szCs w:val="22"/>
                <w:highlight w:val="none"/>
              </w:rPr>
              <w:t>30</w:t>
            </w:r>
          </w:p>
        </w:tc>
      </w:tr>
      <w:tr w14:paraId="37D88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394" w:type="pct"/>
            <w:noWrap w:val="0"/>
            <w:vAlign w:val="center"/>
          </w:tcPr>
          <w:p w14:paraId="48689DA3">
            <w:pPr>
              <w:pStyle w:val="35"/>
              <w:jc w:val="center"/>
              <w:rPr>
                <w:color w:val="auto"/>
                <w:kern w:val="2"/>
                <w:sz w:val="22"/>
                <w:szCs w:val="22"/>
                <w:highlight w:val="none"/>
              </w:rPr>
            </w:pPr>
            <w:r>
              <w:rPr>
                <w:color w:val="auto"/>
                <w:kern w:val="2"/>
                <w:sz w:val="22"/>
                <w:szCs w:val="22"/>
                <w:highlight w:val="none"/>
              </w:rPr>
              <w:t>2</w:t>
            </w:r>
          </w:p>
        </w:tc>
        <w:tc>
          <w:tcPr>
            <w:tcW w:w="1140" w:type="pct"/>
            <w:vMerge w:val="continue"/>
            <w:noWrap w:val="0"/>
            <w:vAlign w:val="center"/>
          </w:tcPr>
          <w:p w14:paraId="4D016FA9">
            <w:pPr>
              <w:pStyle w:val="35"/>
              <w:rPr>
                <w:color w:val="auto"/>
                <w:kern w:val="2"/>
                <w:sz w:val="22"/>
                <w:szCs w:val="22"/>
                <w:highlight w:val="none"/>
              </w:rPr>
            </w:pPr>
          </w:p>
        </w:tc>
        <w:tc>
          <w:tcPr>
            <w:tcW w:w="909" w:type="pct"/>
            <w:noWrap w:val="0"/>
            <w:vAlign w:val="center"/>
          </w:tcPr>
          <w:p w14:paraId="166F7B53">
            <w:pPr>
              <w:pStyle w:val="35"/>
              <w:rPr>
                <w:color w:val="auto"/>
                <w:kern w:val="2"/>
                <w:sz w:val="22"/>
                <w:szCs w:val="22"/>
                <w:highlight w:val="none"/>
              </w:rPr>
            </w:pPr>
            <w:r>
              <w:rPr>
                <w:rFonts w:hint="eastAsia"/>
                <w:color w:val="auto"/>
                <w:kern w:val="2"/>
                <w:sz w:val="22"/>
                <w:szCs w:val="22"/>
                <w:highlight w:val="none"/>
              </w:rPr>
              <w:t>监控工作交底</w:t>
            </w:r>
          </w:p>
        </w:tc>
        <w:tc>
          <w:tcPr>
            <w:tcW w:w="1163" w:type="pct"/>
            <w:noWrap w:val="0"/>
            <w:vAlign w:val="center"/>
          </w:tcPr>
          <w:p w14:paraId="449A243D">
            <w:pPr>
              <w:pStyle w:val="35"/>
              <w:rPr>
                <w:color w:val="auto"/>
                <w:kern w:val="2"/>
                <w:sz w:val="22"/>
                <w:szCs w:val="22"/>
                <w:highlight w:val="none"/>
              </w:rPr>
            </w:pPr>
            <w:r>
              <w:rPr>
                <w:rFonts w:hint="eastAsia"/>
                <w:color w:val="auto"/>
                <w:kern w:val="2"/>
                <w:sz w:val="22"/>
                <w:szCs w:val="22"/>
                <w:highlight w:val="none"/>
              </w:rPr>
              <w:t>交底会议纪要</w:t>
            </w:r>
          </w:p>
        </w:tc>
        <w:tc>
          <w:tcPr>
            <w:tcW w:w="1391" w:type="pct"/>
            <w:noWrap w:val="0"/>
            <w:vAlign w:val="center"/>
          </w:tcPr>
          <w:p w14:paraId="24D1B239">
            <w:pPr>
              <w:pStyle w:val="35"/>
              <w:rPr>
                <w:rFonts w:hint="eastAsia"/>
                <w:color w:val="auto"/>
                <w:sz w:val="22"/>
                <w:szCs w:val="22"/>
                <w:highlight w:val="none"/>
              </w:rPr>
            </w:pPr>
            <w:r>
              <w:rPr>
                <w:rFonts w:hint="eastAsia"/>
                <w:color w:val="auto"/>
                <w:kern w:val="2"/>
                <w:sz w:val="22"/>
                <w:szCs w:val="22"/>
                <w:highlight w:val="none"/>
              </w:rPr>
              <w:t>2</w:t>
            </w:r>
          </w:p>
        </w:tc>
      </w:tr>
      <w:tr w14:paraId="514EE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394" w:type="pct"/>
            <w:noWrap w:val="0"/>
            <w:vAlign w:val="center"/>
          </w:tcPr>
          <w:p w14:paraId="710253F0">
            <w:pPr>
              <w:pStyle w:val="35"/>
              <w:jc w:val="center"/>
              <w:rPr>
                <w:color w:val="auto"/>
                <w:kern w:val="2"/>
                <w:sz w:val="22"/>
                <w:szCs w:val="22"/>
                <w:highlight w:val="none"/>
              </w:rPr>
            </w:pPr>
            <w:r>
              <w:rPr>
                <w:rFonts w:hint="eastAsia"/>
                <w:color w:val="auto"/>
                <w:kern w:val="2"/>
                <w:sz w:val="22"/>
                <w:szCs w:val="22"/>
                <w:highlight w:val="none"/>
              </w:rPr>
              <w:t>3</w:t>
            </w:r>
          </w:p>
        </w:tc>
        <w:tc>
          <w:tcPr>
            <w:tcW w:w="1140" w:type="pct"/>
            <w:vMerge w:val="continue"/>
            <w:noWrap w:val="0"/>
            <w:vAlign w:val="center"/>
          </w:tcPr>
          <w:p w14:paraId="34645EBB">
            <w:pPr>
              <w:pStyle w:val="35"/>
              <w:rPr>
                <w:color w:val="auto"/>
                <w:kern w:val="2"/>
                <w:sz w:val="22"/>
                <w:szCs w:val="22"/>
                <w:highlight w:val="none"/>
              </w:rPr>
            </w:pPr>
          </w:p>
        </w:tc>
        <w:tc>
          <w:tcPr>
            <w:tcW w:w="909" w:type="pct"/>
            <w:noWrap w:val="0"/>
            <w:vAlign w:val="center"/>
          </w:tcPr>
          <w:p w14:paraId="06A3F1AD">
            <w:pPr>
              <w:pStyle w:val="35"/>
              <w:rPr>
                <w:color w:val="auto"/>
                <w:kern w:val="2"/>
                <w:sz w:val="22"/>
                <w:szCs w:val="22"/>
                <w:highlight w:val="none"/>
              </w:rPr>
            </w:pPr>
            <w:r>
              <w:rPr>
                <w:rFonts w:hint="eastAsia"/>
                <w:color w:val="auto"/>
                <w:kern w:val="2"/>
                <w:sz w:val="22"/>
                <w:szCs w:val="22"/>
                <w:highlight w:val="none"/>
              </w:rPr>
              <w:t>工前普查</w:t>
            </w:r>
          </w:p>
        </w:tc>
        <w:tc>
          <w:tcPr>
            <w:tcW w:w="1163" w:type="pct"/>
            <w:noWrap w:val="0"/>
            <w:vAlign w:val="center"/>
          </w:tcPr>
          <w:p w14:paraId="1F20DC58">
            <w:pPr>
              <w:pStyle w:val="35"/>
              <w:rPr>
                <w:color w:val="auto"/>
                <w:kern w:val="2"/>
                <w:sz w:val="22"/>
                <w:szCs w:val="22"/>
                <w:highlight w:val="none"/>
              </w:rPr>
            </w:pPr>
            <w:r>
              <w:rPr>
                <w:rFonts w:hint="eastAsia"/>
                <w:color w:val="auto"/>
                <w:kern w:val="2"/>
                <w:sz w:val="22"/>
                <w:szCs w:val="22"/>
                <w:highlight w:val="none"/>
              </w:rPr>
              <w:t>普查报告（地铁监测单位）</w:t>
            </w:r>
          </w:p>
        </w:tc>
        <w:tc>
          <w:tcPr>
            <w:tcW w:w="1391" w:type="pct"/>
            <w:noWrap w:val="0"/>
            <w:vAlign w:val="center"/>
          </w:tcPr>
          <w:p w14:paraId="643E2FEA">
            <w:pPr>
              <w:pStyle w:val="35"/>
              <w:rPr>
                <w:color w:val="auto"/>
                <w:kern w:val="2"/>
                <w:sz w:val="22"/>
                <w:szCs w:val="22"/>
                <w:highlight w:val="none"/>
              </w:rPr>
            </w:pPr>
            <w:r>
              <w:rPr>
                <w:rFonts w:hint="eastAsia"/>
                <w:color w:val="auto"/>
                <w:kern w:val="2"/>
                <w:sz w:val="22"/>
                <w:szCs w:val="22"/>
                <w:highlight w:val="none"/>
              </w:rPr>
              <w:t>8-10</w:t>
            </w:r>
          </w:p>
        </w:tc>
      </w:tr>
      <w:tr w14:paraId="3A0E4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394" w:type="pct"/>
            <w:noWrap w:val="0"/>
            <w:vAlign w:val="center"/>
          </w:tcPr>
          <w:p w14:paraId="554719D2">
            <w:pPr>
              <w:pStyle w:val="35"/>
              <w:jc w:val="center"/>
              <w:rPr>
                <w:color w:val="auto"/>
                <w:kern w:val="2"/>
                <w:sz w:val="22"/>
                <w:szCs w:val="22"/>
                <w:highlight w:val="none"/>
              </w:rPr>
            </w:pPr>
            <w:r>
              <w:rPr>
                <w:rFonts w:hint="eastAsia"/>
                <w:color w:val="auto"/>
                <w:kern w:val="2"/>
                <w:sz w:val="22"/>
                <w:szCs w:val="22"/>
                <w:highlight w:val="none"/>
              </w:rPr>
              <w:t>4</w:t>
            </w:r>
          </w:p>
        </w:tc>
        <w:tc>
          <w:tcPr>
            <w:tcW w:w="1140" w:type="pct"/>
            <w:vMerge w:val="continue"/>
            <w:noWrap w:val="0"/>
            <w:vAlign w:val="center"/>
          </w:tcPr>
          <w:p w14:paraId="59402531">
            <w:pPr>
              <w:pStyle w:val="35"/>
              <w:rPr>
                <w:color w:val="auto"/>
                <w:kern w:val="2"/>
                <w:sz w:val="22"/>
                <w:szCs w:val="22"/>
                <w:highlight w:val="none"/>
              </w:rPr>
            </w:pPr>
          </w:p>
        </w:tc>
        <w:tc>
          <w:tcPr>
            <w:tcW w:w="909" w:type="pct"/>
            <w:noWrap w:val="0"/>
            <w:vAlign w:val="center"/>
          </w:tcPr>
          <w:p w14:paraId="551C3F69">
            <w:pPr>
              <w:pStyle w:val="35"/>
              <w:rPr>
                <w:color w:val="auto"/>
                <w:kern w:val="2"/>
                <w:sz w:val="22"/>
                <w:szCs w:val="22"/>
                <w:highlight w:val="none"/>
              </w:rPr>
            </w:pPr>
            <w:r>
              <w:rPr>
                <w:rFonts w:hint="eastAsia"/>
                <w:color w:val="auto"/>
                <w:kern w:val="2"/>
                <w:sz w:val="22"/>
                <w:szCs w:val="22"/>
                <w:highlight w:val="none"/>
              </w:rPr>
              <w:t>测量复核</w:t>
            </w:r>
          </w:p>
        </w:tc>
        <w:tc>
          <w:tcPr>
            <w:tcW w:w="1163" w:type="pct"/>
            <w:noWrap w:val="0"/>
            <w:vAlign w:val="center"/>
          </w:tcPr>
          <w:p w14:paraId="20CAF5C5">
            <w:pPr>
              <w:pStyle w:val="35"/>
              <w:rPr>
                <w:color w:val="auto"/>
                <w:kern w:val="2"/>
                <w:sz w:val="22"/>
                <w:szCs w:val="22"/>
                <w:highlight w:val="none"/>
              </w:rPr>
            </w:pPr>
            <w:r>
              <w:rPr>
                <w:rFonts w:hint="eastAsia"/>
                <w:color w:val="auto"/>
                <w:kern w:val="2"/>
                <w:sz w:val="22"/>
                <w:szCs w:val="22"/>
                <w:highlight w:val="none"/>
              </w:rPr>
              <w:t>复核单</w:t>
            </w:r>
          </w:p>
        </w:tc>
        <w:tc>
          <w:tcPr>
            <w:tcW w:w="1391" w:type="pct"/>
            <w:noWrap w:val="0"/>
            <w:vAlign w:val="center"/>
          </w:tcPr>
          <w:p w14:paraId="5309EA82">
            <w:pPr>
              <w:pStyle w:val="35"/>
              <w:rPr>
                <w:rFonts w:hint="eastAsia"/>
                <w:color w:val="auto"/>
                <w:sz w:val="22"/>
                <w:szCs w:val="22"/>
                <w:highlight w:val="none"/>
              </w:rPr>
            </w:pPr>
            <w:r>
              <w:rPr>
                <w:rFonts w:hint="eastAsia"/>
                <w:color w:val="auto"/>
                <w:kern w:val="2"/>
                <w:sz w:val="22"/>
                <w:szCs w:val="22"/>
                <w:highlight w:val="none"/>
              </w:rPr>
              <w:t>2</w:t>
            </w:r>
          </w:p>
        </w:tc>
      </w:tr>
      <w:tr w14:paraId="55F6C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394" w:type="pct"/>
            <w:noWrap w:val="0"/>
            <w:vAlign w:val="center"/>
          </w:tcPr>
          <w:p w14:paraId="43E93810">
            <w:pPr>
              <w:pStyle w:val="35"/>
              <w:jc w:val="center"/>
              <w:rPr>
                <w:color w:val="auto"/>
                <w:kern w:val="2"/>
                <w:sz w:val="22"/>
                <w:szCs w:val="22"/>
                <w:highlight w:val="none"/>
              </w:rPr>
            </w:pPr>
            <w:r>
              <w:rPr>
                <w:rFonts w:hint="eastAsia"/>
                <w:color w:val="auto"/>
                <w:kern w:val="2"/>
                <w:sz w:val="22"/>
                <w:szCs w:val="22"/>
                <w:highlight w:val="none"/>
              </w:rPr>
              <w:t>5</w:t>
            </w:r>
          </w:p>
        </w:tc>
        <w:tc>
          <w:tcPr>
            <w:tcW w:w="1140" w:type="pct"/>
            <w:vMerge w:val="continue"/>
            <w:noWrap w:val="0"/>
            <w:vAlign w:val="center"/>
          </w:tcPr>
          <w:p w14:paraId="405670A6">
            <w:pPr>
              <w:pStyle w:val="35"/>
              <w:rPr>
                <w:color w:val="auto"/>
                <w:kern w:val="2"/>
                <w:sz w:val="22"/>
                <w:szCs w:val="22"/>
                <w:highlight w:val="none"/>
              </w:rPr>
            </w:pPr>
          </w:p>
        </w:tc>
        <w:tc>
          <w:tcPr>
            <w:tcW w:w="909" w:type="pct"/>
            <w:noWrap w:val="0"/>
            <w:vAlign w:val="center"/>
          </w:tcPr>
          <w:p w14:paraId="155287D3">
            <w:pPr>
              <w:pStyle w:val="35"/>
              <w:rPr>
                <w:color w:val="auto"/>
                <w:kern w:val="2"/>
                <w:sz w:val="22"/>
                <w:szCs w:val="22"/>
                <w:highlight w:val="none"/>
              </w:rPr>
            </w:pPr>
            <w:r>
              <w:rPr>
                <w:rFonts w:hint="eastAsia"/>
                <w:color w:val="auto"/>
                <w:kern w:val="2"/>
                <w:sz w:val="22"/>
                <w:szCs w:val="22"/>
                <w:highlight w:val="none"/>
              </w:rPr>
              <w:t>每周监控报告</w:t>
            </w:r>
          </w:p>
        </w:tc>
        <w:tc>
          <w:tcPr>
            <w:tcW w:w="1163" w:type="pct"/>
            <w:noWrap w:val="0"/>
            <w:vAlign w:val="center"/>
          </w:tcPr>
          <w:p w14:paraId="09A8F834">
            <w:pPr>
              <w:pStyle w:val="35"/>
              <w:rPr>
                <w:color w:val="auto"/>
                <w:kern w:val="2"/>
                <w:sz w:val="22"/>
                <w:szCs w:val="22"/>
                <w:highlight w:val="none"/>
              </w:rPr>
            </w:pPr>
            <w:r>
              <w:rPr>
                <w:rFonts w:hint="eastAsia"/>
                <w:color w:val="auto"/>
                <w:kern w:val="2"/>
                <w:sz w:val="22"/>
                <w:szCs w:val="22"/>
                <w:highlight w:val="none"/>
              </w:rPr>
              <w:t>监控周报</w:t>
            </w:r>
          </w:p>
        </w:tc>
        <w:tc>
          <w:tcPr>
            <w:tcW w:w="1391" w:type="pct"/>
            <w:noWrap w:val="0"/>
            <w:vAlign w:val="center"/>
          </w:tcPr>
          <w:p w14:paraId="43C9EE52">
            <w:pPr>
              <w:pStyle w:val="35"/>
              <w:rPr>
                <w:rFonts w:hint="eastAsia"/>
                <w:color w:val="auto"/>
                <w:kern w:val="2"/>
                <w:sz w:val="22"/>
                <w:szCs w:val="22"/>
                <w:highlight w:val="none"/>
              </w:rPr>
            </w:pPr>
            <w:r>
              <w:rPr>
                <w:rFonts w:hint="eastAsia"/>
                <w:color w:val="auto"/>
                <w:kern w:val="2"/>
                <w:sz w:val="22"/>
                <w:szCs w:val="22"/>
                <w:highlight w:val="none"/>
              </w:rPr>
              <w:t>每周四</w:t>
            </w:r>
          </w:p>
        </w:tc>
      </w:tr>
      <w:tr w14:paraId="6D6A0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394" w:type="pct"/>
            <w:noWrap w:val="0"/>
            <w:vAlign w:val="center"/>
          </w:tcPr>
          <w:p w14:paraId="1FB3D048">
            <w:pPr>
              <w:pStyle w:val="35"/>
              <w:jc w:val="center"/>
              <w:rPr>
                <w:color w:val="auto"/>
                <w:kern w:val="2"/>
                <w:highlight w:val="none"/>
              </w:rPr>
            </w:pPr>
            <w:r>
              <w:rPr>
                <w:rFonts w:hint="eastAsia"/>
                <w:color w:val="auto"/>
                <w:kern w:val="2"/>
                <w:highlight w:val="none"/>
              </w:rPr>
              <w:t>6</w:t>
            </w:r>
          </w:p>
        </w:tc>
        <w:tc>
          <w:tcPr>
            <w:tcW w:w="1140" w:type="pct"/>
            <w:vMerge w:val="continue"/>
            <w:noWrap w:val="0"/>
            <w:vAlign w:val="center"/>
          </w:tcPr>
          <w:p w14:paraId="153E9A56">
            <w:pPr>
              <w:pStyle w:val="35"/>
              <w:rPr>
                <w:color w:val="auto"/>
                <w:kern w:val="2"/>
                <w:highlight w:val="none"/>
              </w:rPr>
            </w:pPr>
          </w:p>
        </w:tc>
        <w:tc>
          <w:tcPr>
            <w:tcW w:w="909" w:type="pct"/>
            <w:noWrap w:val="0"/>
            <w:vAlign w:val="center"/>
          </w:tcPr>
          <w:p w14:paraId="687E10F4">
            <w:pPr>
              <w:pStyle w:val="35"/>
              <w:rPr>
                <w:color w:val="auto"/>
                <w:kern w:val="2"/>
                <w:highlight w:val="none"/>
              </w:rPr>
            </w:pPr>
            <w:r>
              <w:rPr>
                <w:rFonts w:hint="eastAsia"/>
                <w:color w:val="auto"/>
                <w:kern w:val="2"/>
                <w:highlight w:val="none"/>
              </w:rPr>
              <w:t>每月监控报告</w:t>
            </w:r>
          </w:p>
        </w:tc>
        <w:tc>
          <w:tcPr>
            <w:tcW w:w="1163" w:type="pct"/>
            <w:noWrap w:val="0"/>
            <w:vAlign w:val="center"/>
          </w:tcPr>
          <w:p w14:paraId="2F5E9B90">
            <w:pPr>
              <w:pStyle w:val="35"/>
              <w:rPr>
                <w:color w:val="auto"/>
                <w:kern w:val="2"/>
                <w:highlight w:val="none"/>
              </w:rPr>
            </w:pPr>
            <w:r>
              <w:rPr>
                <w:rFonts w:hint="eastAsia"/>
                <w:color w:val="auto"/>
                <w:kern w:val="2"/>
                <w:highlight w:val="none"/>
              </w:rPr>
              <w:t>监控月报</w:t>
            </w:r>
          </w:p>
        </w:tc>
        <w:tc>
          <w:tcPr>
            <w:tcW w:w="1391" w:type="pct"/>
            <w:noWrap w:val="0"/>
            <w:vAlign w:val="center"/>
          </w:tcPr>
          <w:p w14:paraId="1AEE61C8">
            <w:pPr>
              <w:pStyle w:val="35"/>
              <w:rPr>
                <w:color w:val="auto"/>
                <w:kern w:val="2"/>
                <w:highlight w:val="none"/>
              </w:rPr>
            </w:pPr>
            <w:r>
              <w:rPr>
                <w:rFonts w:hint="eastAsia"/>
                <w:color w:val="auto"/>
                <w:kern w:val="2"/>
                <w:highlight w:val="none"/>
              </w:rPr>
              <w:t>每月25日</w:t>
            </w:r>
          </w:p>
        </w:tc>
      </w:tr>
      <w:tr w14:paraId="21E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394" w:type="pct"/>
            <w:noWrap w:val="0"/>
            <w:vAlign w:val="center"/>
          </w:tcPr>
          <w:p w14:paraId="1BB38742">
            <w:pPr>
              <w:pStyle w:val="35"/>
              <w:jc w:val="center"/>
              <w:rPr>
                <w:rFonts w:hint="eastAsia"/>
                <w:color w:val="auto"/>
                <w:kern w:val="2"/>
                <w:highlight w:val="none"/>
              </w:rPr>
            </w:pPr>
            <w:r>
              <w:rPr>
                <w:rFonts w:hint="eastAsia"/>
                <w:color w:val="auto"/>
                <w:kern w:val="2"/>
                <w:highlight w:val="none"/>
              </w:rPr>
              <w:t>7</w:t>
            </w:r>
          </w:p>
        </w:tc>
        <w:tc>
          <w:tcPr>
            <w:tcW w:w="1140" w:type="pct"/>
            <w:vMerge w:val="continue"/>
            <w:noWrap w:val="0"/>
            <w:vAlign w:val="center"/>
          </w:tcPr>
          <w:p w14:paraId="346062D1">
            <w:pPr>
              <w:pStyle w:val="35"/>
              <w:rPr>
                <w:color w:val="auto"/>
                <w:kern w:val="2"/>
                <w:highlight w:val="none"/>
              </w:rPr>
            </w:pPr>
          </w:p>
        </w:tc>
        <w:tc>
          <w:tcPr>
            <w:tcW w:w="909" w:type="pct"/>
            <w:noWrap w:val="0"/>
            <w:vAlign w:val="center"/>
          </w:tcPr>
          <w:p w14:paraId="6F9CEA28">
            <w:pPr>
              <w:pStyle w:val="35"/>
              <w:rPr>
                <w:color w:val="auto"/>
                <w:kern w:val="2"/>
                <w:highlight w:val="none"/>
              </w:rPr>
            </w:pPr>
            <w:r>
              <w:rPr>
                <w:rFonts w:hint="eastAsia"/>
                <w:color w:val="auto"/>
                <w:kern w:val="2"/>
                <w:highlight w:val="none"/>
              </w:rPr>
              <w:t>工后普查</w:t>
            </w:r>
          </w:p>
        </w:tc>
        <w:tc>
          <w:tcPr>
            <w:tcW w:w="1163" w:type="pct"/>
            <w:noWrap w:val="0"/>
            <w:vAlign w:val="center"/>
          </w:tcPr>
          <w:p w14:paraId="091C4842">
            <w:pPr>
              <w:pStyle w:val="35"/>
              <w:rPr>
                <w:rFonts w:hint="eastAsia"/>
                <w:color w:val="auto"/>
                <w:kern w:val="2"/>
                <w:highlight w:val="none"/>
              </w:rPr>
            </w:pPr>
            <w:r>
              <w:rPr>
                <w:rFonts w:hint="eastAsia"/>
                <w:color w:val="auto"/>
                <w:kern w:val="2"/>
                <w:highlight w:val="none"/>
              </w:rPr>
              <w:t>普查报告（地铁监测单位）</w:t>
            </w:r>
          </w:p>
        </w:tc>
        <w:tc>
          <w:tcPr>
            <w:tcW w:w="1391" w:type="pct"/>
            <w:noWrap w:val="0"/>
            <w:vAlign w:val="center"/>
          </w:tcPr>
          <w:p w14:paraId="7067EBFB">
            <w:pPr>
              <w:pStyle w:val="35"/>
              <w:rPr>
                <w:rFonts w:hint="eastAsia"/>
                <w:color w:val="auto"/>
                <w:kern w:val="2"/>
                <w:highlight w:val="none"/>
              </w:rPr>
            </w:pPr>
            <w:r>
              <w:rPr>
                <w:rFonts w:hint="eastAsia"/>
                <w:color w:val="auto"/>
                <w:kern w:val="2"/>
                <w:highlight w:val="none"/>
              </w:rPr>
              <w:t>8-10</w:t>
            </w:r>
          </w:p>
        </w:tc>
      </w:tr>
      <w:tr w14:paraId="4646B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394" w:type="pct"/>
            <w:noWrap w:val="0"/>
            <w:vAlign w:val="center"/>
          </w:tcPr>
          <w:p w14:paraId="731ECA60">
            <w:pPr>
              <w:pStyle w:val="35"/>
              <w:jc w:val="center"/>
              <w:rPr>
                <w:rFonts w:hint="eastAsia"/>
                <w:color w:val="auto"/>
                <w:kern w:val="2"/>
                <w:highlight w:val="none"/>
              </w:rPr>
            </w:pPr>
            <w:r>
              <w:rPr>
                <w:rFonts w:hint="eastAsia"/>
                <w:color w:val="auto"/>
                <w:kern w:val="2"/>
                <w:highlight w:val="none"/>
              </w:rPr>
              <w:t>8</w:t>
            </w:r>
          </w:p>
        </w:tc>
        <w:tc>
          <w:tcPr>
            <w:tcW w:w="1140" w:type="pct"/>
            <w:vMerge w:val="continue"/>
            <w:noWrap w:val="0"/>
            <w:vAlign w:val="center"/>
          </w:tcPr>
          <w:p w14:paraId="41DB29D9">
            <w:pPr>
              <w:pStyle w:val="35"/>
              <w:rPr>
                <w:color w:val="auto"/>
                <w:kern w:val="2"/>
                <w:highlight w:val="none"/>
              </w:rPr>
            </w:pPr>
          </w:p>
        </w:tc>
        <w:tc>
          <w:tcPr>
            <w:tcW w:w="909" w:type="pct"/>
            <w:noWrap w:val="0"/>
            <w:vAlign w:val="center"/>
          </w:tcPr>
          <w:p w14:paraId="7E473D4A">
            <w:pPr>
              <w:pStyle w:val="35"/>
              <w:rPr>
                <w:color w:val="auto"/>
                <w:kern w:val="2"/>
                <w:highlight w:val="none"/>
              </w:rPr>
            </w:pPr>
            <w:r>
              <w:rPr>
                <w:rFonts w:hint="eastAsia"/>
                <w:color w:val="auto"/>
                <w:kern w:val="2"/>
                <w:highlight w:val="none"/>
              </w:rPr>
              <w:t>监控总结</w:t>
            </w:r>
          </w:p>
        </w:tc>
        <w:tc>
          <w:tcPr>
            <w:tcW w:w="1163" w:type="pct"/>
            <w:noWrap w:val="0"/>
            <w:vAlign w:val="center"/>
          </w:tcPr>
          <w:p w14:paraId="5C00AEF5">
            <w:pPr>
              <w:pStyle w:val="35"/>
              <w:rPr>
                <w:color w:val="auto"/>
                <w:kern w:val="2"/>
                <w:highlight w:val="none"/>
              </w:rPr>
            </w:pPr>
            <w:r>
              <w:rPr>
                <w:rFonts w:hint="eastAsia"/>
                <w:color w:val="auto"/>
                <w:kern w:val="2"/>
                <w:highlight w:val="none"/>
              </w:rPr>
              <w:t>监控总结报告</w:t>
            </w:r>
          </w:p>
        </w:tc>
        <w:tc>
          <w:tcPr>
            <w:tcW w:w="1391" w:type="pct"/>
            <w:noWrap w:val="0"/>
            <w:vAlign w:val="center"/>
          </w:tcPr>
          <w:p w14:paraId="424DFD8A">
            <w:pPr>
              <w:pStyle w:val="35"/>
              <w:rPr>
                <w:color w:val="auto"/>
                <w:kern w:val="2"/>
                <w:highlight w:val="none"/>
              </w:rPr>
            </w:pPr>
            <w:r>
              <w:rPr>
                <w:rFonts w:hint="eastAsia"/>
                <w:color w:val="auto"/>
                <w:kern w:val="2"/>
                <w:highlight w:val="none"/>
              </w:rPr>
              <w:t>2</w:t>
            </w:r>
          </w:p>
        </w:tc>
      </w:tr>
    </w:tbl>
    <w:p w14:paraId="42080F61">
      <w:pPr>
        <w:pStyle w:val="23"/>
        <w:ind w:firstLine="480" w:firstLineChars="200"/>
        <w:rPr>
          <w:rFonts w:hint="eastAsia"/>
          <w:color w:val="auto"/>
          <w:sz w:val="24"/>
          <w:highlight w:val="none"/>
        </w:rPr>
      </w:pPr>
      <w:r>
        <w:rPr>
          <w:color w:val="auto"/>
          <w:sz w:val="24"/>
          <w:highlight w:val="none"/>
        </w:rPr>
        <w:t>注：</w:t>
      </w:r>
      <w:r>
        <w:rPr>
          <w:rFonts w:hint="eastAsia"/>
          <w:color w:val="auto"/>
          <w:sz w:val="24"/>
          <w:highlight w:val="none"/>
        </w:rPr>
        <w:t>以上限定时间为参照日期，不作为最终时间。</w:t>
      </w:r>
    </w:p>
    <w:p w14:paraId="1EB4208B">
      <w:pPr>
        <w:pStyle w:val="3"/>
        <w:spacing w:before="156" w:after="156"/>
        <w:jc w:val="center"/>
        <w:rPr>
          <w:rFonts w:hint="eastAsia" w:ascii="宋体" w:hAnsi="宋体" w:cs="宋体"/>
          <w:color w:val="auto"/>
          <w:sz w:val="32"/>
          <w:szCs w:val="32"/>
        </w:rPr>
      </w:pPr>
      <w:bookmarkStart w:id="468" w:name="_Toc25658"/>
      <w:r>
        <w:rPr>
          <w:rFonts w:hint="eastAsia" w:ascii="宋体" w:hAnsi="宋体" w:cs="宋体"/>
          <w:color w:val="auto"/>
          <w:sz w:val="32"/>
          <w:szCs w:val="32"/>
        </w:rPr>
        <w:t>第四节支付要求</w:t>
      </w:r>
      <w:bookmarkEnd w:id="468"/>
    </w:p>
    <w:p w14:paraId="3081107E">
      <w:pPr>
        <w:ind w:firstLine="720" w:firstLineChars="300"/>
        <w:rPr>
          <w:rFonts w:hint="eastAsia"/>
          <w:color w:val="auto"/>
          <w:sz w:val="24"/>
          <w:szCs w:val="24"/>
          <w:highlight w:val="none"/>
        </w:rPr>
      </w:pPr>
      <w:r>
        <w:rPr>
          <w:rFonts w:hint="eastAsia"/>
          <w:color w:val="auto"/>
          <w:sz w:val="24"/>
          <w:szCs w:val="24"/>
          <w:highlight w:val="none"/>
        </w:rPr>
        <w:t>(一)合同生效后，支付合同总金额的</w:t>
      </w:r>
      <w:r>
        <w:rPr>
          <w:rFonts w:hint="eastAsia"/>
          <w:color w:val="auto"/>
          <w:sz w:val="24"/>
          <w:szCs w:val="24"/>
          <w:highlight w:val="none"/>
          <w:lang w:eastAsia="zh-CN"/>
        </w:rPr>
        <w:t>2</w:t>
      </w:r>
      <w:r>
        <w:rPr>
          <w:rFonts w:hint="eastAsia"/>
          <w:color w:val="auto"/>
          <w:sz w:val="24"/>
          <w:szCs w:val="24"/>
          <w:highlight w:val="none"/>
        </w:rPr>
        <w:t>0%作为预付款；</w:t>
      </w:r>
    </w:p>
    <w:p w14:paraId="6C159877">
      <w:pPr>
        <w:ind w:firstLine="480" w:firstLineChars="200"/>
        <w:rPr>
          <w:rFonts w:hint="eastAsia"/>
          <w:color w:val="auto"/>
          <w:sz w:val="24"/>
          <w:szCs w:val="24"/>
          <w:highlight w:val="none"/>
        </w:rPr>
      </w:pPr>
      <w:r>
        <w:rPr>
          <w:rFonts w:hint="eastAsia"/>
          <w:color w:val="auto"/>
          <w:sz w:val="24"/>
          <w:szCs w:val="24"/>
          <w:highlight w:val="none"/>
        </w:rPr>
        <w:t>（二）服务费用按进度支付，乙方按甲方要求提交付款申请、每月出具盖章版监测报告、监控报告等资料经甲方审核确认后，按每两月支付一次的进度应支付服务费的</w:t>
      </w:r>
      <w:r>
        <w:rPr>
          <w:rFonts w:hint="eastAsia"/>
          <w:color w:val="auto"/>
          <w:sz w:val="24"/>
          <w:szCs w:val="24"/>
          <w:highlight w:val="none"/>
          <w:lang w:val="en-US" w:eastAsia="zh-CN"/>
        </w:rPr>
        <w:t>9</w:t>
      </w:r>
      <w:r>
        <w:rPr>
          <w:rFonts w:hint="eastAsia"/>
          <w:color w:val="auto"/>
          <w:sz w:val="24"/>
          <w:szCs w:val="24"/>
          <w:highlight w:val="none"/>
        </w:rPr>
        <w:t>0%进行支付</w:t>
      </w:r>
      <w:r>
        <w:rPr>
          <w:rFonts w:hint="eastAsia"/>
          <w:color w:val="auto"/>
          <w:sz w:val="24"/>
          <w:szCs w:val="24"/>
          <w:highlight w:val="none"/>
          <w:lang w:eastAsia="zh-CN"/>
        </w:rPr>
        <w:t>。</w:t>
      </w:r>
      <w:r>
        <w:rPr>
          <w:rFonts w:hint="eastAsia"/>
          <w:color w:val="auto"/>
          <w:sz w:val="24"/>
          <w:szCs w:val="24"/>
          <w:highlight w:val="none"/>
          <w:lang w:val="en-US" w:eastAsia="zh-CN"/>
        </w:rPr>
        <w:t>从第一次的支付进度款起，预付款分四次等额扣回，</w:t>
      </w:r>
      <w:r>
        <w:rPr>
          <w:rFonts w:hint="eastAsia"/>
          <w:color w:val="auto"/>
          <w:sz w:val="24"/>
          <w:szCs w:val="24"/>
          <w:highlight w:val="none"/>
        </w:rPr>
        <w:t>且累计支付不超过合同价的</w:t>
      </w:r>
      <w:r>
        <w:rPr>
          <w:rFonts w:hint="eastAsia"/>
          <w:color w:val="auto"/>
          <w:sz w:val="24"/>
          <w:szCs w:val="24"/>
          <w:highlight w:val="none"/>
          <w:lang w:val="en-US" w:eastAsia="zh-CN"/>
        </w:rPr>
        <w:t>9</w:t>
      </w:r>
      <w:r>
        <w:rPr>
          <w:rFonts w:hint="eastAsia"/>
          <w:color w:val="auto"/>
          <w:sz w:val="24"/>
          <w:szCs w:val="24"/>
          <w:highlight w:val="none"/>
        </w:rPr>
        <w:t>0%。</w:t>
      </w:r>
    </w:p>
    <w:p w14:paraId="2FFB9138">
      <w:pPr>
        <w:ind w:firstLine="480" w:firstLineChars="200"/>
        <w:rPr>
          <w:rFonts w:hint="eastAsia" w:eastAsia="宋体"/>
          <w:color w:val="auto"/>
          <w:sz w:val="24"/>
          <w:szCs w:val="24"/>
          <w:highlight w:val="none"/>
          <w:lang w:eastAsia="zh-CN"/>
        </w:rPr>
      </w:pPr>
      <w:r>
        <w:rPr>
          <w:rFonts w:hint="eastAsia"/>
          <w:color w:val="auto"/>
          <w:sz w:val="24"/>
          <w:szCs w:val="24"/>
          <w:highlight w:val="none"/>
        </w:rPr>
        <w:t>（三）服务费用结算：本合同服务费综合单价包干，工作量按实计算。合同结算金额不得超过本合同总价，如若超出本合同总价，则另行签订补充协议，若实际工期未超过合同工期，则按实际结算。</w:t>
      </w:r>
    </w:p>
    <w:p w14:paraId="4C79029A">
      <w:pPr>
        <w:ind w:firstLine="480" w:firstLineChars="200"/>
        <w:rPr>
          <w:rFonts w:hint="eastAsia"/>
          <w:color w:val="auto"/>
          <w:sz w:val="24"/>
          <w:szCs w:val="24"/>
          <w:highlight w:val="none"/>
        </w:rPr>
      </w:pPr>
      <w:r>
        <w:rPr>
          <w:rFonts w:hint="eastAsia"/>
          <w:color w:val="auto"/>
          <w:sz w:val="24"/>
          <w:szCs w:val="24"/>
          <w:highlight w:val="none"/>
        </w:rPr>
        <w:t>（四）乙方提交全部最终成果报告后</w:t>
      </w:r>
      <w:r>
        <w:rPr>
          <w:rFonts w:hint="eastAsia"/>
          <w:color w:val="auto"/>
          <w:sz w:val="24"/>
          <w:szCs w:val="24"/>
          <w:highlight w:val="none"/>
          <w:lang w:eastAsia="zh-CN"/>
        </w:rPr>
        <w:t>，</w:t>
      </w:r>
      <w:r>
        <w:rPr>
          <w:rFonts w:hint="eastAsia"/>
          <w:color w:val="auto"/>
          <w:sz w:val="24"/>
          <w:szCs w:val="24"/>
          <w:highlight w:val="none"/>
        </w:rPr>
        <w:t>提交结算资料及停测函等相关文件，经造价咨询单位(如有)、甲方审核确认后，乙方提出申请，甲方支付至结算核定金额的100%；</w:t>
      </w:r>
    </w:p>
    <w:p w14:paraId="21812F78">
      <w:pPr>
        <w:ind w:firstLine="480" w:firstLineChars="200"/>
        <w:rPr>
          <w:rFonts w:hint="eastAsia"/>
          <w:color w:val="auto"/>
          <w:sz w:val="24"/>
          <w:szCs w:val="24"/>
          <w:highlight w:val="none"/>
        </w:rPr>
      </w:pPr>
      <w:r>
        <w:rPr>
          <w:rFonts w:hint="eastAsia"/>
          <w:color w:val="auto"/>
          <w:sz w:val="24"/>
          <w:szCs w:val="24"/>
          <w:highlight w:val="none"/>
        </w:rPr>
        <w:t>（五）每次付款同时，乙方应向甲方提供合法有效等额的增值税发票；</w:t>
      </w:r>
    </w:p>
    <w:p w14:paraId="3CC5DB0E">
      <w:pPr>
        <w:ind w:firstLine="480" w:firstLineChars="200"/>
        <w:rPr>
          <w:color w:val="auto"/>
          <w:sz w:val="24"/>
          <w:szCs w:val="24"/>
          <w:highlight w:val="none"/>
        </w:rPr>
      </w:pPr>
      <w:r>
        <w:rPr>
          <w:rFonts w:hint="eastAsia"/>
          <w:color w:val="auto"/>
          <w:sz w:val="24"/>
          <w:szCs w:val="24"/>
          <w:highlight w:val="none"/>
        </w:rPr>
        <w:t>（六）具体支付要求以合同签订支付内容为准。</w:t>
      </w:r>
    </w:p>
    <w:p w14:paraId="2A847014">
      <w:pPr>
        <w:pStyle w:val="3"/>
        <w:spacing w:before="156" w:after="156"/>
        <w:jc w:val="center"/>
        <w:rPr>
          <w:rFonts w:hint="eastAsia" w:ascii="宋体" w:hAnsi="宋体" w:cs="宋体"/>
          <w:color w:val="auto"/>
          <w:sz w:val="32"/>
          <w:szCs w:val="32"/>
        </w:rPr>
      </w:pPr>
      <w:bookmarkStart w:id="469" w:name="_Toc21375"/>
      <w:r>
        <w:rPr>
          <w:rFonts w:hint="eastAsia" w:ascii="宋体" w:hAnsi="宋体" w:cs="宋体"/>
          <w:color w:val="auto"/>
          <w:sz w:val="32"/>
          <w:szCs w:val="32"/>
        </w:rPr>
        <w:t>第五节其他说明</w:t>
      </w:r>
      <w:bookmarkEnd w:id="469"/>
    </w:p>
    <w:p w14:paraId="47987CED">
      <w:pPr>
        <w:ind w:firstLine="480" w:firstLineChars="200"/>
        <w:rPr>
          <w:rFonts w:hint="eastAsia"/>
          <w:color w:val="auto"/>
          <w:sz w:val="24"/>
          <w:szCs w:val="28"/>
          <w:highlight w:val="none"/>
        </w:rPr>
      </w:pPr>
      <w:r>
        <w:rPr>
          <w:rFonts w:hint="eastAsia"/>
          <w:color w:val="auto"/>
          <w:sz w:val="24"/>
          <w:szCs w:val="28"/>
          <w:highlight w:val="none"/>
        </w:rPr>
        <w:t>本任务书为暂定方案，最终以通过地铁集团相关部门审核的正式方案为准。</w:t>
      </w:r>
    </w:p>
    <w:p w14:paraId="05EE60BE">
      <w:pPr>
        <w:rPr>
          <w:rFonts w:hint="eastAsia" w:ascii="宋体" w:hAnsi="宋体"/>
          <w:color w:val="auto"/>
          <w:sz w:val="24"/>
          <w:highlight w:val="none"/>
        </w:rPr>
      </w:pPr>
    </w:p>
    <w:p w14:paraId="6C587D4A">
      <w:pPr>
        <w:pStyle w:val="23"/>
        <w:rPr>
          <w:rFonts w:hint="eastAsia" w:ascii="宋体" w:hAnsi="宋体"/>
          <w:color w:val="auto"/>
          <w:sz w:val="24"/>
          <w:highlight w:val="none"/>
        </w:rPr>
      </w:pPr>
    </w:p>
    <w:p w14:paraId="142A7332">
      <w:pPr>
        <w:pStyle w:val="24"/>
        <w:ind w:firstLine="480"/>
        <w:rPr>
          <w:rFonts w:hint="eastAsia" w:ascii="宋体" w:hAnsi="宋体"/>
          <w:color w:val="auto"/>
          <w:sz w:val="24"/>
          <w:highlight w:val="none"/>
        </w:rPr>
      </w:pPr>
    </w:p>
    <w:p w14:paraId="73572D09">
      <w:pPr>
        <w:pStyle w:val="24"/>
        <w:ind w:firstLine="480"/>
        <w:rPr>
          <w:rFonts w:hint="eastAsia" w:ascii="宋体" w:hAnsi="宋体"/>
          <w:color w:val="auto"/>
          <w:sz w:val="24"/>
          <w:highlight w:val="none"/>
        </w:rPr>
      </w:pPr>
    </w:p>
    <w:p w14:paraId="56712091">
      <w:pPr>
        <w:pStyle w:val="24"/>
        <w:ind w:firstLine="480"/>
        <w:rPr>
          <w:rFonts w:hint="eastAsia" w:ascii="宋体" w:hAnsi="宋体"/>
          <w:color w:val="auto"/>
          <w:sz w:val="24"/>
          <w:highlight w:val="none"/>
        </w:rPr>
      </w:pPr>
    </w:p>
    <w:p w14:paraId="5E942EE4">
      <w:pPr>
        <w:pStyle w:val="24"/>
        <w:ind w:left="0" w:leftChars="0" w:firstLine="0" w:firstLineChars="0"/>
        <w:rPr>
          <w:rFonts w:hint="eastAsia" w:ascii="宋体" w:hAnsi="宋体"/>
          <w:color w:val="auto"/>
          <w:sz w:val="24"/>
          <w:highlight w:val="none"/>
        </w:rPr>
      </w:pPr>
    </w:p>
    <w:bookmarkEnd w:id="443"/>
    <w:p w14:paraId="59F60523">
      <w:pPr>
        <w:bidi w:val="0"/>
        <w:rPr>
          <w:color w:val="auto"/>
          <w:highlight w:val="none"/>
        </w:rPr>
      </w:pPr>
      <w:bookmarkStart w:id="470" w:name="_Toc27625"/>
    </w:p>
    <w:p w14:paraId="2EAED4C9">
      <w:pPr>
        <w:bidi w:val="0"/>
        <w:rPr>
          <w:color w:val="auto"/>
          <w:highlight w:val="none"/>
        </w:rPr>
      </w:pPr>
    </w:p>
    <w:p w14:paraId="28456AF0">
      <w:pPr>
        <w:bidi w:val="0"/>
        <w:rPr>
          <w:color w:val="auto"/>
          <w:highlight w:val="none"/>
        </w:rPr>
      </w:pPr>
    </w:p>
    <w:p w14:paraId="1A332A2B">
      <w:pPr>
        <w:pStyle w:val="4"/>
        <w:ind w:firstLine="2016" w:firstLineChars="700"/>
        <w:jc w:val="both"/>
        <w:rPr>
          <w:rFonts w:ascii="Times New Roman" w:eastAsia="宋体"/>
          <w:color w:val="auto"/>
        </w:rPr>
        <w:sectPr>
          <w:pgSz w:w="11905" w:h="16838"/>
          <w:pgMar w:top="1145" w:right="850" w:bottom="850" w:left="1287" w:header="0" w:footer="454" w:gutter="0"/>
          <w:pgNumType w:fmt="decimal"/>
          <w:cols w:space="720" w:num="1"/>
          <w:rtlGutter w:val="0"/>
          <w:docGrid w:linePitch="360" w:charSpace="0"/>
        </w:sectPr>
      </w:pPr>
    </w:p>
    <w:p w14:paraId="78B4E260">
      <w:pPr>
        <w:pStyle w:val="3"/>
        <w:bidi w:val="0"/>
        <w:jc w:val="center"/>
        <w:rPr>
          <w:color w:val="auto"/>
        </w:rPr>
        <w:sectPr>
          <w:pgSz w:w="11905" w:h="16838"/>
          <w:pgMar w:top="1145" w:right="850" w:bottom="850" w:left="1287" w:header="0" w:footer="454" w:gutter="0"/>
          <w:pgNumType w:fmt="decimal"/>
          <w:cols w:space="720" w:num="1"/>
          <w:rtlGutter w:val="0"/>
          <w:docGrid w:linePitch="360" w:charSpace="0"/>
        </w:sectPr>
      </w:pPr>
      <w:r>
        <w:rPr>
          <w:color w:val="auto"/>
        </w:rPr>
        <w:t>第</w:t>
      </w:r>
      <w:r>
        <w:rPr>
          <w:rFonts w:hint="eastAsia"/>
          <w:color w:val="auto"/>
        </w:rPr>
        <w:t>六</w:t>
      </w:r>
      <w:r>
        <w:rPr>
          <w:color w:val="auto"/>
        </w:rPr>
        <w:t>章</w:t>
      </w:r>
      <w:r>
        <w:rPr>
          <w:rFonts w:hint="eastAsia"/>
          <w:color w:val="auto"/>
        </w:rPr>
        <w:t xml:space="preserve"> </w:t>
      </w:r>
      <w:bookmarkEnd w:id="470"/>
      <w:bookmarkStart w:id="471" w:name="_Toc530728914"/>
      <w:bookmarkStart w:id="472" w:name="_Toc8638"/>
      <w:r>
        <w:rPr>
          <w:color w:val="auto"/>
        </w:rPr>
        <w:t>投标文件格式</w:t>
      </w:r>
      <w:bookmarkEnd w:id="471"/>
      <w:bookmarkEnd w:id="472"/>
    </w:p>
    <w:p w14:paraId="44BE7E3C">
      <w:pPr>
        <w:spacing w:line="440" w:lineRule="exact"/>
        <w:jc w:val="center"/>
        <w:rPr>
          <w:rFonts w:ascii="宋体" w:hAnsi="宋体"/>
          <w:b/>
          <w:color w:val="auto"/>
          <w:sz w:val="32"/>
          <w:szCs w:val="32"/>
          <w:highlight w:val="none"/>
        </w:rPr>
      </w:pPr>
      <w:r>
        <w:rPr>
          <w:color w:val="auto"/>
          <w:sz w:val="32"/>
          <w:szCs w:val="32"/>
          <w:highlight w:val="none"/>
        </w:rPr>
        <w:t>湾区农谷二期地铁保护</w:t>
      </w:r>
      <w:r>
        <w:rPr>
          <w:rFonts w:hint="eastAsia"/>
          <w:color w:val="auto"/>
          <w:sz w:val="32"/>
          <w:szCs w:val="32"/>
          <w:highlight w:val="none"/>
          <w:lang w:val="en-US" w:eastAsia="zh-CN"/>
        </w:rPr>
        <w:t>动态</w:t>
      </w:r>
      <w:r>
        <w:rPr>
          <w:color w:val="auto"/>
          <w:sz w:val="32"/>
          <w:szCs w:val="32"/>
          <w:highlight w:val="none"/>
        </w:rPr>
        <w:t>监测</w:t>
      </w:r>
      <w:r>
        <w:rPr>
          <w:rFonts w:hint="eastAsia"/>
          <w:color w:val="auto"/>
          <w:sz w:val="32"/>
          <w:szCs w:val="32"/>
          <w:highlight w:val="none"/>
        </w:rPr>
        <w:t>和安全监控服务</w:t>
      </w:r>
    </w:p>
    <w:p w14:paraId="4946F83D">
      <w:pPr>
        <w:spacing w:line="502" w:lineRule="exact"/>
        <w:jc w:val="center"/>
        <w:rPr>
          <w:color w:val="auto"/>
          <w:sz w:val="44"/>
          <w:highlight w:val="none"/>
        </w:rPr>
      </w:pPr>
    </w:p>
    <w:p w14:paraId="2950F5B1">
      <w:pPr>
        <w:spacing w:line="440" w:lineRule="exact"/>
        <w:jc w:val="center"/>
        <w:rPr>
          <w:rFonts w:hint="eastAsia" w:ascii="宋体" w:hAnsi="宋体"/>
          <w:bCs/>
          <w:color w:val="auto"/>
          <w:sz w:val="44"/>
          <w:szCs w:val="44"/>
          <w:highlight w:val="none"/>
        </w:rPr>
      </w:pPr>
    </w:p>
    <w:p w14:paraId="782CDC3C">
      <w:pPr>
        <w:spacing w:line="360" w:lineRule="auto"/>
        <w:rPr>
          <w:color w:val="auto"/>
          <w:highlight w:val="none"/>
        </w:rPr>
      </w:pPr>
    </w:p>
    <w:p w14:paraId="672F7E01">
      <w:pPr>
        <w:spacing w:line="284" w:lineRule="exact"/>
        <w:rPr>
          <w:color w:val="auto"/>
          <w:highlight w:val="none"/>
        </w:rPr>
      </w:pPr>
    </w:p>
    <w:p w14:paraId="062D5C92">
      <w:pPr>
        <w:spacing w:line="284" w:lineRule="exact"/>
        <w:rPr>
          <w:color w:val="auto"/>
          <w:highlight w:val="none"/>
        </w:rPr>
      </w:pPr>
    </w:p>
    <w:p w14:paraId="78C7B904">
      <w:pPr>
        <w:spacing w:line="284" w:lineRule="exact"/>
        <w:rPr>
          <w:color w:val="auto"/>
          <w:highlight w:val="none"/>
        </w:rPr>
      </w:pPr>
    </w:p>
    <w:p w14:paraId="109943AC">
      <w:pPr>
        <w:spacing w:line="284" w:lineRule="exact"/>
        <w:rPr>
          <w:color w:val="auto"/>
          <w:highlight w:val="none"/>
        </w:rPr>
      </w:pPr>
    </w:p>
    <w:p w14:paraId="554F149F">
      <w:pPr>
        <w:spacing w:line="284" w:lineRule="exact"/>
        <w:rPr>
          <w:color w:val="auto"/>
          <w:highlight w:val="none"/>
        </w:rPr>
      </w:pPr>
    </w:p>
    <w:p w14:paraId="74658E0D">
      <w:pPr>
        <w:spacing w:line="284" w:lineRule="exact"/>
        <w:rPr>
          <w:color w:val="auto"/>
          <w:highlight w:val="none"/>
        </w:rPr>
      </w:pPr>
    </w:p>
    <w:p w14:paraId="27A494BF">
      <w:pPr>
        <w:spacing w:line="284" w:lineRule="exact"/>
        <w:rPr>
          <w:color w:val="auto"/>
          <w:highlight w:val="none"/>
        </w:rPr>
      </w:pPr>
    </w:p>
    <w:p w14:paraId="77A5A720">
      <w:pPr>
        <w:spacing w:line="284" w:lineRule="exact"/>
        <w:rPr>
          <w:color w:val="auto"/>
          <w:highlight w:val="none"/>
        </w:rPr>
      </w:pPr>
    </w:p>
    <w:p w14:paraId="74D49183">
      <w:pPr>
        <w:spacing w:line="284" w:lineRule="exact"/>
        <w:rPr>
          <w:color w:val="auto"/>
          <w:highlight w:val="none"/>
        </w:rPr>
      </w:pPr>
    </w:p>
    <w:p w14:paraId="4BF85748">
      <w:pPr>
        <w:spacing w:line="502" w:lineRule="exact"/>
        <w:jc w:val="center"/>
        <w:rPr>
          <w:rFonts w:hint="eastAsia"/>
          <w:color w:val="auto"/>
          <w:sz w:val="44"/>
          <w:highlight w:val="none"/>
        </w:rPr>
      </w:pPr>
    </w:p>
    <w:p w14:paraId="3AB57A2F">
      <w:pPr>
        <w:spacing w:line="502" w:lineRule="exact"/>
        <w:jc w:val="center"/>
        <w:rPr>
          <w:color w:val="auto"/>
          <w:sz w:val="44"/>
          <w:highlight w:val="none"/>
        </w:rPr>
      </w:pPr>
      <w:r>
        <w:rPr>
          <w:color w:val="auto"/>
          <w:sz w:val="44"/>
          <w:highlight w:val="none"/>
        </w:rPr>
        <w:t>投 标 文 件</w:t>
      </w:r>
    </w:p>
    <w:p w14:paraId="0C5DAA07">
      <w:pPr>
        <w:spacing w:line="200" w:lineRule="exact"/>
        <w:rPr>
          <w:color w:val="auto"/>
          <w:highlight w:val="none"/>
        </w:rPr>
      </w:pPr>
    </w:p>
    <w:p w14:paraId="07FF4350">
      <w:pPr>
        <w:spacing w:line="200" w:lineRule="exact"/>
        <w:rPr>
          <w:color w:val="auto"/>
          <w:highlight w:val="none"/>
        </w:rPr>
      </w:pPr>
    </w:p>
    <w:p w14:paraId="6DE3AF0E">
      <w:pPr>
        <w:spacing w:line="200" w:lineRule="exact"/>
        <w:rPr>
          <w:color w:val="auto"/>
          <w:highlight w:val="none"/>
        </w:rPr>
      </w:pPr>
    </w:p>
    <w:p w14:paraId="10A24E43">
      <w:pPr>
        <w:spacing w:line="200" w:lineRule="exact"/>
        <w:rPr>
          <w:color w:val="auto"/>
          <w:highlight w:val="none"/>
        </w:rPr>
      </w:pPr>
    </w:p>
    <w:p w14:paraId="0AA636D4">
      <w:pPr>
        <w:spacing w:line="200" w:lineRule="exact"/>
        <w:rPr>
          <w:color w:val="auto"/>
          <w:highlight w:val="none"/>
        </w:rPr>
      </w:pPr>
    </w:p>
    <w:p w14:paraId="64604131">
      <w:pPr>
        <w:spacing w:line="200" w:lineRule="exact"/>
        <w:rPr>
          <w:color w:val="auto"/>
          <w:highlight w:val="none"/>
        </w:rPr>
      </w:pPr>
    </w:p>
    <w:p w14:paraId="6F3E04B0">
      <w:pPr>
        <w:spacing w:line="200" w:lineRule="exact"/>
        <w:rPr>
          <w:color w:val="auto"/>
          <w:highlight w:val="none"/>
        </w:rPr>
      </w:pPr>
    </w:p>
    <w:p w14:paraId="14851A96">
      <w:pPr>
        <w:spacing w:line="200" w:lineRule="exact"/>
        <w:rPr>
          <w:color w:val="auto"/>
          <w:highlight w:val="none"/>
        </w:rPr>
      </w:pPr>
    </w:p>
    <w:p w14:paraId="711A1CCC">
      <w:pPr>
        <w:spacing w:line="200" w:lineRule="exact"/>
        <w:rPr>
          <w:color w:val="auto"/>
          <w:highlight w:val="none"/>
        </w:rPr>
      </w:pPr>
    </w:p>
    <w:p w14:paraId="39F0A261">
      <w:pPr>
        <w:spacing w:line="200" w:lineRule="exact"/>
        <w:rPr>
          <w:color w:val="auto"/>
          <w:highlight w:val="none"/>
        </w:rPr>
      </w:pPr>
    </w:p>
    <w:p w14:paraId="3CB12A8D">
      <w:pPr>
        <w:spacing w:line="200" w:lineRule="exact"/>
        <w:rPr>
          <w:color w:val="auto"/>
          <w:highlight w:val="none"/>
        </w:rPr>
      </w:pPr>
    </w:p>
    <w:p w14:paraId="2F6EF6D4">
      <w:pPr>
        <w:spacing w:line="200" w:lineRule="exact"/>
        <w:rPr>
          <w:color w:val="auto"/>
          <w:highlight w:val="none"/>
        </w:rPr>
      </w:pPr>
    </w:p>
    <w:p w14:paraId="003B9E99">
      <w:pPr>
        <w:spacing w:line="200" w:lineRule="exact"/>
        <w:rPr>
          <w:color w:val="auto"/>
          <w:highlight w:val="none"/>
        </w:rPr>
      </w:pPr>
    </w:p>
    <w:p w14:paraId="18EFBD83">
      <w:pPr>
        <w:spacing w:line="200" w:lineRule="exact"/>
        <w:rPr>
          <w:color w:val="auto"/>
          <w:highlight w:val="none"/>
        </w:rPr>
      </w:pPr>
    </w:p>
    <w:p w14:paraId="1D219D42">
      <w:pPr>
        <w:spacing w:line="200" w:lineRule="exact"/>
        <w:rPr>
          <w:rFonts w:hint="eastAsia"/>
          <w:color w:val="auto"/>
          <w:highlight w:val="none"/>
        </w:rPr>
      </w:pPr>
    </w:p>
    <w:p w14:paraId="65FBE41D">
      <w:pPr>
        <w:spacing w:line="200" w:lineRule="exact"/>
        <w:rPr>
          <w:rFonts w:hint="eastAsia"/>
          <w:color w:val="auto"/>
          <w:highlight w:val="none"/>
        </w:rPr>
      </w:pPr>
    </w:p>
    <w:p w14:paraId="4361D1A2">
      <w:pPr>
        <w:spacing w:line="200" w:lineRule="exact"/>
        <w:rPr>
          <w:rFonts w:hint="eastAsia"/>
          <w:color w:val="auto"/>
          <w:highlight w:val="none"/>
        </w:rPr>
      </w:pPr>
    </w:p>
    <w:p w14:paraId="0B6D1F74">
      <w:pPr>
        <w:spacing w:line="200" w:lineRule="exact"/>
        <w:rPr>
          <w:color w:val="auto"/>
          <w:highlight w:val="none"/>
        </w:rPr>
      </w:pPr>
    </w:p>
    <w:p w14:paraId="4F2CE888">
      <w:pPr>
        <w:spacing w:line="200" w:lineRule="exact"/>
        <w:rPr>
          <w:color w:val="auto"/>
          <w:highlight w:val="none"/>
        </w:rPr>
      </w:pPr>
    </w:p>
    <w:p w14:paraId="2BBCA0D0">
      <w:pPr>
        <w:spacing w:line="200" w:lineRule="exact"/>
        <w:rPr>
          <w:color w:val="auto"/>
          <w:highlight w:val="none"/>
        </w:rPr>
      </w:pPr>
    </w:p>
    <w:p w14:paraId="65AB9944">
      <w:pPr>
        <w:spacing w:line="200" w:lineRule="exact"/>
        <w:rPr>
          <w:color w:val="auto"/>
          <w:highlight w:val="none"/>
        </w:rPr>
      </w:pPr>
    </w:p>
    <w:p w14:paraId="6169C39D">
      <w:pPr>
        <w:spacing w:line="200" w:lineRule="exact"/>
        <w:rPr>
          <w:color w:val="auto"/>
          <w:highlight w:val="none"/>
        </w:rPr>
      </w:pPr>
    </w:p>
    <w:p w14:paraId="74FE918C">
      <w:pPr>
        <w:spacing w:line="308" w:lineRule="exact"/>
        <w:rPr>
          <w:color w:val="auto"/>
          <w:highlight w:val="none"/>
        </w:rPr>
      </w:pPr>
    </w:p>
    <w:p w14:paraId="6A2E7B2A">
      <w:pPr>
        <w:tabs>
          <w:tab w:val="left" w:pos="7200"/>
        </w:tabs>
        <w:spacing w:line="308" w:lineRule="exact"/>
        <w:ind w:left="1480"/>
        <w:rPr>
          <w:color w:val="auto"/>
          <w:sz w:val="27"/>
          <w:highlight w:val="none"/>
        </w:rPr>
      </w:pPr>
      <w:r>
        <w:rPr>
          <w:color w:val="auto"/>
          <w:sz w:val="27"/>
          <w:highlight w:val="none"/>
        </w:rPr>
        <w:t>投标人：</w:t>
      </w:r>
      <w:r>
        <w:rPr>
          <w:rFonts w:hint="eastAsia"/>
          <w:color w:val="auto"/>
          <w:highlight w:val="none"/>
        </w:rPr>
        <w:t xml:space="preserve">                                </w:t>
      </w:r>
      <w:r>
        <w:rPr>
          <w:color w:val="auto"/>
          <w:sz w:val="27"/>
          <w:highlight w:val="none"/>
        </w:rPr>
        <w:t>（盖单位章）</w:t>
      </w:r>
    </w:p>
    <w:p w14:paraId="1358DDBB">
      <w:pPr>
        <w:spacing w:line="20" w:lineRule="exact"/>
        <w:rPr>
          <w:color w:val="auto"/>
          <w:highlight w:val="none"/>
        </w:rPr>
      </w:pPr>
      <w:r>
        <w:rPr>
          <w:color w:val="auto"/>
          <w:highlight w:val="none"/>
        </w:rPr>
        <mc:AlternateContent>
          <mc:Choice Requires="wps">
            <w:drawing>
              <wp:anchor distT="0" distB="0" distL="114300" distR="114300" simplePos="0" relativeHeight="251659264" behindDoc="1" locked="0" layoutInCell="0" allowOverlap="1">
                <wp:simplePos x="0" y="0"/>
                <wp:positionH relativeFrom="column">
                  <wp:posOffset>1653540</wp:posOffset>
                </wp:positionH>
                <wp:positionV relativeFrom="paragraph">
                  <wp:posOffset>-5715</wp:posOffset>
                </wp:positionV>
                <wp:extent cx="2932430" cy="0"/>
                <wp:effectExtent l="0" t="4445" r="0" b="5080"/>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2932430" cy="0"/>
                        </a:xfrm>
                        <a:prstGeom prst="line">
                          <a:avLst/>
                        </a:prstGeom>
                        <a:noFill/>
                        <a:ln w="6095">
                          <a:solidFill>
                            <a:srgbClr val="000000"/>
                          </a:solidFill>
                          <a:round/>
                        </a:ln>
                        <a:effectLst/>
                      </wps:spPr>
                      <wps:bodyPr/>
                    </wps:wsp>
                  </a:graphicData>
                </a:graphic>
              </wp:anchor>
            </w:drawing>
          </mc:Choice>
          <mc:Fallback>
            <w:pict>
              <v:line id="_x0000_s1026" o:spid="_x0000_s1026" o:spt="20" style="position:absolute;left:0pt;margin-left:130.2pt;margin-top:-0.45pt;height:0pt;width:230.9pt;z-index:-251657216;mso-width-relative:page;mso-height-relative:page;" filled="f" stroked="t" coordsize="21600,21600" o:allowincell="f" o:gfxdata="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jLRc0wAA&#10;AAcBAAAPAAAAAAAAAAEAIAAAACIAAABkcnMvZG93bnJldi54bWxQSwECFAAUAAAACACHTuJAusjr&#10;qOoBAAC6AwAADgAAAAAAAAABACAAAAAiAQAAZHJzL2Uyb0RvYy54bWxQSwUGAAAAAAYABgBZAQAA&#10;fgUAAAAA&#10;">
                <v:fill on="f" focussize="0,0"/>
                <v:stroke weight="0.47992125984252pt" color="#000000" joinstyle="round"/>
                <v:imagedata o:title=""/>
                <o:lock v:ext="edit" aspectratio="f"/>
              </v:line>
            </w:pict>
          </mc:Fallback>
        </mc:AlternateContent>
      </w:r>
    </w:p>
    <w:p w14:paraId="6ED8CDA0">
      <w:pPr>
        <w:spacing w:line="205" w:lineRule="exact"/>
        <w:rPr>
          <w:color w:val="auto"/>
          <w:highlight w:val="none"/>
        </w:rPr>
      </w:pPr>
    </w:p>
    <w:p w14:paraId="445F5095">
      <w:pPr>
        <w:tabs>
          <w:tab w:val="left" w:pos="5840"/>
        </w:tabs>
        <w:spacing w:line="320" w:lineRule="exact"/>
        <w:ind w:left="1480"/>
        <w:rPr>
          <w:color w:val="auto"/>
          <w:sz w:val="28"/>
          <w:highlight w:val="none"/>
        </w:rPr>
      </w:pPr>
      <w:r>
        <w:rPr>
          <w:color w:val="auto"/>
          <w:sz w:val="28"/>
          <w:highlight w:val="none"/>
        </w:rPr>
        <w:t>法定代表人或其被授权人：</w:t>
      </w:r>
      <w:r>
        <w:rPr>
          <w:color w:val="auto"/>
          <w:highlight w:val="none"/>
        </w:rPr>
        <w:tab/>
      </w:r>
      <w:r>
        <w:rPr>
          <w:color w:val="auto"/>
          <w:sz w:val="28"/>
          <w:highlight w:val="none"/>
        </w:rPr>
        <w:t>（签字</w:t>
      </w:r>
      <w:r>
        <w:rPr>
          <w:rFonts w:hint="eastAsia"/>
          <w:color w:val="auto"/>
          <w:sz w:val="28"/>
          <w:highlight w:val="none"/>
        </w:rPr>
        <w:t>或盖章</w:t>
      </w:r>
      <w:r>
        <w:rPr>
          <w:color w:val="auto"/>
          <w:sz w:val="28"/>
          <w:highlight w:val="none"/>
        </w:rPr>
        <w:t>）</w:t>
      </w:r>
    </w:p>
    <w:p w14:paraId="2EA7EACF">
      <w:pPr>
        <w:spacing w:line="20" w:lineRule="exact"/>
        <w:rPr>
          <w:color w:val="auto"/>
          <w:highlight w:val="none"/>
        </w:rPr>
      </w:pPr>
      <w:r>
        <w:rPr>
          <w:color w:val="auto"/>
          <w:highlight w:val="none"/>
        </w:rPr>
        <mc:AlternateContent>
          <mc:Choice Requires="wps">
            <w:drawing>
              <wp:anchor distT="0" distB="0" distL="114300" distR="114300" simplePos="0" relativeHeight="251660288" behindDoc="1" locked="0" layoutInCell="0" allowOverlap="1">
                <wp:simplePos x="0" y="0"/>
                <wp:positionH relativeFrom="column">
                  <wp:posOffset>3252470</wp:posOffset>
                </wp:positionH>
                <wp:positionV relativeFrom="paragraph">
                  <wp:posOffset>-5715</wp:posOffset>
                </wp:positionV>
                <wp:extent cx="466725" cy="0"/>
                <wp:effectExtent l="0" t="4445" r="0" b="0"/>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6096">
                          <a:solidFill>
                            <a:srgbClr val="000000"/>
                          </a:solidFill>
                          <a:round/>
                        </a:ln>
                        <a:effectLst/>
                      </wps:spPr>
                      <wps:bodyPr/>
                    </wps:wsp>
                  </a:graphicData>
                </a:graphic>
              </wp:anchor>
            </w:drawing>
          </mc:Choice>
          <mc:Fallback>
            <w:pict>
              <v:line id="_x0000_s1026" o:spid="_x0000_s1026" o:spt="20" style="position:absolute;left:0pt;margin-left:256.1pt;margin-top:-0.45pt;height:0pt;width:36.75pt;z-index:-251656192;mso-width-relative:page;mso-height-relative:page;" filled="f" stroked="t" coordsize="21600,21600" o:allowincell="f" o:gfxdata="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U5IKLW&#10;AAAABwEAAA8AAAAAAAAAAQAgAAAAIgAAAGRycy9kb3ducmV2LnhtbFBLAQIUABQAAAAIAIdO4kBl&#10;1nNG6QEAALkDAAAOAAAAAAAAAAEAIAAAACUBAABkcnMvZTJvRG9jLnhtbFBLBQYAAAAABgAGAFkB&#10;AACABQAAAAA=&#10;">
                <v:fill on="f" focussize="0,0"/>
                <v:stroke weight="0.48pt" color="#000000" joinstyle="round"/>
                <v:imagedata o:title=""/>
                <o:lock v:ext="edit" aspectratio="f"/>
              </v:line>
            </w:pict>
          </mc:Fallback>
        </mc:AlternateContent>
      </w:r>
    </w:p>
    <w:p w14:paraId="493DCCDE">
      <w:pPr>
        <w:spacing w:line="200" w:lineRule="exact"/>
        <w:rPr>
          <w:color w:val="auto"/>
          <w:highlight w:val="none"/>
        </w:rPr>
      </w:pPr>
    </w:p>
    <w:p w14:paraId="50FCA631">
      <w:pPr>
        <w:spacing w:line="368" w:lineRule="exact"/>
        <w:rPr>
          <w:color w:val="auto"/>
          <w:highlight w:val="none"/>
        </w:rPr>
      </w:pPr>
    </w:p>
    <w:p w14:paraId="300302AA">
      <w:pPr>
        <w:tabs>
          <w:tab w:val="left" w:pos="4880"/>
          <w:tab w:val="left" w:pos="5900"/>
        </w:tabs>
        <w:spacing w:line="320" w:lineRule="exact"/>
        <w:ind w:left="3900"/>
        <w:rPr>
          <w:color w:val="auto"/>
          <w:sz w:val="28"/>
          <w:highlight w:val="none"/>
        </w:rPr>
      </w:pPr>
      <w:r>
        <w:rPr>
          <w:color w:val="auto"/>
          <w:sz w:val="28"/>
          <w:highlight w:val="none"/>
        </w:rPr>
        <w:t>年</w:t>
      </w:r>
      <w:r>
        <w:rPr>
          <w:color w:val="auto"/>
          <w:highlight w:val="none"/>
        </w:rPr>
        <w:tab/>
      </w:r>
      <w:r>
        <w:rPr>
          <w:color w:val="auto"/>
          <w:sz w:val="28"/>
          <w:highlight w:val="none"/>
        </w:rPr>
        <w:t>月</w:t>
      </w:r>
      <w:r>
        <w:rPr>
          <w:color w:val="auto"/>
          <w:highlight w:val="none"/>
        </w:rPr>
        <w:tab/>
      </w:r>
      <w:r>
        <w:rPr>
          <w:color w:val="auto"/>
          <w:sz w:val="28"/>
          <w:highlight w:val="none"/>
        </w:rPr>
        <w:t>日</w:t>
      </w:r>
    </w:p>
    <w:p w14:paraId="2DE43B34">
      <w:pPr>
        <w:spacing w:line="20" w:lineRule="exact"/>
        <w:rPr>
          <w:color w:val="auto"/>
          <w:highlight w:val="none"/>
        </w:rPr>
      </w:pPr>
      <w:r>
        <w:rPr>
          <w:color w:val="auto"/>
          <w:highlight w:val="none"/>
        </w:rPr>
        <mc:AlternateContent>
          <mc:Choice Requires="wps">
            <w:drawing>
              <wp:anchor distT="0" distB="0" distL="114300" distR="114300" simplePos="0" relativeHeight="251661312" behindDoc="1" locked="0" layoutInCell="0" allowOverlap="1">
                <wp:simplePos x="0" y="0"/>
                <wp:positionH relativeFrom="column">
                  <wp:posOffset>2004695</wp:posOffset>
                </wp:positionH>
                <wp:positionV relativeFrom="paragraph">
                  <wp:posOffset>-5715</wp:posOffset>
                </wp:positionV>
                <wp:extent cx="466090" cy="0"/>
                <wp:effectExtent l="0" t="4445" r="0" b="5080"/>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6095">
                          <a:solidFill>
                            <a:srgbClr val="000000"/>
                          </a:solidFill>
                          <a:round/>
                        </a:ln>
                        <a:effectLst/>
                      </wps:spPr>
                      <wps:bodyPr/>
                    </wps:wsp>
                  </a:graphicData>
                </a:graphic>
              </wp:anchor>
            </w:drawing>
          </mc:Choice>
          <mc:Fallback>
            <w:pict>
              <v:line id="_x0000_s1026" o:spid="_x0000_s1026" o:spt="20" style="position:absolute;left:0pt;margin-left:157.85pt;margin-top:-0.45pt;height:0pt;width:36.7pt;z-index:-251655168;mso-width-relative:page;mso-height-relative:page;" filled="f" stroked="t" coordsize="21600,21600" o:allowincell="f" o:gfxdata="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ywdL0wAAAAcB&#10;AAAPAAAAAAAAAAEAIAAAACIAAABkcnMvZG93bnJldi54bWxQSwECFAAUAAAACACHTuJAqDDRuecB&#10;AAC5AwAADgAAAAAAAAABACAAAAAiAQAAZHJzL2Uyb0RvYy54bWxQSwUGAAAAAAYABgBZAQAAewUA&#10;AAAA&#10;">
                <v:fill on="f" focussize="0,0"/>
                <v:stroke weight="0.47992125984252pt" color="#000000"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662336" behindDoc="1" locked="0" layoutInCell="0" allowOverlap="1">
                <wp:simplePos x="0" y="0"/>
                <wp:positionH relativeFrom="column">
                  <wp:posOffset>2650490</wp:posOffset>
                </wp:positionH>
                <wp:positionV relativeFrom="paragraph">
                  <wp:posOffset>-5715</wp:posOffset>
                </wp:positionV>
                <wp:extent cx="464820" cy="0"/>
                <wp:effectExtent l="0" t="4445" r="0" b="0"/>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6095">
                          <a:solidFill>
                            <a:srgbClr val="000000"/>
                          </a:solidFill>
                          <a:round/>
                        </a:ln>
                        <a:effectLst/>
                      </wps:spPr>
                      <wps:bodyPr/>
                    </wps:wsp>
                  </a:graphicData>
                </a:graphic>
              </wp:anchor>
            </w:drawing>
          </mc:Choice>
          <mc:Fallback>
            <w:pict>
              <v:line id="_x0000_s1026" o:spid="_x0000_s1026" o:spt="20" style="position:absolute;left:0pt;margin-left:208.7pt;margin-top:-0.45pt;height:0pt;width:36.6pt;z-index:-251654144;mso-width-relative:page;mso-height-relative:page;" filled="f" stroked="t" coordsize="21600,21600" o:allowincell="f" o:gfxdata="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OgWm0wAA&#10;AAcBAAAPAAAAAAAAAAEAIAAAACIAAABkcnMvZG93bnJldi54bWxQSwECFAAUAAAACACHTuJAqgWG&#10;D+oBAAC5AwAADgAAAAAAAAABACAAAAAiAQAAZHJzL2Uyb0RvYy54bWxQSwUGAAAAAAYABgBZAQAA&#10;fgUAAAAA&#10;">
                <v:fill on="f" focussize="0,0"/>
                <v:stroke weight="0.47992125984252pt" color="#000000"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663360" behindDoc="1" locked="0" layoutInCell="0" allowOverlap="1">
                <wp:simplePos x="0" y="0"/>
                <wp:positionH relativeFrom="column">
                  <wp:posOffset>3295015</wp:posOffset>
                </wp:positionH>
                <wp:positionV relativeFrom="paragraph">
                  <wp:posOffset>-5715</wp:posOffset>
                </wp:positionV>
                <wp:extent cx="465455" cy="0"/>
                <wp:effectExtent l="0" t="5080" r="0" b="444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465455" cy="0"/>
                        </a:xfrm>
                        <a:prstGeom prst="line">
                          <a:avLst/>
                        </a:prstGeom>
                        <a:noFill/>
                        <a:ln w="6095">
                          <a:solidFill>
                            <a:srgbClr val="000000"/>
                          </a:solidFill>
                          <a:round/>
                        </a:ln>
                        <a:effectLst/>
                      </wps:spPr>
                      <wps:bodyPr/>
                    </wps:wsp>
                  </a:graphicData>
                </a:graphic>
              </wp:anchor>
            </w:drawing>
          </mc:Choice>
          <mc:Fallback>
            <w:pict>
              <v:line id="_x0000_s1026" o:spid="_x0000_s1026" o:spt="20" style="position:absolute;left:0pt;margin-left:259.45pt;margin-top:-0.45pt;height:0pt;width:36.65pt;z-index:-251653120;mso-width-relative:page;mso-height-relative:page;" filled="f" stroked="t" coordsize="21600,21600" o:allowincell="f" o:gfxdata="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a5yYvTAAAA&#10;BwEAAA8AAAAAAAAAAQAgAAAAIgAAAGRycy9kb3ducmV2LnhtbFBLAQIUABQAAAAIAIdO4kBnIFYg&#10;6QEAALkDAAAOAAAAAAAAAAEAIAAAACIBAABkcnMvZTJvRG9jLnhtbFBLBQYAAAAABgAGAFkBAAB9&#10;BQAAAAA=&#10;">
                <v:fill on="f" focussize="0,0"/>
                <v:stroke weight="0.47992125984252pt" color="#000000" joinstyle="round"/>
                <v:imagedata o:title=""/>
                <o:lock v:ext="edit" aspectratio="f"/>
              </v:line>
            </w:pict>
          </mc:Fallback>
        </mc:AlternateContent>
      </w:r>
    </w:p>
    <w:p w14:paraId="2E1ABEB6">
      <w:pPr>
        <w:spacing w:line="225" w:lineRule="exact"/>
        <w:rPr>
          <w:color w:val="auto"/>
          <w:highlight w:val="none"/>
        </w:rPr>
      </w:pPr>
    </w:p>
    <w:p w14:paraId="4B76692C">
      <w:pPr>
        <w:spacing w:line="0" w:lineRule="atLeast"/>
        <w:jc w:val="center"/>
        <w:rPr>
          <w:color w:val="auto"/>
          <w:sz w:val="18"/>
          <w:highlight w:val="none"/>
        </w:rPr>
        <w:sectPr>
          <w:pgSz w:w="11905" w:h="16838"/>
          <w:pgMar w:top="1145" w:right="850" w:bottom="850" w:left="1287" w:header="0" w:footer="454" w:gutter="0"/>
          <w:pgNumType w:fmt="decimal"/>
          <w:cols w:space="720" w:num="1"/>
          <w:rtlGutter w:val="0"/>
          <w:docGrid w:linePitch="360" w:charSpace="0"/>
        </w:sectPr>
      </w:pPr>
    </w:p>
    <w:p w14:paraId="303A56DE">
      <w:pPr>
        <w:spacing w:line="1" w:lineRule="exact"/>
        <w:rPr>
          <w:color w:val="auto"/>
          <w:highlight w:val="none"/>
        </w:rPr>
      </w:pPr>
    </w:p>
    <w:p w14:paraId="4233439D">
      <w:pPr>
        <w:spacing w:line="366" w:lineRule="exact"/>
        <w:jc w:val="center"/>
        <w:rPr>
          <w:b/>
          <w:color w:val="auto"/>
          <w:sz w:val="32"/>
          <w:highlight w:val="none"/>
        </w:rPr>
      </w:pPr>
      <w:r>
        <w:rPr>
          <w:b/>
          <w:color w:val="auto"/>
          <w:sz w:val="32"/>
          <w:highlight w:val="none"/>
        </w:rPr>
        <w:t>目录</w:t>
      </w:r>
    </w:p>
    <w:p w14:paraId="6854F5C5">
      <w:pPr>
        <w:spacing w:line="360" w:lineRule="auto"/>
        <w:ind w:left="630" w:leftChars="300"/>
        <w:rPr>
          <w:color w:val="auto"/>
          <w:sz w:val="24"/>
          <w:highlight w:val="none"/>
        </w:rPr>
      </w:pPr>
      <w:bookmarkStart w:id="473" w:name="_Toc7039"/>
      <w:bookmarkStart w:id="474" w:name="_Toc352691655"/>
      <w:bookmarkStart w:id="475" w:name="_Toc369531691"/>
    </w:p>
    <w:p w14:paraId="21E8E7DC">
      <w:pPr>
        <w:spacing w:line="360" w:lineRule="auto"/>
        <w:ind w:firstLine="424" w:firstLineChars="177"/>
        <w:rPr>
          <w:color w:val="auto"/>
          <w:sz w:val="24"/>
          <w:highlight w:val="none"/>
        </w:rPr>
      </w:pPr>
      <w:r>
        <w:rPr>
          <w:color w:val="auto"/>
          <w:sz w:val="24"/>
          <w:highlight w:val="none"/>
        </w:rPr>
        <w:t>一、投标函及投标函附录</w:t>
      </w:r>
    </w:p>
    <w:p w14:paraId="636727E8">
      <w:pPr>
        <w:spacing w:line="360" w:lineRule="auto"/>
        <w:ind w:firstLine="424" w:firstLineChars="177"/>
        <w:rPr>
          <w:rFonts w:hint="eastAsia"/>
          <w:color w:val="auto"/>
          <w:sz w:val="24"/>
          <w:highlight w:val="none"/>
        </w:rPr>
      </w:pPr>
      <w:r>
        <w:rPr>
          <w:color w:val="auto"/>
          <w:sz w:val="24"/>
          <w:highlight w:val="none"/>
        </w:rPr>
        <w:t>二、法定代表人身份证明（适用于无委托代理人的情况）</w:t>
      </w:r>
      <w:r>
        <w:rPr>
          <w:rFonts w:hint="eastAsia"/>
          <w:color w:val="auto"/>
          <w:sz w:val="24"/>
          <w:highlight w:val="none"/>
        </w:rPr>
        <w:t>、</w:t>
      </w:r>
      <w:r>
        <w:rPr>
          <w:color w:val="auto"/>
          <w:sz w:val="24"/>
          <w:highlight w:val="none"/>
        </w:rPr>
        <w:t>授权委托书（适用于有委托代理人的情况）</w:t>
      </w:r>
    </w:p>
    <w:p w14:paraId="1AED7EC9">
      <w:pPr>
        <w:spacing w:line="360" w:lineRule="auto"/>
        <w:ind w:firstLine="424" w:firstLineChars="177"/>
        <w:rPr>
          <w:rFonts w:hint="eastAsia"/>
          <w:color w:val="auto"/>
          <w:sz w:val="24"/>
          <w:highlight w:val="none"/>
        </w:rPr>
      </w:pPr>
      <w:r>
        <w:rPr>
          <w:rFonts w:hint="eastAsia"/>
          <w:color w:val="auto"/>
          <w:sz w:val="24"/>
          <w:highlight w:val="none"/>
        </w:rPr>
        <w:t>三</w:t>
      </w:r>
      <w:r>
        <w:rPr>
          <w:color w:val="auto"/>
          <w:sz w:val="24"/>
          <w:highlight w:val="none"/>
        </w:rPr>
        <w:t>、</w:t>
      </w:r>
      <w:r>
        <w:rPr>
          <w:rFonts w:hint="eastAsia"/>
          <w:color w:val="auto"/>
          <w:sz w:val="24"/>
          <w:highlight w:val="none"/>
        </w:rPr>
        <w:t>投标报价书</w:t>
      </w:r>
    </w:p>
    <w:p w14:paraId="4DDB2359">
      <w:pPr>
        <w:spacing w:line="360" w:lineRule="auto"/>
        <w:ind w:firstLine="424" w:firstLineChars="177"/>
        <w:rPr>
          <w:rFonts w:hint="eastAsia"/>
          <w:color w:val="auto"/>
          <w:sz w:val="24"/>
          <w:highlight w:val="none"/>
        </w:rPr>
      </w:pPr>
      <w:r>
        <w:rPr>
          <w:rFonts w:hint="eastAsia"/>
          <w:color w:val="auto"/>
          <w:sz w:val="24"/>
          <w:highlight w:val="none"/>
        </w:rPr>
        <w:t>四</w:t>
      </w:r>
      <w:r>
        <w:rPr>
          <w:color w:val="auto"/>
          <w:sz w:val="24"/>
          <w:highlight w:val="none"/>
        </w:rPr>
        <w:t>、</w:t>
      </w:r>
      <w:r>
        <w:rPr>
          <w:rFonts w:hint="eastAsia"/>
          <w:color w:val="auto"/>
          <w:sz w:val="24"/>
          <w:highlight w:val="none"/>
        </w:rPr>
        <w:t>资格</w:t>
      </w:r>
      <w:r>
        <w:rPr>
          <w:color w:val="auto"/>
          <w:sz w:val="24"/>
          <w:highlight w:val="none"/>
        </w:rPr>
        <w:t>审查资料</w:t>
      </w:r>
    </w:p>
    <w:p w14:paraId="098189E5">
      <w:pPr>
        <w:spacing w:line="360" w:lineRule="auto"/>
        <w:ind w:firstLine="424" w:firstLineChars="177"/>
        <w:rPr>
          <w:rFonts w:hint="eastAsia"/>
          <w:color w:val="auto"/>
          <w:sz w:val="24"/>
          <w:highlight w:val="none"/>
        </w:rPr>
      </w:pPr>
      <w:r>
        <w:rPr>
          <w:rFonts w:hint="eastAsia"/>
          <w:color w:val="auto"/>
          <w:sz w:val="24"/>
          <w:highlight w:val="none"/>
        </w:rPr>
        <w:t>五</w:t>
      </w:r>
      <w:r>
        <w:rPr>
          <w:color w:val="auto"/>
          <w:sz w:val="24"/>
          <w:highlight w:val="none"/>
        </w:rPr>
        <w:t>、</w:t>
      </w:r>
      <w:r>
        <w:rPr>
          <w:rFonts w:hint="eastAsia"/>
          <w:color w:val="auto"/>
          <w:sz w:val="24"/>
          <w:highlight w:val="none"/>
        </w:rPr>
        <w:t>企业资信业绩证明资料</w:t>
      </w:r>
    </w:p>
    <w:p w14:paraId="13797FD0">
      <w:pPr>
        <w:spacing w:line="360" w:lineRule="auto"/>
        <w:ind w:firstLine="424" w:firstLineChars="177"/>
        <w:rPr>
          <w:rFonts w:hint="eastAsia"/>
          <w:color w:val="auto"/>
          <w:sz w:val="24"/>
          <w:highlight w:val="none"/>
        </w:rPr>
      </w:pPr>
      <w:r>
        <w:rPr>
          <w:rFonts w:hint="eastAsia"/>
          <w:color w:val="auto"/>
          <w:sz w:val="24"/>
          <w:highlight w:val="none"/>
        </w:rPr>
        <w:t>六、监测监控方案</w:t>
      </w:r>
    </w:p>
    <w:p w14:paraId="2E9D5012">
      <w:pPr>
        <w:widowControl/>
        <w:spacing w:line="360" w:lineRule="auto"/>
        <w:ind w:firstLine="480" w:firstLineChars="200"/>
        <w:jc w:val="left"/>
        <w:rPr>
          <w:color w:val="auto"/>
          <w:sz w:val="24"/>
          <w:highlight w:val="none"/>
        </w:rPr>
      </w:pPr>
      <w:r>
        <w:rPr>
          <w:rFonts w:hint="eastAsia"/>
          <w:color w:val="auto"/>
          <w:sz w:val="24"/>
          <w:highlight w:val="none"/>
          <w:lang w:eastAsia="zh-CN"/>
        </w:rPr>
        <w:t>七</w:t>
      </w:r>
      <w:r>
        <w:rPr>
          <w:rFonts w:hint="eastAsia"/>
          <w:color w:val="auto"/>
          <w:sz w:val="24"/>
          <w:highlight w:val="none"/>
        </w:rPr>
        <w:t>、联合体协议书（如有）</w:t>
      </w:r>
    </w:p>
    <w:p w14:paraId="7AAABC5F">
      <w:pPr>
        <w:widowControl/>
        <w:spacing w:line="360" w:lineRule="auto"/>
        <w:ind w:firstLine="480" w:firstLineChars="200"/>
        <w:jc w:val="left"/>
        <w:rPr>
          <w:color w:val="auto"/>
          <w:sz w:val="24"/>
          <w:highlight w:val="none"/>
        </w:rPr>
      </w:pPr>
      <w:r>
        <w:rPr>
          <w:rFonts w:hint="eastAsia"/>
          <w:color w:val="auto"/>
          <w:sz w:val="24"/>
          <w:highlight w:val="none"/>
          <w:lang w:eastAsia="zh-CN"/>
        </w:rPr>
        <w:t>八</w:t>
      </w:r>
      <w:r>
        <w:rPr>
          <w:rFonts w:hint="eastAsia"/>
          <w:color w:val="auto"/>
          <w:sz w:val="24"/>
          <w:highlight w:val="none"/>
        </w:rPr>
        <w:t>、报价清单</w:t>
      </w:r>
    </w:p>
    <w:p w14:paraId="1C69D281">
      <w:pPr>
        <w:widowControl/>
        <w:spacing w:line="360" w:lineRule="auto"/>
        <w:ind w:firstLine="480" w:firstLineChars="200"/>
        <w:jc w:val="left"/>
        <w:rPr>
          <w:color w:val="auto"/>
          <w:sz w:val="20"/>
          <w:highlight w:val="none"/>
        </w:rPr>
      </w:pPr>
      <w:r>
        <w:rPr>
          <w:rFonts w:hint="eastAsia"/>
          <w:color w:val="auto"/>
          <w:sz w:val="24"/>
          <w:highlight w:val="none"/>
          <w:lang w:eastAsia="zh-CN"/>
        </w:rPr>
        <w:t>九</w:t>
      </w:r>
      <w:r>
        <w:rPr>
          <w:rFonts w:hint="eastAsia"/>
          <w:color w:val="auto"/>
          <w:sz w:val="24"/>
          <w:highlight w:val="none"/>
        </w:rPr>
        <w:t>、其他资料（投标人认为有必要提交或根据投标人资格和评标办法要求提交的其他资料）。</w:t>
      </w:r>
      <w:r>
        <w:rPr>
          <w:color w:val="auto"/>
          <w:sz w:val="20"/>
          <w:highlight w:val="none"/>
        </w:rPr>
        <w:br w:type="page"/>
      </w:r>
    </w:p>
    <w:bookmarkEnd w:id="473"/>
    <w:bookmarkEnd w:id="474"/>
    <w:bookmarkEnd w:id="475"/>
    <w:p w14:paraId="2771E04F">
      <w:pPr>
        <w:pStyle w:val="4"/>
        <w:spacing w:line="360" w:lineRule="auto"/>
        <w:rPr>
          <w:rFonts w:ascii="Times New Roman" w:hAnsi="Times New Roman" w:eastAsia="宋体"/>
          <w:color w:val="auto"/>
          <w:sz w:val="30"/>
          <w:szCs w:val="30"/>
        </w:rPr>
      </w:pPr>
      <w:bookmarkStart w:id="476" w:name="_Toc529196600"/>
      <w:bookmarkStart w:id="477" w:name="_Toc530470642"/>
      <w:bookmarkStart w:id="478" w:name="_Toc535938751"/>
      <w:bookmarkStart w:id="479" w:name="_Toc18184"/>
      <w:r>
        <w:rPr>
          <w:rFonts w:ascii="Times New Roman" w:hAnsi="Times New Roman" w:eastAsia="宋体"/>
          <w:color w:val="auto"/>
          <w:sz w:val="30"/>
          <w:szCs w:val="30"/>
        </w:rPr>
        <w:t>一、投标</w:t>
      </w:r>
      <w:bookmarkStart w:id="480" w:name="_Toc352691656"/>
      <w:bookmarkStart w:id="481" w:name="_Toc369531692"/>
      <w:bookmarkStart w:id="482" w:name="_Toc6931"/>
      <w:r>
        <w:rPr>
          <w:rFonts w:ascii="Times New Roman" w:hAnsi="Times New Roman" w:eastAsia="宋体"/>
          <w:color w:val="auto"/>
          <w:sz w:val="30"/>
          <w:szCs w:val="30"/>
        </w:rPr>
        <w:t>函及投标函附录</w:t>
      </w:r>
      <w:bookmarkEnd w:id="476"/>
      <w:bookmarkEnd w:id="477"/>
      <w:bookmarkEnd w:id="478"/>
      <w:bookmarkEnd w:id="479"/>
    </w:p>
    <w:bookmarkEnd w:id="480"/>
    <w:bookmarkEnd w:id="481"/>
    <w:bookmarkEnd w:id="482"/>
    <w:p w14:paraId="7974056C">
      <w:pPr>
        <w:pStyle w:val="5"/>
        <w:spacing w:before="120" w:beforeLines="50" w:after="120" w:afterLines="50" w:line="360" w:lineRule="auto"/>
        <w:rPr>
          <w:color w:val="auto"/>
          <w:highlight w:val="none"/>
        </w:rPr>
      </w:pPr>
      <w:bookmarkStart w:id="483" w:name="_Toc359594235"/>
      <w:bookmarkStart w:id="484" w:name="_Toc385943065"/>
      <w:bookmarkStart w:id="485" w:name="_Toc30333"/>
      <w:bookmarkStart w:id="486" w:name="_Toc529196601"/>
      <w:bookmarkStart w:id="487" w:name="_Toc370676426"/>
      <w:bookmarkStart w:id="488" w:name="_Toc530470643"/>
      <w:bookmarkStart w:id="489" w:name="_Toc391394111"/>
      <w:bookmarkStart w:id="490" w:name="_Toc535938752"/>
      <w:bookmarkStart w:id="491" w:name="_Toc482188651"/>
      <w:r>
        <w:rPr>
          <w:color w:val="auto"/>
          <w:highlight w:val="none"/>
        </w:rPr>
        <w:t>（一）投标函</w:t>
      </w:r>
      <w:bookmarkEnd w:id="483"/>
      <w:bookmarkEnd w:id="484"/>
      <w:bookmarkEnd w:id="485"/>
      <w:bookmarkEnd w:id="486"/>
      <w:bookmarkEnd w:id="487"/>
      <w:bookmarkEnd w:id="488"/>
      <w:bookmarkEnd w:id="489"/>
      <w:bookmarkEnd w:id="490"/>
      <w:bookmarkEnd w:id="491"/>
    </w:p>
    <w:p w14:paraId="59289BB1">
      <w:pPr>
        <w:spacing w:line="360" w:lineRule="auto"/>
        <w:ind w:firstLine="4725" w:firstLineChars="2250"/>
        <w:rPr>
          <w:color w:val="auto"/>
          <w:szCs w:val="21"/>
          <w:highlight w:val="none"/>
        </w:rPr>
      </w:pPr>
      <w:bookmarkStart w:id="492" w:name="_Toc482188652"/>
      <w:bookmarkStart w:id="493" w:name="_Toc385943066"/>
      <w:bookmarkStart w:id="494" w:name="_Toc359594236"/>
      <w:bookmarkStart w:id="495" w:name="_Toc370676427"/>
      <w:bookmarkStart w:id="496" w:name="_Toc391394112"/>
      <w:bookmarkStart w:id="497" w:name="_Toc352691661"/>
      <w:bookmarkStart w:id="498" w:name="_Toc144974856"/>
      <w:bookmarkStart w:id="499" w:name="_Toc247527827"/>
      <w:bookmarkStart w:id="500" w:name="_Toc152045787"/>
      <w:bookmarkStart w:id="501" w:name="_Toc369531697"/>
      <w:bookmarkStart w:id="502" w:name="_Toc361508752"/>
      <w:bookmarkStart w:id="503" w:name="_Toc247514246"/>
      <w:bookmarkStart w:id="504" w:name="_Toc17960"/>
      <w:bookmarkStart w:id="505" w:name="_Toc384308375"/>
      <w:bookmarkStart w:id="506" w:name="_Toc152042576"/>
      <w:bookmarkStart w:id="507" w:name="_Toc300835209"/>
    </w:p>
    <w:p w14:paraId="2D21678C">
      <w:pPr>
        <w:spacing w:line="360" w:lineRule="auto"/>
        <w:rPr>
          <w:rFonts w:hint="eastAsia" w:ascii="宋体" w:hAnsi="宋体"/>
          <w:color w:val="auto"/>
          <w:sz w:val="24"/>
          <w:szCs w:val="24"/>
          <w:highlight w:val="none"/>
        </w:rPr>
      </w:pPr>
      <w:bookmarkStart w:id="508" w:name="_Toc529196602"/>
      <w:bookmarkStart w:id="509" w:name="_Toc535938753"/>
      <w:bookmarkStart w:id="510" w:name="_Toc530470645"/>
      <w:r>
        <w:rPr>
          <w:rFonts w:hint="eastAsia" w:ascii="宋体" w:hAnsi="宋体"/>
          <w:color w:val="auto"/>
          <w:sz w:val="24"/>
          <w:szCs w:val="24"/>
          <w:highlight w:val="none"/>
        </w:rPr>
        <w:t xml:space="preserve">致：  </w:t>
      </w:r>
      <w:r>
        <w:rPr>
          <w:rFonts w:hint="eastAsia" w:ascii="宋体" w:hAnsi="宋体"/>
          <w:color w:val="auto"/>
          <w:sz w:val="24"/>
          <w:szCs w:val="24"/>
          <w:highlight w:val="none"/>
          <w:u w:val="single"/>
        </w:rPr>
        <w:t xml:space="preserve">       </w:t>
      </w:r>
      <w:r>
        <w:rPr>
          <w:rFonts w:hint="eastAsia" w:ascii="宋体" w:hAnsi="宋体"/>
          <w:b/>
          <w:bCs/>
          <w:color w:val="auto"/>
          <w:sz w:val="24"/>
          <w:szCs w:val="24"/>
          <w:highlight w:val="none"/>
          <w:u w:val="single"/>
        </w:rPr>
        <w:t xml:space="preserve"> </w:t>
      </w:r>
      <w:r>
        <w:rPr>
          <w:rFonts w:hint="eastAsia" w:ascii="宋体" w:hAnsi="宋体"/>
          <w:color w:val="auto"/>
          <w:sz w:val="24"/>
          <w:szCs w:val="24"/>
          <w:highlight w:val="none"/>
          <w:u w:val="single"/>
        </w:rPr>
        <w:t xml:space="preserve">（招标人）          </w:t>
      </w:r>
    </w:p>
    <w:p w14:paraId="7B05442E">
      <w:pPr>
        <w:pStyle w:val="14"/>
        <w:spacing w:after="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 在仔细分析研究了贵单位提供的</w:t>
      </w:r>
      <w:r>
        <w:rPr>
          <w:rFonts w:hint="eastAsia" w:ascii="宋体" w:hAnsi="宋体"/>
          <w:color w:val="auto"/>
          <w:sz w:val="24"/>
          <w:highlight w:val="none"/>
          <w:u w:val="single"/>
        </w:rPr>
        <w:t xml:space="preserve">        （项目名称）</w:t>
      </w:r>
      <w:r>
        <w:rPr>
          <w:rFonts w:hint="eastAsia" w:ascii="宋体" w:hAnsi="宋体"/>
          <w:color w:val="auto"/>
          <w:sz w:val="24"/>
          <w:highlight w:val="none"/>
        </w:rPr>
        <w:t>招标文件后，我方愿意以总价为人民币（大写）</w:t>
      </w:r>
      <w:r>
        <w:rPr>
          <w:rFonts w:hint="eastAsia" w:ascii="宋体" w:hAnsi="宋体"/>
          <w:color w:val="auto"/>
          <w:sz w:val="24"/>
          <w:highlight w:val="none"/>
          <w:u w:val="single"/>
        </w:rPr>
        <w:t xml:space="preserve">                      </w:t>
      </w:r>
      <w:r>
        <w:rPr>
          <w:rFonts w:hint="eastAsia" w:ascii="宋体" w:hAnsi="宋体"/>
          <w:color w:val="auto"/>
          <w:sz w:val="24"/>
          <w:highlight w:val="none"/>
        </w:rPr>
        <w:t>（小写</w:t>
      </w:r>
      <w:r>
        <w:rPr>
          <w:rFonts w:hint="eastAsia" w:ascii="宋体" w:hAnsi="宋体"/>
          <w:color w:val="auto"/>
          <w:sz w:val="24"/>
          <w:highlight w:val="none"/>
          <w:u w:val="single"/>
        </w:rPr>
        <w:t>　　　　　</w:t>
      </w:r>
      <w:r>
        <w:rPr>
          <w:rFonts w:hint="eastAsia" w:ascii="宋体" w:hAnsi="宋体"/>
          <w:color w:val="auto"/>
          <w:sz w:val="24"/>
          <w:highlight w:val="none"/>
        </w:rPr>
        <w:t>）作为</w:t>
      </w:r>
      <w:r>
        <w:rPr>
          <w:rFonts w:hint="eastAsia" w:ascii="宋体" w:hAnsi="宋体"/>
          <w:color w:val="auto"/>
          <w:sz w:val="24"/>
          <w:highlight w:val="none"/>
          <w:u w:val="single"/>
        </w:rPr>
        <w:t xml:space="preserve">      （项目名称）</w:t>
      </w:r>
      <w:r>
        <w:rPr>
          <w:rFonts w:hint="eastAsia" w:ascii="宋体" w:hAnsi="宋体"/>
          <w:color w:val="auto"/>
          <w:sz w:val="24"/>
          <w:highlight w:val="none"/>
        </w:rPr>
        <w:t>服务费的总价，并遵照招标文件的有关规定要求，承担全部服务任务工作。</w:t>
      </w:r>
    </w:p>
    <w:p w14:paraId="2773CC4C">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2.我方确认的</w:t>
      </w:r>
      <w:r>
        <w:rPr>
          <w:rFonts w:hint="eastAsia" w:ascii="宋体" w:hAnsi="宋体"/>
          <w:b/>
          <w:bCs/>
          <w:color w:val="auto"/>
          <w:sz w:val="24"/>
          <w:szCs w:val="24"/>
          <w:highlight w:val="none"/>
        </w:rPr>
        <w:t>投标函</w:t>
      </w:r>
      <w:r>
        <w:rPr>
          <w:rFonts w:hint="eastAsia" w:ascii="宋体" w:hAnsi="宋体"/>
          <w:color w:val="auto"/>
          <w:sz w:val="24"/>
          <w:szCs w:val="24"/>
          <w:highlight w:val="none"/>
        </w:rPr>
        <w:t>是我单位投标文件的组成部分。</w:t>
      </w:r>
    </w:p>
    <w:p w14:paraId="7C191BC4">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3.如果贵单位接受我方的投标，我方保证按合同规定的期限内开始本工程的监测工作并按投标书中规定的期限内完成合同规定的全部任务。</w:t>
      </w:r>
    </w:p>
    <w:p w14:paraId="2723250E">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4.我方同意在从规定的</w:t>
      </w:r>
      <w:r>
        <w:rPr>
          <w:rFonts w:hint="eastAsia" w:ascii="宋体" w:hAnsi="宋体"/>
          <w:b/>
          <w:bCs/>
          <w:color w:val="auto"/>
          <w:sz w:val="24"/>
          <w:szCs w:val="24"/>
          <w:highlight w:val="none"/>
        </w:rPr>
        <w:t>递交投标文件截止之日起9</w:t>
      </w:r>
      <w:r>
        <w:rPr>
          <w:rFonts w:ascii="宋体" w:hAnsi="宋体"/>
          <w:b/>
          <w:bCs/>
          <w:color w:val="auto"/>
          <w:sz w:val="24"/>
          <w:szCs w:val="24"/>
          <w:highlight w:val="none"/>
        </w:rPr>
        <w:t>0</w:t>
      </w:r>
      <w:r>
        <w:rPr>
          <w:rFonts w:hint="eastAsia" w:ascii="宋体" w:hAnsi="宋体"/>
          <w:b/>
          <w:bCs/>
          <w:color w:val="auto"/>
          <w:sz w:val="24"/>
          <w:szCs w:val="24"/>
          <w:highlight w:val="none"/>
        </w:rPr>
        <w:t>天</w:t>
      </w:r>
      <w:r>
        <w:rPr>
          <w:rFonts w:hint="eastAsia" w:ascii="宋体" w:hAnsi="宋体"/>
          <w:color w:val="auto"/>
          <w:sz w:val="24"/>
          <w:szCs w:val="24"/>
          <w:highlight w:val="none"/>
        </w:rPr>
        <w:t>内遵守本投标文件。在此期限届满之前，本投标文件始终将对我们具有约束力并随时接受中标。</w:t>
      </w:r>
    </w:p>
    <w:p w14:paraId="7BB6B600">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5.在合同协议制定和签署之前，本投标书连同贵单位的中标通知书、双方签认的补充、修正或澄清文件及其他文件和附件应成为约束贵、我双方的合同文件。</w:t>
      </w:r>
    </w:p>
    <w:p w14:paraId="3F1E31E8">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6.我们理解，贵单位不一定接受最低标价的投标文件或可能接受其他任何投标文件，同时也理解，贵单位不负担我们的任何投标费用。</w:t>
      </w:r>
    </w:p>
    <w:p w14:paraId="4811C611">
      <w:pPr>
        <w:rPr>
          <w:rFonts w:hint="eastAsia"/>
          <w:color w:val="auto"/>
          <w:highlight w:val="none"/>
        </w:rPr>
      </w:pPr>
    </w:p>
    <w:p w14:paraId="164F1DE1">
      <w:pPr>
        <w:spacing w:line="380" w:lineRule="exact"/>
        <w:ind w:firstLine="482" w:firstLineChars="150"/>
        <w:rPr>
          <w:rFonts w:hint="eastAsia"/>
          <w:b/>
          <w:bCs/>
          <w:color w:val="auto"/>
          <w:sz w:val="32"/>
          <w:szCs w:val="32"/>
          <w:highlight w:val="none"/>
        </w:rPr>
      </w:pPr>
      <w:r>
        <w:rPr>
          <w:b/>
          <w:bCs/>
          <w:color w:val="auto"/>
          <w:sz w:val="32"/>
          <w:szCs w:val="32"/>
          <w:highlight w:val="none"/>
        </w:rPr>
        <w:br w:type="page"/>
      </w:r>
      <w:r>
        <w:rPr>
          <w:b/>
          <w:bCs/>
          <w:color w:val="auto"/>
          <w:sz w:val="32"/>
          <w:szCs w:val="32"/>
          <w:highlight w:val="none"/>
        </w:rPr>
        <w:t>（二）</w:t>
      </w:r>
      <w:r>
        <w:rPr>
          <w:rFonts w:hint="eastAsia"/>
          <w:b/>
          <w:bCs/>
          <w:color w:val="auto"/>
          <w:sz w:val="32"/>
          <w:szCs w:val="32"/>
          <w:highlight w:val="none"/>
        </w:rPr>
        <w:t>投标函附录：</w:t>
      </w:r>
    </w:p>
    <w:p w14:paraId="57FA0DE9">
      <w:pPr>
        <w:spacing w:line="380" w:lineRule="exact"/>
        <w:ind w:firstLine="482" w:firstLineChars="150"/>
        <w:rPr>
          <w:rFonts w:hint="eastAsia"/>
          <w:b/>
          <w:bCs/>
          <w:color w:val="auto"/>
          <w:sz w:val="32"/>
          <w:szCs w:val="32"/>
          <w:highlight w:val="none"/>
        </w:rPr>
      </w:pPr>
    </w:p>
    <w:tbl>
      <w:tblPr>
        <w:tblStyle w:val="2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7"/>
        <w:gridCol w:w="5283"/>
      </w:tblGrid>
      <w:tr w14:paraId="3751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997" w:type="dxa"/>
            <w:noWrap w:val="0"/>
            <w:vAlign w:val="center"/>
          </w:tcPr>
          <w:p w14:paraId="03D7E359">
            <w:pPr>
              <w:spacing w:line="400" w:lineRule="exact"/>
              <w:jc w:val="center"/>
              <w:rPr>
                <w:rFonts w:hint="eastAsia" w:ascii="宋体" w:hAnsi="宋体"/>
                <w:b/>
                <w:color w:val="auto"/>
                <w:sz w:val="24"/>
                <w:highlight w:val="none"/>
              </w:rPr>
            </w:pPr>
            <w:r>
              <w:rPr>
                <w:rFonts w:hint="eastAsia" w:ascii="宋体" w:hAnsi="宋体"/>
                <w:b/>
                <w:color w:val="auto"/>
                <w:sz w:val="24"/>
                <w:highlight w:val="none"/>
              </w:rPr>
              <w:t>项    目</w:t>
            </w:r>
          </w:p>
        </w:tc>
        <w:tc>
          <w:tcPr>
            <w:tcW w:w="5283" w:type="dxa"/>
            <w:noWrap w:val="0"/>
            <w:vAlign w:val="center"/>
          </w:tcPr>
          <w:p w14:paraId="66DFC11C">
            <w:pPr>
              <w:spacing w:line="400" w:lineRule="exact"/>
              <w:jc w:val="center"/>
              <w:rPr>
                <w:rFonts w:hint="eastAsia" w:ascii="宋体" w:hAnsi="宋体"/>
                <w:color w:val="auto"/>
                <w:sz w:val="24"/>
                <w:highlight w:val="none"/>
              </w:rPr>
            </w:pPr>
            <w:r>
              <w:rPr>
                <w:rFonts w:hint="eastAsia" w:ascii="宋体" w:hAnsi="宋体"/>
                <w:color w:val="auto"/>
                <w:sz w:val="24"/>
                <w:highlight w:val="none"/>
              </w:rPr>
              <w:t>内    容</w:t>
            </w:r>
          </w:p>
        </w:tc>
      </w:tr>
      <w:tr w14:paraId="0F72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997" w:type="dxa"/>
            <w:noWrap w:val="0"/>
            <w:vAlign w:val="center"/>
          </w:tcPr>
          <w:p w14:paraId="6DE34D2F">
            <w:pPr>
              <w:spacing w:line="400" w:lineRule="exact"/>
              <w:jc w:val="center"/>
              <w:rPr>
                <w:rFonts w:hint="eastAsia" w:ascii="宋体" w:hAnsi="宋体"/>
                <w:b/>
                <w:color w:val="auto"/>
                <w:sz w:val="24"/>
                <w:highlight w:val="none"/>
              </w:rPr>
            </w:pPr>
            <w:r>
              <w:rPr>
                <w:rFonts w:hint="eastAsia" w:ascii="宋体" w:hAnsi="宋体"/>
                <w:b/>
                <w:color w:val="auto"/>
                <w:sz w:val="24"/>
                <w:highlight w:val="none"/>
              </w:rPr>
              <w:t>服务期</w:t>
            </w:r>
          </w:p>
        </w:tc>
        <w:tc>
          <w:tcPr>
            <w:tcW w:w="5283" w:type="dxa"/>
            <w:noWrap w:val="0"/>
            <w:vAlign w:val="center"/>
          </w:tcPr>
          <w:p w14:paraId="503295BC">
            <w:pPr>
              <w:spacing w:line="400" w:lineRule="exact"/>
              <w:jc w:val="center"/>
              <w:rPr>
                <w:rFonts w:hint="eastAsia" w:ascii="宋体" w:hAnsi="宋体"/>
                <w:color w:val="auto"/>
                <w:sz w:val="24"/>
                <w:highlight w:val="none"/>
              </w:rPr>
            </w:pPr>
            <w:r>
              <w:rPr>
                <w:rFonts w:hint="eastAsia" w:ascii="宋体" w:hAnsi="宋体"/>
                <w:color w:val="auto"/>
                <w:sz w:val="24"/>
                <w:highlight w:val="none"/>
              </w:rPr>
              <w:t>按招标文件要求</w:t>
            </w:r>
          </w:p>
        </w:tc>
      </w:tr>
      <w:tr w14:paraId="442D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997" w:type="dxa"/>
            <w:noWrap w:val="0"/>
            <w:vAlign w:val="center"/>
          </w:tcPr>
          <w:p w14:paraId="7ABAD265">
            <w:pPr>
              <w:spacing w:line="400" w:lineRule="exact"/>
              <w:jc w:val="center"/>
              <w:rPr>
                <w:rFonts w:hint="eastAsia" w:ascii="宋体" w:hAnsi="宋体"/>
                <w:b/>
                <w:color w:val="auto"/>
                <w:sz w:val="24"/>
                <w:highlight w:val="none"/>
              </w:rPr>
            </w:pPr>
            <w:r>
              <w:rPr>
                <w:rFonts w:hint="eastAsia" w:ascii="宋体" w:hAnsi="宋体"/>
                <w:b/>
                <w:color w:val="auto"/>
                <w:sz w:val="24"/>
                <w:highlight w:val="none"/>
              </w:rPr>
              <w:t>质量标准</w:t>
            </w:r>
          </w:p>
        </w:tc>
        <w:tc>
          <w:tcPr>
            <w:tcW w:w="5283" w:type="dxa"/>
            <w:noWrap w:val="0"/>
            <w:vAlign w:val="center"/>
          </w:tcPr>
          <w:p w14:paraId="25081B5D">
            <w:pPr>
              <w:spacing w:line="400" w:lineRule="exact"/>
              <w:jc w:val="center"/>
              <w:rPr>
                <w:rFonts w:hint="eastAsia" w:ascii="宋体" w:hAnsi="宋体"/>
                <w:color w:val="auto"/>
                <w:sz w:val="24"/>
                <w:highlight w:val="none"/>
              </w:rPr>
            </w:pPr>
            <w:r>
              <w:rPr>
                <w:rFonts w:hint="eastAsia" w:ascii="宋体" w:hAnsi="宋体"/>
                <w:color w:val="auto"/>
                <w:sz w:val="24"/>
                <w:highlight w:val="none"/>
              </w:rPr>
              <w:t>按招标文件要求</w:t>
            </w:r>
          </w:p>
        </w:tc>
      </w:tr>
      <w:tr w14:paraId="7148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997" w:type="dxa"/>
            <w:noWrap w:val="0"/>
            <w:vAlign w:val="center"/>
          </w:tcPr>
          <w:p w14:paraId="545660A8">
            <w:pPr>
              <w:spacing w:line="400" w:lineRule="exact"/>
              <w:jc w:val="center"/>
              <w:rPr>
                <w:rFonts w:hint="eastAsia" w:ascii="宋体" w:hAnsi="宋体"/>
                <w:b/>
                <w:color w:val="auto"/>
                <w:sz w:val="24"/>
                <w:highlight w:val="none"/>
              </w:rPr>
            </w:pPr>
            <w:r>
              <w:rPr>
                <w:rFonts w:hint="eastAsia" w:ascii="宋体" w:hAnsi="宋体"/>
                <w:b/>
                <w:color w:val="auto"/>
                <w:sz w:val="24"/>
                <w:highlight w:val="none"/>
              </w:rPr>
              <w:t>投标有效期</w:t>
            </w:r>
          </w:p>
        </w:tc>
        <w:tc>
          <w:tcPr>
            <w:tcW w:w="5283" w:type="dxa"/>
            <w:noWrap w:val="0"/>
            <w:vAlign w:val="center"/>
          </w:tcPr>
          <w:p w14:paraId="6FF358A2">
            <w:pPr>
              <w:spacing w:line="400" w:lineRule="exact"/>
              <w:jc w:val="center"/>
              <w:rPr>
                <w:rFonts w:hint="eastAsia" w:ascii="宋体" w:hAnsi="宋体"/>
                <w:color w:val="auto"/>
                <w:sz w:val="24"/>
                <w:highlight w:val="none"/>
              </w:rPr>
            </w:pPr>
            <w:r>
              <w:rPr>
                <w:rFonts w:hint="eastAsia" w:ascii="宋体" w:hAnsi="宋体"/>
                <w:color w:val="auto"/>
                <w:sz w:val="24"/>
                <w:highlight w:val="none"/>
              </w:rPr>
              <w:t>按招标文件要求</w:t>
            </w:r>
          </w:p>
        </w:tc>
      </w:tr>
      <w:tr w14:paraId="7227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997" w:type="dxa"/>
            <w:vMerge w:val="restart"/>
            <w:tcBorders>
              <w:top w:val="single" w:color="auto" w:sz="4" w:space="0"/>
              <w:left w:val="single" w:color="auto" w:sz="4" w:space="0"/>
              <w:right w:val="single" w:color="auto" w:sz="4" w:space="0"/>
            </w:tcBorders>
            <w:noWrap w:val="0"/>
            <w:vAlign w:val="center"/>
          </w:tcPr>
          <w:p w14:paraId="2F5E4101">
            <w:pPr>
              <w:spacing w:line="400" w:lineRule="exact"/>
              <w:jc w:val="center"/>
              <w:rPr>
                <w:rFonts w:hint="eastAsia" w:ascii="宋体" w:hAnsi="宋体"/>
                <w:b/>
                <w:color w:val="auto"/>
                <w:sz w:val="24"/>
                <w:highlight w:val="none"/>
              </w:rPr>
            </w:pPr>
            <w:r>
              <w:rPr>
                <w:rFonts w:hint="eastAsia" w:ascii="宋体" w:hAnsi="宋体"/>
                <w:b/>
                <w:color w:val="auto"/>
                <w:sz w:val="24"/>
                <w:highlight w:val="none"/>
              </w:rPr>
              <w:t>项目负责人</w:t>
            </w:r>
          </w:p>
        </w:tc>
        <w:tc>
          <w:tcPr>
            <w:tcW w:w="5283" w:type="dxa"/>
            <w:tcBorders>
              <w:top w:val="single" w:color="auto" w:sz="4" w:space="0"/>
              <w:left w:val="single" w:color="auto" w:sz="4" w:space="0"/>
              <w:bottom w:val="single" w:color="auto" w:sz="4" w:space="0"/>
              <w:right w:val="single" w:color="auto" w:sz="4" w:space="0"/>
            </w:tcBorders>
            <w:noWrap w:val="0"/>
            <w:vAlign w:val="center"/>
          </w:tcPr>
          <w:p w14:paraId="3DD2A49C">
            <w:pPr>
              <w:spacing w:line="400" w:lineRule="exact"/>
              <w:rPr>
                <w:rFonts w:hint="eastAsia" w:ascii="宋体" w:hAnsi="宋体"/>
                <w:color w:val="auto"/>
                <w:sz w:val="24"/>
                <w:highlight w:val="none"/>
              </w:rPr>
            </w:pPr>
            <w:r>
              <w:rPr>
                <w:rFonts w:hint="eastAsia" w:ascii="宋体" w:hAnsi="宋体"/>
                <w:color w:val="auto"/>
                <w:sz w:val="24"/>
                <w:highlight w:val="none"/>
              </w:rPr>
              <w:t>姓名：</w:t>
            </w:r>
          </w:p>
        </w:tc>
      </w:tr>
      <w:tr w14:paraId="5F39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997" w:type="dxa"/>
            <w:vMerge w:val="continue"/>
            <w:tcBorders>
              <w:left w:val="single" w:color="auto" w:sz="4" w:space="0"/>
              <w:right w:val="single" w:color="auto" w:sz="4" w:space="0"/>
            </w:tcBorders>
            <w:noWrap w:val="0"/>
            <w:vAlign w:val="center"/>
          </w:tcPr>
          <w:p w14:paraId="0123EB07">
            <w:pPr>
              <w:spacing w:line="400" w:lineRule="exact"/>
              <w:jc w:val="center"/>
              <w:rPr>
                <w:rFonts w:hint="eastAsia" w:ascii="宋体" w:hAnsi="宋体"/>
                <w:color w:val="auto"/>
                <w:sz w:val="24"/>
                <w:highlight w:val="none"/>
              </w:rPr>
            </w:pPr>
          </w:p>
        </w:tc>
        <w:tc>
          <w:tcPr>
            <w:tcW w:w="5283" w:type="dxa"/>
            <w:tcBorders>
              <w:top w:val="single" w:color="auto" w:sz="4" w:space="0"/>
              <w:left w:val="single" w:color="auto" w:sz="4" w:space="0"/>
              <w:bottom w:val="single" w:color="auto" w:sz="4" w:space="0"/>
              <w:right w:val="single" w:color="auto" w:sz="4" w:space="0"/>
            </w:tcBorders>
            <w:noWrap w:val="0"/>
            <w:vAlign w:val="center"/>
          </w:tcPr>
          <w:p w14:paraId="24FD1F6C">
            <w:pPr>
              <w:spacing w:line="400" w:lineRule="exact"/>
              <w:rPr>
                <w:rFonts w:hint="eastAsia" w:ascii="宋体" w:hAnsi="宋体"/>
                <w:color w:val="auto"/>
                <w:sz w:val="24"/>
                <w:highlight w:val="none"/>
              </w:rPr>
            </w:pPr>
            <w:r>
              <w:rPr>
                <w:rFonts w:hint="eastAsia" w:ascii="宋体" w:hAnsi="宋体"/>
                <w:color w:val="auto"/>
                <w:sz w:val="24"/>
                <w:highlight w:val="none"/>
              </w:rPr>
              <w:t>技术职称：</w:t>
            </w:r>
          </w:p>
        </w:tc>
      </w:tr>
      <w:tr w14:paraId="524A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997" w:type="dxa"/>
            <w:vMerge w:val="continue"/>
            <w:tcBorders>
              <w:left w:val="single" w:color="auto" w:sz="4" w:space="0"/>
              <w:bottom w:val="single" w:color="auto" w:sz="4" w:space="0"/>
              <w:right w:val="single" w:color="auto" w:sz="4" w:space="0"/>
            </w:tcBorders>
            <w:noWrap w:val="0"/>
            <w:vAlign w:val="center"/>
          </w:tcPr>
          <w:p w14:paraId="7982E652">
            <w:pPr>
              <w:spacing w:line="400" w:lineRule="exact"/>
              <w:jc w:val="center"/>
              <w:rPr>
                <w:rFonts w:hint="eastAsia" w:ascii="宋体" w:hAnsi="宋体"/>
                <w:color w:val="auto"/>
                <w:sz w:val="24"/>
                <w:highlight w:val="none"/>
              </w:rPr>
            </w:pPr>
          </w:p>
        </w:tc>
        <w:tc>
          <w:tcPr>
            <w:tcW w:w="5283" w:type="dxa"/>
            <w:tcBorders>
              <w:top w:val="single" w:color="auto" w:sz="4" w:space="0"/>
              <w:left w:val="single" w:color="auto" w:sz="4" w:space="0"/>
              <w:bottom w:val="single" w:color="auto" w:sz="4" w:space="0"/>
              <w:right w:val="single" w:color="auto" w:sz="4" w:space="0"/>
            </w:tcBorders>
            <w:noWrap w:val="0"/>
            <w:vAlign w:val="center"/>
          </w:tcPr>
          <w:p w14:paraId="283017C9">
            <w:pPr>
              <w:spacing w:line="400" w:lineRule="exact"/>
              <w:rPr>
                <w:rFonts w:hint="eastAsia" w:ascii="宋体" w:hAnsi="宋体"/>
                <w:color w:val="auto"/>
                <w:sz w:val="24"/>
                <w:highlight w:val="none"/>
              </w:rPr>
            </w:pPr>
            <w:r>
              <w:rPr>
                <w:rFonts w:hint="eastAsia" w:ascii="宋体" w:hAnsi="宋体"/>
                <w:color w:val="auto"/>
                <w:sz w:val="24"/>
                <w:highlight w:val="none"/>
              </w:rPr>
              <w:t>身份证号码：</w:t>
            </w:r>
          </w:p>
        </w:tc>
      </w:tr>
    </w:tbl>
    <w:p w14:paraId="791ED4C5">
      <w:pPr>
        <w:rPr>
          <w:rFonts w:hint="eastAsia"/>
          <w:color w:val="auto"/>
          <w:highlight w:val="none"/>
        </w:rPr>
      </w:pPr>
    </w:p>
    <w:p w14:paraId="57D4DBE3">
      <w:pPr>
        <w:spacing w:line="360" w:lineRule="auto"/>
        <w:rPr>
          <w:rFonts w:hint="eastAsia" w:ascii="宋体" w:hAnsi="宋体"/>
          <w:color w:val="auto"/>
          <w:sz w:val="24"/>
          <w:highlight w:val="none"/>
        </w:rPr>
      </w:pPr>
    </w:p>
    <w:p w14:paraId="445A784C">
      <w:pPr>
        <w:spacing w:line="360" w:lineRule="auto"/>
        <w:ind w:left="424" w:leftChars="202"/>
        <w:rPr>
          <w:rFonts w:hint="eastAsia" w:ascii="宋体" w:hAnsi="宋体"/>
          <w:color w:val="auto"/>
          <w:sz w:val="24"/>
          <w:highlight w:val="none"/>
        </w:rPr>
      </w:pPr>
      <w:r>
        <w:rPr>
          <w:rFonts w:hint="eastAsia" w:ascii="宋体" w:hAnsi="宋体"/>
          <w:color w:val="auto"/>
          <w:sz w:val="24"/>
          <w:highlight w:val="none"/>
        </w:rPr>
        <w:t>投标人（盖单位章）：</w:t>
      </w:r>
      <w:r>
        <w:rPr>
          <w:rFonts w:hint="eastAsia" w:ascii="宋体" w:hAnsi="宋体"/>
          <w:color w:val="auto"/>
          <w:sz w:val="24"/>
          <w:highlight w:val="none"/>
          <w:u w:val="single"/>
        </w:rPr>
        <w:t xml:space="preserve">                            </w:t>
      </w:r>
    </w:p>
    <w:p w14:paraId="1DD27A8C">
      <w:pPr>
        <w:spacing w:line="360" w:lineRule="auto"/>
        <w:ind w:left="424" w:leftChars="202"/>
        <w:rPr>
          <w:rFonts w:hint="eastAsia" w:ascii="宋体" w:hAnsi="宋体"/>
          <w:color w:val="auto"/>
          <w:sz w:val="24"/>
          <w:highlight w:val="none"/>
          <w:u w:val="single"/>
        </w:rPr>
      </w:pPr>
      <w:r>
        <w:rPr>
          <w:rFonts w:hint="eastAsia" w:ascii="宋体" w:hAnsi="宋体"/>
          <w:color w:val="auto"/>
          <w:sz w:val="24"/>
          <w:highlight w:val="none"/>
        </w:rPr>
        <w:t>法定代表人（签字或盖章或签章）：</w:t>
      </w:r>
      <w:r>
        <w:rPr>
          <w:rFonts w:hint="eastAsia" w:ascii="宋体" w:hAnsi="宋体"/>
          <w:color w:val="auto"/>
          <w:sz w:val="24"/>
          <w:highlight w:val="none"/>
          <w:u w:val="single"/>
        </w:rPr>
        <w:t xml:space="preserve">                     </w:t>
      </w:r>
    </w:p>
    <w:p w14:paraId="7FC8807B">
      <w:pPr>
        <w:spacing w:line="360" w:lineRule="auto"/>
        <w:ind w:left="424" w:leftChars="202"/>
        <w:jc w:val="left"/>
        <w:rPr>
          <w:color w:val="auto"/>
          <w:szCs w:val="21"/>
          <w:highlight w:val="none"/>
        </w:rPr>
      </w:pPr>
      <w:r>
        <w:rPr>
          <w:rFonts w:hint="eastAsia" w:ascii="宋体" w:hAnsi="宋体"/>
          <w:color w:val="auto"/>
          <w:sz w:val="24"/>
          <w:highlight w:val="none"/>
        </w:rPr>
        <w:t>日期：</w:t>
      </w:r>
      <w:r>
        <w:rPr>
          <w:rFonts w:hint="eastAsia" w:ascii="宋体" w:hAnsi="宋体"/>
          <w:color w:val="auto"/>
          <w:sz w:val="24"/>
          <w:highlight w:val="none"/>
          <w:u w:val="single"/>
        </w:rPr>
        <w:t xml:space="preserve">      年   月   日</w:t>
      </w:r>
    </w:p>
    <w:p w14:paraId="577CA55E">
      <w:pPr>
        <w:pStyle w:val="4"/>
        <w:spacing w:line="480" w:lineRule="auto"/>
        <w:rPr>
          <w:color w:val="auto"/>
          <w:sz w:val="30"/>
          <w:szCs w:val="30"/>
        </w:rPr>
      </w:pPr>
      <w:r>
        <w:rPr>
          <w:color w:val="auto"/>
        </w:rPr>
        <w:br w:type="page"/>
      </w:r>
      <w:bookmarkEnd w:id="492"/>
      <w:bookmarkEnd w:id="493"/>
      <w:bookmarkEnd w:id="494"/>
      <w:bookmarkEnd w:id="495"/>
      <w:bookmarkEnd w:id="496"/>
      <w:bookmarkEnd w:id="508"/>
      <w:bookmarkEnd w:id="509"/>
      <w:bookmarkEnd w:id="510"/>
      <w:bookmarkStart w:id="511" w:name="_Toc535938754"/>
      <w:bookmarkStart w:id="512" w:name="_Toc28432"/>
      <w:bookmarkStart w:id="513" w:name="_Toc529196603"/>
      <w:bookmarkStart w:id="514" w:name="_Toc530470646"/>
      <w:r>
        <w:rPr>
          <w:color w:val="auto"/>
          <w:sz w:val="30"/>
          <w:szCs w:val="30"/>
        </w:rPr>
        <w:t>二</w:t>
      </w:r>
      <w:bookmarkEnd w:id="497"/>
      <w:bookmarkEnd w:id="498"/>
      <w:bookmarkEnd w:id="499"/>
      <w:bookmarkEnd w:id="500"/>
      <w:bookmarkEnd w:id="501"/>
      <w:bookmarkEnd w:id="502"/>
      <w:bookmarkEnd w:id="503"/>
      <w:bookmarkEnd w:id="504"/>
      <w:bookmarkEnd w:id="505"/>
      <w:bookmarkEnd w:id="506"/>
      <w:bookmarkEnd w:id="507"/>
      <w:r>
        <w:rPr>
          <w:color w:val="auto"/>
          <w:sz w:val="30"/>
          <w:szCs w:val="30"/>
        </w:rPr>
        <w:t>、法定代表人身份证明</w:t>
      </w:r>
      <w:r>
        <w:rPr>
          <w:rFonts w:hint="eastAsia"/>
          <w:color w:val="auto"/>
          <w:sz w:val="30"/>
          <w:szCs w:val="30"/>
        </w:rPr>
        <w:t>或授权委托书（格式可自定）</w:t>
      </w:r>
      <w:bookmarkEnd w:id="511"/>
      <w:bookmarkEnd w:id="512"/>
      <w:bookmarkEnd w:id="513"/>
      <w:bookmarkEnd w:id="514"/>
    </w:p>
    <w:p w14:paraId="52C01CCE">
      <w:pPr>
        <w:spacing w:line="360" w:lineRule="auto"/>
        <w:jc w:val="center"/>
        <w:rPr>
          <w:b/>
          <w:color w:val="auto"/>
          <w:sz w:val="28"/>
          <w:szCs w:val="28"/>
          <w:highlight w:val="none"/>
        </w:rPr>
      </w:pPr>
      <w:r>
        <w:rPr>
          <w:rFonts w:hint="eastAsia"/>
          <w:b/>
          <w:color w:val="auto"/>
          <w:sz w:val="28"/>
          <w:szCs w:val="28"/>
          <w:highlight w:val="none"/>
        </w:rPr>
        <w:t>法定代表人身份证明</w:t>
      </w:r>
    </w:p>
    <w:p w14:paraId="414BB2D3">
      <w:pPr>
        <w:spacing w:line="440" w:lineRule="exact"/>
        <w:rPr>
          <w:color w:val="auto"/>
          <w:sz w:val="24"/>
          <w:highlight w:val="none"/>
        </w:rPr>
      </w:pPr>
      <w:r>
        <w:rPr>
          <w:color w:val="auto"/>
          <w:sz w:val="24"/>
          <w:highlight w:val="none"/>
        </w:rPr>
        <w:t>投标人名称：</w:t>
      </w:r>
      <w:r>
        <w:rPr>
          <w:color w:val="auto"/>
          <w:sz w:val="24"/>
          <w:highlight w:val="none"/>
          <w:u w:val="single"/>
        </w:rPr>
        <w:t xml:space="preserve">                        </w:t>
      </w:r>
    </w:p>
    <w:p w14:paraId="05A69235">
      <w:pPr>
        <w:spacing w:line="440" w:lineRule="exact"/>
        <w:rPr>
          <w:color w:val="auto"/>
          <w:sz w:val="24"/>
          <w:highlight w:val="none"/>
        </w:rPr>
      </w:pPr>
      <w:r>
        <w:rPr>
          <w:color w:val="auto"/>
          <w:sz w:val="24"/>
          <w:highlight w:val="none"/>
        </w:rPr>
        <w:t>姓名：</w:t>
      </w:r>
      <w:r>
        <w:rPr>
          <w:color w:val="auto"/>
          <w:sz w:val="24"/>
          <w:highlight w:val="none"/>
          <w:u w:val="single"/>
        </w:rPr>
        <w:t xml:space="preserve">                </w:t>
      </w:r>
      <w:r>
        <w:rPr>
          <w:color w:val="auto"/>
          <w:sz w:val="24"/>
          <w:highlight w:val="none"/>
        </w:rPr>
        <w:t>性别：</w:t>
      </w:r>
      <w:bookmarkStart w:id="515" w:name="_Toc352691662"/>
      <w:bookmarkStart w:id="516" w:name="_Toc27897"/>
      <w:bookmarkStart w:id="517" w:name="_Toc369531698"/>
      <w:r>
        <w:rPr>
          <w:color w:val="auto"/>
          <w:sz w:val="24"/>
          <w:highlight w:val="none"/>
          <w:u w:val="single"/>
        </w:rPr>
        <w:t xml:space="preserve">        </w:t>
      </w:r>
      <w:r>
        <w:rPr>
          <w:color w:val="auto"/>
          <w:sz w:val="24"/>
          <w:highlight w:val="none"/>
        </w:rPr>
        <w:t>年</w:t>
      </w:r>
      <w:bookmarkEnd w:id="515"/>
      <w:bookmarkEnd w:id="516"/>
      <w:bookmarkEnd w:id="517"/>
      <w:r>
        <w:rPr>
          <w:color w:val="auto"/>
          <w:sz w:val="24"/>
          <w:highlight w:val="none"/>
        </w:rPr>
        <w:t>龄</w:t>
      </w:r>
      <w:bookmarkStart w:id="518" w:name="_Toc247527829"/>
      <w:bookmarkStart w:id="519" w:name="_Toc361508754"/>
      <w:bookmarkStart w:id="520" w:name="_Toc144974858"/>
      <w:bookmarkStart w:id="521" w:name="_Toc352691663"/>
      <w:bookmarkStart w:id="522" w:name="_Toc15573"/>
      <w:bookmarkStart w:id="523" w:name="_Toc384308377"/>
      <w:bookmarkStart w:id="524" w:name="_Toc300835211"/>
      <w:bookmarkStart w:id="525" w:name="_Toc152045789"/>
      <w:bookmarkStart w:id="526" w:name="_Toc369531699"/>
      <w:bookmarkStart w:id="527" w:name="_Toc152042578"/>
      <w:bookmarkStart w:id="528" w:name="_Toc247514248"/>
      <w:r>
        <w:rPr>
          <w:color w:val="auto"/>
          <w:sz w:val="24"/>
          <w:highlight w:val="none"/>
        </w:rPr>
        <w:t>：</w:t>
      </w:r>
      <w:bookmarkEnd w:id="518"/>
      <w:bookmarkEnd w:id="519"/>
      <w:bookmarkEnd w:id="520"/>
      <w:bookmarkEnd w:id="521"/>
      <w:bookmarkEnd w:id="522"/>
      <w:bookmarkEnd w:id="523"/>
      <w:bookmarkEnd w:id="524"/>
      <w:bookmarkEnd w:id="525"/>
      <w:bookmarkEnd w:id="526"/>
      <w:bookmarkEnd w:id="527"/>
      <w:bookmarkEnd w:id="528"/>
      <w:r>
        <w:rPr>
          <w:color w:val="auto"/>
          <w:sz w:val="24"/>
          <w:highlight w:val="none"/>
          <w:u w:val="single"/>
        </w:rPr>
        <w:t xml:space="preserve">        </w:t>
      </w:r>
      <w:r>
        <w:rPr>
          <w:color w:val="auto"/>
          <w:sz w:val="24"/>
          <w:highlight w:val="none"/>
        </w:rPr>
        <w:t>职务：</w:t>
      </w:r>
      <w:r>
        <w:rPr>
          <w:color w:val="auto"/>
          <w:sz w:val="24"/>
          <w:highlight w:val="none"/>
          <w:u w:val="single"/>
        </w:rPr>
        <w:t xml:space="preserve">        </w:t>
      </w:r>
    </w:p>
    <w:p w14:paraId="00392AA4">
      <w:pPr>
        <w:spacing w:line="440" w:lineRule="exact"/>
        <w:rPr>
          <w:color w:val="auto"/>
          <w:sz w:val="24"/>
          <w:highlight w:val="none"/>
        </w:rPr>
      </w:pPr>
      <w:r>
        <w:rPr>
          <w:color w:val="auto"/>
          <w:sz w:val="24"/>
          <w:highlight w:val="none"/>
        </w:rPr>
        <w:t>系</w:t>
      </w:r>
      <w:r>
        <w:rPr>
          <w:color w:val="auto"/>
          <w:sz w:val="24"/>
          <w:highlight w:val="none"/>
          <w:u w:val="single"/>
        </w:rPr>
        <w:t xml:space="preserve">                        </w:t>
      </w:r>
      <w:r>
        <w:rPr>
          <w:color w:val="auto"/>
          <w:sz w:val="24"/>
          <w:highlight w:val="none"/>
        </w:rPr>
        <w:t>（投标人名称）的法定代表人。</w:t>
      </w:r>
    </w:p>
    <w:p w14:paraId="0C256122">
      <w:pPr>
        <w:spacing w:line="440" w:lineRule="exact"/>
        <w:ind w:firstLine="480" w:firstLineChars="200"/>
        <w:rPr>
          <w:color w:val="auto"/>
          <w:sz w:val="24"/>
          <w:highlight w:val="none"/>
        </w:rPr>
      </w:pPr>
      <w:r>
        <w:rPr>
          <w:color w:val="auto"/>
          <w:sz w:val="24"/>
          <w:highlight w:val="none"/>
        </w:rPr>
        <w:t>特此证明。</w:t>
      </w:r>
    </w:p>
    <w:p w14:paraId="6FD0F6C7">
      <w:pPr>
        <w:spacing w:line="440" w:lineRule="exact"/>
        <w:rPr>
          <w:color w:val="auto"/>
          <w:sz w:val="24"/>
          <w:highlight w:val="none"/>
        </w:rPr>
      </w:pPr>
    </w:p>
    <w:p w14:paraId="35E0C08A">
      <w:pPr>
        <w:spacing w:line="440" w:lineRule="exact"/>
        <w:rPr>
          <w:color w:val="auto"/>
          <w:sz w:val="24"/>
          <w:highlight w:val="none"/>
        </w:rPr>
      </w:pPr>
      <w:r>
        <w:rPr>
          <w:color w:val="auto"/>
          <w:sz w:val="24"/>
          <w:highlight w:val="none"/>
        </w:rPr>
        <w:t>附：法定代表人身份证</w:t>
      </w:r>
      <w:r>
        <w:rPr>
          <w:rFonts w:hint="eastAsia"/>
          <w:color w:val="auto"/>
          <w:sz w:val="24"/>
          <w:highlight w:val="none"/>
        </w:rPr>
        <w:t>扫描</w:t>
      </w:r>
      <w:r>
        <w:rPr>
          <w:color w:val="auto"/>
          <w:sz w:val="24"/>
          <w:highlight w:val="none"/>
        </w:rPr>
        <w:t>件。</w:t>
      </w:r>
    </w:p>
    <w:p w14:paraId="74CDBEDF">
      <w:pPr>
        <w:spacing w:line="440" w:lineRule="exact"/>
        <w:ind w:firstLine="480" w:firstLineChars="200"/>
        <w:rPr>
          <w:color w:val="auto"/>
          <w:sz w:val="24"/>
          <w:highlight w:val="none"/>
        </w:rPr>
      </w:pPr>
    </w:p>
    <w:p w14:paraId="604A5332">
      <w:pPr>
        <w:spacing w:line="440" w:lineRule="exact"/>
        <w:rPr>
          <w:color w:val="auto"/>
          <w:sz w:val="24"/>
          <w:highlight w:val="none"/>
        </w:rPr>
      </w:pPr>
      <w:r>
        <w:rPr>
          <w:color w:val="auto"/>
          <w:sz w:val="24"/>
          <w:highlight w:val="none"/>
        </w:rPr>
        <w:t>注：本身份证明需由投标人加盖单位公章。</w:t>
      </w:r>
    </w:p>
    <w:p w14:paraId="63985A40">
      <w:pPr>
        <w:spacing w:line="440" w:lineRule="exact"/>
        <w:rPr>
          <w:color w:val="auto"/>
          <w:sz w:val="24"/>
          <w:highlight w:val="none"/>
        </w:rPr>
      </w:pPr>
    </w:p>
    <w:p w14:paraId="30175AC1">
      <w:pPr>
        <w:spacing w:line="440" w:lineRule="exact"/>
        <w:rPr>
          <w:color w:val="auto"/>
          <w:sz w:val="24"/>
          <w:highlight w:val="none"/>
        </w:rPr>
      </w:pPr>
    </w:p>
    <w:p w14:paraId="1F169279">
      <w:pPr>
        <w:spacing w:line="440" w:lineRule="exact"/>
        <w:jc w:val="center"/>
        <w:rPr>
          <w:color w:val="auto"/>
          <w:sz w:val="24"/>
          <w:highlight w:val="none"/>
        </w:rPr>
      </w:pPr>
      <w:r>
        <w:rPr>
          <w:color w:val="auto"/>
          <w:sz w:val="24"/>
          <w:highlight w:val="none"/>
        </w:rPr>
        <w:t xml:space="preserve">                              投标人：</w:t>
      </w:r>
      <w:r>
        <w:rPr>
          <w:color w:val="auto"/>
          <w:sz w:val="24"/>
          <w:highlight w:val="none"/>
          <w:u w:val="single"/>
        </w:rPr>
        <w:t xml:space="preserve">          </w:t>
      </w:r>
      <w:r>
        <w:rPr>
          <w:color w:val="auto"/>
          <w:sz w:val="24"/>
          <w:highlight w:val="none"/>
          <w:u w:val="single"/>
        </w:rPr>
        <w:tab/>
      </w:r>
      <w:r>
        <w:rPr>
          <w:color w:val="auto"/>
          <w:sz w:val="24"/>
          <w:highlight w:val="none"/>
        </w:rPr>
        <w:t>（</w:t>
      </w:r>
      <w:r>
        <w:rPr>
          <w:rFonts w:hint="eastAsia"/>
          <w:color w:val="auto"/>
          <w:sz w:val="24"/>
          <w:highlight w:val="none"/>
        </w:rPr>
        <w:t>盖</w:t>
      </w:r>
      <w:r>
        <w:rPr>
          <w:color w:val="auto"/>
          <w:sz w:val="24"/>
          <w:highlight w:val="none"/>
        </w:rPr>
        <w:t>单位</w:t>
      </w:r>
      <w:r>
        <w:rPr>
          <w:rFonts w:hint="eastAsia"/>
          <w:color w:val="auto"/>
          <w:sz w:val="24"/>
          <w:highlight w:val="none"/>
        </w:rPr>
        <w:t>章</w:t>
      </w:r>
      <w:r>
        <w:rPr>
          <w:color w:val="auto"/>
          <w:sz w:val="24"/>
          <w:highlight w:val="none"/>
        </w:rPr>
        <w:t>）</w:t>
      </w:r>
    </w:p>
    <w:p w14:paraId="4A72F029">
      <w:pPr>
        <w:spacing w:line="440" w:lineRule="exact"/>
        <w:rPr>
          <w:color w:val="auto"/>
          <w:sz w:val="24"/>
          <w:highlight w:val="none"/>
        </w:rPr>
      </w:pPr>
    </w:p>
    <w:p w14:paraId="7DDFD863">
      <w:pPr>
        <w:spacing w:line="440" w:lineRule="exact"/>
        <w:ind w:firstLine="5280" w:firstLineChars="2200"/>
        <w:rPr>
          <w:color w:val="auto"/>
          <w:sz w:val="24"/>
          <w:highlight w:val="none"/>
        </w:rPr>
      </w:pPr>
      <w:r>
        <w:rPr>
          <w:color w:val="auto"/>
          <w:sz w:val="24"/>
          <w:highlight w:val="none"/>
          <w:u w:val="single"/>
        </w:rPr>
        <w:t xml:space="preserve">      </w:t>
      </w:r>
      <w:r>
        <w:rPr>
          <w:color w:val="auto"/>
          <w:sz w:val="24"/>
          <w:highlight w:val="none"/>
        </w:rPr>
        <w:t>年</w:t>
      </w:r>
      <w:r>
        <w:rPr>
          <w:color w:val="auto"/>
          <w:sz w:val="24"/>
          <w:highlight w:val="none"/>
          <w:u w:val="single"/>
        </w:rPr>
        <w:t xml:space="preserve">      </w:t>
      </w:r>
      <w:r>
        <w:rPr>
          <w:color w:val="auto"/>
          <w:sz w:val="24"/>
          <w:highlight w:val="none"/>
        </w:rPr>
        <w:t>月</w:t>
      </w:r>
      <w:r>
        <w:rPr>
          <w:color w:val="auto"/>
          <w:sz w:val="24"/>
          <w:highlight w:val="none"/>
          <w:u w:val="single"/>
        </w:rPr>
        <w:t xml:space="preserve">      </w:t>
      </w:r>
      <w:r>
        <w:rPr>
          <w:color w:val="auto"/>
          <w:sz w:val="24"/>
          <w:highlight w:val="none"/>
        </w:rPr>
        <w:t>日</w:t>
      </w:r>
    </w:p>
    <w:p w14:paraId="41826E96">
      <w:pPr>
        <w:spacing w:line="440" w:lineRule="exact"/>
        <w:rPr>
          <w:color w:val="auto"/>
          <w:sz w:val="24"/>
          <w:highlight w:val="none"/>
        </w:rPr>
      </w:pPr>
    </w:p>
    <w:p w14:paraId="35D4DFC2">
      <w:pPr>
        <w:spacing w:line="360" w:lineRule="auto"/>
        <w:jc w:val="center"/>
        <w:rPr>
          <w:b/>
          <w:color w:val="auto"/>
          <w:sz w:val="28"/>
          <w:szCs w:val="28"/>
          <w:highlight w:val="none"/>
        </w:rPr>
      </w:pPr>
      <w:bookmarkStart w:id="529" w:name="_Toc529196604"/>
      <w:bookmarkStart w:id="530" w:name="_Toc530470647"/>
      <w:r>
        <w:rPr>
          <w:b/>
          <w:bCs/>
          <w:color w:val="auto"/>
          <w:sz w:val="20"/>
          <w:highlight w:val="none"/>
        </w:rPr>
        <w:br w:type="page"/>
      </w:r>
      <w:bookmarkStart w:id="531" w:name="_Toc535938755"/>
      <w:r>
        <w:rPr>
          <w:color w:val="auto"/>
          <w:sz w:val="28"/>
          <w:szCs w:val="28"/>
          <w:highlight w:val="none"/>
        </w:rPr>
        <w:t xml:space="preserve"> </w:t>
      </w:r>
      <w:bookmarkEnd w:id="529"/>
      <w:bookmarkEnd w:id="530"/>
      <w:bookmarkEnd w:id="531"/>
      <w:r>
        <w:rPr>
          <w:rFonts w:hint="eastAsia"/>
          <w:b/>
          <w:color w:val="auto"/>
          <w:sz w:val="28"/>
          <w:szCs w:val="28"/>
          <w:highlight w:val="none"/>
        </w:rPr>
        <w:t>授权委托书</w:t>
      </w:r>
    </w:p>
    <w:p w14:paraId="13E1546D">
      <w:pPr>
        <w:topLinePunct/>
        <w:spacing w:line="440" w:lineRule="exact"/>
        <w:ind w:firstLine="480" w:firstLineChars="200"/>
        <w:rPr>
          <w:color w:val="auto"/>
          <w:sz w:val="24"/>
          <w:highlight w:val="none"/>
        </w:rPr>
      </w:pPr>
      <w:r>
        <w:rPr>
          <w:color w:val="auto"/>
          <w:sz w:val="24"/>
          <w:highlight w:val="none"/>
        </w:rPr>
        <w:t>本人</w:t>
      </w:r>
      <w:r>
        <w:rPr>
          <w:color w:val="auto"/>
          <w:sz w:val="24"/>
          <w:highlight w:val="none"/>
          <w:u w:val="single"/>
        </w:rPr>
        <w:t xml:space="preserve">              </w:t>
      </w:r>
      <w:r>
        <w:rPr>
          <w:color w:val="auto"/>
          <w:sz w:val="24"/>
          <w:highlight w:val="none"/>
        </w:rPr>
        <w:t>（姓名）系</w:t>
      </w:r>
      <w:r>
        <w:rPr>
          <w:color w:val="auto"/>
          <w:sz w:val="24"/>
          <w:highlight w:val="none"/>
          <w:u w:val="single"/>
        </w:rPr>
        <w:t xml:space="preserve">                    </w:t>
      </w:r>
      <w:r>
        <w:rPr>
          <w:color w:val="auto"/>
          <w:sz w:val="24"/>
          <w:highlight w:val="none"/>
        </w:rPr>
        <w:t>（投标人名称）的法定代表人，现委托</w:t>
      </w:r>
      <w:r>
        <w:rPr>
          <w:color w:val="auto"/>
          <w:sz w:val="24"/>
          <w:highlight w:val="none"/>
          <w:u w:val="single"/>
        </w:rPr>
        <w:t xml:space="preserve">            </w:t>
      </w:r>
      <w:r>
        <w:rPr>
          <w:color w:val="auto"/>
          <w:sz w:val="24"/>
          <w:highlight w:val="none"/>
        </w:rPr>
        <w:t>（姓名）为我方代理人。代理人根据授权，以我方名义签署、澄清确认、递交、撤回、修改</w:t>
      </w:r>
      <w:r>
        <w:rPr>
          <w:rFonts w:hint="eastAsia"/>
          <w:color w:val="auto"/>
          <w:sz w:val="24"/>
          <w:highlight w:val="none"/>
          <w:u w:val="single"/>
        </w:rPr>
        <w:t xml:space="preserve">                 </w:t>
      </w:r>
      <w:r>
        <w:rPr>
          <w:color w:val="auto"/>
          <w:sz w:val="24"/>
          <w:highlight w:val="none"/>
        </w:rPr>
        <w:t>招标项目投标文件、签订合同和处理有关事宜，其法律后果由我方承担。</w:t>
      </w:r>
    </w:p>
    <w:p w14:paraId="62970FEA">
      <w:pPr>
        <w:spacing w:line="440" w:lineRule="exact"/>
        <w:ind w:firstLine="480" w:firstLineChars="200"/>
        <w:rPr>
          <w:color w:val="auto"/>
          <w:sz w:val="24"/>
          <w:highlight w:val="none"/>
        </w:rPr>
      </w:pPr>
      <w:r>
        <w:rPr>
          <w:color w:val="auto"/>
          <w:sz w:val="24"/>
          <w:highlight w:val="none"/>
        </w:rPr>
        <w:t>委托期限：</w:t>
      </w:r>
      <w:r>
        <w:rPr>
          <w:color w:val="auto"/>
          <w:sz w:val="24"/>
          <w:highlight w:val="none"/>
          <w:u w:val="single"/>
        </w:rPr>
        <w:t xml:space="preserve">                       </w:t>
      </w:r>
      <w:r>
        <w:rPr>
          <w:color w:val="auto"/>
          <w:sz w:val="24"/>
          <w:highlight w:val="none"/>
        </w:rPr>
        <w:t>。</w:t>
      </w:r>
    </w:p>
    <w:p w14:paraId="2F8C5B98">
      <w:pPr>
        <w:spacing w:line="440" w:lineRule="exact"/>
        <w:ind w:firstLine="480" w:firstLineChars="200"/>
        <w:rPr>
          <w:color w:val="auto"/>
          <w:sz w:val="24"/>
          <w:highlight w:val="none"/>
        </w:rPr>
      </w:pPr>
      <w:r>
        <w:rPr>
          <w:color w:val="auto"/>
          <w:sz w:val="24"/>
          <w:highlight w:val="none"/>
        </w:rPr>
        <w:t>代理人无转委托权。</w:t>
      </w:r>
    </w:p>
    <w:p w14:paraId="379127C0">
      <w:pPr>
        <w:spacing w:line="440" w:lineRule="exact"/>
        <w:ind w:firstLine="480" w:firstLineChars="200"/>
        <w:rPr>
          <w:color w:val="auto"/>
          <w:sz w:val="24"/>
          <w:highlight w:val="none"/>
        </w:rPr>
      </w:pPr>
    </w:p>
    <w:p w14:paraId="3DDA430D">
      <w:pPr>
        <w:spacing w:line="440" w:lineRule="exact"/>
        <w:rPr>
          <w:color w:val="auto"/>
          <w:sz w:val="24"/>
          <w:highlight w:val="none"/>
        </w:rPr>
      </w:pPr>
      <w:r>
        <w:rPr>
          <w:color w:val="auto"/>
          <w:sz w:val="24"/>
          <w:highlight w:val="none"/>
        </w:rPr>
        <w:t>附：法定代表人身份证</w:t>
      </w:r>
      <w:r>
        <w:rPr>
          <w:rFonts w:hint="eastAsia"/>
          <w:color w:val="auto"/>
          <w:sz w:val="24"/>
          <w:highlight w:val="none"/>
        </w:rPr>
        <w:t>扫描</w:t>
      </w:r>
      <w:r>
        <w:rPr>
          <w:color w:val="auto"/>
          <w:sz w:val="24"/>
          <w:highlight w:val="none"/>
        </w:rPr>
        <w:t>件及委托代理人身份证</w:t>
      </w:r>
      <w:r>
        <w:rPr>
          <w:rFonts w:hint="eastAsia"/>
          <w:color w:val="auto"/>
          <w:sz w:val="24"/>
          <w:highlight w:val="none"/>
        </w:rPr>
        <w:t>扫描</w:t>
      </w:r>
      <w:r>
        <w:rPr>
          <w:color w:val="auto"/>
          <w:sz w:val="24"/>
          <w:highlight w:val="none"/>
        </w:rPr>
        <w:t>件</w:t>
      </w:r>
    </w:p>
    <w:p w14:paraId="60ED9473">
      <w:pPr>
        <w:spacing w:line="440" w:lineRule="exact"/>
        <w:rPr>
          <w:color w:val="auto"/>
          <w:sz w:val="24"/>
          <w:highlight w:val="none"/>
        </w:rPr>
      </w:pPr>
    </w:p>
    <w:p w14:paraId="5DFAE6F1">
      <w:pPr>
        <w:spacing w:line="440" w:lineRule="exact"/>
        <w:rPr>
          <w:color w:val="auto"/>
          <w:sz w:val="24"/>
          <w:highlight w:val="none"/>
        </w:rPr>
      </w:pPr>
      <w:r>
        <w:rPr>
          <w:color w:val="auto"/>
          <w:sz w:val="24"/>
          <w:highlight w:val="none"/>
        </w:rPr>
        <w:t>注：本授权委托书需由投标人加盖单位公章并由其法定代表人和委托代理人签字。</w:t>
      </w:r>
    </w:p>
    <w:p w14:paraId="0E866226">
      <w:pPr>
        <w:spacing w:line="440" w:lineRule="exact"/>
        <w:rPr>
          <w:color w:val="auto"/>
          <w:sz w:val="24"/>
          <w:highlight w:val="none"/>
        </w:rPr>
      </w:pPr>
    </w:p>
    <w:p w14:paraId="600B8AAD">
      <w:pPr>
        <w:spacing w:line="440" w:lineRule="exact"/>
        <w:ind w:firstLine="3076" w:firstLineChars="1282"/>
        <w:rPr>
          <w:color w:val="auto"/>
          <w:sz w:val="24"/>
          <w:highlight w:val="none"/>
        </w:rPr>
      </w:pPr>
      <w:r>
        <w:rPr>
          <w:color w:val="auto"/>
          <w:sz w:val="24"/>
          <w:highlight w:val="none"/>
        </w:rPr>
        <w:t>投  标  人：</w:t>
      </w:r>
      <w:r>
        <w:rPr>
          <w:color w:val="auto"/>
          <w:sz w:val="24"/>
          <w:highlight w:val="none"/>
          <w:u w:val="single"/>
        </w:rPr>
        <w:tab/>
      </w:r>
      <w:r>
        <w:rPr>
          <w:color w:val="auto"/>
          <w:sz w:val="24"/>
          <w:highlight w:val="none"/>
          <w:u w:val="single"/>
        </w:rPr>
        <w:tab/>
      </w:r>
      <w:r>
        <w:rPr>
          <w:color w:val="auto"/>
          <w:sz w:val="24"/>
          <w:highlight w:val="none"/>
          <w:u w:val="single"/>
        </w:rPr>
        <w:tab/>
      </w:r>
      <w:r>
        <w:rPr>
          <w:color w:val="auto"/>
          <w:sz w:val="24"/>
          <w:highlight w:val="none"/>
          <w:u w:val="single"/>
        </w:rPr>
        <w:t xml:space="preserve">                 </w:t>
      </w:r>
      <w:r>
        <w:rPr>
          <w:color w:val="auto"/>
          <w:sz w:val="24"/>
          <w:highlight w:val="none"/>
          <w:u w:val="single"/>
        </w:rPr>
        <w:tab/>
      </w:r>
      <w:r>
        <w:rPr>
          <w:color w:val="auto"/>
          <w:sz w:val="24"/>
          <w:highlight w:val="none"/>
        </w:rPr>
        <w:t>（</w:t>
      </w:r>
      <w:r>
        <w:rPr>
          <w:rFonts w:hint="eastAsia"/>
          <w:color w:val="auto"/>
          <w:sz w:val="24"/>
          <w:highlight w:val="none"/>
        </w:rPr>
        <w:t>盖</w:t>
      </w:r>
      <w:r>
        <w:rPr>
          <w:color w:val="auto"/>
          <w:sz w:val="24"/>
          <w:highlight w:val="none"/>
        </w:rPr>
        <w:t>单位</w:t>
      </w:r>
      <w:r>
        <w:rPr>
          <w:rFonts w:hint="eastAsia"/>
          <w:color w:val="auto"/>
          <w:sz w:val="24"/>
          <w:highlight w:val="none"/>
        </w:rPr>
        <w:t>章</w:t>
      </w:r>
      <w:r>
        <w:rPr>
          <w:color w:val="auto"/>
          <w:sz w:val="24"/>
          <w:highlight w:val="none"/>
        </w:rPr>
        <w:t>）</w:t>
      </w:r>
    </w:p>
    <w:p w14:paraId="134A4EA4">
      <w:pPr>
        <w:spacing w:line="440" w:lineRule="exact"/>
        <w:ind w:firstLine="3076" w:firstLineChars="1282"/>
        <w:rPr>
          <w:color w:val="auto"/>
          <w:sz w:val="24"/>
          <w:highlight w:val="none"/>
        </w:rPr>
      </w:pPr>
    </w:p>
    <w:p w14:paraId="5875C5C8">
      <w:pPr>
        <w:spacing w:line="440" w:lineRule="exact"/>
        <w:ind w:firstLine="3074" w:firstLineChars="1281"/>
        <w:rPr>
          <w:color w:val="auto"/>
          <w:sz w:val="24"/>
          <w:highlight w:val="none"/>
        </w:rPr>
      </w:pPr>
      <w:r>
        <w:rPr>
          <w:color w:val="auto"/>
          <w:sz w:val="24"/>
          <w:highlight w:val="none"/>
        </w:rPr>
        <w:t>法定代表人：</w:t>
      </w:r>
      <w:r>
        <w:rPr>
          <w:color w:val="auto"/>
          <w:sz w:val="24"/>
          <w:highlight w:val="none"/>
          <w:u w:val="single"/>
        </w:rPr>
        <w:tab/>
      </w:r>
      <w:r>
        <w:rPr>
          <w:color w:val="auto"/>
          <w:sz w:val="24"/>
          <w:highlight w:val="none"/>
          <w:u w:val="single"/>
        </w:rPr>
        <w:tab/>
      </w:r>
      <w:r>
        <w:rPr>
          <w:color w:val="auto"/>
          <w:sz w:val="24"/>
          <w:highlight w:val="none"/>
          <w:u w:val="single"/>
        </w:rPr>
        <w:tab/>
      </w:r>
      <w:r>
        <w:rPr>
          <w:color w:val="auto"/>
          <w:sz w:val="24"/>
          <w:highlight w:val="none"/>
          <w:u w:val="single"/>
        </w:rPr>
        <w:t xml:space="preserve">        </w:t>
      </w:r>
      <w:r>
        <w:rPr>
          <w:color w:val="auto"/>
          <w:sz w:val="24"/>
          <w:highlight w:val="none"/>
          <w:u w:val="single"/>
        </w:rPr>
        <w:tab/>
      </w:r>
      <w:r>
        <w:rPr>
          <w:color w:val="auto"/>
          <w:sz w:val="24"/>
          <w:highlight w:val="none"/>
        </w:rPr>
        <w:t>（签字）</w:t>
      </w:r>
    </w:p>
    <w:p w14:paraId="6909DC86">
      <w:pPr>
        <w:spacing w:line="440" w:lineRule="exact"/>
        <w:ind w:firstLine="3076" w:firstLineChars="1282"/>
        <w:rPr>
          <w:color w:val="auto"/>
          <w:sz w:val="24"/>
          <w:highlight w:val="none"/>
        </w:rPr>
      </w:pPr>
    </w:p>
    <w:p w14:paraId="020A7857">
      <w:pPr>
        <w:spacing w:line="440" w:lineRule="exact"/>
        <w:ind w:firstLine="3076" w:firstLineChars="1282"/>
        <w:rPr>
          <w:color w:val="auto"/>
          <w:sz w:val="24"/>
          <w:highlight w:val="none"/>
        </w:rPr>
      </w:pPr>
      <w:r>
        <w:rPr>
          <w:color w:val="auto"/>
          <w:sz w:val="24"/>
          <w:highlight w:val="none"/>
        </w:rPr>
        <w:t>身份证号码：</w:t>
      </w:r>
      <w:r>
        <w:rPr>
          <w:color w:val="auto"/>
          <w:sz w:val="24"/>
          <w:highlight w:val="none"/>
          <w:u w:val="single"/>
        </w:rPr>
        <w:tab/>
      </w:r>
      <w:r>
        <w:rPr>
          <w:color w:val="auto"/>
          <w:sz w:val="24"/>
          <w:highlight w:val="none"/>
          <w:u w:val="single"/>
        </w:rPr>
        <w:tab/>
      </w:r>
      <w:r>
        <w:rPr>
          <w:color w:val="auto"/>
          <w:sz w:val="24"/>
          <w:highlight w:val="none"/>
          <w:u w:val="single"/>
        </w:rPr>
        <w:tab/>
      </w:r>
      <w:r>
        <w:rPr>
          <w:color w:val="auto"/>
          <w:sz w:val="24"/>
          <w:highlight w:val="none"/>
          <w:u w:val="single"/>
        </w:rPr>
        <w:t xml:space="preserve">                         </w:t>
      </w:r>
      <w:r>
        <w:rPr>
          <w:color w:val="auto"/>
          <w:sz w:val="24"/>
          <w:highlight w:val="none"/>
          <w:u w:val="single"/>
        </w:rPr>
        <w:tab/>
      </w:r>
    </w:p>
    <w:p w14:paraId="74AC2658">
      <w:pPr>
        <w:spacing w:line="440" w:lineRule="exact"/>
        <w:ind w:firstLine="3076" w:firstLineChars="1282"/>
        <w:rPr>
          <w:color w:val="auto"/>
          <w:sz w:val="24"/>
          <w:highlight w:val="none"/>
        </w:rPr>
      </w:pPr>
    </w:p>
    <w:p w14:paraId="693917C5">
      <w:pPr>
        <w:spacing w:line="440" w:lineRule="exact"/>
        <w:ind w:firstLine="3076" w:firstLineChars="1282"/>
        <w:rPr>
          <w:color w:val="auto"/>
          <w:sz w:val="24"/>
          <w:highlight w:val="none"/>
        </w:rPr>
      </w:pPr>
      <w:r>
        <w:rPr>
          <w:color w:val="auto"/>
          <w:sz w:val="24"/>
          <w:highlight w:val="none"/>
        </w:rPr>
        <w:t>委托代理人：</w:t>
      </w:r>
      <w:r>
        <w:rPr>
          <w:color w:val="auto"/>
          <w:sz w:val="24"/>
          <w:highlight w:val="none"/>
          <w:u w:val="single"/>
        </w:rPr>
        <w:tab/>
      </w:r>
      <w:r>
        <w:rPr>
          <w:color w:val="auto"/>
          <w:sz w:val="24"/>
          <w:highlight w:val="none"/>
          <w:u w:val="single"/>
        </w:rPr>
        <w:tab/>
      </w:r>
      <w:r>
        <w:rPr>
          <w:color w:val="auto"/>
          <w:sz w:val="24"/>
          <w:highlight w:val="none"/>
          <w:u w:val="single"/>
        </w:rPr>
        <w:tab/>
      </w:r>
      <w:r>
        <w:rPr>
          <w:color w:val="auto"/>
          <w:sz w:val="24"/>
          <w:highlight w:val="none"/>
          <w:u w:val="single"/>
        </w:rPr>
        <w:t xml:space="preserve">                    </w:t>
      </w:r>
      <w:r>
        <w:rPr>
          <w:color w:val="auto"/>
          <w:sz w:val="24"/>
          <w:highlight w:val="none"/>
          <w:u w:val="single"/>
        </w:rPr>
        <w:tab/>
      </w:r>
      <w:r>
        <w:rPr>
          <w:color w:val="auto"/>
          <w:sz w:val="24"/>
          <w:highlight w:val="none"/>
        </w:rPr>
        <w:t>（签字）</w:t>
      </w:r>
    </w:p>
    <w:p w14:paraId="3652AE3D">
      <w:pPr>
        <w:spacing w:line="440" w:lineRule="exact"/>
        <w:ind w:firstLine="3076" w:firstLineChars="1282"/>
        <w:rPr>
          <w:color w:val="auto"/>
          <w:sz w:val="24"/>
          <w:highlight w:val="none"/>
        </w:rPr>
      </w:pPr>
    </w:p>
    <w:p w14:paraId="7F9B02B4">
      <w:pPr>
        <w:spacing w:line="440" w:lineRule="exact"/>
        <w:ind w:firstLine="3076" w:firstLineChars="1282"/>
        <w:rPr>
          <w:color w:val="auto"/>
          <w:highlight w:val="none"/>
        </w:rPr>
      </w:pPr>
      <w:r>
        <w:rPr>
          <w:color w:val="auto"/>
          <w:sz w:val="24"/>
          <w:highlight w:val="none"/>
        </w:rPr>
        <w:t>身份证号码：</w:t>
      </w:r>
      <w:r>
        <w:rPr>
          <w:color w:val="auto"/>
          <w:sz w:val="24"/>
          <w:highlight w:val="none"/>
          <w:u w:val="single"/>
        </w:rPr>
        <w:tab/>
      </w:r>
      <w:r>
        <w:rPr>
          <w:color w:val="auto"/>
          <w:sz w:val="24"/>
          <w:highlight w:val="none"/>
          <w:u w:val="single"/>
        </w:rPr>
        <w:tab/>
      </w:r>
      <w:r>
        <w:rPr>
          <w:color w:val="auto"/>
          <w:sz w:val="24"/>
          <w:highlight w:val="none"/>
          <w:u w:val="single"/>
        </w:rPr>
        <w:tab/>
      </w:r>
      <w:r>
        <w:rPr>
          <w:color w:val="auto"/>
          <w:sz w:val="24"/>
          <w:highlight w:val="none"/>
          <w:u w:val="single"/>
        </w:rPr>
        <w:t xml:space="preserve">                           </w:t>
      </w:r>
      <w:r>
        <w:rPr>
          <w:color w:val="auto"/>
          <w:sz w:val="24"/>
          <w:highlight w:val="none"/>
          <w:u w:val="single"/>
        </w:rPr>
        <w:tab/>
      </w:r>
    </w:p>
    <w:p w14:paraId="62F009EF">
      <w:pPr>
        <w:spacing w:line="440" w:lineRule="exact"/>
        <w:ind w:firstLine="2692" w:firstLineChars="1282"/>
        <w:rPr>
          <w:color w:val="auto"/>
          <w:highlight w:val="none"/>
        </w:rPr>
      </w:pPr>
    </w:p>
    <w:p w14:paraId="38BF9ECD">
      <w:pPr>
        <w:spacing w:line="440" w:lineRule="exact"/>
        <w:ind w:firstLine="4057" w:firstLineChars="1932"/>
        <w:jc w:val="right"/>
        <w:rPr>
          <w:color w:val="auto"/>
          <w:highlight w:val="none"/>
        </w:rPr>
      </w:pP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w:t>
      </w:r>
    </w:p>
    <w:p w14:paraId="4945B6A7">
      <w:pPr>
        <w:spacing w:line="440" w:lineRule="exact"/>
        <w:ind w:firstLine="4057" w:firstLineChars="1932"/>
        <w:jc w:val="right"/>
        <w:rPr>
          <w:color w:val="auto"/>
          <w:highlight w:val="none"/>
        </w:rPr>
      </w:pPr>
    </w:p>
    <w:p w14:paraId="15B4A0CF">
      <w:pPr>
        <w:spacing w:line="1" w:lineRule="exact"/>
        <w:jc w:val="left"/>
        <w:rPr>
          <w:color w:val="auto"/>
          <w:highlight w:val="none"/>
        </w:rPr>
        <w:sectPr>
          <w:pgSz w:w="11905" w:h="16838"/>
          <w:pgMar w:top="1145" w:right="850" w:bottom="850" w:left="1287" w:header="0" w:footer="454" w:gutter="0"/>
          <w:pgNumType w:fmt="decimal"/>
          <w:cols w:space="720" w:num="1"/>
          <w:rtlGutter w:val="0"/>
          <w:docGrid w:linePitch="285" w:charSpace="0"/>
        </w:sectPr>
      </w:pPr>
    </w:p>
    <w:p w14:paraId="1C2DE1F1">
      <w:pPr>
        <w:pStyle w:val="4"/>
        <w:spacing w:line="600" w:lineRule="auto"/>
        <w:rPr>
          <w:rFonts w:hint="eastAsia" w:ascii="Times New Roman" w:hAnsi="Times New Roman" w:eastAsia="宋体"/>
          <w:color w:val="auto"/>
          <w:sz w:val="30"/>
          <w:szCs w:val="30"/>
        </w:rPr>
      </w:pPr>
      <w:bookmarkStart w:id="532" w:name="_Toc529196606"/>
      <w:bookmarkStart w:id="533" w:name="_Toc530470649"/>
      <w:bookmarkStart w:id="534" w:name="_Toc535938757"/>
      <w:bookmarkStart w:id="535" w:name="_Toc24889"/>
      <w:r>
        <w:rPr>
          <w:rFonts w:hint="eastAsia" w:ascii="Times New Roman" w:hAnsi="Times New Roman" w:eastAsia="宋体"/>
          <w:color w:val="auto"/>
          <w:sz w:val="30"/>
          <w:szCs w:val="30"/>
        </w:rPr>
        <w:t>三</w:t>
      </w:r>
      <w:r>
        <w:rPr>
          <w:rFonts w:ascii="Times New Roman" w:hAnsi="Times New Roman" w:eastAsia="宋体"/>
          <w:color w:val="auto"/>
          <w:sz w:val="30"/>
          <w:szCs w:val="30"/>
        </w:rPr>
        <w:t>、</w:t>
      </w:r>
      <w:bookmarkEnd w:id="532"/>
      <w:bookmarkEnd w:id="533"/>
      <w:bookmarkEnd w:id="534"/>
      <w:r>
        <w:rPr>
          <w:rFonts w:hint="eastAsia" w:ascii="Times New Roman" w:hAnsi="Times New Roman" w:eastAsia="宋体"/>
          <w:color w:val="auto"/>
          <w:sz w:val="30"/>
          <w:szCs w:val="30"/>
        </w:rPr>
        <w:t>投标报价书</w:t>
      </w:r>
      <w:bookmarkEnd w:id="535"/>
    </w:p>
    <w:p w14:paraId="1294129D">
      <w:pPr>
        <w:rPr>
          <w:rFonts w:hint="eastAsia" w:ascii="宋体" w:hAnsi="宋体"/>
          <w:color w:val="auto"/>
          <w:highlight w:val="none"/>
        </w:rPr>
      </w:pPr>
      <w:bookmarkStart w:id="536" w:name="_Toc361508760"/>
    </w:p>
    <w:p w14:paraId="49B1F372">
      <w:pPr>
        <w:rPr>
          <w:rFonts w:hint="eastAsia"/>
          <w:color w:val="auto"/>
          <w:highlight w:val="none"/>
        </w:rPr>
      </w:pPr>
    </w:p>
    <w:p w14:paraId="5A0A466F">
      <w:pPr>
        <w:rPr>
          <w:color w:val="auto"/>
          <w:highlight w:val="none"/>
        </w:rPr>
      </w:pPr>
    </w:p>
    <w:p w14:paraId="50612D43">
      <w:pPr>
        <w:spacing w:line="440" w:lineRule="exact"/>
        <w:jc w:val="center"/>
        <w:rPr>
          <w:rFonts w:ascii="宋体" w:hAnsi="宋体"/>
          <w:b/>
          <w:color w:val="auto"/>
          <w:sz w:val="36"/>
          <w:szCs w:val="36"/>
          <w:highlight w:val="none"/>
        </w:rPr>
      </w:pPr>
      <w:r>
        <w:rPr>
          <w:rFonts w:hint="eastAsia"/>
          <w:b/>
          <w:bCs/>
          <w:color w:val="auto"/>
          <w:sz w:val="36"/>
          <w:szCs w:val="36"/>
          <w:highlight w:val="none"/>
        </w:rPr>
        <w:t>湾区农谷二期地铁保护</w:t>
      </w:r>
      <w:r>
        <w:rPr>
          <w:rFonts w:hint="eastAsia"/>
          <w:b/>
          <w:bCs/>
          <w:color w:val="auto"/>
          <w:sz w:val="36"/>
          <w:szCs w:val="36"/>
          <w:highlight w:val="none"/>
          <w:lang w:val="en-US" w:eastAsia="zh-CN"/>
        </w:rPr>
        <w:t>动态</w:t>
      </w:r>
      <w:r>
        <w:rPr>
          <w:rFonts w:hint="eastAsia"/>
          <w:b/>
          <w:bCs/>
          <w:color w:val="auto"/>
          <w:sz w:val="36"/>
          <w:szCs w:val="36"/>
          <w:highlight w:val="none"/>
        </w:rPr>
        <w:t>监测</w:t>
      </w:r>
      <w:r>
        <w:rPr>
          <w:rFonts w:hint="eastAsia" w:ascii="宋体" w:hAnsi="宋体"/>
          <w:b/>
          <w:color w:val="auto"/>
          <w:sz w:val="36"/>
          <w:szCs w:val="36"/>
          <w:highlight w:val="none"/>
        </w:rPr>
        <w:t>和安全监控服务</w:t>
      </w:r>
    </w:p>
    <w:p w14:paraId="2BC9875F">
      <w:pPr>
        <w:spacing w:line="600" w:lineRule="exact"/>
        <w:jc w:val="center"/>
        <w:rPr>
          <w:rFonts w:hint="eastAsia"/>
          <w:b/>
          <w:bCs/>
          <w:color w:val="auto"/>
          <w:sz w:val="52"/>
          <w:highlight w:val="none"/>
        </w:rPr>
      </w:pPr>
    </w:p>
    <w:p w14:paraId="4D8491A9">
      <w:pPr>
        <w:spacing w:line="500" w:lineRule="exact"/>
        <w:rPr>
          <w:rFonts w:hint="eastAsia" w:ascii="宋体" w:hAnsi="宋体"/>
          <w:b/>
          <w:bCs/>
          <w:color w:val="auto"/>
          <w:sz w:val="30"/>
          <w:highlight w:val="none"/>
        </w:rPr>
      </w:pPr>
    </w:p>
    <w:p w14:paraId="4E790107">
      <w:pPr>
        <w:spacing w:line="500" w:lineRule="exact"/>
        <w:jc w:val="center"/>
        <w:rPr>
          <w:rFonts w:hint="eastAsia" w:ascii="宋体" w:hAnsi="宋体"/>
          <w:b/>
          <w:bCs/>
          <w:color w:val="auto"/>
          <w:sz w:val="30"/>
          <w:highlight w:val="none"/>
        </w:rPr>
      </w:pPr>
    </w:p>
    <w:p w14:paraId="6F2E0736">
      <w:pPr>
        <w:spacing w:line="500" w:lineRule="exact"/>
        <w:jc w:val="center"/>
        <w:rPr>
          <w:rFonts w:hint="eastAsia" w:ascii="宋体" w:hAnsi="宋体"/>
          <w:b/>
          <w:bCs/>
          <w:color w:val="auto"/>
          <w:sz w:val="30"/>
          <w:highlight w:val="none"/>
        </w:rPr>
      </w:pPr>
    </w:p>
    <w:p w14:paraId="27600551">
      <w:pPr>
        <w:spacing w:line="500" w:lineRule="exact"/>
        <w:jc w:val="center"/>
        <w:rPr>
          <w:rFonts w:hint="eastAsia" w:ascii="宋体" w:hAnsi="宋体"/>
          <w:b/>
          <w:bCs/>
          <w:color w:val="auto"/>
          <w:sz w:val="30"/>
          <w:highlight w:val="none"/>
        </w:rPr>
      </w:pPr>
    </w:p>
    <w:p w14:paraId="584AB7F6">
      <w:pPr>
        <w:spacing w:line="500" w:lineRule="exact"/>
        <w:jc w:val="center"/>
        <w:rPr>
          <w:rFonts w:hint="eastAsia" w:ascii="宋体" w:hAnsi="宋体"/>
          <w:b/>
          <w:bCs/>
          <w:color w:val="auto"/>
          <w:sz w:val="30"/>
          <w:highlight w:val="none"/>
        </w:rPr>
      </w:pPr>
    </w:p>
    <w:p w14:paraId="62AB6E36">
      <w:pPr>
        <w:spacing w:line="440" w:lineRule="exact"/>
        <w:jc w:val="center"/>
        <w:rPr>
          <w:rFonts w:hint="eastAsia"/>
          <w:b/>
          <w:bCs/>
          <w:color w:val="auto"/>
          <w:sz w:val="36"/>
          <w:szCs w:val="36"/>
          <w:highlight w:val="none"/>
        </w:rPr>
      </w:pPr>
      <w:r>
        <w:rPr>
          <w:rFonts w:hint="eastAsia"/>
          <w:b/>
          <w:bCs/>
          <w:color w:val="auto"/>
          <w:sz w:val="36"/>
          <w:szCs w:val="36"/>
          <w:highlight w:val="none"/>
        </w:rPr>
        <w:t>投 标 报 价 书</w:t>
      </w:r>
    </w:p>
    <w:p w14:paraId="4ACC9A50">
      <w:pPr>
        <w:spacing w:line="500" w:lineRule="exact"/>
        <w:jc w:val="center"/>
        <w:rPr>
          <w:rFonts w:hint="eastAsia" w:ascii="宋体" w:hAnsi="宋体"/>
          <w:b/>
          <w:bCs/>
          <w:color w:val="auto"/>
          <w:sz w:val="30"/>
          <w:highlight w:val="none"/>
        </w:rPr>
      </w:pPr>
    </w:p>
    <w:p w14:paraId="76DD31F0">
      <w:pPr>
        <w:spacing w:line="500" w:lineRule="exact"/>
        <w:jc w:val="center"/>
        <w:rPr>
          <w:rFonts w:hint="eastAsia" w:ascii="宋体" w:hAnsi="宋体"/>
          <w:b/>
          <w:bCs/>
          <w:color w:val="auto"/>
          <w:sz w:val="30"/>
          <w:highlight w:val="none"/>
        </w:rPr>
      </w:pPr>
    </w:p>
    <w:p w14:paraId="6381AA6A">
      <w:pPr>
        <w:spacing w:line="500" w:lineRule="exact"/>
        <w:jc w:val="center"/>
        <w:rPr>
          <w:rFonts w:hint="eastAsia" w:ascii="宋体" w:hAnsi="宋体"/>
          <w:b/>
          <w:bCs/>
          <w:color w:val="auto"/>
          <w:sz w:val="30"/>
          <w:highlight w:val="none"/>
        </w:rPr>
      </w:pPr>
    </w:p>
    <w:p w14:paraId="0B588295">
      <w:pPr>
        <w:spacing w:line="500" w:lineRule="exact"/>
        <w:jc w:val="center"/>
        <w:rPr>
          <w:rFonts w:hint="eastAsia" w:ascii="宋体" w:hAnsi="宋体"/>
          <w:b/>
          <w:bCs/>
          <w:color w:val="auto"/>
          <w:sz w:val="30"/>
          <w:highlight w:val="none"/>
        </w:rPr>
      </w:pPr>
    </w:p>
    <w:p w14:paraId="3F5C1C95">
      <w:pPr>
        <w:spacing w:line="500" w:lineRule="exact"/>
        <w:jc w:val="center"/>
        <w:rPr>
          <w:rFonts w:hint="eastAsia" w:ascii="宋体" w:hAnsi="宋体"/>
          <w:b/>
          <w:bCs/>
          <w:color w:val="auto"/>
          <w:sz w:val="30"/>
          <w:highlight w:val="none"/>
        </w:rPr>
      </w:pPr>
    </w:p>
    <w:p w14:paraId="06B24EA0">
      <w:pPr>
        <w:spacing w:line="500" w:lineRule="exact"/>
        <w:rPr>
          <w:rFonts w:hint="eastAsia" w:ascii="宋体" w:hAnsi="宋体"/>
          <w:b/>
          <w:bCs/>
          <w:color w:val="auto"/>
          <w:sz w:val="30"/>
          <w:highlight w:val="none"/>
        </w:rPr>
      </w:pPr>
    </w:p>
    <w:p w14:paraId="6D3DF445">
      <w:pPr>
        <w:spacing w:line="500" w:lineRule="exact"/>
        <w:rPr>
          <w:rFonts w:hint="eastAsia" w:ascii="宋体" w:hAnsi="宋体"/>
          <w:b/>
          <w:bCs/>
          <w:color w:val="auto"/>
          <w:sz w:val="30"/>
          <w:highlight w:val="none"/>
        </w:rPr>
      </w:pPr>
    </w:p>
    <w:p w14:paraId="4C957E91">
      <w:pPr>
        <w:spacing w:line="500" w:lineRule="exact"/>
        <w:jc w:val="center"/>
        <w:rPr>
          <w:rFonts w:hint="eastAsia" w:ascii="宋体" w:hAnsi="宋体"/>
          <w:b/>
          <w:bCs/>
          <w:color w:val="auto"/>
          <w:sz w:val="30"/>
          <w:highlight w:val="none"/>
        </w:rPr>
      </w:pPr>
    </w:p>
    <w:p w14:paraId="370217F7">
      <w:pPr>
        <w:spacing w:line="500" w:lineRule="exact"/>
        <w:jc w:val="center"/>
        <w:rPr>
          <w:rFonts w:hint="eastAsia" w:ascii="宋体" w:hAnsi="宋体"/>
          <w:b/>
          <w:bCs/>
          <w:color w:val="auto"/>
          <w:sz w:val="30"/>
          <w:highlight w:val="none"/>
        </w:rPr>
      </w:pPr>
    </w:p>
    <w:p w14:paraId="612DF54B">
      <w:pPr>
        <w:spacing w:line="500" w:lineRule="exact"/>
        <w:rPr>
          <w:rFonts w:hint="eastAsia"/>
          <w:b/>
          <w:bCs/>
          <w:color w:val="auto"/>
          <w:sz w:val="30"/>
          <w:highlight w:val="none"/>
        </w:rPr>
      </w:pPr>
    </w:p>
    <w:p w14:paraId="2EA8ED4E">
      <w:pPr>
        <w:spacing w:line="500" w:lineRule="exact"/>
        <w:ind w:firstLine="1968" w:firstLineChars="700"/>
        <w:rPr>
          <w:rFonts w:hint="eastAsia"/>
          <w:b/>
          <w:bCs/>
          <w:color w:val="auto"/>
          <w:sz w:val="28"/>
          <w:highlight w:val="none"/>
        </w:rPr>
      </w:pPr>
      <w:r>
        <w:rPr>
          <w:rFonts w:hint="eastAsia"/>
          <w:b/>
          <w:bCs/>
          <w:color w:val="auto"/>
          <w:sz w:val="28"/>
          <w:highlight w:val="none"/>
        </w:rPr>
        <w:t>投标单位：</w:t>
      </w:r>
      <w:r>
        <w:rPr>
          <w:rFonts w:hint="eastAsia"/>
          <w:b/>
          <w:bCs/>
          <w:color w:val="auto"/>
          <w:sz w:val="28"/>
          <w:highlight w:val="none"/>
          <w:u w:val="single"/>
        </w:rPr>
        <w:t xml:space="preserve">             </w:t>
      </w:r>
      <w:r>
        <w:rPr>
          <w:rFonts w:hint="eastAsia"/>
          <w:b/>
          <w:bCs/>
          <w:color w:val="auto"/>
          <w:sz w:val="28"/>
          <w:highlight w:val="none"/>
        </w:rPr>
        <w:t>（盖单位章）</w:t>
      </w:r>
    </w:p>
    <w:p w14:paraId="1C93D786">
      <w:pPr>
        <w:spacing w:line="500" w:lineRule="exact"/>
        <w:jc w:val="center"/>
        <w:rPr>
          <w:rFonts w:hint="eastAsia" w:ascii="宋体" w:hAnsi="宋体"/>
          <w:color w:val="auto"/>
          <w:highlight w:val="none"/>
        </w:rPr>
      </w:pPr>
      <w:r>
        <w:rPr>
          <w:rFonts w:hint="eastAsia"/>
          <w:b/>
          <w:bCs/>
          <w:color w:val="auto"/>
          <w:sz w:val="28"/>
          <w:highlight w:val="none"/>
          <w:u w:val="single"/>
        </w:rPr>
        <w:t xml:space="preserve">   年   月   日</w:t>
      </w:r>
    </w:p>
    <w:p w14:paraId="5CFCB83C">
      <w:pPr>
        <w:rPr>
          <w:rFonts w:hint="eastAsia" w:ascii="宋体" w:hAnsi="宋体"/>
          <w:color w:val="auto"/>
          <w:highlight w:val="none"/>
        </w:rPr>
      </w:pPr>
    </w:p>
    <w:p w14:paraId="01A7DEBC">
      <w:pPr>
        <w:rPr>
          <w:rFonts w:hint="eastAsia" w:ascii="宋体" w:hAnsi="宋体"/>
          <w:color w:val="auto"/>
          <w:highlight w:val="none"/>
        </w:rPr>
      </w:pPr>
    </w:p>
    <w:p w14:paraId="10B99F92">
      <w:pPr>
        <w:rPr>
          <w:rFonts w:hint="eastAsia" w:ascii="宋体" w:hAnsi="宋体"/>
          <w:color w:val="auto"/>
          <w:highlight w:val="none"/>
        </w:rPr>
      </w:pPr>
    </w:p>
    <w:p w14:paraId="2F581115">
      <w:pPr>
        <w:rPr>
          <w:rFonts w:hint="eastAsia" w:ascii="宋体" w:hAnsi="宋体"/>
          <w:color w:val="auto"/>
          <w:highlight w:val="none"/>
        </w:rPr>
      </w:pPr>
    </w:p>
    <w:p w14:paraId="43717739">
      <w:pPr>
        <w:rPr>
          <w:rFonts w:hint="eastAsia" w:ascii="宋体" w:hAnsi="宋体"/>
          <w:color w:val="auto"/>
          <w:highlight w:val="none"/>
        </w:rPr>
      </w:pPr>
    </w:p>
    <w:p w14:paraId="35A2ACEB">
      <w:pPr>
        <w:spacing w:line="500" w:lineRule="exact"/>
        <w:jc w:val="center"/>
        <w:rPr>
          <w:rFonts w:hint="eastAsia"/>
          <w:b/>
          <w:bCs/>
          <w:color w:val="auto"/>
          <w:sz w:val="32"/>
          <w:highlight w:val="none"/>
        </w:rPr>
      </w:pPr>
    </w:p>
    <w:p w14:paraId="6C1265AC">
      <w:pPr>
        <w:spacing w:line="500" w:lineRule="exact"/>
        <w:jc w:val="center"/>
        <w:rPr>
          <w:rFonts w:hint="eastAsia"/>
          <w:b/>
          <w:bCs/>
          <w:color w:val="auto"/>
          <w:sz w:val="32"/>
          <w:highlight w:val="none"/>
        </w:rPr>
        <w:sectPr>
          <w:pgSz w:w="11905" w:h="16838"/>
          <w:pgMar w:top="1145" w:right="850" w:bottom="850" w:left="1287" w:header="0" w:footer="454" w:gutter="0"/>
          <w:pgNumType w:fmt="decimal"/>
          <w:cols w:space="720" w:num="1"/>
          <w:rtlGutter w:val="0"/>
          <w:docGrid w:linePitch="0" w:charSpace="0"/>
        </w:sectPr>
      </w:pPr>
    </w:p>
    <w:p w14:paraId="3A5B6929">
      <w:pPr>
        <w:spacing w:line="500" w:lineRule="exact"/>
        <w:jc w:val="center"/>
        <w:rPr>
          <w:rFonts w:hint="eastAsia"/>
          <w:b/>
          <w:bCs/>
          <w:color w:val="auto"/>
          <w:sz w:val="32"/>
          <w:highlight w:val="none"/>
        </w:rPr>
      </w:pPr>
      <w:r>
        <w:rPr>
          <w:rFonts w:hint="eastAsia"/>
          <w:b/>
          <w:bCs/>
          <w:color w:val="auto"/>
          <w:sz w:val="32"/>
          <w:highlight w:val="none"/>
        </w:rPr>
        <w:t>报  价  说  明</w:t>
      </w:r>
    </w:p>
    <w:p w14:paraId="2ECA32F2">
      <w:pPr>
        <w:spacing w:line="500" w:lineRule="exact"/>
        <w:jc w:val="center"/>
        <w:rPr>
          <w:rFonts w:hint="eastAsia"/>
          <w:b/>
          <w:bCs/>
          <w:color w:val="auto"/>
          <w:sz w:val="32"/>
          <w:highlight w:val="none"/>
        </w:rPr>
      </w:pPr>
    </w:p>
    <w:p w14:paraId="505FB3E0">
      <w:pPr>
        <w:pStyle w:val="18"/>
        <w:spacing w:after="0" w:line="360" w:lineRule="auto"/>
        <w:ind w:left="0" w:leftChars="0" w:firstLine="424" w:firstLineChars="177"/>
        <w:rPr>
          <w:rFonts w:hint="eastAsia"/>
          <w:color w:val="auto"/>
          <w:sz w:val="24"/>
          <w:highlight w:val="none"/>
        </w:rPr>
      </w:pPr>
      <w:r>
        <w:rPr>
          <w:rFonts w:hint="eastAsia"/>
          <w:color w:val="auto"/>
          <w:sz w:val="24"/>
          <w:highlight w:val="none"/>
        </w:rPr>
        <w:t>1、在研究了招标文件的所有文件、技术资料、图纸后，我方对</w:t>
      </w:r>
      <w:r>
        <w:rPr>
          <w:rFonts w:hint="eastAsia"/>
          <w:color w:val="auto"/>
          <w:sz w:val="24"/>
          <w:highlight w:val="none"/>
          <w:u w:val="single"/>
        </w:rPr>
        <w:t xml:space="preserve">   （项目名称）   </w:t>
      </w:r>
      <w:r>
        <w:rPr>
          <w:rFonts w:hint="eastAsia"/>
          <w:color w:val="auto"/>
          <w:sz w:val="24"/>
          <w:highlight w:val="none"/>
        </w:rPr>
        <w:t>投标的总报价为（人民币）</w:t>
      </w:r>
      <w:r>
        <w:rPr>
          <w:color w:val="auto"/>
          <w:sz w:val="24"/>
          <w:highlight w:val="none"/>
        </w:rPr>
        <w:t>___________</w:t>
      </w:r>
      <w:r>
        <w:rPr>
          <w:rFonts w:hint="eastAsia"/>
          <w:color w:val="auto"/>
          <w:sz w:val="24"/>
          <w:highlight w:val="none"/>
        </w:rPr>
        <w:t>元（大写：</w:t>
      </w:r>
      <w:r>
        <w:rPr>
          <w:rFonts w:hint="eastAsia"/>
          <w:color w:val="auto"/>
          <w:sz w:val="24"/>
          <w:highlight w:val="none"/>
          <w:u w:val="single"/>
        </w:rPr>
        <w:t xml:space="preserve">             </w:t>
      </w:r>
      <w:r>
        <w:rPr>
          <w:rFonts w:hint="eastAsia"/>
          <w:color w:val="auto"/>
          <w:sz w:val="24"/>
          <w:highlight w:val="none"/>
        </w:rPr>
        <w:t>），具体详见报价明细。</w:t>
      </w:r>
    </w:p>
    <w:p w14:paraId="3792B7C9">
      <w:pPr>
        <w:spacing w:line="360" w:lineRule="auto"/>
        <w:ind w:firstLine="424" w:firstLineChars="177"/>
        <w:rPr>
          <w:rFonts w:hint="eastAsia"/>
          <w:color w:val="auto"/>
          <w:sz w:val="28"/>
          <w:highlight w:val="none"/>
        </w:rPr>
      </w:pPr>
      <w:r>
        <w:rPr>
          <w:rFonts w:hint="eastAsia"/>
          <w:color w:val="auto"/>
          <w:sz w:val="24"/>
          <w:highlight w:val="none"/>
        </w:rPr>
        <w:t>2、所有附件均为我们投标报价书的组成部分，我们理解招标单位并不一定非得接受最低价或招标单位可能收到的任何报价书的约束。</w:t>
      </w:r>
    </w:p>
    <w:p w14:paraId="22C19167">
      <w:pPr>
        <w:spacing w:line="360" w:lineRule="auto"/>
        <w:ind w:firstLine="424" w:firstLineChars="177"/>
        <w:rPr>
          <w:rFonts w:hint="eastAsia"/>
          <w:color w:val="auto"/>
          <w:sz w:val="24"/>
          <w:highlight w:val="none"/>
        </w:rPr>
      </w:pPr>
      <w:r>
        <w:rPr>
          <w:rFonts w:hint="eastAsia"/>
          <w:color w:val="auto"/>
          <w:sz w:val="24"/>
          <w:highlight w:val="none"/>
        </w:rPr>
        <w:t>3、本报价币种为人民币。</w:t>
      </w:r>
    </w:p>
    <w:p w14:paraId="02052591">
      <w:pPr>
        <w:spacing w:line="360" w:lineRule="auto"/>
        <w:ind w:firstLine="424" w:firstLineChars="177"/>
        <w:rPr>
          <w:rFonts w:hint="eastAsia"/>
          <w:color w:val="auto"/>
          <w:sz w:val="24"/>
          <w:highlight w:val="none"/>
        </w:rPr>
      </w:pPr>
      <w:r>
        <w:rPr>
          <w:rFonts w:hint="eastAsia"/>
          <w:color w:val="auto"/>
          <w:sz w:val="24"/>
          <w:highlight w:val="none"/>
        </w:rPr>
        <w:t>4、（投标人需要说明的其他内容，由投标人自行填写）</w:t>
      </w:r>
    </w:p>
    <w:p w14:paraId="7750D391">
      <w:pPr>
        <w:spacing w:line="360" w:lineRule="auto"/>
        <w:rPr>
          <w:rFonts w:hint="eastAsia" w:ascii="宋体" w:hAnsi="宋体"/>
          <w:color w:val="auto"/>
          <w:sz w:val="24"/>
          <w:highlight w:val="none"/>
        </w:rPr>
      </w:pPr>
    </w:p>
    <w:p w14:paraId="64799BDA">
      <w:pPr>
        <w:spacing w:line="360" w:lineRule="auto"/>
        <w:ind w:firstLine="424" w:firstLineChars="177"/>
        <w:rPr>
          <w:rFonts w:hint="eastAsia" w:ascii="宋体" w:hAnsi="宋体"/>
          <w:color w:val="auto"/>
          <w:sz w:val="24"/>
          <w:highlight w:val="none"/>
        </w:rPr>
      </w:pPr>
      <w:r>
        <w:rPr>
          <w:rFonts w:hint="eastAsia" w:ascii="宋体" w:hAnsi="宋体"/>
          <w:color w:val="auto"/>
          <w:sz w:val="24"/>
          <w:highlight w:val="none"/>
        </w:rPr>
        <w:t>投标人（盖单位章）：</w:t>
      </w:r>
      <w:r>
        <w:rPr>
          <w:rFonts w:hint="eastAsia" w:ascii="宋体" w:hAnsi="宋体"/>
          <w:color w:val="auto"/>
          <w:sz w:val="24"/>
          <w:highlight w:val="none"/>
          <w:u w:val="single"/>
        </w:rPr>
        <w:t xml:space="preserve">                            </w:t>
      </w:r>
    </w:p>
    <w:p w14:paraId="4B220121">
      <w:pPr>
        <w:spacing w:line="360" w:lineRule="auto"/>
        <w:ind w:firstLine="424" w:firstLineChars="177"/>
        <w:rPr>
          <w:rFonts w:hint="eastAsia" w:ascii="宋体" w:hAnsi="宋体"/>
          <w:color w:val="auto"/>
          <w:sz w:val="24"/>
          <w:highlight w:val="none"/>
          <w:u w:val="single"/>
        </w:rPr>
      </w:pPr>
      <w:r>
        <w:rPr>
          <w:rFonts w:hint="eastAsia" w:ascii="宋体" w:hAnsi="宋体"/>
          <w:color w:val="auto"/>
          <w:sz w:val="24"/>
          <w:highlight w:val="none"/>
        </w:rPr>
        <w:t>法定代表人（签字或盖章或签章）：</w:t>
      </w:r>
      <w:r>
        <w:rPr>
          <w:rFonts w:hint="eastAsia" w:ascii="宋体" w:hAnsi="宋体"/>
          <w:color w:val="auto"/>
          <w:sz w:val="24"/>
          <w:highlight w:val="none"/>
          <w:u w:val="single"/>
        </w:rPr>
        <w:t xml:space="preserve">                     </w:t>
      </w:r>
    </w:p>
    <w:p w14:paraId="136EB77F">
      <w:pPr>
        <w:spacing w:line="360" w:lineRule="auto"/>
        <w:ind w:firstLine="424" w:firstLineChars="177"/>
        <w:jc w:val="left"/>
        <w:rPr>
          <w:color w:val="auto"/>
          <w:szCs w:val="21"/>
          <w:highlight w:val="none"/>
        </w:rPr>
      </w:pPr>
      <w:r>
        <w:rPr>
          <w:rFonts w:hint="eastAsia" w:ascii="宋体" w:hAnsi="宋体"/>
          <w:color w:val="auto"/>
          <w:sz w:val="24"/>
          <w:highlight w:val="none"/>
        </w:rPr>
        <w:t>日期：</w:t>
      </w:r>
      <w:r>
        <w:rPr>
          <w:rFonts w:hint="eastAsia" w:ascii="宋体" w:hAnsi="宋体"/>
          <w:color w:val="auto"/>
          <w:sz w:val="24"/>
          <w:highlight w:val="none"/>
          <w:u w:val="single"/>
        </w:rPr>
        <w:t xml:space="preserve">      年   月   日</w:t>
      </w:r>
    </w:p>
    <w:p w14:paraId="2231FA00">
      <w:pPr>
        <w:widowControl/>
        <w:rPr>
          <w:rFonts w:hint="eastAsia"/>
          <w:b/>
          <w:color w:val="auto"/>
          <w:highlight w:val="none"/>
        </w:rPr>
      </w:pPr>
    </w:p>
    <w:p w14:paraId="0FCDA708">
      <w:pPr>
        <w:pStyle w:val="4"/>
        <w:spacing w:line="480" w:lineRule="auto"/>
        <w:jc w:val="center"/>
        <w:rPr>
          <w:rFonts w:hint="eastAsia" w:ascii="Times New Roman" w:hAnsi="Times New Roman" w:eastAsia="宋体"/>
          <w:color w:val="auto"/>
          <w:sz w:val="30"/>
          <w:szCs w:val="30"/>
        </w:rPr>
        <w:sectPr>
          <w:pgSz w:w="11905" w:h="16838"/>
          <w:pgMar w:top="1145" w:right="850" w:bottom="850" w:left="1287" w:header="0" w:footer="454" w:gutter="0"/>
          <w:pgNumType w:fmt="decimal"/>
          <w:cols w:space="720" w:num="1"/>
          <w:rtlGutter w:val="0"/>
          <w:docGrid w:linePitch="0" w:charSpace="0"/>
        </w:sectPr>
      </w:pPr>
    </w:p>
    <w:p w14:paraId="711BC0AC">
      <w:pPr>
        <w:pStyle w:val="4"/>
        <w:spacing w:line="480" w:lineRule="auto"/>
        <w:jc w:val="center"/>
        <w:rPr>
          <w:color w:val="auto"/>
          <w:spacing w:val="7"/>
          <w:sz w:val="31"/>
          <w:szCs w:val="31"/>
        </w:rPr>
      </w:pPr>
      <w:r>
        <w:rPr>
          <w:rFonts w:hint="eastAsia" w:ascii="Times New Roman" w:hAnsi="Times New Roman" w:eastAsia="宋体"/>
          <w:color w:val="auto"/>
          <w:sz w:val="30"/>
          <w:szCs w:val="30"/>
        </w:rPr>
        <w:t>报价清单</w:t>
      </w:r>
    </w:p>
    <w:tbl>
      <w:tblPr>
        <w:tblStyle w:val="25"/>
        <w:tblW w:w="86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8"/>
        <w:gridCol w:w="1996"/>
        <w:gridCol w:w="2415"/>
        <w:gridCol w:w="2190"/>
        <w:gridCol w:w="1275"/>
      </w:tblGrid>
      <w:tr w14:paraId="5F830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788" w:type="dxa"/>
            <w:tcBorders>
              <w:bottom w:val="nil"/>
            </w:tcBorders>
            <w:noWrap w:val="0"/>
            <w:vAlign w:val="center"/>
          </w:tcPr>
          <w:p w14:paraId="5647147B">
            <w:pPr>
              <w:pStyle w:val="36"/>
              <w:keepNext w:val="0"/>
              <w:keepLines w:val="0"/>
              <w:pageBreakBefore w:val="0"/>
              <w:widowControl w:val="0"/>
              <w:kinsoku/>
              <w:wordWrap/>
              <w:overflowPunct/>
              <w:topLinePunct w:val="0"/>
              <w:autoSpaceDE/>
              <w:autoSpaceDN/>
              <w:bidi w:val="0"/>
              <w:adjustRightInd/>
              <w:snapToGrid/>
              <w:spacing w:beforeAutospacing="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序号</w:t>
            </w:r>
          </w:p>
        </w:tc>
        <w:tc>
          <w:tcPr>
            <w:tcW w:w="1996" w:type="dxa"/>
            <w:tcBorders>
              <w:bottom w:val="nil"/>
            </w:tcBorders>
            <w:noWrap w:val="0"/>
            <w:vAlign w:val="center"/>
          </w:tcPr>
          <w:p w14:paraId="7045CBB0">
            <w:pPr>
              <w:pStyle w:val="36"/>
              <w:keepNext w:val="0"/>
              <w:keepLines w:val="0"/>
              <w:pageBreakBefore w:val="0"/>
              <w:kinsoku/>
              <w:wordWrap/>
              <w:overflowPunct/>
              <w:topLinePunct w:val="0"/>
              <w:autoSpaceDE/>
              <w:autoSpaceDN/>
              <w:bidi w:val="0"/>
              <w:adjustRightInd/>
              <w:snapToGrid/>
              <w:spacing w:before="39"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费用名</w:t>
            </w:r>
            <w:r>
              <w:rPr>
                <w:rFonts w:hint="eastAsia" w:ascii="宋体" w:hAnsi="宋体" w:eastAsia="宋体" w:cs="宋体"/>
                <w:color w:val="auto"/>
                <w:sz w:val="21"/>
                <w:szCs w:val="21"/>
                <w:highlight w:val="none"/>
              </w:rPr>
              <w:t>称</w:t>
            </w:r>
          </w:p>
        </w:tc>
        <w:tc>
          <w:tcPr>
            <w:tcW w:w="2415" w:type="dxa"/>
            <w:noWrap w:val="0"/>
            <w:vAlign w:val="center"/>
          </w:tcPr>
          <w:p w14:paraId="68917E87">
            <w:pPr>
              <w:pStyle w:val="36"/>
              <w:keepNext w:val="0"/>
              <w:keepLines w:val="0"/>
              <w:pageBreakBefore w:val="0"/>
              <w:kinsoku/>
              <w:wordWrap/>
              <w:overflowPunct/>
              <w:topLinePunct w:val="0"/>
              <w:autoSpaceDE/>
              <w:autoSpaceDN/>
              <w:bidi w:val="0"/>
              <w:adjustRightInd/>
              <w:snapToGrid/>
              <w:spacing w:before="29" w:line="240" w:lineRule="auto"/>
              <w:jc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最高</w:t>
            </w:r>
          </w:p>
          <w:p w14:paraId="0F416600">
            <w:pPr>
              <w:pStyle w:val="36"/>
              <w:keepNext w:val="0"/>
              <w:keepLines w:val="0"/>
              <w:pageBreakBefore w:val="0"/>
              <w:kinsoku/>
              <w:wordWrap/>
              <w:overflowPunct/>
              <w:topLinePunct w:val="0"/>
              <w:autoSpaceDE/>
              <w:autoSpaceDN/>
              <w:bidi w:val="0"/>
              <w:adjustRightInd/>
              <w:snapToGrid/>
              <w:spacing w:before="29" w:line="240" w:lineRule="auto"/>
              <w:jc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投标限价(元)</w:t>
            </w:r>
          </w:p>
        </w:tc>
        <w:tc>
          <w:tcPr>
            <w:tcW w:w="2190" w:type="dxa"/>
            <w:tcBorders>
              <w:bottom w:val="nil"/>
            </w:tcBorders>
            <w:noWrap w:val="0"/>
            <w:vAlign w:val="center"/>
          </w:tcPr>
          <w:p w14:paraId="70BBC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含税投标</w:t>
            </w:r>
          </w:p>
          <w:p w14:paraId="7429C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总报价（元）</w:t>
            </w:r>
          </w:p>
        </w:tc>
        <w:tc>
          <w:tcPr>
            <w:tcW w:w="1275" w:type="dxa"/>
            <w:tcBorders>
              <w:bottom w:val="nil"/>
            </w:tcBorders>
            <w:noWrap w:val="0"/>
            <w:vAlign w:val="center"/>
          </w:tcPr>
          <w:p w14:paraId="443325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4CC74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7" w:hRule="atLeast"/>
        </w:trPr>
        <w:tc>
          <w:tcPr>
            <w:tcW w:w="788" w:type="dxa"/>
            <w:noWrap w:val="0"/>
            <w:vAlign w:val="center"/>
          </w:tcPr>
          <w:p w14:paraId="5FDA482C">
            <w:pPr>
              <w:pStyle w:val="36"/>
              <w:keepNext w:val="0"/>
              <w:keepLines w:val="0"/>
              <w:pageBreakBefore w:val="0"/>
              <w:widowControl w:val="0"/>
              <w:kinsoku/>
              <w:wordWrap/>
              <w:overflowPunct/>
              <w:topLinePunct w:val="0"/>
              <w:autoSpaceDE/>
              <w:autoSpaceDN/>
              <w:bidi w:val="0"/>
              <w:adjustRightInd/>
              <w:snapToGrid/>
              <w:spacing w:before="72" w:line="241" w:lineRule="auto"/>
              <w:ind w:left="365"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96" w:type="dxa"/>
            <w:noWrap w:val="0"/>
            <w:vAlign w:val="center"/>
          </w:tcPr>
          <w:p w14:paraId="5594A922">
            <w:pPr>
              <w:pStyle w:val="36"/>
              <w:keepNext w:val="0"/>
              <w:keepLines w:val="0"/>
              <w:pageBreakBefore w:val="0"/>
              <w:kinsoku/>
              <w:wordWrap/>
              <w:overflowPunct/>
              <w:topLinePunct w:val="0"/>
              <w:autoSpaceDE/>
              <w:autoSpaceDN/>
              <w:bidi w:val="0"/>
              <w:adjustRightInd/>
              <w:snapToGrid/>
              <w:spacing w:before="71" w:line="230" w:lineRule="auto"/>
              <w:ind w:left="144" w:right="23" w:firstLine="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pacing w:val="-1"/>
                <w:sz w:val="24"/>
                <w:szCs w:val="24"/>
                <w:highlight w:val="none"/>
                <w:lang w:eastAsia="zh-CN"/>
              </w:rPr>
              <w:t>地铁保护安全监控</w:t>
            </w:r>
            <w:r>
              <w:rPr>
                <w:rFonts w:hint="eastAsia" w:ascii="宋体" w:hAnsi="宋体" w:eastAsia="宋体" w:cs="宋体"/>
                <w:color w:val="auto"/>
                <w:spacing w:val="-1"/>
                <w:sz w:val="24"/>
                <w:szCs w:val="24"/>
                <w:highlight w:val="none"/>
                <w:lang w:val="en-US" w:eastAsia="zh-CN"/>
              </w:rPr>
              <w:t>服务费用</w:t>
            </w:r>
          </w:p>
        </w:tc>
        <w:tc>
          <w:tcPr>
            <w:tcW w:w="2415" w:type="dxa"/>
            <w:noWrap w:val="0"/>
            <w:vAlign w:val="center"/>
          </w:tcPr>
          <w:p w14:paraId="4B13F93F">
            <w:pPr>
              <w:pStyle w:val="36"/>
              <w:keepNext w:val="0"/>
              <w:keepLines w:val="0"/>
              <w:pageBreakBefore w:val="0"/>
              <w:kinsoku/>
              <w:wordWrap/>
              <w:overflowPunct/>
              <w:topLinePunct w:val="0"/>
              <w:autoSpaceDE/>
              <w:autoSpaceDN/>
              <w:bidi w:val="0"/>
              <w:adjustRightInd/>
              <w:snapToGrid/>
              <w:spacing w:before="71"/>
              <w:ind w:left="315"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2351751</w:t>
            </w:r>
          </w:p>
        </w:tc>
        <w:tc>
          <w:tcPr>
            <w:tcW w:w="2190" w:type="dxa"/>
            <w:noWrap w:val="0"/>
            <w:vAlign w:val="center"/>
          </w:tcPr>
          <w:p w14:paraId="1D368724">
            <w:pPr>
              <w:pStyle w:val="36"/>
              <w:keepNext w:val="0"/>
              <w:keepLines w:val="0"/>
              <w:pageBreakBefore w:val="0"/>
              <w:kinsoku/>
              <w:wordWrap/>
              <w:overflowPunct/>
              <w:topLinePunct w:val="0"/>
              <w:autoSpaceDE/>
              <w:autoSpaceDN/>
              <w:bidi w:val="0"/>
              <w:adjustRightInd/>
              <w:snapToGrid/>
              <w:spacing w:before="10" w:line="219" w:lineRule="auto"/>
              <w:ind w:left="1207" w:firstLine="0"/>
              <w:jc w:val="center"/>
              <w:rPr>
                <w:rFonts w:hint="eastAsia" w:ascii="宋体" w:hAnsi="宋体" w:eastAsia="宋体" w:cs="宋体"/>
                <w:strike/>
                <w:dstrike w:val="0"/>
                <w:color w:val="auto"/>
                <w:sz w:val="24"/>
                <w:szCs w:val="24"/>
                <w:highlight w:val="none"/>
                <w:u w:val="none"/>
              </w:rPr>
            </w:pPr>
          </w:p>
        </w:tc>
        <w:tc>
          <w:tcPr>
            <w:tcW w:w="1275" w:type="dxa"/>
            <w:noWrap w:val="0"/>
            <w:vAlign w:val="center"/>
          </w:tcPr>
          <w:p w14:paraId="16642D3A">
            <w:pPr>
              <w:pStyle w:val="36"/>
              <w:keepNext w:val="0"/>
              <w:keepLines w:val="0"/>
              <w:pageBreakBefore w:val="0"/>
              <w:kinsoku/>
              <w:wordWrap/>
              <w:overflowPunct/>
              <w:topLinePunct w:val="0"/>
              <w:autoSpaceDE/>
              <w:autoSpaceDN/>
              <w:bidi w:val="0"/>
              <w:adjustRightInd/>
              <w:snapToGrid/>
              <w:spacing w:before="10" w:line="219" w:lineRule="auto"/>
              <w:ind w:left="1207" w:firstLine="0"/>
              <w:jc w:val="center"/>
              <w:rPr>
                <w:rFonts w:hint="eastAsia" w:ascii="宋体" w:hAnsi="宋体" w:eastAsia="宋体" w:cs="宋体"/>
                <w:strike/>
                <w:dstrike w:val="0"/>
                <w:color w:val="auto"/>
                <w:sz w:val="21"/>
                <w:szCs w:val="21"/>
                <w:highlight w:val="none"/>
                <w:u w:val="none"/>
              </w:rPr>
            </w:pPr>
          </w:p>
        </w:tc>
      </w:tr>
      <w:tr w14:paraId="307D7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6" w:hRule="atLeast"/>
        </w:trPr>
        <w:tc>
          <w:tcPr>
            <w:tcW w:w="788" w:type="dxa"/>
            <w:noWrap w:val="0"/>
            <w:vAlign w:val="center"/>
          </w:tcPr>
          <w:p w14:paraId="3E662699">
            <w:pPr>
              <w:pStyle w:val="36"/>
              <w:keepNext w:val="0"/>
              <w:keepLines w:val="0"/>
              <w:pageBreakBefore w:val="0"/>
              <w:widowControl w:val="0"/>
              <w:kinsoku/>
              <w:wordWrap/>
              <w:overflowPunct/>
              <w:topLinePunct w:val="0"/>
              <w:autoSpaceDE/>
              <w:autoSpaceDN/>
              <w:bidi w:val="0"/>
              <w:adjustRightInd/>
              <w:snapToGrid/>
              <w:spacing w:before="72" w:line="241" w:lineRule="auto"/>
              <w:ind w:left="351"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96" w:type="dxa"/>
            <w:noWrap w:val="0"/>
            <w:vAlign w:val="center"/>
          </w:tcPr>
          <w:p w14:paraId="31C07AC8">
            <w:pPr>
              <w:pStyle w:val="36"/>
              <w:keepNext w:val="0"/>
              <w:keepLines w:val="0"/>
              <w:pageBreakBefore w:val="0"/>
              <w:kinsoku/>
              <w:wordWrap/>
              <w:overflowPunct/>
              <w:topLinePunct w:val="0"/>
              <w:autoSpaceDE/>
              <w:autoSpaceDN/>
              <w:bidi w:val="0"/>
              <w:adjustRightInd/>
              <w:snapToGrid/>
              <w:spacing w:before="72" w:line="229" w:lineRule="auto"/>
              <w:ind w:left="144" w:right="23" w:firstLine="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spacing w:val="-1"/>
                <w:sz w:val="24"/>
                <w:szCs w:val="24"/>
                <w:highlight w:val="none"/>
                <w:lang w:eastAsia="zh-CN"/>
              </w:rPr>
              <w:t>地铁保护动态监测服务</w:t>
            </w:r>
            <w:r>
              <w:rPr>
                <w:rFonts w:hint="eastAsia" w:ascii="宋体" w:hAnsi="宋体" w:eastAsia="宋体" w:cs="宋体"/>
                <w:color w:val="auto"/>
                <w:spacing w:val="-1"/>
                <w:sz w:val="24"/>
                <w:szCs w:val="24"/>
                <w:highlight w:val="none"/>
                <w:lang w:val="en-US" w:eastAsia="zh-CN"/>
              </w:rPr>
              <w:t>费用</w:t>
            </w:r>
          </w:p>
        </w:tc>
        <w:tc>
          <w:tcPr>
            <w:tcW w:w="2415" w:type="dxa"/>
            <w:noWrap w:val="0"/>
            <w:vAlign w:val="center"/>
          </w:tcPr>
          <w:p w14:paraId="04AFB9D0">
            <w:pPr>
              <w:pStyle w:val="36"/>
              <w:keepNext w:val="0"/>
              <w:keepLines w:val="0"/>
              <w:pageBreakBefore w:val="0"/>
              <w:kinsoku/>
              <w:wordWrap/>
              <w:overflowPunct/>
              <w:topLinePunct w:val="0"/>
              <w:autoSpaceDE/>
              <w:autoSpaceDN/>
              <w:bidi w:val="0"/>
              <w:adjustRightInd/>
              <w:snapToGrid/>
              <w:spacing w:before="71"/>
              <w:ind w:left="313"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3285932</w:t>
            </w:r>
          </w:p>
        </w:tc>
        <w:tc>
          <w:tcPr>
            <w:tcW w:w="2190" w:type="dxa"/>
            <w:noWrap w:val="0"/>
            <w:vAlign w:val="center"/>
          </w:tcPr>
          <w:p w14:paraId="68AFCAD3">
            <w:pPr>
              <w:pStyle w:val="36"/>
              <w:keepNext w:val="0"/>
              <w:keepLines w:val="0"/>
              <w:pageBreakBefore w:val="0"/>
              <w:kinsoku/>
              <w:wordWrap/>
              <w:overflowPunct/>
              <w:topLinePunct w:val="0"/>
              <w:autoSpaceDE/>
              <w:autoSpaceDN/>
              <w:bidi w:val="0"/>
              <w:adjustRightInd/>
              <w:snapToGrid/>
              <w:spacing w:before="10" w:line="219" w:lineRule="auto"/>
              <w:ind w:left="1207" w:firstLine="0"/>
              <w:jc w:val="center"/>
              <w:rPr>
                <w:rFonts w:hint="eastAsia" w:ascii="宋体" w:hAnsi="宋体" w:eastAsia="宋体" w:cs="宋体"/>
                <w:strike/>
                <w:dstrike w:val="0"/>
                <w:color w:val="auto"/>
                <w:sz w:val="24"/>
                <w:szCs w:val="24"/>
                <w:highlight w:val="none"/>
                <w:u w:val="none"/>
              </w:rPr>
            </w:pPr>
          </w:p>
        </w:tc>
        <w:tc>
          <w:tcPr>
            <w:tcW w:w="1275" w:type="dxa"/>
            <w:noWrap w:val="0"/>
            <w:vAlign w:val="center"/>
          </w:tcPr>
          <w:p w14:paraId="56B6D79F">
            <w:pPr>
              <w:pStyle w:val="36"/>
              <w:keepNext w:val="0"/>
              <w:keepLines w:val="0"/>
              <w:pageBreakBefore w:val="0"/>
              <w:kinsoku/>
              <w:wordWrap/>
              <w:overflowPunct/>
              <w:topLinePunct w:val="0"/>
              <w:autoSpaceDE/>
              <w:autoSpaceDN/>
              <w:bidi w:val="0"/>
              <w:adjustRightInd/>
              <w:snapToGrid/>
              <w:spacing w:before="10" w:line="219" w:lineRule="auto"/>
              <w:ind w:left="1207" w:firstLine="0"/>
              <w:jc w:val="center"/>
              <w:rPr>
                <w:rFonts w:hint="eastAsia" w:ascii="宋体" w:hAnsi="宋体" w:eastAsia="宋体" w:cs="宋体"/>
                <w:strike/>
                <w:dstrike w:val="0"/>
                <w:color w:val="auto"/>
                <w:sz w:val="21"/>
                <w:szCs w:val="21"/>
                <w:highlight w:val="none"/>
                <w:u w:val="none"/>
              </w:rPr>
            </w:pPr>
          </w:p>
        </w:tc>
      </w:tr>
      <w:tr w14:paraId="3A5CA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7" w:hRule="atLeast"/>
        </w:trPr>
        <w:tc>
          <w:tcPr>
            <w:tcW w:w="788" w:type="dxa"/>
            <w:noWrap w:val="0"/>
            <w:vAlign w:val="center"/>
          </w:tcPr>
          <w:p w14:paraId="6EFAA56C">
            <w:pPr>
              <w:keepNext w:val="0"/>
              <w:keepLines w:val="0"/>
              <w:pageBreakBefore w:val="0"/>
              <w:widowControl w:val="0"/>
              <w:kinsoku/>
              <w:wordWrap/>
              <w:overflowPunct/>
              <w:topLinePunct w:val="0"/>
              <w:autoSpaceDE/>
              <w:autoSpaceDN/>
              <w:bidi w:val="0"/>
              <w:adjustRightInd/>
              <w:snapToGrid/>
              <w:spacing w:before="63" w:line="188" w:lineRule="auto"/>
              <w:ind w:left="349" w:firstLine="0"/>
              <w:jc w:val="center"/>
              <w:textAlignment w:val="auto"/>
              <w:rPr>
                <w:rFonts w:hint="eastAsia" w:ascii="宋体" w:hAnsi="宋体" w:eastAsia="宋体" w:cs="宋体"/>
                <w:color w:val="auto"/>
                <w:szCs w:val="21"/>
                <w:highlight w:val="none"/>
              </w:rPr>
            </w:pPr>
          </w:p>
        </w:tc>
        <w:tc>
          <w:tcPr>
            <w:tcW w:w="1996" w:type="dxa"/>
            <w:noWrap w:val="0"/>
            <w:vAlign w:val="center"/>
          </w:tcPr>
          <w:p w14:paraId="0990D9A4">
            <w:pPr>
              <w:pStyle w:val="36"/>
              <w:keepNext w:val="0"/>
              <w:keepLines w:val="0"/>
              <w:pageBreakBefore w:val="0"/>
              <w:kinsoku/>
              <w:wordWrap/>
              <w:overflowPunct/>
              <w:topLinePunct w:val="0"/>
              <w:autoSpaceDE/>
              <w:autoSpaceDN/>
              <w:bidi w:val="0"/>
              <w:adjustRightInd/>
              <w:snapToGrid/>
              <w:spacing w:before="72" w:line="229" w:lineRule="auto"/>
              <w:ind w:left="145" w:right="23" w:firstLine="0"/>
              <w:jc w:val="center"/>
              <w:rPr>
                <w:rFonts w:hint="eastAsia" w:ascii="宋体" w:hAnsi="宋体" w:eastAsia="宋体" w:cs="宋体"/>
                <w:color w:val="auto"/>
                <w:spacing w:val="-1"/>
                <w:sz w:val="21"/>
                <w:szCs w:val="21"/>
                <w:highlight w:val="none"/>
              </w:rPr>
            </w:pPr>
            <w:r>
              <w:rPr>
                <w:rFonts w:hint="eastAsia" w:ascii="宋体" w:hAnsi="宋体" w:eastAsia="宋体" w:cs="宋体"/>
                <w:b/>
                <w:bCs/>
                <w:color w:val="auto"/>
                <w:spacing w:val="-6"/>
                <w:sz w:val="21"/>
                <w:szCs w:val="21"/>
                <w:highlight w:val="none"/>
              </w:rPr>
              <w:t>合计</w:t>
            </w:r>
          </w:p>
        </w:tc>
        <w:tc>
          <w:tcPr>
            <w:tcW w:w="2415" w:type="dxa"/>
            <w:noWrap w:val="0"/>
            <w:vAlign w:val="center"/>
          </w:tcPr>
          <w:p w14:paraId="1BE063D3">
            <w:pPr>
              <w:pStyle w:val="36"/>
              <w:keepNext w:val="0"/>
              <w:keepLines w:val="0"/>
              <w:pageBreakBefore w:val="0"/>
              <w:kinsoku/>
              <w:wordWrap/>
              <w:overflowPunct/>
              <w:topLinePunct w:val="0"/>
              <w:autoSpaceDE/>
              <w:autoSpaceDN/>
              <w:bidi w:val="0"/>
              <w:adjustRightInd/>
              <w:snapToGrid/>
              <w:spacing w:before="71"/>
              <w:ind w:left="327" w:firstLine="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4"/>
                <w:szCs w:val="24"/>
                <w:highlight w:val="none"/>
                <w:lang w:val="en-US" w:eastAsia="zh-CN"/>
              </w:rPr>
              <w:t>5637683.00</w:t>
            </w:r>
          </w:p>
        </w:tc>
        <w:tc>
          <w:tcPr>
            <w:tcW w:w="2190" w:type="dxa"/>
            <w:noWrap w:val="0"/>
            <w:vAlign w:val="center"/>
          </w:tcPr>
          <w:p w14:paraId="44A677D8">
            <w:pPr>
              <w:pStyle w:val="36"/>
              <w:keepNext w:val="0"/>
              <w:keepLines w:val="0"/>
              <w:pageBreakBefore w:val="0"/>
              <w:kinsoku/>
              <w:wordWrap/>
              <w:overflowPunct/>
              <w:topLinePunct w:val="0"/>
              <w:autoSpaceDE/>
              <w:autoSpaceDN/>
              <w:bidi w:val="0"/>
              <w:adjustRightInd/>
              <w:snapToGrid/>
              <w:spacing w:before="72" w:line="228" w:lineRule="auto"/>
              <w:ind w:left="46" w:right="16" w:firstLine="0"/>
              <w:jc w:val="center"/>
              <w:rPr>
                <w:rFonts w:hint="eastAsia" w:ascii="宋体" w:hAnsi="宋体" w:eastAsia="宋体" w:cs="宋体"/>
                <w:strike/>
                <w:dstrike w:val="0"/>
                <w:color w:val="auto"/>
                <w:sz w:val="21"/>
                <w:szCs w:val="21"/>
                <w:highlight w:val="none"/>
                <w:u w:val="none"/>
                <w:lang w:eastAsia="zh-CN"/>
              </w:rPr>
            </w:pPr>
          </w:p>
        </w:tc>
        <w:tc>
          <w:tcPr>
            <w:tcW w:w="1275" w:type="dxa"/>
            <w:noWrap w:val="0"/>
            <w:vAlign w:val="center"/>
          </w:tcPr>
          <w:p w14:paraId="4FA930FB">
            <w:pPr>
              <w:pStyle w:val="36"/>
              <w:keepNext w:val="0"/>
              <w:keepLines w:val="0"/>
              <w:pageBreakBefore w:val="0"/>
              <w:kinsoku/>
              <w:wordWrap/>
              <w:overflowPunct/>
              <w:topLinePunct w:val="0"/>
              <w:autoSpaceDE/>
              <w:autoSpaceDN/>
              <w:bidi w:val="0"/>
              <w:adjustRightInd/>
              <w:snapToGrid/>
              <w:spacing w:before="72" w:line="228" w:lineRule="auto"/>
              <w:ind w:left="46" w:right="16" w:firstLine="0"/>
              <w:jc w:val="center"/>
              <w:rPr>
                <w:rFonts w:hint="eastAsia" w:ascii="宋体" w:hAnsi="宋体" w:eastAsia="宋体" w:cs="宋体"/>
                <w:strike/>
                <w:dstrike w:val="0"/>
                <w:color w:val="auto"/>
                <w:sz w:val="21"/>
                <w:szCs w:val="21"/>
                <w:highlight w:val="none"/>
                <w:u w:val="none"/>
                <w:lang w:eastAsia="zh-CN"/>
              </w:rPr>
            </w:pPr>
          </w:p>
        </w:tc>
      </w:tr>
    </w:tbl>
    <w:p w14:paraId="0B916C99">
      <w:pPr>
        <w:pStyle w:val="36"/>
        <w:spacing w:before="71" w:line="230" w:lineRule="auto"/>
        <w:ind w:left="250" w:leftChars="104" w:right="23" w:hanging="32" w:hangingChars="16"/>
        <w:jc w:val="left"/>
        <w:rPr>
          <w:color w:val="auto"/>
          <w:spacing w:val="-3"/>
          <w:sz w:val="21"/>
          <w:szCs w:val="21"/>
          <w:highlight w:val="none"/>
          <w:lang w:eastAsia="zh-CN"/>
        </w:rPr>
      </w:pPr>
    </w:p>
    <w:p w14:paraId="74A5F43A">
      <w:pPr>
        <w:spacing w:line="360" w:lineRule="auto"/>
        <w:ind w:left="424" w:leftChars="202"/>
        <w:rPr>
          <w:rFonts w:hint="eastAsia" w:ascii="宋体" w:hAnsi="宋体"/>
          <w:color w:val="auto"/>
          <w:sz w:val="24"/>
          <w:highlight w:val="none"/>
        </w:rPr>
      </w:pPr>
      <w:r>
        <w:rPr>
          <w:rFonts w:hint="eastAsia" w:ascii="宋体" w:hAnsi="宋体"/>
          <w:color w:val="auto"/>
          <w:sz w:val="24"/>
          <w:highlight w:val="none"/>
        </w:rPr>
        <w:t>投标人（盖单位章）：</w:t>
      </w:r>
      <w:r>
        <w:rPr>
          <w:rFonts w:hint="eastAsia" w:ascii="宋体" w:hAnsi="宋体"/>
          <w:color w:val="auto"/>
          <w:sz w:val="24"/>
          <w:highlight w:val="none"/>
          <w:u w:val="single"/>
        </w:rPr>
        <w:t xml:space="preserve">                            </w:t>
      </w:r>
    </w:p>
    <w:p w14:paraId="3298C1A3">
      <w:pPr>
        <w:spacing w:line="360" w:lineRule="auto"/>
        <w:ind w:left="424" w:leftChars="202"/>
        <w:rPr>
          <w:rFonts w:hint="eastAsia" w:ascii="宋体" w:hAnsi="宋体"/>
          <w:color w:val="auto"/>
          <w:sz w:val="24"/>
          <w:highlight w:val="none"/>
          <w:u w:val="single"/>
        </w:rPr>
      </w:pPr>
      <w:r>
        <w:rPr>
          <w:rFonts w:hint="eastAsia" w:ascii="宋体" w:hAnsi="宋体"/>
          <w:color w:val="auto"/>
          <w:sz w:val="24"/>
          <w:highlight w:val="none"/>
        </w:rPr>
        <w:t>法定代表人</w:t>
      </w:r>
      <w:r>
        <w:rPr>
          <w:rFonts w:hint="eastAsia" w:ascii="宋体" w:hAnsi="宋体"/>
          <w:color w:val="auto"/>
          <w:sz w:val="24"/>
          <w:highlight w:val="none"/>
          <w:lang w:val="en-US" w:eastAsia="zh-CN"/>
        </w:rPr>
        <w:t>或授权委托人</w:t>
      </w:r>
      <w:r>
        <w:rPr>
          <w:rFonts w:hint="eastAsia" w:ascii="宋体" w:hAnsi="宋体"/>
          <w:color w:val="auto"/>
          <w:sz w:val="24"/>
          <w:highlight w:val="none"/>
        </w:rPr>
        <w:t>（签字或盖章或签章）：</w:t>
      </w:r>
      <w:r>
        <w:rPr>
          <w:rFonts w:hint="eastAsia" w:ascii="宋体" w:hAnsi="宋体"/>
          <w:color w:val="auto"/>
          <w:sz w:val="24"/>
          <w:highlight w:val="none"/>
          <w:u w:val="single"/>
        </w:rPr>
        <w:t xml:space="preserve">                     </w:t>
      </w:r>
    </w:p>
    <w:p w14:paraId="63C9AC7E">
      <w:pPr>
        <w:spacing w:line="360" w:lineRule="auto"/>
        <w:ind w:left="424" w:leftChars="202"/>
        <w:jc w:val="left"/>
        <w:rPr>
          <w:color w:val="auto"/>
          <w:szCs w:val="21"/>
          <w:highlight w:val="none"/>
          <w:u w:val="none"/>
        </w:rPr>
      </w:pPr>
      <w:r>
        <w:rPr>
          <w:rFonts w:hint="eastAsia" w:ascii="宋体" w:hAnsi="宋体"/>
          <w:color w:val="auto"/>
          <w:sz w:val="24"/>
          <w:highlight w:val="none"/>
        </w:rPr>
        <w:t>日期：</w:t>
      </w:r>
      <w:r>
        <w:rPr>
          <w:rFonts w:hint="eastAsia" w:ascii="宋体" w:hAnsi="宋体"/>
          <w:color w:val="auto"/>
          <w:sz w:val="24"/>
          <w:highlight w:val="none"/>
          <w:u w:val="none"/>
        </w:rPr>
        <w:t xml:space="preserve">      年   月   日</w:t>
      </w:r>
    </w:p>
    <w:p w14:paraId="5D597370">
      <w:pPr>
        <w:pStyle w:val="36"/>
        <w:spacing w:before="71" w:line="230" w:lineRule="auto"/>
        <w:ind w:left="250" w:leftChars="104" w:right="23" w:hanging="32" w:hangingChars="16"/>
        <w:jc w:val="left"/>
        <w:rPr>
          <w:color w:val="auto"/>
          <w:spacing w:val="-3"/>
          <w:sz w:val="21"/>
          <w:szCs w:val="21"/>
          <w:highlight w:val="none"/>
          <w:lang w:eastAsia="zh-CN"/>
        </w:rPr>
      </w:pPr>
      <w:r>
        <w:rPr>
          <w:color w:val="auto"/>
          <w:spacing w:val="-3"/>
          <w:sz w:val="21"/>
          <w:szCs w:val="21"/>
          <w:highlight w:val="none"/>
          <w:lang w:eastAsia="zh-CN"/>
        </w:rPr>
        <w:br w:type="page"/>
      </w:r>
      <w:r>
        <w:rPr>
          <w:rFonts w:hint="eastAsia"/>
          <w:color w:val="auto"/>
          <w:spacing w:val="-3"/>
          <w:sz w:val="24"/>
          <w:szCs w:val="24"/>
          <w:highlight w:val="none"/>
          <w:lang w:eastAsia="zh-CN"/>
        </w:rPr>
        <w:t>（</w:t>
      </w:r>
      <w:r>
        <w:rPr>
          <w:rFonts w:hint="eastAsia"/>
          <w:color w:val="auto"/>
          <w:spacing w:val="-3"/>
          <w:sz w:val="24"/>
          <w:szCs w:val="24"/>
          <w:highlight w:val="none"/>
          <w:lang w:val="en-US" w:eastAsia="zh-CN"/>
        </w:rPr>
        <w:t>二）、</w:t>
      </w:r>
      <w:r>
        <w:rPr>
          <w:color w:val="auto"/>
          <w:spacing w:val="-3"/>
          <w:sz w:val="24"/>
          <w:szCs w:val="24"/>
          <w:highlight w:val="none"/>
          <w:lang w:eastAsia="zh-CN"/>
        </w:rPr>
        <w:t>地铁保护安全监控</w:t>
      </w:r>
      <w:r>
        <w:rPr>
          <w:rFonts w:hint="eastAsia"/>
          <w:color w:val="auto"/>
          <w:spacing w:val="-3"/>
          <w:sz w:val="24"/>
          <w:szCs w:val="24"/>
          <w:highlight w:val="none"/>
          <w:lang w:eastAsia="zh-CN"/>
        </w:rPr>
        <w:t>报价清单</w:t>
      </w:r>
    </w:p>
    <w:p w14:paraId="583E900E">
      <w:pPr>
        <w:spacing w:line="240" w:lineRule="auto"/>
        <w:rPr>
          <w:color w:val="auto"/>
          <w:szCs w:val="21"/>
          <w:highlight w:val="none"/>
        </w:rPr>
      </w:pPr>
    </w:p>
    <w:tbl>
      <w:tblPr>
        <w:tblStyle w:val="25"/>
        <w:tblW w:w="999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9"/>
        <w:gridCol w:w="1349"/>
        <w:gridCol w:w="1009"/>
        <w:gridCol w:w="1088"/>
        <w:gridCol w:w="1192"/>
        <w:gridCol w:w="1770"/>
        <w:gridCol w:w="1200"/>
        <w:gridCol w:w="1773"/>
      </w:tblGrid>
      <w:tr w14:paraId="4101F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609" w:type="dxa"/>
            <w:tcBorders>
              <w:bottom w:val="single" w:color="auto" w:sz="4" w:space="0"/>
            </w:tcBorders>
            <w:noWrap w:val="0"/>
            <w:vAlign w:val="center"/>
          </w:tcPr>
          <w:p w14:paraId="621E8874">
            <w:pPr>
              <w:pStyle w:val="36"/>
              <w:keepNext w:val="0"/>
              <w:keepLines w:val="0"/>
              <w:pageBreakBefore w:val="0"/>
              <w:widowControl w:val="0"/>
              <w:kinsoku/>
              <w:wordWrap/>
              <w:overflowPunct/>
              <w:topLinePunct w:val="0"/>
              <w:autoSpaceDE/>
              <w:autoSpaceDN/>
              <w:bidi w:val="0"/>
              <w:adjustRightInd/>
              <w:snapToGrid/>
              <w:spacing w:beforeAutospacing="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序号</w:t>
            </w:r>
          </w:p>
        </w:tc>
        <w:tc>
          <w:tcPr>
            <w:tcW w:w="1349" w:type="dxa"/>
            <w:tcBorders>
              <w:bottom w:val="single" w:color="auto" w:sz="4" w:space="0"/>
            </w:tcBorders>
            <w:noWrap w:val="0"/>
            <w:vAlign w:val="center"/>
          </w:tcPr>
          <w:p w14:paraId="45A4496A">
            <w:pPr>
              <w:pStyle w:val="36"/>
              <w:keepNext w:val="0"/>
              <w:keepLines w:val="0"/>
              <w:pageBreakBefore w:val="0"/>
              <w:kinsoku/>
              <w:wordWrap/>
              <w:overflowPunct/>
              <w:topLinePunct w:val="0"/>
              <w:autoSpaceDE/>
              <w:autoSpaceDN/>
              <w:bidi w:val="0"/>
              <w:adjustRightInd/>
              <w:snapToGrid/>
              <w:spacing w:before="39"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费用名</w:t>
            </w:r>
            <w:r>
              <w:rPr>
                <w:rFonts w:hint="eastAsia" w:ascii="宋体" w:hAnsi="宋体" w:eastAsia="宋体" w:cs="宋体"/>
                <w:color w:val="auto"/>
                <w:sz w:val="21"/>
                <w:szCs w:val="21"/>
                <w:highlight w:val="none"/>
              </w:rPr>
              <w:t>称</w:t>
            </w:r>
          </w:p>
        </w:tc>
        <w:tc>
          <w:tcPr>
            <w:tcW w:w="1009" w:type="dxa"/>
            <w:tcBorders>
              <w:bottom w:val="single" w:color="auto" w:sz="4" w:space="0"/>
            </w:tcBorders>
            <w:noWrap w:val="0"/>
            <w:vAlign w:val="center"/>
          </w:tcPr>
          <w:p w14:paraId="5A29D549">
            <w:pPr>
              <w:pStyle w:val="36"/>
              <w:keepNext w:val="0"/>
              <w:keepLines w:val="0"/>
              <w:pageBreakBefore w:val="0"/>
              <w:kinsoku/>
              <w:wordWrap/>
              <w:overflowPunct/>
              <w:topLinePunct w:val="0"/>
              <w:autoSpaceDE/>
              <w:autoSpaceDN/>
              <w:bidi w:val="0"/>
              <w:adjustRightInd/>
              <w:snapToGrid/>
              <w:spacing w:before="57" w:line="240" w:lineRule="auto"/>
              <w:ind w:left="91" w:firstLine="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val="en-US" w:eastAsia="zh-CN"/>
              </w:rPr>
              <w:t>工程量</w:t>
            </w:r>
          </w:p>
        </w:tc>
        <w:tc>
          <w:tcPr>
            <w:tcW w:w="1088" w:type="dxa"/>
            <w:tcBorders>
              <w:bottom w:val="single" w:color="auto" w:sz="4" w:space="0"/>
            </w:tcBorders>
            <w:noWrap w:val="0"/>
            <w:vAlign w:val="center"/>
          </w:tcPr>
          <w:p w14:paraId="62ED8117">
            <w:pPr>
              <w:pStyle w:val="36"/>
              <w:keepNext w:val="0"/>
              <w:keepLines w:val="0"/>
              <w:pageBreakBefore w:val="0"/>
              <w:kinsoku/>
              <w:wordWrap/>
              <w:overflowPunct/>
              <w:topLinePunct w:val="0"/>
              <w:autoSpaceDE/>
              <w:autoSpaceDN/>
              <w:bidi w:val="0"/>
              <w:adjustRightInd/>
              <w:snapToGrid/>
              <w:spacing w:before="9"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val="en-US" w:eastAsia="zh-CN"/>
              </w:rPr>
              <w:t>单位</w:t>
            </w:r>
          </w:p>
        </w:tc>
        <w:tc>
          <w:tcPr>
            <w:tcW w:w="1192" w:type="dxa"/>
            <w:tcBorders>
              <w:bottom w:val="single" w:color="auto" w:sz="4" w:space="0"/>
            </w:tcBorders>
            <w:noWrap w:val="0"/>
            <w:vAlign w:val="center"/>
          </w:tcPr>
          <w:p w14:paraId="1DF04491">
            <w:pPr>
              <w:pStyle w:val="36"/>
              <w:keepNext w:val="0"/>
              <w:keepLines w:val="0"/>
              <w:pageBreakBefore w:val="0"/>
              <w:kinsoku/>
              <w:wordWrap/>
              <w:overflowPunct/>
              <w:topLinePunct w:val="0"/>
              <w:autoSpaceDE/>
              <w:autoSpaceDN/>
              <w:bidi w:val="0"/>
              <w:adjustRightInd/>
              <w:snapToGrid/>
              <w:spacing w:before="29" w:line="240" w:lineRule="auto"/>
              <w:ind w:firstLine="0"/>
              <w:jc w:val="center"/>
              <w:rPr>
                <w:rFonts w:hint="eastAsia" w:ascii="宋体" w:hAnsi="宋体" w:eastAsia="宋体" w:cs="宋体"/>
                <w:color w:val="auto"/>
                <w:spacing w:val="-11"/>
                <w:sz w:val="21"/>
                <w:szCs w:val="21"/>
                <w:highlight w:val="none"/>
                <w:lang w:val="en-US" w:eastAsia="zh-CN"/>
              </w:rPr>
            </w:pPr>
            <w:r>
              <w:rPr>
                <w:rFonts w:hint="eastAsia" w:ascii="宋体" w:hAnsi="宋体" w:eastAsia="宋体" w:cs="宋体"/>
                <w:color w:val="auto"/>
                <w:spacing w:val="-11"/>
                <w:sz w:val="21"/>
                <w:szCs w:val="21"/>
                <w:highlight w:val="none"/>
                <w:lang w:val="en-US" w:eastAsia="zh-CN"/>
              </w:rPr>
              <w:t>最高限价</w:t>
            </w:r>
          </w:p>
          <w:p w14:paraId="17CBF584">
            <w:pPr>
              <w:pStyle w:val="36"/>
              <w:keepNext w:val="0"/>
              <w:keepLines w:val="0"/>
              <w:pageBreakBefore w:val="0"/>
              <w:kinsoku/>
              <w:wordWrap/>
              <w:overflowPunct/>
              <w:topLinePunct w:val="0"/>
              <w:autoSpaceDE/>
              <w:autoSpaceDN/>
              <w:bidi w:val="0"/>
              <w:adjustRightInd/>
              <w:snapToGrid/>
              <w:spacing w:before="29" w:line="240" w:lineRule="auto"/>
              <w:ind w:firstLine="0"/>
              <w:jc w:val="center"/>
              <w:rPr>
                <w:rFonts w:hint="eastAsia" w:ascii="宋体" w:hAnsi="宋体" w:eastAsia="宋体" w:cs="宋体"/>
                <w:color w:val="auto"/>
                <w:spacing w:val="-11"/>
                <w:sz w:val="21"/>
                <w:szCs w:val="21"/>
                <w:highlight w:val="none"/>
                <w:lang w:val="en-US" w:eastAsia="zh-CN"/>
              </w:rPr>
            </w:pPr>
            <w:r>
              <w:rPr>
                <w:rFonts w:hint="eastAsia" w:ascii="宋体" w:hAnsi="宋体" w:eastAsia="宋体" w:cs="宋体"/>
                <w:color w:val="auto"/>
                <w:spacing w:val="-11"/>
                <w:sz w:val="21"/>
                <w:szCs w:val="21"/>
                <w:highlight w:val="none"/>
                <w:lang w:val="en-US" w:eastAsia="zh-CN"/>
              </w:rPr>
              <w:t>综合单价</w:t>
            </w:r>
          </w:p>
          <w:p w14:paraId="1EF6C05E">
            <w:pPr>
              <w:pStyle w:val="36"/>
              <w:keepNext w:val="0"/>
              <w:keepLines w:val="0"/>
              <w:pageBreakBefore w:val="0"/>
              <w:kinsoku/>
              <w:wordWrap/>
              <w:overflowPunct/>
              <w:topLinePunct w:val="0"/>
              <w:autoSpaceDE/>
              <w:autoSpaceDN/>
              <w:bidi w:val="0"/>
              <w:adjustRightInd/>
              <w:snapToGrid/>
              <w:spacing w:before="29" w:line="240" w:lineRule="auto"/>
              <w:ind w:firstLine="0"/>
              <w:jc w:val="center"/>
              <w:rPr>
                <w:rFonts w:hint="eastAsia" w:ascii="宋体" w:hAnsi="宋体" w:eastAsia="宋体" w:cs="宋体"/>
                <w:color w:val="auto"/>
                <w:spacing w:val="-11"/>
                <w:sz w:val="21"/>
                <w:szCs w:val="21"/>
                <w:highlight w:val="none"/>
                <w:lang w:val="en-US" w:eastAsia="zh-CN"/>
              </w:rPr>
            </w:pPr>
            <w:r>
              <w:rPr>
                <w:rFonts w:hint="eastAsia" w:ascii="宋体" w:hAnsi="宋体" w:eastAsia="宋体" w:cs="宋体"/>
                <w:color w:val="auto"/>
                <w:spacing w:val="-11"/>
                <w:sz w:val="21"/>
                <w:szCs w:val="21"/>
                <w:highlight w:val="none"/>
                <w:lang w:val="en-US" w:eastAsia="zh-CN"/>
              </w:rPr>
              <w:t>（元）</w:t>
            </w:r>
          </w:p>
        </w:tc>
        <w:tc>
          <w:tcPr>
            <w:tcW w:w="1770" w:type="dxa"/>
            <w:tcBorders>
              <w:bottom w:val="single" w:color="auto" w:sz="4" w:space="0"/>
            </w:tcBorders>
            <w:noWrap w:val="0"/>
            <w:vAlign w:val="center"/>
          </w:tcPr>
          <w:p w14:paraId="4CB4E706">
            <w:pPr>
              <w:pStyle w:val="36"/>
              <w:keepNext w:val="0"/>
              <w:keepLines w:val="0"/>
              <w:pageBreakBefore w:val="0"/>
              <w:kinsoku/>
              <w:wordWrap/>
              <w:overflowPunct/>
              <w:topLinePunct w:val="0"/>
              <w:autoSpaceDE/>
              <w:autoSpaceDN/>
              <w:bidi w:val="0"/>
              <w:adjustRightInd/>
              <w:snapToGrid/>
              <w:spacing w:before="29" w:line="240" w:lineRule="auto"/>
              <w:jc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最高</w:t>
            </w:r>
          </w:p>
          <w:p w14:paraId="54BDB616">
            <w:pPr>
              <w:pStyle w:val="36"/>
              <w:keepNext w:val="0"/>
              <w:keepLines w:val="0"/>
              <w:pageBreakBefore w:val="0"/>
              <w:kinsoku/>
              <w:wordWrap/>
              <w:overflowPunct/>
              <w:topLinePunct w:val="0"/>
              <w:autoSpaceDE/>
              <w:autoSpaceDN/>
              <w:bidi w:val="0"/>
              <w:adjustRightInd/>
              <w:snapToGrid/>
              <w:spacing w:before="29" w:line="240" w:lineRule="auto"/>
              <w:jc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投标限价(元)</w:t>
            </w:r>
          </w:p>
        </w:tc>
        <w:tc>
          <w:tcPr>
            <w:tcW w:w="1200" w:type="dxa"/>
            <w:tcBorders>
              <w:bottom w:val="single" w:color="auto" w:sz="4" w:space="0"/>
            </w:tcBorders>
            <w:noWrap w:val="0"/>
            <w:vAlign w:val="center"/>
          </w:tcPr>
          <w:p w14:paraId="4596AE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综合单价</w:t>
            </w:r>
          </w:p>
          <w:p w14:paraId="5F59EA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报价</w:t>
            </w:r>
          </w:p>
          <w:p w14:paraId="40246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（元）</w:t>
            </w:r>
          </w:p>
        </w:tc>
        <w:tc>
          <w:tcPr>
            <w:tcW w:w="1773" w:type="dxa"/>
            <w:tcBorders>
              <w:bottom w:val="single" w:color="auto" w:sz="4" w:space="0"/>
            </w:tcBorders>
            <w:noWrap w:val="0"/>
            <w:vAlign w:val="center"/>
          </w:tcPr>
          <w:p w14:paraId="53F3B7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含税投标</w:t>
            </w:r>
          </w:p>
          <w:p w14:paraId="227243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总报价（元）</w:t>
            </w:r>
          </w:p>
        </w:tc>
      </w:tr>
      <w:tr w14:paraId="56A00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609" w:type="dxa"/>
            <w:tcBorders>
              <w:top w:val="single" w:color="auto" w:sz="4" w:space="0"/>
              <w:left w:val="single" w:color="auto" w:sz="4" w:space="0"/>
              <w:bottom w:val="single" w:color="auto" w:sz="4" w:space="0"/>
              <w:right w:val="single" w:color="auto" w:sz="4" w:space="0"/>
            </w:tcBorders>
            <w:noWrap w:val="0"/>
            <w:vAlign w:val="center"/>
          </w:tcPr>
          <w:p w14:paraId="7AD43AB6">
            <w:pPr>
              <w:pStyle w:val="36"/>
              <w:keepNext w:val="0"/>
              <w:keepLines w:val="0"/>
              <w:pageBreakBefore w:val="0"/>
              <w:widowControl w:val="0"/>
              <w:kinsoku/>
              <w:wordWrap/>
              <w:overflowPunct/>
              <w:topLinePunct w:val="0"/>
              <w:autoSpaceDE/>
              <w:autoSpaceDN/>
              <w:bidi w:val="0"/>
              <w:adjustRightInd/>
              <w:snapToGrid/>
              <w:spacing w:beforeAutospacing="0" w:line="240" w:lineRule="auto"/>
              <w:jc w:val="center"/>
              <w:textAlignment w:val="auto"/>
              <w:rPr>
                <w:rFonts w:hint="eastAsia" w:ascii="宋体" w:hAnsi="宋体" w:eastAsia="宋体" w:cs="宋体"/>
                <w:color w:val="auto"/>
                <w:spacing w:val="-4"/>
                <w:sz w:val="21"/>
                <w:szCs w:val="21"/>
                <w:highlight w:val="none"/>
                <w:lang w:val="en-US" w:eastAsia="zh-CN"/>
              </w:rPr>
            </w:pPr>
            <w:r>
              <w:rPr>
                <w:rFonts w:hint="eastAsia" w:ascii="宋体" w:hAnsi="宋体" w:eastAsia="宋体" w:cs="宋体"/>
                <w:color w:val="auto"/>
                <w:spacing w:val="-4"/>
                <w:sz w:val="21"/>
                <w:szCs w:val="21"/>
                <w:highlight w:val="none"/>
                <w:lang w:val="en-US" w:eastAsia="zh-CN"/>
              </w:rPr>
              <w:t>1</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6A6B37DC">
            <w:pPr>
              <w:pStyle w:val="36"/>
              <w:keepNext w:val="0"/>
              <w:keepLines w:val="0"/>
              <w:pageBreakBefore w:val="0"/>
              <w:kinsoku/>
              <w:wordWrap/>
              <w:overflowPunct/>
              <w:topLinePunct w:val="0"/>
              <w:autoSpaceDE/>
              <w:autoSpaceDN/>
              <w:bidi w:val="0"/>
              <w:adjustRightInd/>
              <w:snapToGrid/>
              <w:spacing w:before="39" w:line="240" w:lineRule="auto"/>
              <w:jc w:val="center"/>
              <w:rPr>
                <w:rFonts w:hint="eastAsia" w:ascii="宋体" w:hAnsi="宋体" w:eastAsia="宋体" w:cs="宋体"/>
                <w:color w:val="auto"/>
                <w:spacing w:val="-11"/>
                <w:sz w:val="21"/>
                <w:szCs w:val="21"/>
                <w:highlight w:val="none"/>
                <w:lang w:val="en-US" w:eastAsia="zh-CN"/>
              </w:rPr>
            </w:pPr>
            <w:r>
              <w:rPr>
                <w:rFonts w:hint="eastAsia" w:ascii="宋体" w:hAnsi="宋体" w:eastAsia="宋体" w:cs="宋体"/>
                <w:color w:val="auto"/>
                <w:spacing w:val="-11"/>
                <w:sz w:val="21"/>
                <w:szCs w:val="21"/>
                <w:highlight w:val="none"/>
                <w:lang w:val="en-US" w:eastAsia="zh-CN"/>
              </w:rPr>
              <w:t>人员服务费用</w:t>
            </w:r>
          </w:p>
        </w:tc>
        <w:tc>
          <w:tcPr>
            <w:tcW w:w="1009" w:type="dxa"/>
            <w:tcBorders>
              <w:top w:val="single" w:color="auto" w:sz="4" w:space="0"/>
              <w:left w:val="single" w:color="auto" w:sz="4" w:space="0"/>
              <w:bottom w:val="single" w:color="auto" w:sz="4" w:space="0"/>
              <w:right w:val="single" w:color="auto" w:sz="4" w:space="0"/>
            </w:tcBorders>
            <w:noWrap w:val="0"/>
            <w:vAlign w:val="center"/>
          </w:tcPr>
          <w:p w14:paraId="55CFC4E9">
            <w:pPr>
              <w:pStyle w:val="36"/>
              <w:keepNext w:val="0"/>
              <w:keepLines w:val="0"/>
              <w:pageBreakBefore w:val="0"/>
              <w:kinsoku/>
              <w:wordWrap/>
              <w:overflowPunct/>
              <w:topLinePunct w:val="0"/>
              <w:autoSpaceDE/>
              <w:autoSpaceDN/>
              <w:bidi w:val="0"/>
              <w:adjustRightInd/>
              <w:snapToGrid/>
              <w:spacing w:before="57" w:line="240" w:lineRule="auto"/>
              <w:ind w:left="91" w:firstLine="204" w:firstLineChars="100"/>
              <w:jc w:val="center"/>
              <w:rPr>
                <w:rFonts w:hint="eastAsia" w:ascii="宋体" w:hAnsi="宋体" w:eastAsia="宋体" w:cs="宋体"/>
                <w:color w:val="auto"/>
                <w:spacing w:val="-3"/>
                <w:sz w:val="21"/>
                <w:szCs w:val="21"/>
                <w:highlight w:val="none"/>
                <w:lang w:val="en-US" w:eastAsia="zh-CN"/>
              </w:rPr>
            </w:pPr>
            <w:r>
              <w:rPr>
                <w:rFonts w:hint="eastAsia" w:ascii="宋体" w:hAnsi="宋体" w:eastAsia="宋体" w:cs="宋体"/>
                <w:color w:val="auto"/>
                <w:spacing w:val="-3"/>
                <w:sz w:val="21"/>
                <w:szCs w:val="21"/>
                <w:highlight w:val="none"/>
                <w:lang w:val="en-US" w:eastAsia="zh-CN"/>
              </w:rPr>
              <w:t>16</w:t>
            </w:r>
          </w:p>
        </w:tc>
        <w:tc>
          <w:tcPr>
            <w:tcW w:w="1088" w:type="dxa"/>
            <w:tcBorders>
              <w:top w:val="single" w:color="auto" w:sz="4" w:space="0"/>
              <w:left w:val="single" w:color="auto" w:sz="4" w:space="0"/>
              <w:bottom w:val="single" w:color="auto" w:sz="4" w:space="0"/>
              <w:right w:val="single" w:color="auto" w:sz="4" w:space="0"/>
            </w:tcBorders>
            <w:noWrap w:val="0"/>
            <w:vAlign w:val="center"/>
          </w:tcPr>
          <w:p w14:paraId="761943A3">
            <w:pPr>
              <w:pStyle w:val="36"/>
              <w:keepNext w:val="0"/>
              <w:keepLines w:val="0"/>
              <w:pageBreakBefore w:val="0"/>
              <w:kinsoku/>
              <w:wordWrap/>
              <w:overflowPunct/>
              <w:topLinePunct w:val="0"/>
              <w:autoSpaceDE/>
              <w:autoSpaceDN/>
              <w:bidi w:val="0"/>
              <w:adjustRightInd/>
              <w:snapToGrid/>
              <w:spacing w:before="9" w:line="240" w:lineRule="auto"/>
              <w:jc w:val="center"/>
              <w:rPr>
                <w:rFonts w:hint="eastAsia" w:ascii="宋体" w:hAnsi="宋体" w:eastAsia="宋体" w:cs="宋体"/>
                <w:color w:val="auto"/>
                <w:spacing w:val="-7"/>
                <w:sz w:val="21"/>
                <w:szCs w:val="21"/>
                <w:highlight w:val="none"/>
                <w:lang w:val="en-US" w:eastAsia="zh-CN"/>
              </w:rPr>
            </w:pPr>
            <w:r>
              <w:rPr>
                <w:rFonts w:hint="eastAsia" w:ascii="宋体" w:hAnsi="宋体" w:eastAsia="宋体" w:cs="宋体"/>
                <w:color w:val="auto"/>
                <w:spacing w:val="-7"/>
                <w:sz w:val="21"/>
                <w:szCs w:val="21"/>
                <w:highlight w:val="none"/>
                <w:lang w:val="en-US" w:eastAsia="zh-CN"/>
              </w:rPr>
              <w:t>月</w:t>
            </w:r>
          </w:p>
        </w:tc>
        <w:tc>
          <w:tcPr>
            <w:tcW w:w="1192" w:type="dxa"/>
            <w:tcBorders>
              <w:top w:val="single" w:color="auto" w:sz="4" w:space="0"/>
              <w:left w:val="single" w:color="auto" w:sz="4" w:space="0"/>
              <w:bottom w:val="single" w:color="auto" w:sz="4" w:space="0"/>
              <w:right w:val="single" w:color="auto" w:sz="4" w:space="0"/>
            </w:tcBorders>
            <w:noWrap w:val="0"/>
            <w:vAlign w:val="center"/>
          </w:tcPr>
          <w:p w14:paraId="5EFCA124">
            <w:pPr>
              <w:pStyle w:val="36"/>
              <w:keepNext w:val="0"/>
              <w:keepLines w:val="0"/>
              <w:pageBreakBefore w:val="0"/>
              <w:kinsoku/>
              <w:wordWrap/>
              <w:overflowPunct/>
              <w:topLinePunct w:val="0"/>
              <w:autoSpaceDE/>
              <w:autoSpaceDN/>
              <w:bidi w:val="0"/>
              <w:adjustRightInd/>
              <w:snapToGrid/>
              <w:spacing w:before="29" w:line="240" w:lineRule="auto"/>
              <w:ind w:firstLine="0"/>
              <w:jc w:val="right"/>
              <w:rPr>
                <w:rFonts w:hint="eastAsia" w:ascii="宋体" w:hAnsi="宋体" w:eastAsia="宋体" w:cs="宋体"/>
                <w:color w:val="auto"/>
                <w:spacing w:val="-11"/>
                <w:sz w:val="21"/>
                <w:szCs w:val="21"/>
                <w:highlight w:val="none"/>
                <w:lang w:val="en-US" w:eastAsia="zh-CN" w:bidi="ar"/>
              </w:rPr>
            </w:pPr>
            <w:r>
              <w:rPr>
                <w:rFonts w:hint="eastAsia" w:ascii="宋体" w:hAnsi="宋体" w:eastAsia="宋体" w:cs="宋体"/>
                <w:color w:val="auto"/>
                <w:spacing w:val="-11"/>
                <w:sz w:val="21"/>
                <w:szCs w:val="21"/>
                <w:highlight w:val="none"/>
                <w:lang w:eastAsia="zh-CN" w:bidi="ar"/>
              </w:rPr>
              <w:t>1</w:t>
            </w:r>
            <w:r>
              <w:rPr>
                <w:rFonts w:hint="eastAsia" w:ascii="宋体" w:hAnsi="宋体" w:eastAsia="宋体" w:cs="宋体"/>
                <w:color w:val="auto"/>
                <w:spacing w:val="-11"/>
                <w:sz w:val="21"/>
                <w:szCs w:val="21"/>
                <w:highlight w:val="none"/>
                <w:lang w:val="en-US" w:eastAsia="zh-CN" w:bidi="ar"/>
              </w:rPr>
              <w:t>14000</w:t>
            </w:r>
            <w:r>
              <w:rPr>
                <w:rFonts w:hint="eastAsia" w:ascii="宋体" w:hAnsi="宋体" w:eastAsia="宋体" w:cs="宋体"/>
                <w:b w:val="0"/>
                <w:bCs w:val="0"/>
                <w:color w:val="auto"/>
                <w:spacing w:val="-11"/>
                <w:kern w:val="2"/>
                <w:sz w:val="21"/>
                <w:szCs w:val="21"/>
                <w:highlight w:val="none"/>
                <w:u w:val="none"/>
                <w:lang w:val="en-US" w:eastAsia="zh-CN" w:bidi="ar"/>
              </w:rPr>
              <w:t>.00</w:t>
            </w:r>
          </w:p>
        </w:tc>
        <w:tc>
          <w:tcPr>
            <w:tcW w:w="1770" w:type="dxa"/>
            <w:tcBorders>
              <w:top w:val="single" w:color="auto" w:sz="4" w:space="0"/>
              <w:left w:val="single" w:color="auto" w:sz="4" w:space="0"/>
              <w:bottom w:val="single" w:color="auto" w:sz="4" w:space="0"/>
              <w:right w:val="single" w:color="auto" w:sz="4" w:space="0"/>
            </w:tcBorders>
            <w:noWrap w:val="0"/>
            <w:vAlign w:val="center"/>
          </w:tcPr>
          <w:p w14:paraId="6EE90837">
            <w:pPr>
              <w:pStyle w:val="36"/>
              <w:keepNext w:val="0"/>
              <w:keepLines w:val="0"/>
              <w:pageBreakBefore w:val="0"/>
              <w:kinsoku/>
              <w:wordWrap/>
              <w:overflowPunct/>
              <w:topLinePunct w:val="0"/>
              <w:autoSpaceDE/>
              <w:autoSpaceDN/>
              <w:bidi w:val="0"/>
              <w:adjustRightInd/>
              <w:snapToGrid/>
              <w:spacing w:before="29" w:line="240" w:lineRule="auto"/>
              <w:jc w:val="right"/>
              <w:rPr>
                <w:rFonts w:hint="eastAsia" w:ascii="宋体" w:hAnsi="宋体" w:eastAsia="宋体" w:cs="宋体"/>
                <w:b w:val="0"/>
                <w:bCs w:val="0"/>
                <w:i w:val="0"/>
                <w:iCs w:val="0"/>
                <w:color w:val="auto"/>
                <w:spacing w:val="-11"/>
                <w:kern w:val="2"/>
                <w:sz w:val="21"/>
                <w:szCs w:val="21"/>
                <w:highlight w:val="none"/>
                <w:u w:val="none"/>
                <w:lang w:val="en-US" w:eastAsia="zh-CN" w:bidi="ar"/>
              </w:rPr>
            </w:pPr>
            <w:r>
              <w:rPr>
                <w:rFonts w:hint="eastAsia" w:ascii="宋体" w:hAnsi="宋体" w:eastAsia="宋体" w:cs="宋体"/>
                <w:b w:val="0"/>
                <w:bCs w:val="0"/>
                <w:color w:val="auto"/>
                <w:spacing w:val="-11"/>
                <w:kern w:val="2"/>
                <w:sz w:val="21"/>
                <w:szCs w:val="21"/>
                <w:highlight w:val="none"/>
                <w:u w:val="none"/>
                <w:lang w:eastAsia="zh-CN" w:bidi="ar"/>
              </w:rPr>
              <w:t>1</w:t>
            </w:r>
            <w:r>
              <w:rPr>
                <w:rFonts w:hint="eastAsia" w:ascii="宋体" w:hAnsi="宋体" w:eastAsia="宋体" w:cs="宋体"/>
                <w:b w:val="0"/>
                <w:bCs w:val="0"/>
                <w:color w:val="auto"/>
                <w:spacing w:val="-11"/>
                <w:kern w:val="2"/>
                <w:sz w:val="21"/>
                <w:szCs w:val="21"/>
                <w:highlight w:val="none"/>
                <w:u w:val="none"/>
                <w:lang w:val="en-US" w:eastAsia="zh-CN" w:bidi="ar"/>
              </w:rPr>
              <w:t>824000.00</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701FB6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p>
        </w:tc>
        <w:tc>
          <w:tcPr>
            <w:tcW w:w="1773" w:type="dxa"/>
            <w:tcBorders>
              <w:top w:val="single" w:color="auto" w:sz="4" w:space="0"/>
              <w:left w:val="single" w:color="auto" w:sz="4" w:space="0"/>
              <w:bottom w:val="single" w:color="auto" w:sz="4" w:space="0"/>
              <w:right w:val="single" w:color="auto" w:sz="4" w:space="0"/>
            </w:tcBorders>
            <w:noWrap w:val="0"/>
            <w:vAlign w:val="center"/>
          </w:tcPr>
          <w:p w14:paraId="28A65D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p>
        </w:tc>
      </w:tr>
      <w:tr w14:paraId="40E3B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3" w:hRule="atLeast"/>
        </w:trPr>
        <w:tc>
          <w:tcPr>
            <w:tcW w:w="609" w:type="dxa"/>
            <w:shd w:val="clear" w:color="auto" w:fill="auto"/>
            <w:noWrap w:val="0"/>
            <w:vAlign w:val="center"/>
          </w:tcPr>
          <w:p w14:paraId="3B277307">
            <w:pPr>
              <w:pStyle w:val="36"/>
              <w:spacing w:before="65" w:line="240" w:lineRule="auto"/>
              <w:ind w:left="0" w:lef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3"/>
                <w:sz w:val="21"/>
                <w:szCs w:val="21"/>
                <w:highlight w:val="none"/>
                <w:lang w:val="en-US" w:eastAsia="zh-CN"/>
              </w:rPr>
              <w:t>2</w:t>
            </w:r>
          </w:p>
        </w:tc>
        <w:tc>
          <w:tcPr>
            <w:tcW w:w="1349" w:type="dxa"/>
            <w:shd w:val="clear" w:color="auto" w:fill="auto"/>
            <w:noWrap w:val="0"/>
            <w:vAlign w:val="center"/>
          </w:tcPr>
          <w:p w14:paraId="0D18DA68">
            <w:pPr>
              <w:pStyle w:val="36"/>
              <w:spacing w:before="65" w:line="240" w:lineRule="auto"/>
              <w:ind w:left="32" w:leftChars="0"/>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1"/>
                <w:sz w:val="21"/>
                <w:szCs w:val="21"/>
                <w:highlight w:val="none"/>
                <w:lang w:eastAsia="zh-CN"/>
              </w:rPr>
              <w:t>运营施工配合费用</w:t>
            </w:r>
          </w:p>
        </w:tc>
        <w:tc>
          <w:tcPr>
            <w:tcW w:w="1009" w:type="dxa"/>
            <w:shd w:val="clear" w:color="auto" w:fill="auto"/>
            <w:noWrap w:val="0"/>
            <w:vAlign w:val="center"/>
          </w:tcPr>
          <w:p w14:paraId="0ABE1994">
            <w:pPr>
              <w:pStyle w:val="36"/>
              <w:spacing w:before="65" w:line="240" w:lineRule="auto"/>
              <w:ind w:left="546" w:left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1088" w:type="dxa"/>
            <w:shd w:val="clear" w:color="auto" w:fill="auto"/>
            <w:noWrap w:val="0"/>
            <w:vAlign w:val="center"/>
          </w:tcPr>
          <w:p w14:paraId="56DE04EC">
            <w:pPr>
              <w:pStyle w:val="36"/>
              <w:spacing w:before="65" w:line="240" w:lineRule="auto"/>
              <w:ind w:left="0" w:lef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项</w:t>
            </w:r>
          </w:p>
        </w:tc>
        <w:tc>
          <w:tcPr>
            <w:tcW w:w="1192" w:type="dxa"/>
            <w:shd w:val="clear" w:color="auto" w:fill="auto"/>
            <w:noWrap w:val="0"/>
            <w:vAlign w:val="center"/>
          </w:tcPr>
          <w:p w14:paraId="7DA121AA">
            <w:pPr>
              <w:keepNext w:val="0"/>
              <w:keepLines w:val="0"/>
              <w:widowControl/>
              <w:suppressLineNumbers w:val="0"/>
              <w:jc w:val="right"/>
              <w:textAlignment w:val="center"/>
              <w:rPr>
                <w:rFonts w:hint="eastAsia" w:ascii="宋体" w:hAnsi="宋体" w:eastAsia="宋体" w:cs="宋体"/>
                <w:color w:val="auto"/>
                <w:spacing w:val="-11"/>
                <w:kern w:val="2"/>
                <w:sz w:val="21"/>
                <w:szCs w:val="21"/>
                <w:highlight w:val="none"/>
                <w:lang w:val="en-US" w:eastAsia="zh-CN" w:bidi="ar-SA"/>
              </w:rPr>
            </w:pPr>
            <w:r>
              <w:rPr>
                <w:rFonts w:hint="eastAsia" w:ascii="宋体" w:hAnsi="宋体" w:eastAsia="宋体" w:cs="宋体"/>
                <w:i w:val="0"/>
                <w:iCs w:val="0"/>
                <w:color w:val="auto"/>
                <w:spacing w:val="-11"/>
                <w:kern w:val="2"/>
                <w:sz w:val="21"/>
                <w:szCs w:val="21"/>
                <w:highlight w:val="none"/>
                <w:u w:val="none"/>
                <w:lang w:val="en-US" w:eastAsia="zh-CN" w:bidi="ar-SA"/>
              </w:rPr>
              <w:t>527751.00</w:t>
            </w:r>
          </w:p>
        </w:tc>
        <w:tc>
          <w:tcPr>
            <w:tcW w:w="1770" w:type="dxa"/>
            <w:shd w:val="clear" w:color="auto" w:fill="auto"/>
            <w:noWrap w:val="0"/>
            <w:vAlign w:val="center"/>
          </w:tcPr>
          <w:p w14:paraId="2820F895">
            <w:pPr>
              <w:keepNext w:val="0"/>
              <w:keepLines w:val="0"/>
              <w:widowControl/>
              <w:suppressLineNumbers w:val="0"/>
              <w:jc w:val="right"/>
              <w:textAlignment w:val="center"/>
              <w:rPr>
                <w:rFonts w:hint="eastAsia" w:ascii="宋体" w:hAnsi="宋体" w:eastAsia="宋体" w:cs="宋体"/>
                <w:color w:val="auto"/>
                <w:spacing w:val="-11"/>
                <w:kern w:val="2"/>
                <w:sz w:val="21"/>
                <w:szCs w:val="21"/>
                <w:highlight w:val="none"/>
                <w:lang w:val="en-US" w:eastAsia="zh-CN" w:bidi="ar-SA"/>
              </w:rPr>
            </w:pPr>
            <w:r>
              <w:rPr>
                <w:rFonts w:hint="eastAsia" w:ascii="宋体" w:hAnsi="宋体" w:eastAsia="宋体" w:cs="宋体"/>
                <w:i w:val="0"/>
                <w:iCs w:val="0"/>
                <w:color w:val="auto"/>
                <w:spacing w:val="-11"/>
                <w:kern w:val="2"/>
                <w:sz w:val="21"/>
                <w:szCs w:val="21"/>
                <w:highlight w:val="none"/>
                <w:u w:val="none"/>
                <w:lang w:val="en-US" w:eastAsia="zh-CN" w:bidi="ar-SA"/>
              </w:rPr>
              <w:t>527751.00</w:t>
            </w:r>
          </w:p>
        </w:tc>
        <w:tc>
          <w:tcPr>
            <w:tcW w:w="1200" w:type="dxa"/>
            <w:noWrap w:val="0"/>
            <w:vAlign w:val="center"/>
          </w:tcPr>
          <w:p w14:paraId="2507B372">
            <w:pPr>
              <w:pStyle w:val="36"/>
              <w:keepNext w:val="0"/>
              <w:keepLines w:val="0"/>
              <w:pageBreakBefore w:val="0"/>
              <w:kinsoku/>
              <w:wordWrap/>
              <w:overflowPunct/>
              <w:topLinePunct w:val="0"/>
              <w:autoSpaceDE/>
              <w:autoSpaceDN/>
              <w:bidi w:val="0"/>
              <w:adjustRightInd/>
              <w:snapToGrid/>
              <w:spacing w:before="274" w:line="240" w:lineRule="auto"/>
              <w:ind w:left="166" w:firstLine="0"/>
              <w:jc w:val="center"/>
              <w:rPr>
                <w:rFonts w:hint="eastAsia" w:ascii="宋体" w:hAnsi="宋体" w:eastAsia="宋体" w:cs="宋体"/>
                <w:color w:val="auto"/>
                <w:sz w:val="21"/>
                <w:szCs w:val="21"/>
                <w:highlight w:val="none"/>
              </w:rPr>
            </w:pPr>
          </w:p>
        </w:tc>
        <w:tc>
          <w:tcPr>
            <w:tcW w:w="1773" w:type="dxa"/>
            <w:noWrap w:val="0"/>
            <w:vAlign w:val="center"/>
          </w:tcPr>
          <w:p w14:paraId="46FC83BF">
            <w:pPr>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color w:val="auto"/>
                <w:szCs w:val="21"/>
                <w:highlight w:val="none"/>
              </w:rPr>
            </w:pPr>
          </w:p>
        </w:tc>
      </w:tr>
      <w:tr w14:paraId="1A839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609" w:type="dxa"/>
            <w:shd w:val="clear" w:color="auto" w:fill="auto"/>
            <w:noWrap w:val="0"/>
            <w:vAlign w:val="center"/>
          </w:tcPr>
          <w:p w14:paraId="06756F6E">
            <w:pPr>
              <w:pStyle w:val="36"/>
              <w:spacing w:before="65" w:line="240" w:lineRule="auto"/>
              <w:ind w:left="174" w:leftChars="0"/>
              <w:jc w:val="center"/>
              <w:rPr>
                <w:rFonts w:hint="eastAsia" w:ascii="宋体" w:hAnsi="宋体" w:eastAsia="宋体" w:cs="宋体"/>
                <w:color w:val="auto"/>
                <w:spacing w:val="-3"/>
                <w:sz w:val="21"/>
                <w:szCs w:val="21"/>
                <w:highlight w:val="none"/>
                <w:lang w:val="en-US" w:eastAsia="zh-CN"/>
              </w:rPr>
            </w:pPr>
          </w:p>
        </w:tc>
        <w:tc>
          <w:tcPr>
            <w:tcW w:w="4638" w:type="dxa"/>
            <w:gridSpan w:val="4"/>
            <w:shd w:val="clear" w:color="auto" w:fill="auto"/>
            <w:noWrap w:val="0"/>
            <w:vAlign w:val="center"/>
          </w:tcPr>
          <w:p w14:paraId="1AEE6800">
            <w:pPr>
              <w:keepNext w:val="0"/>
              <w:keepLines w:val="0"/>
              <w:widowControl/>
              <w:suppressLineNumbers w:val="0"/>
              <w:ind w:firstLine="1904" w:firstLineChars="800"/>
              <w:jc w:val="both"/>
              <w:textAlignment w:val="center"/>
              <w:rPr>
                <w:rFonts w:hint="eastAsia" w:ascii="宋体" w:hAnsi="宋体" w:eastAsia="宋体" w:cs="宋体"/>
                <w:i w:val="0"/>
                <w:iCs w:val="0"/>
                <w:color w:val="auto"/>
                <w:spacing w:val="-11"/>
                <w:kern w:val="2"/>
                <w:sz w:val="21"/>
                <w:szCs w:val="21"/>
                <w:highlight w:val="none"/>
                <w:u w:val="none"/>
                <w:lang w:val="en-US" w:eastAsia="zh-CN" w:bidi="ar-SA"/>
              </w:rPr>
            </w:pPr>
            <w:r>
              <w:rPr>
                <w:rFonts w:hint="eastAsia" w:ascii="宋体" w:hAnsi="宋体" w:eastAsia="宋体" w:cs="宋体"/>
                <w:color w:val="auto"/>
                <w:spacing w:val="-1"/>
                <w:sz w:val="24"/>
                <w:szCs w:val="24"/>
                <w:highlight w:val="none"/>
                <w:lang w:val="en-US" w:eastAsia="zh-CN"/>
              </w:rPr>
              <w:t>合计</w:t>
            </w:r>
          </w:p>
        </w:tc>
        <w:tc>
          <w:tcPr>
            <w:tcW w:w="1770" w:type="dxa"/>
            <w:shd w:val="clear" w:color="auto" w:fill="auto"/>
            <w:noWrap w:val="0"/>
            <w:vAlign w:val="center"/>
          </w:tcPr>
          <w:p w14:paraId="5E1A0F8E">
            <w:pPr>
              <w:keepNext w:val="0"/>
              <w:keepLines w:val="0"/>
              <w:widowControl/>
              <w:suppressLineNumbers w:val="0"/>
              <w:jc w:val="right"/>
              <w:textAlignment w:val="center"/>
              <w:rPr>
                <w:rFonts w:hint="eastAsia" w:ascii="宋体" w:hAnsi="宋体" w:eastAsia="宋体" w:cs="宋体"/>
                <w:i w:val="0"/>
                <w:iCs w:val="0"/>
                <w:color w:val="auto"/>
                <w:spacing w:val="-11"/>
                <w:kern w:val="2"/>
                <w:sz w:val="21"/>
                <w:szCs w:val="21"/>
                <w:highlight w:val="none"/>
                <w:u w:val="none"/>
                <w:lang w:val="en-US" w:eastAsia="zh-CN" w:bidi="ar-SA"/>
              </w:rPr>
            </w:pPr>
            <w:r>
              <w:rPr>
                <w:rFonts w:hint="eastAsia" w:ascii="宋体" w:hAnsi="宋体" w:eastAsia="宋体" w:cs="宋体"/>
                <w:i w:val="0"/>
                <w:iCs w:val="0"/>
                <w:color w:val="auto"/>
                <w:spacing w:val="-11"/>
                <w:kern w:val="2"/>
                <w:sz w:val="21"/>
                <w:szCs w:val="21"/>
                <w:highlight w:val="none"/>
                <w:u w:val="none"/>
                <w:lang w:val="en-US" w:eastAsia="zh-CN" w:bidi="ar-SA"/>
              </w:rPr>
              <w:t>2351751.00</w:t>
            </w:r>
          </w:p>
        </w:tc>
        <w:tc>
          <w:tcPr>
            <w:tcW w:w="1200" w:type="dxa"/>
            <w:noWrap w:val="0"/>
            <w:vAlign w:val="center"/>
          </w:tcPr>
          <w:p w14:paraId="08EDCCF9">
            <w:pPr>
              <w:pStyle w:val="36"/>
              <w:keepNext w:val="0"/>
              <w:keepLines w:val="0"/>
              <w:pageBreakBefore w:val="0"/>
              <w:kinsoku/>
              <w:wordWrap/>
              <w:overflowPunct/>
              <w:topLinePunct w:val="0"/>
              <w:autoSpaceDE/>
              <w:autoSpaceDN/>
              <w:bidi w:val="0"/>
              <w:adjustRightInd/>
              <w:snapToGrid/>
              <w:spacing w:before="274" w:line="240" w:lineRule="auto"/>
              <w:ind w:left="166" w:firstLine="0"/>
              <w:jc w:val="center"/>
              <w:rPr>
                <w:rFonts w:hint="eastAsia" w:ascii="宋体" w:hAnsi="宋体" w:eastAsia="宋体" w:cs="宋体"/>
                <w:color w:val="auto"/>
                <w:sz w:val="21"/>
                <w:szCs w:val="21"/>
                <w:highlight w:val="none"/>
              </w:rPr>
            </w:pPr>
          </w:p>
        </w:tc>
        <w:tc>
          <w:tcPr>
            <w:tcW w:w="1773" w:type="dxa"/>
            <w:noWrap w:val="0"/>
            <w:vAlign w:val="center"/>
          </w:tcPr>
          <w:p w14:paraId="3F6EA64B">
            <w:pPr>
              <w:keepNext w:val="0"/>
              <w:keepLines w:val="0"/>
              <w:pageBreakBefore w:val="0"/>
              <w:kinsoku/>
              <w:wordWrap/>
              <w:overflowPunct/>
              <w:topLinePunct w:val="0"/>
              <w:autoSpaceDE/>
              <w:autoSpaceDN/>
              <w:bidi w:val="0"/>
              <w:adjustRightInd/>
              <w:snapToGrid/>
              <w:spacing w:line="240" w:lineRule="auto"/>
              <w:ind w:firstLine="0"/>
              <w:jc w:val="center"/>
              <w:rPr>
                <w:rFonts w:hint="eastAsia" w:ascii="宋体" w:hAnsi="宋体" w:eastAsia="宋体" w:cs="宋体"/>
                <w:color w:val="auto"/>
                <w:szCs w:val="21"/>
                <w:highlight w:val="none"/>
              </w:rPr>
            </w:pPr>
          </w:p>
        </w:tc>
      </w:tr>
    </w:tbl>
    <w:p w14:paraId="580A9482">
      <w:pPr>
        <w:pStyle w:val="22"/>
        <w:rPr>
          <w:color w:val="auto"/>
          <w:szCs w:val="21"/>
          <w:highlight w:val="none"/>
        </w:rPr>
      </w:pPr>
    </w:p>
    <w:p w14:paraId="760027A7">
      <w:pPr>
        <w:rPr>
          <w:color w:val="auto"/>
          <w:highlight w:val="none"/>
        </w:rPr>
      </w:pPr>
    </w:p>
    <w:p w14:paraId="2805C5C3">
      <w:pPr>
        <w:spacing w:line="360" w:lineRule="auto"/>
        <w:ind w:left="424" w:leftChars="202"/>
        <w:rPr>
          <w:rFonts w:hint="eastAsia" w:ascii="宋体" w:hAnsi="宋体"/>
          <w:color w:val="auto"/>
          <w:sz w:val="24"/>
          <w:highlight w:val="none"/>
        </w:rPr>
      </w:pPr>
      <w:r>
        <w:rPr>
          <w:rFonts w:hint="eastAsia" w:ascii="宋体" w:hAnsi="宋体"/>
          <w:color w:val="auto"/>
          <w:sz w:val="24"/>
          <w:highlight w:val="none"/>
        </w:rPr>
        <w:t>投标人（盖单位章）：</w:t>
      </w:r>
      <w:r>
        <w:rPr>
          <w:rFonts w:hint="eastAsia" w:ascii="宋体" w:hAnsi="宋体"/>
          <w:color w:val="auto"/>
          <w:sz w:val="24"/>
          <w:highlight w:val="none"/>
          <w:u w:val="single"/>
        </w:rPr>
        <w:t xml:space="preserve">                            </w:t>
      </w:r>
    </w:p>
    <w:p w14:paraId="043088C7">
      <w:pPr>
        <w:spacing w:line="360" w:lineRule="auto"/>
        <w:ind w:left="424" w:leftChars="202"/>
        <w:rPr>
          <w:rFonts w:hint="eastAsia" w:ascii="宋体" w:hAnsi="宋体"/>
          <w:color w:val="auto"/>
          <w:sz w:val="24"/>
          <w:highlight w:val="none"/>
          <w:u w:val="single"/>
        </w:rPr>
      </w:pPr>
      <w:r>
        <w:rPr>
          <w:rFonts w:hint="eastAsia" w:ascii="宋体" w:hAnsi="宋体"/>
          <w:color w:val="auto"/>
          <w:sz w:val="24"/>
          <w:highlight w:val="none"/>
        </w:rPr>
        <w:t>法定代表人</w:t>
      </w:r>
      <w:r>
        <w:rPr>
          <w:rFonts w:hint="eastAsia" w:ascii="宋体" w:hAnsi="宋体"/>
          <w:color w:val="auto"/>
          <w:sz w:val="24"/>
          <w:highlight w:val="none"/>
          <w:lang w:val="en-US" w:eastAsia="zh-CN"/>
        </w:rPr>
        <w:t>或授权委托人</w:t>
      </w:r>
      <w:r>
        <w:rPr>
          <w:rFonts w:hint="eastAsia" w:ascii="宋体" w:hAnsi="宋体"/>
          <w:color w:val="auto"/>
          <w:sz w:val="24"/>
          <w:highlight w:val="none"/>
        </w:rPr>
        <w:t>（签字或盖章或签章）：</w:t>
      </w:r>
      <w:r>
        <w:rPr>
          <w:rFonts w:hint="eastAsia" w:ascii="宋体" w:hAnsi="宋体"/>
          <w:color w:val="auto"/>
          <w:sz w:val="24"/>
          <w:highlight w:val="none"/>
          <w:u w:val="single"/>
        </w:rPr>
        <w:t xml:space="preserve">                     </w:t>
      </w:r>
    </w:p>
    <w:p w14:paraId="25CA313F">
      <w:pPr>
        <w:spacing w:line="360" w:lineRule="auto"/>
        <w:ind w:left="424" w:leftChars="202"/>
        <w:jc w:val="left"/>
        <w:rPr>
          <w:color w:val="auto"/>
          <w:szCs w:val="21"/>
          <w:highlight w:val="none"/>
          <w:u w:val="none"/>
        </w:rPr>
      </w:pPr>
      <w:r>
        <w:rPr>
          <w:rFonts w:hint="eastAsia" w:ascii="宋体" w:hAnsi="宋体"/>
          <w:color w:val="auto"/>
          <w:sz w:val="24"/>
          <w:highlight w:val="none"/>
        </w:rPr>
        <w:t>日期：</w:t>
      </w:r>
      <w:r>
        <w:rPr>
          <w:rFonts w:hint="eastAsia" w:ascii="宋体" w:hAnsi="宋体"/>
          <w:color w:val="auto"/>
          <w:sz w:val="24"/>
          <w:highlight w:val="none"/>
          <w:u w:val="none"/>
        </w:rPr>
        <w:t xml:space="preserve">      年   月   日</w:t>
      </w:r>
    </w:p>
    <w:p w14:paraId="31695306">
      <w:pPr>
        <w:rPr>
          <w:color w:val="auto"/>
          <w:highlight w:val="none"/>
        </w:rPr>
        <w:sectPr>
          <w:pgSz w:w="11905" w:h="16838"/>
          <w:pgMar w:top="1145" w:right="850" w:bottom="850" w:left="1287" w:header="0" w:footer="454" w:gutter="0"/>
          <w:pgNumType w:fmt="decimal"/>
          <w:cols w:space="720" w:num="1"/>
          <w:rtlGutter w:val="0"/>
          <w:docGrid w:linePitch="0" w:charSpace="0"/>
        </w:sectPr>
      </w:pPr>
    </w:p>
    <w:p w14:paraId="60D21641">
      <w:pPr>
        <w:pStyle w:val="36"/>
        <w:spacing w:before="206" w:line="221" w:lineRule="auto"/>
        <w:ind w:left="63" w:leftChars="0" w:hanging="63" w:hangingChars="23"/>
        <w:jc w:val="center"/>
        <w:rPr>
          <w:color w:val="auto"/>
          <w:spacing w:val="-1"/>
          <w:sz w:val="28"/>
          <w:szCs w:val="28"/>
          <w:highlight w:val="none"/>
          <w:lang w:eastAsia="zh-CN"/>
        </w:rPr>
      </w:pPr>
      <w:r>
        <w:rPr>
          <w:rFonts w:hint="eastAsia"/>
          <w:color w:val="auto"/>
          <w:spacing w:val="-1"/>
          <w:sz w:val="28"/>
          <w:szCs w:val="28"/>
          <w:highlight w:val="none"/>
          <w:lang w:eastAsia="zh-CN"/>
        </w:rPr>
        <w:t>（</w:t>
      </w:r>
      <w:r>
        <w:rPr>
          <w:rFonts w:hint="eastAsia"/>
          <w:color w:val="auto"/>
          <w:spacing w:val="-1"/>
          <w:sz w:val="28"/>
          <w:szCs w:val="28"/>
          <w:highlight w:val="none"/>
          <w:lang w:val="en-US" w:eastAsia="zh-CN"/>
        </w:rPr>
        <w:t>二）</w:t>
      </w:r>
      <w:r>
        <w:rPr>
          <w:rFonts w:hint="eastAsia"/>
          <w:color w:val="auto"/>
          <w:spacing w:val="-1"/>
          <w:sz w:val="28"/>
          <w:szCs w:val="28"/>
          <w:highlight w:val="none"/>
          <w:lang w:eastAsia="zh-CN"/>
        </w:rPr>
        <w:t>湾</w:t>
      </w:r>
      <w:r>
        <w:rPr>
          <w:color w:val="auto"/>
          <w:spacing w:val="-1"/>
          <w:sz w:val="28"/>
          <w:szCs w:val="28"/>
          <w:highlight w:val="none"/>
          <w:lang w:eastAsia="zh-CN"/>
        </w:rPr>
        <w:t>区农谷二期地铁保护动态监测服务</w:t>
      </w:r>
      <w:r>
        <w:rPr>
          <w:rFonts w:hint="eastAsia"/>
          <w:color w:val="auto"/>
          <w:spacing w:val="-1"/>
          <w:sz w:val="28"/>
          <w:szCs w:val="28"/>
          <w:highlight w:val="none"/>
          <w:lang w:eastAsia="zh-CN"/>
        </w:rPr>
        <w:t>报价清单</w:t>
      </w:r>
    </w:p>
    <w:p w14:paraId="69C0D61E">
      <w:pPr>
        <w:spacing w:line="118" w:lineRule="exact"/>
        <w:rPr>
          <w:color w:val="auto"/>
          <w:highlight w:val="none"/>
        </w:rPr>
      </w:pPr>
    </w:p>
    <w:tbl>
      <w:tblPr>
        <w:tblStyle w:val="25"/>
        <w:tblpPr w:leftFromText="180" w:rightFromText="180" w:vertAnchor="text" w:tblpXSpec="center" w:tblpY="1"/>
        <w:tblOverlap w:val="never"/>
        <w:tblW w:w="999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36"/>
        <w:gridCol w:w="1667"/>
        <w:gridCol w:w="1080"/>
        <w:gridCol w:w="1035"/>
        <w:gridCol w:w="1186"/>
        <w:gridCol w:w="1530"/>
        <w:gridCol w:w="1305"/>
        <w:gridCol w:w="1560"/>
      </w:tblGrid>
      <w:tr w14:paraId="03BD2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5" w:hRule="atLeast"/>
        </w:trPr>
        <w:tc>
          <w:tcPr>
            <w:tcW w:w="636" w:type="dxa"/>
            <w:noWrap w:val="0"/>
            <w:vAlign w:val="center"/>
          </w:tcPr>
          <w:p w14:paraId="3D50FB40">
            <w:pPr>
              <w:pStyle w:val="36"/>
              <w:keepNext w:val="0"/>
              <w:keepLines w:val="0"/>
              <w:pageBreakBefore w:val="0"/>
              <w:kinsoku/>
              <w:wordWrap/>
              <w:overflowPunct/>
              <w:topLinePunct w:val="0"/>
              <w:autoSpaceDE/>
              <w:autoSpaceDN/>
              <w:bidi w:val="0"/>
              <w:adjustRightInd/>
              <w:snapToGrid/>
              <w:spacing w:beforeAutospacing="0" w:line="240" w:lineRule="auto"/>
              <w:ind w:left="116"/>
              <w:jc w:val="left"/>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序号</w:t>
            </w:r>
          </w:p>
        </w:tc>
        <w:tc>
          <w:tcPr>
            <w:tcW w:w="1667" w:type="dxa"/>
            <w:noWrap w:val="0"/>
            <w:vAlign w:val="center"/>
          </w:tcPr>
          <w:p w14:paraId="29DF284C">
            <w:pPr>
              <w:pStyle w:val="36"/>
              <w:keepNext w:val="0"/>
              <w:keepLines w:val="0"/>
              <w:pageBreakBefore w:val="0"/>
              <w:kinsoku/>
              <w:wordWrap/>
              <w:overflowPunct/>
              <w:topLinePunct w:val="0"/>
              <w:autoSpaceDE/>
              <w:autoSpaceDN/>
              <w:bidi w:val="0"/>
              <w:adjustRightInd/>
              <w:snapToGrid/>
              <w:spacing w:beforeAutospacing="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项目</w:t>
            </w:r>
          </w:p>
        </w:tc>
        <w:tc>
          <w:tcPr>
            <w:tcW w:w="1080" w:type="dxa"/>
            <w:noWrap w:val="0"/>
            <w:vAlign w:val="center"/>
          </w:tcPr>
          <w:p w14:paraId="19CAB3D5">
            <w:pPr>
              <w:pStyle w:val="36"/>
              <w:keepNext w:val="0"/>
              <w:keepLines w:val="0"/>
              <w:pageBreakBefore w:val="0"/>
              <w:kinsoku/>
              <w:wordWrap/>
              <w:overflowPunct/>
              <w:topLinePunct w:val="0"/>
              <w:autoSpaceDE/>
              <w:autoSpaceDN/>
              <w:bidi w:val="0"/>
              <w:adjustRightInd/>
              <w:snapToGrid/>
              <w:spacing w:beforeAutospacing="0" w:line="240" w:lineRule="auto"/>
              <w:ind w:left="286"/>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1"/>
                <w:sz w:val="21"/>
                <w:szCs w:val="21"/>
                <w:highlight w:val="none"/>
                <w:lang w:val="en-US" w:eastAsia="zh-CN"/>
              </w:rPr>
              <w:t>工程量</w:t>
            </w:r>
          </w:p>
        </w:tc>
        <w:tc>
          <w:tcPr>
            <w:tcW w:w="1035" w:type="dxa"/>
            <w:noWrap w:val="0"/>
            <w:vAlign w:val="center"/>
          </w:tcPr>
          <w:p w14:paraId="1CF9E10E">
            <w:pPr>
              <w:pStyle w:val="36"/>
              <w:keepNext w:val="0"/>
              <w:keepLines w:val="0"/>
              <w:pageBreakBefore w:val="0"/>
              <w:kinsoku/>
              <w:wordWrap/>
              <w:overflowPunct/>
              <w:topLinePunct w:val="0"/>
              <w:autoSpaceDE/>
              <w:autoSpaceDN/>
              <w:bidi w:val="0"/>
              <w:adjustRightInd/>
              <w:snapToGrid/>
              <w:spacing w:before="12" w:line="240" w:lineRule="auto"/>
              <w:ind w:left="331"/>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单位</w:t>
            </w:r>
          </w:p>
        </w:tc>
        <w:tc>
          <w:tcPr>
            <w:tcW w:w="1186" w:type="dxa"/>
            <w:noWrap w:val="0"/>
            <w:vAlign w:val="center"/>
          </w:tcPr>
          <w:p w14:paraId="00D49BD9">
            <w:pPr>
              <w:pStyle w:val="36"/>
              <w:keepNext w:val="0"/>
              <w:keepLines w:val="0"/>
              <w:pageBreakBefore w:val="0"/>
              <w:kinsoku/>
              <w:wordWrap/>
              <w:overflowPunct/>
              <w:topLinePunct w:val="0"/>
              <w:autoSpaceDE/>
              <w:autoSpaceDN/>
              <w:bidi w:val="0"/>
              <w:adjustRightInd/>
              <w:snapToGrid/>
              <w:spacing w:before="29" w:line="240" w:lineRule="auto"/>
              <w:ind w:firstLine="0"/>
              <w:jc w:val="center"/>
              <w:rPr>
                <w:rFonts w:hint="eastAsia" w:ascii="宋体" w:hAnsi="宋体" w:eastAsia="宋体" w:cs="宋体"/>
                <w:color w:val="auto"/>
                <w:spacing w:val="-11"/>
                <w:sz w:val="21"/>
                <w:szCs w:val="21"/>
                <w:highlight w:val="none"/>
                <w:lang w:val="en-US" w:eastAsia="zh-CN"/>
              </w:rPr>
            </w:pPr>
            <w:r>
              <w:rPr>
                <w:rFonts w:hint="eastAsia" w:ascii="宋体" w:hAnsi="宋体" w:eastAsia="宋体" w:cs="宋体"/>
                <w:color w:val="auto"/>
                <w:spacing w:val="-11"/>
                <w:sz w:val="21"/>
                <w:szCs w:val="21"/>
                <w:highlight w:val="none"/>
                <w:lang w:val="en-US" w:eastAsia="zh-CN"/>
              </w:rPr>
              <w:t>最高限价</w:t>
            </w:r>
          </w:p>
          <w:p w14:paraId="67123E6F">
            <w:pPr>
              <w:pStyle w:val="36"/>
              <w:keepNext w:val="0"/>
              <w:keepLines w:val="0"/>
              <w:pageBreakBefore w:val="0"/>
              <w:kinsoku/>
              <w:wordWrap/>
              <w:overflowPunct/>
              <w:topLinePunct w:val="0"/>
              <w:autoSpaceDE/>
              <w:autoSpaceDN/>
              <w:bidi w:val="0"/>
              <w:adjustRightInd/>
              <w:snapToGrid/>
              <w:spacing w:before="29" w:line="240" w:lineRule="auto"/>
              <w:ind w:firstLine="0"/>
              <w:jc w:val="center"/>
              <w:rPr>
                <w:rFonts w:hint="eastAsia" w:ascii="宋体" w:hAnsi="宋体" w:eastAsia="宋体" w:cs="宋体"/>
                <w:color w:val="auto"/>
                <w:spacing w:val="-11"/>
                <w:sz w:val="21"/>
                <w:szCs w:val="21"/>
                <w:highlight w:val="none"/>
                <w:lang w:val="en-US" w:eastAsia="zh-CN"/>
              </w:rPr>
            </w:pPr>
            <w:r>
              <w:rPr>
                <w:rFonts w:hint="eastAsia" w:ascii="宋体" w:hAnsi="宋体" w:eastAsia="宋体" w:cs="宋体"/>
                <w:color w:val="auto"/>
                <w:spacing w:val="-11"/>
                <w:sz w:val="21"/>
                <w:szCs w:val="21"/>
                <w:highlight w:val="none"/>
                <w:lang w:val="en-US" w:eastAsia="zh-CN"/>
              </w:rPr>
              <w:t>综合单价</w:t>
            </w:r>
          </w:p>
          <w:p w14:paraId="385FB83D">
            <w:pPr>
              <w:pStyle w:val="36"/>
              <w:keepNext w:val="0"/>
              <w:keepLines w:val="0"/>
              <w:pageBreakBefore w:val="0"/>
              <w:kinsoku/>
              <w:wordWrap/>
              <w:overflowPunct/>
              <w:topLinePunct w:val="0"/>
              <w:autoSpaceDE/>
              <w:autoSpaceDN/>
              <w:bidi w:val="0"/>
              <w:adjustRightInd/>
              <w:snapToGrid/>
              <w:spacing w:before="29"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lang w:val="en-US" w:eastAsia="zh-CN"/>
              </w:rPr>
              <w:t>（元）</w:t>
            </w:r>
          </w:p>
        </w:tc>
        <w:tc>
          <w:tcPr>
            <w:tcW w:w="1530" w:type="dxa"/>
            <w:noWrap w:val="0"/>
            <w:vAlign w:val="center"/>
          </w:tcPr>
          <w:p w14:paraId="5340CE9D">
            <w:pPr>
              <w:pStyle w:val="36"/>
              <w:keepNext w:val="0"/>
              <w:keepLines w:val="0"/>
              <w:pageBreakBefore w:val="0"/>
              <w:kinsoku/>
              <w:wordWrap/>
              <w:overflowPunct/>
              <w:topLinePunct w:val="0"/>
              <w:autoSpaceDE/>
              <w:autoSpaceDN/>
              <w:bidi w:val="0"/>
              <w:adjustRightInd/>
              <w:snapToGrid/>
              <w:spacing w:before="29" w:line="240" w:lineRule="auto"/>
              <w:jc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最高</w:t>
            </w:r>
          </w:p>
          <w:p w14:paraId="7C3E77BB">
            <w:pPr>
              <w:pStyle w:val="36"/>
              <w:keepNext w:val="0"/>
              <w:keepLines w:val="0"/>
              <w:pageBreakBefore w:val="0"/>
              <w:kinsoku/>
              <w:wordWrap/>
              <w:overflowPunct/>
              <w:topLinePunct w:val="0"/>
              <w:autoSpaceDE/>
              <w:autoSpaceDN/>
              <w:bidi w:val="0"/>
              <w:adjustRightInd/>
              <w:snapToGrid/>
              <w:spacing w:before="29" w:line="240" w:lineRule="auto"/>
              <w:jc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投标限价(元)</w:t>
            </w:r>
          </w:p>
        </w:tc>
        <w:tc>
          <w:tcPr>
            <w:tcW w:w="1305" w:type="dxa"/>
            <w:noWrap w:val="0"/>
            <w:vAlign w:val="center"/>
          </w:tcPr>
          <w:p w14:paraId="5D18D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综合单价</w:t>
            </w:r>
          </w:p>
          <w:p w14:paraId="67CA0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报价</w:t>
            </w:r>
          </w:p>
          <w:p w14:paraId="79467E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（元）</w:t>
            </w:r>
          </w:p>
        </w:tc>
        <w:tc>
          <w:tcPr>
            <w:tcW w:w="1560" w:type="dxa"/>
            <w:noWrap w:val="0"/>
            <w:vAlign w:val="center"/>
          </w:tcPr>
          <w:p w14:paraId="38047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含税投标</w:t>
            </w:r>
          </w:p>
          <w:p w14:paraId="5A2800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总报价（元）</w:t>
            </w:r>
          </w:p>
        </w:tc>
      </w:tr>
      <w:tr w14:paraId="0DEFB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636" w:type="dxa"/>
            <w:noWrap w:val="0"/>
            <w:vAlign w:val="center"/>
          </w:tcPr>
          <w:p w14:paraId="039E52B5">
            <w:pPr>
              <w:pStyle w:val="36"/>
              <w:spacing w:beforeAutospacing="0" w:line="240" w:lineRule="auto"/>
              <w:ind w:left="221"/>
              <w:jc w:val="center"/>
              <w:rPr>
                <w:rFonts w:hint="eastAsia" w:ascii="宋体" w:hAnsi="宋体" w:eastAsia="宋体" w:cs="宋体"/>
                <w:color w:val="auto"/>
                <w:sz w:val="21"/>
                <w:szCs w:val="21"/>
                <w:highlight w:val="none"/>
              </w:rPr>
            </w:pPr>
            <w:r>
              <w:rPr>
                <w:rFonts w:hint="eastAsia" w:ascii="宋体" w:hAnsi="宋体" w:eastAsia="宋体" w:cs="宋体"/>
                <w:b/>
                <w:bCs/>
                <w:color w:val="auto"/>
                <w:spacing w:val="-3"/>
                <w:position w:val="-4"/>
                <w:sz w:val="21"/>
                <w:szCs w:val="21"/>
                <w:highlight w:val="none"/>
              </w:rPr>
              <w:t>一</w:t>
            </w:r>
          </w:p>
        </w:tc>
        <w:tc>
          <w:tcPr>
            <w:tcW w:w="6498" w:type="dxa"/>
            <w:gridSpan w:val="5"/>
            <w:noWrap w:val="0"/>
            <w:vAlign w:val="top"/>
          </w:tcPr>
          <w:p w14:paraId="73DE911A">
            <w:pPr>
              <w:pStyle w:val="36"/>
              <w:spacing w:before="155" w:line="240" w:lineRule="auto"/>
              <w:ind w:left="31"/>
              <w:rPr>
                <w:rFonts w:hint="eastAsia" w:ascii="宋体" w:hAnsi="宋体" w:eastAsia="宋体" w:cs="宋体"/>
                <w:color w:val="auto"/>
                <w:sz w:val="21"/>
                <w:szCs w:val="21"/>
                <w:highlight w:val="none"/>
              </w:rPr>
            </w:pPr>
            <w:r>
              <w:rPr>
                <w:rFonts w:hint="eastAsia" w:ascii="宋体" w:hAnsi="宋体" w:eastAsia="宋体" w:cs="宋体"/>
                <w:b/>
                <w:bCs/>
                <w:color w:val="auto"/>
                <w:spacing w:val="1"/>
                <w:sz w:val="21"/>
                <w:szCs w:val="21"/>
                <w:highlight w:val="none"/>
              </w:rPr>
              <w:t>材料及安装费</w:t>
            </w:r>
          </w:p>
        </w:tc>
        <w:tc>
          <w:tcPr>
            <w:tcW w:w="1305" w:type="dxa"/>
            <w:noWrap w:val="0"/>
            <w:vAlign w:val="top"/>
          </w:tcPr>
          <w:p w14:paraId="736836FA">
            <w:pPr>
              <w:spacing w:line="240" w:lineRule="auto"/>
              <w:rPr>
                <w:rFonts w:hint="eastAsia" w:ascii="宋体" w:hAnsi="宋体" w:eastAsia="宋体" w:cs="宋体"/>
                <w:color w:val="auto"/>
                <w:sz w:val="21"/>
                <w:szCs w:val="21"/>
                <w:highlight w:val="none"/>
              </w:rPr>
            </w:pPr>
          </w:p>
        </w:tc>
        <w:tc>
          <w:tcPr>
            <w:tcW w:w="1560" w:type="dxa"/>
            <w:noWrap w:val="0"/>
            <w:vAlign w:val="top"/>
          </w:tcPr>
          <w:p w14:paraId="423D6C54">
            <w:pPr>
              <w:spacing w:line="240" w:lineRule="auto"/>
              <w:rPr>
                <w:rFonts w:hint="eastAsia" w:ascii="宋体" w:hAnsi="宋体" w:eastAsia="宋体" w:cs="宋体"/>
                <w:color w:val="auto"/>
                <w:sz w:val="21"/>
                <w:szCs w:val="21"/>
                <w:highlight w:val="none"/>
              </w:rPr>
            </w:pPr>
          </w:p>
        </w:tc>
      </w:tr>
      <w:tr w14:paraId="527AA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0" w:hRule="atLeast"/>
        </w:trPr>
        <w:tc>
          <w:tcPr>
            <w:tcW w:w="636" w:type="dxa"/>
            <w:noWrap w:val="0"/>
            <w:vAlign w:val="center"/>
          </w:tcPr>
          <w:p w14:paraId="0068ECF7">
            <w:pPr>
              <w:pStyle w:val="36"/>
              <w:spacing w:beforeAutospacing="0" w:line="240" w:lineRule="auto"/>
              <w:ind w:left="185"/>
              <w:jc w:val="center"/>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1.1</w:t>
            </w:r>
          </w:p>
        </w:tc>
        <w:tc>
          <w:tcPr>
            <w:tcW w:w="1667" w:type="dxa"/>
            <w:noWrap w:val="0"/>
            <w:vAlign w:val="top"/>
          </w:tcPr>
          <w:p w14:paraId="49938406">
            <w:pPr>
              <w:pStyle w:val="36"/>
              <w:spacing w:before="65" w:line="240" w:lineRule="auto"/>
              <w:ind w:left="31"/>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lang w:eastAsia="zh-CN"/>
              </w:rPr>
              <w:t>材料及安装费</w:t>
            </w:r>
          </w:p>
          <w:p w14:paraId="6C18E03D">
            <w:pPr>
              <w:pStyle w:val="36"/>
              <w:spacing w:before="14" w:line="240" w:lineRule="auto"/>
              <w:ind w:left="32" w:right="221" w:firstLine="5"/>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lang w:eastAsia="zh-CN"/>
              </w:rPr>
              <w:t>（全站仪自动化监</w:t>
            </w:r>
            <w:r>
              <w:rPr>
                <w:rFonts w:hint="eastAsia" w:ascii="宋体" w:hAnsi="宋体" w:eastAsia="宋体" w:cs="宋体"/>
                <w:color w:val="auto"/>
                <w:spacing w:val="-4"/>
                <w:sz w:val="21"/>
                <w:szCs w:val="21"/>
                <w:highlight w:val="none"/>
                <w:lang w:eastAsia="zh-CN"/>
              </w:rPr>
              <w:t>测）</w:t>
            </w:r>
          </w:p>
        </w:tc>
        <w:tc>
          <w:tcPr>
            <w:tcW w:w="1080" w:type="dxa"/>
            <w:noWrap w:val="0"/>
            <w:vAlign w:val="center"/>
          </w:tcPr>
          <w:p w14:paraId="5242C4D7">
            <w:pPr>
              <w:pStyle w:val="36"/>
              <w:spacing w:before="65" w:line="240" w:lineRule="auto"/>
              <w:ind w:left="490"/>
              <w:jc w:val="center"/>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44</w:t>
            </w:r>
          </w:p>
        </w:tc>
        <w:tc>
          <w:tcPr>
            <w:tcW w:w="1035" w:type="dxa"/>
            <w:noWrap w:val="0"/>
            <w:vAlign w:val="center"/>
          </w:tcPr>
          <w:p w14:paraId="405700C1">
            <w:pPr>
              <w:pStyle w:val="36"/>
              <w:spacing w:before="65" w:line="240" w:lineRule="auto"/>
              <w:ind w:left="235"/>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断面</w:t>
            </w:r>
          </w:p>
        </w:tc>
        <w:tc>
          <w:tcPr>
            <w:tcW w:w="1186" w:type="dxa"/>
            <w:noWrap w:val="0"/>
            <w:vAlign w:val="center"/>
          </w:tcPr>
          <w:p w14:paraId="3C2601E0">
            <w:pPr>
              <w:keepNext w:val="0"/>
              <w:keepLines w:val="0"/>
              <w:widowControl/>
              <w:suppressLineNumbers w:val="0"/>
              <w:jc w:val="right"/>
              <w:textAlignment w:val="center"/>
              <w:rPr>
                <w:rFonts w:hint="eastAsia" w:ascii="宋体" w:hAnsi="宋体" w:eastAsia="宋体" w:cs="宋体"/>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1250.00</w:t>
            </w:r>
          </w:p>
        </w:tc>
        <w:tc>
          <w:tcPr>
            <w:tcW w:w="1530" w:type="dxa"/>
            <w:noWrap w:val="0"/>
            <w:vAlign w:val="center"/>
          </w:tcPr>
          <w:p w14:paraId="26C9301D">
            <w:pPr>
              <w:keepNext w:val="0"/>
              <w:keepLines w:val="0"/>
              <w:widowControl/>
              <w:suppressLineNumbers w:val="0"/>
              <w:jc w:val="right"/>
              <w:textAlignment w:val="center"/>
              <w:rPr>
                <w:rFonts w:hint="eastAsia" w:ascii="宋体" w:hAnsi="宋体" w:eastAsia="宋体" w:cs="宋体"/>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55000.00</w:t>
            </w:r>
          </w:p>
        </w:tc>
        <w:tc>
          <w:tcPr>
            <w:tcW w:w="1305" w:type="dxa"/>
            <w:noWrap w:val="0"/>
            <w:vAlign w:val="top"/>
          </w:tcPr>
          <w:p w14:paraId="4C986DF6">
            <w:pPr>
              <w:pStyle w:val="36"/>
              <w:spacing w:before="65" w:line="240" w:lineRule="auto"/>
              <w:ind w:right="214"/>
              <w:rPr>
                <w:rFonts w:hint="eastAsia" w:ascii="宋体" w:hAnsi="宋体" w:eastAsia="宋体" w:cs="宋体"/>
                <w:color w:val="auto"/>
                <w:sz w:val="21"/>
                <w:szCs w:val="21"/>
                <w:highlight w:val="none"/>
                <w:lang w:eastAsia="zh-CN"/>
              </w:rPr>
            </w:pPr>
          </w:p>
        </w:tc>
        <w:tc>
          <w:tcPr>
            <w:tcW w:w="1560" w:type="dxa"/>
            <w:noWrap w:val="0"/>
            <w:vAlign w:val="top"/>
          </w:tcPr>
          <w:p w14:paraId="755B22CF">
            <w:pPr>
              <w:pStyle w:val="36"/>
              <w:spacing w:before="12" w:line="240" w:lineRule="auto"/>
              <w:ind w:left="40" w:right="268" w:firstLine="20"/>
              <w:rPr>
                <w:rFonts w:hint="eastAsia" w:ascii="宋体" w:hAnsi="宋体" w:eastAsia="宋体" w:cs="宋体"/>
                <w:color w:val="auto"/>
                <w:sz w:val="21"/>
                <w:szCs w:val="21"/>
                <w:highlight w:val="none"/>
                <w:lang w:eastAsia="zh-CN"/>
              </w:rPr>
            </w:pPr>
          </w:p>
        </w:tc>
      </w:tr>
      <w:tr w14:paraId="64723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trPr>
        <w:tc>
          <w:tcPr>
            <w:tcW w:w="636" w:type="dxa"/>
            <w:noWrap w:val="0"/>
            <w:vAlign w:val="center"/>
          </w:tcPr>
          <w:p w14:paraId="6AB2C5E1">
            <w:pPr>
              <w:pStyle w:val="36"/>
              <w:spacing w:beforeAutospacing="0" w:line="240" w:lineRule="auto"/>
              <w:ind w:left="221"/>
              <w:jc w:val="center"/>
              <w:rPr>
                <w:rFonts w:hint="eastAsia" w:ascii="宋体" w:hAnsi="宋体" w:eastAsia="宋体" w:cs="宋体"/>
                <w:color w:val="auto"/>
                <w:sz w:val="21"/>
                <w:szCs w:val="21"/>
                <w:highlight w:val="none"/>
              </w:rPr>
            </w:pPr>
            <w:r>
              <w:rPr>
                <w:rFonts w:hint="eastAsia" w:ascii="宋体" w:hAnsi="宋体" w:eastAsia="宋体" w:cs="宋体"/>
                <w:b/>
                <w:bCs/>
                <w:color w:val="auto"/>
                <w:spacing w:val="-3"/>
                <w:sz w:val="21"/>
                <w:szCs w:val="21"/>
                <w:highlight w:val="none"/>
              </w:rPr>
              <w:t>二</w:t>
            </w:r>
          </w:p>
        </w:tc>
        <w:tc>
          <w:tcPr>
            <w:tcW w:w="6498" w:type="dxa"/>
            <w:gridSpan w:val="5"/>
            <w:noWrap w:val="0"/>
            <w:vAlign w:val="center"/>
          </w:tcPr>
          <w:p w14:paraId="5F202375">
            <w:pPr>
              <w:pStyle w:val="36"/>
              <w:spacing w:beforeAutospacing="0" w:line="240" w:lineRule="auto"/>
              <w:ind w:left="31"/>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全站仪自动化监测费</w:t>
            </w:r>
          </w:p>
        </w:tc>
        <w:tc>
          <w:tcPr>
            <w:tcW w:w="1305" w:type="dxa"/>
            <w:noWrap w:val="0"/>
            <w:vAlign w:val="top"/>
          </w:tcPr>
          <w:p w14:paraId="7732C64C">
            <w:pPr>
              <w:spacing w:line="240" w:lineRule="auto"/>
              <w:rPr>
                <w:rFonts w:hint="eastAsia" w:ascii="宋体" w:hAnsi="宋体" w:eastAsia="宋体" w:cs="宋体"/>
                <w:color w:val="auto"/>
                <w:sz w:val="21"/>
                <w:szCs w:val="21"/>
                <w:highlight w:val="none"/>
              </w:rPr>
            </w:pPr>
          </w:p>
        </w:tc>
        <w:tc>
          <w:tcPr>
            <w:tcW w:w="1560" w:type="dxa"/>
            <w:noWrap w:val="0"/>
            <w:vAlign w:val="top"/>
          </w:tcPr>
          <w:p w14:paraId="541A3FDC">
            <w:pPr>
              <w:spacing w:line="240" w:lineRule="auto"/>
              <w:rPr>
                <w:rFonts w:hint="eastAsia" w:ascii="宋体" w:hAnsi="宋体" w:eastAsia="宋体" w:cs="宋体"/>
                <w:color w:val="auto"/>
                <w:sz w:val="21"/>
                <w:szCs w:val="21"/>
                <w:highlight w:val="none"/>
              </w:rPr>
            </w:pPr>
          </w:p>
        </w:tc>
      </w:tr>
      <w:tr w14:paraId="537BC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1" w:hRule="atLeast"/>
        </w:trPr>
        <w:tc>
          <w:tcPr>
            <w:tcW w:w="636" w:type="dxa"/>
            <w:noWrap w:val="0"/>
            <w:vAlign w:val="center"/>
          </w:tcPr>
          <w:p w14:paraId="211ECC6B">
            <w:pPr>
              <w:pStyle w:val="36"/>
              <w:spacing w:before="65" w:line="240" w:lineRule="auto"/>
              <w:ind w:left="173"/>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2.1</w:t>
            </w:r>
          </w:p>
        </w:tc>
        <w:tc>
          <w:tcPr>
            <w:tcW w:w="1667" w:type="dxa"/>
            <w:noWrap w:val="0"/>
            <w:vAlign w:val="top"/>
          </w:tcPr>
          <w:p w14:paraId="5FFB638D">
            <w:pPr>
              <w:pStyle w:val="36"/>
              <w:spacing w:before="65" w:line="240" w:lineRule="auto"/>
              <w:ind w:left="3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全站仪自动化监测</w:t>
            </w:r>
          </w:p>
        </w:tc>
        <w:tc>
          <w:tcPr>
            <w:tcW w:w="1080" w:type="dxa"/>
            <w:noWrap w:val="0"/>
            <w:vAlign w:val="center"/>
          </w:tcPr>
          <w:p w14:paraId="53495E68">
            <w:pPr>
              <w:pStyle w:val="36"/>
              <w:spacing w:before="65" w:line="240" w:lineRule="auto"/>
              <w:ind w:left="336"/>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44*16</w:t>
            </w:r>
          </w:p>
        </w:tc>
        <w:tc>
          <w:tcPr>
            <w:tcW w:w="1035" w:type="dxa"/>
            <w:noWrap w:val="0"/>
            <w:vAlign w:val="center"/>
          </w:tcPr>
          <w:p w14:paraId="74986F64">
            <w:pPr>
              <w:pStyle w:val="36"/>
              <w:spacing w:before="65" w:line="240" w:lineRule="auto"/>
              <w:ind w:left="132"/>
              <w:jc w:val="center"/>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断面·</w:t>
            </w:r>
            <w:r>
              <w:rPr>
                <w:rFonts w:hint="eastAsia" w:ascii="宋体" w:hAnsi="宋体" w:eastAsia="宋体" w:cs="宋体"/>
                <w:color w:val="auto"/>
                <w:sz w:val="24"/>
                <w:szCs w:val="24"/>
                <w:highlight w:val="none"/>
              </w:rPr>
              <w:t>月</w:t>
            </w:r>
          </w:p>
        </w:tc>
        <w:tc>
          <w:tcPr>
            <w:tcW w:w="1186" w:type="dxa"/>
            <w:noWrap w:val="0"/>
            <w:vAlign w:val="center"/>
          </w:tcPr>
          <w:p w14:paraId="67AFB754">
            <w:pPr>
              <w:keepNext w:val="0"/>
              <w:keepLines w:val="0"/>
              <w:widowControl/>
              <w:suppressLineNumbers w:val="0"/>
              <w:jc w:val="right"/>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4500</w:t>
            </w:r>
          </w:p>
        </w:tc>
        <w:tc>
          <w:tcPr>
            <w:tcW w:w="1530" w:type="dxa"/>
            <w:noWrap w:val="0"/>
            <w:vAlign w:val="center"/>
          </w:tcPr>
          <w:p w14:paraId="35040BAC">
            <w:pPr>
              <w:keepNext w:val="0"/>
              <w:keepLines w:val="0"/>
              <w:widowControl/>
              <w:suppressLineNumbers w:val="0"/>
              <w:jc w:val="right"/>
              <w:textAlignment w:val="center"/>
              <w:rPr>
                <w:rFonts w:hint="eastAsia" w:ascii="宋体" w:hAnsi="宋体" w:eastAsia="宋体" w:cs="宋体"/>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3168000.00</w:t>
            </w:r>
          </w:p>
        </w:tc>
        <w:tc>
          <w:tcPr>
            <w:tcW w:w="1305" w:type="dxa"/>
            <w:noWrap w:val="0"/>
            <w:vAlign w:val="top"/>
          </w:tcPr>
          <w:p w14:paraId="1C4AC07C">
            <w:pPr>
              <w:pStyle w:val="36"/>
              <w:spacing w:before="15" w:line="240" w:lineRule="auto"/>
              <w:ind w:left="36" w:right="108" w:firstLine="69"/>
              <w:rPr>
                <w:rFonts w:hint="eastAsia" w:ascii="宋体" w:hAnsi="宋体" w:eastAsia="宋体" w:cs="宋体"/>
                <w:color w:val="auto"/>
                <w:sz w:val="21"/>
                <w:szCs w:val="21"/>
                <w:highlight w:val="none"/>
                <w:lang w:eastAsia="zh-CN"/>
              </w:rPr>
            </w:pPr>
          </w:p>
        </w:tc>
        <w:tc>
          <w:tcPr>
            <w:tcW w:w="1560" w:type="dxa"/>
            <w:noWrap w:val="0"/>
            <w:vAlign w:val="top"/>
          </w:tcPr>
          <w:p w14:paraId="1F392878">
            <w:pPr>
              <w:pStyle w:val="36"/>
              <w:spacing w:before="13" w:line="240" w:lineRule="auto"/>
              <w:ind w:left="1963"/>
              <w:rPr>
                <w:rFonts w:hint="eastAsia" w:ascii="宋体" w:hAnsi="宋体" w:eastAsia="宋体" w:cs="宋体"/>
                <w:color w:val="auto"/>
                <w:sz w:val="21"/>
                <w:szCs w:val="21"/>
                <w:highlight w:val="none"/>
              </w:rPr>
            </w:pPr>
          </w:p>
        </w:tc>
      </w:tr>
      <w:tr w14:paraId="244EE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 w:hRule="atLeast"/>
        </w:trPr>
        <w:tc>
          <w:tcPr>
            <w:tcW w:w="636" w:type="dxa"/>
            <w:noWrap w:val="0"/>
            <w:vAlign w:val="center"/>
          </w:tcPr>
          <w:p w14:paraId="2949E4F6">
            <w:pPr>
              <w:pStyle w:val="36"/>
              <w:spacing w:beforeAutospacing="0" w:line="240" w:lineRule="auto"/>
              <w:ind w:left="220" w:leftChars="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b/>
                <w:bCs/>
                <w:color w:val="auto"/>
                <w:spacing w:val="-3"/>
                <w:sz w:val="21"/>
                <w:szCs w:val="21"/>
                <w:highlight w:val="none"/>
              </w:rPr>
              <w:t>三</w:t>
            </w:r>
          </w:p>
        </w:tc>
        <w:tc>
          <w:tcPr>
            <w:tcW w:w="1667" w:type="dxa"/>
            <w:noWrap w:val="0"/>
            <w:vAlign w:val="top"/>
          </w:tcPr>
          <w:p w14:paraId="534FE0A7">
            <w:pPr>
              <w:pStyle w:val="36"/>
              <w:spacing w:before="170" w:line="240" w:lineRule="auto"/>
              <w:ind w:left="136" w:leftChars="0"/>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b/>
                <w:bCs/>
                <w:color w:val="auto"/>
                <w:sz w:val="21"/>
                <w:szCs w:val="21"/>
                <w:highlight w:val="none"/>
              </w:rPr>
              <w:t>现状调查费</w:t>
            </w:r>
          </w:p>
        </w:tc>
        <w:tc>
          <w:tcPr>
            <w:tcW w:w="3301" w:type="dxa"/>
            <w:gridSpan w:val="3"/>
            <w:noWrap w:val="0"/>
            <w:vAlign w:val="center"/>
          </w:tcPr>
          <w:p w14:paraId="09566E1F">
            <w:pPr>
              <w:pStyle w:val="36"/>
              <w:spacing w:before="65" w:line="240" w:lineRule="auto"/>
              <w:ind w:left="336"/>
              <w:jc w:val="center"/>
              <w:rPr>
                <w:rFonts w:hint="eastAsia" w:ascii="宋体" w:hAnsi="宋体" w:eastAsia="宋体" w:cs="宋体"/>
                <w:color w:val="auto"/>
                <w:spacing w:val="-1"/>
                <w:sz w:val="24"/>
                <w:szCs w:val="24"/>
                <w:highlight w:val="none"/>
              </w:rPr>
            </w:pPr>
          </w:p>
        </w:tc>
        <w:tc>
          <w:tcPr>
            <w:tcW w:w="1530" w:type="dxa"/>
            <w:noWrap w:val="0"/>
            <w:vAlign w:val="center"/>
          </w:tcPr>
          <w:p w14:paraId="432FC210">
            <w:pPr>
              <w:pStyle w:val="36"/>
              <w:spacing w:before="195" w:line="240" w:lineRule="auto"/>
              <w:ind w:left="186"/>
              <w:jc w:val="center"/>
              <w:rPr>
                <w:rFonts w:hint="eastAsia" w:ascii="宋体" w:hAnsi="宋体" w:eastAsia="宋体" w:cs="宋体"/>
                <w:color w:val="auto"/>
                <w:sz w:val="24"/>
                <w:szCs w:val="24"/>
                <w:highlight w:val="none"/>
              </w:rPr>
            </w:pPr>
          </w:p>
        </w:tc>
        <w:tc>
          <w:tcPr>
            <w:tcW w:w="1305" w:type="dxa"/>
            <w:noWrap w:val="0"/>
            <w:vAlign w:val="top"/>
          </w:tcPr>
          <w:p w14:paraId="40EC34ED">
            <w:pPr>
              <w:spacing w:line="240" w:lineRule="auto"/>
              <w:rPr>
                <w:rFonts w:hint="eastAsia" w:ascii="宋体" w:hAnsi="宋体" w:eastAsia="宋体" w:cs="宋体"/>
                <w:color w:val="auto"/>
                <w:sz w:val="21"/>
                <w:szCs w:val="21"/>
                <w:highlight w:val="none"/>
              </w:rPr>
            </w:pPr>
          </w:p>
        </w:tc>
        <w:tc>
          <w:tcPr>
            <w:tcW w:w="1560" w:type="dxa"/>
            <w:noWrap w:val="0"/>
            <w:vAlign w:val="top"/>
          </w:tcPr>
          <w:p w14:paraId="6E45A930">
            <w:pPr>
              <w:spacing w:line="240" w:lineRule="auto"/>
              <w:rPr>
                <w:rFonts w:hint="eastAsia" w:ascii="宋体" w:hAnsi="宋体" w:eastAsia="宋体" w:cs="宋体"/>
                <w:color w:val="auto"/>
                <w:sz w:val="21"/>
                <w:szCs w:val="21"/>
                <w:highlight w:val="none"/>
              </w:rPr>
            </w:pPr>
          </w:p>
        </w:tc>
      </w:tr>
      <w:tr w14:paraId="645B4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4" w:hRule="atLeast"/>
        </w:trPr>
        <w:tc>
          <w:tcPr>
            <w:tcW w:w="636" w:type="dxa"/>
            <w:noWrap w:val="0"/>
            <w:vAlign w:val="center"/>
          </w:tcPr>
          <w:p w14:paraId="42A10255">
            <w:pPr>
              <w:pStyle w:val="36"/>
              <w:spacing w:before="65" w:line="240" w:lineRule="auto"/>
              <w:ind w:left="174" w:left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3.1</w:t>
            </w:r>
          </w:p>
        </w:tc>
        <w:tc>
          <w:tcPr>
            <w:tcW w:w="1667" w:type="dxa"/>
            <w:noWrap w:val="0"/>
            <w:vAlign w:val="center"/>
          </w:tcPr>
          <w:p w14:paraId="693A5C8D">
            <w:pPr>
              <w:pStyle w:val="36"/>
              <w:spacing w:before="65" w:line="240" w:lineRule="auto"/>
              <w:ind w:left="31" w:leftChars="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三维激光扫描</w:t>
            </w:r>
          </w:p>
        </w:tc>
        <w:tc>
          <w:tcPr>
            <w:tcW w:w="1080" w:type="dxa"/>
            <w:noWrap w:val="0"/>
            <w:vAlign w:val="center"/>
          </w:tcPr>
          <w:p w14:paraId="2BE83E00">
            <w:pPr>
              <w:pStyle w:val="36"/>
              <w:spacing w:before="65" w:line="240" w:lineRule="auto"/>
              <w:ind w:left="546"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035" w:type="dxa"/>
            <w:noWrap w:val="0"/>
            <w:vAlign w:val="center"/>
          </w:tcPr>
          <w:p w14:paraId="223957A6">
            <w:pPr>
              <w:pStyle w:val="36"/>
              <w:spacing w:before="65" w:line="240" w:lineRule="auto"/>
              <w:ind w:left="329" w:leftChars="0"/>
              <w:jc w:val="center"/>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km</w:t>
            </w:r>
          </w:p>
        </w:tc>
        <w:tc>
          <w:tcPr>
            <w:tcW w:w="1186" w:type="dxa"/>
            <w:noWrap w:val="0"/>
            <w:vAlign w:val="center"/>
          </w:tcPr>
          <w:p w14:paraId="139CF1B4">
            <w:pPr>
              <w:keepNext w:val="0"/>
              <w:keepLines w:val="0"/>
              <w:widowControl/>
              <w:suppressLineNumbers w:val="0"/>
              <w:jc w:val="right"/>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21466</w:t>
            </w:r>
          </w:p>
        </w:tc>
        <w:tc>
          <w:tcPr>
            <w:tcW w:w="1530" w:type="dxa"/>
            <w:noWrap w:val="0"/>
            <w:vAlign w:val="center"/>
          </w:tcPr>
          <w:p w14:paraId="2E6B2851">
            <w:pPr>
              <w:keepNext w:val="0"/>
              <w:keepLines w:val="0"/>
              <w:widowControl/>
              <w:suppressLineNumbers w:val="0"/>
              <w:jc w:val="right"/>
              <w:textAlignment w:val="center"/>
              <w:rPr>
                <w:rFonts w:hint="eastAsia" w:ascii="宋体" w:hAnsi="宋体" w:eastAsia="宋体" w:cs="宋体"/>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42932.00</w:t>
            </w:r>
          </w:p>
        </w:tc>
        <w:tc>
          <w:tcPr>
            <w:tcW w:w="1305" w:type="dxa"/>
            <w:noWrap w:val="0"/>
            <w:vAlign w:val="top"/>
          </w:tcPr>
          <w:p w14:paraId="6A52CAFC">
            <w:pPr>
              <w:pStyle w:val="36"/>
              <w:spacing w:before="15" w:line="240" w:lineRule="auto"/>
              <w:ind w:left="36" w:right="108" w:firstLine="69"/>
              <w:rPr>
                <w:rFonts w:hint="eastAsia" w:ascii="宋体" w:hAnsi="宋体" w:eastAsia="宋体" w:cs="宋体"/>
                <w:color w:val="auto"/>
                <w:sz w:val="21"/>
                <w:szCs w:val="21"/>
                <w:highlight w:val="none"/>
                <w:lang w:eastAsia="zh-CN"/>
              </w:rPr>
            </w:pPr>
          </w:p>
        </w:tc>
        <w:tc>
          <w:tcPr>
            <w:tcW w:w="1560" w:type="dxa"/>
            <w:noWrap w:val="0"/>
            <w:vAlign w:val="top"/>
          </w:tcPr>
          <w:p w14:paraId="67D0F9C7">
            <w:pPr>
              <w:pStyle w:val="36"/>
              <w:spacing w:before="13" w:line="240" w:lineRule="auto"/>
              <w:ind w:left="1963"/>
              <w:rPr>
                <w:rFonts w:hint="eastAsia" w:ascii="宋体" w:hAnsi="宋体" w:eastAsia="宋体" w:cs="宋体"/>
                <w:color w:val="auto"/>
                <w:sz w:val="21"/>
                <w:szCs w:val="21"/>
                <w:highlight w:val="none"/>
              </w:rPr>
            </w:pPr>
          </w:p>
        </w:tc>
      </w:tr>
      <w:tr w14:paraId="14D58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4" w:hRule="atLeast"/>
        </w:trPr>
        <w:tc>
          <w:tcPr>
            <w:tcW w:w="636" w:type="dxa"/>
            <w:noWrap w:val="0"/>
            <w:vAlign w:val="center"/>
          </w:tcPr>
          <w:p w14:paraId="4374B953">
            <w:pPr>
              <w:pStyle w:val="36"/>
              <w:spacing w:before="65" w:line="240" w:lineRule="auto"/>
              <w:ind w:left="174" w:left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3.2</w:t>
            </w:r>
          </w:p>
        </w:tc>
        <w:tc>
          <w:tcPr>
            <w:tcW w:w="1667" w:type="dxa"/>
            <w:noWrap w:val="0"/>
            <w:vAlign w:val="center"/>
          </w:tcPr>
          <w:p w14:paraId="2759BC0E">
            <w:pPr>
              <w:pStyle w:val="36"/>
              <w:spacing w:before="65" w:line="240" w:lineRule="auto"/>
              <w:ind w:left="32" w:leftChars="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人工现状调查</w:t>
            </w:r>
          </w:p>
        </w:tc>
        <w:tc>
          <w:tcPr>
            <w:tcW w:w="1080" w:type="dxa"/>
            <w:noWrap w:val="0"/>
            <w:vAlign w:val="center"/>
          </w:tcPr>
          <w:p w14:paraId="6356EF2C">
            <w:pPr>
              <w:pStyle w:val="36"/>
              <w:spacing w:before="65" w:line="240" w:lineRule="auto"/>
              <w:ind w:left="546"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035" w:type="dxa"/>
            <w:noWrap w:val="0"/>
            <w:vAlign w:val="center"/>
          </w:tcPr>
          <w:p w14:paraId="3934D792">
            <w:pPr>
              <w:pStyle w:val="36"/>
              <w:spacing w:before="65" w:line="240" w:lineRule="auto"/>
              <w:ind w:left="336"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次</w:t>
            </w:r>
          </w:p>
        </w:tc>
        <w:tc>
          <w:tcPr>
            <w:tcW w:w="1186" w:type="dxa"/>
            <w:noWrap w:val="0"/>
            <w:vAlign w:val="center"/>
          </w:tcPr>
          <w:p w14:paraId="0213BB59">
            <w:pPr>
              <w:keepNext w:val="0"/>
              <w:keepLines w:val="0"/>
              <w:widowControl/>
              <w:suppressLineNumbers w:val="0"/>
              <w:jc w:val="right"/>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10000</w:t>
            </w:r>
          </w:p>
        </w:tc>
        <w:tc>
          <w:tcPr>
            <w:tcW w:w="1530" w:type="dxa"/>
            <w:noWrap w:val="0"/>
            <w:vAlign w:val="center"/>
          </w:tcPr>
          <w:p w14:paraId="56A758BE">
            <w:pPr>
              <w:keepNext w:val="0"/>
              <w:keepLines w:val="0"/>
              <w:widowControl/>
              <w:suppressLineNumbers w:val="0"/>
              <w:jc w:val="right"/>
              <w:textAlignment w:val="center"/>
              <w:rPr>
                <w:rFonts w:hint="eastAsia" w:ascii="宋体" w:hAnsi="宋体" w:eastAsia="宋体" w:cs="宋体"/>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20000.00</w:t>
            </w:r>
          </w:p>
        </w:tc>
        <w:tc>
          <w:tcPr>
            <w:tcW w:w="1305" w:type="dxa"/>
            <w:noWrap w:val="0"/>
            <w:vAlign w:val="top"/>
          </w:tcPr>
          <w:p w14:paraId="73661D99">
            <w:pPr>
              <w:pStyle w:val="36"/>
              <w:spacing w:before="15" w:line="240" w:lineRule="auto"/>
              <w:ind w:left="36" w:right="108" w:firstLine="69"/>
              <w:rPr>
                <w:rFonts w:hint="eastAsia" w:ascii="宋体" w:hAnsi="宋体" w:eastAsia="宋体" w:cs="宋体"/>
                <w:color w:val="auto"/>
                <w:sz w:val="21"/>
                <w:szCs w:val="21"/>
                <w:highlight w:val="none"/>
                <w:lang w:eastAsia="zh-CN"/>
              </w:rPr>
            </w:pPr>
          </w:p>
        </w:tc>
        <w:tc>
          <w:tcPr>
            <w:tcW w:w="1560" w:type="dxa"/>
            <w:noWrap w:val="0"/>
            <w:vAlign w:val="top"/>
          </w:tcPr>
          <w:p w14:paraId="422D9988">
            <w:pPr>
              <w:pStyle w:val="36"/>
              <w:spacing w:before="13" w:line="240" w:lineRule="auto"/>
              <w:ind w:left="1963"/>
              <w:rPr>
                <w:rFonts w:hint="eastAsia" w:ascii="宋体" w:hAnsi="宋体" w:eastAsia="宋体" w:cs="宋体"/>
                <w:color w:val="auto"/>
                <w:sz w:val="21"/>
                <w:szCs w:val="21"/>
                <w:highlight w:val="none"/>
              </w:rPr>
            </w:pPr>
          </w:p>
        </w:tc>
      </w:tr>
      <w:tr w14:paraId="3BE22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 w:hRule="atLeast"/>
        </w:trPr>
        <w:tc>
          <w:tcPr>
            <w:tcW w:w="636" w:type="dxa"/>
            <w:noWrap w:val="0"/>
            <w:vAlign w:val="center"/>
          </w:tcPr>
          <w:p w14:paraId="448AB30D">
            <w:pPr>
              <w:pStyle w:val="36"/>
              <w:spacing w:beforeAutospacing="0" w:line="240" w:lineRule="auto"/>
              <w:ind w:left="336"/>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四</w:t>
            </w:r>
          </w:p>
        </w:tc>
        <w:tc>
          <w:tcPr>
            <w:tcW w:w="1667" w:type="dxa"/>
            <w:noWrap w:val="0"/>
            <w:vAlign w:val="center"/>
          </w:tcPr>
          <w:p w14:paraId="39564636">
            <w:pPr>
              <w:pStyle w:val="36"/>
              <w:spacing w:beforeAutospacing="0" w:line="240" w:lineRule="auto"/>
              <w:ind w:left="336"/>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合计</w:t>
            </w:r>
          </w:p>
        </w:tc>
        <w:tc>
          <w:tcPr>
            <w:tcW w:w="3301" w:type="dxa"/>
            <w:gridSpan w:val="3"/>
            <w:noWrap w:val="0"/>
            <w:vAlign w:val="center"/>
          </w:tcPr>
          <w:p w14:paraId="0C791C4E">
            <w:pPr>
              <w:pStyle w:val="36"/>
              <w:spacing w:beforeAutospacing="0" w:line="240" w:lineRule="auto"/>
              <w:ind w:left="336"/>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一+二+三</w:t>
            </w:r>
          </w:p>
        </w:tc>
        <w:tc>
          <w:tcPr>
            <w:tcW w:w="1530" w:type="dxa"/>
            <w:shd w:val="clear" w:color="auto" w:fill="FFFFFF"/>
            <w:noWrap w:val="0"/>
            <w:vAlign w:val="center"/>
          </w:tcPr>
          <w:p w14:paraId="4C1BD3B2">
            <w:pPr>
              <w:keepNext w:val="0"/>
              <w:keepLines w:val="0"/>
              <w:widowControl/>
              <w:suppressLineNumbers w:val="0"/>
              <w:jc w:val="righ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3285932.00 </w:t>
            </w:r>
          </w:p>
        </w:tc>
        <w:tc>
          <w:tcPr>
            <w:tcW w:w="1305" w:type="dxa"/>
            <w:noWrap w:val="0"/>
            <w:vAlign w:val="top"/>
          </w:tcPr>
          <w:p w14:paraId="2D5C7BD8">
            <w:pPr>
              <w:spacing w:line="240" w:lineRule="auto"/>
              <w:rPr>
                <w:rFonts w:hint="eastAsia" w:ascii="宋体" w:hAnsi="宋体" w:eastAsia="宋体" w:cs="宋体"/>
                <w:b/>
                <w:bCs/>
                <w:color w:val="auto"/>
                <w:sz w:val="21"/>
                <w:szCs w:val="21"/>
                <w:highlight w:val="none"/>
              </w:rPr>
            </w:pPr>
          </w:p>
        </w:tc>
        <w:tc>
          <w:tcPr>
            <w:tcW w:w="1560" w:type="dxa"/>
            <w:noWrap w:val="0"/>
            <w:vAlign w:val="top"/>
          </w:tcPr>
          <w:p w14:paraId="2F0A4556">
            <w:pPr>
              <w:spacing w:line="240" w:lineRule="auto"/>
              <w:rPr>
                <w:rFonts w:hint="eastAsia" w:ascii="宋体" w:hAnsi="宋体" w:eastAsia="宋体" w:cs="宋体"/>
                <w:b/>
                <w:bCs/>
                <w:color w:val="auto"/>
                <w:sz w:val="21"/>
                <w:szCs w:val="21"/>
                <w:highlight w:val="none"/>
              </w:rPr>
            </w:pPr>
          </w:p>
        </w:tc>
      </w:tr>
    </w:tbl>
    <w:p w14:paraId="0B7BA479">
      <w:pPr>
        <w:rPr>
          <w:rFonts w:ascii="Arial"/>
          <w:color w:val="auto"/>
          <w:highlight w:val="none"/>
        </w:rPr>
      </w:pPr>
    </w:p>
    <w:p w14:paraId="75C69CC9">
      <w:pPr>
        <w:spacing w:line="118" w:lineRule="exact"/>
        <w:rPr>
          <w:color w:val="auto"/>
          <w:highlight w:val="none"/>
        </w:rPr>
      </w:pPr>
    </w:p>
    <w:p w14:paraId="43C6A976">
      <w:pPr>
        <w:rPr>
          <w:rFonts w:ascii="Arial"/>
          <w:color w:val="auto"/>
          <w:highlight w:val="none"/>
        </w:rPr>
      </w:pPr>
    </w:p>
    <w:p w14:paraId="24DE6EBF">
      <w:pPr>
        <w:spacing w:line="360" w:lineRule="auto"/>
        <w:ind w:left="424" w:leftChars="202"/>
        <w:rPr>
          <w:rFonts w:hint="eastAsia" w:ascii="宋体" w:hAnsi="宋体"/>
          <w:color w:val="auto"/>
          <w:sz w:val="24"/>
          <w:highlight w:val="none"/>
        </w:rPr>
      </w:pPr>
      <w:r>
        <w:rPr>
          <w:rFonts w:hint="eastAsia" w:ascii="宋体" w:hAnsi="宋体"/>
          <w:color w:val="auto"/>
          <w:sz w:val="24"/>
          <w:highlight w:val="none"/>
        </w:rPr>
        <w:t>投标人（盖单位章）：</w:t>
      </w:r>
      <w:r>
        <w:rPr>
          <w:rFonts w:hint="eastAsia" w:ascii="宋体" w:hAnsi="宋体"/>
          <w:color w:val="auto"/>
          <w:sz w:val="24"/>
          <w:highlight w:val="none"/>
          <w:u w:val="single"/>
        </w:rPr>
        <w:t xml:space="preserve">                            </w:t>
      </w:r>
    </w:p>
    <w:p w14:paraId="2256DF8D">
      <w:pPr>
        <w:spacing w:line="360" w:lineRule="auto"/>
        <w:ind w:left="424" w:leftChars="202"/>
        <w:rPr>
          <w:rFonts w:hint="eastAsia" w:ascii="宋体" w:hAnsi="宋体"/>
          <w:color w:val="auto"/>
          <w:sz w:val="24"/>
          <w:highlight w:val="none"/>
          <w:u w:val="single"/>
        </w:rPr>
      </w:pPr>
      <w:r>
        <w:rPr>
          <w:rFonts w:hint="eastAsia" w:ascii="宋体" w:hAnsi="宋体"/>
          <w:color w:val="auto"/>
          <w:sz w:val="24"/>
          <w:highlight w:val="none"/>
        </w:rPr>
        <w:t>法定代表人</w:t>
      </w:r>
      <w:r>
        <w:rPr>
          <w:rFonts w:hint="eastAsia" w:ascii="宋体" w:hAnsi="宋体"/>
          <w:color w:val="auto"/>
          <w:sz w:val="24"/>
          <w:highlight w:val="none"/>
          <w:lang w:val="en-US" w:eastAsia="zh-CN"/>
        </w:rPr>
        <w:t>或授权委托人</w:t>
      </w:r>
      <w:r>
        <w:rPr>
          <w:rFonts w:hint="eastAsia" w:ascii="宋体" w:hAnsi="宋体"/>
          <w:color w:val="auto"/>
          <w:sz w:val="24"/>
          <w:highlight w:val="none"/>
        </w:rPr>
        <w:t>（签字或盖章或签章）：</w:t>
      </w:r>
      <w:r>
        <w:rPr>
          <w:rFonts w:hint="eastAsia" w:ascii="宋体" w:hAnsi="宋体"/>
          <w:color w:val="auto"/>
          <w:sz w:val="24"/>
          <w:highlight w:val="none"/>
          <w:u w:val="single"/>
        </w:rPr>
        <w:t xml:space="preserve">                     </w:t>
      </w:r>
    </w:p>
    <w:p w14:paraId="0E393D26">
      <w:pPr>
        <w:spacing w:line="360" w:lineRule="auto"/>
        <w:ind w:left="424" w:leftChars="202"/>
        <w:jc w:val="left"/>
        <w:rPr>
          <w:color w:val="auto"/>
          <w:szCs w:val="21"/>
          <w:highlight w:val="none"/>
          <w:u w:val="none"/>
        </w:rPr>
      </w:pPr>
      <w:r>
        <w:rPr>
          <w:rFonts w:hint="eastAsia" w:ascii="宋体" w:hAnsi="宋体"/>
          <w:color w:val="auto"/>
          <w:sz w:val="24"/>
          <w:highlight w:val="none"/>
        </w:rPr>
        <w:t>日期：</w:t>
      </w:r>
      <w:r>
        <w:rPr>
          <w:rFonts w:hint="eastAsia" w:ascii="宋体" w:hAnsi="宋体"/>
          <w:color w:val="auto"/>
          <w:sz w:val="24"/>
          <w:highlight w:val="none"/>
          <w:u w:val="none"/>
        </w:rPr>
        <w:t xml:space="preserve">      年   月   日</w:t>
      </w:r>
    </w:p>
    <w:p w14:paraId="210E64C1">
      <w:pPr>
        <w:rPr>
          <w:rFonts w:ascii="Arial" w:hAnsi="Arial" w:eastAsia="Arial" w:cs="Arial"/>
          <w:color w:val="auto"/>
          <w:szCs w:val="21"/>
          <w:highlight w:val="none"/>
        </w:rPr>
        <w:sectPr>
          <w:pgSz w:w="11905" w:h="16838"/>
          <w:pgMar w:top="1145" w:right="850" w:bottom="850" w:left="1287" w:header="0" w:footer="454" w:gutter="0"/>
          <w:pgNumType w:fmt="decimal"/>
          <w:cols w:space="720" w:num="1"/>
          <w:rtlGutter w:val="0"/>
          <w:docGrid w:linePitch="0" w:charSpace="0"/>
        </w:sectPr>
      </w:pPr>
    </w:p>
    <w:p w14:paraId="6AA9BCD8">
      <w:pPr>
        <w:pStyle w:val="4"/>
        <w:spacing w:line="600" w:lineRule="auto"/>
        <w:rPr>
          <w:rFonts w:ascii="Times New Roman" w:hAnsi="Times New Roman" w:eastAsia="宋体"/>
          <w:color w:val="auto"/>
          <w:sz w:val="30"/>
          <w:szCs w:val="30"/>
        </w:rPr>
      </w:pPr>
      <w:bookmarkStart w:id="537" w:name="_Toc26621"/>
      <w:r>
        <w:rPr>
          <w:rFonts w:hint="eastAsia" w:ascii="Times New Roman" w:hAnsi="Times New Roman" w:eastAsia="宋体"/>
          <w:color w:val="auto"/>
          <w:sz w:val="30"/>
          <w:szCs w:val="30"/>
        </w:rPr>
        <w:t>四</w:t>
      </w:r>
      <w:r>
        <w:rPr>
          <w:rFonts w:ascii="Times New Roman" w:hAnsi="Times New Roman" w:eastAsia="宋体"/>
          <w:color w:val="auto"/>
          <w:sz w:val="30"/>
          <w:szCs w:val="30"/>
        </w:rPr>
        <w:t>、</w:t>
      </w:r>
      <w:r>
        <w:rPr>
          <w:rFonts w:hint="eastAsia" w:ascii="Times New Roman" w:hAnsi="Times New Roman" w:eastAsia="宋体"/>
          <w:color w:val="auto"/>
          <w:sz w:val="30"/>
          <w:szCs w:val="30"/>
        </w:rPr>
        <w:t>资格审查资料</w:t>
      </w:r>
      <w:bookmarkEnd w:id="537"/>
    </w:p>
    <w:p w14:paraId="533B2755">
      <w:pPr>
        <w:rPr>
          <w:rFonts w:hint="eastAsia"/>
          <w:b/>
          <w:color w:val="auto"/>
          <w:sz w:val="28"/>
          <w:szCs w:val="28"/>
          <w:highlight w:val="none"/>
        </w:rPr>
      </w:pPr>
      <w:bookmarkStart w:id="538" w:name="_Toc536042816"/>
      <w:bookmarkStart w:id="539" w:name="_Toc2154383"/>
      <w:r>
        <w:rPr>
          <w:b/>
          <w:color w:val="auto"/>
          <w:sz w:val="28"/>
          <w:szCs w:val="28"/>
          <w:highlight w:val="none"/>
        </w:rPr>
        <w:t>（一）</w:t>
      </w:r>
      <w:r>
        <w:rPr>
          <w:rFonts w:hint="eastAsia"/>
          <w:b/>
          <w:color w:val="auto"/>
          <w:sz w:val="28"/>
          <w:szCs w:val="28"/>
          <w:highlight w:val="none"/>
        </w:rPr>
        <w:t>投标人</w:t>
      </w:r>
      <w:r>
        <w:rPr>
          <w:b/>
          <w:color w:val="auto"/>
          <w:sz w:val="28"/>
          <w:szCs w:val="28"/>
          <w:highlight w:val="none"/>
        </w:rPr>
        <w:t>基本情况表</w:t>
      </w:r>
      <w:bookmarkEnd w:id="538"/>
      <w:bookmarkEnd w:id="539"/>
      <w:r>
        <w:rPr>
          <w:rFonts w:hint="eastAsia"/>
          <w:b/>
          <w:color w:val="auto"/>
          <w:sz w:val="28"/>
          <w:szCs w:val="28"/>
          <w:highlight w:val="none"/>
        </w:rPr>
        <w:t>（格式可自定）</w:t>
      </w:r>
    </w:p>
    <w:p w14:paraId="5DF654D4">
      <w:pPr>
        <w:rPr>
          <w:rFonts w:hint="eastAsia"/>
          <w:color w:val="auto"/>
          <w:highlight w:val="none"/>
        </w:rPr>
      </w:pPr>
    </w:p>
    <w:tbl>
      <w:tblPr>
        <w:tblStyle w:val="25"/>
        <w:tblW w:w="933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72"/>
        <w:gridCol w:w="254"/>
        <w:gridCol w:w="1342"/>
        <w:gridCol w:w="1131"/>
        <w:gridCol w:w="278"/>
        <w:gridCol w:w="1243"/>
        <w:gridCol w:w="761"/>
        <w:gridCol w:w="1521"/>
        <w:gridCol w:w="1230"/>
      </w:tblGrid>
      <w:tr w14:paraId="6FF39B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9332" w:type="dxa"/>
            <w:gridSpan w:val="9"/>
            <w:noWrap w:val="0"/>
            <w:vAlign w:val="center"/>
          </w:tcPr>
          <w:p w14:paraId="35D1CD20">
            <w:pPr>
              <w:jc w:val="center"/>
              <w:rPr>
                <w:rFonts w:hint="eastAsia" w:ascii="宋体" w:hAnsi="宋体"/>
                <w:color w:val="auto"/>
                <w:position w:val="-30"/>
                <w:sz w:val="22"/>
                <w:highlight w:val="none"/>
              </w:rPr>
            </w:pPr>
            <w:r>
              <w:rPr>
                <w:rFonts w:hint="eastAsia" w:ascii="宋体" w:hAnsi="宋体"/>
                <w:b/>
                <w:color w:val="auto"/>
                <w:sz w:val="22"/>
                <w:highlight w:val="none"/>
              </w:rPr>
              <w:t xml:space="preserve">   </w:t>
            </w:r>
            <w:r>
              <w:rPr>
                <w:rFonts w:hint="eastAsia" w:ascii="宋体" w:hAnsi="宋体"/>
                <w:color w:val="auto"/>
                <w:position w:val="-30"/>
                <w:sz w:val="22"/>
                <w:highlight w:val="none"/>
              </w:rPr>
              <w:t>1、简况</w:t>
            </w:r>
          </w:p>
        </w:tc>
      </w:tr>
      <w:tr w14:paraId="28A81A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26" w:type="dxa"/>
            <w:gridSpan w:val="2"/>
            <w:tcBorders>
              <w:right w:val="single" w:color="auto" w:sz="4" w:space="0"/>
            </w:tcBorders>
            <w:noWrap w:val="0"/>
            <w:vAlign w:val="center"/>
          </w:tcPr>
          <w:p w14:paraId="647D8259">
            <w:pPr>
              <w:jc w:val="center"/>
              <w:rPr>
                <w:rFonts w:hint="eastAsia" w:ascii="宋体" w:hAnsi="宋体"/>
                <w:color w:val="auto"/>
                <w:position w:val="-30"/>
                <w:sz w:val="22"/>
                <w:highlight w:val="none"/>
              </w:rPr>
            </w:pPr>
            <w:r>
              <w:rPr>
                <w:rFonts w:hint="eastAsia" w:ascii="宋体" w:hAnsi="宋体"/>
                <w:color w:val="auto"/>
                <w:position w:val="-30"/>
                <w:sz w:val="22"/>
                <w:highlight w:val="none"/>
              </w:rPr>
              <w:t>单位名称</w:t>
            </w:r>
          </w:p>
        </w:tc>
        <w:tc>
          <w:tcPr>
            <w:tcW w:w="7506" w:type="dxa"/>
            <w:gridSpan w:val="7"/>
            <w:tcBorders>
              <w:left w:val="single" w:color="auto" w:sz="4" w:space="0"/>
            </w:tcBorders>
            <w:noWrap w:val="0"/>
            <w:vAlign w:val="center"/>
          </w:tcPr>
          <w:p w14:paraId="0D8F8EEA">
            <w:pPr>
              <w:rPr>
                <w:rFonts w:hint="eastAsia" w:ascii="宋体" w:hAnsi="宋体"/>
                <w:color w:val="auto"/>
                <w:position w:val="-30"/>
                <w:sz w:val="22"/>
                <w:highlight w:val="none"/>
              </w:rPr>
            </w:pPr>
          </w:p>
        </w:tc>
      </w:tr>
      <w:tr w14:paraId="73D69B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26" w:type="dxa"/>
            <w:gridSpan w:val="2"/>
            <w:noWrap w:val="0"/>
            <w:vAlign w:val="center"/>
          </w:tcPr>
          <w:p w14:paraId="1093C4F0">
            <w:pPr>
              <w:jc w:val="center"/>
              <w:rPr>
                <w:rFonts w:hint="eastAsia" w:ascii="宋体" w:hAnsi="宋体"/>
                <w:color w:val="auto"/>
                <w:position w:val="-30"/>
                <w:sz w:val="22"/>
                <w:highlight w:val="none"/>
              </w:rPr>
            </w:pPr>
            <w:r>
              <w:rPr>
                <w:rFonts w:hint="eastAsia" w:ascii="宋体" w:hAnsi="宋体"/>
                <w:color w:val="auto"/>
                <w:position w:val="-30"/>
                <w:sz w:val="22"/>
                <w:highlight w:val="none"/>
              </w:rPr>
              <w:t>具备资质情况</w:t>
            </w:r>
          </w:p>
        </w:tc>
        <w:tc>
          <w:tcPr>
            <w:tcW w:w="7506" w:type="dxa"/>
            <w:gridSpan w:val="7"/>
            <w:noWrap w:val="0"/>
            <w:vAlign w:val="center"/>
          </w:tcPr>
          <w:p w14:paraId="3A51F42A">
            <w:pPr>
              <w:rPr>
                <w:rFonts w:hint="eastAsia" w:ascii="宋体" w:hAnsi="宋体"/>
                <w:color w:val="auto"/>
                <w:position w:val="-30"/>
                <w:sz w:val="22"/>
                <w:highlight w:val="none"/>
              </w:rPr>
            </w:pPr>
          </w:p>
        </w:tc>
      </w:tr>
      <w:tr w14:paraId="0DCD68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26" w:type="dxa"/>
            <w:gridSpan w:val="2"/>
            <w:noWrap w:val="0"/>
            <w:vAlign w:val="center"/>
          </w:tcPr>
          <w:p w14:paraId="745B4F18">
            <w:pPr>
              <w:jc w:val="center"/>
              <w:rPr>
                <w:rFonts w:hint="eastAsia" w:ascii="宋体" w:hAnsi="宋体"/>
                <w:color w:val="auto"/>
                <w:position w:val="-30"/>
                <w:sz w:val="22"/>
                <w:highlight w:val="none"/>
              </w:rPr>
            </w:pPr>
            <w:r>
              <w:rPr>
                <w:rFonts w:hint="eastAsia" w:ascii="宋体" w:hAnsi="宋体"/>
                <w:color w:val="auto"/>
                <w:position w:val="-30"/>
                <w:sz w:val="22"/>
                <w:highlight w:val="none"/>
              </w:rPr>
              <w:t>证书编号</w:t>
            </w:r>
          </w:p>
        </w:tc>
        <w:tc>
          <w:tcPr>
            <w:tcW w:w="7506" w:type="dxa"/>
            <w:gridSpan w:val="7"/>
            <w:noWrap w:val="0"/>
            <w:vAlign w:val="center"/>
          </w:tcPr>
          <w:p w14:paraId="158FF7AC">
            <w:pPr>
              <w:rPr>
                <w:rFonts w:hint="eastAsia" w:ascii="宋体" w:hAnsi="宋体"/>
                <w:color w:val="auto"/>
                <w:position w:val="-30"/>
                <w:sz w:val="22"/>
                <w:highlight w:val="none"/>
              </w:rPr>
            </w:pPr>
          </w:p>
        </w:tc>
      </w:tr>
      <w:tr w14:paraId="7C013E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9332" w:type="dxa"/>
            <w:gridSpan w:val="9"/>
            <w:noWrap w:val="0"/>
            <w:vAlign w:val="center"/>
          </w:tcPr>
          <w:p w14:paraId="78DED5FC">
            <w:pPr>
              <w:jc w:val="center"/>
              <w:rPr>
                <w:rFonts w:hint="eastAsia" w:ascii="宋体" w:hAnsi="宋体"/>
                <w:color w:val="auto"/>
                <w:position w:val="-30"/>
                <w:sz w:val="22"/>
                <w:highlight w:val="none"/>
              </w:rPr>
            </w:pPr>
            <w:r>
              <w:rPr>
                <w:rFonts w:hint="eastAsia" w:ascii="宋体" w:hAnsi="宋体"/>
                <w:color w:val="auto"/>
                <w:position w:val="-30"/>
                <w:sz w:val="22"/>
                <w:highlight w:val="none"/>
              </w:rPr>
              <w:t>2、人员结构</w:t>
            </w:r>
          </w:p>
        </w:tc>
      </w:tr>
      <w:tr w14:paraId="72EF97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572" w:type="dxa"/>
            <w:noWrap w:val="0"/>
            <w:vAlign w:val="center"/>
          </w:tcPr>
          <w:p w14:paraId="07075097">
            <w:pPr>
              <w:jc w:val="center"/>
              <w:rPr>
                <w:rFonts w:ascii="宋体" w:hAnsi="宋体"/>
                <w:color w:val="auto"/>
                <w:position w:val="-30"/>
                <w:sz w:val="22"/>
                <w:highlight w:val="none"/>
              </w:rPr>
            </w:pPr>
            <w:r>
              <w:rPr>
                <w:rFonts w:hint="eastAsia" w:ascii="宋体" w:hAnsi="宋体"/>
                <w:color w:val="auto"/>
                <w:position w:val="-30"/>
                <w:sz w:val="22"/>
                <w:highlight w:val="none"/>
              </w:rPr>
              <w:t>职工总数</w:t>
            </w:r>
          </w:p>
        </w:tc>
        <w:tc>
          <w:tcPr>
            <w:tcW w:w="1596" w:type="dxa"/>
            <w:gridSpan w:val="2"/>
            <w:noWrap w:val="0"/>
            <w:vAlign w:val="center"/>
          </w:tcPr>
          <w:p w14:paraId="0E82D04F">
            <w:pPr>
              <w:ind w:left="52"/>
              <w:jc w:val="center"/>
              <w:rPr>
                <w:rFonts w:hint="eastAsia" w:ascii="宋体" w:hAnsi="宋体"/>
                <w:color w:val="auto"/>
                <w:position w:val="-30"/>
                <w:sz w:val="22"/>
                <w:highlight w:val="none"/>
              </w:rPr>
            </w:pPr>
          </w:p>
        </w:tc>
        <w:tc>
          <w:tcPr>
            <w:tcW w:w="1409" w:type="dxa"/>
            <w:gridSpan w:val="2"/>
            <w:noWrap w:val="0"/>
            <w:vAlign w:val="center"/>
          </w:tcPr>
          <w:p w14:paraId="334FF22E">
            <w:pPr>
              <w:ind w:left="52"/>
              <w:jc w:val="center"/>
              <w:rPr>
                <w:rFonts w:hint="eastAsia" w:ascii="宋体" w:hAnsi="宋体"/>
                <w:color w:val="auto"/>
                <w:position w:val="-30"/>
                <w:sz w:val="22"/>
                <w:highlight w:val="none"/>
              </w:rPr>
            </w:pPr>
            <w:r>
              <w:rPr>
                <w:rFonts w:hint="eastAsia" w:ascii="宋体" w:hAnsi="宋体"/>
                <w:color w:val="auto"/>
                <w:position w:val="-30"/>
                <w:sz w:val="22"/>
                <w:highlight w:val="none"/>
              </w:rPr>
              <w:t>专业人数</w:t>
            </w:r>
          </w:p>
        </w:tc>
        <w:tc>
          <w:tcPr>
            <w:tcW w:w="1243" w:type="dxa"/>
            <w:noWrap w:val="0"/>
            <w:vAlign w:val="center"/>
          </w:tcPr>
          <w:p w14:paraId="35B8CA55">
            <w:pPr>
              <w:ind w:left="52"/>
              <w:jc w:val="center"/>
              <w:rPr>
                <w:rFonts w:hint="eastAsia" w:ascii="宋体" w:hAnsi="宋体"/>
                <w:color w:val="auto"/>
                <w:position w:val="-30"/>
                <w:sz w:val="22"/>
                <w:highlight w:val="none"/>
              </w:rPr>
            </w:pPr>
          </w:p>
        </w:tc>
        <w:tc>
          <w:tcPr>
            <w:tcW w:w="2282" w:type="dxa"/>
            <w:gridSpan w:val="2"/>
            <w:noWrap w:val="0"/>
            <w:vAlign w:val="center"/>
          </w:tcPr>
          <w:p w14:paraId="241BF096">
            <w:pPr>
              <w:ind w:left="52"/>
              <w:jc w:val="center"/>
              <w:rPr>
                <w:rFonts w:hint="eastAsia" w:ascii="宋体" w:hAnsi="宋体"/>
                <w:color w:val="auto"/>
                <w:position w:val="-30"/>
                <w:sz w:val="22"/>
                <w:highlight w:val="none"/>
              </w:rPr>
            </w:pPr>
            <w:r>
              <w:rPr>
                <w:rFonts w:hint="eastAsia" w:ascii="宋体" w:hAnsi="宋体"/>
                <w:color w:val="auto"/>
                <w:position w:val="-30"/>
                <w:sz w:val="22"/>
                <w:highlight w:val="none"/>
              </w:rPr>
              <w:t>中级以上职称人数</w:t>
            </w:r>
          </w:p>
        </w:tc>
        <w:tc>
          <w:tcPr>
            <w:tcW w:w="1230" w:type="dxa"/>
            <w:noWrap w:val="0"/>
            <w:vAlign w:val="center"/>
          </w:tcPr>
          <w:p w14:paraId="34127C2E">
            <w:pPr>
              <w:ind w:left="52"/>
              <w:rPr>
                <w:rFonts w:hint="eastAsia" w:ascii="宋体" w:hAnsi="宋体"/>
                <w:color w:val="auto"/>
                <w:position w:val="-30"/>
                <w:sz w:val="22"/>
                <w:highlight w:val="none"/>
              </w:rPr>
            </w:pPr>
          </w:p>
        </w:tc>
      </w:tr>
      <w:tr w14:paraId="515836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9332" w:type="dxa"/>
            <w:gridSpan w:val="9"/>
            <w:noWrap w:val="0"/>
            <w:vAlign w:val="center"/>
          </w:tcPr>
          <w:p w14:paraId="1C84092D">
            <w:pPr>
              <w:jc w:val="center"/>
              <w:rPr>
                <w:rFonts w:hint="eastAsia" w:ascii="宋体" w:hAnsi="宋体"/>
                <w:color w:val="auto"/>
                <w:position w:val="-30"/>
                <w:sz w:val="22"/>
                <w:highlight w:val="none"/>
              </w:rPr>
            </w:pPr>
            <w:r>
              <w:rPr>
                <w:rFonts w:hint="eastAsia" w:ascii="宋体" w:hAnsi="宋体"/>
                <w:color w:val="auto"/>
                <w:position w:val="-30"/>
                <w:sz w:val="22"/>
                <w:highlight w:val="none"/>
              </w:rPr>
              <w:t>3、领导人名单</w:t>
            </w:r>
          </w:p>
        </w:tc>
      </w:tr>
      <w:tr w14:paraId="21C758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26" w:type="dxa"/>
            <w:gridSpan w:val="2"/>
            <w:noWrap w:val="0"/>
            <w:vAlign w:val="center"/>
          </w:tcPr>
          <w:p w14:paraId="666A6C95">
            <w:pPr>
              <w:jc w:val="center"/>
              <w:rPr>
                <w:rFonts w:hint="eastAsia" w:ascii="宋体" w:hAnsi="宋体"/>
                <w:color w:val="auto"/>
                <w:position w:val="-30"/>
                <w:sz w:val="22"/>
                <w:highlight w:val="none"/>
              </w:rPr>
            </w:pPr>
            <w:r>
              <w:rPr>
                <w:rFonts w:hint="eastAsia" w:ascii="宋体" w:hAnsi="宋体"/>
                <w:color w:val="auto"/>
                <w:position w:val="-30"/>
                <w:sz w:val="22"/>
                <w:highlight w:val="none"/>
              </w:rPr>
              <w:t>职务</w:t>
            </w:r>
          </w:p>
        </w:tc>
        <w:tc>
          <w:tcPr>
            <w:tcW w:w="2473" w:type="dxa"/>
            <w:gridSpan w:val="2"/>
            <w:noWrap w:val="0"/>
            <w:vAlign w:val="center"/>
          </w:tcPr>
          <w:p w14:paraId="638B1AC2">
            <w:pPr>
              <w:jc w:val="center"/>
              <w:rPr>
                <w:rFonts w:hint="eastAsia" w:ascii="宋体" w:hAnsi="宋体"/>
                <w:color w:val="auto"/>
                <w:position w:val="-30"/>
                <w:sz w:val="22"/>
                <w:highlight w:val="none"/>
              </w:rPr>
            </w:pPr>
            <w:r>
              <w:rPr>
                <w:rFonts w:hint="eastAsia" w:ascii="宋体" w:hAnsi="宋体"/>
                <w:color w:val="auto"/>
                <w:position w:val="-30"/>
                <w:sz w:val="22"/>
                <w:highlight w:val="none"/>
              </w:rPr>
              <w:t>姓名</w:t>
            </w:r>
          </w:p>
        </w:tc>
        <w:tc>
          <w:tcPr>
            <w:tcW w:w="2282" w:type="dxa"/>
            <w:gridSpan w:val="3"/>
            <w:noWrap w:val="0"/>
            <w:vAlign w:val="center"/>
          </w:tcPr>
          <w:p w14:paraId="485967B5">
            <w:pPr>
              <w:jc w:val="center"/>
              <w:rPr>
                <w:rFonts w:hint="eastAsia" w:ascii="宋体" w:hAnsi="宋体"/>
                <w:color w:val="auto"/>
                <w:position w:val="-30"/>
                <w:sz w:val="22"/>
                <w:highlight w:val="none"/>
              </w:rPr>
            </w:pPr>
            <w:r>
              <w:rPr>
                <w:rFonts w:hint="eastAsia" w:ascii="宋体" w:hAnsi="宋体"/>
                <w:color w:val="auto"/>
                <w:position w:val="-30"/>
                <w:sz w:val="22"/>
                <w:highlight w:val="none"/>
              </w:rPr>
              <w:t>职称</w:t>
            </w:r>
          </w:p>
        </w:tc>
        <w:tc>
          <w:tcPr>
            <w:tcW w:w="2751" w:type="dxa"/>
            <w:gridSpan w:val="2"/>
            <w:noWrap w:val="0"/>
            <w:vAlign w:val="center"/>
          </w:tcPr>
          <w:p w14:paraId="5D98051C">
            <w:pPr>
              <w:jc w:val="center"/>
              <w:rPr>
                <w:rFonts w:hint="eastAsia" w:ascii="宋体" w:hAnsi="宋体"/>
                <w:color w:val="auto"/>
                <w:position w:val="-30"/>
                <w:sz w:val="22"/>
                <w:highlight w:val="none"/>
              </w:rPr>
            </w:pPr>
            <w:r>
              <w:rPr>
                <w:rFonts w:hint="eastAsia" w:ascii="宋体" w:hAnsi="宋体"/>
                <w:color w:val="auto"/>
                <w:position w:val="-30"/>
                <w:sz w:val="22"/>
                <w:highlight w:val="none"/>
              </w:rPr>
              <w:t>从事岗位业务</w:t>
            </w:r>
          </w:p>
        </w:tc>
      </w:tr>
      <w:tr w14:paraId="1CF8B2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26" w:type="dxa"/>
            <w:gridSpan w:val="2"/>
            <w:noWrap w:val="0"/>
            <w:vAlign w:val="center"/>
          </w:tcPr>
          <w:p w14:paraId="30E31DED">
            <w:pPr>
              <w:jc w:val="center"/>
              <w:rPr>
                <w:rFonts w:hint="eastAsia" w:ascii="宋体" w:hAnsi="宋体"/>
                <w:color w:val="auto"/>
                <w:position w:val="-30"/>
                <w:sz w:val="22"/>
                <w:highlight w:val="none"/>
              </w:rPr>
            </w:pPr>
          </w:p>
        </w:tc>
        <w:tc>
          <w:tcPr>
            <w:tcW w:w="2473" w:type="dxa"/>
            <w:gridSpan w:val="2"/>
            <w:noWrap w:val="0"/>
            <w:vAlign w:val="center"/>
          </w:tcPr>
          <w:p w14:paraId="0A0CB542">
            <w:pPr>
              <w:jc w:val="center"/>
              <w:rPr>
                <w:rFonts w:hint="eastAsia" w:ascii="宋体" w:hAnsi="宋体"/>
                <w:color w:val="auto"/>
                <w:position w:val="-30"/>
                <w:sz w:val="22"/>
                <w:highlight w:val="none"/>
              </w:rPr>
            </w:pPr>
          </w:p>
        </w:tc>
        <w:tc>
          <w:tcPr>
            <w:tcW w:w="2282" w:type="dxa"/>
            <w:gridSpan w:val="3"/>
            <w:noWrap w:val="0"/>
            <w:vAlign w:val="center"/>
          </w:tcPr>
          <w:p w14:paraId="396242C3">
            <w:pPr>
              <w:jc w:val="center"/>
              <w:rPr>
                <w:rFonts w:hint="eastAsia" w:ascii="宋体" w:hAnsi="宋体"/>
                <w:color w:val="auto"/>
                <w:position w:val="-30"/>
                <w:sz w:val="22"/>
                <w:highlight w:val="none"/>
              </w:rPr>
            </w:pPr>
          </w:p>
        </w:tc>
        <w:tc>
          <w:tcPr>
            <w:tcW w:w="2751" w:type="dxa"/>
            <w:gridSpan w:val="2"/>
            <w:noWrap w:val="0"/>
            <w:vAlign w:val="center"/>
          </w:tcPr>
          <w:p w14:paraId="6B73FA22">
            <w:pPr>
              <w:jc w:val="center"/>
              <w:rPr>
                <w:rFonts w:hint="eastAsia" w:ascii="宋体" w:hAnsi="宋体"/>
                <w:color w:val="auto"/>
                <w:position w:val="-30"/>
                <w:sz w:val="22"/>
                <w:highlight w:val="none"/>
              </w:rPr>
            </w:pPr>
          </w:p>
        </w:tc>
      </w:tr>
      <w:tr w14:paraId="7F5E84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26" w:type="dxa"/>
            <w:gridSpan w:val="2"/>
            <w:noWrap w:val="0"/>
            <w:vAlign w:val="center"/>
          </w:tcPr>
          <w:p w14:paraId="141B49BF">
            <w:pPr>
              <w:jc w:val="center"/>
              <w:rPr>
                <w:rFonts w:hint="eastAsia" w:ascii="宋体" w:hAnsi="宋体"/>
                <w:color w:val="auto"/>
                <w:position w:val="-30"/>
                <w:sz w:val="22"/>
                <w:highlight w:val="none"/>
              </w:rPr>
            </w:pPr>
          </w:p>
        </w:tc>
        <w:tc>
          <w:tcPr>
            <w:tcW w:w="2473" w:type="dxa"/>
            <w:gridSpan w:val="2"/>
            <w:noWrap w:val="0"/>
            <w:vAlign w:val="center"/>
          </w:tcPr>
          <w:p w14:paraId="227D6CFF">
            <w:pPr>
              <w:jc w:val="center"/>
              <w:rPr>
                <w:rFonts w:hint="eastAsia" w:ascii="宋体" w:hAnsi="宋体"/>
                <w:color w:val="auto"/>
                <w:position w:val="-30"/>
                <w:sz w:val="22"/>
                <w:highlight w:val="none"/>
              </w:rPr>
            </w:pPr>
          </w:p>
        </w:tc>
        <w:tc>
          <w:tcPr>
            <w:tcW w:w="2282" w:type="dxa"/>
            <w:gridSpan w:val="3"/>
            <w:noWrap w:val="0"/>
            <w:vAlign w:val="center"/>
          </w:tcPr>
          <w:p w14:paraId="3ACEF937">
            <w:pPr>
              <w:jc w:val="center"/>
              <w:rPr>
                <w:rFonts w:hint="eastAsia" w:ascii="宋体" w:hAnsi="宋体"/>
                <w:color w:val="auto"/>
                <w:position w:val="-30"/>
                <w:sz w:val="22"/>
                <w:highlight w:val="none"/>
              </w:rPr>
            </w:pPr>
          </w:p>
        </w:tc>
        <w:tc>
          <w:tcPr>
            <w:tcW w:w="2751" w:type="dxa"/>
            <w:gridSpan w:val="2"/>
            <w:noWrap w:val="0"/>
            <w:vAlign w:val="center"/>
          </w:tcPr>
          <w:p w14:paraId="3AD5453D">
            <w:pPr>
              <w:jc w:val="center"/>
              <w:rPr>
                <w:rFonts w:hint="eastAsia" w:ascii="宋体" w:hAnsi="宋体"/>
                <w:color w:val="auto"/>
                <w:position w:val="-30"/>
                <w:sz w:val="22"/>
                <w:highlight w:val="none"/>
              </w:rPr>
            </w:pPr>
          </w:p>
        </w:tc>
      </w:tr>
      <w:tr w14:paraId="3E39C8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26" w:type="dxa"/>
            <w:gridSpan w:val="2"/>
            <w:noWrap w:val="0"/>
            <w:vAlign w:val="center"/>
          </w:tcPr>
          <w:p w14:paraId="6DF778B7">
            <w:pPr>
              <w:rPr>
                <w:rFonts w:hint="eastAsia" w:ascii="宋体" w:hAnsi="宋体"/>
                <w:color w:val="auto"/>
                <w:position w:val="-30"/>
                <w:sz w:val="22"/>
                <w:highlight w:val="none"/>
              </w:rPr>
            </w:pPr>
          </w:p>
        </w:tc>
        <w:tc>
          <w:tcPr>
            <w:tcW w:w="2473" w:type="dxa"/>
            <w:gridSpan w:val="2"/>
            <w:noWrap w:val="0"/>
            <w:vAlign w:val="center"/>
          </w:tcPr>
          <w:p w14:paraId="32A6890B">
            <w:pPr>
              <w:rPr>
                <w:rFonts w:hint="eastAsia" w:ascii="宋体" w:hAnsi="宋体"/>
                <w:color w:val="auto"/>
                <w:position w:val="-30"/>
                <w:sz w:val="22"/>
                <w:highlight w:val="none"/>
              </w:rPr>
            </w:pPr>
          </w:p>
        </w:tc>
        <w:tc>
          <w:tcPr>
            <w:tcW w:w="2282" w:type="dxa"/>
            <w:gridSpan w:val="3"/>
            <w:noWrap w:val="0"/>
            <w:vAlign w:val="center"/>
          </w:tcPr>
          <w:p w14:paraId="2136814F">
            <w:pPr>
              <w:rPr>
                <w:rFonts w:hint="eastAsia" w:ascii="宋体" w:hAnsi="宋体"/>
                <w:color w:val="auto"/>
                <w:position w:val="-30"/>
                <w:sz w:val="22"/>
                <w:highlight w:val="none"/>
              </w:rPr>
            </w:pPr>
          </w:p>
        </w:tc>
        <w:tc>
          <w:tcPr>
            <w:tcW w:w="2751" w:type="dxa"/>
            <w:gridSpan w:val="2"/>
            <w:noWrap w:val="0"/>
            <w:vAlign w:val="center"/>
          </w:tcPr>
          <w:p w14:paraId="2C982B55">
            <w:pPr>
              <w:rPr>
                <w:rFonts w:hint="eastAsia" w:ascii="宋体" w:hAnsi="宋体"/>
                <w:color w:val="auto"/>
                <w:position w:val="-30"/>
                <w:sz w:val="22"/>
                <w:highlight w:val="none"/>
              </w:rPr>
            </w:pPr>
          </w:p>
        </w:tc>
      </w:tr>
      <w:tr w14:paraId="55A024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9332" w:type="dxa"/>
            <w:gridSpan w:val="9"/>
            <w:noWrap w:val="0"/>
            <w:vAlign w:val="center"/>
          </w:tcPr>
          <w:p w14:paraId="62D36462">
            <w:pPr>
              <w:jc w:val="center"/>
              <w:rPr>
                <w:rFonts w:hint="eastAsia" w:ascii="宋体" w:hAnsi="宋体"/>
                <w:color w:val="auto"/>
                <w:position w:val="-30"/>
                <w:sz w:val="22"/>
                <w:highlight w:val="none"/>
              </w:rPr>
            </w:pPr>
            <w:r>
              <w:rPr>
                <w:rFonts w:hint="eastAsia" w:ascii="宋体" w:hAnsi="宋体"/>
                <w:color w:val="auto"/>
                <w:position w:val="-30"/>
                <w:sz w:val="22"/>
                <w:highlight w:val="none"/>
              </w:rPr>
              <w:t>4、联系方式</w:t>
            </w:r>
          </w:p>
        </w:tc>
      </w:tr>
      <w:tr w14:paraId="756F90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26" w:type="dxa"/>
            <w:gridSpan w:val="2"/>
            <w:noWrap w:val="0"/>
            <w:vAlign w:val="center"/>
          </w:tcPr>
          <w:p w14:paraId="67DEEE24">
            <w:pPr>
              <w:jc w:val="center"/>
              <w:rPr>
                <w:rFonts w:hint="eastAsia" w:ascii="宋体" w:hAnsi="宋体"/>
                <w:color w:val="auto"/>
                <w:position w:val="-30"/>
                <w:sz w:val="22"/>
                <w:highlight w:val="none"/>
              </w:rPr>
            </w:pPr>
            <w:r>
              <w:rPr>
                <w:rFonts w:hint="eastAsia" w:ascii="宋体" w:hAnsi="宋体"/>
                <w:color w:val="auto"/>
                <w:position w:val="-30"/>
                <w:sz w:val="22"/>
                <w:highlight w:val="none"/>
              </w:rPr>
              <w:t>联系人</w:t>
            </w:r>
          </w:p>
        </w:tc>
        <w:tc>
          <w:tcPr>
            <w:tcW w:w="2473" w:type="dxa"/>
            <w:gridSpan w:val="2"/>
            <w:noWrap w:val="0"/>
            <w:vAlign w:val="center"/>
          </w:tcPr>
          <w:p w14:paraId="0FE406AC">
            <w:pPr>
              <w:jc w:val="center"/>
              <w:rPr>
                <w:rFonts w:hint="eastAsia" w:ascii="宋体" w:hAnsi="宋体"/>
                <w:color w:val="auto"/>
                <w:position w:val="-30"/>
                <w:sz w:val="22"/>
                <w:highlight w:val="none"/>
              </w:rPr>
            </w:pPr>
            <w:r>
              <w:rPr>
                <w:rFonts w:hint="eastAsia" w:ascii="宋体" w:hAnsi="宋体"/>
                <w:color w:val="auto"/>
                <w:position w:val="-30"/>
                <w:sz w:val="22"/>
                <w:highlight w:val="none"/>
              </w:rPr>
              <w:t>电话</w:t>
            </w:r>
          </w:p>
        </w:tc>
        <w:tc>
          <w:tcPr>
            <w:tcW w:w="2282" w:type="dxa"/>
            <w:gridSpan w:val="3"/>
            <w:noWrap w:val="0"/>
            <w:vAlign w:val="center"/>
          </w:tcPr>
          <w:p w14:paraId="3F7B497C">
            <w:pPr>
              <w:jc w:val="center"/>
              <w:rPr>
                <w:rFonts w:hint="eastAsia" w:ascii="宋体" w:hAnsi="宋体"/>
                <w:color w:val="auto"/>
                <w:position w:val="-30"/>
                <w:sz w:val="22"/>
                <w:highlight w:val="none"/>
              </w:rPr>
            </w:pPr>
            <w:r>
              <w:rPr>
                <w:rFonts w:hint="eastAsia" w:ascii="宋体" w:hAnsi="宋体"/>
                <w:color w:val="auto"/>
                <w:position w:val="-30"/>
                <w:sz w:val="22"/>
                <w:highlight w:val="none"/>
              </w:rPr>
              <w:t>手机</w:t>
            </w:r>
          </w:p>
        </w:tc>
        <w:tc>
          <w:tcPr>
            <w:tcW w:w="2751" w:type="dxa"/>
            <w:gridSpan w:val="2"/>
            <w:noWrap w:val="0"/>
            <w:vAlign w:val="center"/>
          </w:tcPr>
          <w:p w14:paraId="6F84A306">
            <w:pPr>
              <w:jc w:val="center"/>
              <w:rPr>
                <w:rFonts w:hint="eastAsia" w:ascii="宋体" w:hAnsi="宋体"/>
                <w:color w:val="auto"/>
                <w:position w:val="-30"/>
                <w:sz w:val="22"/>
                <w:highlight w:val="none"/>
              </w:rPr>
            </w:pPr>
            <w:r>
              <w:rPr>
                <w:rFonts w:hint="eastAsia" w:ascii="宋体" w:hAnsi="宋体"/>
                <w:color w:val="auto"/>
                <w:position w:val="-30"/>
                <w:sz w:val="22"/>
                <w:highlight w:val="none"/>
              </w:rPr>
              <w:t>传真</w:t>
            </w:r>
          </w:p>
        </w:tc>
      </w:tr>
      <w:tr w14:paraId="45C5E5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26" w:type="dxa"/>
            <w:gridSpan w:val="2"/>
            <w:noWrap w:val="0"/>
            <w:vAlign w:val="center"/>
          </w:tcPr>
          <w:p w14:paraId="1D95548F">
            <w:pPr>
              <w:jc w:val="center"/>
              <w:rPr>
                <w:rFonts w:hint="eastAsia" w:ascii="宋体" w:hAnsi="宋体"/>
                <w:color w:val="auto"/>
                <w:position w:val="-30"/>
                <w:sz w:val="22"/>
                <w:highlight w:val="none"/>
              </w:rPr>
            </w:pPr>
          </w:p>
        </w:tc>
        <w:tc>
          <w:tcPr>
            <w:tcW w:w="2473" w:type="dxa"/>
            <w:gridSpan w:val="2"/>
            <w:noWrap w:val="0"/>
            <w:vAlign w:val="center"/>
          </w:tcPr>
          <w:p w14:paraId="19CBAECF">
            <w:pPr>
              <w:jc w:val="center"/>
              <w:rPr>
                <w:rFonts w:hint="eastAsia" w:ascii="宋体" w:hAnsi="宋体"/>
                <w:color w:val="auto"/>
                <w:position w:val="-30"/>
                <w:sz w:val="22"/>
                <w:highlight w:val="none"/>
              </w:rPr>
            </w:pPr>
          </w:p>
        </w:tc>
        <w:tc>
          <w:tcPr>
            <w:tcW w:w="2282" w:type="dxa"/>
            <w:gridSpan w:val="3"/>
            <w:noWrap w:val="0"/>
            <w:vAlign w:val="center"/>
          </w:tcPr>
          <w:p w14:paraId="775AA259">
            <w:pPr>
              <w:jc w:val="center"/>
              <w:rPr>
                <w:rFonts w:hint="eastAsia" w:ascii="宋体" w:hAnsi="宋体"/>
                <w:color w:val="auto"/>
                <w:position w:val="-30"/>
                <w:sz w:val="22"/>
                <w:highlight w:val="none"/>
              </w:rPr>
            </w:pPr>
          </w:p>
        </w:tc>
        <w:tc>
          <w:tcPr>
            <w:tcW w:w="2751" w:type="dxa"/>
            <w:gridSpan w:val="2"/>
            <w:noWrap w:val="0"/>
            <w:vAlign w:val="center"/>
          </w:tcPr>
          <w:p w14:paraId="531F04A7">
            <w:pPr>
              <w:jc w:val="center"/>
              <w:rPr>
                <w:rFonts w:hint="eastAsia" w:ascii="宋体" w:hAnsi="宋体"/>
                <w:color w:val="auto"/>
                <w:position w:val="-30"/>
                <w:sz w:val="22"/>
                <w:highlight w:val="none"/>
              </w:rPr>
            </w:pPr>
          </w:p>
        </w:tc>
      </w:tr>
      <w:tr w14:paraId="6DFE9E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26" w:type="dxa"/>
            <w:gridSpan w:val="2"/>
            <w:noWrap w:val="0"/>
            <w:vAlign w:val="center"/>
          </w:tcPr>
          <w:p w14:paraId="7E112143">
            <w:pPr>
              <w:rPr>
                <w:rFonts w:hint="eastAsia" w:ascii="宋体" w:hAnsi="宋体"/>
                <w:color w:val="auto"/>
                <w:position w:val="-30"/>
                <w:sz w:val="22"/>
                <w:highlight w:val="none"/>
              </w:rPr>
            </w:pPr>
          </w:p>
        </w:tc>
        <w:tc>
          <w:tcPr>
            <w:tcW w:w="2473" w:type="dxa"/>
            <w:gridSpan w:val="2"/>
            <w:noWrap w:val="0"/>
            <w:vAlign w:val="center"/>
          </w:tcPr>
          <w:p w14:paraId="1FCAB8C0">
            <w:pPr>
              <w:rPr>
                <w:rFonts w:hint="eastAsia" w:ascii="宋体" w:hAnsi="宋体"/>
                <w:color w:val="auto"/>
                <w:position w:val="-30"/>
                <w:sz w:val="22"/>
                <w:highlight w:val="none"/>
              </w:rPr>
            </w:pPr>
          </w:p>
        </w:tc>
        <w:tc>
          <w:tcPr>
            <w:tcW w:w="2282" w:type="dxa"/>
            <w:gridSpan w:val="3"/>
            <w:noWrap w:val="0"/>
            <w:vAlign w:val="center"/>
          </w:tcPr>
          <w:p w14:paraId="493F3372">
            <w:pPr>
              <w:rPr>
                <w:rFonts w:hint="eastAsia" w:ascii="宋体" w:hAnsi="宋体"/>
                <w:color w:val="auto"/>
                <w:position w:val="-30"/>
                <w:sz w:val="22"/>
                <w:highlight w:val="none"/>
              </w:rPr>
            </w:pPr>
          </w:p>
        </w:tc>
        <w:tc>
          <w:tcPr>
            <w:tcW w:w="2751" w:type="dxa"/>
            <w:gridSpan w:val="2"/>
            <w:noWrap w:val="0"/>
            <w:vAlign w:val="center"/>
          </w:tcPr>
          <w:p w14:paraId="7DA1D02C">
            <w:pPr>
              <w:rPr>
                <w:rFonts w:hint="eastAsia" w:ascii="宋体" w:hAnsi="宋体"/>
                <w:color w:val="auto"/>
                <w:position w:val="-30"/>
                <w:sz w:val="22"/>
                <w:highlight w:val="none"/>
              </w:rPr>
            </w:pPr>
          </w:p>
        </w:tc>
      </w:tr>
    </w:tbl>
    <w:p w14:paraId="4A99457E">
      <w:pPr>
        <w:snapToGrid w:val="0"/>
        <w:rPr>
          <w:rFonts w:hint="eastAsia" w:ascii="宋体" w:hAnsi="宋体"/>
          <w:color w:val="auto"/>
          <w:spacing w:val="-5"/>
          <w:szCs w:val="21"/>
          <w:highlight w:val="none"/>
        </w:rPr>
      </w:pPr>
    </w:p>
    <w:p w14:paraId="584D2C45">
      <w:pPr>
        <w:snapToGrid w:val="0"/>
        <w:spacing w:line="276" w:lineRule="auto"/>
        <w:rPr>
          <w:rFonts w:hint="eastAsia"/>
          <w:color w:val="auto"/>
          <w:highlight w:val="none"/>
        </w:rPr>
      </w:pPr>
    </w:p>
    <w:p w14:paraId="49402A73">
      <w:pPr>
        <w:rPr>
          <w:rFonts w:hint="eastAsia"/>
          <w:b/>
          <w:color w:val="auto"/>
          <w:sz w:val="28"/>
          <w:szCs w:val="28"/>
          <w:highlight w:val="none"/>
        </w:rPr>
      </w:pPr>
      <w:bookmarkStart w:id="540" w:name="_Toc2154385"/>
      <w:bookmarkStart w:id="541" w:name="_Toc536042818"/>
      <w:r>
        <w:rPr>
          <w:b/>
          <w:color w:val="auto"/>
          <w:sz w:val="28"/>
          <w:szCs w:val="28"/>
          <w:highlight w:val="none"/>
        </w:rPr>
        <w:br w:type="page"/>
      </w:r>
      <w:r>
        <w:rPr>
          <w:rFonts w:hint="eastAsia"/>
          <w:b/>
          <w:color w:val="auto"/>
          <w:sz w:val="28"/>
          <w:szCs w:val="28"/>
          <w:highlight w:val="none"/>
        </w:rPr>
        <w:t>（二）投标人认为需提供的其他材料。</w:t>
      </w:r>
      <w:bookmarkEnd w:id="540"/>
      <w:bookmarkEnd w:id="541"/>
    </w:p>
    <w:p w14:paraId="4E592894">
      <w:pPr>
        <w:rPr>
          <w:rFonts w:hint="eastAsia"/>
          <w:bCs/>
          <w:color w:val="auto"/>
          <w:sz w:val="28"/>
          <w:szCs w:val="28"/>
          <w:highlight w:val="none"/>
        </w:rPr>
      </w:pPr>
    </w:p>
    <w:p w14:paraId="445CF551">
      <w:pPr>
        <w:rPr>
          <w:color w:val="auto"/>
          <w:highlight w:val="none"/>
        </w:rPr>
      </w:pPr>
    </w:p>
    <w:p w14:paraId="77AABA14">
      <w:pPr>
        <w:rPr>
          <w:color w:val="auto"/>
          <w:highlight w:val="none"/>
        </w:rPr>
      </w:pPr>
    </w:p>
    <w:p w14:paraId="53C9599E">
      <w:pPr>
        <w:spacing w:before="20" w:line="415" w:lineRule="auto"/>
        <w:ind w:firstLine="137"/>
        <w:outlineLvl w:val="1"/>
        <w:rPr>
          <w:rFonts w:hint="eastAsia"/>
          <w:b/>
          <w:bCs/>
          <w:color w:val="auto"/>
          <w:sz w:val="28"/>
          <w:szCs w:val="28"/>
          <w:highlight w:val="none"/>
        </w:rPr>
      </w:pPr>
      <w:r>
        <w:rPr>
          <w:bCs/>
          <w:color w:val="auto"/>
          <w:sz w:val="32"/>
          <w:szCs w:val="32"/>
          <w:highlight w:val="none"/>
        </w:rPr>
        <w:br w:type="page"/>
      </w:r>
      <w:bookmarkStart w:id="542" w:name="_Toc3581"/>
      <w:r>
        <w:rPr>
          <w:rFonts w:hint="eastAsia"/>
          <w:b/>
          <w:bCs/>
          <w:color w:val="auto"/>
          <w:sz w:val="30"/>
          <w:szCs w:val="30"/>
          <w:highlight w:val="none"/>
        </w:rPr>
        <w:t>五</w:t>
      </w:r>
      <w:r>
        <w:rPr>
          <w:rFonts w:hint="eastAsia"/>
          <w:color w:val="auto"/>
          <w:sz w:val="30"/>
          <w:szCs w:val="30"/>
          <w:highlight w:val="none"/>
        </w:rPr>
        <w:t>、</w:t>
      </w:r>
      <w:r>
        <w:rPr>
          <w:rFonts w:hint="eastAsia"/>
          <w:b/>
          <w:bCs/>
          <w:color w:val="auto"/>
          <w:sz w:val="28"/>
          <w:szCs w:val="28"/>
          <w:highlight w:val="none"/>
        </w:rPr>
        <w:t>企业资信业绩证明资料</w:t>
      </w:r>
      <w:bookmarkEnd w:id="542"/>
    </w:p>
    <w:p w14:paraId="576275D0">
      <w:pPr>
        <w:spacing w:before="20" w:line="415" w:lineRule="auto"/>
        <w:rPr>
          <w:rFonts w:hint="eastAsia"/>
          <w:b/>
          <w:bCs/>
          <w:color w:val="auto"/>
          <w:sz w:val="28"/>
          <w:szCs w:val="28"/>
          <w:highlight w:val="none"/>
        </w:rPr>
      </w:pPr>
    </w:p>
    <w:p w14:paraId="7A008E5B">
      <w:pPr>
        <w:spacing w:before="20" w:line="415" w:lineRule="auto"/>
        <w:outlineLvl w:val="2"/>
        <w:rPr>
          <w:b/>
          <w:bCs/>
          <w:color w:val="auto"/>
          <w:sz w:val="28"/>
          <w:szCs w:val="28"/>
          <w:highlight w:val="none"/>
        </w:rPr>
      </w:pPr>
      <w:bookmarkStart w:id="543" w:name="_Toc10521"/>
      <w:r>
        <w:rPr>
          <w:b/>
          <w:bCs/>
          <w:color w:val="auto"/>
          <w:sz w:val="28"/>
          <w:szCs w:val="28"/>
          <w:highlight w:val="none"/>
        </w:rPr>
        <w:t>（</w:t>
      </w:r>
      <w:r>
        <w:rPr>
          <w:rFonts w:hint="eastAsia"/>
          <w:b/>
          <w:bCs/>
          <w:color w:val="auto"/>
          <w:sz w:val="28"/>
          <w:szCs w:val="28"/>
          <w:highlight w:val="none"/>
        </w:rPr>
        <w:t>一</w:t>
      </w:r>
      <w:r>
        <w:rPr>
          <w:b/>
          <w:bCs/>
          <w:color w:val="auto"/>
          <w:sz w:val="28"/>
          <w:szCs w:val="28"/>
          <w:highlight w:val="none"/>
        </w:rPr>
        <w:t>）近年</w:t>
      </w:r>
      <w:r>
        <w:rPr>
          <w:rFonts w:hint="eastAsia"/>
          <w:b/>
          <w:bCs/>
          <w:color w:val="auto"/>
          <w:sz w:val="28"/>
          <w:szCs w:val="28"/>
          <w:highlight w:val="none"/>
        </w:rPr>
        <w:t>承接</w:t>
      </w:r>
      <w:r>
        <w:rPr>
          <w:b/>
          <w:bCs/>
          <w:color w:val="auto"/>
          <w:sz w:val="28"/>
          <w:szCs w:val="28"/>
          <w:highlight w:val="none"/>
        </w:rPr>
        <w:t>的类似项目情况表（格式可自定）</w:t>
      </w:r>
      <w:bookmarkEnd w:id="543"/>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8"/>
        <w:gridCol w:w="7326"/>
      </w:tblGrid>
      <w:tr w14:paraId="1411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1" w:type="pct"/>
            <w:tcBorders>
              <w:top w:val="single" w:color="auto" w:sz="4" w:space="0"/>
              <w:left w:val="single" w:color="auto" w:sz="4" w:space="0"/>
              <w:bottom w:val="single" w:color="auto" w:sz="4" w:space="0"/>
              <w:right w:val="single" w:color="auto" w:sz="4" w:space="0"/>
            </w:tcBorders>
            <w:noWrap w:val="0"/>
            <w:vAlign w:val="center"/>
          </w:tcPr>
          <w:p w14:paraId="19A7CE87">
            <w:pPr>
              <w:topLinePunct/>
              <w:spacing w:line="440" w:lineRule="exact"/>
              <w:jc w:val="center"/>
              <w:rPr>
                <w:color w:val="auto"/>
                <w:highlight w:val="none"/>
              </w:rPr>
            </w:pPr>
            <w:r>
              <w:rPr>
                <w:color w:val="auto"/>
                <w:highlight w:val="none"/>
              </w:rPr>
              <w:t>项目名称</w:t>
            </w:r>
          </w:p>
        </w:tc>
        <w:tc>
          <w:tcPr>
            <w:tcW w:w="3669" w:type="pct"/>
            <w:tcBorders>
              <w:top w:val="single" w:color="auto" w:sz="4" w:space="0"/>
              <w:left w:val="single" w:color="auto" w:sz="4" w:space="0"/>
              <w:bottom w:val="single" w:color="auto" w:sz="4" w:space="0"/>
              <w:right w:val="single" w:color="auto" w:sz="4" w:space="0"/>
            </w:tcBorders>
            <w:noWrap w:val="0"/>
            <w:vAlign w:val="top"/>
          </w:tcPr>
          <w:p w14:paraId="124267BB">
            <w:pPr>
              <w:topLinePunct/>
              <w:spacing w:line="440" w:lineRule="exact"/>
              <w:rPr>
                <w:color w:val="auto"/>
                <w:highlight w:val="none"/>
              </w:rPr>
            </w:pPr>
          </w:p>
        </w:tc>
      </w:tr>
      <w:tr w14:paraId="17F7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1" w:type="pct"/>
            <w:tcBorders>
              <w:top w:val="single" w:color="auto" w:sz="4" w:space="0"/>
              <w:left w:val="single" w:color="auto" w:sz="4" w:space="0"/>
              <w:bottom w:val="single" w:color="auto" w:sz="4" w:space="0"/>
              <w:right w:val="single" w:color="auto" w:sz="4" w:space="0"/>
            </w:tcBorders>
            <w:noWrap w:val="0"/>
            <w:vAlign w:val="center"/>
          </w:tcPr>
          <w:p w14:paraId="59B3DE81">
            <w:pPr>
              <w:topLinePunct/>
              <w:spacing w:line="440" w:lineRule="exact"/>
              <w:jc w:val="center"/>
              <w:rPr>
                <w:color w:val="auto"/>
                <w:highlight w:val="none"/>
              </w:rPr>
            </w:pPr>
            <w:r>
              <w:rPr>
                <w:color w:val="auto"/>
                <w:highlight w:val="none"/>
              </w:rPr>
              <w:t>项目所在地</w:t>
            </w:r>
          </w:p>
        </w:tc>
        <w:tc>
          <w:tcPr>
            <w:tcW w:w="3669" w:type="pct"/>
            <w:tcBorders>
              <w:top w:val="single" w:color="auto" w:sz="4" w:space="0"/>
              <w:left w:val="single" w:color="auto" w:sz="4" w:space="0"/>
              <w:bottom w:val="single" w:color="auto" w:sz="4" w:space="0"/>
              <w:right w:val="single" w:color="auto" w:sz="4" w:space="0"/>
            </w:tcBorders>
            <w:noWrap w:val="0"/>
            <w:vAlign w:val="top"/>
          </w:tcPr>
          <w:p w14:paraId="6CF89872">
            <w:pPr>
              <w:topLinePunct/>
              <w:spacing w:line="440" w:lineRule="exact"/>
              <w:rPr>
                <w:color w:val="auto"/>
                <w:highlight w:val="none"/>
              </w:rPr>
            </w:pPr>
          </w:p>
        </w:tc>
      </w:tr>
      <w:tr w14:paraId="0339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1" w:type="pct"/>
            <w:tcBorders>
              <w:top w:val="single" w:color="auto" w:sz="4" w:space="0"/>
              <w:left w:val="single" w:color="auto" w:sz="4" w:space="0"/>
              <w:bottom w:val="single" w:color="auto" w:sz="4" w:space="0"/>
              <w:right w:val="single" w:color="auto" w:sz="4" w:space="0"/>
            </w:tcBorders>
            <w:noWrap w:val="0"/>
            <w:vAlign w:val="center"/>
          </w:tcPr>
          <w:p w14:paraId="23422A51">
            <w:pPr>
              <w:topLinePunct/>
              <w:spacing w:line="440" w:lineRule="exact"/>
              <w:jc w:val="center"/>
              <w:rPr>
                <w:color w:val="auto"/>
                <w:highlight w:val="none"/>
              </w:rPr>
            </w:pPr>
            <w:r>
              <w:rPr>
                <w:color w:val="auto"/>
                <w:highlight w:val="none"/>
              </w:rPr>
              <w:t>委托人名称</w:t>
            </w:r>
          </w:p>
        </w:tc>
        <w:tc>
          <w:tcPr>
            <w:tcW w:w="3669" w:type="pct"/>
            <w:tcBorders>
              <w:top w:val="single" w:color="auto" w:sz="4" w:space="0"/>
              <w:left w:val="single" w:color="auto" w:sz="4" w:space="0"/>
              <w:bottom w:val="single" w:color="auto" w:sz="4" w:space="0"/>
              <w:right w:val="single" w:color="auto" w:sz="4" w:space="0"/>
            </w:tcBorders>
            <w:noWrap w:val="0"/>
            <w:vAlign w:val="top"/>
          </w:tcPr>
          <w:p w14:paraId="75F842EC">
            <w:pPr>
              <w:topLinePunct/>
              <w:spacing w:line="440" w:lineRule="exact"/>
              <w:rPr>
                <w:color w:val="auto"/>
                <w:highlight w:val="none"/>
              </w:rPr>
            </w:pPr>
          </w:p>
        </w:tc>
      </w:tr>
      <w:tr w14:paraId="015E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1" w:type="pct"/>
            <w:tcBorders>
              <w:top w:val="single" w:color="auto" w:sz="4" w:space="0"/>
              <w:left w:val="single" w:color="auto" w:sz="4" w:space="0"/>
              <w:bottom w:val="single" w:color="auto" w:sz="4" w:space="0"/>
              <w:right w:val="single" w:color="auto" w:sz="4" w:space="0"/>
            </w:tcBorders>
            <w:noWrap w:val="0"/>
            <w:vAlign w:val="center"/>
          </w:tcPr>
          <w:p w14:paraId="2293543F">
            <w:pPr>
              <w:topLinePunct/>
              <w:spacing w:line="440" w:lineRule="exact"/>
              <w:jc w:val="center"/>
              <w:rPr>
                <w:color w:val="auto"/>
                <w:highlight w:val="none"/>
              </w:rPr>
            </w:pPr>
            <w:r>
              <w:rPr>
                <w:color w:val="auto"/>
                <w:highlight w:val="none"/>
              </w:rPr>
              <w:t>委托人地址</w:t>
            </w:r>
          </w:p>
        </w:tc>
        <w:tc>
          <w:tcPr>
            <w:tcW w:w="3669" w:type="pct"/>
            <w:tcBorders>
              <w:top w:val="single" w:color="auto" w:sz="4" w:space="0"/>
              <w:left w:val="single" w:color="auto" w:sz="4" w:space="0"/>
              <w:bottom w:val="single" w:color="auto" w:sz="4" w:space="0"/>
              <w:right w:val="single" w:color="auto" w:sz="4" w:space="0"/>
            </w:tcBorders>
            <w:noWrap w:val="0"/>
            <w:vAlign w:val="top"/>
          </w:tcPr>
          <w:p w14:paraId="0068442A">
            <w:pPr>
              <w:topLinePunct/>
              <w:spacing w:line="440" w:lineRule="exact"/>
              <w:rPr>
                <w:color w:val="auto"/>
                <w:highlight w:val="none"/>
              </w:rPr>
            </w:pPr>
          </w:p>
        </w:tc>
      </w:tr>
      <w:tr w14:paraId="6D37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1" w:type="pct"/>
            <w:tcBorders>
              <w:top w:val="single" w:color="auto" w:sz="4" w:space="0"/>
              <w:left w:val="single" w:color="auto" w:sz="4" w:space="0"/>
              <w:bottom w:val="single" w:color="auto" w:sz="4" w:space="0"/>
              <w:right w:val="single" w:color="auto" w:sz="4" w:space="0"/>
            </w:tcBorders>
            <w:noWrap w:val="0"/>
            <w:vAlign w:val="center"/>
          </w:tcPr>
          <w:p w14:paraId="52959F35">
            <w:pPr>
              <w:topLinePunct/>
              <w:spacing w:line="440" w:lineRule="exact"/>
              <w:jc w:val="center"/>
              <w:rPr>
                <w:color w:val="auto"/>
                <w:highlight w:val="none"/>
              </w:rPr>
            </w:pPr>
            <w:r>
              <w:rPr>
                <w:color w:val="auto"/>
                <w:highlight w:val="none"/>
              </w:rPr>
              <w:t>委托人电话</w:t>
            </w:r>
          </w:p>
        </w:tc>
        <w:tc>
          <w:tcPr>
            <w:tcW w:w="3669" w:type="pct"/>
            <w:tcBorders>
              <w:top w:val="single" w:color="auto" w:sz="4" w:space="0"/>
              <w:left w:val="single" w:color="auto" w:sz="4" w:space="0"/>
              <w:bottom w:val="single" w:color="auto" w:sz="4" w:space="0"/>
              <w:right w:val="single" w:color="auto" w:sz="4" w:space="0"/>
            </w:tcBorders>
            <w:noWrap w:val="0"/>
            <w:vAlign w:val="top"/>
          </w:tcPr>
          <w:p w14:paraId="101BD031">
            <w:pPr>
              <w:topLinePunct/>
              <w:spacing w:line="440" w:lineRule="exact"/>
              <w:rPr>
                <w:color w:val="auto"/>
                <w:highlight w:val="none"/>
              </w:rPr>
            </w:pPr>
          </w:p>
        </w:tc>
      </w:tr>
      <w:tr w14:paraId="75E9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1" w:type="pct"/>
            <w:tcBorders>
              <w:top w:val="single" w:color="auto" w:sz="4" w:space="0"/>
              <w:left w:val="single" w:color="auto" w:sz="4" w:space="0"/>
              <w:bottom w:val="single" w:color="auto" w:sz="4" w:space="0"/>
              <w:right w:val="single" w:color="auto" w:sz="4" w:space="0"/>
            </w:tcBorders>
            <w:noWrap w:val="0"/>
            <w:vAlign w:val="center"/>
          </w:tcPr>
          <w:p w14:paraId="3CE43DC5">
            <w:pPr>
              <w:topLinePunct/>
              <w:spacing w:line="440" w:lineRule="exact"/>
              <w:jc w:val="center"/>
              <w:rPr>
                <w:color w:val="auto"/>
                <w:highlight w:val="none"/>
              </w:rPr>
            </w:pPr>
            <w:r>
              <w:rPr>
                <w:color w:val="auto"/>
                <w:highlight w:val="none"/>
              </w:rPr>
              <w:t>合同价格</w:t>
            </w:r>
          </w:p>
        </w:tc>
        <w:tc>
          <w:tcPr>
            <w:tcW w:w="3669" w:type="pct"/>
            <w:tcBorders>
              <w:top w:val="single" w:color="auto" w:sz="4" w:space="0"/>
              <w:left w:val="single" w:color="auto" w:sz="4" w:space="0"/>
              <w:bottom w:val="single" w:color="auto" w:sz="4" w:space="0"/>
              <w:right w:val="single" w:color="auto" w:sz="4" w:space="0"/>
            </w:tcBorders>
            <w:noWrap w:val="0"/>
            <w:vAlign w:val="top"/>
          </w:tcPr>
          <w:p w14:paraId="51DEB895">
            <w:pPr>
              <w:topLinePunct/>
              <w:spacing w:line="440" w:lineRule="exact"/>
              <w:rPr>
                <w:color w:val="auto"/>
                <w:highlight w:val="none"/>
              </w:rPr>
            </w:pPr>
          </w:p>
        </w:tc>
      </w:tr>
      <w:tr w14:paraId="2C34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1" w:type="pct"/>
            <w:tcBorders>
              <w:top w:val="single" w:color="auto" w:sz="4" w:space="0"/>
              <w:left w:val="single" w:color="auto" w:sz="4" w:space="0"/>
              <w:bottom w:val="single" w:color="auto" w:sz="4" w:space="0"/>
              <w:right w:val="single" w:color="auto" w:sz="4" w:space="0"/>
            </w:tcBorders>
            <w:noWrap w:val="0"/>
            <w:vAlign w:val="center"/>
          </w:tcPr>
          <w:p w14:paraId="21E974D4">
            <w:pPr>
              <w:topLinePunct/>
              <w:spacing w:line="440" w:lineRule="exact"/>
              <w:jc w:val="center"/>
              <w:rPr>
                <w:color w:val="auto"/>
                <w:highlight w:val="none"/>
              </w:rPr>
            </w:pPr>
            <w:r>
              <w:rPr>
                <w:color w:val="auto"/>
                <w:highlight w:val="none"/>
              </w:rPr>
              <w:t>服务期限</w:t>
            </w:r>
          </w:p>
        </w:tc>
        <w:tc>
          <w:tcPr>
            <w:tcW w:w="3669" w:type="pct"/>
            <w:tcBorders>
              <w:top w:val="single" w:color="auto" w:sz="4" w:space="0"/>
              <w:left w:val="single" w:color="auto" w:sz="4" w:space="0"/>
              <w:bottom w:val="single" w:color="auto" w:sz="4" w:space="0"/>
              <w:right w:val="single" w:color="auto" w:sz="4" w:space="0"/>
            </w:tcBorders>
            <w:noWrap w:val="0"/>
            <w:vAlign w:val="top"/>
          </w:tcPr>
          <w:p w14:paraId="146B9F77">
            <w:pPr>
              <w:topLinePunct/>
              <w:spacing w:line="440" w:lineRule="exact"/>
              <w:rPr>
                <w:color w:val="auto"/>
                <w:highlight w:val="none"/>
              </w:rPr>
            </w:pPr>
          </w:p>
        </w:tc>
      </w:tr>
      <w:tr w14:paraId="0AFC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jc w:val="center"/>
        </w:trPr>
        <w:tc>
          <w:tcPr>
            <w:tcW w:w="1331" w:type="pct"/>
            <w:tcBorders>
              <w:top w:val="single" w:color="auto" w:sz="4" w:space="0"/>
              <w:left w:val="single" w:color="auto" w:sz="4" w:space="0"/>
              <w:bottom w:val="single" w:color="auto" w:sz="4" w:space="0"/>
              <w:right w:val="single" w:color="auto" w:sz="4" w:space="0"/>
            </w:tcBorders>
            <w:noWrap w:val="0"/>
            <w:vAlign w:val="center"/>
          </w:tcPr>
          <w:p w14:paraId="7649B480">
            <w:pPr>
              <w:topLinePunct/>
              <w:spacing w:line="440" w:lineRule="exact"/>
              <w:jc w:val="center"/>
              <w:rPr>
                <w:color w:val="auto"/>
                <w:highlight w:val="none"/>
              </w:rPr>
            </w:pPr>
            <w:r>
              <w:rPr>
                <w:rFonts w:hint="eastAsia"/>
                <w:color w:val="auto"/>
                <w:highlight w:val="none"/>
              </w:rPr>
              <w:t>工作</w:t>
            </w:r>
            <w:r>
              <w:rPr>
                <w:color w:val="auto"/>
                <w:highlight w:val="none"/>
              </w:rPr>
              <w:t>内容</w:t>
            </w:r>
          </w:p>
        </w:tc>
        <w:tc>
          <w:tcPr>
            <w:tcW w:w="3669" w:type="pct"/>
            <w:tcBorders>
              <w:top w:val="single" w:color="auto" w:sz="4" w:space="0"/>
              <w:left w:val="single" w:color="auto" w:sz="4" w:space="0"/>
              <w:bottom w:val="single" w:color="auto" w:sz="4" w:space="0"/>
              <w:right w:val="single" w:color="auto" w:sz="4" w:space="0"/>
            </w:tcBorders>
            <w:noWrap w:val="0"/>
            <w:vAlign w:val="top"/>
          </w:tcPr>
          <w:p w14:paraId="11815D9C">
            <w:pPr>
              <w:topLinePunct/>
              <w:spacing w:line="440" w:lineRule="exact"/>
              <w:rPr>
                <w:color w:val="auto"/>
                <w:highlight w:val="none"/>
              </w:rPr>
            </w:pPr>
          </w:p>
        </w:tc>
      </w:tr>
      <w:tr w14:paraId="393A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1" w:type="pct"/>
            <w:tcBorders>
              <w:top w:val="single" w:color="auto" w:sz="4" w:space="0"/>
              <w:left w:val="single" w:color="auto" w:sz="4" w:space="0"/>
              <w:bottom w:val="single" w:color="auto" w:sz="4" w:space="0"/>
              <w:right w:val="single" w:color="auto" w:sz="4" w:space="0"/>
            </w:tcBorders>
            <w:noWrap w:val="0"/>
            <w:vAlign w:val="center"/>
          </w:tcPr>
          <w:p w14:paraId="69B43015">
            <w:pPr>
              <w:topLinePunct/>
              <w:spacing w:line="440" w:lineRule="exact"/>
              <w:jc w:val="center"/>
              <w:rPr>
                <w:color w:val="auto"/>
                <w:highlight w:val="none"/>
              </w:rPr>
            </w:pPr>
            <w:r>
              <w:rPr>
                <w:rFonts w:hint="eastAsia"/>
                <w:color w:val="auto"/>
                <w:highlight w:val="none"/>
              </w:rPr>
              <w:t>项目负责人</w:t>
            </w:r>
          </w:p>
        </w:tc>
        <w:tc>
          <w:tcPr>
            <w:tcW w:w="3669" w:type="pct"/>
            <w:tcBorders>
              <w:top w:val="single" w:color="auto" w:sz="4" w:space="0"/>
              <w:left w:val="single" w:color="auto" w:sz="4" w:space="0"/>
              <w:bottom w:val="single" w:color="auto" w:sz="4" w:space="0"/>
              <w:right w:val="single" w:color="auto" w:sz="4" w:space="0"/>
            </w:tcBorders>
            <w:noWrap w:val="0"/>
            <w:vAlign w:val="top"/>
          </w:tcPr>
          <w:p w14:paraId="38B3B8DA">
            <w:pPr>
              <w:topLinePunct/>
              <w:spacing w:line="440" w:lineRule="exact"/>
              <w:rPr>
                <w:color w:val="auto"/>
                <w:highlight w:val="none"/>
              </w:rPr>
            </w:pPr>
          </w:p>
        </w:tc>
      </w:tr>
      <w:tr w14:paraId="2FC1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1" w:type="pct"/>
            <w:tcBorders>
              <w:top w:val="single" w:color="auto" w:sz="4" w:space="0"/>
              <w:left w:val="single" w:color="auto" w:sz="4" w:space="0"/>
              <w:bottom w:val="single" w:color="auto" w:sz="4" w:space="0"/>
              <w:right w:val="single" w:color="auto" w:sz="4" w:space="0"/>
            </w:tcBorders>
            <w:noWrap w:val="0"/>
            <w:vAlign w:val="center"/>
          </w:tcPr>
          <w:p w14:paraId="0C92C31E">
            <w:pPr>
              <w:topLinePunct/>
              <w:spacing w:line="440" w:lineRule="exact"/>
              <w:jc w:val="center"/>
              <w:rPr>
                <w:color w:val="auto"/>
                <w:highlight w:val="none"/>
              </w:rPr>
            </w:pPr>
            <w:r>
              <w:rPr>
                <w:color w:val="auto"/>
                <w:highlight w:val="none"/>
              </w:rPr>
              <w:t>项目描述</w:t>
            </w:r>
          </w:p>
        </w:tc>
        <w:tc>
          <w:tcPr>
            <w:tcW w:w="3669" w:type="pct"/>
            <w:tcBorders>
              <w:top w:val="single" w:color="auto" w:sz="4" w:space="0"/>
              <w:left w:val="single" w:color="auto" w:sz="4" w:space="0"/>
              <w:bottom w:val="single" w:color="auto" w:sz="4" w:space="0"/>
              <w:right w:val="single" w:color="auto" w:sz="4" w:space="0"/>
            </w:tcBorders>
            <w:noWrap w:val="0"/>
            <w:vAlign w:val="top"/>
          </w:tcPr>
          <w:p w14:paraId="17B4EEBE">
            <w:pPr>
              <w:topLinePunct/>
              <w:spacing w:line="440" w:lineRule="exact"/>
              <w:rPr>
                <w:color w:val="auto"/>
                <w:highlight w:val="none"/>
              </w:rPr>
            </w:pPr>
          </w:p>
          <w:p w14:paraId="49854618">
            <w:pPr>
              <w:topLinePunct/>
              <w:spacing w:line="440" w:lineRule="exact"/>
              <w:rPr>
                <w:color w:val="auto"/>
                <w:highlight w:val="none"/>
              </w:rPr>
            </w:pPr>
          </w:p>
        </w:tc>
      </w:tr>
      <w:tr w14:paraId="4E34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1" w:type="pct"/>
            <w:tcBorders>
              <w:top w:val="single" w:color="auto" w:sz="4" w:space="0"/>
              <w:left w:val="single" w:color="auto" w:sz="4" w:space="0"/>
              <w:bottom w:val="single" w:color="auto" w:sz="4" w:space="0"/>
              <w:right w:val="single" w:color="auto" w:sz="4" w:space="0"/>
            </w:tcBorders>
            <w:noWrap w:val="0"/>
            <w:vAlign w:val="center"/>
          </w:tcPr>
          <w:p w14:paraId="591718C3">
            <w:pPr>
              <w:topLinePunct/>
              <w:spacing w:line="440" w:lineRule="exact"/>
              <w:jc w:val="center"/>
              <w:rPr>
                <w:color w:val="auto"/>
                <w:highlight w:val="none"/>
              </w:rPr>
            </w:pPr>
            <w:r>
              <w:rPr>
                <w:color w:val="auto"/>
                <w:highlight w:val="none"/>
              </w:rPr>
              <w:t>备注</w:t>
            </w:r>
          </w:p>
        </w:tc>
        <w:tc>
          <w:tcPr>
            <w:tcW w:w="3669" w:type="pct"/>
            <w:tcBorders>
              <w:top w:val="single" w:color="auto" w:sz="4" w:space="0"/>
              <w:left w:val="single" w:color="auto" w:sz="4" w:space="0"/>
              <w:bottom w:val="single" w:color="auto" w:sz="4" w:space="0"/>
              <w:right w:val="single" w:color="auto" w:sz="4" w:space="0"/>
            </w:tcBorders>
            <w:noWrap w:val="0"/>
            <w:vAlign w:val="top"/>
          </w:tcPr>
          <w:p w14:paraId="216C57BD">
            <w:pPr>
              <w:topLinePunct/>
              <w:spacing w:line="440" w:lineRule="exact"/>
              <w:rPr>
                <w:color w:val="auto"/>
                <w:highlight w:val="none"/>
              </w:rPr>
            </w:pPr>
          </w:p>
        </w:tc>
      </w:tr>
    </w:tbl>
    <w:p w14:paraId="43858D8F">
      <w:pPr>
        <w:spacing w:line="440" w:lineRule="exact"/>
        <w:rPr>
          <w:color w:val="auto"/>
          <w:highlight w:val="none"/>
        </w:rPr>
      </w:pPr>
      <w:r>
        <w:rPr>
          <w:color w:val="auto"/>
          <w:sz w:val="24"/>
          <w:highlight w:val="none"/>
        </w:rPr>
        <w:t>注：</w:t>
      </w:r>
      <w:r>
        <w:rPr>
          <w:rFonts w:hint="eastAsia"/>
          <w:color w:val="auto"/>
          <w:sz w:val="24"/>
          <w:highlight w:val="none"/>
        </w:rPr>
        <w:t>投标人可根据评标办法前附表的要求在本表后附相关证明材料。</w:t>
      </w:r>
      <w:r>
        <w:rPr>
          <w:color w:val="auto"/>
          <w:highlight w:val="none"/>
        </w:rPr>
        <w:t xml:space="preserve"> </w:t>
      </w:r>
    </w:p>
    <w:p w14:paraId="212A1A15">
      <w:pPr>
        <w:spacing w:line="440" w:lineRule="exact"/>
        <w:rPr>
          <w:color w:val="auto"/>
          <w:highlight w:val="none"/>
        </w:rPr>
      </w:pPr>
    </w:p>
    <w:p w14:paraId="421CF2B0">
      <w:pPr>
        <w:spacing w:before="20" w:line="415" w:lineRule="auto"/>
        <w:ind w:firstLine="137"/>
        <w:outlineLvl w:val="2"/>
        <w:rPr>
          <w:rFonts w:hint="eastAsia"/>
          <w:b/>
          <w:bCs/>
          <w:color w:val="auto"/>
          <w:sz w:val="28"/>
          <w:szCs w:val="28"/>
          <w:highlight w:val="none"/>
        </w:rPr>
      </w:pPr>
      <w:r>
        <w:rPr>
          <w:b/>
          <w:bCs/>
          <w:color w:val="auto"/>
          <w:sz w:val="32"/>
          <w:szCs w:val="32"/>
          <w:highlight w:val="none"/>
        </w:rPr>
        <w:br w:type="page"/>
      </w:r>
      <w:bookmarkStart w:id="544" w:name="_Toc22382"/>
      <w:r>
        <w:rPr>
          <w:b/>
          <w:bCs/>
          <w:color w:val="auto"/>
          <w:sz w:val="28"/>
          <w:szCs w:val="28"/>
          <w:highlight w:val="none"/>
        </w:rPr>
        <w:t>（</w:t>
      </w:r>
      <w:r>
        <w:rPr>
          <w:rFonts w:hint="eastAsia"/>
          <w:b/>
          <w:bCs/>
          <w:color w:val="auto"/>
          <w:sz w:val="28"/>
          <w:szCs w:val="28"/>
          <w:highlight w:val="none"/>
        </w:rPr>
        <w:t>二</w:t>
      </w:r>
      <w:r>
        <w:rPr>
          <w:b/>
          <w:bCs/>
          <w:color w:val="auto"/>
          <w:sz w:val="28"/>
          <w:szCs w:val="28"/>
          <w:highlight w:val="none"/>
        </w:rPr>
        <w:t>）</w:t>
      </w:r>
      <w:r>
        <w:rPr>
          <w:rFonts w:hint="eastAsia"/>
          <w:b/>
          <w:bCs/>
          <w:color w:val="auto"/>
          <w:sz w:val="28"/>
          <w:szCs w:val="28"/>
          <w:highlight w:val="none"/>
        </w:rPr>
        <w:t>拟投入本项目的监测监控人员一览表</w:t>
      </w:r>
      <w:r>
        <w:rPr>
          <w:b/>
          <w:bCs/>
          <w:color w:val="auto"/>
          <w:sz w:val="28"/>
          <w:szCs w:val="28"/>
          <w:highlight w:val="none"/>
        </w:rPr>
        <w:t>（格式可自定）</w:t>
      </w:r>
      <w:bookmarkEnd w:id="544"/>
    </w:p>
    <w:tbl>
      <w:tblPr>
        <w:tblStyle w:val="25"/>
        <w:tblW w:w="44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330"/>
        <w:gridCol w:w="843"/>
        <w:gridCol w:w="740"/>
        <w:gridCol w:w="853"/>
        <w:gridCol w:w="809"/>
        <w:gridCol w:w="751"/>
        <w:gridCol w:w="869"/>
        <w:gridCol w:w="1161"/>
        <w:gridCol w:w="724"/>
      </w:tblGrid>
      <w:tr w14:paraId="27A9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421" w:type="pct"/>
            <w:noWrap w:val="0"/>
            <w:vAlign w:val="center"/>
          </w:tcPr>
          <w:p w14:paraId="7ED00E6B">
            <w:pPr>
              <w:jc w:val="center"/>
              <w:rPr>
                <w:color w:val="auto"/>
                <w:highlight w:val="none"/>
              </w:rPr>
            </w:pPr>
            <w:r>
              <w:rPr>
                <w:color w:val="auto"/>
                <w:highlight w:val="none"/>
              </w:rPr>
              <w:t>序号</w:t>
            </w:r>
          </w:p>
        </w:tc>
        <w:tc>
          <w:tcPr>
            <w:tcW w:w="753" w:type="pct"/>
            <w:noWrap w:val="0"/>
            <w:vAlign w:val="center"/>
          </w:tcPr>
          <w:p w14:paraId="3F730A07">
            <w:pPr>
              <w:jc w:val="center"/>
              <w:rPr>
                <w:color w:val="auto"/>
                <w:highlight w:val="none"/>
              </w:rPr>
            </w:pPr>
            <w:r>
              <w:rPr>
                <w:color w:val="auto"/>
                <w:highlight w:val="none"/>
              </w:rPr>
              <w:t>本项目任职</w:t>
            </w:r>
          </w:p>
        </w:tc>
        <w:tc>
          <w:tcPr>
            <w:tcW w:w="477" w:type="pct"/>
            <w:noWrap w:val="0"/>
            <w:vAlign w:val="center"/>
          </w:tcPr>
          <w:p w14:paraId="1392C65A">
            <w:pPr>
              <w:jc w:val="center"/>
              <w:rPr>
                <w:color w:val="auto"/>
                <w:highlight w:val="none"/>
              </w:rPr>
            </w:pPr>
            <w:r>
              <w:rPr>
                <w:color w:val="auto"/>
                <w:highlight w:val="none"/>
              </w:rPr>
              <w:t>姓名</w:t>
            </w:r>
          </w:p>
        </w:tc>
        <w:tc>
          <w:tcPr>
            <w:tcW w:w="419" w:type="pct"/>
            <w:noWrap w:val="0"/>
            <w:vAlign w:val="center"/>
          </w:tcPr>
          <w:p w14:paraId="2A1003A3">
            <w:pPr>
              <w:jc w:val="center"/>
              <w:rPr>
                <w:rFonts w:hint="eastAsia"/>
                <w:color w:val="auto"/>
                <w:highlight w:val="none"/>
              </w:rPr>
            </w:pPr>
            <w:r>
              <w:rPr>
                <w:rFonts w:hint="eastAsia"/>
                <w:color w:val="auto"/>
                <w:highlight w:val="none"/>
              </w:rPr>
              <w:t>年龄</w:t>
            </w:r>
          </w:p>
        </w:tc>
        <w:tc>
          <w:tcPr>
            <w:tcW w:w="483" w:type="pct"/>
            <w:noWrap w:val="0"/>
            <w:vAlign w:val="center"/>
          </w:tcPr>
          <w:p w14:paraId="77B87992">
            <w:pPr>
              <w:jc w:val="center"/>
              <w:rPr>
                <w:color w:val="auto"/>
                <w:highlight w:val="none"/>
              </w:rPr>
            </w:pPr>
            <w:r>
              <w:rPr>
                <w:rFonts w:hint="eastAsia"/>
                <w:color w:val="auto"/>
                <w:highlight w:val="none"/>
              </w:rPr>
              <w:t>学历</w:t>
            </w:r>
          </w:p>
        </w:tc>
        <w:tc>
          <w:tcPr>
            <w:tcW w:w="458" w:type="pct"/>
            <w:noWrap w:val="0"/>
            <w:vAlign w:val="center"/>
          </w:tcPr>
          <w:p w14:paraId="5A26E549">
            <w:pPr>
              <w:jc w:val="center"/>
              <w:rPr>
                <w:color w:val="auto"/>
                <w:highlight w:val="none"/>
              </w:rPr>
            </w:pPr>
            <w:r>
              <w:rPr>
                <w:rFonts w:hint="eastAsia"/>
                <w:color w:val="auto"/>
                <w:highlight w:val="none"/>
              </w:rPr>
              <w:t>专业</w:t>
            </w:r>
          </w:p>
        </w:tc>
        <w:tc>
          <w:tcPr>
            <w:tcW w:w="425" w:type="pct"/>
            <w:noWrap w:val="0"/>
            <w:vAlign w:val="center"/>
          </w:tcPr>
          <w:p w14:paraId="1359EE81">
            <w:pPr>
              <w:jc w:val="center"/>
              <w:rPr>
                <w:color w:val="auto"/>
                <w:highlight w:val="none"/>
              </w:rPr>
            </w:pPr>
            <w:r>
              <w:rPr>
                <w:rFonts w:hint="eastAsia"/>
                <w:color w:val="auto"/>
                <w:highlight w:val="none"/>
              </w:rPr>
              <w:t>职称</w:t>
            </w:r>
          </w:p>
        </w:tc>
        <w:tc>
          <w:tcPr>
            <w:tcW w:w="492" w:type="pct"/>
            <w:noWrap w:val="0"/>
            <w:vAlign w:val="center"/>
          </w:tcPr>
          <w:p w14:paraId="01B49E30">
            <w:pPr>
              <w:jc w:val="center"/>
              <w:rPr>
                <w:color w:val="auto"/>
                <w:szCs w:val="21"/>
                <w:highlight w:val="none"/>
              </w:rPr>
            </w:pPr>
            <w:r>
              <w:rPr>
                <w:rFonts w:hint="eastAsia" w:ascii="宋体" w:hAnsi="宋体"/>
                <w:color w:val="auto"/>
                <w:szCs w:val="21"/>
                <w:highlight w:val="none"/>
              </w:rPr>
              <w:t>上岗证</w:t>
            </w:r>
          </w:p>
        </w:tc>
        <w:tc>
          <w:tcPr>
            <w:tcW w:w="657" w:type="pct"/>
            <w:noWrap w:val="0"/>
            <w:vAlign w:val="center"/>
          </w:tcPr>
          <w:p w14:paraId="4DD5C631">
            <w:pPr>
              <w:jc w:val="center"/>
              <w:rPr>
                <w:rFonts w:ascii="宋体" w:hAnsi="宋体"/>
                <w:color w:val="auto"/>
                <w:szCs w:val="21"/>
                <w:highlight w:val="none"/>
              </w:rPr>
            </w:pPr>
            <w:r>
              <w:rPr>
                <w:rFonts w:hint="eastAsia" w:ascii="宋体" w:hAnsi="宋体"/>
                <w:color w:val="auto"/>
                <w:szCs w:val="21"/>
                <w:highlight w:val="none"/>
              </w:rPr>
              <w:t>从事</w:t>
            </w:r>
            <w:r>
              <w:rPr>
                <w:rFonts w:hint="eastAsia" w:ascii="宋体" w:hAnsi="宋体"/>
                <w:color w:val="auto"/>
                <w:szCs w:val="21"/>
                <w:highlight w:val="none"/>
                <w:lang w:val="en-US" w:eastAsia="zh-CN"/>
              </w:rPr>
              <w:t>监测/监控</w:t>
            </w:r>
            <w:r>
              <w:rPr>
                <w:rFonts w:hint="eastAsia" w:ascii="宋体" w:hAnsi="宋体"/>
                <w:color w:val="auto"/>
                <w:szCs w:val="21"/>
                <w:highlight w:val="none"/>
              </w:rPr>
              <w:t>工作年限</w:t>
            </w:r>
          </w:p>
        </w:tc>
        <w:tc>
          <w:tcPr>
            <w:tcW w:w="410" w:type="pct"/>
            <w:noWrap w:val="0"/>
            <w:vAlign w:val="center"/>
          </w:tcPr>
          <w:p w14:paraId="498D29B2">
            <w:pPr>
              <w:jc w:val="center"/>
              <w:rPr>
                <w:color w:val="auto"/>
                <w:highlight w:val="none"/>
              </w:rPr>
            </w:pPr>
            <w:r>
              <w:rPr>
                <w:color w:val="auto"/>
                <w:highlight w:val="none"/>
              </w:rPr>
              <w:t>备注</w:t>
            </w:r>
          </w:p>
        </w:tc>
      </w:tr>
      <w:tr w14:paraId="706B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center"/>
          </w:tcPr>
          <w:p w14:paraId="00087A56">
            <w:pPr>
              <w:spacing w:line="440" w:lineRule="exact"/>
              <w:jc w:val="center"/>
              <w:rPr>
                <w:color w:val="auto"/>
                <w:highlight w:val="none"/>
              </w:rPr>
            </w:pPr>
          </w:p>
        </w:tc>
        <w:tc>
          <w:tcPr>
            <w:tcW w:w="753" w:type="pct"/>
            <w:noWrap w:val="0"/>
            <w:vAlign w:val="top"/>
          </w:tcPr>
          <w:p w14:paraId="5246D490">
            <w:pPr>
              <w:spacing w:line="440" w:lineRule="exact"/>
              <w:jc w:val="center"/>
              <w:rPr>
                <w:color w:val="auto"/>
                <w:highlight w:val="none"/>
              </w:rPr>
            </w:pPr>
          </w:p>
        </w:tc>
        <w:tc>
          <w:tcPr>
            <w:tcW w:w="477" w:type="pct"/>
            <w:noWrap w:val="0"/>
            <w:vAlign w:val="center"/>
          </w:tcPr>
          <w:p w14:paraId="791A8217">
            <w:pPr>
              <w:spacing w:line="440" w:lineRule="exact"/>
              <w:jc w:val="center"/>
              <w:rPr>
                <w:color w:val="auto"/>
                <w:highlight w:val="none"/>
              </w:rPr>
            </w:pPr>
          </w:p>
        </w:tc>
        <w:tc>
          <w:tcPr>
            <w:tcW w:w="419" w:type="pct"/>
            <w:noWrap w:val="0"/>
            <w:vAlign w:val="top"/>
          </w:tcPr>
          <w:p w14:paraId="16EDD833">
            <w:pPr>
              <w:spacing w:line="440" w:lineRule="exact"/>
              <w:jc w:val="center"/>
              <w:rPr>
                <w:color w:val="auto"/>
                <w:highlight w:val="none"/>
              </w:rPr>
            </w:pPr>
          </w:p>
        </w:tc>
        <w:tc>
          <w:tcPr>
            <w:tcW w:w="483" w:type="pct"/>
            <w:noWrap w:val="0"/>
            <w:vAlign w:val="top"/>
          </w:tcPr>
          <w:p w14:paraId="6A20ACBE">
            <w:pPr>
              <w:spacing w:line="440" w:lineRule="exact"/>
              <w:jc w:val="center"/>
              <w:rPr>
                <w:color w:val="auto"/>
                <w:highlight w:val="none"/>
              </w:rPr>
            </w:pPr>
          </w:p>
        </w:tc>
        <w:tc>
          <w:tcPr>
            <w:tcW w:w="458" w:type="pct"/>
            <w:noWrap w:val="0"/>
            <w:vAlign w:val="center"/>
          </w:tcPr>
          <w:p w14:paraId="0D1AD8EB">
            <w:pPr>
              <w:spacing w:line="440" w:lineRule="exact"/>
              <w:jc w:val="center"/>
              <w:rPr>
                <w:color w:val="auto"/>
                <w:highlight w:val="none"/>
              </w:rPr>
            </w:pPr>
          </w:p>
        </w:tc>
        <w:tc>
          <w:tcPr>
            <w:tcW w:w="425" w:type="pct"/>
            <w:noWrap w:val="0"/>
            <w:vAlign w:val="center"/>
          </w:tcPr>
          <w:p w14:paraId="7BDE3477">
            <w:pPr>
              <w:spacing w:line="440" w:lineRule="exact"/>
              <w:jc w:val="center"/>
              <w:rPr>
                <w:color w:val="auto"/>
                <w:highlight w:val="none"/>
              </w:rPr>
            </w:pPr>
          </w:p>
        </w:tc>
        <w:tc>
          <w:tcPr>
            <w:tcW w:w="492" w:type="pct"/>
            <w:noWrap w:val="0"/>
            <w:vAlign w:val="top"/>
          </w:tcPr>
          <w:p w14:paraId="22150DEE">
            <w:pPr>
              <w:spacing w:line="440" w:lineRule="exact"/>
              <w:jc w:val="center"/>
              <w:rPr>
                <w:color w:val="auto"/>
                <w:highlight w:val="none"/>
              </w:rPr>
            </w:pPr>
          </w:p>
        </w:tc>
        <w:tc>
          <w:tcPr>
            <w:tcW w:w="657" w:type="pct"/>
            <w:noWrap w:val="0"/>
            <w:vAlign w:val="top"/>
          </w:tcPr>
          <w:p w14:paraId="0A0DAC79">
            <w:pPr>
              <w:spacing w:line="440" w:lineRule="exact"/>
              <w:jc w:val="center"/>
              <w:rPr>
                <w:color w:val="auto"/>
                <w:highlight w:val="none"/>
              </w:rPr>
            </w:pPr>
          </w:p>
        </w:tc>
        <w:tc>
          <w:tcPr>
            <w:tcW w:w="410" w:type="pct"/>
            <w:noWrap w:val="0"/>
            <w:vAlign w:val="center"/>
          </w:tcPr>
          <w:p w14:paraId="76563783">
            <w:pPr>
              <w:spacing w:line="440" w:lineRule="exact"/>
              <w:jc w:val="center"/>
              <w:rPr>
                <w:color w:val="auto"/>
                <w:highlight w:val="none"/>
              </w:rPr>
            </w:pPr>
          </w:p>
        </w:tc>
      </w:tr>
      <w:tr w14:paraId="1F9F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7B4722BD">
            <w:pPr>
              <w:spacing w:line="440" w:lineRule="exact"/>
              <w:jc w:val="center"/>
              <w:rPr>
                <w:color w:val="auto"/>
                <w:highlight w:val="none"/>
              </w:rPr>
            </w:pPr>
          </w:p>
        </w:tc>
        <w:tc>
          <w:tcPr>
            <w:tcW w:w="753" w:type="pct"/>
            <w:noWrap w:val="0"/>
            <w:vAlign w:val="top"/>
          </w:tcPr>
          <w:p w14:paraId="01D11885">
            <w:pPr>
              <w:spacing w:line="440" w:lineRule="exact"/>
              <w:jc w:val="center"/>
              <w:rPr>
                <w:color w:val="auto"/>
                <w:highlight w:val="none"/>
              </w:rPr>
            </w:pPr>
          </w:p>
        </w:tc>
        <w:tc>
          <w:tcPr>
            <w:tcW w:w="477" w:type="pct"/>
            <w:noWrap w:val="0"/>
            <w:vAlign w:val="top"/>
          </w:tcPr>
          <w:p w14:paraId="5D541E64">
            <w:pPr>
              <w:spacing w:line="440" w:lineRule="exact"/>
              <w:jc w:val="center"/>
              <w:rPr>
                <w:color w:val="auto"/>
                <w:highlight w:val="none"/>
              </w:rPr>
            </w:pPr>
          </w:p>
        </w:tc>
        <w:tc>
          <w:tcPr>
            <w:tcW w:w="419" w:type="pct"/>
            <w:noWrap w:val="0"/>
            <w:vAlign w:val="top"/>
          </w:tcPr>
          <w:p w14:paraId="686E0125">
            <w:pPr>
              <w:spacing w:line="440" w:lineRule="exact"/>
              <w:jc w:val="center"/>
              <w:rPr>
                <w:color w:val="auto"/>
                <w:highlight w:val="none"/>
              </w:rPr>
            </w:pPr>
          </w:p>
        </w:tc>
        <w:tc>
          <w:tcPr>
            <w:tcW w:w="483" w:type="pct"/>
            <w:noWrap w:val="0"/>
            <w:vAlign w:val="top"/>
          </w:tcPr>
          <w:p w14:paraId="7D473F3D">
            <w:pPr>
              <w:spacing w:line="440" w:lineRule="exact"/>
              <w:jc w:val="center"/>
              <w:rPr>
                <w:color w:val="auto"/>
                <w:highlight w:val="none"/>
              </w:rPr>
            </w:pPr>
          </w:p>
        </w:tc>
        <w:tc>
          <w:tcPr>
            <w:tcW w:w="458" w:type="pct"/>
            <w:noWrap w:val="0"/>
            <w:vAlign w:val="top"/>
          </w:tcPr>
          <w:p w14:paraId="7F0F1AEF">
            <w:pPr>
              <w:spacing w:line="440" w:lineRule="exact"/>
              <w:jc w:val="center"/>
              <w:rPr>
                <w:color w:val="auto"/>
                <w:highlight w:val="none"/>
              </w:rPr>
            </w:pPr>
          </w:p>
        </w:tc>
        <w:tc>
          <w:tcPr>
            <w:tcW w:w="425" w:type="pct"/>
            <w:noWrap w:val="0"/>
            <w:vAlign w:val="top"/>
          </w:tcPr>
          <w:p w14:paraId="195DC062">
            <w:pPr>
              <w:spacing w:line="440" w:lineRule="exact"/>
              <w:jc w:val="center"/>
              <w:rPr>
                <w:color w:val="auto"/>
                <w:highlight w:val="none"/>
              </w:rPr>
            </w:pPr>
          </w:p>
        </w:tc>
        <w:tc>
          <w:tcPr>
            <w:tcW w:w="492" w:type="pct"/>
            <w:noWrap w:val="0"/>
            <w:vAlign w:val="top"/>
          </w:tcPr>
          <w:p w14:paraId="004E535F">
            <w:pPr>
              <w:spacing w:line="440" w:lineRule="exact"/>
              <w:jc w:val="center"/>
              <w:rPr>
                <w:color w:val="auto"/>
                <w:highlight w:val="none"/>
              </w:rPr>
            </w:pPr>
          </w:p>
        </w:tc>
        <w:tc>
          <w:tcPr>
            <w:tcW w:w="657" w:type="pct"/>
            <w:noWrap w:val="0"/>
            <w:vAlign w:val="top"/>
          </w:tcPr>
          <w:p w14:paraId="36A548EC">
            <w:pPr>
              <w:spacing w:line="440" w:lineRule="exact"/>
              <w:jc w:val="center"/>
              <w:rPr>
                <w:color w:val="auto"/>
                <w:highlight w:val="none"/>
              </w:rPr>
            </w:pPr>
          </w:p>
        </w:tc>
        <w:tc>
          <w:tcPr>
            <w:tcW w:w="410" w:type="pct"/>
            <w:noWrap w:val="0"/>
            <w:vAlign w:val="top"/>
          </w:tcPr>
          <w:p w14:paraId="6D624A4B">
            <w:pPr>
              <w:spacing w:line="440" w:lineRule="exact"/>
              <w:jc w:val="center"/>
              <w:rPr>
                <w:color w:val="auto"/>
                <w:highlight w:val="none"/>
              </w:rPr>
            </w:pPr>
          </w:p>
        </w:tc>
      </w:tr>
      <w:tr w14:paraId="7EB5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57491074">
            <w:pPr>
              <w:spacing w:line="440" w:lineRule="exact"/>
              <w:jc w:val="center"/>
              <w:rPr>
                <w:color w:val="auto"/>
                <w:highlight w:val="none"/>
              </w:rPr>
            </w:pPr>
          </w:p>
        </w:tc>
        <w:tc>
          <w:tcPr>
            <w:tcW w:w="753" w:type="pct"/>
            <w:noWrap w:val="0"/>
            <w:vAlign w:val="top"/>
          </w:tcPr>
          <w:p w14:paraId="535A15B3">
            <w:pPr>
              <w:spacing w:line="440" w:lineRule="exact"/>
              <w:jc w:val="center"/>
              <w:rPr>
                <w:color w:val="auto"/>
                <w:highlight w:val="none"/>
              </w:rPr>
            </w:pPr>
          </w:p>
        </w:tc>
        <w:tc>
          <w:tcPr>
            <w:tcW w:w="477" w:type="pct"/>
            <w:noWrap w:val="0"/>
            <w:vAlign w:val="top"/>
          </w:tcPr>
          <w:p w14:paraId="20CAE64B">
            <w:pPr>
              <w:spacing w:line="440" w:lineRule="exact"/>
              <w:jc w:val="center"/>
              <w:rPr>
                <w:color w:val="auto"/>
                <w:highlight w:val="none"/>
              </w:rPr>
            </w:pPr>
          </w:p>
        </w:tc>
        <w:tc>
          <w:tcPr>
            <w:tcW w:w="419" w:type="pct"/>
            <w:noWrap w:val="0"/>
            <w:vAlign w:val="top"/>
          </w:tcPr>
          <w:p w14:paraId="5E189DA1">
            <w:pPr>
              <w:spacing w:line="440" w:lineRule="exact"/>
              <w:jc w:val="center"/>
              <w:rPr>
                <w:color w:val="auto"/>
                <w:highlight w:val="none"/>
              </w:rPr>
            </w:pPr>
          </w:p>
        </w:tc>
        <w:tc>
          <w:tcPr>
            <w:tcW w:w="483" w:type="pct"/>
            <w:noWrap w:val="0"/>
            <w:vAlign w:val="top"/>
          </w:tcPr>
          <w:p w14:paraId="1AAEE863">
            <w:pPr>
              <w:spacing w:line="440" w:lineRule="exact"/>
              <w:jc w:val="center"/>
              <w:rPr>
                <w:color w:val="auto"/>
                <w:highlight w:val="none"/>
              </w:rPr>
            </w:pPr>
          </w:p>
        </w:tc>
        <w:tc>
          <w:tcPr>
            <w:tcW w:w="458" w:type="pct"/>
            <w:noWrap w:val="0"/>
            <w:vAlign w:val="top"/>
          </w:tcPr>
          <w:p w14:paraId="216B35EE">
            <w:pPr>
              <w:spacing w:line="440" w:lineRule="exact"/>
              <w:jc w:val="center"/>
              <w:rPr>
                <w:color w:val="auto"/>
                <w:highlight w:val="none"/>
              </w:rPr>
            </w:pPr>
          </w:p>
        </w:tc>
        <w:tc>
          <w:tcPr>
            <w:tcW w:w="425" w:type="pct"/>
            <w:noWrap w:val="0"/>
            <w:vAlign w:val="top"/>
          </w:tcPr>
          <w:p w14:paraId="5861E269">
            <w:pPr>
              <w:spacing w:line="440" w:lineRule="exact"/>
              <w:jc w:val="center"/>
              <w:rPr>
                <w:color w:val="auto"/>
                <w:highlight w:val="none"/>
              </w:rPr>
            </w:pPr>
          </w:p>
        </w:tc>
        <w:tc>
          <w:tcPr>
            <w:tcW w:w="492" w:type="pct"/>
            <w:noWrap w:val="0"/>
            <w:vAlign w:val="top"/>
          </w:tcPr>
          <w:p w14:paraId="132BCA6B">
            <w:pPr>
              <w:spacing w:line="440" w:lineRule="exact"/>
              <w:jc w:val="center"/>
              <w:rPr>
                <w:color w:val="auto"/>
                <w:highlight w:val="none"/>
              </w:rPr>
            </w:pPr>
          </w:p>
        </w:tc>
        <w:tc>
          <w:tcPr>
            <w:tcW w:w="657" w:type="pct"/>
            <w:noWrap w:val="0"/>
            <w:vAlign w:val="top"/>
          </w:tcPr>
          <w:p w14:paraId="0596BCDF">
            <w:pPr>
              <w:spacing w:line="440" w:lineRule="exact"/>
              <w:jc w:val="center"/>
              <w:rPr>
                <w:color w:val="auto"/>
                <w:highlight w:val="none"/>
              </w:rPr>
            </w:pPr>
          </w:p>
        </w:tc>
        <w:tc>
          <w:tcPr>
            <w:tcW w:w="410" w:type="pct"/>
            <w:noWrap w:val="0"/>
            <w:vAlign w:val="top"/>
          </w:tcPr>
          <w:p w14:paraId="4FA2942C">
            <w:pPr>
              <w:spacing w:line="440" w:lineRule="exact"/>
              <w:jc w:val="center"/>
              <w:rPr>
                <w:color w:val="auto"/>
                <w:highlight w:val="none"/>
              </w:rPr>
            </w:pPr>
          </w:p>
        </w:tc>
      </w:tr>
      <w:tr w14:paraId="77B0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4BD164F9">
            <w:pPr>
              <w:spacing w:line="440" w:lineRule="exact"/>
              <w:jc w:val="center"/>
              <w:rPr>
                <w:color w:val="auto"/>
                <w:highlight w:val="none"/>
              </w:rPr>
            </w:pPr>
          </w:p>
        </w:tc>
        <w:tc>
          <w:tcPr>
            <w:tcW w:w="753" w:type="pct"/>
            <w:noWrap w:val="0"/>
            <w:vAlign w:val="top"/>
          </w:tcPr>
          <w:p w14:paraId="77EC0DFC">
            <w:pPr>
              <w:spacing w:line="440" w:lineRule="exact"/>
              <w:jc w:val="center"/>
              <w:rPr>
                <w:color w:val="auto"/>
                <w:highlight w:val="none"/>
              </w:rPr>
            </w:pPr>
          </w:p>
        </w:tc>
        <w:tc>
          <w:tcPr>
            <w:tcW w:w="477" w:type="pct"/>
            <w:noWrap w:val="0"/>
            <w:vAlign w:val="top"/>
          </w:tcPr>
          <w:p w14:paraId="67508165">
            <w:pPr>
              <w:spacing w:line="440" w:lineRule="exact"/>
              <w:jc w:val="center"/>
              <w:rPr>
                <w:color w:val="auto"/>
                <w:highlight w:val="none"/>
              </w:rPr>
            </w:pPr>
          </w:p>
        </w:tc>
        <w:tc>
          <w:tcPr>
            <w:tcW w:w="419" w:type="pct"/>
            <w:noWrap w:val="0"/>
            <w:vAlign w:val="top"/>
          </w:tcPr>
          <w:p w14:paraId="42CD7239">
            <w:pPr>
              <w:spacing w:line="440" w:lineRule="exact"/>
              <w:jc w:val="center"/>
              <w:rPr>
                <w:color w:val="auto"/>
                <w:highlight w:val="none"/>
              </w:rPr>
            </w:pPr>
          </w:p>
        </w:tc>
        <w:tc>
          <w:tcPr>
            <w:tcW w:w="483" w:type="pct"/>
            <w:noWrap w:val="0"/>
            <w:vAlign w:val="top"/>
          </w:tcPr>
          <w:p w14:paraId="0A8A05B3">
            <w:pPr>
              <w:spacing w:line="440" w:lineRule="exact"/>
              <w:jc w:val="center"/>
              <w:rPr>
                <w:color w:val="auto"/>
                <w:highlight w:val="none"/>
              </w:rPr>
            </w:pPr>
          </w:p>
        </w:tc>
        <w:tc>
          <w:tcPr>
            <w:tcW w:w="458" w:type="pct"/>
            <w:noWrap w:val="0"/>
            <w:vAlign w:val="top"/>
          </w:tcPr>
          <w:p w14:paraId="355B5FBE">
            <w:pPr>
              <w:spacing w:line="440" w:lineRule="exact"/>
              <w:jc w:val="center"/>
              <w:rPr>
                <w:color w:val="auto"/>
                <w:highlight w:val="none"/>
              </w:rPr>
            </w:pPr>
          </w:p>
        </w:tc>
        <w:tc>
          <w:tcPr>
            <w:tcW w:w="425" w:type="pct"/>
            <w:noWrap w:val="0"/>
            <w:vAlign w:val="top"/>
          </w:tcPr>
          <w:p w14:paraId="229F9673">
            <w:pPr>
              <w:spacing w:line="440" w:lineRule="exact"/>
              <w:jc w:val="center"/>
              <w:rPr>
                <w:color w:val="auto"/>
                <w:highlight w:val="none"/>
              </w:rPr>
            </w:pPr>
          </w:p>
        </w:tc>
        <w:tc>
          <w:tcPr>
            <w:tcW w:w="492" w:type="pct"/>
            <w:noWrap w:val="0"/>
            <w:vAlign w:val="top"/>
          </w:tcPr>
          <w:p w14:paraId="57A56799">
            <w:pPr>
              <w:spacing w:line="440" w:lineRule="exact"/>
              <w:jc w:val="center"/>
              <w:rPr>
                <w:color w:val="auto"/>
                <w:highlight w:val="none"/>
              </w:rPr>
            </w:pPr>
          </w:p>
        </w:tc>
        <w:tc>
          <w:tcPr>
            <w:tcW w:w="657" w:type="pct"/>
            <w:noWrap w:val="0"/>
            <w:vAlign w:val="top"/>
          </w:tcPr>
          <w:p w14:paraId="33A72300">
            <w:pPr>
              <w:spacing w:line="440" w:lineRule="exact"/>
              <w:jc w:val="center"/>
              <w:rPr>
                <w:color w:val="auto"/>
                <w:highlight w:val="none"/>
              </w:rPr>
            </w:pPr>
          </w:p>
        </w:tc>
        <w:tc>
          <w:tcPr>
            <w:tcW w:w="410" w:type="pct"/>
            <w:noWrap w:val="0"/>
            <w:vAlign w:val="top"/>
          </w:tcPr>
          <w:p w14:paraId="0F59632A">
            <w:pPr>
              <w:spacing w:line="440" w:lineRule="exact"/>
              <w:jc w:val="center"/>
              <w:rPr>
                <w:color w:val="auto"/>
                <w:highlight w:val="none"/>
              </w:rPr>
            </w:pPr>
          </w:p>
        </w:tc>
      </w:tr>
      <w:tr w14:paraId="4B9D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327A038C">
            <w:pPr>
              <w:spacing w:line="440" w:lineRule="exact"/>
              <w:jc w:val="center"/>
              <w:rPr>
                <w:color w:val="auto"/>
                <w:highlight w:val="none"/>
              </w:rPr>
            </w:pPr>
          </w:p>
        </w:tc>
        <w:tc>
          <w:tcPr>
            <w:tcW w:w="753" w:type="pct"/>
            <w:noWrap w:val="0"/>
            <w:vAlign w:val="top"/>
          </w:tcPr>
          <w:p w14:paraId="75027712">
            <w:pPr>
              <w:spacing w:line="440" w:lineRule="exact"/>
              <w:jc w:val="center"/>
              <w:rPr>
                <w:color w:val="auto"/>
                <w:highlight w:val="none"/>
              </w:rPr>
            </w:pPr>
          </w:p>
        </w:tc>
        <w:tc>
          <w:tcPr>
            <w:tcW w:w="477" w:type="pct"/>
            <w:noWrap w:val="0"/>
            <w:vAlign w:val="top"/>
          </w:tcPr>
          <w:p w14:paraId="140B36D5">
            <w:pPr>
              <w:spacing w:line="440" w:lineRule="exact"/>
              <w:jc w:val="center"/>
              <w:rPr>
                <w:color w:val="auto"/>
                <w:highlight w:val="none"/>
              </w:rPr>
            </w:pPr>
          </w:p>
        </w:tc>
        <w:tc>
          <w:tcPr>
            <w:tcW w:w="419" w:type="pct"/>
            <w:noWrap w:val="0"/>
            <w:vAlign w:val="top"/>
          </w:tcPr>
          <w:p w14:paraId="36B6C74F">
            <w:pPr>
              <w:spacing w:line="440" w:lineRule="exact"/>
              <w:jc w:val="center"/>
              <w:rPr>
                <w:color w:val="auto"/>
                <w:highlight w:val="none"/>
              </w:rPr>
            </w:pPr>
          </w:p>
        </w:tc>
        <w:tc>
          <w:tcPr>
            <w:tcW w:w="483" w:type="pct"/>
            <w:noWrap w:val="0"/>
            <w:vAlign w:val="top"/>
          </w:tcPr>
          <w:p w14:paraId="058B2B32">
            <w:pPr>
              <w:spacing w:line="440" w:lineRule="exact"/>
              <w:jc w:val="center"/>
              <w:rPr>
                <w:color w:val="auto"/>
                <w:highlight w:val="none"/>
              </w:rPr>
            </w:pPr>
          </w:p>
        </w:tc>
        <w:tc>
          <w:tcPr>
            <w:tcW w:w="458" w:type="pct"/>
            <w:noWrap w:val="0"/>
            <w:vAlign w:val="top"/>
          </w:tcPr>
          <w:p w14:paraId="73724D3A">
            <w:pPr>
              <w:spacing w:line="440" w:lineRule="exact"/>
              <w:jc w:val="center"/>
              <w:rPr>
                <w:color w:val="auto"/>
                <w:highlight w:val="none"/>
              </w:rPr>
            </w:pPr>
          </w:p>
        </w:tc>
        <w:tc>
          <w:tcPr>
            <w:tcW w:w="425" w:type="pct"/>
            <w:noWrap w:val="0"/>
            <w:vAlign w:val="top"/>
          </w:tcPr>
          <w:p w14:paraId="7EC8F66A">
            <w:pPr>
              <w:spacing w:line="440" w:lineRule="exact"/>
              <w:jc w:val="center"/>
              <w:rPr>
                <w:color w:val="auto"/>
                <w:highlight w:val="none"/>
              </w:rPr>
            </w:pPr>
          </w:p>
        </w:tc>
        <w:tc>
          <w:tcPr>
            <w:tcW w:w="492" w:type="pct"/>
            <w:noWrap w:val="0"/>
            <w:vAlign w:val="top"/>
          </w:tcPr>
          <w:p w14:paraId="000F8903">
            <w:pPr>
              <w:spacing w:line="440" w:lineRule="exact"/>
              <w:jc w:val="center"/>
              <w:rPr>
                <w:color w:val="auto"/>
                <w:highlight w:val="none"/>
              </w:rPr>
            </w:pPr>
          </w:p>
        </w:tc>
        <w:tc>
          <w:tcPr>
            <w:tcW w:w="657" w:type="pct"/>
            <w:noWrap w:val="0"/>
            <w:vAlign w:val="top"/>
          </w:tcPr>
          <w:p w14:paraId="27B2A0EE">
            <w:pPr>
              <w:spacing w:line="440" w:lineRule="exact"/>
              <w:jc w:val="center"/>
              <w:rPr>
                <w:color w:val="auto"/>
                <w:highlight w:val="none"/>
              </w:rPr>
            </w:pPr>
          </w:p>
        </w:tc>
        <w:tc>
          <w:tcPr>
            <w:tcW w:w="410" w:type="pct"/>
            <w:noWrap w:val="0"/>
            <w:vAlign w:val="top"/>
          </w:tcPr>
          <w:p w14:paraId="5CE1F220">
            <w:pPr>
              <w:spacing w:line="440" w:lineRule="exact"/>
              <w:jc w:val="center"/>
              <w:rPr>
                <w:color w:val="auto"/>
                <w:highlight w:val="none"/>
              </w:rPr>
            </w:pPr>
          </w:p>
        </w:tc>
      </w:tr>
      <w:tr w14:paraId="43EC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3671458D">
            <w:pPr>
              <w:spacing w:line="440" w:lineRule="exact"/>
              <w:jc w:val="center"/>
              <w:rPr>
                <w:color w:val="auto"/>
                <w:highlight w:val="none"/>
              </w:rPr>
            </w:pPr>
          </w:p>
        </w:tc>
        <w:tc>
          <w:tcPr>
            <w:tcW w:w="753" w:type="pct"/>
            <w:noWrap w:val="0"/>
            <w:vAlign w:val="top"/>
          </w:tcPr>
          <w:p w14:paraId="26D6BB1B">
            <w:pPr>
              <w:spacing w:line="440" w:lineRule="exact"/>
              <w:jc w:val="center"/>
              <w:rPr>
                <w:color w:val="auto"/>
                <w:highlight w:val="none"/>
              </w:rPr>
            </w:pPr>
          </w:p>
        </w:tc>
        <w:tc>
          <w:tcPr>
            <w:tcW w:w="477" w:type="pct"/>
            <w:noWrap w:val="0"/>
            <w:vAlign w:val="top"/>
          </w:tcPr>
          <w:p w14:paraId="2645F87D">
            <w:pPr>
              <w:spacing w:line="440" w:lineRule="exact"/>
              <w:jc w:val="center"/>
              <w:rPr>
                <w:color w:val="auto"/>
                <w:highlight w:val="none"/>
              </w:rPr>
            </w:pPr>
          </w:p>
        </w:tc>
        <w:tc>
          <w:tcPr>
            <w:tcW w:w="419" w:type="pct"/>
            <w:noWrap w:val="0"/>
            <w:vAlign w:val="top"/>
          </w:tcPr>
          <w:p w14:paraId="23BB6F0C">
            <w:pPr>
              <w:spacing w:line="440" w:lineRule="exact"/>
              <w:jc w:val="center"/>
              <w:rPr>
                <w:color w:val="auto"/>
                <w:highlight w:val="none"/>
              </w:rPr>
            </w:pPr>
          </w:p>
        </w:tc>
        <w:tc>
          <w:tcPr>
            <w:tcW w:w="483" w:type="pct"/>
            <w:noWrap w:val="0"/>
            <w:vAlign w:val="top"/>
          </w:tcPr>
          <w:p w14:paraId="4C2BA636">
            <w:pPr>
              <w:spacing w:line="440" w:lineRule="exact"/>
              <w:jc w:val="center"/>
              <w:rPr>
                <w:color w:val="auto"/>
                <w:highlight w:val="none"/>
              </w:rPr>
            </w:pPr>
          </w:p>
        </w:tc>
        <w:tc>
          <w:tcPr>
            <w:tcW w:w="458" w:type="pct"/>
            <w:noWrap w:val="0"/>
            <w:vAlign w:val="top"/>
          </w:tcPr>
          <w:p w14:paraId="7B6CEC71">
            <w:pPr>
              <w:spacing w:line="440" w:lineRule="exact"/>
              <w:jc w:val="center"/>
              <w:rPr>
                <w:color w:val="auto"/>
                <w:highlight w:val="none"/>
              </w:rPr>
            </w:pPr>
          </w:p>
        </w:tc>
        <w:tc>
          <w:tcPr>
            <w:tcW w:w="425" w:type="pct"/>
            <w:noWrap w:val="0"/>
            <w:vAlign w:val="top"/>
          </w:tcPr>
          <w:p w14:paraId="404C8517">
            <w:pPr>
              <w:spacing w:line="440" w:lineRule="exact"/>
              <w:jc w:val="center"/>
              <w:rPr>
                <w:color w:val="auto"/>
                <w:highlight w:val="none"/>
              </w:rPr>
            </w:pPr>
          </w:p>
        </w:tc>
        <w:tc>
          <w:tcPr>
            <w:tcW w:w="492" w:type="pct"/>
            <w:noWrap w:val="0"/>
            <w:vAlign w:val="top"/>
          </w:tcPr>
          <w:p w14:paraId="353D6DDA">
            <w:pPr>
              <w:spacing w:line="440" w:lineRule="exact"/>
              <w:jc w:val="center"/>
              <w:rPr>
                <w:color w:val="auto"/>
                <w:highlight w:val="none"/>
              </w:rPr>
            </w:pPr>
          </w:p>
        </w:tc>
        <w:tc>
          <w:tcPr>
            <w:tcW w:w="657" w:type="pct"/>
            <w:noWrap w:val="0"/>
            <w:vAlign w:val="top"/>
          </w:tcPr>
          <w:p w14:paraId="5F8A5548">
            <w:pPr>
              <w:spacing w:line="440" w:lineRule="exact"/>
              <w:jc w:val="center"/>
              <w:rPr>
                <w:color w:val="auto"/>
                <w:highlight w:val="none"/>
              </w:rPr>
            </w:pPr>
          </w:p>
        </w:tc>
        <w:tc>
          <w:tcPr>
            <w:tcW w:w="410" w:type="pct"/>
            <w:noWrap w:val="0"/>
            <w:vAlign w:val="top"/>
          </w:tcPr>
          <w:p w14:paraId="07288F29">
            <w:pPr>
              <w:spacing w:line="440" w:lineRule="exact"/>
              <w:jc w:val="center"/>
              <w:rPr>
                <w:color w:val="auto"/>
                <w:highlight w:val="none"/>
              </w:rPr>
            </w:pPr>
          </w:p>
        </w:tc>
      </w:tr>
      <w:tr w14:paraId="68F4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3F84EB52">
            <w:pPr>
              <w:spacing w:line="440" w:lineRule="exact"/>
              <w:jc w:val="center"/>
              <w:rPr>
                <w:color w:val="auto"/>
                <w:highlight w:val="none"/>
              </w:rPr>
            </w:pPr>
          </w:p>
        </w:tc>
        <w:tc>
          <w:tcPr>
            <w:tcW w:w="753" w:type="pct"/>
            <w:noWrap w:val="0"/>
            <w:vAlign w:val="top"/>
          </w:tcPr>
          <w:p w14:paraId="3808D8B7">
            <w:pPr>
              <w:spacing w:line="440" w:lineRule="exact"/>
              <w:jc w:val="center"/>
              <w:rPr>
                <w:color w:val="auto"/>
                <w:highlight w:val="none"/>
              </w:rPr>
            </w:pPr>
          </w:p>
        </w:tc>
        <w:tc>
          <w:tcPr>
            <w:tcW w:w="477" w:type="pct"/>
            <w:noWrap w:val="0"/>
            <w:vAlign w:val="top"/>
          </w:tcPr>
          <w:p w14:paraId="58C33891">
            <w:pPr>
              <w:spacing w:line="440" w:lineRule="exact"/>
              <w:jc w:val="center"/>
              <w:rPr>
                <w:color w:val="auto"/>
                <w:highlight w:val="none"/>
              </w:rPr>
            </w:pPr>
          </w:p>
        </w:tc>
        <w:tc>
          <w:tcPr>
            <w:tcW w:w="419" w:type="pct"/>
            <w:noWrap w:val="0"/>
            <w:vAlign w:val="top"/>
          </w:tcPr>
          <w:p w14:paraId="7F28CB8A">
            <w:pPr>
              <w:spacing w:line="440" w:lineRule="exact"/>
              <w:jc w:val="center"/>
              <w:rPr>
                <w:color w:val="auto"/>
                <w:highlight w:val="none"/>
              </w:rPr>
            </w:pPr>
          </w:p>
        </w:tc>
        <w:tc>
          <w:tcPr>
            <w:tcW w:w="483" w:type="pct"/>
            <w:noWrap w:val="0"/>
            <w:vAlign w:val="top"/>
          </w:tcPr>
          <w:p w14:paraId="5C440161">
            <w:pPr>
              <w:spacing w:line="440" w:lineRule="exact"/>
              <w:jc w:val="center"/>
              <w:rPr>
                <w:color w:val="auto"/>
                <w:highlight w:val="none"/>
              </w:rPr>
            </w:pPr>
          </w:p>
        </w:tc>
        <w:tc>
          <w:tcPr>
            <w:tcW w:w="458" w:type="pct"/>
            <w:noWrap w:val="0"/>
            <w:vAlign w:val="top"/>
          </w:tcPr>
          <w:p w14:paraId="6199E9E4">
            <w:pPr>
              <w:spacing w:line="440" w:lineRule="exact"/>
              <w:jc w:val="center"/>
              <w:rPr>
                <w:color w:val="auto"/>
                <w:highlight w:val="none"/>
              </w:rPr>
            </w:pPr>
          </w:p>
        </w:tc>
        <w:tc>
          <w:tcPr>
            <w:tcW w:w="425" w:type="pct"/>
            <w:noWrap w:val="0"/>
            <w:vAlign w:val="top"/>
          </w:tcPr>
          <w:p w14:paraId="7ECBB283">
            <w:pPr>
              <w:spacing w:line="440" w:lineRule="exact"/>
              <w:jc w:val="center"/>
              <w:rPr>
                <w:color w:val="auto"/>
                <w:highlight w:val="none"/>
              </w:rPr>
            </w:pPr>
          </w:p>
        </w:tc>
        <w:tc>
          <w:tcPr>
            <w:tcW w:w="492" w:type="pct"/>
            <w:noWrap w:val="0"/>
            <w:vAlign w:val="top"/>
          </w:tcPr>
          <w:p w14:paraId="6364182B">
            <w:pPr>
              <w:spacing w:line="440" w:lineRule="exact"/>
              <w:jc w:val="center"/>
              <w:rPr>
                <w:color w:val="auto"/>
                <w:highlight w:val="none"/>
              </w:rPr>
            </w:pPr>
          </w:p>
        </w:tc>
        <w:tc>
          <w:tcPr>
            <w:tcW w:w="657" w:type="pct"/>
            <w:noWrap w:val="0"/>
            <w:vAlign w:val="top"/>
          </w:tcPr>
          <w:p w14:paraId="4F8B5456">
            <w:pPr>
              <w:spacing w:line="440" w:lineRule="exact"/>
              <w:jc w:val="center"/>
              <w:rPr>
                <w:color w:val="auto"/>
                <w:highlight w:val="none"/>
              </w:rPr>
            </w:pPr>
          </w:p>
        </w:tc>
        <w:tc>
          <w:tcPr>
            <w:tcW w:w="410" w:type="pct"/>
            <w:noWrap w:val="0"/>
            <w:vAlign w:val="top"/>
          </w:tcPr>
          <w:p w14:paraId="4AB4D004">
            <w:pPr>
              <w:spacing w:line="440" w:lineRule="exact"/>
              <w:jc w:val="center"/>
              <w:rPr>
                <w:color w:val="auto"/>
                <w:highlight w:val="none"/>
              </w:rPr>
            </w:pPr>
          </w:p>
        </w:tc>
      </w:tr>
      <w:tr w14:paraId="3743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5974C1AE">
            <w:pPr>
              <w:spacing w:line="440" w:lineRule="exact"/>
              <w:jc w:val="center"/>
              <w:rPr>
                <w:color w:val="auto"/>
                <w:highlight w:val="none"/>
              </w:rPr>
            </w:pPr>
          </w:p>
        </w:tc>
        <w:tc>
          <w:tcPr>
            <w:tcW w:w="753" w:type="pct"/>
            <w:noWrap w:val="0"/>
            <w:vAlign w:val="top"/>
          </w:tcPr>
          <w:p w14:paraId="4D10D248">
            <w:pPr>
              <w:spacing w:line="440" w:lineRule="exact"/>
              <w:jc w:val="center"/>
              <w:rPr>
                <w:color w:val="auto"/>
                <w:highlight w:val="none"/>
              </w:rPr>
            </w:pPr>
          </w:p>
        </w:tc>
        <w:tc>
          <w:tcPr>
            <w:tcW w:w="477" w:type="pct"/>
            <w:noWrap w:val="0"/>
            <w:vAlign w:val="top"/>
          </w:tcPr>
          <w:p w14:paraId="66456B78">
            <w:pPr>
              <w:spacing w:line="440" w:lineRule="exact"/>
              <w:jc w:val="center"/>
              <w:rPr>
                <w:color w:val="auto"/>
                <w:highlight w:val="none"/>
              </w:rPr>
            </w:pPr>
          </w:p>
        </w:tc>
        <w:tc>
          <w:tcPr>
            <w:tcW w:w="419" w:type="pct"/>
            <w:noWrap w:val="0"/>
            <w:vAlign w:val="top"/>
          </w:tcPr>
          <w:p w14:paraId="670DA1CF">
            <w:pPr>
              <w:spacing w:line="440" w:lineRule="exact"/>
              <w:jc w:val="center"/>
              <w:rPr>
                <w:color w:val="auto"/>
                <w:highlight w:val="none"/>
              </w:rPr>
            </w:pPr>
          </w:p>
        </w:tc>
        <w:tc>
          <w:tcPr>
            <w:tcW w:w="483" w:type="pct"/>
            <w:noWrap w:val="0"/>
            <w:vAlign w:val="top"/>
          </w:tcPr>
          <w:p w14:paraId="609158DB">
            <w:pPr>
              <w:spacing w:line="440" w:lineRule="exact"/>
              <w:jc w:val="center"/>
              <w:rPr>
                <w:color w:val="auto"/>
                <w:highlight w:val="none"/>
              </w:rPr>
            </w:pPr>
          </w:p>
        </w:tc>
        <w:tc>
          <w:tcPr>
            <w:tcW w:w="458" w:type="pct"/>
            <w:noWrap w:val="0"/>
            <w:vAlign w:val="top"/>
          </w:tcPr>
          <w:p w14:paraId="7AC6C35E">
            <w:pPr>
              <w:spacing w:line="440" w:lineRule="exact"/>
              <w:jc w:val="center"/>
              <w:rPr>
                <w:color w:val="auto"/>
                <w:highlight w:val="none"/>
              </w:rPr>
            </w:pPr>
          </w:p>
        </w:tc>
        <w:tc>
          <w:tcPr>
            <w:tcW w:w="425" w:type="pct"/>
            <w:noWrap w:val="0"/>
            <w:vAlign w:val="top"/>
          </w:tcPr>
          <w:p w14:paraId="6134FADC">
            <w:pPr>
              <w:spacing w:line="440" w:lineRule="exact"/>
              <w:jc w:val="center"/>
              <w:rPr>
                <w:color w:val="auto"/>
                <w:highlight w:val="none"/>
              </w:rPr>
            </w:pPr>
          </w:p>
        </w:tc>
        <w:tc>
          <w:tcPr>
            <w:tcW w:w="492" w:type="pct"/>
            <w:noWrap w:val="0"/>
            <w:vAlign w:val="top"/>
          </w:tcPr>
          <w:p w14:paraId="1306D674">
            <w:pPr>
              <w:spacing w:line="440" w:lineRule="exact"/>
              <w:jc w:val="center"/>
              <w:rPr>
                <w:color w:val="auto"/>
                <w:highlight w:val="none"/>
              </w:rPr>
            </w:pPr>
          </w:p>
        </w:tc>
        <w:tc>
          <w:tcPr>
            <w:tcW w:w="657" w:type="pct"/>
            <w:noWrap w:val="0"/>
            <w:vAlign w:val="top"/>
          </w:tcPr>
          <w:p w14:paraId="5F64B893">
            <w:pPr>
              <w:spacing w:line="440" w:lineRule="exact"/>
              <w:jc w:val="center"/>
              <w:rPr>
                <w:color w:val="auto"/>
                <w:highlight w:val="none"/>
              </w:rPr>
            </w:pPr>
          </w:p>
        </w:tc>
        <w:tc>
          <w:tcPr>
            <w:tcW w:w="410" w:type="pct"/>
            <w:noWrap w:val="0"/>
            <w:vAlign w:val="top"/>
          </w:tcPr>
          <w:p w14:paraId="205DC9CE">
            <w:pPr>
              <w:spacing w:line="440" w:lineRule="exact"/>
              <w:jc w:val="center"/>
              <w:rPr>
                <w:color w:val="auto"/>
                <w:highlight w:val="none"/>
              </w:rPr>
            </w:pPr>
          </w:p>
        </w:tc>
      </w:tr>
      <w:tr w14:paraId="04C6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51372084">
            <w:pPr>
              <w:spacing w:line="440" w:lineRule="exact"/>
              <w:jc w:val="center"/>
              <w:rPr>
                <w:color w:val="auto"/>
                <w:highlight w:val="none"/>
              </w:rPr>
            </w:pPr>
          </w:p>
        </w:tc>
        <w:tc>
          <w:tcPr>
            <w:tcW w:w="753" w:type="pct"/>
            <w:noWrap w:val="0"/>
            <w:vAlign w:val="top"/>
          </w:tcPr>
          <w:p w14:paraId="03AC07CD">
            <w:pPr>
              <w:spacing w:line="440" w:lineRule="exact"/>
              <w:jc w:val="center"/>
              <w:rPr>
                <w:color w:val="auto"/>
                <w:highlight w:val="none"/>
              </w:rPr>
            </w:pPr>
          </w:p>
        </w:tc>
        <w:tc>
          <w:tcPr>
            <w:tcW w:w="477" w:type="pct"/>
            <w:noWrap w:val="0"/>
            <w:vAlign w:val="top"/>
          </w:tcPr>
          <w:p w14:paraId="5574C759">
            <w:pPr>
              <w:spacing w:line="440" w:lineRule="exact"/>
              <w:jc w:val="center"/>
              <w:rPr>
                <w:color w:val="auto"/>
                <w:highlight w:val="none"/>
              </w:rPr>
            </w:pPr>
          </w:p>
        </w:tc>
        <w:tc>
          <w:tcPr>
            <w:tcW w:w="419" w:type="pct"/>
            <w:noWrap w:val="0"/>
            <w:vAlign w:val="top"/>
          </w:tcPr>
          <w:p w14:paraId="5B399A5D">
            <w:pPr>
              <w:spacing w:line="440" w:lineRule="exact"/>
              <w:jc w:val="center"/>
              <w:rPr>
                <w:color w:val="auto"/>
                <w:highlight w:val="none"/>
              </w:rPr>
            </w:pPr>
          </w:p>
        </w:tc>
        <w:tc>
          <w:tcPr>
            <w:tcW w:w="483" w:type="pct"/>
            <w:noWrap w:val="0"/>
            <w:vAlign w:val="top"/>
          </w:tcPr>
          <w:p w14:paraId="733547B0">
            <w:pPr>
              <w:spacing w:line="440" w:lineRule="exact"/>
              <w:jc w:val="center"/>
              <w:rPr>
                <w:color w:val="auto"/>
                <w:highlight w:val="none"/>
              </w:rPr>
            </w:pPr>
          </w:p>
        </w:tc>
        <w:tc>
          <w:tcPr>
            <w:tcW w:w="458" w:type="pct"/>
            <w:noWrap w:val="0"/>
            <w:vAlign w:val="top"/>
          </w:tcPr>
          <w:p w14:paraId="16DB2F53">
            <w:pPr>
              <w:spacing w:line="440" w:lineRule="exact"/>
              <w:jc w:val="center"/>
              <w:rPr>
                <w:color w:val="auto"/>
                <w:highlight w:val="none"/>
              </w:rPr>
            </w:pPr>
          </w:p>
        </w:tc>
        <w:tc>
          <w:tcPr>
            <w:tcW w:w="425" w:type="pct"/>
            <w:noWrap w:val="0"/>
            <w:vAlign w:val="top"/>
          </w:tcPr>
          <w:p w14:paraId="268EA534">
            <w:pPr>
              <w:spacing w:line="440" w:lineRule="exact"/>
              <w:jc w:val="center"/>
              <w:rPr>
                <w:color w:val="auto"/>
                <w:highlight w:val="none"/>
              </w:rPr>
            </w:pPr>
          </w:p>
        </w:tc>
        <w:tc>
          <w:tcPr>
            <w:tcW w:w="492" w:type="pct"/>
            <w:noWrap w:val="0"/>
            <w:vAlign w:val="top"/>
          </w:tcPr>
          <w:p w14:paraId="40D5AB22">
            <w:pPr>
              <w:spacing w:line="440" w:lineRule="exact"/>
              <w:jc w:val="center"/>
              <w:rPr>
                <w:color w:val="auto"/>
                <w:highlight w:val="none"/>
              </w:rPr>
            </w:pPr>
          </w:p>
        </w:tc>
        <w:tc>
          <w:tcPr>
            <w:tcW w:w="657" w:type="pct"/>
            <w:noWrap w:val="0"/>
            <w:vAlign w:val="top"/>
          </w:tcPr>
          <w:p w14:paraId="671D792F">
            <w:pPr>
              <w:spacing w:line="440" w:lineRule="exact"/>
              <w:jc w:val="center"/>
              <w:rPr>
                <w:color w:val="auto"/>
                <w:highlight w:val="none"/>
              </w:rPr>
            </w:pPr>
          </w:p>
        </w:tc>
        <w:tc>
          <w:tcPr>
            <w:tcW w:w="410" w:type="pct"/>
            <w:noWrap w:val="0"/>
            <w:vAlign w:val="top"/>
          </w:tcPr>
          <w:p w14:paraId="5CD87485">
            <w:pPr>
              <w:spacing w:line="440" w:lineRule="exact"/>
              <w:jc w:val="center"/>
              <w:rPr>
                <w:color w:val="auto"/>
                <w:highlight w:val="none"/>
              </w:rPr>
            </w:pPr>
          </w:p>
        </w:tc>
      </w:tr>
      <w:tr w14:paraId="5012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01999DDA">
            <w:pPr>
              <w:spacing w:line="440" w:lineRule="exact"/>
              <w:jc w:val="center"/>
              <w:rPr>
                <w:color w:val="auto"/>
                <w:highlight w:val="none"/>
              </w:rPr>
            </w:pPr>
          </w:p>
        </w:tc>
        <w:tc>
          <w:tcPr>
            <w:tcW w:w="753" w:type="pct"/>
            <w:noWrap w:val="0"/>
            <w:vAlign w:val="top"/>
          </w:tcPr>
          <w:p w14:paraId="4D1BD4F3">
            <w:pPr>
              <w:spacing w:line="440" w:lineRule="exact"/>
              <w:jc w:val="center"/>
              <w:rPr>
                <w:color w:val="auto"/>
                <w:highlight w:val="none"/>
              </w:rPr>
            </w:pPr>
          </w:p>
        </w:tc>
        <w:tc>
          <w:tcPr>
            <w:tcW w:w="477" w:type="pct"/>
            <w:noWrap w:val="0"/>
            <w:vAlign w:val="top"/>
          </w:tcPr>
          <w:p w14:paraId="603AE15E">
            <w:pPr>
              <w:spacing w:line="440" w:lineRule="exact"/>
              <w:jc w:val="center"/>
              <w:rPr>
                <w:color w:val="auto"/>
                <w:highlight w:val="none"/>
              </w:rPr>
            </w:pPr>
          </w:p>
        </w:tc>
        <w:tc>
          <w:tcPr>
            <w:tcW w:w="419" w:type="pct"/>
            <w:noWrap w:val="0"/>
            <w:vAlign w:val="top"/>
          </w:tcPr>
          <w:p w14:paraId="428B5CDB">
            <w:pPr>
              <w:spacing w:line="440" w:lineRule="exact"/>
              <w:jc w:val="center"/>
              <w:rPr>
                <w:color w:val="auto"/>
                <w:highlight w:val="none"/>
              </w:rPr>
            </w:pPr>
          </w:p>
        </w:tc>
        <w:tc>
          <w:tcPr>
            <w:tcW w:w="483" w:type="pct"/>
            <w:noWrap w:val="0"/>
            <w:vAlign w:val="top"/>
          </w:tcPr>
          <w:p w14:paraId="4C0CEEEC">
            <w:pPr>
              <w:spacing w:line="440" w:lineRule="exact"/>
              <w:jc w:val="center"/>
              <w:rPr>
                <w:color w:val="auto"/>
                <w:highlight w:val="none"/>
              </w:rPr>
            </w:pPr>
          </w:p>
        </w:tc>
        <w:tc>
          <w:tcPr>
            <w:tcW w:w="458" w:type="pct"/>
            <w:noWrap w:val="0"/>
            <w:vAlign w:val="top"/>
          </w:tcPr>
          <w:p w14:paraId="4B9BBB2F">
            <w:pPr>
              <w:spacing w:line="440" w:lineRule="exact"/>
              <w:jc w:val="center"/>
              <w:rPr>
                <w:color w:val="auto"/>
                <w:highlight w:val="none"/>
              </w:rPr>
            </w:pPr>
          </w:p>
        </w:tc>
        <w:tc>
          <w:tcPr>
            <w:tcW w:w="425" w:type="pct"/>
            <w:noWrap w:val="0"/>
            <w:vAlign w:val="top"/>
          </w:tcPr>
          <w:p w14:paraId="75F9C34F">
            <w:pPr>
              <w:spacing w:line="440" w:lineRule="exact"/>
              <w:jc w:val="center"/>
              <w:rPr>
                <w:color w:val="auto"/>
                <w:highlight w:val="none"/>
              </w:rPr>
            </w:pPr>
          </w:p>
        </w:tc>
        <w:tc>
          <w:tcPr>
            <w:tcW w:w="492" w:type="pct"/>
            <w:noWrap w:val="0"/>
            <w:vAlign w:val="top"/>
          </w:tcPr>
          <w:p w14:paraId="29C06F54">
            <w:pPr>
              <w:spacing w:line="440" w:lineRule="exact"/>
              <w:jc w:val="center"/>
              <w:rPr>
                <w:color w:val="auto"/>
                <w:highlight w:val="none"/>
              </w:rPr>
            </w:pPr>
          </w:p>
        </w:tc>
        <w:tc>
          <w:tcPr>
            <w:tcW w:w="657" w:type="pct"/>
            <w:noWrap w:val="0"/>
            <w:vAlign w:val="top"/>
          </w:tcPr>
          <w:p w14:paraId="2044126A">
            <w:pPr>
              <w:spacing w:line="440" w:lineRule="exact"/>
              <w:jc w:val="center"/>
              <w:rPr>
                <w:color w:val="auto"/>
                <w:highlight w:val="none"/>
              </w:rPr>
            </w:pPr>
          </w:p>
        </w:tc>
        <w:tc>
          <w:tcPr>
            <w:tcW w:w="410" w:type="pct"/>
            <w:noWrap w:val="0"/>
            <w:vAlign w:val="top"/>
          </w:tcPr>
          <w:p w14:paraId="7881D9FC">
            <w:pPr>
              <w:spacing w:line="440" w:lineRule="exact"/>
              <w:jc w:val="center"/>
              <w:rPr>
                <w:color w:val="auto"/>
                <w:highlight w:val="none"/>
              </w:rPr>
            </w:pPr>
          </w:p>
        </w:tc>
      </w:tr>
      <w:tr w14:paraId="0E56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2ECD78B1">
            <w:pPr>
              <w:spacing w:line="440" w:lineRule="exact"/>
              <w:jc w:val="center"/>
              <w:rPr>
                <w:color w:val="auto"/>
                <w:highlight w:val="none"/>
              </w:rPr>
            </w:pPr>
          </w:p>
        </w:tc>
        <w:tc>
          <w:tcPr>
            <w:tcW w:w="753" w:type="pct"/>
            <w:noWrap w:val="0"/>
            <w:vAlign w:val="top"/>
          </w:tcPr>
          <w:p w14:paraId="29D69F6E">
            <w:pPr>
              <w:spacing w:line="440" w:lineRule="exact"/>
              <w:jc w:val="center"/>
              <w:rPr>
                <w:color w:val="auto"/>
                <w:highlight w:val="none"/>
              </w:rPr>
            </w:pPr>
          </w:p>
        </w:tc>
        <w:tc>
          <w:tcPr>
            <w:tcW w:w="477" w:type="pct"/>
            <w:noWrap w:val="0"/>
            <w:vAlign w:val="top"/>
          </w:tcPr>
          <w:p w14:paraId="08A83693">
            <w:pPr>
              <w:spacing w:line="440" w:lineRule="exact"/>
              <w:jc w:val="center"/>
              <w:rPr>
                <w:color w:val="auto"/>
                <w:highlight w:val="none"/>
              </w:rPr>
            </w:pPr>
          </w:p>
        </w:tc>
        <w:tc>
          <w:tcPr>
            <w:tcW w:w="419" w:type="pct"/>
            <w:noWrap w:val="0"/>
            <w:vAlign w:val="top"/>
          </w:tcPr>
          <w:p w14:paraId="302CB925">
            <w:pPr>
              <w:spacing w:line="440" w:lineRule="exact"/>
              <w:jc w:val="center"/>
              <w:rPr>
                <w:color w:val="auto"/>
                <w:highlight w:val="none"/>
              </w:rPr>
            </w:pPr>
          </w:p>
        </w:tc>
        <w:tc>
          <w:tcPr>
            <w:tcW w:w="483" w:type="pct"/>
            <w:noWrap w:val="0"/>
            <w:vAlign w:val="top"/>
          </w:tcPr>
          <w:p w14:paraId="7461CA4A">
            <w:pPr>
              <w:spacing w:line="440" w:lineRule="exact"/>
              <w:jc w:val="center"/>
              <w:rPr>
                <w:color w:val="auto"/>
                <w:highlight w:val="none"/>
              </w:rPr>
            </w:pPr>
          </w:p>
        </w:tc>
        <w:tc>
          <w:tcPr>
            <w:tcW w:w="458" w:type="pct"/>
            <w:noWrap w:val="0"/>
            <w:vAlign w:val="top"/>
          </w:tcPr>
          <w:p w14:paraId="4403BB39">
            <w:pPr>
              <w:spacing w:line="440" w:lineRule="exact"/>
              <w:jc w:val="center"/>
              <w:rPr>
                <w:color w:val="auto"/>
                <w:highlight w:val="none"/>
              </w:rPr>
            </w:pPr>
          </w:p>
        </w:tc>
        <w:tc>
          <w:tcPr>
            <w:tcW w:w="425" w:type="pct"/>
            <w:noWrap w:val="0"/>
            <w:vAlign w:val="top"/>
          </w:tcPr>
          <w:p w14:paraId="7DC06E96">
            <w:pPr>
              <w:spacing w:line="440" w:lineRule="exact"/>
              <w:jc w:val="center"/>
              <w:rPr>
                <w:color w:val="auto"/>
                <w:highlight w:val="none"/>
              </w:rPr>
            </w:pPr>
          </w:p>
        </w:tc>
        <w:tc>
          <w:tcPr>
            <w:tcW w:w="492" w:type="pct"/>
            <w:noWrap w:val="0"/>
            <w:vAlign w:val="top"/>
          </w:tcPr>
          <w:p w14:paraId="37C78B7D">
            <w:pPr>
              <w:spacing w:line="440" w:lineRule="exact"/>
              <w:jc w:val="center"/>
              <w:rPr>
                <w:color w:val="auto"/>
                <w:highlight w:val="none"/>
              </w:rPr>
            </w:pPr>
          </w:p>
        </w:tc>
        <w:tc>
          <w:tcPr>
            <w:tcW w:w="657" w:type="pct"/>
            <w:noWrap w:val="0"/>
            <w:vAlign w:val="top"/>
          </w:tcPr>
          <w:p w14:paraId="78CD252D">
            <w:pPr>
              <w:spacing w:line="440" w:lineRule="exact"/>
              <w:jc w:val="center"/>
              <w:rPr>
                <w:color w:val="auto"/>
                <w:highlight w:val="none"/>
              </w:rPr>
            </w:pPr>
          </w:p>
        </w:tc>
        <w:tc>
          <w:tcPr>
            <w:tcW w:w="410" w:type="pct"/>
            <w:noWrap w:val="0"/>
            <w:vAlign w:val="top"/>
          </w:tcPr>
          <w:p w14:paraId="036A2570">
            <w:pPr>
              <w:spacing w:line="440" w:lineRule="exact"/>
              <w:jc w:val="center"/>
              <w:rPr>
                <w:color w:val="auto"/>
                <w:highlight w:val="none"/>
              </w:rPr>
            </w:pPr>
          </w:p>
        </w:tc>
      </w:tr>
      <w:tr w14:paraId="5E86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2C0F4953">
            <w:pPr>
              <w:spacing w:line="440" w:lineRule="exact"/>
              <w:jc w:val="center"/>
              <w:rPr>
                <w:color w:val="auto"/>
                <w:highlight w:val="none"/>
              </w:rPr>
            </w:pPr>
          </w:p>
        </w:tc>
        <w:tc>
          <w:tcPr>
            <w:tcW w:w="753" w:type="pct"/>
            <w:noWrap w:val="0"/>
            <w:vAlign w:val="top"/>
          </w:tcPr>
          <w:p w14:paraId="7BAB1093">
            <w:pPr>
              <w:spacing w:line="440" w:lineRule="exact"/>
              <w:jc w:val="center"/>
              <w:rPr>
                <w:color w:val="auto"/>
                <w:highlight w:val="none"/>
              </w:rPr>
            </w:pPr>
          </w:p>
        </w:tc>
        <w:tc>
          <w:tcPr>
            <w:tcW w:w="477" w:type="pct"/>
            <w:noWrap w:val="0"/>
            <w:vAlign w:val="top"/>
          </w:tcPr>
          <w:p w14:paraId="4BF89D21">
            <w:pPr>
              <w:spacing w:line="440" w:lineRule="exact"/>
              <w:jc w:val="center"/>
              <w:rPr>
                <w:color w:val="auto"/>
                <w:highlight w:val="none"/>
              </w:rPr>
            </w:pPr>
          </w:p>
        </w:tc>
        <w:tc>
          <w:tcPr>
            <w:tcW w:w="419" w:type="pct"/>
            <w:noWrap w:val="0"/>
            <w:vAlign w:val="top"/>
          </w:tcPr>
          <w:p w14:paraId="6797EECD">
            <w:pPr>
              <w:spacing w:line="440" w:lineRule="exact"/>
              <w:jc w:val="center"/>
              <w:rPr>
                <w:color w:val="auto"/>
                <w:highlight w:val="none"/>
              </w:rPr>
            </w:pPr>
          </w:p>
        </w:tc>
        <w:tc>
          <w:tcPr>
            <w:tcW w:w="483" w:type="pct"/>
            <w:noWrap w:val="0"/>
            <w:vAlign w:val="top"/>
          </w:tcPr>
          <w:p w14:paraId="5C7164F6">
            <w:pPr>
              <w:spacing w:line="440" w:lineRule="exact"/>
              <w:jc w:val="center"/>
              <w:rPr>
                <w:color w:val="auto"/>
                <w:highlight w:val="none"/>
              </w:rPr>
            </w:pPr>
          </w:p>
        </w:tc>
        <w:tc>
          <w:tcPr>
            <w:tcW w:w="458" w:type="pct"/>
            <w:noWrap w:val="0"/>
            <w:vAlign w:val="top"/>
          </w:tcPr>
          <w:p w14:paraId="6208D786">
            <w:pPr>
              <w:spacing w:line="440" w:lineRule="exact"/>
              <w:jc w:val="center"/>
              <w:rPr>
                <w:color w:val="auto"/>
                <w:highlight w:val="none"/>
              </w:rPr>
            </w:pPr>
          </w:p>
        </w:tc>
        <w:tc>
          <w:tcPr>
            <w:tcW w:w="425" w:type="pct"/>
            <w:noWrap w:val="0"/>
            <w:vAlign w:val="top"/>
          </w:tcPr>
          <w:p w14:paraId="337AC8C4">
            <w:pPr>
              <w:spacing w:line="440" w:lineRule="exact"/>
              <w:jc w:val="center"/>
              <w:rPr>
                <w:color w:val="auto"/>
                <w:highlight w:val="none"/>
              </w:rPr>
            </w:pPr>
          </w:p>
        </w:tc>
        <w:tc>
          <w:tcPr>
            <w:tcW w:w="492" w:type="pct"/>
            <w:noWrap w:val="0"/>
            <w:vAlign w:val="top"/>
          </w:tcPr>
          <w:p w14:paraId="3345183A">
            <w:pPr>
              <w:spacing w:line="440" w:lineRule="exact"/>
              <w:jc w:val="center"/>
              <w:rPr>
                <w:color w:val="auto"/>
                <w:highlight w:val="none"/>
              </w:rPr>
            </w:pPr>
          </w:p>
        </w:tc>
        <w:tc>
          <w:tcPr>
            <w:tcW w:w="657" w:type="pct"/>
            <w:noWrap w:val="0"/>
            <w:vAlign w:val="top"/>
          </w:tcPr>
          <w:p w14:paraId="50F37FF4">
            <w:pPr>
              <w:spacing w:line="440" w:lineRule="exact"/>
              <w:jc w:val="center"/>
              <w:rPr>
                <w:color w:val="auto"/>
                <w:highlight w:val="none"/>
              </w:rPr>
            </w:pPr>
          </w:p>
        </w:tc>
        <w:tc>
          <w:tcPr>
            <w:tcW w:w="410" w:type="pct"/>
            <w:noWrap w:val="0"/>
            <w:vAlign w:val="top"/>
          </w:tcPr>
          <w:p w14:paraId="2C5CD9DB">
            <w:pPr>
              <w:spacing w:line="440" w:lineRule="exact"/>
              <w:jc w:val="center"/>
              <w:rPr>
                <w:color w:val="auto"/>
                <w:highlight w:val="none"/>
              </w:rPr>
            </w:pPr>
          </w:p>
        </w:tc>
      </w:tr>
      <w:tr w14:paraId="21BA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2BAB3D09">
            <w:pPr>
              <w:spacing w:line="440" w:lineRule="exact"/>
              <w:jc w:val="center"/>
              <w:rPr>
                <w:color w:val="auto"/>
                <w:highlight w:val="none"/>
              </w:rPr>
            </w:pPr>
          </w:p>
        </w:tc>
        <w:tc>
          <w:tcPr>
            <w:tcW w:w="753" w:type="pct"/>
            <w:noWrap w:val="0"/>
            <w:vAlign w:val="top"/>
          </w:tcPr>
          <w:p w14:paraId="23532923">
            <w:pPr>
              <w:spacing w:line="440" w:lineRule="exact"/>
              <w:jc w:val="center"/>
              <w:rPr>
                <w:color w:val="auto"/>
                <w:highlight w:val="none"/>
              </w:rPr>
            </w:pPr>
          </w:p>
        </w:tc>
        <w:tc>
          <w:tcPr>
            <w:tcW w:w="477" w:type="pct"/>
            <w:noWrap w:val="0"/>
            <w:vAlign w:val="top"/>
          </w:tcPr>
          <w:p w14:paraId="698A6DCB">
            <w:pPr>
              <w:spacing w:line="440" w:lineRule="exact"/>
              <w:jc w:val="center"/>
              <w:rPr>
                <w:color w:val="auto"/>
                <w:highlight w:val="none"/>
              </w:rPr>
            </w:pPr>
          </w:p>
        </w:tc>
        <w:tc>
          <w:tcPr>
            <w:tcW w:w="419" w:type="pct"/>
            <w:noWrap w:val="0"/>
            <w:vAlign w:val="top"/>
          </w:tcPr>
          <w:p w14:paraId="7484B484">
            <w:pPr>
              <w:spacing w:line="440" w:lineRule="exact"/>
              <w:jc w:val="center"/>
              <w:rPr>
                <w:color w:val="auto"/>
                <w:highlight w:val="none"/>
              </w:rPr>
            </w:pPr>
          </w:p>
        </w:tc>
        <w:tc>
          <w:tcPr>
            <w:tcW w:w="483" w:type="pct"/>
            <w:noWrap w:val="0"/>
            <w:vAlign w:val="top"/>
          </w:tcPr>
          <w:p w14:paraId="28D8B87C">
            <w:pPr>
              <w:spacing w:line="440" w:lineRule="exact"/>
              <w:jc w:val="center"/>
              <w:rPr>
                <w:color w:val="auto"/>
                <w:highlight w:val="none"/>
              </w:rPr>
            </w:pPr>
          </w:p>
        </w:tc>
        <w:tc>
          <w:tcPr>
            <w:tcW w:w="458" w:type="pct"/>
            <w:noWrap w:val="0"/>
            <w:vAlign w:val="top"/>
          </w:tcPr>
          <w:p w14:paraId="09C32097">
            <w:pPr>
              <w:spacing w:line="440" w:lineRule="exact"/>
              <w:jc w:val="center"/>
              <w:rPr>
                <w:color w:val="auto"/>
                <w:highlight w:val="none"/>
              </w:rPr>
            </w:pPr>
          </w:p>
        </w:tc>
        <w:tc>
          <w:tcPr>
            <w:tcW w:w="425" w:type="pct"/>
            <w:noWrap w:val="0"/>
            <w:vAlign w:val="top"/>
          </w:tcPr>
          <w:p w14:paraId="42780342">
            <w:pPr>
              <w:spacing w:line="440" w:lineRule="exact"/>
              <w:jc w:val="center"/>
              <w:rPr>
                <w:color w:val="auto"/>
                <w:highlight w:val="none"/>
              </w:rPr>
            </w:pPr>
          </w:p>
        </w:tc>
        <w:tc>
          <w:tcPr>
            <w:tcW w:w="492" w:type="pct"/>
            <w:noWrap w:val="0"/>
            <w:vAlign w:val="top"/>
          </w:tcPr>
          <w:p w14:paraId="7CAACAD4">
            <w:pPr>
              <w:spacing w:line="440" w:lineRule="exact"/>
              <w:jc w:val="center"/>
              <w:rPr>
                <w:color w:val="auto"/>
                <w:highlight w:val="none"/>
              </w:rPr>
            </w:pPr>
          </w:p>
        </w:tc>
        <w:tc>
          <w:tcPr>
            <w:tcW w:w="657" w:type="pct"/>
            <w:noWrap w:val="0"/>
            <w:vAlign w:val="top"/>
          </w:tcPr>
          <w:p w14:paraId="7A91974B">
            <w:pPr>
              <w:spacing w:line="440" w:lineRule="exact"/>
              <w:jc w:val="center"/>
              <w:rPr>
                <w:color w:val="auto"/>
                <w:highlight w:val="none"/>
              </w:rPr>
            </w:pPr>
          </w:p>
        </w:tc>
        <w:tc>
          <w:tcPr>
            <w:tcW w:w="410" w:type="pct"/>
            <w:noWrap w:val="0"/>
            <w:vAlign w:val="top"/>
          </w:tcPr>
          <w:p w14:paraId="35989A9E">
            <w:pPr>
              <w:spacing w:line="440" w:lineRule="exact"/>
              <w:jc w:val="center"/>
              <w:rPr>
                <w:color w:val="auto"/>
                <w:highlight w:val="none"/>
              </w:rPr>
            </w:pPr>
          </w:p>
        </w:tc>
      </w:tr>
      <w:tr w14:paraId="2303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top"/>
          </w:tcPr>
          <w:p w14:paraId="09A051E5">
            <w:pPr>
              <w:spacing w:line="440" w:lineRule="exact"/>
              <w:jc w:val="center"/>
              <w:rPr>
                <w:color w:val="auto"/>
                <w:highlight w:val="none"/>
              </w:rPr>
            </w:pPr>
          </w:p>
        </w:tc>
        <w:tc>
          <w:tcPr>
            <w:tcW w:w="753" w:type="pct"/>
            <w:noWrap w:val="0"/>
            <w:vAlign w:val="top"/>
          </w:tcPr>
          <w:p w14:paraId="758751E1">
            <w:pPr>
              <w:spacing w:line="440" w:lineRule="exact"/>
              <w:jc w:val="center"/>
              <w:rPr>
                <w:color w:val="auto"/>
                <w:highlight w:val="none"/>
              </w:rPr>
            </w:pPr>
          </w:p>
        </w:tc>
        <w:tc>
          <w:tcPr>
            <w:tcW w:w="477" w:type="pct"/>
            <w:noWrap w:val="0"/>
            <w:vAlign w:val="top"/>
          </w:tcPr>
          <w:p w14:paraId="539E88C0">
            <w:pPr>
              <w:spacing w:line="440" w:lineRule="exact"/>
              <w:jc w:val="center"/>
              <w:rPr>
                <w:color w:val="auto"/>
                <w:highlight w:val="none"/>
              </w:rPr>
            </w:pPr>
          </w:p>
        </w:tc>
        <w:tc>
          <w:tcPr>
            <w:tcW w:w="419" w:type="pct"/>
            <w:noWrap w:val="0"/>
            <w:vAlign w:val="top"/>
          </w:tcPr>
          <w:p w14:paraId="6E1F4092">
            <w:pPr>
              <w:spacing w:line="440" w:lineRule="exact"/>
              <w:jc w:val="center"/>
              <w:rPr>
                <w:color w:val="auto"/>
                <w:highlight w:val="none"/>
              </w:rPr>
            </w:pPr>
          </w:p>
        </w:tc>
        <w:tc>
          <w:tcPr>
            <w:tcW w:w="483" w:type="pct"/>
            <w:noWrap w:val="0"/>
            <w:vAlign w:val="top"/>
          </w:tcPr>
          <w:p w14:paraId="281033FA">
            <w:pPr>
              <w:spacing w:line="440" w:lineRule="exact"/>
              <w:jc w:val="center"/>
              <w:rPr>
                <w:color w:val="auto"/>
                <w:highlight w:val="none"/>
              </w:rPr>
            </w:pPr>
          </w:p>
        </w:tc>
        <w:tc>
          <w:tcPr>
            <w:tcW w:w="458" w:type="pct"/>
            <w:noWrap w:val="0"/>
            <w:vAlign w:val="top"/>
          </w:tcPr>
          <w:p w14:paraId="4A6FA9EF">
            <w:pPr>
              <w:spacing w:line="440" w:lineRule="exact"/>
              <w:jc w:val="center"/>
              <w:rPr>
                <w:color w:val="auto"/>
                <w:highlight w:val="none"/>
              </w:rPr>
            </w:pPr>
          </w:p>
        </w:tc>
        <w:tc>
          <w:tcPr>
            <w:tcW w:w="425" w:type="pct"/>
            <w:noWrap w:val="0"/>
            <w:vAlign w:val="top"/>
          </w:tcPr>
          <w:p w14:paraId="27A5343A">
            <w:pPr>
              <w:spacing w:line="440" w:lineRule="exact"/>
              <w:jc w:val="center"/>
              <w:rPr>
                <w:color w:val="auto"/>
                <w:highlight w:val="none"/>
              </w:rPr>
            </w:pPr>
          </w:p>
        </w:tc>
        <w:tc>
          <w:tcPr>
            <w:tcW w:w="492" w:type="pct"/>
            <w:noWrap w:val="0"/>
            <w:vAlign w:val="top"/>
          </w:tcPr>
          <w:p w14:paraId="44D50FB5">
            <w:pPr>
              <w:spacing w:line="440" w:lineRule="exact"/>
              <w:jc w:val="center"/>
              <w:rPr>
                <w:color w:val="auto"/>
                <w:highlight w:val="none"/>
              </w:rPr>
            </w:pPr>
          </w:p>
        </w:tc>
        <w:tc>
          <w:tcPr>
            <w:tcW w:w="657" w:type="pct"/>
            <w:noWrap w:val="0"/>
            <w:vAlign w:val="top"/>
          </w:tcPr>
          <w:p w14:paraId="5E16432B">
            <w:pPr>
              <w:spacing w:line="440" w:lineRule="exact"/>
              <w:jc w:val="center"/>
              <w:rPr>
                <w:color w:val="auto"/>
                <w:highlight w:val="none"/>
              </w:rPr>
            </w:pPr>
          </w:p>
        </w:tc>
        <w:tc>
          <w:tcPr>
            <w:tcW w:w="410" w:type="pct"/>
            <w:noWrap w:val="0"/>
            <w:vAlign w:val="top"/>
          </w:tcPr>
          <w:p w14:paraId="59477033">
            <w:pPr>
              <w:spacing w:line="440" w:lineRule="exact"/>
              <w:jc w:val="center"/>
              <w:rPr>
                <w:color w:val="auto"/>
                <w:highlight w:val="none"/>
              </w:rPr>
            </w:pPr>
          </w:p>
        </w:tc>
      </w:tr>
    </w:tbl>
    <w:p w14:paraId="5816F51C">
      <w:pPr>
        <w:spacing w:line="440" w:lineRule="exact"/>
        <w:rPr>
          <w:color w:val="auto"/>
          <w:highlight w:val="none"/>
        </w:rPr>
      </w:pPr>
      <w:r>
        <w:rPr>
          <w:color w:val="auto"/>
          <w:highlight w:val="none"/>
        </w:rPr>
        <w:t xml:space="preserve"> </w:t>
      </w:r>
    </w:p>
    <w:p w14:paraId="3F6F010C">
      <w:pPr>
        <w:spacing w:line="440" w:lineRule="exact"/>
        <w:rPr>
          <w:color w:val="auto"/>
          <w:highlight w:val="none"/>
        </w:rPr>
      </w:pPr>
      <w:r>
        <w:rPr>
          <w:color w:val="auto"/>
          <w:sz w:val="24"/>
          <w:highlight w:val="none"/>
        </w:rPr>
        <w:t>注：</w:t>
      </w:r>
      <w:r>
        <w:rPr>
          <w:rFonts w:hint="eastAsia"/>
          <w:color w:val="auto"/>
          <w:sz w:val="24"/>
          <w:highlight w:val="none"/>
        </w:rPr>
        <w:t>投标人可根据评标办法前附表的要求在本表后附相关证明材料。</w:t>
      </w:r>
      <w:r>
        <w:rPr>
          <w:color w:val="auto"/>
          <w:highlight w:val="none"/>
        </w:rPr>
        <w:t xml:space="preserve"> </w:t>
      </w:r>
    </w:p>
    <w:p w14:paraId="7A0BCEFC">
      <w:pPr>
        <w:spacing w:line="440" w:lineRule="exact"/>
        <w:rPr>
          <w:color w:val="auto"/>
          <w:highlight w:val="none"/>
        </w:rPr>
      </w:pPr>
    </w:p>
    <w:p w14:paraId="3E5C06ED">
      <w:pPr>
        <w:spacing w:line="440" w:lineRule="exact"/>
        <w:rPr>
          <w:color w:val="auto"/>
          <w:highlight w:val="none"/>
        </w:rPr>
      </w:pPr>
    </w:p>
    <w:p w14:paraId="2CCF9CC0">
      <w:pPr>
        <w:spacing w:line="440" w:lineRule="exact"/>
        <w:rPr>
          <w:color w:val="auto"/>
          <w:highlight w:val="none"/>
        </w:rPr>
      </w:pPr>
    </w:p>
    <w:p w14:paraId="16D372A3">
      <w:pPr>
        <w:spacing w:line="440" w:lineRule="exact"/>
        <w:rPr>
          <w:color w:val="auto"/>
          <w:highlight w:val="none"/>
        </w:rPr>
      </w:pPr>
    </w:p>
    <w:p w14:paraId="07973F60">
      <w:pPr>
        <w:spacing w:line="440" w:lineRule="exact"/>
        <w:rPr>
          <w:color w:val="auto"/>
          <w:highlight w:val="none"/>
        </w:rPr>
      </w:pPr>
    </w:p>
    <w:p w14:paraId="687285CF">
      <w:pPr>
        <w:spacing w:line="440" w:lineRule="exact"/>
        <w:rPr>
          <w:color w:val="auto"/>
          <w:highlight w:val="none"/>
        </w:rPr>
      </w:pPr>
    </w:p>
    <w:p w14:paraId="3048D475">
      <w:pPr>
        <w:spacing w:line="440" w:lineRule="exact"/>
        <w:rPr>
          <w:color w:val="auto"/>
          <w:highlight w:val="none"/>
        </w:rPr>
      </w:pPr>
    </w:p>
    <w:p w14:paraId="2D939A26">
      <w:pPr>
        <w:spacing w:line="440" w:lineRule="exact"/>
        <w:rPr>
          <w:color w:val="auto"/>
          <w:highlight w:val="none"/>
        </w:rPr>
      </w:pPr>
    </w:p>
    <w:p w14:paraId="051830D6">
      <w:pPr>
        <w:spacing w:line="440" w:lineRule="exact"/>
        <w:rPr>
          <w:color w:val="auto"/>
          <w:highlight w:val="none"/>
        </w:rPr>
      </w:pPr>
    </w:p>
    <w:p w14:paraId="0B716786">
      <w:pPr>
        <w:spacing w:line="440" w:lineRule="exact"/>
        <w:rPr>
          <w:color w:val="auto"/>
          <w:highlight w:val="none"/>
        </w:rPr>
      </w:pPr>
    </w:p>
    <w:p w14:paraId="6CF484C7">
      <w:pPr>
        <w:spacing w:line="440" w:lineRule="exact"/>
        <w:rPr>
          <w:color w:val="auto"/>
          <w:highlight w:val="none"/>
        </w:rPr>
      </w:pPr>
    </w:p>
    <w:p w14:paraId="5BF87A85">
      <w:pPr>
        <w:spacing w:line="440" w:lineRule="exact"/>
        <w:rPr>
          <w:color w:val="auto"/>
          <w:highlight w:val="none"/>
        </w:rPr>
      </w:pPr>
    </w:p>
    <w:p w14:paraId="5F884A30">
      <w:pPr>
        <w:spacing w:line="440" w:lineRule="exact"/>
        <w:rPr>
          <w:rFonts w:hint="eastAsia"/>
          <w:color w:val="auto"/>
          <w:highlight w:val="none"/>
        </w:rPr>
      </w:pPr>
    </w:p>
    <w:p w14:paraId="28DB8FA6">
      <w:pPr>
        <w:spacing w:line="440" w:lineRule="exact"/>
        <w:rPr>
          <w:color w:val="auto"/>
          <w:highlight w:val="none"/>
        </w:rPr>
      </w:pPr>
    </w:p>
    <w:p w14:paraId="2FCEBD85">
      <w:pPr>
        <w:spacing w:line="440" w:lineRule="exact"/>
        <w:rPr>
          <w:b/>
          <w:bCs/>
          <w:color w:val="auto"/>
          <w:sz w:val="28"/>
          <w:szCs w:val="28"/>
          <w:highlight w:val="none"/>
        </w:rPr>
      </w:pPr>
      <w:r>
        <w:rPr>
          <w:b/>
          <w:bCs/>
          <w:color w:val="auto"/>
          <w:sz w:val="28"/>
          <w:szCs w:val="28"/>
          <w:highlight w:val="none"/>
        </w:rPr>
        <w:t>（</w:t>
      </w:r>
      <w:r>
        <w:rPr>
          <w:rFonts w:hint="eastAsia"/>
          <w:b/>
          <w:bCs/>
          <w:color w:val="auto"/>
          <w:sz w:val="28"/>
          <w:szCs w:val="28"/>
          <w:highlight w:val="none"/>
        </w:rPr>
        <w:t>三</w:t>
      </w:r>
      <w:r>
        <w:rPr>
          <w:b/>
          <w:bCs/>
          <w:color w:val="auto"/>
          <w:sz w:val="28"/>
          <w:szCs w:val="28"/>
          <w:highlight w:val="none"/>
        </w:rPr>
        <w:t>）</w:t>
      </w:r>
      <w:r>
        <w:rPr>
          <w:rFonts w:hint="eastAsia"/>
          <w:b/>
          <w:bCs/>
          <w:color w:val="auto"/>
          <w:sz w:val="28"/>
          <w:szCs w:val="28"/>
          <w:highlight w:val="none"/>
          <w:lang w:val="en-US" w:eastAsia="zh-CN"/>
        </w:rPr>
        <w:t>项目负责人</w:t>
      </w:r>
      <w:r>
        <w:rPr>
          <w:b/>
          <w:bCs/>
          <w:color w:val="auto"/>
          <w:sz w:val="28"/>
          <w:szCs w:val="28"/>
          <w:highlight w:val="none"/>
        </w:rPr>
        <w:t>简历表（格式可自定）</w:t>
      </w:r>
    </w:p>
    <w:p w14:paraId="4F4ED9E5">
      <w:pPr>
        <w:topLinePunct/>
        <w:spacing w:line="440" w:lineRule="exact"/>
        <w:jc w:val="center"/>
        <w:rPr>
          <w:color w:val="auto"/>
          <w:sz w:val="23"/>
          <w:szCs w:val="23"/>
          <w:highlight w:val="none"/>
        </w:rPr>
      </w:pPr>
      <w:r>
        <w:rPr>
          <w:color w:val="auto"/>
          <w:sz w:val="23"/>
          <w:szCs w:val="23"/>
          <w:highlight w:val="none"/>
        </w:rPr>
        <w:t xml:space="preserve"> </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1643"/>
        <w:gridCol w:w="206"/>
        <w:gridCol w:w="821"/>
        <w:gridCol w:w="942"/>
        <w:gridCol w:w="976"/>
        <w:gridCol w:w="753"/>
        <w:gridCol w:w="823"/>
        <w:gridCol w:w="823"/>
        <w:gridCol w:w="1641"/>
      </w:tblGrid>
      <w:tr w14:paraId="324E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679" w:type="pct"/>
            <w:tcBorders>
              <w:top w:val="single" w:color="auto" w:sz="12" w:space="0"/>
              <w:left w:val="single" w:color="auto" w:sz="12" w:space="0"/>
            </w:tcBorders>
            <w:noWrap w:val="0"/>
            <w:vAlign w:val="center"/>
          </w:tcPr>
          <w:p w14:paraId="5F5D2CEF">
            <w:pPr>
              <w:jc w:val="center"/>
              <w:rPr>
                <w:rFonts w:hint="eastAsia" w:ascii="宋体" w:hAnsi="宋体"/>
                <w:color w:val="auto"/>
                <w:position w:val="-30"/>
                <w:sz w:val="24"/>
                <w:highlight w:val="none"/>
              </w:rPr>
            </w:pPr>
            <w:r>
              <w:rPr>
                <w:rFonts w:hint="eastAsia" w:ascii="宋体" w:hAnsi="宋体"/>
                <w:color w:val="auto"/>
                <w:position w:val="-30"/>
                <w:sz w:val="24"/>
                <w:highlight w:val="none"/>
              </w:rPr>
              <w:t>姓名</w:t>
            </w:r>
          </w:p>
        </w:tc>
        <w:tc>
          <w:tcPr>
            <w:tcW w:w="823" w:type="pct"/>
            <w:tcBorders>
              <w:top w:val="single" w:color="auto" w:sz="12" w:space="0"/>
            </w:tcBorders>
            <w:noWrap w:val="0"/>
            <w:vAlign w:val="center"/>
          </w:tcPr>
          <w:p w14:paraId="791EAE07">
            <w:pPr>
              <w:jc w:val="center"/>
              <w:rPr>
                <w:rFonts w:hint="eastAsia" w:ascii="宋体" w:hAnsi="宋体"/>
                <w:color w:val="auto"/>
                <w:position w:val="-30"/>
                <w:sz w:val="24"/>
                <w:highlight w:val="none"/>
              </w:rPr>
            </w:pPr>
          </w:p>
        </w:tc>
        <w:tc>
          <w:tcPr>
            <w:tcW w:w="514" w:type="pct"/>
            <w:gridSpan w:val="2"/>
            <w:tcBorders>
              <w:top w:val="single" w:color="auto" w:sz="12" w:space="0"/>
            </w:tcBorders>
            <w:noWrap w:val="0"/>
            <w:vAlign w:val="center"/>
          </w:tcPr>
          <w:p w14:paraId="08EC6078">
            <w:pPr>
              <w:jc w:val="center"/>
              <w:rPr>
                <w:rFonts w:hint="eastAsia" w:ascii="宋体" w:hAnsi="宋体"/>
                <w:color w:val="auto"/>
                <w:position w:val="-30"/>
                <w:sz w:val="24"/>
                <w:highlight w:val="none"/>
              </w:rPr>
            </w:pPr>
            <w:r>
              <w:rPr>
                <w:rFonts w:hint="eastAsia" w:ascii="宋体" w:hAnsi="宋体"/>
                <w:color w:val="auto"/>
                <w:position w:val="-30"/>
                <w:sz w:val="24"/>
                <w:highlight w:val="none"/>
              </w:rPr>
              <w:t>性别</w:t>
            </w:r>
          </w:p>
        </w:tc>
        <w:tc>
          <w:tcPr>
            <w:tcW w:w="472" w:type="pct"/>
            <w:tcBorders>
              <w:top w:val="single" w:color="auto" w:sz="12" w:space="0"/>
            </w:tcBorders>
            <w:noWrap w:val="0"/>
            <w:vAlign w:val="center"/>
          </w:tcPr>
          <w:p w14:paraId="7AC587CB">
            <w:pPr>
              <w:jc w:val="center"/>
              <w:rPr>
                <w:rFonts w:hint="eastAsia" w:ascii="宋体" w:hAnsi="宋体"/>
                <w:color w:val="auto"/>
                <w:position w:val="-30"/>
                <w:sz w:val="24"/>
                <w:highlight w:val="none"/>
              </w:rPr>
            </w:pPr>
          </w:p>
        </w:tc>
        <w:tc>
          <w:tcPr>
            <w:tcW w:w="489" w:type="pct"/>
            <w:tcBorders>
              <w:top w:val="single" w:color="auto" w:sz="12" w:space="0"/>
            </w:tcBorders>
            <w:noWrap w:val="0"/>
            <w:vAlign w:val="center"/>
          </w:tcPr>
          <w:p w14:paraId="0E3DE723">
            <w:pPr>
              <w:jc w:val="center"/>
              <w:rPr>
                <w:rFonts w:hint="eastAsia" w:ascii="宋体" w:hAnsi="宋体"/>
                <w:color w:val="auto"/>
                <w:position w:val="-30"/>
                <w:sz w:val="24"/>
                <w:highlight w:val="none"/>
              </w:rPr>
            </w:pPr>
            <w:r>
              <w:rPr>
                <w:rFonts w:hint="eastAsia" w:ascii="宋体" w:hAnsi="宋体"/>
                <w:color w:val="auto"/>
                <w:position w:val="-30"/>
                <w:sz w:val="24"/>
                <w:highlight w:val="none"/>
              </w:rPr>
              <w:t>出生</w:t>
            </w:r>
          </w:p>
          <w:p w14:paraId="786866AA">
            <w:pPr>
              <w:jc w:val="center"/>
              <w:rPr>
                <w:rFonts w:hint="eastAsia" w:ascii="宋体" w:hAnsi="宋体"/>
                <w:color w:val="auto"/>
                <w:position w:val="-30"/>
                <w:sz w:val="24"/>
                <w:highlight w:val="none"/>
              </w:rPr>
            </w:pPr>
            <w:r>
              <w:rPr>
                <w:rFonts w:hint="eastAsia" w:ascii="宋体" w:hAnsi="宋体"/>
                <w:color w:val="auto"/>
                <w:position w:val="-30"/>
                <w:sz w:val="24"/>
                <w:highlight w:val="none"/>
              </w:rPr>
              <w:t>年月</w:t>
            </w:r>
          </w:p>
        </w:tc>
        <w:tc>
          <w:tcPr>
            <w:tcW w:w="789" w:type="pct"/>
            <w:gridSpan w:val="2"/>
            <w:tcBorders>
              <w:top w:val="single" w:color="auto" w:sz="12" w:space="0"/>
            </w:tcBorders>
            <w:noWrap w:val="0"/>
            <w:vAlign w:val="center"/>
          </w:tcPr>
          <w:p w14:paraId="1FA0BBEE">
            <w:pPr>
              <w:jc w:val="center"/>
              <w:rPr>
                <w:rFonts w:hint="eastAsia" w:ascii="宋体" w:hAnsi="宋体"/>
                <w:color w:val="auto"/>
                <w:position w:val="-30"/>
                <w:sz w:val="24"/>
                <w:highlight w:val="none"/>
              </w:rPr>
            </w:pPr>
          </w:p>
        </w:tc>
        <w:tc>
          <w:tcPr>
            <w:tcW w:w="412" w:type="pct"/>
            <w:tcBorders>
              <w:top w:val="single" w:color="auto" w:sz="12" w:space="0"/>
            </w:tcBorders>
            <w:noWrap w:val="0"/>
            <w:vAlign w:val="center"/>
          </w:tcPr>
          <w:p w14:paraId="503C019F">
            <w:pPr>
              <w:jc w:val="center"/>
              <w:rPr>
                <w:rFonts w:hint="eastAsia" w:ascii="宋体" w:hAnsi="宋体"/>
                <w:color w:val="auto"/>
                <w:position w:val="-30"/>
                <w:sz w:val="24"/>
                <w:highlight w:val="none"/>
              </w:rPr>
            </w:pPr>
            <w:r>
              <w:rPr>
                <w:rFonts w:hint="eastAsia" w:ascii="宋体" w:hAnsi="宋体"/>
                <w:color w:val="auto"/>
                <w:position w:val="-30"/>
                <w:sz w:val="24"/>
                <w:highlight w:val="none"/>
              </w:rPr>
              <w:t>文化程度</w:t>
            </w:r>
          </w:p>
        </w:tc>
        <w:tc>
          <w:tcPr>
            <w:tcW w:w="822" w:type="pct"/>
            <w:tcBorders>
              <w:top w:val="single" w:color="auto" w:sz="12" w:space="0"/>
              <w:right w:val="single" w:color="auto" w:sz="12" w:space="0"/>
            </w:tcBorders>
            <w:noWrap w:val="0"/>
            <w:vAlign w:val="center"/>
          </w:tcPr>
          <w:p w14:paraId="3B52B0AF">
            <w:pPr>
              <w:jc w:val="center"/>
              <w:rPr>
                <w:rFonts w:hint="eastAsia" w:ascii="宋体" w:hAnsi="宋体"/>
                <w:color w:val="auto"/>
                <w:position w:val="-30"/>
                <w:sz w:val="24"/>
                <w:highlight w:val="none"/>
              </w:rPr>
            </w:pPr>
          </w:p>
        </w:tc>
      </w:tr>
      <w:tr w14:paraId="3E12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679" w:type="pct"/>
            <w:tcBorders>
              <w:left w:val="single" w:color="auto" w:sz="12" w:space="0"/>
            </w:tcBorders>
            <w:noWrap w:val="0"/>
            <w:vAlign w:val="center"/>
          </w:tcPr>
          <w:p w14:paraId="0543B6CF">
            <w:pPr>
              <w:jc w:val="center"/>
              <w:rPr>
                <w:rFonts w:hint="eastAsia" w:ascii="宋体" w:hAnsi="宋体"/>
                <w:color w:val="auto"/>
                <w:position w:val="-30"/>
                <w:sz w:val="24"/>
                <w:highlight w:val="none"/>
              </w:rPr>
            </w:pPr>
            <w:r>
              <w:rPr>
                <w:rFonts w:hint="eastAsia" w:ascii="宋体" w:hAnsi="宋体"/>
                <w:color w:val="auto"/>
                <w:position w:val="-30"/>
                <w:sz w:val="24"/>
                <w:highlight w:val="none"/>
              </w:rPr>
              <w:t>毕业院校</w:t>
            </w:r>
          </w:p>
        </w:tc>
        <w:tc>
          <w:tcPr>
            <w:tcW w:w="1337" w:type="pct"/>
            <w:gridSpan w:val="3"/>
            <w:noWrap w:val="0"/>
            <w:vAlign w:val="center"/>
          </w:tcPr>
          <w:p w14:paraId="0F1B27ED">
            <w:pPr>
              <w:jc w:val="center"/>
              <w:rPr>
                <w:rFonts w:hint="eastAsia" w:ascii="宋体" w:hAnsi="宋体"/>
                <w:color w:val="auto"/>
                <w:position w:val="-30"/>
                <w:sz w:val="24"/>
                <w:highlight w:val="none"/>
              </w:rPr>
            </w:pPr>
          </w:p>
        </w:tc>
        <w:tc>
          <w:tcPr>
            <w:tcW w:w="472" w:type="pct"/>
            <w:noWrap w:val="0"/>
            <w:vAlign w:val="center"/>
          </w:tcPr>
          <w:p w14:paraId="3F20F09C">
            <w:pPr>
              <w:jc w:val="center"/>
              <w:rPr>
                <w:rFonts w:hint="eastAsia" w:ascii="宋体" w:hAnsi="宋体"/>
                <w:color w:val="auto"/>
                <w:position w:val="-30"/>
                <w:sz w:val="24"/>
                <w:highlight w:val="none"/>
              </w:rPr>
            </w:pPr>
            <w:r>
              <w:rPr>
                <w:rFonts w:hint="eastAsia" w:ascii="宋体" w:hAnsi="宋体"/>
                <w:color w:val="auto"/>
                <w:position w:val="-30"/>
                <w:sz w:val="24"/>
                <w:highlight w:val="none"/>
              </w:rPr>
              <w:t>专业</w:t>
            </w:r>
          </w:p>
        </w:tc>
        <w:tc>
          <w:tcPr>
            <w:tcW w:w="866" w:type="pct"/>
            <w:gridSpan w:val="2"/>
            <w:noWrap w:val="0"/>
            <w:vAlign w:val="center"/>
          </w:tcPr>
          <w:p w14:paraId="12F0670F">
            <w:pPr>
              <w:jc w:val="center"/>
              <w:rPr>
                <w:rFonts w:hint="eastAsia" w:ascii="宋体" w:hAnsi="宋体"/>
                <w:color w:val="auto"/>
                <w:position w:val="-30"/>
                <w:sz w:val="24"/>
                <w:highlight w:val="none"/>
              </w:rPr>
            </w:pPr>
          </w:p>
        </w:tc>
        <w:tc>
          <w:tcPr>
            <w:tcW w:w="824" w:type="pct"/>
            <w:gridSpan w:val="2"/>
            <w:noWrap w:val="0"/>
            <w:vAlign w:val="center"/>
          </w:tcPr>
          <w:p w14:paraId="35685122">
            <w:pPr>
              <w:jc w:val="center"/>
              <w:rPr>
                <w:rFonts w:hint="eastAsia" w:ascii="宋体" w:hAnsi="宋体"/>
                <w:color w:val="auto"/>
                <w:position w:val="-30"/>
                <w:sz w:val="24"/>
                <w:highlight w:val="none"/>
              </w:rPr>
            </w:pPr>
            <w:r>
              <w:rPr>
                <w:rFonts w:hint="eastAsia" w:ascii="宋体" w:hAnsi="宋体"/>
                <w:color w:val="auto"/>
                <w:position w:val="-30"/>
                <w:sz w:val="24"/>
                <w:highlight w:val="none"/>
              </w:rPr>
              <w:t>毕业时间</w:t>
            </w:r>
          </w:p>
        </w:tc>
        <w:tc>
          <w:tcPr>
            <w:tcW w:w="822" w:type="pct"/>
            <w:tcBorders>
              <w:right w:val="single" w:color="auto" w:sz="12" w:space="0"/>
            </w:tcBorders>
            <w:noWrap w:val="0"/>
            <w:vAlign w:val="center"/>
          </w:tcPr>
          <w:p w14:paraId="17894968">
            <w:pPr>
              <w:jc w:val="center"/>
              <w:rPr>
                <w:rFonts w:hint="eastAsia" w:ascii="宋体" w:hAnsi="宋体"/>
                <w:color w:val="auto"/>
                <w:position w:val="-30"/>
                <w:sz w:val="24"/>
                <w:highlight w:val="none"/>
              </w:rPr>
            </w:pPr>
          </w:p>
        </w:tc>
      </w:tr>
      <w:tr w14:paraId="67D5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679" w:type="pct"/>
            <w:tcBorders>
              <w:left w:val="single" w:color="auto" w:sz="12" w:space="0"/>
              <w:bottom w:val="single" w:color="auto" w:sz="12" w:space="0"/>
            </w:tcBorders>
            <w:noWrap w:val="0"/>
            <w:vAlign w:val="center"/>
          </w:tcPr>
          <w:p w14:paraId="5D833FF9">
            <w:pPr>
              <w:jc w:val="center"/>
              <w:rPr>
                <w:rFonts w:hint="eastAsia" w:ascii="宋体" w:hAnsi="宋体"/>
                <w:color w:val="auto"/>
                <w:position w:val="-30"/>
                <w:sz w:val="24"/>
                <w:highlight w:val="none"/>
              </w:rPr>
            </w:pPr>
            <w:r>
              <w:rPr>
                <w:rFonts w:hint="eastAsia" w:ascii="宋体" w:hAnsi="宋体"/>
                <w:color w:val="auto"/>
                <w:position w:val="-30"/>
                <w:sz w:val="24"/>
                <w:highlight w:val="none"/>
              </w:rPr>
              <w:t>技术职称</w:t>
            </w:r>
          </w:p>
        </w:tc>
        <w:tc>
          <w:tcPr>
            <w:tcW w:w="926" w:type="pct"/>
            <w:gridSpan w:val="2"/>
            <w:tcBorders>
              <w:bottom w:val="single" w:color="auto" w:sz="12" w:space="0"/>
            </w:tcBorders>
            <w:noWrap w:val="0"/>
            <w:vAlign w:val="center"/>
          </w:tcPr>
          <w:p w14:paraId="092BB50C">
            <w:pPr>
              <w:jc w:val="center"/>
              <w:rPr>
                <w:rFonts w:hint="eastAsia" w:ascii="宋体" w:hAnsi="宋体"/>
                <w:color w:val="auto"/>
                <w:position w:val="-30"/>
                <w:sz w:val="24"/>
                <w:highlight w:val="none"/>
              </w:rPr>
            </w:pPr>
          </w:p>
        </w:tc>
        <w:tc>
          <w:tcPr>
            <w:tcW w:w="883" w:type="pct"/>
            <w:gridSpan w:val="2"/>
            <w:tcBorders>
              <w:bottom w:val="single" w:color="auto" w:sz="12" w:space="0"/>
            </w:tcBorders>
            <w:noWrap w:val="0"/>
            <w:vAlign w:val="center"/>
          </w:tcPr>
          <w:p w14:paraId="7E3F915C">
            <w:pPr>
              <w:jc w:val="center"/>
              <w:rPr>
                <w:rFonts w:hint="eastAsia" w:ascii="宋体" w:hAnsi="宋体"/>
                <w:color w:val="auto"/>
                <w:position w:val="-30"/>
                <w:sz w:val="24"/>
                <w:highlight w:val="none"/>
              </w:rPr>
            </w:pPr>
            <w:r>
              <w:rPr>
                <w:rFonts w:hint="eastAsia" w:ascii="宋体" w:hAnsi="宋体"/>
                <w:color w:val="auto"/>
                <w:position w:val="-30"/>
                <w:sz w:val="24"/>
                <w:highlight w:val="none"/>
              </w:rPr>
              <w:t>从事工作年限</w:t>
            </w:r>
          </w:p>
        </w:tc>
        <w:tc>
          <w:tcPr>
            <w:tcW w:w="866" w:type="pct"/>
            <w:gridSpan w:val="2"/>
            <w:tcBorders>
              <w:bottom w:val="single" w:color="auto" w:sz="12" w:space="0"/>
            </w:tcBorders>
            <w:noWrap w:val="0"/>
            <w:vAlign w:val="center"/>
          </w:tcPr>
          <w:p w14:paraId="4FEE3D0D">
            <w:pPr>
              <w:jc w:val="center"/>
              <w:rPr>
                <w:rFonts w:hint="eastAsia" w:ascii="宋体" w:hAnsi="宋体"/>
                <w:color w:val="auto"/>
                <w:position w:val="-30"/>
                <w:sz w:val="24"/>
                <w:highlight w:val="none"/>
              </w:rPr>
            </w:pPr>
          </w:p>
        </w:tc>
        <w:tc>
          <w:tcPr>
            <w:tcW w:w="824" w:type="pct"/>
            <w:gridSpan w:val="2"/>
            <w:tcBorders>
              <w:bottom w:val="single" w:color="auto" w:sz="12" w:space="0"/>
            </w:tcBorders>
            <w:noWrap w:val="0"/>
            <w:vAlign w:val="center"/>
          </w:tcPr>
          <w:p w14:paraId="43E83A84">
            <w:pPr>
              <w:jc w:val="center"/>
              <w:rPr>
                <w:rFonts w:hint="eastAsia" w:ascii="宋体" w:hAnsi="宋体"/>
                <w:color w:val="auto"/>
                <w:position w:val="-30"/>
                <w:sz w:val="24"/>
                <w:highlight w:val="none"/>
              </w:rPr>
            </w:pPr>
            <w:r>
              <w:rPr>
                <w:rFonts w:hint="eastAsia" w:ascii="宋体" w:hAnsi="宋体"/>
                <w:color w:val="auto"/>
                <w:position w:val="-30"/>
                <w:sz w:val="24"/>
                <w:highlight w:val="none"/>
              </w:rPr>
              <w:t>拟在本项目担任的职务</w:t>
            </w:r>
          </w:p>
        </w:tc>
        <w:tc>
          <w:tcPr>
            <w:tcW w:w="822" w:type="pct"/>
            <w:tcBorders>
              <w:bottom w:val="single" w:color="auto" w:sz="12" w:space="0"/>
              <w:right w:val="single" w:color="auto" w:sz="12" w:space="0"/>
            </w:tcBorders>
            <w:noWrap w:val="0"/>
            <w:vAlign w:val="center"/>
          </w:tcPr>
          <w:p w14:paraId="478B4584">
            <w:pPr>
              <w:jc w:val="center"/>
              <w:rPr>
                <w:rFonts w:hint="eastAsia" w:ascii="宋体" w:hAnsi="宋体"/>
                <w:color w:val="auto"/>
                <w:position w:val="-30"/>
                <w:sz w:val="24"/>
                <w:highlight w:val="none"/>
              </w:rPr>
            </w:pPr>
          </w:p>
        </w:tc>
      </w:tr>
      <w:tr w14:paraId="1EC0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trPr>
        <w:tc>
          <w:tcPr>
            <w:tcW w:w="679" w:type="pct"/>
            <w:vMerge w:val="restart"/>
            <w:tcBorders>
              <w:top w:val="single" w:color="auto" w:sz="12" w:space="0"/>
              <w:left w:val="single" w:color="auto" w:sz="12" w:space="0"/>
            </w:tcBorders>
            <w:noWrap w:val="0"/>
            <w:vAlign w:val="center"/>
          </w:tcPr>
          <w:p w14:paraId="57A81124">
            <w:pPr>
              <w:jc w:val="center"/>
              <w:rPr>
                <w:rFonts w:hint="eastAsia" w:ascii="宋体" w:hAnsi="宋体"/>
                <w:color w:val="auto"/>
                <w:position w:val="-30"/>
                <w:sz w:val="24"/>
                <w:highlight w:val="none"/>
              </w:rPr>
            </w:pPr>
            <w:r>
              <w:rPr>
                <w:rFonts w:hint="eastAsia" w:ascii="宋体" w:hAnsi="宋体"/>
                <w:color w:val="auto"/>
                <w:position w:val="-30"/>
                <w:sz w:val="24"/>
                <w:highlight w:val="none"/>
              </w:rPr>
              <w:t>主要经历</w:t>
            </w:r>
          </w:p>
        </w:tc>
        <w:tc>
          <w:tcPr>
            <w:tcW w:w="926" w:type="pct"/>
            <w:gridSpan w:val="2"/>
            <w:tcBorders>
              <w:top w:val="single" w:color="auto" w:sz="12" w:space="0"/>
            </w:tcBorders>
            <w:noWrap w:val="0"/>
            <w:vAlign w:val="center"/>
          </w:tcPr>
          <w:p w14:paraId="565F420E">
            <w:pPr>
              <w:jc w:val="center"/>
              <w:rPr>
                <w:rFonts w:hint="eastAsia" w:ascii="宋体" w:hAnsi="宋体"/>
                <w:color w:val="auto"/>
                <w:position w:val="-30"/>
                <w:sz w:val="24"/>
                <w:highlight w:val="none"/>
              </w:rPr>
            </w:pPr>
            <w:bookmarkStart w:id="545" w:name="OLE_LINK3"/>
            <w:r>
              <w:rPr>
                <w:rFonts w:hint="eastAsia" w:ascii="宋体" w:hAnsi="宋体"/>
                <w:color w:val="auto"/>
                <w:position w:val="-30"/>
                <w:sz w:val="24"/>
                <w:highlight w:val="none"/>
              </w:rPr>
              <w:t>起讫</w:t>
            </w:r>
            <w:bookmarkEnd w:id="545"/>
            <w:r>
              <w:rPr>
                <w:rFonts w:hint="eastAsia" w:ascii="宋体" w:hAnsi="宋体"/>
                <w:color w:val="auto"/>
                <w:position w:val="-30"/>
                <w:sz w:val="24"/>
                <w:highlight w:val="none"/>
              </w:rPr>
              <w:t>时间</w:t>
            </w:r>
          </w:p>
        </w:tc>
        <w:tc>
          <w:tcPr>
            <w:tcW w:w="883" w:type="pct"/>
            <w:gridSpan w:val="2"/>
            <w:tcBorders>
              <w:top w:val="single" w:color="auto" w:sz="12" w:space="0"/>
            </w:tcBorders>
            <w:noWrap w:val="0"/>
            <w:vAlign w:val="center"/>
          </w:tcPr>
          <w:p w14:paraId="45F2FCE5">
            <w:pPr>
              <w:jc w:val="center"/>
              <w:rPr>
                <w:rFonts w:hint="eastAsia" w:ascii="宋体" w:hAnsi="宋体"/>
                <w:color w:val="auto"/>
                <w:position w:val="-30"/>
                <w:sz w:val="24"/>
                <w:highlight w:val="none"/>
              </w:rPr>
            </w:pPr>
            <w:r>
              <w:rPr>
                <w:rFonts w:hint="eastAsia" w:ascii="宋体" w:hAnsi="宋体"/>
                <w:color w:val="auto"/>
                <w:position w:val="-30"/>
                <w:sz w:val="24"/>
                <w:highlight w:val="none"/>
              </w:rPr>
              <w:t>任  职</w:t>
            </w:r>
          </w:p>
        </w:tc>
        <w:tc>
          <w:tcPr>
            <w:tcW w:w="866" w:type="pct"/>
            <w:gridSpan w:val="2"/>
            <w:tcBorders>
              <w:top w:val="single" w:color="auto" w:sz="12" w:space="0"/>
            </w:tcBorders>
            <w:noWrap w:val="0"/>
            <w:vAlign w:val="center"/>
          </w:tcPr>
          <w:p w14:paraId="7F02B3C1">
            <w:pPr>
              <w:jc w:val="center"/>
              <w:rPr>
                <w:rFonts w:hint="eastAsia" w:ascii="宋体" w:hAnsi="宋体"/>
                <w:color w:val="auto"/>
                <w:position w:val="-30"/>
                <w:sz w:val="24"/>
                <w:highlight w:val="none"/>
              </w:rPr>
            </w:pPr>
            <w:r>
              <w:rPr>
                <w:rFonts w:hint="eastAsia" w:ascii="宋体" w:hAnsi="宋体"/>
                <w:color w:val="auto"/>
                <w:position w:val="-30"/>
                <w:sz w:val="24"/>
                <w:highlight w:val="none"/>
              </w:rPr>
              <w:t>工程名称</w:t>
            </w:r>
          </w:p>
        </w:tc>
        <w:tc>
          <w:tcPr>
            <w:tcW w:w="1646" w:type="pct"/>
            <w:gridSpan w:val="3"/>
            <w:tcBorders>
              <w:top w:val="single" w:color="auto" w:sz="12" w:space="0"/>
              <w:right w:val="single" w:color="auto" w:sz="12" w:space="0"/>
            </w:tcBorders>
            <w:noWrap w:val="0"/>
            <w:vAlign w:val="center"/>
          </w:tcPr>
          <w:p w14:paraId="4D162788">
            <w:pPr>
              <w:jc w:val="center"/>
              <w:rPr>
                <w:rFonts w:hint="eastAsia" w:ascii="宋体" w:hAnsi="宋体"/>
                <w:color w:val="auto"/>
                <w:position w:val="-30"/>
                <w:sz w:val="24"/>
                <w:highlight w:val="none"/>
              </w:rPr>
            </w:pPr>
            <w:r>
              <w:rPr>
                <w:rFonts w:hint="eastAsia" w:ascii="宋体" w:hAnsi="宋体"/>
                <w:color w:val="auto"/>
                <w:position w:val="-30"/>
                <w:sz w:val="24"/>
                <w:highlight w:val="none"/>
              </w:rPr>
              <w:t>工作内容</w:t>
            </w:r>
          </w:p>
        </w:tc>
      </w:tr>
      <w:tr w14:paraId="61DB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6" w:hRule="atLeast"/>
        </w:trPr>
        <w:tc>
          <w:tcPr>
            <w:tcW w:w="679" w:type="pct"/>
            <w:vMerge w:val="continue"/>
            <w:tcBorders>
              <w:left w:val="single" w:color="auto" w:sz="12" w:space="0"/>
              <w:bottom w:val="single" w:color="auto" w:sz="12" w:space="0"/>
            </w:tcBorders>
            <w:noWrap w:val="0"/>
            <w:vAlign w:val="top"/>
          </w:tcPr>
          <w:p w14:paraId="786D5B7F">
            <w:pPr>
              <w:rPr>
                <w:rFonts w:hint="eastAsia" w:ascii="宋体" w:hAnsi="宋体"/>
                <w:color w:val="auto"/>
                <w:position w:val="-30"/>
                <w:sz w:val="24"/>
                <w:highlight w:val="none"/>
              </w:rPr>
            </w:pPr>
          </w:p>
        </w:tc>
        <w:tc>
          <w:tcPr>
            <w:tcW w:w="926" w:type="pct"/>
            <w:gridSpan w:val="2"/>
            <w:tcBorders>
              <w:bottom w:val="single" w:color="auto" w:sz="12" w:space="0"/>
            </w:tcBorders>
            <w:noWrap w:val="0"/>
            <w:vAlign w:val="top"/>
          </w:tcPr>
          <w:p w14:paraId="0B4E8162">
            <w:pPr>
              <w:rPr>
                <w:rFonts w:hint="eastAsia" w:ascii="宋体" w:hAnsi="宋体"/>
                <w:color w:val="auto"/>
                <w:position w:val="-30"/>
                <w:sz w:val="24"/>
                <w:highlight w:val="none"/>
              </w:rPr>
            </w:pPr>
          </w:p>
        </w:tc>
        <w:tc>
          <w:tcPr>
            <w:tcW w:w="883" w:type="pct"/>
            <w:gridSpan w:val="2"/>
            <w:tcBorders>
              <w:bottom w:val="single" w:color="auto" w:sz="12" w:space="0"/>
            </w:tcBorders>
            <w:noWrap w:val="0"/>
            <w:vAlign w:val="top"/>
          </w:tcPr>
          <w:p w14:paraId="4FDA7E08">
            <w:pPr>
              <w:rPr>
                <w:rFonts w:hint="eastAsia" w:ascii="宋体" w:hAnsi="宋体"/>
                <w:color w:val="auto"/>
                <w:position w:val="-30"/>
                <w:sz w:val="24"/>
                <w:highlight w:val="none"/>
              </w:rPr>
            </w:pPr>
          </w:p>
        </w:tc>
        <w:tc>
          <w:tcPr>
            <w:tcW w:w="866" w:type="pct"/>
            <w:gridSpan w:val="2"/>
            <w:tcBorders>
              <w:bottom w:val="single" w:color="auto" w:sz="12" w:space="0"/>
            </w:tcBorders>
            <w:noWrap w:val="0"/>
            <w:vAlign w:val="top"/>
          </w:tcPr>
          <w:p w14:paraId="6589F599">
            <w:pPr>
              <w:rPr>
                <w:rFonts w:hint="eastAsia" w:ascii="宋体" w:hAnsi="宋体"/>
                <w:color w:val="auto"/>
                <w:position w:val="-30"/>
                <w:sz w:val="24"/>
                <w:highlight w:val="none"/>
              </w:rPr>
            </w:pPr>
          </w:p>
        </w:tc>
        <w:tc>
          <w:tcPr>
            <w:tcW w:w="1646" w:type="pct"/>
            <w:gridSpan w:val="3"/>
            <w:tcBorders>
              <w:bottom w:val="single" w:color="auto" w:sz="12" w:space="0"/>
              <w:right w:val="single" w:color="auto" w:sz="12" w:space="0"/>
            </w:tcBorders>
            <w:noWrap w:val="0"/>
            <w:vAlign w:val="top"/>
          </w:tcPr>
          <w:p w14:paraId="62BD400A">
            <w:pPr>
              <w:rPr>
                <w:rFonts w:hint="eastAsia" w:ascii="宋体" w:hAnsi="宋体"/>
                <w:color w:val="auto"/>
                <w:position w:val="-30"/>
                <w:sz w:val="24"/>
                <w:highlight w:val="none"/>
              </w:rPr>
            </w:pPr>
          </w:p>
        </w:tc>
      </w:tr>
    </w:tbl>
    <w:p w14:paraId="6456A757">
      <w:pPr>
        <w:spacing w:line="440" w:lineRule="exact"/>
        <w:rPr>
          <w:color w:val="auto"/>
          <w:sz w:val="24"/>
          <w:highlight w:val="none"/>
        </w:rPr>
      </w:pPr>
    </w:p>
    <w:p w14:paraId="6D4D18C3">
      <w:pPr>
        <w:topLinePunct/>
        <w:spacing w:line="360" w:lineRule="auto"/>
        <w:rPr>
          <w:color w:val="auto"/>
          <w:spacing w:val="18"/>
          <w:sz w:val="24"/>
          <w:highlight w:val="none"/>
        </w:rPr>
      </w:pPr>
      <w:r>
        <w:rPr>
          <w:color w:val="auto"/>
          <w:sz w:val="24"/>
          <w:highlight w:val="none"/>
        </w:rPr>
        <w:br w:type="page"/>
      </w:r>
    </w:p>
    <w:bookmarkEnd w:id="536"/>
    <w:p w14:paraId="6DC43236">
      <w:pPr>
        <w:pStyle w:val="4"/>
        <w:bidi w:val="0"/>
        <w:rPr>
          <w:rFonts w:hint="eastAsia"/>
          <w:color w:val="auto"/>
        </w:rPr>
      </w:pPr>
      <w:bookmarkStart w:id="546" w:name="_Toc530470651"/>
      <w:bookmarkStart w:id="547" w:name="_Toc529196610"/>
      <w:bookmarkStart w:id="548" w:name="_Toc535938758"/>
      <w:r>
        <w:rPr>
          <w:rFonts w:hint="eastAsia"/>
          <w:color w:val="auto"/>
        </w:rPr>
        <w:t>六</w:t>
      </w:r>
      <w:r>
        <w:rPr>
          <w:color w:val="auto"/>
        </w:rPr>
        <w:t>、</w:t>
      </w:r>
      <w:bookmarkEnd w:id="546"/>
      <w:bookmarkEnd w:id="547"/>
      <w:bookmarkEnd w:id="548"/>
      <w:r>
        <w:rPr>
          <w:rFonts w:hint="eastAsia"/>
          <w:color w:val="auto"/>
        </w:rPr>
        <w:t>监测监控方案</w:t>
      </w:r>
    </w:p>
    <w:p w14:paraId="08634961">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各投标人应按照招标文件的规定，结合自身的监测监控服务工作经验，充分考虑本工程现场的各种实际情况编制监测监控实施方案。</w:t>
      </w:r>
    </w:p>
    <w:p w14:paraId="4067195E">
      <w:pPr>
        <w:spacing w:line="400" w:lineRule="exact"/>
        <w:rPr>
          <w:rFonts w:hint="eastAsia" w:ascii="宋体" w:hAnsi="宋体"/>
          <w:color w:val="auto"/>
          <w:sz w:val="24"/>
          <w:highlight w:val="none"/>
          <w:u w:val="single"/>
        </w:rPr>
      </w:pPr>
      <w:bookmarkStart w:id="549" w:name="_Toc529196611"/>
      <w:bookmarkStart w:id="550" w:name="_Toc530470652"/>
      <w:r>
        <w:rPr>
          <w:rFonts w:ascii="Times New Roman" w:hAnsi="Times New Roman" w:eastAsia="宋体"/>
          <w:color w:val="auto"/>
          <w:highlight w:val="none"/>
        </w:rPr>
        <w:br w:type="page"/>
      </w:r>
      <w:bookmarkEnd w:id="549"/>
      <w:bookmarkEnd w:id="550"/>
      <w:bookmarkStart w:id="551" w:name="_Toc530470660"/>
      <w:bookmarkStart w:id="552" w:name="_Toc535938767"/>
    </w:p>
    <w:p w14:paraId="05001D61">
      <w:pPr>
        <w:pStyle w:val="4"/>
        <w:spacing w:line="480" w:lineRule="auto"/>
        <w:ind w:left="0"/>
        <w:jc w:val="both"/>
        <w:rPr>
          <w:rFonts w:eastAsia="宋体"/>
          <w:color w:val="auto"/>
        </w:rPr>
      </w:pPr>
      <w:r>
        <w:rPr>
          <w:rFonts w:hint="eastAsia" w:ascii="Times New Roman" w:hAnsi="Times New Roman"/>
          <w:b w:val="0"/>
          <w:color w:val="auto"/>
          <w:sz w:val="28"/>
          <w:szCs w:val="28"/>
          <w:lang w:val="en-US" w:eastAsia="zh-CN"/>
        </w:rPr>
        <w:t xml:space="preserve">              </w:t>
      </w:r>
      <w:bookmarkEnd w:id="551"/>
      <w:bookmarkEnd w:id="552"/>
      <w:bookmarkStart w:id="553" w:name="_Toc2154396"/>
      <w:bookmarkStart w:id="554" w:name="_Toc10648"/>
      <w:r>
        <w:rPr>
          <w:rFonts w:hint="eastAsia" w:ascii="Times New Roman" w:hAnsi="Times New Roman"/>
          <w:color w:val="auto"/>
          <w:sz w:val="30"/>
          <w:szCs w:val="30"/>
          <w:lang w:eastAsia="zh-CN"/>
        </w:rPr>
        <w:t>七</w:t>
      </w:r>
      <w:r>
        <w:rPr>
          <w:rFonts w:hint="eastAsia" w:ascii="Times New Roman" w:hAnsi="Times New Roman" w:eastAsia="宋体"/>
          <w:color w:val="auto"/>
          <w:sz w:val="30"/>
          <w:szCs w:val="30"/>
        </w:rPr>
        <w:t>、联合体协议书（参考格式）</w:t>
      </w:r>
    </w:p>
    <w:p w14:paraId="7EBB39A9">
      <w:pPr>
        <w:snapToGrid w:val="0"/>
        <w:spacing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u w:val="single"/>
        </w:rPr>
        <w:t xml:space="preserve"> （</w:t>
      </w:r>
      <w:r>
        <w:rPr>
          <w:rFonts w:ascii="宋体" w:hAnsi="宋体" w:cs="宋体"/>
          <w:color w:val="auto"/>
          <w:sz w:val="24"/>
          <w:highlight w:val="none"/>
        </w:rPr>
        <w:t>主）单位全称</w:t>
      </w:r>
      <w:r>
        <w:rPr>
          <w:rFonts w:hint="eastAsia" w:ascii="宋体" w:hAnsi="宋体" w:cs="宋体"/>
          <w:color w:val="auto"/>
          <w:sz w:val="24"/>
          <w:highlight w:val="none"/>
        </w:rPr>
        <w:t>、</w:t>
      </w:r>
      <w:r>
        <w:rPr>
          <w:rFonts w:ascii="宋体" w:hAnsi="宋体" w:cs="宋体"/>
          <w:color w:val="auto"/>
          <w:sz w:val="24"/>
          <w:highlight w:val="none"/>
        </w:rPr>
        <w:t>（成）单位全称</w:t>
      </w:r>
      <w:r>
        <w:rPr>
          <w:rFonts w:hint="eastAsia" w:ascii="宋体" w:hAnsi="宋体" w:cs="宋体"/>
          <w:color w:val="auto"/>
          <w:sz w:val="24"/>
          <w:highlight w:val="none"/>
        </w:rPr>
        <w:t xml:space="preserve"> </w:t>
      </w:r>
      <w:r>
        <w:rPr>
          <w:rFonts w:hint="eastAsia" w:ascii="宋体" w:hAnsi="宋体"/>
          <w:color w:val="auto"/>
          <w:sz w:val="24"/>
          <w:szCs w:val="24"/>
          <w:highlight w:val="none"/>
        </w:rPr>
        <w:t>自愿组成联合体，共同参加</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（项目名称）招标项目投标。现就联合体投标事宜订立如下协议。</w:t>
      </w:r>
    </w:p>
    <w:p w14:paraId="0544403B">
      <w:pPr>
        <w:snapToGrid w:val="0"/>
        <w:spacing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（某成员单位名称）为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（联合体名称）主办方。</w:t>
      </w:r>
    </w:p>
    <w:p w14:paraId="5FD6DB97">
      <w:pPr>
        <w:snapToGrid w:val="0"/>
        <w:spacing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2.联合体各成员授权主办方代表联合体参加投标活动，签署文件，提交和接收相关的资料、信息及指示，进行合同谈判活动，负责合同实施阶段的组织和协调工作，以及处理与本招标项目有关的一切事宜。</w:t>
      </w:r>
    </w:p>
    <w:p w14:paraId="31E054C7">
      <w:pPr>
        <w:snapToGrid w:val="0"/>
        <w:spacing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3.联合体主办方在本项目中签署的一切文件和处理的一切事宜，联合体各成员均予以承认。联合体各成员将严格按照招标文件、投标文件和合同的要求全面履行义务，并向招标人承担连带责任。</w:t>
      </w:r>
    </w:p>
    <w:p w14:paraId="623E1068">
      <w:pPr>
        <w:snapToGrid w:val="0"/>
        <w:spacing w:line="400" w:lineRule="exact"/>
        <w:ind w:firstLine="480" w:firstLineChars="200"/>
        <w:jc w:val="left"/>
        <w:rPr>
          <w:rFonts w:hint="eastAsia" w:ascii="宋体" w:hAnsi="宋体"/>
          <w:color w:val="auto"/>
          <w:sz w:val="24"/>
          <w:szCs w:val="24"/>
          <w:highlight w:val="none"/>
          <w:u w:val="single"/>
        </w:rPr>
      </w:pPr>
      <w:r>
        <w:rPr>
          <w:rFonts w:hint="eastAsia" w:ascii="宋体" w:hAnsi="宋体"/>
          <w:color w:val="auto"/>
          <w:sz w:val="24"/>
          <w:szCs w:val="24"/>
          <w:highlight w:val="none"/>
        </w:rPr>
        <w:t>4.联合体各成员单位内部的职责分工如下：</w:t>
      </w:r>
    </w:p>
    <w:p w14:paraId="6456563A">
      <w:pPr>
        <w:topLinePunct/>
        <w:spacing w:line="400" w:lineRule="exact"/>
        <w:ind w:firstLine="480" w:firstLineChars="200"/>
        <w:jc w:val="left"/>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①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：为整个项目的主办方，具体负责</w:t>
      </w:r>
      <w:r>
        <w:rPr>
          <w:rFonts w:hint="eastAsia" w:ascii="宋体" w:hAnsi="宋体" w:cs="宋体"/>
          <w:color w:val="auto"/>
          <w:sz w:val="24"/>
          <w:szCs w:val="24"/>
          <w:highlight w:val="none"/>
          <w:u w:val="single"/>
        </w:rPr>
        <w:t xml:space="preserve">   （项目名称）  </w:t>
      </w:r>
      <w:r>
        <w:rPr>
          <w:rFonts w:hint="eastAsia" w:ascii="宋体" w:hAnsi="宋体" w:cs="宋体"/>
          <w:color w:val="auto"/>
          <w:sz w:val="24"/>
          <w:szCs w:val="24"/>
          <w:highlight w:val="none"/>
        </w:rPr>
        <w:t>的</w:t>
      </w:r>
      <w:r>
        <w:rPr>
          <w:rFonts w:hint="eastAsia" w:ascii="宋体" w:hAnsi="宋体" w:cs="宋体"/>
          <w:color w:val="auto"/>
          <w:kern w:val="0"/>
          <w:sz w:val="24"/>
          <w:szCs w:val="24"/>
          <w:highlight w:val="none"/>
          <w:u w:val="single"/>
        </w:rPr>
        <w:t>地铁保护动态监测</w:t>
      </w:r>
      <w:r>
        <w:rPr>
          <w:rFonts w:hint="eastAsia" w:ascii="宋体" w:hAnsi="宋体" w:cs="宋体"/>
          <w:bCs/>
          <w:color w:val="auto"/>
          <w:sz w:val="24"/>
          <w:szCs w:val="24"/>
          <w:highlight w:val="none"/>
          <w:u w:val="single"/>
        </w:rPr>
        <w:t>任务</w:t>
      </w:r>
      <w:r>
        <w:rPr>
          <w:rFonts w:hint="eastAsia" w:ascii="宋体" w:hAnsi="宋体" w:cs="宋体"/>
          <w:color w:val="auto"/>
          <w:sz w:val="24"/>
          <w:szCs w:val="24"/>
          <w:highlight w:val="none"/>
        </w:rPr>
        <w:t>，还负责管理的职责。若联合体成员方违约时，主办方应承担连带责任，具体按合同要求。</w:t>
      </w:r>
    </w:p>
    <w:p w14:paraId="041FC782">
      <w:pPr>
        <w:topLinePunct/>
        <w:spacing w:line="400" w:lineRule="exact"/>
        <w:ind w:firstLine="480" w:firstLineChars="200"/>
        <w:jc w:val="left"/>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②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：为整个项目的成员方，具体负责</w:t>
      </w:r>
      <w:r>
        <w:rPr>
          <w:rFonts w:hint="eastAsia" w:ascii="宋体" w:hAnsi="宋体" w:cs="宋体"/>
          <w:color w:val="auto"/>
          <w:sz w:val="24"/>
          <w:szCs w:val="24"/>
          <w:highlight w:val="none"/>
          <w:u w:val="single"/>
        </w:rPr>
        <w:t xml:space="preserve">   （项目名称）   </w:t>
      </w:r>
      <w:r>
        <w:rPr>
          <w:rFonts w:hint="eastAsia" w:ascii="宋体" w:hAnsi="宋体" w:cs="宋体"/>
          <w:color w:val="auto"/>
          <w:sz w:val="24"/>
          <w:szCs w:val="24"/>
          <w:highlight w:val="none"/>
        </w:rPr>
        <w:t>的</w:t>
      </w:r>
      <w:r>
        <w:rPr>
          <w:rFonts w:hint="eastAsia" w:ascii="宋体" w:hAnsi="宋体" w:cs="宋体"/>
          <w:color w:val="auto"/>
          <w:kern w:val="0"/>
          <w:sz w:val="24"/>
          <w:szCs w:val="24"/>
          <w:highlight w:val="none"/>
          <w:u w:val="single"/>
        </w:rPr>
        <w:t>地铁安全监控</w:t>
      </w:r>
      <w:r>
        <w:rPr>
          <w:rFonts w:hint="eastAsia" w:ascii="宋体" w:hAnsi="宋体" w:cs="宋体"/>
          <w:color w:val="auto"/>
          <w:sz w:val="24"/>
          <w:szCs w:val="24"/>
          <w:highlight w:val="none"/>
          <w:u w:val="single"/>
        </w:rPr>
        <w:t>任务</w:t>
      </w:r>
      <w:r>
        <w:rPr>
          <w:rFonts w:hint="eastAsia" w:ascii="宋体" w:hAnsi="宋体" w:cs="宋体"/>
          <w:color w:val="auto"/>
          <w:sz w:val="24"/>
          <w:szCs w:val="24"/>
          <w:highlight w:val="none"/>
        </w:rPr>
        <w:t>，具体按合同要求。</w:t>
      </w:r>
    </w:p>
    <w:p w14:paraId="1C78B3F9">
      <w:pPr>
        <w:snapToGrid w:val="0"/>
        <w:spacing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5.本协议书自所有成员单位法定代表人签字或盖单位章之日起生效，合同履行完毕后自动失效。</w:t>
      </w:r>
    </w:p>
    <w:p w14:paraId="296DF898">
      <w:pPr>
        <w:snapToGrid w:val="0"/>
        <w:spacing w:line="400" w:lineRule="exact"/>
        <w:ind w:firstLine="480" w:firstLineChars="200"/>
        <w:jc w:val="left"/>
        <w:rPr>
          <w:rFonts w:hint="eastAsia" w:ascii="宋体" w:hAnsi="宋体"/>
          <w:color w:val="auto"/>
          <w:sz w:val="24"/>
          <w:szCs w:val="24"/>
          <w:highlight w:val="none"/>
        </w:rPr>
      </w:pPr>
    </w:p>
    <w:p w14:paraId="54ED4074">
      <w:pPr>
        <w:snapToGrid w:val="0"/>
        <w:spacing w:line="400" w:lineRule="exact"/>
        <w:jc w:val="right"/>
        <w:rPr>
          <w:rFonts w:hint="eastAsia" w:ascii="宋体" w:hAnsi="宋体"/>
          <w:color w:val="auto"/>
          <w:sz w:val="24"/>
          <w:szCs w:val="24"/>
          <w:highlight w:val="none"/>
        </w:rPr>
      </w:pPr>
      <w:r>
        <w:rPr>
          <w:rFonts w:hint="eastAsia" w:ascii="宋体" w:hAnsi="宋体"/>
          <w:color w:val="auto"/>
          <w:sz w:val="24"/>
          <w:szCs w:val="24"/>
          <w:highlight w:val="none"/>
        </w:rPr>
        <w:t>联合体主办方名称：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（盖单位章）</w:t>
      </w:r>
    </w:p>
    <w:p w14:paraId="1632C3F4">
      <w:pPr>
        <w:snapToGrid w:val="0"/>
        <w:spacing w:line="400" w:lineRule="exact"/>
        <w:ind w:firstLine="3158" w:firstLineChars="1316"/>
        <w:jc w:val="left"/>
        <w:rPr>
          <w:rFonts w:hint="eastAsia" w:ascii="宋体" w:hAnsi="宋体"/>
          <w:color w:val="auto"/>
          <w:sz w:val="24"/>
          <w:szCs w:val="24"/>
          <w:highlight w:val="none"/>
        </w:rPr>
      </w:pPr>
      <w:r>
        <w:rPr>
          <w:rFonts w:hint="eastAsia" w:ascii="宋体" w:hAnsi="宋体"/>
          <w:color w:val="auto"/>
          <w:sz w:val="24"/>
          <w:szCs w:val="24"/>
          <w:highlight w:val="none"/>
        </w:rPr>
        <w:t>法定代表人：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（签字或盖章）</w:t>
      </w:r>
    </w:p>
    <w:p w14:paraId="0B8DB4C2">
      <w:pPr>
        <w:snapToGrid w:val="0"/>
        <w:spacing w:line="400" w:lineRule="exact"/>
        <w:ind w:firstLine="3158" w:firstLineChars="1316"/>
        <w:jc w:val="left"/>
        <w:rPr>
          <w:rFonts w:ascii="宋体" w:hAnsi="宋体"/>
          <w:color w:val="auto"/>
          <w:sz w:val="24"/>
          <w:szCs w:val="24"/>
          <w:highlight w:val="none"/>
        </w:rPr>
      </w:pPr>
    </w:p>
    <w:p w14:paraId="655D4351">
      <w:pPr>
        <w:snapToGrid w:val="0"/>
        <w:spacing w:line="400" w:lineRule="exact"/>
        <w:jc w:val="right"/>
        <w:rPr>
          <w:rFonts w:hint="eastAsia" w:ascii="宋体" w:hAnsi="宋体"/>
          <w:color w:val="auto"/>
          <w:sz w:val="24"/>
          <w:szCs w:val="24"/>
          <w:highlight w:val="none"/>
        </w:rPr>
      </w:pPr>
      <w:r>
        <w:rPr>
          <w:rFonts w:hint="eastAsia" w:ascii="宋体" w:hAnsi="宋体"/>
          <w:color w:val="auto"/>
          <w:sz w:val="24"/>
          <w:szCs w:val="24"/>
          <w:highlight w:val="none"/>
        </w:rPr>
        <w:t>联合体成员名称：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（盖单位章）</w:t>
      </w:r>
    </w:p>
    <w:p w14:paraId="2915E69B">
      <w:pPr>
        <w:snapToGrid w:val="0"/>
        <w:spacing w:line="400" w:lineRule="exact"/>
        <w:ind w:firstLine="3158" w:firstLineChars="1316"/>
        <w:jc w:val="left"/>
        <w:rPr>
          <w:rFonts w:hint="eastAsia" w:ascii="宋体" w:hAnsi="宋体"/>
          <w:color w:val="auto"/>
          <w:sz w:val="24"/>
          <w:szCs w:val="24"/>
          <w:highlight w:val="none"/>
        </w:rPr>
      </w:pPr>
      <w:r>
        <w:rPr>
          <w:rFonts w:hint="eastAsia" w:ascii="宋体" w:hAnsi="宋体"/>
          <w:color w:val="auto"/>
          <w:sz w:val="24"/>
          <w:szCs w:val="24"/>
          <w:highlight w:val="none"/>
        </w:rPr>
        <w:t>法定代表人：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（签字或盖章）</w:t>
      </w:r>
    </w:p>
    <w:p w14:paraId="0C21C201">
      <w:pPr>
        <w:snapToGrid w:val="0"/>
        <w:spacing w:line="400" w:lineRule="exact"/>
        <w:ind w:firstLine="3158" w:firstLineChars="1316"/>
        <w:jc w:val="left"/>
        <w:rPr>
          <w:rFonts w:hint="eastAsia" w:ascii="宋体" w:hAnsi="宋体"/>
          <w:color w:val="auto"/>
          <w:sz w:val="24"/>
          <w:szCs w:val="24"/>
          <w:highlight w:val="none"/>
        </w:rPr>
      </w:pPr>
    </w:p>
    <w:p w14:paraId="37E1C5E3">
      <w:pPr>
        <w:snapToGrid w:val="0"/>
        <w:spacing w:line="400" w:lineRule="exact"/>
        <w:ind w:firstLine="3158" w:firstLineChars="1316"/>
        <w:jc w:val="left"/>
        <w:rPr>
          <w:rFonts w:hint="eastAsia" w:ascii="宋体" w:hAnsi="宋体"/>
          <w:color w:val="auto"/>
          <w:sz w:val="24"/>
          <w:szCs w:val="24"/>
          <w:highlight w:val="none"/>
        </w:rPr>
      </w:pPr>
      <w:r>
        <w:rPr>
          <w:rFonts w:hint="eastAsia" w:ascii="宋体" w:hAnsi="宋体"/>
          <w:color w:val="auto"/>
          <w:sz w:val="24"/>
          <w:szCs w:val="24"/>
          <w:highlight w:val="none"/>
        </w:rPr>
        <w:t>日     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14:paraId="3D0DA31B">
      <w:pPr>
        <w:snapToGrid w:val="0"/>
        <w:spacing w:line="400" w:lineRule="exact"/>
        <w:jc w:val="left"/>
        <w:rPr>
          <w:rFonts w:hint="eastAsia" w:ascii="宋体" w:hAnsi="宋体" w:cs="宋体"/>
          <w:b/>
          <w:bCs/>
          <w:color w:val="auto"/>
          <w:szCs w:val="21"/>
          <w:highlight w:val="none"/>
          <w:u w:val="single"/>
          <w:lang w:val="zh-CN"/>
        </w:rPr>
      </w:pPr>
    </w:p>
    <w:p w14:paraId="7A6CCE11">
      <w:pPr>
        <w:spacing w:line="288" w:lineRule="auto"/>
        <w:rPr>
          <w:rFonts w:hint="eastAsia" w:ascii="宋体" w:hAnsi="宋体" w:cs="宋体"/>
          <w:color w:val="auto"/>
          <w:kern w:val="0"/>
          <w:sz w:val="22"/>
          <w:szCs w:val="21"/>
          <w:highlight w:val="none"/>
          <w:lang w:bidi="ar"/>
        </w:rPr>
      </w:pPr>
      <w:r>
        <w:rPr>
          <w:rFonts w:ascii="宋体" w:hAnsi="宋体" w:cs="宋体"/>
          <w:color w:val="auto"/>
          <w:szCs w:val="21"/>
          <w:highlight w:val="none"/>
          <w:lang w:bidi="ar"/>
        </w:rPr>
        <w:t>注：</w:t>
      </w:r>
      <w:r>
        <w:rPr>
          <w:rFonts w:hint="eastAsia" w:ascii="宋体" w:hAnsi="宋体" w:cs="宋体"/>
          <w:color w:val="auto"/>
          <w:szCs w:val="21"/>
          <w:highlight w:val="none"/>
          <w:lang w:bidi="ar"/>
        </w:rPr>
        <w:t xml:space="preserve"> </w:t>
      </w:r>
      <w:r>
        <w:rPr>
          <w:rFonts w:hint="eastAsia" w:ascii="宋体" w:hAnsi="宋体" w:cs="宋体"/>
          <w:color w:val="auto"/>
          <w:kern w:val="0"/>
          <w:sz w:val="22"/>
          <w:szCs w:val="21"/>
          <w:highlight w:val="none"/>
          <w:lang w:bidi="ar"/>
        </w:rPr>
        <w:t>单独投标的，无需提交本协议书。</w:t>
      </w:r>
    </w:p>
    <w:p w14:paraId="384582F9">
      <w:pPr>
        <w:pStyle w:val="37"/>
        <w:ind w:left="0" w:leftChars="0" w:firstLine="0" w:firstLineChars="0"/>
        <w:rPr>
          <w:color w:val="auto"/>
          <w:highlight w:val="none"/>
        </w:rPr>
      </w:pPr>
      <w:r>
        <w:rPr>
          <w:rFonts w:hint="eastAsia" w:ascii="宋体" w:hAnsi="宋体" w:cs="宋体"/>
          <w:color w:val="auto"/>
          <w:kern w:val="0"/>
          <w:sz w:val="22"/>
          <w:szCs w:val="21"/>
          <w:highlight w:val="none"/>
          <w:lang w:bidi="ar"/>
        </w:rPr>
        <w:t xml:space="preserve">    </w:t>
      </w:r>
    </w:p>
    <w:p w14:paraId="020DFF79">
      <w:pPr>
        <w:pStyle w:val="4"/>
        <w:spacing w:line="480" w:lineRule="auto"/>
        <w:ind w:left="0"/>
        <w:jc w:val="both"/>
        <w:rPr>
          <w:rFonts w:hint="eastAsia" w:ascii="Times New Roman" w:hAnsi="Times New Roman" w:eastAsia="宋体"/>
          <w:color w:val="auto"/>
          <w:sz w:val="30"/>
          <w:szCs w:val="30"/>
        </w:rPr>
      </w:pPr>
    </w:p>
    <w:p w14:paraId="46A4F816">
      <w:pPr>
        <w:ind w:firstLineChars="1000"/>
        <w:jc w:val="both"/>
        <w:rPr>
          <w:rFonts w:hint="eastAsia" w:ascii="Times New Roman" w:hAnsi="Times New Roman" w:eastAsia="宋体"/>
          <w:color w:val="auto"/>
          <w:sz w:val="30"/>
          <w:szCs w:val="30"/>
          <w:highlight w:val="none"/>
        </w:rPr>
      </w:pPr>
      <w:r>
        <w:rPr>
          <w:rFonts w:hint="eastAsia" w:ascii="Times New Roman" w:hAnsi="Times New Roman" w:eastAsia="宋体"/>
          <w:color w:val="auto"/>
          <w:sz w:val="30"/>
          <w:szCs w:val="30"/>
          <w:highlight w:val="none"/>
        </w:rPr>
        <w:br w:type="page"/>
      </w:r>
    </w:p>
    <w:p w14:paraId="44337712">
      <w:pPr>
        <w:pStyle w:val="4"/>
        <w:spacing w:line="480" w:lineRule="auto"/>
        <w:ind w:firstLine="3080" w:firstLineChars="1000"/>
        <w:jc w:val="both"/>
        <w:rPr>
          <w:color w:val="auto"/>
        </w:rPr>
      </w:pPr>
      <w:r>
        <w:rPr>
          <w:rFonts w:hint="eastAsia" w:ascii="Times New Roman" w:hAnsi="Times New Roman"/>
          <w:color w:val="auto"/>
          <w:sz w:val="30"/>
          <w:szCs w:val="30"/>
          <w:lang w:eastAsia="zh-CN"/>
        </w:rPr>
        <w:t>八</w:t>
      </w:r>
      <w:r>
        <w:rPr>
          <w:rFonts w:hint="eastAsia" w:ascii="Times New Roman" w:hAnsi="Times New Roman" w:eastAsia="宋体"/>
          <w:color w:val="auto"/>
          <w:sz w:val="30"/>
          <w:szCs w:val="30"/>
        </w:rPr>
        <w:t>、其他资料</w:t>
      </w:r>
      <w:bookmarkEnd w:id="553"/>
      <w:bookmarkEnd w:id="554"/>
    </w:p>
    <w:p w14:paraId="60316035">
      <w:pPr>
        <w:spacing w:line="360" w:lineRule="auto"/>
        <w:ind w:firstLine="480" w:firstLineChars="200"/>
        <w:jc w:val="left"/>
        <w:rPr>
          <w:rFonts w:hint="eastAsia"/>
          <w:color w:val="auto"/>
          <w:highlight w:val="none"/>
        </w:rPr>
      </w:pPr>
      <w:r>
        <w:rPr>
          <w:rFonts w:hint="eastAsia"/>
          <w:color w:val="auto"/>
          <w:sz w:val="24"/>
          <w:szCs w:val="24"/>
          <w:highlight w:val="none"/>
        </w:rPr>
        <w:t>投标人认为有必要提交或根据投标人资格和评标办法要求提交的其他资料，格式自定。</w:t>
      </w:r>
    </w:p>
    <w:p w14:paraId="54E0D968">
      <w:pPr>
        <w:spacing w:line="360" w:lineRule="auto"/>
        <w:rPr>
          <w:rFonts w:hint="eastAsia"/>
          <w:color w:val="auto"/>
          <w:highlight w:val="none"/>
        </w:rPr>
      </w:pPr>
    </w:p>
    <w:p w14:paraId="5CDC9751">
      <w:pPr>
        <w:rPr>
          <w:color w:val="auto"/>
          <w:highlight w:val="none"/>
        </w:rPr>
      </w:pPr>
    </w:p>
    <w:sectPr>
      <w:pgSz w:w="11905" w:h="16838"/>
      <w:pgMar w:top="1145" w:right="850" w:bottom="850" w:left="1287" w:header="0" w:footer="454" w:gutter="0"/>
      <w:pgNumType w:fmt="decimal"/>
      <w:cols w:space="720" w:num="1"/>
      <w:rtlGutter w:val="0"/>
      <w:docGrid w:linePitch="37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简体">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14C1D">
    <w:pPr>
      <w:pStyle w:val="19"/>
      <w:tabs>
        <w:tab w:val="center" w:pos="4884"/>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28DBB">
    <w:pPr>
      <w:pStyle w:val="19"/>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28811">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CF28811">
                    <w:pPr>
                      <w:pStyle w:val="19"/>
                    </w:pPr>
                    <w:r>
                      <w:fldChar w:fldCharType="begin"/>
                    </w:r>
                    <w:r>
                      <w:instrText xml:space="preserve"> PAGE  \* MERGEFORMAT </w:instrText>
                    </w:r>
                    <w:r>
                      <w:fldChar w:fldCharType="separate"/>
                    </w:r>
                    <w:r>
                      <w:t>1</w:t>
                    </w:r>
                    <w:r>
                      <w:fldChar w:fldCharType="end"/>
                    </w:r>
                  </w:p>
                </w:txbxContent>
              </v:textbox>
            </v:shape>
          </w:pict>
        </mc:Fallback>
      </mc:AlternateContent>
    </w:r>
  </w:p>
  <w:p w14:paraId="2CAB001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ECA26">
    <w:pPr>
      <w:pStyle w:val="19"/>
      <w:jc w:val="center"/>
    </w:pPr>
    <w:r>
      <w:fldChar w:fldCharType="begin"/>
    </w:r>
    <w:r>
      <w:instrText xml:space="preserve">PAGE   \* MERGEFORMAT</w:instrText>
    </w:r>
    <w:r>
      <w:fldChar w:fldCharType="separate"/>
    </w:r>
    <w:r>
      <w:rPr>
        <w:lang w:val="zh-CN"/>
      </w:rPr>
      <w:t>3</w:t>
    </w:r>
    <w:r>
      <w:fldChar w:fldCharType="end"/>
    </w:r>
  </w:p>
  <w:p w14:paraId="518B4FE5">
    <w:pPr>
      <w:pStyle w:val="19"/>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E0A7">
    <w:pPr>
      <w:pStyle w:val="21"/>
      <w:ind w:left="420"/>
      <w:jc w:val="right"/>
      <w:rPr>
        <w:rFonts w:hint="eastAsia"/>
        <w:b/>
        <w:bCs/>
        <w:sz w:val="24"/>
        <w:szCs w:val="24"/>
      </w:rPr>
    </w:pPr>
  </w:p>
  <w:p w14:paraId="1BE3D6D4">
    <w:pPr>
      <w:pStyle w:val="21"/>
      <w:ind w:left="420"/>
      <w:jc w:val="right"/>
      <w:rPr>
        <w:rFonts w:hint="eastAsia"/>
        <w:b/>
        <w:bCs/>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BB89C">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A64CC0"/>
    <w:multiLevelType w:val="singleLevel"/>
    <w:tmpl w:val="AFA64CC0"/>
    <w:lvl w:ilvl="0" w:tentative="0">
      <w:start w:val="1"/>
      <w:numFmt w:val="decimal"/>
      <w:suff w:val="nothing"/>
      <w:lvlText w:val="%1、"/>
      <w:lvlJc w:val="left"/>
    </w:lvl>
  </w:abstractNum>
  <w:abstractNum w:abstractNumId="1">
    <w:nsid w:val="1E99604D"/>
    <w:multiLevelType w:val="singleLevel"/>
    <w:tmpl w:val="1E99604D"/>
    <w:lvl w:ilvl="0" w:tentative="0">
      <w:start w:val="5"/>
      <w:numFmt w:val="chineseCounting"/>
      <w:suff w:val="space"/>
      <w:lvlText w:val="第%1章"/>
      <w:lvlJc w:val="left"/>
      <w:rPr>
        <w:rFonts w:hint="eastAsia"/>
      </w:rPr>
    </w:lvl>
  </w:abstractNum>
  <w:abstractNum w:abstractNumId="2">
    <w:nsid w:val="2600737F"/>
    <w:multiLevelType w:val="multilevel"/>
    <w:tmpl w:val="2600737F"/>
    <w:lvl w:ilvl="0" w:tentative="0">
      <w:start w:val="1"/>
      <w:numFmt w:val="chineseCountingThousand"/>
      <w:suff w:val="space"/>
      <w:lvlText w:val="第%1章"/>
      <w:lvlJc w:val="left"/>
      <w:pPr>
        <w:ind w:left="567" w:hanging="279"/>
      </w:pPr>
      <w:rPr>
        <w:rFonts w:hint="eastAsia" w:ascii="宋体" w:hAnsi="Times New Roman" w:eastAsia="宋体"/>
        <w:b/>
        <w:i w:val="0"/>
        <w:spacing w:val="0"/>
        <w:position w:val="0"/>
        <w:sz w:val="44"/>
      </w:rPr>
    </w:lvl>
    <w:lvl w:ilvl="1" w:tentative="0">
      <w:start w:val="1"/>
      <w:numFmt w:val="decimal"/>
      <w:suff w:val="space"/>
      <w:lvlText w:val="%2."/>
      <w:lvlJc w:val="left"/>
      <w:pPr>
        <w:ind w:left="454" w:hanging="454"/>
      </w:pPr>
      <w:rPr>
        <w:rFonts w:hint="eastAsia" w:ascii="宋体" w:hAnsi="Times New Roman" w:eastAsia="宋体"/>
        <w:b/>
        <w:i w:val="0"/>
        <w:sz w:val="32"/>
      </w:rPr>
    </w:lvl>
    <w:lvl w:ilvl="2" w:tentative="0">
      <w:start w:val="1"/>
      <w:numFmt w:val="decimal"/>
      <w:suff w:val="space"/>
      <w:lvlText w:val="%2.%3"/>
      <w:lvlJc w:val="left"/>
      <w:pPr>
        <w:ind w:left="454" w:hanging="454"/>
      </w:pPr>
      <w:rPr>
        <w:rFonts w:hint="eastAsia" w:ascii="宋体" w:hAnsi="Times New Roman" w:eastAsia="宋体"/>
        <w:b/>
        <w:i w:val="0"/>
        <w:sz w:val="28"/>
      </w:rPr>
    </w:lvl>
    <w:lvl w:ilvl="3" w:tentative="0">
      <w:start w:val="1"/>
      <w:numFmt w:val="decimal"/>
      <w:suff w:val="space"/>
      <w:lvlText w:val="%2.%3.%4_x0001__x0003_"/>
      <w:lvlJc w:val="left"/>
      <w:pPr>
        <w:ind w:left="284" w:hanging="284"/>
      </w:pPr>
      <w:rPr>
        <w:rFonts w:hint="eastAsia" w:ascii="宋体" w:hAnsi="Times New Roman" w:eastAsia="宋体"/>
        <w:b/>
        <w:i w:val="0"/>
        <w:sz w:val="28"/>
      </w:rPr>
    </w:lvl>
    <w:lvl w:ilvl="4" w:tentative="0">
      <w:start w:val="1"/>
      <w:numFmt w:val="decimal"/>
      <w:pStyle w:val="7"/>
      <w:isLgl/>
      <w:suff w:val="space"/>
      <w:lvlText w:val="%2.%3.%4.%5"/>
      <w:lvlJc w:val="left"/>
      <w:pPr>
        <w:ind w:left="284" w:hanging="284"/>
      </w:pPr>
      <w:rPr>
        <w:rFonts w:hint="eastAsia" w:ascii="宋体" w:hAnsi="Times New Roman" w:eastAsia="宋体"/>
        <w:b/>
        <w:i w:val="0"/>
        <w:sz w:val="28"/>
        <w:u w:val="none"/>
      </w:rPr>
    </w:lvl>
    <w:lvl w:ilvl="5" w:tentative="0">
      <w:start w:val="1"/>
      <w:numFmt w:val="decimal"/>
      <w:suff w:val="space"/>
      <w:lvlText w:val="1.1.1.1.1.%6%5"/>
      <w:lvlJc w:val="left"/>
      <w:pPr>
        <w:ind w:left="0" w:firstLine="0"/>
      </w:pPr>
      <w:rPr>
        <w:rFonts w:hint="eastAsia" w:ascii="宋体" w:hAnsi="Times New Roman" w:eastAsia="宋体"/>
        <w:b/>
        <w:i w:val="0"/>
        <w:sz w:val="28"/>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3">
    <w:nsid w:val="5A38E275"/>
    <w:multiLevelType w:val="singleLevel"/>
    <w:tmpl w:val="5A38E275"/>
    <w:lvl w:ilvl="0" w:tentative="0">
      <w:start w:val="2"/>
      <w:numFmt w:val="decimal"/>
      <w:lvlText w:val="%1."/>
      <w:lvlJc w:val="left"/>
      <w:pPr>
        <w:tabs>
          <w:tab w:val="left" w:pos="312"/>
        </w:tabs>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C542A2"/>
    <w:rsid w:val="03686DC7"/>
    <w:rsid w:val="08613EC7"/>
    <w:rsid w:val="0A747570"/>
    <w:rsid w:val="0AF7570A"/>
    <w:rsid w:val="0C5565F8"/>
    <w:rsid w:val="0E361668"/>
    <w:rsid w:val="0E8C2023"/>
    <w:rsid w:val="0EA0510E"/>
    <w:rsid w:val="11011608"/>
    <w:rsid w:val="11482B57"/>
    <w:rsid w:val="124920A0"/>
    <w:rsid w:val="133817E5"/>
    <w:rsid w:val="13476659"/>
    <w:rsid w:val="157B613B"/>
    <w:rsid w:val="164D3E62"/>
    <w:rsid w:val="164E323E"/>
    <w:rsid w:val="177E0312"/>
    <w:rsid w:val="19E775C7"/>
    <w:rsid w:val="1B607B81"/>
    <w:rsid w:val="1BCE3D98"/>
    <w:rsid w:val="1BF67748"/>
    <w:rsid w:val="207B54E4"/>
    <w:rsid w:val="21CC6C45"/>
    <w:rsid w:val="21DC32D9"/>
    <w:rsid w:val="25911BD2"/>
    <w:rsid w:val="295029AB"/>
    <w:rsid w:val="2EA571F6"/>
    <w:rsid w:val="33FC280F"/>
    <w:rsid w:val="36C542A2"/>
    <w:rsid w:val="3AD7140E"/>
    <w:rsid w:val="3B205EE0"/>
    <w:rsid w:val="3B912DD7"/>
    <w:rsid w:val="3E8E4C2C"/>
    <w:rsid w:val="4032123F"/>
    <w:rsid w:val="42EC53C8"/>
    <w:rsid w:val="44731E1C"/>
    <w:rsid w:val="4497007E"/>
    <w:rsid w:val="44CE6E4A"/>
    <w:rsid w:val="46265B57"/>
    <w:rsid w:val="4A1A5EEE"/>
    <w:rsid w:val="4B2954D3"/>
    <w:rsid w:val="4B6C3B21"/>
    <w:rsid w:val="4CA00D18"/>
    <w:rsid w:val="50FE6533"/>
    <w:rsid w:val="55711857"/>
    <w:rsid w:val="581E5B7D"/>
    <w:rsid w:val="59273E85"/>
    <w:rsid w:val="5C2E03CF"/>
    <w:rsid w:val="5E471383"/>
    <w:rsid w:val="62AF4A16"/>
    <w:rsid w:val="671A2117"/>
    <w:rsid w:val="67D55CA7"/>
    <w:rsid w:val="68E369B9"/>
    <w:rsid w:val="6A3D1A88"/>
    <w:rsid w:val="6A79032C"/>
    <w:rsid w:val="6AFE7E89"/>
    <w:rsid w:val="6B4F245A"/>
    <w:rsid w:val="6D0F4856"/>
    <w:rsid w:val="6F764579"/>
    <w:rsid w:val="6FB45B1A"/>
    <w:rsid w:val="70382BC4"/>
    <w:rsid w:val="73B513F3"/>
    <w:rsid w:val="75E01633"/>
    <w:rsid w:val="76891058"/>
    <w:rsid w:val="77621055"/>
    <w:rsid w:val="78BF4195"/>
    <w:rsid w:val="7D5B3DC7"/>
    <w:rsid w:val="7DF80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iPriority="99"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28"/>
    <w:qFormat/>
    <w:uiPriority w:val="0"/>
    <w:pPr>
      <w:keepNext/>
      <w:keepLines/>
      <w:spacing w:after="120" w:line="360" w:lineRule="auto"/>
      <w:outlineLvl w:val="0"/>
    </w:pPr>
    <w:rPr>
      <w:rFonts w:ascii="宋体" w:hAnsi="宋体" w:eastAsia="宋体" w:cs="宋体"/>
      <w:b/>
      <w:bCs/>
      <w:snapToGrid w:val="0"/>
      <w:spacing w:val="4"/>
      <w:kern w:val="0"/>
      <w:sz w:val="32"/>
      <w:szCs w:val="32"/>
      <w:highlight w:val="none"/>
    </w:rPr>
  </w:style>
  <w:style w:type="paragraph" w:styleId="4">
    <w:name w:val="heading 2"/>
    <w:basedOn w:val="1"/>
    <w:next w:val="1"/>
    <w:link w:val="29"/>
    <w:semiHidden/>
    <w:unhideWhenUsed/>
    <w:qFormat/>
    <w:uiPriority w:val="0"/>
    <w:pPr>
      <w:keepNext/>
      <w:keepLines/>
      <w:spacing w:before="240" w:after="120" w:line="360" w:lineRule="auto"/>
      <w:ind w:left="150"/>
      <w:jc w:val="left"/>
      <w:outlineLvl w:val="1"/>
    </w:pPr>
    <w:rPr>
      <w:rFonts w:ascii="宋体" w:hAnsi="宋体" w:eastAsia="宋体" w:cs="宋体"/>
      <w:bCs/>
      <w:snapToGrid w:val="0"/>
      <w:spacing w:val="4"/>
      <w:kern w:val="0"/>
      <w:sz w:val="28"/>
      <w:szCs w:val="30"/>
      <w:highlight w:val="none"/>
    </w:rPr>
  </w:style>
  <w:style w:type="paragraph" w:styleId="5">
    <w:name w:val="heading 3"/>
    <w:basedOn w:val="1"/>
    <w:next w:val="1"/>
    <w:link w:val="30"/>
    <w:semiHidden/>
    <w:unhideWhenUsed/>
    <w:qFormat/>
    <w:uiPriority w:val="0"/>
    <w:pPr>
      <w:outlineLvl w:val="2"/>
    </w:pPr>
    <w:rPr>
      <w:rFonts w:ascii="宋体" w:hAnsi="宋体" w:eastAsia="宋体" w:cstheme="minorBidi"/>
      <w:sz w:val="28"/>
      <w:szCs w:val="44"/>
    </w:rPr>
  </w:style>
  <w:style w:type="paragraph" w:styleId="6">
    <w:name w:val="heading 4"/>
    <w:basedOn w:val="1"/>
    <w:next w:val="1"/>
    <w:semiHidden/>
    <w:unhideWhenUsed/>
    <w:qFormat/>
    <w:uiPriority w:val="0"/>
    <w:pPr>
      <w:spacing w:line="360" w:lineRule="auto"/>
      <w:outlineLvl w:val="3"/>
    </w:pPr>
    <w:rPr>
      <w:rFonts w:ascii="Arial" w:hAnsi="Arial" w:eastAsia="宋体" w:cs="宋体"/>
      <w:bCs/>
      <w:snapToGrid w:val="0"/>
      <w:spacing w:val="4"/>
      <w:kern w:val="0"/>
      <w:szCs w:val="30"/>
      <w:highlight w:val="none"/>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284" w:hanging="284"/>
      <w:outlineLvl w:val="4"/>
    </w:pPr>
    <w:rPr>
      <w:b/>
      <w:sz w:val="28"/>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outlineLvl w:val="8"/>
    </w:pPr>
    <w:rPr>
      <w:rFonts w:ascii="Arial" w:hAnsi="Arial" w:eastAsia="黑体"/>
      <w:sz w:val="21"/>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spacing w:line="300" w:lineRule="auto"/>
      <w:ind w:firstLine="420"/>
    </w:pPr>
    <w:rPr>
      <w:rFonts w:eastAsia="方正书宋简体"/>
      <w:szCs w:val="20"/>
    </w:rPr>
  </w:style>
  <w:style w:type="paragraph" w:styleId="11">
    <w:name w:val="Normal Indent"/>
    <w:basedOn w:val="1"/>
    <w:qFormat/>
    <w:uiPriority w:val="0"/>
    <w:pPr>
      <w:ind w:firstLine="420" w:firstLineChars="200"/>
    </w:pPr>
  </w:style>
  <w:style w:type="paragraph" w:styleId="12">
    <w:name w:val="annotation text"/>
    <w:basedOn w:val="1"/>
    <w:qFormat/>
    <w:uiPriority w:val="0"/>
    <w:pPr>
      <w:jc w:val="left"/>
    </w:pPr>
  </w:style>
  <w:style w:type="paragraph" w:styleId="13">
    <w:name w:val="Body Text 3"/>
    <w:basedOn w:val="1"/>
    <w:qFormat/>
    <w:uiPriority w:val="0"/>
    <w:pPr>
      <w:spacing w:after="120"/>
    </w:pPr>
    <w:rPr>
      <w:rFonts w:eastAsia="楷体_GB2312"/>
      <w:kern w:val="0"/>
      <w:sz w:val="16"/>
      <w:szCs w:val="16"/>
    </w:rPr>
  </w:style>
  <w:style w:type="paragraph" w:styleId="14">
    <w:name w:val="Body Text"/>
    <w:basedOn w:val="1"/>
    <w:qFormat/>
    <w:uiPriority w:val="0"/>
    <w:pPr>
      <w:spacing w:after="120" w:afterLines="0" w:afterAutospacing="0"/>
    </w:pPr>
  </w:style>
  <w:style w:type="paragraph" w:styleId="15">
    <w:name w:val="Body Text Indent"/>
    <w:basedOn w:val="1"/>
    <w:next w:val="16"/>
    <w:qFormat/>
    <w:uiPriority w:val="0"/>
    <w:pPr>
      <w:spacing w:after="120"/>
      <w:ind w:left="420" w:leftChars="200"/>
    </w:pPr>
    <w:rPr>
      <w:kern w:val="0"/>
      <w:sz w:val="20"/>
      <w:szCs w:val="20"/>
    </w:rPr>
  </w:style>
  <w:style w:type="paragraph" w:styleId="16">
    <w:name w:val="envelope return"/>
    <w:basedOn w:val="1"/>
    <w:qFormat/>
    <w:uiPriority w:val="0"/>
    <w:pPr>
      <w:snapToGrid w:val="0"/>
    </w:pPr>
    <w:rPr>
      <w:rFonts w:ascii="Arial" w:hAnsi="Arial" w:cs="Arial"/>
    </w:rPr>
  </w:style>
  <w:style w:type="paragraph" w:styleId="17">
    <w:name w:val="Plain Text"/>
    <w:basedOn w:val="1"/>
    <w:qFormat/>
    <w:uiPriority w:val="0"/>
    <w:rPr>
      <w:rFonts w:ascii="宋体"/>
      <w:kern w:val="0"/>
      <w:sz w:val="20"/>
      <w:szCs w:val="20"/>
    </w:rPr>
  </w:style>
  <w:style w:type="paragraph" w:styleId="18">
    <w:name w:val="Body Text Indent 2"/>
    <w:basedOn w:val="1"/>
    <w:unhideWhenUsed/>
    <w:qFormat/>
    <w:uiPriority w:val="99"/>
    <w:pPr>
      <w:spacing w:after="120" w:line="480" w:lineRule="auto"/>
      <w:ind w:left="420" w:leftChars="200"/>
    </w:pPr>
  </w:style>
  <w:style w:type="paragraph" w:styleId="19">
    <w:name w:val="footer"/>
    <w:basedOn w:val="1"/>
    <w:unhideWhenUsed/>
    <w:qFormat/>
    <w:uiPriority w:val="99"/>
    <w:pPr>
      <w:tabs>
        <w:tab w:val="center" w:pos="4153"/>
        <w:tab w:val="right" w:pos="8306"/>
      </w:tabs>
      <w:snapToGrid w:val="0"/>
      <w:jc w:val="left"/>
    </w:pPr>
    <w:rPr>
      <w:kern w:val="0"/>
      <w:sz w:val="18"/>
      <w:szCs w:val="18"/>
    </w:rPr>
  </w:style>
  <w:style w:type="paragraph" w:styleId="20">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Body Text Indent 3"/>
    <w:basedOn w:val="1"/>
    <w:qFormat/>
    <w:uiPriority w:val="0"/>
    <w:pPr>
      <w:spacing w:after="120"/>
      <w:ind w:left="200" w:leftChars="200"/>
    </w:pPr>
    <w:rPr>
      <w:kern w:val="0"/>
      <w:sz w:val="16"/>
      <w:szCs w:val="16"/>
    </w:rPr>
  </w:style>
  <w:style w:type="paragraph" w:styleId="22">
    <w:name w:val="toc 2"/>
    <w:basedOn w:val="1"/>
    <w:next w:val="1"/>
    <w:qFormat/>
    <w:uiPriority w:val="39"/>
    <w:pPr>
      <w:ind w:left="200" w:leftChars="200"/>
    </w:pPr>
    <w:rPr>
      <w:rFonts w:ascii="Times New Roman" w:hAnsi="Times New Roman"/>
    </w:rPr>
  </w:style>
  <w:style w:type="paragraph" w:styleId="23">
    <w:name w:val="Body Text First Indent"/>
    <w:basedOn w:val="14"/>
    <w:qFormat/>
    <w:uiPriority w:val="0"/>
    <w:pPr>
      <w:ind w:firstLine="420" w:firstLineChars="100"/>
    </w:pPr>
  </w:style>
  <w:style w:type="paragraph" w:styleId="24">
    <w:name w:val="Body Text First Indent 2"/>
    <w:basedOn w:val="15"/>
    <w:unhideWhenUsed/>
    <w:qFormat/>
    <w:uiPriority w:val="99"/>
    <w:pPr>
      <w:keepNext w:val="0"/>
      <w:keepLines w:val="0"/>
      <w:widowControl/>
      <w:suppressLineNumbers w:val="0"/>
      <w:spacing w:before="0" w:beforeAutospacing="0" w:after="120" w:afterAutospacing="0" w:line="256" w:lineRule="auto"/>
      <w:ind w:left="420" w:leftChars="200" w:right="0" w:firstLine="420" w:firstLineChars="200"/>
      <w:jc w:val="left"/>
    </w:pPr>
    <w:rPr>
      <w:rFonts w:ascii="Calibri" w:hAnsi="Calibri" w:eastAsia="Calibri" w:cs="Times New Roman"/>
      <w:color w:val="000000"/>
      <w:kern w:val="2"/>
      <w:sz w:val="22"/>
      <w:szCs w:val="22"/>
      <w:lang w:val="en-US" w:eastAsia="zh-CN" w:bidi="ar-SA"/>
    </w:rPr>
  </w:style>
  <w:style w:type="character" w:styleId="27">
    <w:name w:val="page number"/>
    <w:qFormat/>
    <w:uiPriority w:val="0"/>
  </w:style>
  <w:style w:type="character" w:customStyle="1" w:styleId="28">
    <w:name w:val="标题 1 Char"/>
    <w:link w:val="3"/>
    <w:qFormat/>
    <w:uiPriority w:val="0"/>
    <w:rPr>
      <w:rFonts w:ascii="宋体" w:hAnsi="宋体" w:eastAsia="宋体" w:cs="宋体"/>
      <w:b/>
      <w:bCs/>
      <w:snapToGrid w:val="0"/>
      <w:spacing w:val="4"/>
      <w:kern w:val="0"/>
      <w:sz w:val="32"/>
      <w:szCs w:val="32"/>
      <w:highlight w:val="none"/>
      <w:lang w:val="en-US" w:eastAsia="zh-CN" w:bidi="ar-SA"/>
    </w:rPr>
  </w:style>
  <w:style w:type="character" w:customStyle="1" w:styleId="29">
    <w:name w:val="标题 2 Char"/>
    <w:link w:val="4"/>
    <w:qFormat/>
    <w:uiPriority w:val="0"/>
    <w:rPr>
      <w:rFonts w:ascii="宋体" w:hAnsi="宋体" w:eastAsia="宋体" w:cs="宋体"/>
      <w:b/>
      <w:bCs/>
      <w:snapToGrid w:val="0"/>
      <w:spacing w:val="4"/>
      <w:kern w:val="0"/>
      <w:sz w:val="24"/>
      <w:szCs w:val="22"/>
      <w:highlight w:val="none"/>
    </w:rPr>
  </w:style>
  <w:style w:type="character" w:customStyle="1" w:styleId="30">
    <w:name w:val="标题 3 字符"/>
    <w:link w:val="5"/>
    <w:qFormat/>
    <w:uiPriority w:val="0"/>
    <w:rPr>
      <w:rFonts w:ascii="宋体" w:hAnsi="宋体" w:eastAsia="宋体" w:cstheme="minorBidi"/>
      <w:color w:val="FF99CC"/>
      <w:kern w:val="2"/>
      <w:sz w:val="24"/>
      <w:szCs w:val="21"/>
      <w:lang w:val="en-US" w:eastAsia="zh-CN" w:bidi="ar-SA"/>
    </w:rPr>
  </w:style>
  <w:style w:type="paragraph" w:customStyle="1" w:styleId="31">
    <w:name w:val="*正文"/>
    <w:basedOn w:val="1"/>
    <w:qFormat/>
    <w:uiPriority w:val="0"/>
    <w:pPr>
      <w:spacing w:line="360" w:lineRule="auto"/>
      <w:ind w:firstLine="200" w:firstLineChars="200"/>
      <w:jc w:val="left"/>
    </w:pPr>
    <w:rPr>
      <w:rFonts w:hint="default" w:ascii="Calibri" w:hAnsi="Calibri" w:eastAsia="宋体" w:cs="Times New Roman"/>
      <w:kern w:val="0"/>
      <w:sz w:val="24"/>
      <w:szCs w:val="24"/>
    </w:rPr>
  </w:style>
  <w:style w:type="paragraph" w:customStyle="1" w:styleId="32">
    <w:name w:val="文一"/>
    <w:basedOn w:val="1"/>
    <w:qFormat/>
    <w:uiPriority w:val="0"/>
    <w:pPr>
      <w:topLinePunct/>
      <w:adjustRightInd w:val="0"/>
      <w:snapToGrid w:val="0"/>
      <w:spacing w:line="360" w:lineRule="auto"/>
      <w:ind w:firstLine="200" w:firstLineChars="200"/>
    </w:pPr>
    <w:rPr>
      <w:spacing w:val="4"/>
      <w:kern w:val="0"/>
      <w:sz w:val="24"/>
      <w:szCs w:val="24"/>
    </w:rPr>
  </w:style>
  <w:style w:type="paragraph" w:styleId="33">
    <w:name w:val="List Paragraph"/>
    <w:basedOn w:val="1"/>
    <w:qFormat/>
    <w:uiPriority w:val="0"/>
    <w:pPr>
      <w:ind w:firstLine="420" w:firstLineChars="200"/>
    </w:pPr>
    <w:rPr>
      <w:rFonts w:ascii="Times New Roman" w:hAnsi="Times New Roman"/>
    </w:rPr>
  </w:style>
  <w:style w:type="paragraph" w:customStyle="1" w:styleId="34">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35">
    <w:name w:val="Table Paragraph"/>
    <w:basedOn w:val="1"/>
    <w:qFormat/>
    <w:uiPriority w:val="1"/>
    <w:pPr>
      <w:autoSpaceDE w:val="0"/>
      <w:autoSpaceDN w:val="0"/>
      <w:adjustRightInd w:val="0"/>
      <w:jc w:val="left"/>
    </w:pPr>
    <w:rPr>
      <w:rFonts w:ascii="Times New Roman" w:hAnsi="Times New Roman"/>
      <w:kern w:val="0"/>
      <w:sz w:val="24"/>
      <w:szCs w:val="24"/>
    </w:rPr>
  </w:style>
  <w:style w:type="paragraph" w:customStyle="1" w:styleId="36">
    <w:name w:val="Table Text"/>
    <w:basedOn w:val="1"/>
    <w:semiHidden/>
    <w:qFormat/>
    <w:uiPriority w:val="0"/>
    <w:rPr>
      <w:rFonts w:ascii="宋体" w:hAnsi="宋体" w:eastAsia="宋体" w:cs="宋体"/>
      <w:sz w:val="22"/>
      <w:szCs w:val="22"/>
      <w:lang w:val="en-US" w:eastAsia="en-US" w:bidi="ar-SA"/>
    </w:rPr>
  </w:style>
  <w:style w:type="paragraph" w:customStyle="1" w:styleId="37">
    <w:name w:val="Body Text First Indent 2"/>
    <w:basedOn w:val="38"/>
    <w:qFormat/>
    <w:uiPriority w:val="0"/>
    <w:pPr>
      <w:spacing w:after="120" w:afterLines="0" w:line="240" w:lineRule="auto"/>
      <w:ind w:left="200" w:leftChars="200" w:firstLine="200" w:firstLineChars="200"/>
    </w:pPr>
    <w:rPr>
      <w:rFonts w:ascii="Calibri" w:hAnsi="Calibri"/>
      <w:kern w:val="2"/>
      <w:sz w:val="21"/>
      <w:szCs w:val="24"/>
    </w:rPr>
  </w:style>
  <w:style w:type="paragraph" w:customStyle="1" w:styleId="38">
    <w:name w:val="Body Text Indent"/>
    <w:basedOn w:val="1"/>
    <w:next w:val="39"/>
    <w:qFormat/>
    <w:uiPriority w:val="0"/>
    <w:pPr>
      <w:ind w:firstLine="570"/>
    </w:pPr>
    <w:rPr>
      <w:rFonts w:ascii="Times New Roman" w:hAnsi="Times New Roman"/>
      <w:kern w:val="0"/>
      <w:sz w:val="28"/>
      <w:szCs w:val="20"/>
    </w:rPr>
  </w:style>
  <w:style w:type="paragraph" w:customStyle="1" w:styleId="39">
    <w:name w:val="envelope return"/>
    <w:basedOn w:val="1"/>
    <w:qFormat/>
    <w:uiPriority w:val="0"/>
    <w:pPr>
      <w:snapToGrid w:val="0"/>
    </w:pPr>
    <w:rPr>
      <w:rFonts w:ascii="Arial" w:hAnsi="Arial"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12296</Words>
  <Characters>13121</Characters>
  <Lines>0</Lines>
  <Paragraphs>0</Paragraphs>
  <TotalTime>35</TotalTime>
  <ScaleCrop>false</ScaleCrop>
  <LinksUpToDate>false</LinksUpToDate>
  <CharactersWithSpaces>13355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2025-09-09T03:20:00Z</dcterms:created>
  <dc:creator>张仰芝</dc:creator>
  <cp:lastModifiedBy>陈宝应</cp:lastModifiedBy>
  <dcterms:modified xsi:type="dcterms:W3CDTF">2025-09-17T01:23:34Z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47CF9D539E2C4156AFE38E4A318C0996_13</vt:lpwstr>
  </property>
  <property fmtid="{D5CDD505-2E9C-101B-9397-08002B2CF9AE}" pid="4" name="KSOTemplateDocerSaveRecord">
    <vt:lpwstr>eyJoZGlkIjoiYTc2ZGZiNzZiNDVlOGViOWVmM2JhOTY0NGJkNjUyYzgiLCJ1c2VySWQiOiI0MzA1MTY5MDAifQ==</vt:lpwstr>
  </property>
</Properties>
</file>