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302225">
      <w:pPr>
        <w:spacing w:line="300" w:lineRule="auto"/>
        <w:jc w:val="center"/>
        <w:rPr>
          <w:rFonts w:hint="eastAsia" w:ascii="宋体" w:hAnsi="宋体" w:eastAsia="宋体" w:cs="宋体"/>
          <w:b/>
          <w:color w:val="auto"/>
          <w:sz w:val="52"/>
        </w:rPr>
      </w:pPr>
      <w:bookmarkStart w:id="0" w:name="_Toc154921241"/>
      <w:bookmarkStart w:id="1" w:name="_Toc154922225"/>
    </w:p>
    <w:p w14:paraId="38F8CD34">
      <w:pPr>
        <w:spacing w:line="360" w:lineRule="auto"/>
        <w:jc w:val="center"/>
        <w:rPr>
          <w:rFonts w:hint="eastAsia" w:ascii="宋体" w:hAnsi="宋体" w:eastAsia="宋体" w:cs="宋体"/>
          <w:b/>
          <w:bCs/>
          <w:color w:val="auto"/>
          <w:sz w:val="52"/>
          <w:szCs w:val="56"/>
        </w:rPr>
      </w:pPr>
      <w:r>
        <w:rPr>
          <w:rFonts w:hint="eastAsia" w:ascii="宋体" w:hAnsi="宋体" w:eastAsia="宋体" w:cs="宋体"/>
          <w:b/>
          <w:bCs/>
          <w:color w:val="auto"/>
          <w:sz w:val="52"/>
          <w:szCs w:val="52"/>
          <w:shd w:val="clear" w:color="auto" w:fill="FFFFFF"/>
        </w:rPr>
        <w:t>天河区金融城东区AT091415、AT091417地块工程监理</w:t>
      </w:r>
    </w:p>
    <w:p w14:paraId="19954E22">
      <w:pPr>
        <w:spacing w:line="360" w:lineRule="auto"/>
        <w:rPr>
          <w:rFonts w:hint="eastAsia" w:ascii="宋体" w:hAnsi="宋体" w:eastAsia="宋体" w:cs="宋体"/>
          <w:color w:val="auto"/>
        </w:rPr>
      </w:pPr>
    </w:p>
    <w:p w14:paraId="7BF6E33B">
      <w:pPr>
        <w:spacing w:line="360" w:lineRule="auto"/>
        <w:jc w:val="right"/>
        <w:rPr>
          <w:rFonts w:hint="eastAsia" w:ascii="宋体" w:hAnsi="宋体" w:eastAsia="宋体" w:cs="宋体"/>
          <w:color w:val="auto"/>
        </w:rPr>
      </w:pPr>
    </w:p>
    <w:p w14:paraId="5629C4D4">
      <w:pPr>
        <w:spacing w:line="360" w:lineRule="auto"/>
        <w:rPr>
          <w:rFonts w:hint="eastAsia" w:ascii="宋体" w:hAnsi="宋体" w:eastAsia="宋体" w:cs="宋体"/>
          <w:color w:val="auto"/>
          <w:sz w:val="28"/>
          <w:szCs w:val="28"/>
        </w:rPr>
      </w:pPr>
    </w:p>
    <w:p w14:paraId="7723873B">
      <w:pPr>
        <w:spacing w:line="360" w:lineRule="auto"/>
        <w:rPr>
          <w:rFonts w:hint="eastAsia" w:ascii="宋体" w:hAnsi="宋体" w:eastAsia="宋体" w:cs="宋体"/>
          <w:color w:val="auto"/>
          <w:sz w:val="28"/>
        </w:rPr>
      </w:pPr>
    </w:p>
    <w:p w14:paraId="5133F288">
      <w:pPr>
        <w:spacing w:line="360" w:lineRule="auto"/>
        <w:rPr>
          <w:rFonts w:hint="eastAsia" w:ascii="宋体" w:hAnsi="宋体" w:eastAsia="宋体" w:cs="宋体"/>
          <w:color w:val="auto"/>
          <w:sz w:val="28"/>
        </w:rPr>
      </w:pPr>
    </w:p>
    <w:p w14:paraId="3D2EC4E0">
      <w:pPr>
        <w:spacing w:line="300" w:lineRule="auto"/>
        <w:jc w:val="center"/>
        <w:rPr>
          <w:rFonts w:hint="eastAsia" w:ascii="宋体" w:hAnsi="宋体" w:eastAsia="宋体" w:cs="宋体"/>
          <w:b/>
          <w:color w:val="auto"/>
          <w:spacing w:val="26"/>
          <w:sz w:val="110"/>
        </w:rPr>
      </w:pPr>
      <w:r>
        <w:rPr>
          <w:rFonts w:hint="eastAsia" w:ascii="宋体" w:hAnsi="宋体" w:eastAsia="宋体" w:cs="宋体"/>
          <w:b/>
          <w:color w:val="auto"/>
          <w:spacing w:val="26"/>
          <w:sz w:val="110"/>
        </w:rPr>
        <w:t>招标文件</w:t>
      </w:r>
    </w:p>
    <w:p w14:paraId="5660CD4C">
      <w:pPr>
        <w:spacing w:line="360" w:lineRule="auto"/>
        <w:rPr>
          <w:rFonts w:hint="eastAsia" w:ascii="宋体" w:hAnsi="宋体" w:eastAsia="宋体" w:cs="宋体"/>
          <w:color w:val="auto"/>
        </w:rPr>
      </w:pPr>
    </w:p>
    <w:p w14:paraId="460D4E35">
      <w:pPr>
        <w:spacing w:line="360" w:lineRule="auto"/>
        <w:rPr>
          <w:rFonts w:hint="eastAsia" w:ascii="宋体" w:hAnsi="宋体" w:eastAsia="宋体" w:cs="宋体"/>
          <w:color w:val="auto"/>
        </w:rPr>
      </w:pPr>
    </w:p>
    <w:p w14:paraId="488EA09F">
      <w:pPr>
        <w:spacing w:line="360" w:lineRule="auto"/>
        <w:rPr>
          <w:rFonts w:hint="eastAsia" w:ascii="宋体" w:hAnsi="宋体" w:eastAsia="宋体" w:cs="宋体"/>
          <w:color w:val="auto"/>
        </w:rPr>
      </w:pPr>
    </w:p>
    <w:p w14:paraId="77F7ECCC">
      <w:pPr>
        <w:spacing w:line="360" w:lineRule="auto"/>
        <w:rPr>
          <w:rFonts w:hint="eastAsia" w:ascii="宋体" w:hAnsi="宋体" w:eastAsia="宋体" w:cs="宋体"/>
          <w:color w:val="auto"/>
        </w:rPr>
      </w:pPr>
    </w:p>
    <w:p w14:paraId="55CA3CFB">
      <w:pPr>
        <w:spacing w:line="360" w:lineRule="auto"/>
        <w:rPr>
          <w:rFonts w:hint="eastAsia" w:ascii="宋体" w:hAnsi="宋体" w:eastAsia="宋体" w:cs="宋体"/>
          <w:color w:val="auto"/>
        </w:rPr>
      </w:pPr>
    </w:p>
    <w:p w14:paraId="29150D16">
      <w:pPr>
        <w:spacing w:line="360" w:lineRule="auto"/>
        <w:rPr>
          <w:rFonts w:hint="eastAsia" w:ascii="宋体" w:hAnsi="宋体" w:eastAsia="宋体" w:cs="宋体"/>
          <w:color w:val="auto"/>
        </w:rPr>
      </w:pPr>
    </w:p>
    <w:p w14:paraId="3BF5E723">
      <w:pPr>
        <w:spacing w:line="360" w:lineRule="auto"/>
        <w:rPr>
          <w:rFonts w:hint="eastAsia" w:ascii="宋体" w:hAnsi="宋体" w:eastAsia="宋体" w:cs="宋体"/>
          <w:color w:val="auto"/>
        </w:rPr>
      </w:pPr>
    </w:p>
    <w:p w14:paraId="0D280069">
      <w:pPr>
        <w:spacing w:line="360" w:lineRule="auto"/>
        <w:ind w:firstLine="945"/>
        <w:rPr>
          <w:rFonts w:hint="eastAsia" w:ascii="宋体" w:hAnsi="宋体" w:eastAsia="宋体" w:cs="宋体"/>
          <w:color w:val="auto"/>
          <w:sz w:val="30"/>
        </w:rPr>
      </w:pPr>
    </w:p>
    <w:p w14:paraId="04D13573">
      <w:pPr>
        <w:spacing w:line="360" w:lineRule="auto"/>
        <w:rPr>
          <w:rFonts w:hint="eastAsia" w:ascii="宋体" w:hAnsi="宋体" w:eastAsia="宋体" w:cs="宋体"/>
          <w:color w:val="auto"/>
          <w:sz w:val="30"/>
        </w:rPr>
      </w:pPr>
    </w:p>
    <w:p w14:paraId="6ED10A02">
      <w:pPr>
        <w:spacing w:line="360" w:lineRule="auto"/>
        <w:ind w:firstLine="945"/>
        <w:rPr>
          <w:rFonts w:hint="eastAsia" w:ascii="宋体" w:hAnsi="宋体" w:eastAsia="宋体" w:cs="宋体"/>
          <w:color w:val="auto"/>
          <w:sz w:val="30"/>
          <w:u w:val="single"/>
        </w:rPr>
      </w:pPr>
      <w:r>
        <w:rPr>
          <w:rFonts w:hint="eastAsia" w:ascii="宋体" w:hAnsi="宋体" w:eastAsia="宋体" w:cs="宋体"/>
          <w:color w:val="auto"/>
          <w:sz w:val="30"/>
        </w:rPr>
        <w:t>招   标   人：</w:t>
      </w:r>
      <w:r>
        <w:rPr>
          <w:rFonts w:hint="eastAsia" w:ascii="宋体" w:hAnsi="宋体" w:eastAsia="宋体" w:cs="宋体"/>
          <w:color w:val="auto"/>
          <w:sz w:val="30"/>
          <w:u w:val="single"/>
        </w:rPr>
        <w:t>广州锦泷房地产开发有限公司</w:t>
      </w:r>
    </w:p>
    <w:p w14:paraId="22928018">
      <w:pPr>
        <w:spacing w:line="360" w:lineRule="auto"/>
        <w:ind w:firstLine="945"/>
        <w:rPr>
          <w:rFonts w:hint="eastAsia" w:ascii="宋体" w:hAnsi="宋体" w:eastAsia="宋体" w:cs="宋体"/>
          <w:color w:val="auto"/>
          <w:sz w:val="30"/>
          <w:u w:val="single"/>
        </w:rPr>
      </w:pPr>
      <w:r>
        <w:rPr>
          <w:rFonts w:hint="eastAsia" w:ascii="宋体" w:hAnsi="宋体" w:eastAsia="宋体" w:cs="宋体"/>
          <w:color w:val="auto"/>
          <w:sz w:val="30"/>
        </w:rPr>
        <w:t>招标代理机构：</w:t>
      </w:r>
      <w:r>
        <w:rPr>
          <w:rFonts w:hint="eastAsia" w:ascii="宋体" w:hAnsi="宋体" w:eastAsia="宋体" w:cs="宋体"/>
          <w:color w:val="auto"/>
          <w:sz w:val="30"/>
          <w:u w:val="single"/>
        </w:rPr>
        <w:t>广州珠江监理咨询集团有限公司</w:t>
      </w:r>
    </w:p>
    <w:p w14:paraId="315F9B21">
      <w:pPr>
        <w:spacing w:line="360" w:lineRule="auto"/>
        <w:ind w:firstLine="945"/>
        <w:jc w:val="left"/>
        <w:rPr>
          <w:rFonts w:hint="eastAsia" w:ascii="宋体" w:hAnsi="宋体" w:eastAsia="宋体" w:cs="宋体"/>
          <w:b/>
          <w:color w:val="auto"/>
          <w:sz w:val="28"/>
          <w:szCs w:val="28"/>
        </w:rPr>
      </w:pPr>
      <w:r>
        <w:rPr>
          <w:rFonts w:hint="eastAsia" w:ascii="宋体" w:hAnsi="宋体" w:eastAsia="宋体" w:cs="宋体"/>
          <w:color w:val="auto"/>
          <w:sz w:val="32"/>
        </w:rPr>
        <w:t>日       期：</w:t>
      </w:r>
      <w:r>
        <w:rPr>
          <w:rFonts w:hint="eastAsia" w:ascii="宋体" w:hAnsi="宋体" w:eastAsia="宋体" w:cs="宋体"/>
          <w:color w:val="auto"/>
          <w:sz w:val="32"/>
          <w:u w:val="single"/>
        </w:rPr>
        <w:t>2025年9月</w:t>
      </w:r>
    </w:p>
    <w:p w14:paraId="6ACE99EE">
      <w:pPr>
        <w:pStyle w:val="13"/>
        <w:rPr>
          <w:rFonts w:hint="eastAsia" w:ascii="宋体" w:hAnsi="宋体" w:eastAsia="宋体" w:cs="宋体"/>
          <w:color w:val="auto"/>
        </w:rPr>
        <w:sectPr>
          <w:pgSz w:w="12240" w:h="15840"/>
          <w:pgMar w:top="1417" w:right="1701" w:bottom="1134" w:left="1701" w:header="850" w:footer="850" w:gutter="0"/>
          <w:pgNumType w:start="1"/>
          <w:cols w:space="720" w:num="1"/>
          <w:docGrid w:linePitch="285" w:charSpace="0"/>
        </w:sectPr>
      </w:pPr>
    </w:p>
    <w:p w14:paraId="2B0CF0E8">
      <w:pPr>
        <w:pStyle w:val="13"/>
        <w:rPr>
          <w:rFonts w:hint="eastAsia" w:ascii="宋体" w:hAnsi="宋体" w:eastAsia="宋体" w:cs="宋体"/>
          <w:color w:val="auto"/>
        </w:rPr>
      </w:pPr>
    </w:p>
    <w:p w14:paraId="35DD59D6">
      <w:pPr>
        <w:spacing w:line="360" w:lineRule="auto"/>
        <w:jc w:val="center"/>
        <w:rPr>
          <w:rFonts w:hint="eastAsia" w:ascii="宋体" w:hAnsi="宋体" w:eastAsia="宋体" w:cs="宋体"/>
          <w:color w:val="auto"/>
          <w:sz w:val="52"/>
        </w:rPr>
      </w:pPr>
      <w:r>
        <w:rPr>
          <w:rFonts w:hint="eastAsia" w:ascii="宋体" w:hAnsi="宋体" w:eastAsia="宋体" w:cs="宋体"/>
          <w:color w:val="auto"/>
          <w:sz w:val="52"/>
        </w:rPr>
        <w:t>重要提示</w:t>
      </w:r>
    </w:p>
    <w:p w14:paraId="46FA5D8F">
      <w:pPr>
        <w:spacing w:line="360" w:lineRule="auto"/>
        <w:ind w:firstLine="537" w:firstLineChars="224"/>
        <w:jc w:val="center"/>
        <w:rPr>
          <w:rFonts w:hint="eastAsia" w:ascii="宋体" w:hAnsi="宋体" w:eastAsia="宋体" w:cs="宋体"/>
          <w:color w:val="auto"/>
          <w:sz w:val="24"/>
        </w:rPr>
      </w:pPr>
    </w:p>
    <w:p w14:paraId="50BF748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本项目实施电子招投标，投标人应先认真阅读《建设工程全流程电子化项目操作指南》。</w:t>
      </w:r>
    </w:p>
    <w:p w14:paraId="312A0785">
      <w:pPr>
        <w:spacing w:line="360" w:lineRule="auto"/>
        <w:ind w:firstLine="480" w:firstLineChars="200"/>
        <w:rPr>
          <w:rFonts w:hint="eastAsia" w:ascii="宋体" w:hAnsi="宋体" w:eastAsia="宋体" w:cs="宋体"/>
          <w:color w:val="auto"/>
          <w:sz w:val="24"/>
        </w:rPr>
      </w:pPr>
    </w:p>
    <w:bookmarkEnd w:id="0"/>
    <w:bookmarkEnd w:id="1"/>
    <w:p w14:paraId="5BFF3429">
      <w:pPr>
        <w:pStyle w:val="114"/>
        <w:keepNext w:val="0"/>
        <w:keepLines w:val="0"/>
        <w:widowControl w:val="0"/>
        <w:jc w:val="center"/>
        <w:rPr>
          <w:rFonts w:hint="eastAsia" w:ascii="宋体" w:hAnsi="宋体" w:eastAsia="宋体" w:cs="宋体"/>
          <w:b w:val="0"/>
          <w:color w:val="auto"/>
          <w:lang w:val="zh-CN"/>
        </w:rPr>
      </w:pPr>
    </w:p>
    <w:p w14:paraId="50A862CD">
      <w:pPr>
        <w:pStyle w:val="31"/>
        <w:tabs>
          <w:tab w:val="right" w:leader="dot" w:pos="9112"/>
        </w:tabs>
        <w:rPr>
          <w:rFonts w:hint="eastAsia" w:ascii="宋体" w:hAnsi="宋体" w:eastAsia="宋体" w:cs="宋体"/>
          <w:color w:val="auto"/>
        </w:rPr>
      </w:pPr>
      <w:r>
        <w:rPr>
          <w:rFonts w:hint="eastAsia" w:ascii="宋体" w:hAnsi="宋体" w:eastAsia="宋体" w:cs="宋体"/>
          <w:b/>
          <w:color w:val="auto"/>
          <w:lang w:val="zh-CN"/>
        </w:rPr>
        <w:br w:type="page"/>
      </w: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p>
    <w:p w14:paraId="4206431E">
      <w:pPr>
        <w:spacing w:line="360" w:lineRule="auto"/>
        <w:jc w:val="center"/>
        <w:rPr>
          <w:rFonts w:hint="eastAsia" w:ascii="宋体" w:hAnsi="宋体" w:eastAsia="宋体" w:cs="宋体"/>
          <w:color w:val="auto"/>
          <w:sz w:val="52"/>
        </w:rPr>
      </w:pPr>
      <w:r>
        <w:rPr>
          <w:rFonts w:hint="eastAsia" w:ascii="宋体" w:hAnsi="宋体" w:eastAsia="宋体" w:cs="宋体"/>
          <w:color w:val="auto"/>
          <w:sz w:val="52"/>
        </w:rPr>
        <w:t>目 录</w:t>
      </w:r>
    </w:p>
    <w:p w14:paraId="4B555660">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"_Toc18929"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_Toc18929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E6D786D">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"_Toc5927"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第一章 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4</w:t>
      </w:r>
    </w:p>
    <w:p w14:paraId="20C15DB5">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"_Toc2644"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5</w:t>
      </w:r>
    </w:p>
    <w:p w14:paraId="08946B09">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"_Toc6395"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第三章 评标办法（“评定分离”定标办法）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27</w:t>
      </w:r>
    </w:p>
    <w:p w14:paraId="30891A38">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"_Toc15726"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40</w:t>
      </w:r>
    </w:p>
    <w:p w14:paraId="7D0851D2">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"_Toc1039"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41</w:t>
      </w:r>
    </w:p>
    <w:p w14:paraId="56769D0B">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"_Toc25775"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第五章 委托人要求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41</w:t>
      </w:r>
    </w:p>
    <w:p w14:paraId="1B027932">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"_Toc29685"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42</w:t>
      </w:r>
    </w:p>
    <w:p w14:paraId="1D88BBE2">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"_Toc1700"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42</w:t>
      </w:r>
    </w:p>
    <w:p w14:paraId="44306DDD">
      <w:pPr>
        <w:pStyle w:val="134"/>
        <w:tabs>
          <w:tab w:val="right" w:leader="dot" w:pos="9122"/>
        </w:tabs>
        <w:spacing w:line="540" w:lineRule="exact"/>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"_Toc19391"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第七章 否决性条款汇总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57</w:t>
      </w:r>
    </w:p>
    <w:p w14:paraId="7967DB19">
      <w:pPr>
        <w:pStyle w:val="134"/>
        <w:tabs>
          <w:tab w:val="right" w:leader="dot" w:pos="9122"/>
        </w:tabs>
        <w:spacing w:line="540" w:lineRule="exact"/>
        <w:rPr>
          <w:rFonts w:hint="eastAsia" w:ascii="宋体" w:hAnsi="宋体" w:eastAsia="宋体" w:cs="宋体"/>
          <w:color w:val="auto"/>
        </w:rPr>
      </w:pPr>
      <w:r>
        <w:rPr>
          <w:rFonts w:hint="eastAsia" w:ascii="宋体" w:hAnsi="宋体" w:eastAsia="宋体" w:cs="宋体"/>
          <w:color w:val="auto"/>
          <w:sz w:val="28"/>
          <w:szCs w:val="28"/>
        </w:rPr>
        <w:fldChar w:fldCharType="end"/>
      </w:r>
      <w:r>
        <w:rPr>
          <w:rFonts w:hint="eastAsia" w:ascii="宋体" w:hAnsi="宋体" w:eastAsia="宋体" w:cs="宋体"/>
          <w:color w:val="auto"/>
        </w:rPr>
        <w:fldChar w:fldCharType="end"/>
      </w:r>
      <w:bookmarkStart w:id="2" w:name="_Toc49509952"/>
    </w:p>
    <w:p w14:paraId="3A1F98AB">
      <w:pPr>
        <w:pStyle w:val="2"/>
        <w:spacing w:line="240" w:lineRule="auto"/>
        <w:jc w:val="center"/>
        <w:rPr>
          <w:rFonts w:hint="eastAsia" w:ascii="宋体" w:hAnsi="宋体" w:eastAsia="宋体" w:cs="宋体"/>
          <w:color w:val="auto"/>
        </w:rPr>
      </w:pPr>
      <w:bookmarkStart w:id="3" w:name="_Toc18929"/>
      <w:r>
        <w:rPr>
          <w:rFonts w:hint="eastAsia" w:ascii="宋体" w:hAnsi="宋体" w:eastAsia="宋体" w:cs="宋体"/>
          <w:color w:val="auto"/>
        </w:rPr>
        <w:br w:type="page"/>
      </w:r>
      <w:r>
        <w:rPr>
          <w:rFonts w:hint="eastAsia" w:ascii="宋体" w:hAnsi="宋体" w:eastAsia="宋体" w:cs="宋体"/>
          <w:color w:val="auto"/>
        </w:rPr>
        <w:t>第一卷</w:t>
      </w:r>
      <w:bookmarkEnd w:id="2"/>
      <w:bookmarkEnd w:id="3"/>
      <w:bookmarkStart w:id="4" w:name="_Toc49509954"/>
      <w:bookmarkStart w:id="5" w:name="_Toc5927"/>
    </w:p>
    <w:p w14:paraId="64CD7084">
      <w:pPr>
        <w:pStyle w:val="2"/>
        <w:spacing w:line="240" w:lineRule="auto"/>
        <w:jc w:val="center"/>
        <w:rPr>
          <w:rFonts w:hint="eastAsia" w:ascii="宋体" w:hAnsi="宋体" w:eastAsia="宋体" w:cs="宋体"/>
          <w:color w:val="auto"/>
        </w:rPr>
      </w:pPr>
      <w:r>
        <w:rPr>
          <w:rFonts w:hint="eastAsia" w:ascii="宋体" w:hAnsi="宋体" w:eastAsia="宋体" w:cs="宋体"/>
          <w:color w:val="auto"/>
        </w:rPr>
        <w:t>第一章 招标公告</w:t>
      </w:r>
      <w:bookmarkEnd w:id="4"/>
      <w:bookmarkEnd w:id="5"/>
    </w:p>
    <w:p w14:paraId="79B948E9">
      <w:pPr>
        <w:spacing w:line="400" w:lineRule="exact"/>
        <w:jc w:val="center"/>
        <w:rPr>
          <w:rFonts w:hint="eastAsia" w:ascii="宋体" w:hAnsi="宋体" w:eastAsia="宋体" w:cs="宋体"/>
          <w:color w:val="auto"/>
          <w:sz w:val="28"/>
          <w:szCs w:val="28"/>
        </w:rPr>
      </w:pPr>
      <w:bookmarkStart w:id="6" w:name="_Toc361508575"/>
      <w:bookmarkStart w:id="7" w:name="_Toc384308200"/>
      <w:r>
        <w:rPr>
          <w:rFonts w:hint="eastAsia" w:ascii="宋体" w:hAnsi="宋体" w:eastAsia="宋体" w:cs="宋体"/>
          <w:color w:val="auto"/>
          <w:sz w:val="28"/>
          <w:szCs w:val="28"/>
        </w:rPr>
        <w:t>（另册）</w:t>
      </w:r>
    </w:p>
    <w:p w14:paraId="0C62932E">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End w:id="6"/>
      <w:bookmarkEnd w:id="7"/>
      <w:bookmarkStart w:id="8" w:name="_Toc49509963"/>
      <w:bookmarkStart w:id="9" w:name="_Toc2644"/>
      <w:r>
        <w:rPr>
          <w:rFonts w:hint="eastAsia" w:ascii="宋体" w:hAnsi="宋体" w:eastAsia="宋体" w:cs="宋体"/>
          <w:b/>
          <w:bCs/>
          <w:color w:val="auto"/>
          <w:sz w:val="44"/>
          <w:szCs w:val="44"/>
        </w:rPr>
        <w:t>第二章 投标人须知</w:t>
      </w:r>
      <w:bookmarkEnd w:id="8"/>
      <w:bookmarkEnd w:id="9"/>
    </w:p>
    <w:p w14:paraId="04A20836">
      <w:pPr>
        <w:pStyle w:val="3"/>
        <w:spacing w:line="240" w:lineRule="auto"/>
        <w:jc w:val="center"/>
        <w:rPr>
          <w:rFonts w:hint="eastAsia" w:ascii="宋体" w:hAnsi="宋体" w:eastAsia="宋体" w:cs="宋体"/>
          <w:color w:val="auto"/>
        </w:rPr>
      </w:pPr>
      <w:bookmarkStart w:id="10" w:name="_Toc49509964"/>
      <w:r>
        <w:rPr>
          <w:rFonts w:hint="eastAsia" w:ascii="宋体" w:hAnsi="宋体" w:eastAsia="宋体" w:cs="宋体"/>
          <w:color w:val="auto"/>
        </w:rPr>
        <w:t>投标人须知前附表</w:t>
      </w:r>
      <w:bookmarkEnd w:id="10"/>
    </w:p>
    <w:tbl>
      <w:tblPr>
        <w:tblStyle w:val="46"/>
        <w:tblW w:w="9322" w:type="dxa"/>
        <w:tblInd w:w="0" w:type="dxa"/>
        <w:tblLayout w:type="fixed"/>
        <w:tblCellMar>
          <w:top w:w="0" w:type="dxa"/>
          <w:left w:w="108" w:type="dxa"/>
          <w:bottom w:w="0" w:type="dxa"/>
          <w:right w:w="108" w:type="dxa"/>
        </w:tblCellMar>
      </w:tblPr>
      <w:tblGrid>
        <w:gridCol w:w="1165"/>
        <w:gridCol w:w="2292"/>
        <w:gridCol w:w="5865"/>
      </w:tblGrid>
      <w:tr w14:paraId="06B060DB">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14:paraId="234811A0">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2292" w:type="dxa"/>
            <w:tcBorders>
              <w:top w:val="single" w:color="auto" w:sz="4" w:space="0"/>
              <w:left w:val="single" w:color="auto" w:sz="4" w:space="0"/>
              <w:bottom w:val="single" w:color="auto" w:sz="4" w:space="0"/>
              <w:right w:val="single" w:color="auto" w:sz="4" w:space="0"/>
            </w:tcBorders>
            <w:vAlign w:val="center"/>
          </w:tcPr>
          <w:p w14:paraId="074D071A">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5865" w:type="dxa"/>
            <w:tcBorders>
              <w:top w:val="single" w:color="auto" w:sz="4" w:space="0"/>
              <w:left w:val="single" w:color="auto" w:sz="4" w:space="0"/>
              <w:bottom w:val="single" w:color="auto" w:sz="4" w:space="0"/>
              <w:right w:val="single" w:color="auto" w:sz="4" w:space="0"/>
            </w:tcBorders>
            <w:vAlign w:val="center"/>
          </w:tcPr>
          <w:p w14:paraId="23DCF274">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编列内容</w:t>
            </w:r>
          </w:p>
        </w:tc>
      </w:tr>
      <w:tr w14:paraId="6E26C7F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8E2DE5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1.1.2</w:t>
            </w:r>
          </w:p>
        </w:tc>
        <w:tc>
          <w:tcPr>
            <w:tcW w:w="2292" w:type="dxa"/>
            <w:tcBorders>
              <w:top w:val="single" w:color="auto" w:sz="4" w:space="0"/>
              <w:left w:val="single" w:color="auto" w:sz="4" w:space="0"/>
              <w:bottom w:val="single" w:color="auto" w:sz="4" w:space="0"/>
              <w:right w:val="single" w:color="auto" w:sz="4" w:space="0"/>
            </w:tcBorders>
            <w:vAlign w:val="center"/>
          </w:tcPr>
          <w:p w14:paraId="4AD1196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招标人</w:t>
            </w:r>
          </w:p>
        </w:tc>
        <w:tc>
          <w:tcPr>
            <w:tcW w:w="5865" w:type="dxa"/>
            <w:tcBorders>
              <w:top w:val="single" w:color="auto" w:sz="4" w:space="0"/>
              <w:left w:val="single" w:color="auto" w:sz="4" w:space="0"/>
              <w:bottom w:val="single" w:color="auto" w:sz="4" w:space="0"/>
              <w:right w:val="single" w:color="auto" w:sz="4" w:space="0"/>
            </w:tcBorders>
            <w:vAlign w:val="center"/>
          </w:tcPr>
          <w:p w14:paraId="442A168F">
            <w:pPr>
              <w:spacing w:line="360" w:lineRule="auto"/>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广州锦泷房地产开发有限公司</w:t>
            </w:r>
            <w:r>
              <w:rPr>
                <w:rFonts w:hint="eastAsia" w:ascii="宋体" w:hAnsi="宋体" w:eastAsia="宋体" w:cs="宋体"/>
                <w:color w:val="auto"/>
                <w:szCs w:val="21"/>
              </w:rPr>
              <w:t xml:space="preserve"> </w:t>
            </w:r>
          </w:p>
          <w:p w14:paraId="540F3797">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地    址：</w:t>
            </w:r>
            <w:r>
              <w:rPr>
                <w:rFonts w:hint="eastAsia" w:ascii="宋体" w:hAnsi="宋体" w:eastAsia="宋体" w:cs="宋体"/>
                <w:color w:val="auto"/>
                <w:szCs w:val="21"/>
                <w:u w:val="single"/>
              </w:rPr>
              <w:t>广州市天河区车陂路586号B102房</w:t>
            </w:r>
          </w:p>
          <w:p w14:paraId="6ED832F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联 系 人：</w:t>
            </w:r>
            <w:r>
              <w:rPr>
                <w:rFonts w:hint="eastAsia" w:ascii="宋体" w:hAnsi="宋体" w:eastAsia="宋体" w:cs="宋体"/>
                <w:color w:val="auto"/>
                <w:szCs w:val="21"/>
                <w:u w:val="single"/>
              </w:rPr>
              <w:t>梁工</w:t>
            </w:r>
          </w:p>
          <w:p w14:paraId="19656FD3">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020-32689217</w:t>
            </w:r>
          </w:p>
        </w:tc>
      </w:tr>
      <w:tr w14:paraId="7CA7E4E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C2E547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1.1.3</w:t>
            </w:r>
          </w:p>
        </w:tc>
        <w:tc>
          <w:tcPr>
            <w:tcW w:w="2292" w:type="dxa"/>
            <w:tcBorders>
              <w:top w:val="single" w:color="auto" w:sz="4" w:space="0"/>
              <w:left w:val="single" w:color="auto" w:sz="4" w:space="0"/>
              <w:bottom w:val="single" w:color="auto" w:sz="4" w:space="0"/>
              <w:right w:val="single" w:color="auto" w:sz="4" w:space="0"/>
            </w:tcBorders>
            <w:vAlign w:val="center"/>
          </w:tcPr>
          <w:p w14:paraId="727425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招标代理机构</w:t>
            </w:r>
          </w:p>
        </w:tc>
        <w:tc>
          <w:tcPr>
            <w:tcW w:w="5865" w:type="dxa"/>
            <w:tcBorders>
              <w:top w:val="single" w:color="auto" w:sz="4" w:space="0"/>
              <w:left w:val="single" w:color="auto" w:sz="4" w:space="0"/>
              <w:bottom w:val="single" w:color="auto" w:sz="4" w:space="0"/>
              <w:right w:val="single" w:color="auto" w:sz="4" w:space="0"/>
            </w:tcBorders>
            <w:vAlign w:val="center"/>
          </w:tcPr>
          <w:p w14:paraId="700E39D4">
            <w:pPr>
              <w:spacing w:line="360" w:lineRule="auto"/>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广州珠江监理咨询集团有限公司</w:t>
            </w:r>
          </w:p>
          <w:p w14:paraId="615C4F07">
            <w:pPr>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广州市越秀区永泰路50号101房</w:t>
            </w:r>
          </w:p>
          <w:p w14:paraId="7F3DD716">
            <w:pPr>
              <w:spacing w:line="360" w:lineRule="auto"/>
              <w:rPr>
                <w:rFonts w:hint="eastAsia" w:ascii="宋体" w:hAnsi="宋体" w:eastAsia="宋体" w:cs="宋体"/>
                <w:color w:val="auto"/>
                <w:szCs w:val="21"/>
              </w:rPr>
            </w:pPr>
            <w:r>
              <w:rPr>
                <w:rFonts w:hint="eastAsia" w:ascii="宋体" w:hAnsi="宋体" w:eastAsia="宋体" w:cs="宋体"/>
                <w:color w:val="auto"/>
                <w:szCs w:val="21"/>
              </w:rPr>
              <w:t>联 系 人：</w:t>
            </w:r>
            <w:r>
              <w:rPr>
                <w:rFonts w:hint="eastAsia" w:ascii="宋体" w:hAnsi="宋体" w:eastAsia="宋体" w:cs="宋体"/>
                <w:color w:val="auto"/>
                <w:szCs w:val="21"/>
                <w:u w:val="single"/>
              </w:rPr>
              <w:t>唐工</w:t>
            </w:r>
          </w:p>
          <w:p w14:paraId="24142780">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电    话：</w:t>
            </w:r>
            <w:r>
              <w:rPr>
                <w:rFonts w:hint="eastAsia" w:ascii="宋体" w:hAnsi="宋体" w:eastAsia="宋体" w:cs="宋体"/>
                <w:color w:val="auto"/>
                <w:szCs w:val="21"/>
                <w:u w:val="single"/>
              </w:rPr>
              <w:t>020-83492175</w:t>
            </w:r>
          </w:p>
        </w:tc>
      </w:tr>
      <w:tr w14:paraId="17402A2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67CA9D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1.1.4</w:t>
            </w:r>
          </w:p>
        </w:tc>
        <w:tc>
          <w:tcPr>
            <w:tcW w:w="2292" w:type="dxa"/>
            <w:tcBorders>
              <w:top w:val="single" w:color="auto" w:sz="4" w:space="0"/>
              <w:left w:val="single" w:color="auto" w:sz="4" w:space="0"/>
              <w:bottom w:val="single" w:color="auto" w:sz="4" w:space="0"/>
              <w:right w:val="single" w:color="auto" w:sz="4" w:space="0"/>
            </w:tcBorders>
            <w:vAlign w:val="center"/>
          </w:tcPr>
          <w:p w14:paraId="621D9EEE">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招标项目名称</w:t>
            </w:r>
          </w:p>
        </w:tc>
        <w:tc>
          <w:tcPr>
            <w:tcW w:w="5865" w:type="dxa"/>
            <w:tcBorders>
              <w:top w:val="single" w:color="auto" w:sz="4" w:space="0"/>
              <w:left w:val="single" w:color="auto" w:sz="4" w:space="0"/>
              <w:bottom w:val="single" w:color="auto" w:sz="4" w:space="0"/>
              <w:right w:val="single" w:color="auto" w:sz="4" w:space="0"/>
            </w:tcBorders>
            <w:vAlign w:val="center"/>
          </w:tcPr>
          <w:p w14:paraId="119C6411">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天河区金融城东区AT091415、AT091417地块工程监理</w:t>
            </w:r>
          </w:p>
        </w:tc>
      </w:tr>
      <w:tr w14:paraId="31CC5ED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E22887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2292" w:type="dxa"/>
            <w:tcBorders>
              <w:top w:val="single" w:color="auto" w:sz="4" w:space="0"/>
              <w:left w:val="single" w:color="auto" w:sz="4" w:space="0"/>
              <w:bottom w:val="single" w:color="auto" w:sz="4" w:space="0"/>
              <w:right w:val="single" w:color="auto" w:sz="4" w:space="0"/>
            </w:tcBorders>
            <w:vAlign w:val="center"/>
          </w:tcPr>
          <w:p w14:paraId="4B155A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项目建设地点</w:t>
            </w:r>
          </w:p>
        </w:tc>
        <w:tc>
          <w:tcPr>
            <w:tcW w:w="5865" w:type="dxa"/>
            <w:tcBorders>
              <w:top w:val="single" w:color="auto" w:sz="4" w:space="0"/>
              <w:left w:val="single" w:color="auto" w:sz="4" w:space="0"/>
              <w:bottom w:val="single" w:color="auto" w:sz="4" w:space="0"/>
              <w:right w:val="single" w:color="auto" w:sz="4" w:space="0"/>
            </w:tcBorders>
            <w:vAlign w:val="center"/>
          </w:tcPr>
          <w:p w14:paraId="61CB1236">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详见招标公告</w:t>
            </w:r>
          </w:p>
        </w:tc>
      </w:tr>
      <w:tr w14:paraId="310A36C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7CD108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1.1.6</w:t>
            </w:r>
          </w:p>
        </w:tc>
        <w:tc>
          <w:tcPr>
            <w:tcW w:w="2292" w:type="dxa"/>
            <w:tcBorders>
              <w:top w:val="single" w:color="auto" w:sz="4" w:space="0"/>
              <w:left w:val="single" w:color="auto" w:sz="4" w:space="0"/>
              <w:bottom w:val="single" w:color="auto" w:sz="4" w:space="0"/>
              <w:right w:val="single" w:color="auto" w:sz="4" w:space="0"/>
            </w:tcBorders>
            <w:vAlign w:val="center"/>
          </w:tcPr>
          <w:p w14:paraId="509EE49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项目建设规模</w:t>
            </w:r>
          </w:p>
        </w:tc>
        <w:tc>
          <w:tcPr>
            <w:tcW w:w="5865" w:type="dxa"/>
            <w:tcBorders>
              <w:top w:val="single" w:color="auto" w:sz="4" w:space="0"/>
              <w:left w:val="single" w:color="auto" w:sz="4" w:space="0"/>
              <w:bottom w:val="single" w:color="auto" w:sz="4" w:space="0"/>
              <w:right w:val="single" w:color="auto" w:sz="4" w:space="0"/>
            </w:tcBorders>
            <w:vAlign w:val="center"/>
          </w:tcPr>
          <w:p w14:paraId="4FB1F1B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详见招标公告</w:t>
            </w:r>
          </w:p>
        </w:tc>
      </w:tr>
      <w:tr w14:paraId="7DFB5F24">
        <w:tblPrEx>
          <w:tblCellMar>
            <w:top w:w="0" w:type="dxa"/>
            <w:left w:w="108" w:type="dxa"/>
            <w:bottom w:w="0" w:type="dxa"/>
            <w:right w:w="108" w:type="dxa"/>
          </w:tblCellMar>
        </w:tblPrEx>
        <w:trPr>
          <w:trHeight w:val="840" w:hRule="atLeast"/>
        </w:trPr>
        <w:tc>
          <w:tcPr>
            <w:tcW w:w="1165" w:type="dxa"/>
            <w:tcBorders>
              <w:top w:val="single" w:color="auto" w:sz="4" w:space="0"/>
              <w:left w:val="single" w:color="auto" w:sz="4" w:space="0"/>
              <w:bottom w:val="single" w:color="auto" w:sz="4" w:space="0"/>
              <w:right w:val="single" w:color="auto" w:sz="4" w:space="0"/>
            </w:tcBorders>
            <w:vAlign w:val="center"/>
          </w:tcPr>
          <w:p w14:paraId="08A72A9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1.1.7</w:t>
            </w:r>
          </w:p>
        </w:tc>
        <w:tc>
          <w:tcPr>
            <w:tcW w:w="2292" w:type="dxa"/>
            <w:tcBorders>
              <w:top w:val="single" w:color="auto" w:sz="4" w:space="0"/>
              <w:left w:val="single" w:color="auto" w:sz="4" w:space="0"/>
              <w:bottom w:val="single" w:color="auto" w:sz="4" w:space="0"/>
              <w:right w:val="single" w:color="auto" w:sz="4" w:space="0"/>
            </w:tcBorders>
            <w:vAlign w:val="center"/>
          </w:tcPr>
          <w:p w14:paraId="7D3BABE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工程项目施工预计开工日期和建设周期</w:t>
            </w:r>
          </w:p>
        </w:tc>
        <w:tc>
          <w:tcPr>
            <w:tcW w:w="5865" w:type="dxa"/>
            <w:tcBorders>
              <w:top w:val="single" w:color="auto" w:sz="4" w:space="0"/>
              <w:left w:val="single" w:color="auto" w:sz="4" w:space="0"/>
              <w:bottom w:val="single" w:color="auto" w:sz="4" w:space="0"/>
              <w:right w:val="single" w:color="auto" w:sz="4" w:space="0"/>
            </w:tcBorders>
            <w:vAlign w:val="center"/>
          </w:tcPr>
          <w:p w14:paraId="1D8F2FDC">
            <w:pPr>
              <w:spacing w:line="360" w:lineRule="auto"/>
              <w:rPr>
                <w:rFonts w:hint="eastAsia" w:ascii="宋体" w:hAnsi="宋体" w:eastAsia="宋体" w:cs="宋体"/>
                <w:color w:val="auto"/>
                <w:szCs w:val="21"/>
              </w:rPr>
            </w:pPr>
            <w:r>
              <w:rPr>
                <w:rFonts w:hint="eastAsia" w:ascii="宋体" w:hAnsi="宋体" w:eastAsia="宋体" w:cs="宋体"/>
                <w:color w:val="auto"/>
                <w:szCs w:val="21"/>
              </w:rPr>
              <w:t>工程项目施工预计开工日期：</w:t>
            </w:r>
            <w:r>
              <w:rPr>
                <w:rFonts w:hint="eastAsia" w:ascii="宋体" w:hAnsi="宋体" w:eastAsia="宋体" w:cs="宋体"/>
                <w:color w:val="auto"/>
                <w:szCs w:val="21"/>
                <w:u w:val="single"/>
              </w:rPr>
              <w:t>招标人下达开工令或开工报告审批之日起。</w:t>
            </w:r>
          </w:p>
          <w:p w14:paraId="6EABE8D1">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建设周期：</w:t>
            </w:r>
            <w:r>
              <w:rPr>
                <w:rFonts w:hint="eastAsia" w:ascii="宋体" w:hAnsi="宋体" w:eastAsia="宋体" w:cs="宋体"/>
                <w:color w:val="auto"/>
                <w:szCs w:val="21"/>
                <w:u w:val="single"/>
              </w:rPr>
              <w:t>暂定42个月，具体项目建设周期按施工合同约定。</w:t>
            </w:r>
          </w:p>
        </w:tc>
      </w:tr>
      <w:tr w14:paraId="4435CCE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120B92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1.1.8</w:t>
            </w:r>
          </w:p>
        </w:tc>
        <w:tc>
          <w:tcPr>
            <w:tcW w:w="2292" w:type="dxa"/>
            <w:tcBorders>
              <w:top w:val="single" w:color="auto" w:sz="4" w:space="0"/>
              <w:left w:val="single" w:color="auto" w:sz="4" w:space="0"/>
              <w:bottom w:val="single" w:color="auto" w:sz="4" w:space="0"/>
              <w:right w:val="single" w:color="auto" w:sz="4" w:space="0"/>
            </w:tcBorders>
            <w:vAlign w:val="center"/>
          </w:tcPr>
          <w:p w14:paraId="55AE5B6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建筑安装工程费</w:t>
            </w:r>
          </w:p>
        </w:tc>
        <w:tc>
          <w:tcPr>
            <w:tcW w:w="5865" w:type="dxa"/>
            <w:tcBorders>
              <w:top w:val="single" w:color="auto" w:sz="4" w:space="0"/>
              <w:left w:val="single" w:color="auto" w:sz="4" w:space="0"/>
              <w:bottom w:val="single" w:color="auto" w:sz="4" w:space="0"/>
              <w:right w:val="single" w:color="auto" w:sz="4" w:space="0"/>
            </w:tcBorders>
            <w:vAlign w:val="center"/>
          </w:tcPr>
          <w:p w14:paraId="22B54CD8">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详见招标公告</w:t>
            </w:r>
          </w:p>
        </w:tc>
      </w:tr>
      <w:tr w14:paraId="63154B0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1016AE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1.2.1</w:t>
            </w:r>
          </w:p>
        </w:tc>
        <w:tc>
          <w:tcPr>
            <w:tcW w:w="2292" w:type="dxa"/>
            <w:tcBorders>
              <w:top w:val="single" w:color="auto" w:sz="4" w:space="0"/>
              <w:left w:val="single" w:color="auto" w:sz="4" w:space="0"/>
              <w:bottom w:val="single" w:color="auto" w:sz="4" w:space="0"/>
              <w:right w:val="single" w:color="auto" w:sz="4" w:space="0"/>
            </w:tcBorders>
            <w:vAlign w:val="center"/>
          </w:tcPr>
          <w:p w14:paraId="7ED9073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资金来源及比例</w:t>
            </w:r>
          </w:p>
        </w:tc>
        <w:tc>
          <w:tcPr>
            <w:tcW w:w="5865" w:type="dxa"/>
            <w:tcBorders>
              <w:top w:val="single" w:color="auto" w:sz="4" w:space="0"/>
              <w:left w:val="single" w:color="auto" w:sz="4" w:space="0"/>
              <w:bottom w:val="single" w:color="auto" w:sz="4" w:space="0"/>
              <w:right w:val="single" w:color="auto" w:sz="4" w:space="0"/>
            </w:tcBorders>
            <w:vAlign w:val="center"/>
          </w:tcPr>
          <w:p w14:paraId="7AC7B2AF">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企业自筹，比例100% </w:t>
            </w:r>
          </w:p>
        </w:tc>
      </w:tr>
      <w:tr w14:paraId="7B9B567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5ACC69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1.2.2</w:t>
            </w:r>
          </w:p>
        </w:tc>
        <w:tc>
          <w:tcPr>
            <w:tcW w:w="2292" w:type="dxa"/>
            <w:tcBorders>
              <w:top w:val="single" w:color="auto" w:sz="4" w:space="0"/>
              <w:left w:val="single" w:color="auto" w:sz="4" w:space="0"/>
              <w:bottom w:val="single" w:color="auto" w:sz="4" w:space="0"/>
              <w:right w:val="single" w:color="auto" w:sz="4" w:space="0"/>
            </w:tcBorders>
            <w:vAlign w:val="center"/>
          </w:tcPr>
          <w:p w14:paraId="14DC9E4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资金落实情况</w:t>
            </w:r>
          </w:p>
        </w:tc>
        <w:tc>
          <w:tcPr>
            <w:tcW w:w="5865" w:type="dxa"/>
            <w:tcBorders>
              <w:top w:val="single" w:color="auto" w:sz="4" w:space="0"/>
              <w:left w:val="single" w:color="auto" w:sz="4" w:space="0"/>
              <w:bottom w:val="single" w:color="auto" w:sz="4" w:space="0"/>
              <w:right w:val="single" w:color="auto" w:sz="4" w:space="0"/>
            </w:tcBorders>
            <w:vAlign w:val="center"/>
          </w:tcPr>
          <w:p w14:paraId="67D44B44">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资金已落实</w:t>
            </w:r>
          </w:p>
        </w:tc>
      </w:tr>
      <w:tr w14:paraId="16290D5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114D82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1.3.1</w:t>
            </w:r>
          </w:p>
        </w:tc>
        <w:tc>
          <w:tcPr>
            <w:tcW w:w="2292" w:type="dxa"/>
            <w:tcBorders>
              <w:top w:val="single" w:color="auto" w:sz="4" w:space="0"/>
              <w:left w:val="single" w:color="auto" w:sz="4" w:space="0"/>
              <w:bottom w:val="single" w:color="auto" w:sz="4" w:space="0"/>
              <w:right w:val="single" w:color="auto" w:sz="4" w:space="0"/>
            </w:tcBorders>
            <w:vAlign w:val="center"/>
          </w:tcPr>
          <w:p w14:paraId="40C0D08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招标范围</w:t>
            </w:r>
          </w:p>
        </w:tc>
        <w:tc>
          <w:tcPr>
            <w:tcW w:w="5865" w:type="dxa"/>
            <w:tcBorders>
              <w:top w:val="single" w:color="auto" w:sz="4" w:space="0"/>
              <w:left w:val="single" w:color="auto" w:sz="4" w:space="0"/>
              <w:bottom w:val="single" w:color="auto" w:sz="4" w:space="0"/>
              <w:right w:val="single" w:color="auto" w:sz="4" w:space="0"/>
            </w:tcBorders>
            <w:vAlign w:val="center"/>
          </w:tcPr>
          <w:p w14:paraId="774D5C31">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详见招标公告</w:t>
            </w:r>
          </w:p>
        </w:tc>
      </w:tr>
      <w:tr w14:paraId="1841A28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4FAA04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1.3.2</w:t>
            </w:r>
          </w:p>
        </w:tc>
        <w:tc>
          <w:tcPr>
            <w:tcW w:w="2292" w:type="dxa"/>
            <w:tcBorders>
              <w:top w:val="single" w:color="auto" w:sz="4" w:space="0"/>
              <w:left w:val="single" w:color="auto" w:sz="4" w:space="0"/>
              <w:bottom w:val="single" w:color="auto" w:sz="4" w:space="0"/>
              <w:right w:val="single" w:color="auto" w:sz="4" w:space="0"/>
            </w:tcBorders>
            <w:vAlign w:val="center"/>
          </w:tcPr>
          <w:p w14:paraId="0FB91CE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监理服务期限</w:t>
            </w:r>
          </w:p>
        </w:tc>
        <w:tc>
          <w:tcPr>
            <w:tcW w:w="5865" w:type="dxa"/>
            <w:tcBorders>
              <w:top w:val="single" w:color="auto" w:sz="4" w:space="0"/>
              <w:left w:val="single" w:color="auto" w:sz="4" w:space="0"/>
              <w:bottom w:val="single" w:color="auto" w:sz="4" w:space="0"/>
              <w:right w:val="single" w:color="auto" w:sz="4" w:space="0"/>
            </w:tcBorders>
            <w:vAlign w:val="center"/>
          </w:tcPr>
          <w:p w14:paraId="1BAB20DF">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详见招标公告</w:t>
            </w:r>
          </w:p>
        </w:tc>
      </w:tr>
      <w:tr w14:paraId="1B9CFE9C">
        <w:tblPrEx>
          <w:tblCellMar>
            <w:top w:w="0" w:type="dxa"/>
            <w:left w:w="108" w:type="dxa"/>
            <w:bottom w:w="0" w:type="dxa"/>
            <w:right w:w="108" w:type="dxa"/>
          </w:tblCellMar>
        </w:tblPrEx>
        <w:trPr>
          <w:trHeight w:val="672" w:hRule="atLeast"/>
        </w:trPr>
        <w:tc>
          <w:tcPr>
            <w:tcW w:w="1165" w:type="dxa"/>
            <w:tcBorders>
              <w:top w:val="single" w:color="auto" w:sz="4" w:space="0"/>
              <w:left w:val="single" w:color="auto" w:sz="4" w:space="0"/>
              <w:bottom w:val="single" w:color="auto" w:sz="4" w:space="0"/>
              <w:right w:val="single" w:color="auto" w:sz="4" w:space="0"/>
            </w:tcBorders>
            <w:vAlign w:val="center"/>
          </w:tcPr>
          <w:p w14:paraId="3CCB956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1.3.3</w:t>
            </w:r>
          </w:p>
        </w:tc>
        <w:tc>
          <w:tcPr>
            <w:tcW w:w="2292" w:type="dxa"/>
            <w:tcBorders>
              <w:top w:val="single" w:color="auto" w:sz="4" w:space="0"/>
              <w:left w:val="single" w:color="auto" w:sz="4" w:space="0"/>
              <w:bottom w:val="single" w:color="auto" w:sz="4" w:space="0"/>
              <w:right w:val="single" w:color="auto" w:sz="4" w:space="0"/>
            </w:tcBorders>
            <w:vAlign w:val="center"/>
          </w:tcPr>
          <w:p w14:paraId="71B350F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质量标准</w:t>
            </w:r>
          </w:p>
        </w:tc>
        <w:tc>
          <w:tcPr>
            <w:tcW w:w="5865" w:type="dxa"/>
            <w:tcBorders>
              <w:top w:val="single" w:color="auto" w:sz="4" w:space="0"/>
              <w:left w:val="single" w:color="auto" w:sz="4" w:space="0"/>
              <w:bottom w:val="single" w:color="auto" w:sz="4" w:space="0"/>
              <w:right w:val="single" w:color="auto" w:sz="4" w:space="0"/>
            </w:tcBorders>
            <w:vAlign w:val="center"/>
          </w:tcPr>
          <w:p w14:paraId="4BC8CD94">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执行国家最新建筑施工规范标准、《建筑工程施工质量验收统一标准》及相关配套的各专业验收规范等，一次验收合格，不发生一般及以上工程质量事故，并参考珠实地产《工程管理技术文件汇编》的管理规定，导致二次整改，须承担违约责任。</w:t>
            </w:r>
          </w:p>
        </w:tc>
      </w:tr>
      <w:tr w14:paraId="01AFC80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C5679C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1.4.1</w:t>
            </w:r>
          </w:p>
        </w:tc>
        <w:tc>
          <w:tcPr>
            <w:tcW w:w="2292" w:type="dxa"/>
            <w:tcBorders>
              <w:top w:val="single" w:color="auto" w:sz="4" w:space="0"/>
              <w:left w:val="single" w:color="auto" w:sz="4" w:space="0"/>
              <w:bottom w:val="single" w:color="auto" w:sz="4" w:space="0"/>
              <w:right w:val="single" w:color="auto" w:sz="4" w:space="0"/>
            </w:tcBorders>
            <w:vAlign w:val="center"/>
          </w:tcPr>
          <w:p w14:paraId="57B33E5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投标人资质条件、能力、信誉</w:t>
            </w:r>
          </w:p>
        </w:tc>
        <w:tc>
          <w:tcPr>
            <w:tcW w:w="5865" w:type="dxa"/>
            <w:tcBorders>
              <w:top w:val="single" w:color="auto" w:sz="4" w:space="0"/>
              <w:left w:val="single" w:color="auto" w:sz="4" w:space="0"/>
              <w:bottom w:val="single" w:color="auto" w:sz="4" w:space="0"/>
              <w:right w:val="single" w:color="auto" w:sz="4" w:space="0"/>
            </w:tcBorders>
            <w:vAlign w:val="center"/>
          </w:tcPr>
          <w:p w14:paraId="227AFFC6">
            <w:pPr>
              <w:snapToGrid w:val="0"/>
              <w:spacing w:before="120" w:line="360" w:lineRule="auto"/>
              <w:rPr>
                <w:rFonts w:hint="eastAsia" w:ascii="宋体" w:hAnsi="宋体" w:eastAsia="宋体" w:cs="宋体"/>
                <w:color w:val="auto"/>
                <w:szCs w:val="21"/>
              </w:rPr>
            </w:pPr>
            <w:r>
              <w:rPr>
                <w:rFonts w:hint="eastAsia" w:ascii="宋体" w:hAnsi="宋体" w:eastAsia="宋体" w:cs="宋体"/>
                <w:color w:val="auto"/>
                <w:szCs w:val="21"/>
              </w:rPr>
              <w:t>（1）资质要求：</w:t>
            </w:r>
            <w:r>
              <w:rPr>
                <w:rFonts w:hint="eastAsia" w:ascii="宋体" w:hAnsi="宋体" w:eastAsia="宋体" w:cs="宋体"/>
                <w:color w:val="auto"/>
                <w:szCs w:val="21"/>
                <w:u w:val="single"/>
              </w:rPr>
              <w:t>见招标公告投标人资格要求。</w:t>
            </w:r>
          </w:p>
          <w:p w14:paraId="24F0EFF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（2）财务要求：</w:t>
            </w:r>
            <w:r>
              <w:rPr>
                <w:rFonts w:hint="eastAsia" w:ascii="宋体" w:hAnsi="宋体" w:eastAsia="宋体" w:cs="宋体"/>
                <w:color w:val="auto"/>
                <w:szCs w:val="21"/>
                <w:u w:val="single"/>
              </w:rPr>
              <w:t>/</w:t>
            </w:r>
          </w:p>
          <w:p w14:paraId="1BAFFFD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（3）业绩要求：</w:t>
            </w:r>
            <w:r>
              <w:rPr>
                <w:rFonts w:hint="eastAsia" w:ascii="宋体" w:hAnsi="宋体" w:eastAsia="宋体" w:cs="宋体"/>
                <w:color w:val="auto"/>
                <w:szCs w:val="21"/>
                <w:u w:val="single"/>
              </w:rPr>
              <w:t>/</w:t>
            </w:r>
          </w:p>
          <w:p w14:paraId="1B4B681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（4）信誉要求</w:t>
            </w:r>
            <w:r>
              <w:rPr>
                <w:rFonts w:hint="eastAsia" w:ascii="宋体" w:hAnsi="宋体" w:eastAsia="宋体" w:cs="宋体"/>
                <w:color w:val="auto"/>
                <w:szCs w:val="21"/>
                <w:u w:val="single"/>
              </w:rPr>
              <w:t>/</w:t>
            </w:r>
          </w:p>
          <w:p w14:paraId="789EC3CF">
            <w:pPr>
              <w:snapToGrid w:val="0"/>
              <w:spacing w:line="360" w:lineRule="auto"/>
              <w:ind w:right="106"/>
              <w:jc w:val="left"/>
              <w:rPr>
                <w:rFonts w:hint="eastAsia" w:ascii="宋体" w:hAnsi="宋体" w:eastAsia="宋体" w:cs="宋体"/>
                <w:color w:val="auto"/>
                <w:szCs w:val="21"/>
              </w:rPr>
            </w:pPr>
            <w:r>
              <w:rPr>
                <w:rFonts w:hint="eastAsia" w:ascii="宋体" w:hAnsi="宋体" w:eastAsia="宋体" w:cs="宋体"/>
                <w:color w:val="auto"/>
                <w:szCs w:val="21"/>
              </w:rPr>
              <w:t>（5）总监理工程师的资格要求：</w:t>
            </w:r>
            <w:r>
              <w:rPr>
                <w:rFonts w:hint="eastAsia" w:ascii="宋体" w:hAnsi="宋体" w:eastAsia="宋体" w:cs="宋体"/>
                <w:color w:val="auto"/>
                <w:szCs w:val="21"/>
                <w:u w:val="single"/>
              </w:rPr>
              <w:t>见招标公告投标人资格要求。</w:t>
            </w:r>
          </w:p>
          <w:p w14:paraId="707A5684">
            <w:pPr>
              <w:snapToGrid w:val="0"/>
              <w:spacing w:line="360" w:lineRule="auto"/>
              <w:ind w:right="106"/>
              <w:rPr>
                <w:rFonts w:hint="eastAsia" w:ascii="宋体" w:hAnsi="宋体" w:eastAsia="宋体" w:cs="宋体"/>
                <w:color w:val="auto"/>
                <w:szCs w:val="21"/>
              </w:rPr>
            </w:pPr>
            <w:r>
              <w:rPr>
                <w:rFonts w:hint="eastAsia" w:ascii="宋体" w:hAnsi="宋体" w:eastAsia="宋体" w:cs="宋体"/>
                <w:color w:val="auto"/>
                <w:szCs w:val="21"/>
              </w:rPr>
              <w:t>（6）其他主要人员要求：</w:t>
            </w:r>
            <w:r>
              <w:rPr>
                <w:rFonts w:hint="eastAsia" w:ascii="宋体" w:hAnsi="宋体" w:eastAsia="宋体" w:cs="宋体"/>
                <w:color w:val="auto"/>
                <w:szCs w:val="21"/>
                <w:u w:val="single"/>
              </w:rPr>
              <w:t>/</w:t>
            </w:r>
          </w:p>
          <w:p w14:paraId="6B79B424">
            <w:pPr>
              <w:tabs>
                <w:tab w:val="right" w:pos="6060"/>
              </w:tabs>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（7）试验检测仪器设备要求：</w:t>
            </w:r>
            <w:r>
              <w:rPr>
                <w:rFonts w:hint="eastAsia" w:ascii="宋体" w:hAnsi="宋体" w:eastAsia="宋体" w:cs="宋体"/>
                <w:color w:val="auto"/>
                <w:szCs w:val="21"/>
                <w:u w:val="single"/>
              </w:rPr>
              <w:t>/</w:t>
            </w:r>
          </w:p>
          <w:p w14:paraId="59D8CBAA">
            <w:pPr>
              <w:spacing w:line="360" w:lineRule="auto"/>
              <w:rPr>
                <w:rFonts w:hint="eastAsia" w:ascii="宋体" w:hAnsi="宋体" w:eastAsia="宋体" w:cs="宋体"/>
                <w:color w:val="auto"/>
                <w:szCs w:val="21"/>
              </w:rPr>
            </w:pPr>
            <w:r>
              <w:rPr>
                <w:rFonts w:hint="eastAsia" w:ascii="宋体" w:hAnsi="宋体" w:eastAsia="宋体" w:cs="宋体"/>
                <w:color w:val="auto"/>
                <w:szCs w:val="21"/>
              </w:rPr>
              <w:t>（8）其他要求：</w:t>
            </w:r>
            <w:r>
              <w:rPr>
                <w:rFonts w:hint="eastAsia" w:ascii="宋体" w:hAnsi="宋体" w:eastAsia="宋体" w:cs="宋体"/>
                <w:color w:val="auto"/>
                <w:szCs w:val="21"/>
                <w:u w:val="single"/>
              </w:rPr>
              <w:t>见招标公告投标人资格要求。</w:t>
            </w:r>
          </w:p>
        </w:tc>
      </w:tr>
      <w:tr w14:paraId="42DB998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D27089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1.4.2</w:t>
            </w:r>
          </w:p>
        </w:tc>
        <w:tc>
          <w:tcPr>
            <w:tcW w:w="2292" w:type="dxa"/>
            <w:tcBorders>
              <w:top w:val="single" w:color="auto" w:sz="4" w:space="0"/>
              <w:left w:val="single" w:color="auto" w:sz="4" w:space="0"/>
              <w:bottom w:val="single" w:color="auto" w:sz="4" w:space="0"/>
              <w:right w:val="single" w:color="auto" w:sz="4" w:space="0"/>
            </w:tcBorders>
            <w:vAlign w:val="center"/>
          </w:tcPr>
          <w:p w14:paraId="7F13820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是否接受联合体投标</w:t>
            </w:r>
          </w:p>
        </w:tc>
        <w:tc>
          <w:tcPr>
            <w:tcW w:w="5865" w:type="dxa"/>
            <w:tcBorders>
              <w:top w:val="single" w:color="auto" w:sz="4" w:space="0"/>
              <w:left w:val="single" w:color="auto" w:sz="4" w:space="0"/>
              <w:bottom w:val="single" w:color="auto" w:sz="4" w:space="0"/>
              <w:right w:val="single" w:color="auto" w:sz="4" w:space="0"/>
            </w:tcBorders>
            <w:vAlign w:val="center"/>
          </w:tcPr>
          <w:p w14:paraId="6D8B3C10">
            <w:pPr>
              <w:topLinePunct/>
              <w:spacing w:line="360" w:lineRule="auto"/>
              <w:rPr>
                <w:rFonts w:hint="eastAsia" w:ascii="宋体" w:hAnsi="宋体" w:eastAsia="宋体" w:cs="宋体"/>
                <w:color w:val="auto"/>
                <w:szCs w:val="21"/>
              </w:rPr>
            </w:pPr>
            <w:r>
              <w:rPr>
                <w:rFonts w:hint="eastAsia" w:ascii="宋体" w:hAnsi="宋体" w:eastAsia="宋体" w:cs="宋体"/>
                <w:color w:val="auto"/>
                <w:szCs w:val="21"/>
              </w:rPr>
              <w:t>■不接受</w:t>
            </w:r>
          </w:p>
          <w:p w14:paraId="4852CAAF">
            <w:pPr>
              <w:spacing w:line="360" w:lineRule="auto"/>
              <w:rPr>
                <w:rFonts w:hint="eastAsia" w:ascii="宋体" w:hAnsi="宋体" w:eastAsia="宋体" w:cs="宋体"/>
                <w:color w:val="auto"/>
                <w:szCs w:val="21"/>
              </w:rPr>
            </w:pPr>
            <w:r>
              <w:rPr>
                <w:rFonts w:hint="eastAsia" w:ascii="宋体" w:hAnsi="宋体" w:eastAsia="宋体" w:cs="宋体"/>
                <w:color w:val="auto"/>
                <w:szCs w:val="21"/>
              </w:rPr>
              <w:t>□接受，应满足下列要求：</w:t>
            </w:r>
            <w:r>
              <w:rPr>
                <w:rFonts w:hint="eastAsia" w:ascii="宋体" w:hAnsi="宋体" w:eastAsia="宋体" w:cs="宋体"/>
                <w:color w:val="auto"/>
                <w:szCs w:val="21"/>
                <w:u w:val="single"/>
              </w:rPr>
              <w:t>/</w:t>
            </w:r>
          </w:p>
        </w:tc>
      </w:tr>
      <w:tr w14:paraId="6E79ADE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40BB8A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1.4.3</w:t>
            </w:r>
          </w:p>
        </w:tc>
        <w:tc>
          <w:tcPr>
            <w:tcW w:w="2292" w:type="dxa"/>
            <w:tcBorders>
              <w:top w:val="single" w:color="auto" w:sz="4" w:space="0"/>
              <w:left w:val="single" w:color="auto" w:sz="4" w:space="0"/>
              <w:bottom w:val="single" w:color="auto" w:sz="4" w:space="0"/>
              <w:right w:val="single" w:color="auto" w:sz="4" w:space="0"/>
            </w:tcBorders>
            <w:vAlign w:val="center"/>
          </w:tcPr>
          <w:p w14:paraId="3ED293B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投标人不得存在的其他情形</w:t>
            </w:r>
          </w:p>
        </w:tc>
        <w:tc>
          <w:tcPr>
            <w:tcW w:w="5865" w:type="dxa"/>
            <w:tcBorders>
              <w:top w:val="single" w:color="auto" w:sz="4" w:space="0"/>
              <w:left w:val="single" w:color="auto" w:sz="4" w:space="0"/>
              <w:bottom w:val="single" w:color="auto" w:sz="4" w:space="0"/>
              <w:right w:val="single" w:color="auto" w:sz="4" w:space="0"/>
            </w:tcBorders>
            <w:vAlign w:val="center"/>
          </w:tcPr>
          <w:p w14:paraId="4040AC5C">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见招标文件第二章“投标人须知”第1.4.3条。</w:t>
            </w:r>
          </w:p>
        </w:tc>
      </w:tr>
      <w:tr w14:paraId="2F2DA02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90AF7D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1.9.1</w:t>
            </w:r>
          </w:p>
        </w:tc>
        <w:tc>
          <w:tcPr>
            <w:tcW w:w="2292" w:type="dxa"/>
            <w:tcBorders>
              <w:top w:val="single" w:color="auto" w:sz="4" w:space="0"/>
              <w:left w:val="single" w:color="auto" w:sz="4" w:space="0"/>
              <w:bottom w:val="single" w:color="auto" w:sz="4" w:space="0"/>
              <w:right w:val="single" w:color="auto" w:sz="4" w:space="0"/>
            </w:tcBorders>
            <w:vAlign w:val="center"/>
          </w:tcPr>
          <w:p w14:paraId="097A489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踏勘现场</w:t>
            </w:r>
          </w:p>
        </w:tc>
        <w:tc>
          <w:tcPr>
            <w:tcW w:w="5865" w:type="dxa"/>
            <w:tcBorders>
              <w:top w:val="single" w:color="auto" w:sz="4" w:space="0"/>
              <w:left w:val="single" w:color="auto" w:sz="4" w:space="0"/>
              <w:bottom w:val="single" w:color="auto" w:sz="4" w:space="0"/>
              <w:right w:val="single" w:color="auto" w:sz="4" w:space="0"/>
            </w:tcBorders>
            <w:vAlign w:val="center"/>
          </w:tcPr>
          <w:p w14:paraId="0E7BA308">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■不组织</w:t>
            </w:r>
          </w:p>
          <w:p w14:paraId="6AC79F18">
            <w:pPr>
              <w:pStyle w:val="18"/>
              <w:topLinePunct/>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补充说明如下：</w:t>
            </w:r>
          </w:p>
          <w:p w14:paraId="4B2BA5AB">
            <w:pPr>
              <w:pStyle w:val="18"/>
              <w:topLinePunct/>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1E3C4F49">
            <w:pPr>
              <w:pStyle w:val="18"/>
              <w:topLinePunct/>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A13863E">
            <w:pPr>
              <w:pStyle w:val="18"/>
              <w:topLinePunct/>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（3）在现场考察中由招标人提供的资料和数据，只是为了使投标人能够利用招标人现有的资料。招标人对投标人由此而作出的推论、解释和结论概不负责。</w:t>
            </w:r>
          </w:p>
          <w:p w14:paraId="6B2D2D55">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□组织，踏勘时间：/</w:t>
            </w:r>
          </w:p>
          <w:p w14:paraId="5729385B">
            <w:pPr>
              <w:pStyle w:val="18"/>
              <w:topLinePunct/>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踏勘集中地点：/</w:t>
            </w:r>
          </w:p>
        </w:tc>
      </w:tr>
      <w:tr w14:paraId="3C912EF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CEA4BC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1.10.1</w:t>
            </w:r>
          </w:p>
        </w:tc>
        <w:tc>
          <w:tcPr>
            <w:tcW w:w="2292" w:type="dxa"/>
            <w:tcBorders>
              <w:top w:val="single" w:color="auto" w:sz="4" w:space="0"/>
              <w:left w:val="single" w:color="auto" w:sz="4" w:space="0"/>
              <w:bottom w:val="single" w:color="auto" w:sz="4" w:space="0"/>
              <w:right w:val="single" w:color="auto" w:sz="4" w:space="0"/>
            </w:tcBorders>
            <w:vAlign w:val="center"/>
          </w:tcPr>
          <w:p w14:paraId="666D7B3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投标预备会</w:t>
            </w:r>
          </w:p>
        </w:tc>
        <w:tc>
          <w:tcPr>
            <w:tcW w:w="5865" w:type="dxa"/>
            <w:tcBorders>
              <w:top w:val="single" w:color="auto" w:sz="4" w:space="0"/>
              <w:left w:val="single" w:color="auto" w:sz="4" w:space="0"/>
              <w:bottom w:val="single" w:color="auto" w:sz="4" w:space="0"/>
              <w:right w:val="single" w:color="auto" w:sz="4" w:space="0"/>
            </w:tcBorders>
            <w:vAlign w:val="center"/>
          </w:tcPr>
          <w:p w14:paraId="058FDF79">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■不召开</w:t>
            </w:r>
          </w:p>
          <w:p w14:paraId="62B3E758">
            <w:pPr>
              <w:spacing w:line="360" w:lineRule="auto"/>
              <w:rPr>
                <w:rFonts w:hint="eastAsia" w:ascii="宋体" w:hAnsi="宋体" w:eastAsia="宋体" w:cs="宋体"/>
                <w:color w:val="auto"/>
                <w:szCs w:val="21"/>
              </w:rPr>
            </w:pPr>
            <w:r>
              <w:rPr>
                <w:rFonts w:hint="eastAsia" w:ascii="宋体" w:hAnsi="宋体" w:eastAsia="宋体" w:cs="宋体"/>
                <w:color w:val="auto"/>
                <w:szCs w:val="21"/>
              </w:rPr>
              <w:t>□召开，召开时间：/</w:t>
            </w:r>
          </w:p>
          <w:p w14:paraId="77B7676C">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召开地点：/</w:t>
            </w:r>
          </w:p>
        </w:tc>
      </w:tr>
      <w:tr w14:paraId="799BBFC2">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14:paraId="64A7098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1.10.2</w:t>
            </w:r>
          </w:p>
        </w:tc>
        <w:tc>
          <w:tcPr>
            <w:tcW w:w="2292" w:type="dxa"/>
            <w:vMerge w:val="restart"/>
            <w:tcBorders>
              <w:top w:val="single" w:color="auto" w:sz="4" w:space="0"/>
              <w:left w:val="single" w:color="auto" w:sz="4" w:space="0"/>
              <w:right w:val="single" w:color="auto" w:sz="4" w:space="0"/>
            </w:tcBorders>
            <w:vAlign w:val="center"/>
          </w:tcPr>
          <w:p w14:paraId="77E7E4E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投标人在投标预备会前提出问题</w:t>
            </w:r>
          </w:p>
        </w:tc>
        <w:tc>
          <w:tcPr>
            <w:tcW w:w="5865" w:type="dxa"/>
            <w:tcBorders>
              <w:top w:val="single" w:color="auto" w:sz="4" w:space="0"/>
              <w:left w:val="single" w:color="auto" w:sz="4" w:space="0"/>
              <w:bottom w:val="single" w:color="auto" w:sz="4" w:space="0"/>
              <w:right w:val="single" w:color="auto" w:sz="4" w:space="0"/>
            </w:tcBorders>
            <w:vAlign w:val="center"/>
          </w:tcPr>
          <w:p w14:paraId="30603065">
            <w:pPr>
              <w:spacing w:line="360" w:lineRule="auto"/>
              <w:rPr>
                <w:rFonts w:hint="eastAsia" w:ascii="宋体" w:hAnsi="宋体" w:eastAsia="宋体" w:cs="宋体"/>
                <w:color w:val="auto"/>
                <w:szCs w:val="21"/>
              </w:rPr>
            </w:pPr>
            <w:r>
              <w:rPr>
                <w:rFonts w:hint="eastAsia" w:ascii="宋体" w:hAnsi="宋体" w:eastAsia="宋体" w:cs="宋体"/>
                <w:color w:val="auto"/>
                <w:szCs w:val="21"/>
              </w:rPr>
              <w:t>时间：/</w:t>
            </w:r>
          </w:p>
        </w:tc>
      </w:tr>
      <w:tr w14:paraId="209158E4">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14:paraId="7597F8CB">
            <w:pPr>
              <w:spacing w:line="360" w:lineRule="auto"/>
              <w:jc w:val="center"/>
              <w:rPr>
                <w:rFonts w:hint="eastAsia" w:ascii="宋体" w:hAnsi="宋体" w:eastAsia="宋体" w:cs="宋体"/>
                <w:color w:val="auto"/>
                <w:szCs w:val="21"/>
              </w:rPr>
            </w:pPr>
          </w:p>
        </w:tc>
        <w:tc>
          <w:tcPr>
            <w:tcW w:w="2292" w:type="dxa"/>
            <w:vMerge w:val="continue"/>
            <w:tcBorders>
              <w:left w:val="single" w:color="auto" w:sz="4" w:space="0"/>
              <w:bottom w:val="single" w:color="auto" w:sz="4" w:space="0"/>
              <w:right w:val="single" w:color="auto" w:sz="4" w:space="0"/>
            </w:tcBorders>
            <w:vAlign w:val="center"/>
          </w:tcPr>
          <w:p w14:paraId="18F38B52">
            <w:pPr>
              <w:spacing w:line="360" w:lineRule="auto"/>
              <w:jc w:val="center"/>
              <w:rPr>
                <w:rFonts w:hint="eastAsia" w:ascii="宋体" w:hAnsi="宋体" w:eastAsia="宋体" w:cs="宋体"/>
                <w:color w:val="auto"/>
                <w:szCs w:val="21"/>
              </w:rPr>
            </w:pPr>
          </w:p>
        </w:tc>
        <w:tc>
          <w:tcPr>
            <w:tcW w:w="5865" w:type="dxa"/>
            <w:tcBorders>
              <w:top w:val="single" w:color="auto" w:sz="4" w:space="0"/>
              <w:left w:val="single" w:color="auto" w:sz="4" w:space="0"/>
              <w:bottom w:val="single" w:color="auto" w:sz="4" w:space="0"/>
              <w:right w:val="single" w:color="auto" w:sz="4" w:space="0"/>
            </w:tcBorders>
            <w:vAlign w:val="center"/>
          </w:tcPr>
          <w:p w14:paraId="45793EC5">
            <w:pPr>
              <w:spacing w:line="360" w:lineRule="auto"/>
              <w:rPr>
                <w:rFonts w:hint="eastAsia" w:ascii="宋体" w:hAnsi="宋体" w:eastAsia="宋体" w:cs="宋体"/>
                <w:color w:val="auto"/>
                <w:szCs w:val="21"/>
              </w:rPr>
            </w:pPr>
            <w:r>
              <w:rPr>
                <w:rFonts w:hint="eastAsia" w:ascii="宋体" w:hAnsi="宋体" w:eastAsia="宋体" w:cs="宋体"/>
                <w:color w:val="auto"/>
                <w:szCs w:val="21"/>
              </w:rPr>
              <w:t>形式：/</w:t>
            </w:r>
          </w:p>
        </w:tc>
      </w:tr>
      <w:tr w14:paraId="0B0AADFD">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14:paraId="266BBD6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1.10.3</w:t>
            </w:r>
          </w:p>
        </w:tc>
        <w:tc>
          <w:tcPr>
            <w:tcW w:w="2292" w:type="dxa"/>
            <w:tcBorders>
              <w:left w:val="single" w:color="auto" w:sz="4" w:space="0"/>
              <w:bottom w:val="single" w:color="auto" w:sz="4" w:space="0"/>
              <w:right w:val="single" w:color="auto" w:sz="4" w:space="0"/>
            </w:tcBorders>
            <w:vAlign w:val="center"/>
          </w:tcPr>
          <w:p w14:paraId="16D1C3F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招标文件澄清发出的形式</w:t>
            </w:r>
          </w:p>
        </w:tc>
        <w:tc>
          <w:tcPr>
            <w:tcW w:w="5865" w:type="dxa"/>
            <w:tcBorders>
              <w:top w:val="single" w:color="auto" w:sz="4" w:space="0"/>
              <w:left w:val="single" w:color="auto" w:sz="4" w:space="0"/>
              <w:bottom w:val="single" w:color="auto" w:sz="4" w:space="0"/>
              <w:right w:val="single" w:color="auto" w:sz="4" w:space="0"/>
            </w:tcBorders>
            <w:vAlign w:val="center"/>
          </w:tcPr>
          <w:p w14:paraId="6508849D">
            <w:pPr>
              <w:spacing w:line="360" w:lineRule="auto"/>
              <w:rPr>
                <w:rFonts w:hint="eastAsia" w:ascii="宋体" w:hAnsi="宋体" w:eastAsia="宋体" w:cs="宋体"/>
                <w:color w:val="auto"/>
                <w:szCs w:val="21"/>
              </w:rPr>
            </w:pPr>
            <w:r>
              <w:rPr>
                <w:rFonts w:hint="eastAsia" w:ascii="宋体" w:hAnsi="宋体" w:eastAsia="宋体" w:cs="宋体"/>
                <w:color w:val="auto"/>
                <w:szCs w:val="21"/>
              </w:rPr>
              <w:t>在</w:t>
            </w:r>
            <w:r>
              <w:rPr>
                <w:rFonts w:hint="eastAsia" w:ascii="宋体" w:hAnsi="宋体" w:eastAsia="宋体" w:cs="宋体"/>
                <w:color w:val="auto"/>
                <w:kern w:val="0"/>
                <w:szCs w:val="21"/>
                <w:u w:val="single"/>
              </w:rPr>
              <w:t>广州交易集团有限公司（广州公共资源交易中心）</w:t>
            </w:r>
            <w:r>
              <w:rPr>
                <w:rFonts w:hint="eastAsia" w:ascii="宋体" w:hAnsi="宋体" w:eastAsia="宋体" w:cs="宋体"/>
                <w:color w:val="auto"/>
                <w:szCs w:val="21"/>
              </w:rPr>
              <w:t>网站“招标答疑”专区发布，一经在发布，视作已发放给所有投标人。</w:t>
            </w:r>
          </w:p>
        </w:tc>
      </w:tr>
      <w:tr w14:paraId="5B4D381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FC00F3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1.12.1</w:t>
            </w:r>
          </w:p>
        </w:tc>
        <w:tc>
          <w:tcPr>
            <w:tcW w:w="2292" w:type="dxa"/>
            <w:tcBorders>
              <w:top w:val="single" w:color="auto" w:sz="4" w:space="0"/>
              <w:left w:val="single" w:color="auto" w:sz="4" w:space="0"/>
              <w:bottom w:val="single" w:color="auto" w:sz="4" w:space="0"/>
              <w:right w:val="single" w:color="auto" w:sz="4" w:space="0"/>
            </w:tcBorders>
            <w:vAlign w:val="center"/>
          </w:tcPr>
          <w:p w14:paraId="55214FB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实质性要求和条件</w:t>
            </w:r>
          </w:p>
        </w:tc>
        <w:tc>
          <w:tcPr>
            <w:tcW w:w="5865" w:type="dxa"/>
            <w:tcBorders>
              <w:top w:val="single" w:color="auto" w:sz="4" w:space="0"/>
              <w:left w:val="single" w:color="auto" w:sz="4" w:space="0"/>
              <w:bottom w:val="single" w:color="auto" w:sz="4" w:space="0"/>
              <w:right w:val="single" w:color="auto" w:sz="4" w:space="0"/>
            </w:tcBorders>
            <w:vAlign w:val="center"/>
          </w:tcPr>
          <w:p w14:paraId="70C7FB8E">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14:paraId="3B1B5F6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5AFD4E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1.12.3</w:t>
            </w:r>
          </w:p>
        </w:tc>
        <w:tc>
          <w:tcPr>
            <w:tcW w:w="2292" w:type="dxa"/>
            <w:tcBorders>
              <w:top w:val="single" w:color="auto" w:sz="4" w:space="0"/>
              <w:left w:val="single" w:color="auto" w:sz="4" w:space="0"/>
              <w:bottom w:val="single" w:color="auto" w:sz="4" w:space="0"/>
              <w:right w:val="single" w:color="auto" w:sz="4" w:space="0"/>
            </w:tcBorders>
            <w:vAlign w:val="center"/>
          </w:tcPr>
          <w:p w14:paraId="5FB5909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偏差</w:t>
            </w:r>
          </w:p>
        </w:tc>
        <w:tc>
          <w:tcPr>
            <w:tcW w:w="5865" w:type="dxa"/>
            <w:tcBorders>
              <w:top w:val="single" w:color="auto" w:sz="4" w:space="0"/>
              <w:left w:val="single" w:color="auto" w:sz="4" w:space="0"/>
              <w:bottom w:val="single" w:color="auto" w:sz="4" w:space="0"/>
              <w:right w:val="single" w:color="auto" w:sz="4" w:space="0"/>
            </w:tcBorders>
          </w:tcPr>
          <w:p w14:paraId="776FB70E">
            <w:pPr>
              <w:spacing w:line="360" w:lineRule="auto"/>
              <w:rPr>
                <w:rFonts w:hint="eastAsia" w:ascii="宋体" w:hAnsi="宋体" w:eastAsia="宋体" w:cs="宋体"/>
                <w:color w:val="auto"/>
                <w:szCs w:val="21"/>
              </w:rPr>
            </w:pPr>
            <w:r>
              <w:rPr>
                <w:rFonts w:hint="eastAsia" w:ascii="宋体" w:hAnsi="宋体" w:eastAsia="宋体" w:cs="宋体"/>
                <w:color w:val="auto"/>
                <w:szCs w:val="21"/>
              </w:rPr>
              <w:t>■不允许</w:t>
            </w:r>
          </w:p>
          <w:p w14:paraId="1CC9DED3">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□允许，偏差范围：/</w:t>
            </w:r>
          </w:p>
          <w:p w14:paraId="0F4AFDE6">
            <w:pPr>
              <w:pStyle w:val="18"/>
              <w:topLinePunct/>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偏差幅度：/</w:t>
            </w:r>
          </w:p>
        </w:tc>
      </w:tr>
      <w:tr w14:paraId="3BAA59A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101789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92" w:type="dxa"/>
            <w:tcBorders>
              <w:top w:val="single" w:color="auto" w:sz="4" w:space="0"/>
              <w:left w:val="single" w:color="auto" w:sz="4" w:space="0"/>
              <w:bottom w:val="single" w:color="auto" w:sz="4" w:space="0"/>
              <w:right w:val="single" w:color="auto" w:sz="4" w:space="0"/>
            </w:tcBorders>
            <w:vAlign w:val="center"/>
          </w:tcPr>
          <w:p w14:paraId="585D2A5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构成招标文件的其他资料</w:t>
            </w:r>
          </w:p>
        </w:tc>
        <w:tc>
          <w:tcPr>
            <w:tcW w:w="5865" w:type="dxa"/>
            <w:tcBorders>
              <w:top w:val="single" w:color="auto" w:sz="4" w:space="0"/>
              <w:left w:val="single" w:color="auto" w:sz="4" w:space="0"/>
              <w:bottom w:val="single" w:color="auto" w:sz="4" w:space="0"/>
              <w:right w:val="single" w:color="auto" w:sz="4" w:space="0"/>
            </w:tcBorders>
            <w:vAlign w:val="center"/>
          </w:tcPr>
          <w:p w14:paraId="265EC93D">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答疑纪要（如有）、澄清文件（如有）等。</w:t>
            </w:r>
          </w:p>
        </w:tc>
      </w:tr>
      <w:tr w14:paraId="1F532373">
        <w:tblPrEx>
          <w:tblCellMar>
            <w:top w:w="0" w:type="dxa"/>
            <w:left w:w="108" w:type="dxa"/>
            <w:bottom w:w="0" w:type="dxa"/>
            <w:right w:w="108" w:type="dxa"/>
          </w:tblCellMar>
        </w:tblPrEx>
        <w:trPr>
          <w:trHeight w:val="435" w:hRule="atLeast"/>
        </w:trPr>
        <w:tc>
          <w:tcPr>
            <w:tcW w:w="1165" w:type="dxa"/>
            <w:vMerge w:val="restart"/>
            <w:tcBorders>
              <w:top w:val="single" w:color="auto" w:sz="4" w:space="0"/>
              <w:left w:val="single" w:color="auto" w:sz="4" w:space="0"/>
              <w:right w:val="single" w:color="auto" w:sz="4" w:space="0"/>
            </w:tcBorders>
            <w:vAlign w:val="center"/>
          </w:tcPr>
          <w:p w14:paraId="18B4764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2.2.1</w:t>
            </w:r>
          </w:p>
        </w:tc>
        <w:tc>
          <w:tcPr>
            <w:tcW w:w="2292" w:type="dxa"/>
            <w:vMerge w:val="restart"/>
            <w:tcBorders>
              <w:top w:val="single" w:color="auto" w:sz="4" w:space="0"/>
              <w:left w:val="single" w:color="auto" w:sz="4" w:space="0"/>
              <w:right w:val="single" w:color="auto" w:sz="4" w:space="0"/>
            </w:tcBorders>
            <w:vAlign w:val="center"/>
          </w:tcPr>
          <w:p w14:paraId="53ECA1B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投标人要求澄清招标文件</w:t>
            </w:r>
          </w:p>
        </w:tc>
        <w:tc>
          <w:tcPr>
            <w:tcW w:w="5865" w:type="dxa"/>
            <w:tcBorders>
              <w:top w:val="single" w:color="auto" w:sz="4" w:space="0"/>
              <w:left w:val="single" w:color="auto" w:sz="4" w:space="0"/>
              <w:bottom w:val="single" w:color="auto" w:sz="4" w:space="0"/>
              <w:right w:val="single" w:color="auto" w:sz="4" w:space="0"/>
            </w:tcBorders>
            <w:vAlign w:val="center"/>
          </w:tcPr>
          <w:p w14:paraId="2DF8C16F">
            <w:pPr>
              <w:spacing w:line="360" w:lineRule="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s="宋体"/>
                <w:color w:val="auto"/>
                <w:szCs w:val="21"/>
                <w:u w:val="single"/>
              </w:rPr>
              <w:t>在提交投标文件截止时间18天前提出。</w:t>
            </w:r>
          </w:p>
        </w:tc>
      </w:tr>
      <w:tr w14:paraId="2F4A987E">
        <w:tblPrEx>
          <w:tblCellMar>
            <w:top w:w="0" w:type="dxa"/>
            <w:left w:w="108" w:type="dxa"/>
            <w:bottom w:w="0" w:type="dxa"/>
            <w:right w:w="108" w:type="dxa"/>
          </w:tblCellMar>
        </w:tblPrEx>
        <w:trPr>
          <w:trHeight w:val="435" w:hRule="atLeast"/>
        </w:trPr>
        <w:tc>
          <w:tcPr>
            <w:tcW w:w="1165" w:type="dxa"/>
            <w:vMerge w:val="continue"/>
            <w:tcBorders>
              <w:left w:val="single" w:color="auto" w:sz="4" w:space="0"/>
              <w:bottom w:val="single" w:color="auto" w:sz="4" w:space="0"/>
              <w:right w:val="single" w:color="auto" w:sz="4" w:space="0"/>
            </w:tcBorders>
            <w:vAlign w:val="center"/>
          </w:tcPr>
          <w:p w14:paraId="60E6FA0B">
            <w:pPr>
              <w:spacing w:line="360" w:lineRule="auto"/>
              <w:jc w:val="center"/>
              <w:rPr>
                <w:rFonts w:hint="eastAsia" w:ascii="宋体" w:hAnsi="宋体" w:eastAsia="宋体" w:cs="宋体"/>
                <w:color w:val="auto"/>
              </w:rPr>
            </w:pPr>
          </w:p>
        </w:tc>
        <w:tc>
          <w:tcPr>
            <w:tcW w:w="2292" w:type="dxa"/>
            <w:vMerge w:val="continue"/>
            <w:tcBorders>
              <w:left w:val="single" w:color="auto" w:sz="4" w:space="0"/>
              <w:bottom w:val="single" w:color="auto" w:sz="4" w:space="0"/>
              <w:right w:val="single" w:color="auto" w:sz="4" w:space="0"/>
            </w:tcBorders>
            <w:vAlign w:val="center"/>
          </w:tcPr>
          <w:p w14:paraId="09613B27">
            <w:pPr>
              <w:spacing w:line="360" w:lineRule="auto"/>
              <w:jc w:val="center"/>
              <w:rPr>
                <w:rFonts w:hint="eastAsia" w:ascii="宋体" w:hAnsi="宋体" w:eastAsia="宋体" w:cs="宋体"/>
                <w:color w:val="auto"/>
              </w:rPr>
            </w:pPr>
          </w:p>
        </w:tc>
        <w:tc>
          <w:tcPr>
            <w:tcW w:w="5865" w:type="dxa"/>
            <w:tcBorders>
              <w:top w:val="single" w:color="auto" w:sz="4" w:space="0"/>
              <w:left w:val="single" w:color="auto" w:sz="4" w:space="0"/>
              <w:bottom w:val="single" w:color="auto" w:sz="4" w:space="0"/>
              <w:right w:val="single" w:color="auto" w:sz="4" w:space="0"/>
            </w:tcBorders>
            <w:vAlign w:val="center"/>
          </w:tcPr>
          <w:p w14:paraId="35CDC0C0">
            <w:pPr>
              <w:snapToGrid w:val="0"/>
              <w:spacing w:line="360" w:lineRule="auto"/>
              <w:ind w:right="174" w:rightChars="83"/>
              <w:rPr>
                <w:rFonts w:hint="eastAsia" w:ascii="宋体" w:hAnsi="宋体" w:eastAsia="宋体" w:cs="宋体"/>
                <w:color w:val="auto"/>
                <w:kern w:val="0"/>
                <w:szCs w:val="21"/>
                <w:u w:val="single"/>
              </w:rPr>
            </w:pPr>
            <w:r>
              <w:rPr>
                <w:rFonts w:hint="eastAsia" w:ascii="宋体" w:hAnsi="宋体" w:eastAsia="宋体" w:cs="宋体"/>
                <w:color w:val="auto"/>
                <w:szCs w:val="21"/>
                <w:u w:val="single"/>
              </w:rPr>
              <w:t>形式：</w:t>
            </w:r>
            <w:r>
              <w:rPr>
                <w:rFonts w:hint="eastAsia" w:ascii="宋体" w:hAnsi="宋体" w:eastAsia="宋体" w:cs="宋体"/>
                <w:color w:val="auto"/>
                <w:kern w:val="0"/>
                <w:szCs w:val="21"/>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14:paraId="676CB31D">
            <w:pPr>
              <w:snapToGrid w:val="0"/>
              <w:spacing w:line="360" w:lineRule="auto"/>
              <w:ind w:right="174" w:rightChars="83" w:firstLine="630" w:firstLineChars="300"/>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2.投标人应在投标截止时间18日前停止提疑。招标人应在投标截止时间15日前解答投标人对招标文件提出的疑问，形成答疑纪要，并在广州交易集团有限公司（广州公共资源交易中心）网站发布。</w:t>
            </w:r>
          </w:p>
          <w:p w14:paraId="6B231431">
            <w:pPr>
              <w:snapToGrid w:val="0"/>
              <w:spacing w:line="360" w:lineRule="auto"/>
              <w:ind w:right="174" w:rightChars="83" w:firstLine="630" w:firstLineChars="300"/>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3.答疑纪要一经在广州交易集团有限公司（广州公共资源交易中心）网站发布，视作已发放给所有投标人。</w:t>
            </w:r>
          </w:p>
          <w:p w14:paraId="076C31F8">
            <w:pPr>
              <w:snapToGrid w:val="0"/>
              <w:spacing w:line="360" w:lineRule="auto"/>
              <w:ind w:right="174" w:rightChars="83" w:firstLine="630" w:firstLineChars="300"/>
              <w:rPr>
                <w:rFonts w:hint="eastAsia" w:ascii="宋体" w:hAnsi="宋体" w:eastAsia="宋体" w:cs="宋体"/>
                <w:color w:val="auto"/>
                <w:szCs w:val="21"/>
              </w:rPr>
            </w:pPr>
            <w:r>
              <w:rPr>
                <w:rFonts w:hint="eastAsia" w:ascii="宋体" w:hAnsi="宋体" w:eastAsia="宋体" w:cs="宋体"/>
                <w:color w:val="auto"/>
                <w:kern w:val="0"/>
                <w:szCs w:val="21"/>
                <w:u w:val="single"/>
              </w:rPr>
              <w:t>4.答疑纪要为招标文件的一部分。投标人可在广州交易集团有限公司（广州公共资源交易中心）网站浏览、下载答疑纪要。</w:t>
            </w:r>
          </w:p>
        </w:tc>
      </w:tr>
      <w:tr w14:paraId="17CD75F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576629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2.2.2</w:t>
            </w:r>
          </w:p>
        </w:tc>
        <w:tc>
          <w:tcPr>
            <w:tcW w:w="2292" w:type="dxa"/>
            <w:tcBorders>
              <w:top w:val="single" w:color="auto" w:sz="4" w:space="0"/>
              <w:left w:val="single" w:color="auto" w:sz="4" w:space="0"/>
              <w:bottom w:val="single" w:color="auto" w:sz="4" w:space="0"/>
              <w:right w:val="single" w:color="auto" w:sz="4" w:space="0"/>
            </w:tcBorders>
            <w:vAlign w:val="center"/>
          </w:tcPr>
          <w:p w14:paraId="5DBFCF9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招标文件澄清发出的形式</w:t>
            </w:r>
          </w:p>
        </w:tc>
        <w:tc>
          <w:tcPr>
            <w:tcW w:w="5865" w:type="dxa"/>
            <w:tcBorders>
              <w:top w:val="single" w:color="auto" w:sz="4" w:space="0"/>
              <w:left w:val="single" w:color="auto" w:sz="4" w:space="0"/>
              <w:bottom w:val="single" w:color="auto" w:sz="4" w:space="0"/>
              <w:right w:val="single" w:color="auto" w:sz="4" w:space="0"/>
            </w:tcBorders>
            <w:vAlign w:val="center"/>
          </w:tcPr>
          <w:p w14:paraId="472EC44B">
            <w:pPr>
              <w:spacing w:line="360" w:lineRule="auto"/>
              <w:rPr>
                <w:rFonts w:hint="eastAsia" w:ascii="宋体" w:hAnsi="宋体" w:eastAsia="宋体" w:cs="宋体"/>
                <w:color w:val="auto"/>
                <w:szCs w:val="21"/>
              </w:rPr>
            </w:pPr>
            <w:r>
              <w:rPr>
                <w:rFonts w:hint="eastAsia" w:ascii="宋体" w:hAnsi="宋体" w:eastAsia="宋体" w:cs="宋体"/>
                <w:color w:val="auto"/>
                <w:szCs w:val="21"/>
              </w:rPr>
              <w:t>在递交投标文件截止时间15天前；在</w:t>
            </w:r>
            <w:r>
              <w:rPr>
                <w:rFonts w:hint="eastAsia" w:ascii="宋体" w:hAnsi="宋体" w:eastAsia="宋体" w:cs="宋体"/>
                <w:color w:val="auto"/>
                <w:szCs w:val="21"/>
                <w:u w:val="single"/>
              </w:rPr>
              <w:t>广州交易集团有限公司（广州公共资源交易中心）</w:t>
            </w:r>
            <w:r>
              <w:rPr>
                <w:rFonts w:hint="eastAsia" w:ascii="宋体" w:hAnsi="宋体" w:eastAsia="宋体" w:cs="宋体"/>
                <w:color w:val="auto"/>
                <w:szCs w:val="21"/>
              </w:rPr>
              <w:t>网站通过项目答疑专区网上公开发布。</w:t>
            </w:r>
          </w:p>
        </w:tc>
      </w:tr>
      <w:tr w14:paraId="5369A4EA">
        <w:tblPrEx>
          <w:tblCellMar>
            <w:top w:w="0" w:type="dxa"/>
            <w:left w:w="108" w:type="dxa"/>
            <w:bottom w:w="0" w:type="dxa"/>
            <w:right w:w="108" w:type="dxa"/>
          </w:tblCellMar>
        </w:tblPrEx>
        <w:trPr>
          <w:trHeight w:val="89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14:paraId="31F0DCE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2.2.3</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14:paraId="1151CF9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投标人确认收到招标文件澄清</w:t>
            </w:r>
          </w:p>
        </w:tc>
        <w:tc>
          <w:tcPr>
            <w:tcW w:w="5865" w:type="dxa"/>
            <w:tcBorders>
              <w:top w:val="single" w:color="auto" w:sz="4" w:space="0"/>
              <w:left w:val="single" w:color="auto" w:sz="4" w:space="0"/>
              <w:bottom w:val="single" w:color="auto" w:sz="4" w:space="0"/>
              <w:right w:val="single" w:color="auto" w:sz="4" w:space="0"/>
            </w:tcBorders>
            <w:vAlign w:val="center"/>
          </w:tcPr>
          <w:p w14:paraId="0027550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s="宋体"/>
                <w:color w:val="auto"/>
                <w:szCs w:val="21"/>
                <w:u w:val="single"/>
              </w:rPr>
              <w:t>从招标文件澄清及答疑文件发布之日起即视为投标人已确认收到。</w:t>
            </w:r>
          </w:p>
        </w:tc>
      </w:tr>
      <w:tr w14:paraId="4E9F7CE1">
        <w:tblPrEx>
          <w:tblCellMar>
            <w:top w:w="0" w:type="dxa"/>
            <w:left w:w="108" w:type="dxa"/>
            <w:bottom w:w="0" w:type="dxa"/>
            <w:right w:w="108" w:type="dxa"/>
          </w:tblCellMar>
        </w:tblPrEx>
        <w:trPr>
          <w:trHeight w:val="89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1367BAC9">
            <w:pPr>
              <w:spacing w:line="360" w:lineRule="auto"/>
              <w:jc w:val="center"/>
              <w:rPr>
                <w:rFonts w:hint="eastAsia" w:ascii="宋体" w:hAnsi="宋体" w:eastAsia="宋体" w:cs="宋体"/>
                <w:color w:val="auto"/>
                <w:szCs w:val="21"/>
              </w:rPr>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14:paraId="4E55AC02">
            <w:pPr>
              <w:spacing w:line="360" w:lineRule="auto"/>
              <w:jc w:val="center"/>
              <w:rPr>
                <w:rFonts w:hint="eastAsia" w:ascii="宋体" w:hAnsi="宋体" w:eastAsia="宋体" w:cs="宋体"/>
                <w:color w:val="auto"/>
                <w:szCs w:val="21"/>
              </w:rPr>
            </w:pPr>
          </w:p>
        </w:tc>
        <w:tc>
          <w:tcPr>
            <w:tcW w:w="5865" w:type="dxa"/>
            <w:tcBorders>
              <w:top w:val="single" w:color="auto" w:sz="4" w:space="0"/>
              <w:left w:val="single" w:color="auto" w:sz="4" w:space="0"/>
              <w:bottom w:val="single" w:color="auto" w:sz="4" w:space="0"/>
              <w:right w:val="single" w:color="auto" w:sz="4" w:space="0"/>
            </w:tcBorders>
            <w:vAlign w:val="center"/>
          </w:tcPr>
          <w:p w14:paraId="0B4AAB7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形式：</w:t>
            </w:r>
            <w:r>
              <w:rPr>
                <w:rFonts w:hint="eastAsia" w:ascii="宋体" w:hAnsi="宋体" w:eastAsia="宋体" w:cs="宋体"/>
                <w:color w:val="auto"/>
                <w:szCs w:val="21"/>
                <w:u w:val="single"/>
              </w:rPr>
              <w:t>招标文件澄清（招标答疑纪要）一经在广州交易集团有限公司（广州公共资源交易中心）网站发布，视作已发放给所有投标人。</w:t>
            </w:r>
          </w:p>
        </w:tc>
      </w:tr>
      <w:tr w14:paraId="0C5505B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D79112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2.3.1</w:t>
            </w:r>
          </w:p>
        </w:tc>
        <w:tc>
          <w:tcPr>
            <w:tcW w:w="2292" w:type="dxa"/>
            <w:tcBorders>
              <w:top w:val="single" w:color="auto" w:sz="4" w:space="0"/>
              <w:left w:val="single" w:color="auto" w:sz="4" w:space="0"/>
              <w:bottom w:val="single" w:color="auto" w:sz="4" w:space="0"/>
              <w:right w:val="single" w:color="auto" w:sz="4" w:space="0"/>
            </w:tcBorders>
            <w:vAlign w:val="center"/>
          </w:tcPr>
          <w:p w14:paraId="28BBFB7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招标文件修改发出的形式</w:t>
            </w:r>
          </w:p>
        </w:tc>
        <w:tc>
          <w:tcPr>
            <w:tcW w:w="5865" w:type="dxa"/>
            <w:tcBorders>
              <w:top w:val="single" w:color="auto" w:sz="4" w:space="0"/>
              <w:left w:val="single" w:color="auto" w:sz="4" w:space="0"/>
              <w:bottom w:val="single" w:color="auto" w:sz="4" w:space="0"/>
              <w:right w:val="single" w:color="auto" w:sz="4" w:space="0"/>
            </w:tcBorders>
            <w:vAlign w:val="center"/>
          </w:tcPr>
          <w:p w14:paraId="6A0BB9FC">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以补充公告或项目答疑澄清的方式在广州交易集团有限公司（广州公共资源交易中心）网站发布。</w:t>
            </w:r>
          </w:p>
        </w:tc>
      </w:tr>
      <w:tr w14:paraId="5D26F110">
        <w:tblPrEx>
          <w:tblCellMar>
            <w:top w:w="0" w:type="dxa"/>
            <w:left w:w="108" w:type="dxa"/>
            <w:bottom w:w="0" w:type="dxa"/>
            <w:right w:w="108" w:type="dxa"/>
          </w:tblCellMar>
        </w:tblPrEx>
        <w:trPr>
          <w:trHeight w:val="9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14:paraId="55916C9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2.3.2</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14:paraId="255FCFE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投标人确认收到招标文件修改</w:t>
            </w:r>
          </w:p>
        </w:tc>
        <w:tc>
          <w:tcPr>
            <w:tcW w:w="5865" w:type="dxa"/>
            <w:tcBorders>
              <w:top w:val="single" w:color="auto" w:sz="4" w:space="0"/>
              <w:left w:val="single" w:color="auto" w:sz="4" w:space="0"/>
              <w:bottom w:val="single" w:color="auto" w:sz="4" w:space="0"/>
              <w:right w:val="single" w:color="auto" w:sz="4" w:space="0"/>
            </w:tcBorders>
            <w:vAlign w:val="center"/>
          </w:tcPr>
          <w:p w14:paraId="3697B86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s="宋体"/>
                <w:color w:val="auto"/>
                <w:szCs w:val="21"/>
                <w:u w:val="single"/>
              </w:rPr>
              <w:t>发出即视作收到。</w:t>
            </w:r>
          </w:p>
        </w:tc>
      </w:tr>
      <w:tr w14:paraId="113090B2">
        <w:tblPrEx>
          <w:tblCellMar>
            <w:top w:w="0" w:type="dxa"/>
            <w:left w:w="108" w:type="dxa"/>
            <w:bottom w:w="0" w:type="dxa"/>
            <w:right w:w="108" w:type="dxa"/>
          </w:tblCellMar>
        </w:tblPrEx>
        <w:trPr>
          <w:trHeight w:val="89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7A3067C8">
            <w:pPr>
              <w:spacing w:line="360" w:lineRule="auto"/>
              <w:jc w:val="center"/>
              <w:rPr>
                <w:rFonts w:hint="eastAsia" w:ascii="宋体" w:hAnsi="宋体" w:eastAsia="宋体" w:cs="宋体"/>
                <w:color w:val="auto"/>
                <w:szCs w:val="21"/>
              </w:rPr>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14:paraId="7AD7F5EC">
            <w:pPr>
              <w:spacing w:line="360" w:lineRule="auto"/>
              <w:jc w:val="center"/>
              <w:rPr>
                <w:rFonts w:hint="eastAsia" w:ascii="宋体" w:hAnsi="宋体" w:eastAsia="宋体" w:cs="宋体"/>
                <w:color w:val="auto"/>
                <w:szCs w:val="21"/>
              </w:rPr>
            </w:pPr>
          </w:p>
        </w:tc>
        <w:tc>
          <w:tcPr>
            <w:tcW w:w="5865" w:type="dxa"/>
            <w:tcBorders>
              <w:top w:val="single" w:color="auto" w:sz="4" w:space="0"/>
              <w:left w:val="single" w:color="auto" w:sz="4" w:space="0"/>
              <w:bottom w:val="single" w:color="auto" w:sz="4" w:space="0"/>
              <w:right w:val="single" w:color="auto" w:sz="4" w:space="0"/>
            </w:tcBorders>
            <w:vAlign w:val="center"/>
          </w:tcPr>
          <w:p w14:paraId="634344D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形式：</w:t>
            </w:r>
            <w:r>
              <w:rPr>
                <w:rFonts w:hint="eastAsia" w:ascii="宋体" w:hAnsi="宋体" w:eastAsia="宋体" w:cs="宋体"/>
                <w:color w:val="auto"/>
                <w:szCs w:val="21"/>
                <w:u w:val="single"/>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3A74563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3F2A41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3.1.1</w:t>
            </w:r>
          </w:p>
        </w:tc>
        <w:tc>
          <w:tcPr>
            <w:tcW w:w="2292" w:type="dxa"/>
            <w:tcBorders>
              <w:top w:val="single" w:color="auto" w:sz="4" w:space="0"/>
              <w:left w:val="single" w:color="auto" w:sz="4" w:space="0"/>
              <w:bottom w:val="single" w:color="auto" w:sz="4" w:space="0"/>
              <w:right w:val="single" w:color="auto" w:sz="4" w:space="0"/>
            </w:tcBorders>
            <w:vAlign w:val="center"/>
          </w:tcPr>
          <w:p w14:paraId="412E436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构成投标文件的其他资料</w:t>
            </w:r>
          </w:p>
        </w:tc>
        <w:tc>
          <w:tcPr>
            <w:tcW w:w="5865" w:type="dxa"/>
            <w:tcBorders>
              <w:top w:val="single" w:color="auto" w:sz="4" w:space="0"/>
              <w:left w:val="single" w:color="auto" w:sz="4" w:space="0"/>
              <w:bottom w:val="single" w:color="auto" w:sz="4" w:space="0"/>
              <w:right w:val="single" w:color="auto" w:sz="4" w:space="0"/>
            </w:tcBorders>
            <w:vAlign w:val="center"/>
          </w:tcPr>
          <w:p w14:paraId="4DA73CCF">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满足本项目评审要求的其他资料。</w:t>
            </w:r>
          </w:p>
        </w:tc>
      </w:tr>
      <w:tr w14:paraId="4CC5CB3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B9524E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3.2.1</w:t>
            </w:r>
          </w:p>
        </w:tc>
        <w:tc>
          <w:tcPr>
            <w:tcW w:w="2292" w:type="dxa"/>
            <w:tcBorders>
              <w:top w:val="single" w:color="auto" w:sz="4" w:space="0"/>
              <w:left w:val="single" w:color="auto" w:sz="4" w:space="0"/>
              <w:bottom w:val="single" w:color="auto" w:sz="4" w:space="0"/>
              <w:right w:val="single" w:color="auto" w:sz="4" w:space="0"/>
            </w:tcBorders>
            <w:vAlign w:val="center"/>
          </w:tcPr>
          <w:p w14:paraId="77CA60F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增值税税金的计算方法</w:t>
            </w:r>
          </w:p>
        </w:tc>
        <w:tc>
          <w:tcPr>
            <w:tcW w:w="5865" w:type="dxa"/>
            <w:tcBorders>
              <w:top w:val="single" w:color="auto" w:sz="4" w:space="0"/>
              <w:left w:val="single" w:color="auto" w:sz="4" w:space="0"/>
              <w:bottom w:val="single" w:color="auto" w:sz="4" w:space="0"/>
              <w:right w:val="single" w:color="auto" w:sz="4" w:space="0"/>
            </w:tcBorders>
            <w:vAlign w:val="center"/>
          </w:tcPr>
          <w:p w14:paraId="3BB8794B">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按国家税务机关的规定执行。</w:t>
            </w:r>
          </w:p>
        </w:tc>
      </w:tr>
      <w:tr w14:paraId="62369EF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C05372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3.2.3</w:t>
            </w:r>
          </w:p>
        </w:tc>
        <w:tc>
          <w:tcPr>
            <w:tcW w:w="2292" w:type="dxa"/>
            <w:tcBorders>
              <w:top w:val="single" w:color="auto" w:sz="4" w:space="0"/>
              <w:left w:val="single" w:color="auto" w:sz="4" w:space="0"/>
              <w:bottom w:val="single" w:color="auto" w:sz="4" w:space="0"/>
              <w:right w:val="single" w:color="auto" w:sz="4" w:space="0"/>
            </w:tcBorders>
            <w:vAlign w:val="center"/>
          </w:tcPr>
          <w:p w14:paraId="1520A2F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报价方式</w:t>
            </w:r>
          </w:p>
        </w:tc>
        <w:tc>
          <w:tcPr>
            <w:tcW w:w="5865" w:type="dxa"/>
            <w:tcBorders>
              <w:top w:val="single" w:color="auto" w:sz="4" w:space="0"/>
              <w:left w:val="single" w:color="auto" w:sz="4" w:space="0"/>
              <w:bottom w:val="single" w:color="auto" w:sz="4" w:space="0"/>
              <w:right w:val="single" w:color="auto" w:sz="4" w:space="0"/>
            </w:tcBorders>
            <w:vAlign w:val="center"/>
          </w:tcPr>
          <w:p w14:paraId="235634E7">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投标人自行报价，以元为单位，精确到小数位后2位，投标报价超过本项目最高投标限价的投标文件将被拒绝。</w:t>
            </w:r>
          </w:p>
        </w:tc>
      </w:tr>
      <w:tr w14:paraId="1407FC5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8AFF1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3.2.4</w:t>
            </w:r>
          </w:p>
        </w:tc>
        <w:tc>
          <w:tcPr>
            <w:tcW w:w="2292" w:type="dxa"/>
            <w:tcBorders>
              <w:top w:val="single" w:color="auto" w:sz="4" w:space="0"/>
              <w:left w:val="single" w:color="auto" w:sz="4" w:space="0"/>
              <w:bottom w:val="single" w:color="auto" w:sz="4" w:space="0"/>
              <w:right w:val="single" w:color="auto" w:sz="4" w:space="0"/>
            </w:tcBorders>
            <w:vAlign w:val="center"/>
          </w:tcPr>
          <w:p w14:paraId="3500D4A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最高投标限价</w:t>
            </w:r>
          </w:p>
        </w:tc>
        <w:tc>
          <w:tcPr>
            <w:tcW w:w="5865" w:type="dxa"/>
            <w:tcBorders>
              <w:top w:val="single" w:color="auto" w:sz="4" w:space="0"/>
              <w:left w:val="single" w:color="auto" w:sz="4" w:space="0"/>
              <w:bottom w:val="single" w:color="auto" w:sz="4" w:space="0"/>
              <w:right w:val="single" w:color="auto" w:sz="4" w:space="0"/>
            </w:tcBorders>
            <w:vAlign w:val="center"/>
          </w:tcPr>
          <w:p w14:paraId="0174635A">
            <w:pPr>
              <w:spacing w:line="360" w:lineRule="auto"/>
              <w:rPr>
                <w:rFonts w:hint="eastAsia" w:ascii="宋体" w:hAnsi="宋体" w:eastAsia="宋体" w:cs="宋体"/>
                <w:color w:val="auto"/>
                <w:szCs w:val="21"/>
              </w:rPr>
            </w:pPr>
            <w:r>
              <w:rPr>
                <w:rFonts w:hint="eastAsia" w:ascii="宋体" w:hAnsi="宋体" w:eastAsia="宋体" w:cs="宋体"/>
                <w:color w:val="auto"/>
                <w:szCs w:val="21"/>
              </w:rPr>
              <w:t>□无</w:t>
            </w:r>
          </w:p>
          <w:p w14:paraId="47F7309E">
            <w:pPr>
              <w:pStyle w:val="82"/>
              <w:spacing w:line="360" w:lineRule="auto"/>
              <w:rPr>
                <w:rFonts w:hint="eastAsia" w:ascii="宋体" w:hAnsi="宋体" w:eastAsia="宋体" w:cs="宋体"/>
                <w:color w:val="auto"/>
                <w:szCs w:val="21"/>
              </w:rPr>
            </w:pPr>
            <w:r>
              <w:rPr>
                <w:rFonts w:hint="eastAsia" w:ascii="宋体" w:hAnsi="宋体" w:eastAsia="宋体" w:cs="宋体"/>
                <w:color w:val="auto"/>
                <w:szCs w:val="21"/>
              </w:rPr>
              <w:t>■有，</w:t>
            </w:r>
            <w:r>
              <w:rPr>
                <w:rFonts w:hint="eastAsia" w:ascii="宋体" w:hAnsi="宋体" w:eastAsia="宋体" w:cs="宋体"/>
                <w:bCs/>
                <w:color w:val="auto"/>
                <w:szCs w:val="21"/>
              </w:rPr>
              <w:t>人民币</w:t>
            </w:r>
            <w:r>
              <w:rPr>
                <w:rFonts w:hint="eastAsia" w:ascii="宋体" w:hAnsi="宋体" w:eastAsia="宋体" w:cs="宋体"/>
                <w:bCs/>
                <w:color w:val="auto"/>
                <w:szCs w:val="21"/>
                <w:u w:val="single"/>
              </w:rPr>
              <w:t>4,357,428.76</w:t>
            </w:r>
            <w:r>
              <w:rPr>
                <w:rFonts w:hint="eastAsia" w:ascii="宋体" w:hAnsi="宋体" w:eastAsia="宋体" w:cs="宋体"/>
                <w:bCs/>
                <w:color w:val="auto"/>
                <w:szCs w:val="21"/>
              </w:rPr>
              <w:t>元，</w:t>
            </w:r>
            <w:r>
              <w:rPr>
                <w:rFonts w:hint="eastAsia" w:ascii="宋体" w:hAnsi="宋体" w:eastAsia="宋体" w:cs="宋体"/>
                <w:bCs/>
                <w:color w:val="auto"/>
                <w:szCs w:val="21"/>
                <w:u w:val="single"/>
              </w:rPr>
              <w:t>其中含税单价最高限价为人民币31.85元/平方米（不含投资控制）</w:t>
            </w:r>
            <w:r>
              <w:rPr>
                <w:rFonts w:hint="eastAsia" w:ascii="宋体" w:hAnsi="宋体" w:eastAsia="宋体" w:cs="宋体"/>
                <w:bCs/>
                <w:color w:val="auto"/>
                <w:szCs w:val="21"/>
              </w:rPr>
              <w:t>。</w:t>
            </w:r>
          </w:p>
          <w:p w14:paraId="310F502B">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投标人应结合自身因素进行投标报价，投标总报价及含税单价报价均不得超过其最高投标限价，否则投标无效。</w:t>
            </w:r>
          </w:p>
        </w:tc>
      </w:tr>
      <w:tr w14:paraId="195B12D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26F4A87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3.2.5</w:t>
            </w:r>
          </w:p>
        </w:tc>
        <w:tc>
          <w:tcPr>
            <w:tcW w:w="2292" w:type="dxa"/>
            <w:tcBorders>
              <w:top w:val="single" w:color="auto" w:sz="4" w:space="0"/>
              <w:left w:val="single" w:color="auto" w:sz="4" w:space="0"/>
              <w:bottom w:val="single" w:color="auto" w:sz="4" w:space="0"/>
              <w:right w:val="single" w:color="auto" w:sz="4" w:space="0"/>
            </w:tcBorders>
            <w:vAlign w:val="center"/>
          </w:tcPr>
          <w:p w14:paraId="0178455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投标报价的其他要求</w:t>
            </w:r>
          </w:p>
        </w:tc>
        <w:tc>
          <w:tcPr>
            <w:tcW w:w="5865" w:type="dxa"/>
            <w:tcBorders>
              <w:top w:val="single" w:color="auto" w:sz="4" w:space="0"/>
              <w:left w:val="single" w:color="auto" w:sz="4" w:space="0"/>
              <w:bottom w:val="single" w:color="auto" w:sz="4" w:space="0"/>
              <w:right w:val="single" w:color="auto" w:sz="4" w:space="0"/>
            </w:tcBorders>
            <w:vAlign w:val="center"/>
          </w:tcPr>
          <w:p w14:paraId="09214829">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投标总报价及含税单价报价超过其最高投标限价的投标文件将被否决其投标。</w:t>
            </w:r>
          </w:p>
          <w:p w14:paraId="22DA104B">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5214B2D6">
            <w:pPr>
              <w:pStyle w:val="82"/>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投标人必须详细审阅全部招标文件，充分考虑职责和义务,全面地理解招标文件对投标报价的要求,并按招标人提出的条件及内容进行报价。结算方式以监理合同约定为准。</w:t>
            </w:r>
          </w:p>
        </w:tc>
      </w:tr>
      <w:tr w14:paraId="6281584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D63B54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3.3.1</w:t>
            </w:r>
          </w:p>
        </w:tc>
        <w:tc>
          <w:tcPr>
            <w:tcW w:w="2292" w:type="dxa"/>
            <w:tcBorders>
              <w:top w:val="single" w:color="auto" w:sz="4" w:space="0"/>
              <w:left w:val="single" w:color="auto" w:sz="4" w:space="0"/>
              <w:bottom w:val="single" w:color="auto" w:sz="4" w:space="0"/>
              <w:right w:val="single" w:color="auto" w:sz="4" w:space="0"/>
            </w:tcBorders>
            <w:vAlign w:val="center"/>
          </w:tcPr>
          <w:p w14:paraId="12ABB81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865" w:type="dxa"/>
            <w:tcBorders>
              <w:top w:val="single" w:color="auto" w:sz="4" w:space="0"/>
              <w:left w:val="single" w:color="auto" w:sz="4" w:space="0"/>
              <w:bottom w:val="single" w:color="auto" w:sz="4" w:space="0"/>
              <w:right w:val="single" w:color="auto" w:sz="4" w:space="0"/>
            </w:tcBorders>
            <w:vAlign w:val="center"/>
          </w:tcPr>
          <w:p w14:paraId="57DBE80E">
            <w:pPr>
              <w:spacing w:line="360" w:lineRule="auto"/>
              <w:rPr>
                <w:rFonts w:hint="eastAsia" w:ascii="宋体" w:hAnsi="宋体" w:eastAsia="宋体" w:cs="宋体"/>
                <w:color w:val="auto"/>
                <w:szCs w:val="21"/>
              </w:rPr>
            </w:pPr>
            <w:bookmarkStart w:id="11" w:name="_Toc384308207"/>
            <w:bookmarkStart w:id="12" w:name="_Toc1789"/>
            <w:bookmarkStart w:id="13" w:name="_Toc300834946"/>
            <w:bookmarkStart w:id="14" w:name="_Toc352691470"/>
            <w:bookmarkStart w:id="15" w:name="_Toc361508582"/>
            <w:bookmarkStart w:id="16" w:name="_Toc369531512"/>
            <w:r>
              <w:rPr>
                <w:rFonts w:hint="eastAsia" w:ascii="宋体" w:hAnsi="宋体" w:eastAsia="宋体" w:cs="宋体"/>
                <w:color w:val="auto"/>
                <w:szCs w:val="21"/>
                <w:u w:val="single"/>
              </w:rPr>
              <w:t>90</w:t>
            </w:r>
            <w:r>
              <w:rPr>
                <w:rFonts w:hint="eastAsia" w:ascii="宋体" w:hAnsi="宋体" w:eastAsia="宋体" w:cs="宋体"/>
                <w:color w:val="auto"/>
                <w:szCs w:val="21"/>
              </w:rPr>
              <w:t>日历天（从投标截止之日算起）。如出现异议或投诉，则投标有效期自动延长至异议或投诉处理结束，确定中标人并发放中标通知书为止。</w:t>
            </w:r>
          </w:p>
        </w:tc>
      </w:tr>
      <w:bookmarkEnd w:id="11"/>
      <w:bookmarkEnd w:id="12"/>
      <w:bookmarkEnd w:id="13"/>
      <w:bookmarkEnd w:id="14"/>
      <w:bookmarkEnd w:id="15"/>
      <w:bookmarkEnd w:id="16"/>
      <w:tr w14:paraId="7034FF55">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6CEA91F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3.4.1</w:t>
            </w:r>
          </w:p>
        </w:tc>
        <w:tc>
          <w:tcPr>
            <w:tcW w:w="2292" w:type="dxa"/>
            <w:tcBorders>
              <w:top w:val="single" w:color="auto" w:sz="4" w:space="0"/>
              <w:left w:val="single" w:color="auto" w:sz="4" w:space="0"/>
              <w:bottom w:val="single" w:color="auto" w:sz="4" w:space="0"/>
              <w:right w:val="single" w:color="auto" w:sz="4" w:space="0"/>
            </w:tcBorders>
            <w:vAlign w:val="center"/>
          </w:tcPr>
          <w:p w14:paraId="283C531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865" w:type="dxa"/>
            <w:tcBorders>
              <w:top w:val="single" w:color="auto" w:sz="4" w:space="0"/>
              <w:left w:val="single" w:color="auto" w:sz="4" w:space="0"/>
              <w:bottom w:val="single" w:color="auto" w:sz="4" w:space="0"/>
              <w:right w:val="single" w:color="auto" w:sz="4" w:space="0"/>
            </w:tcBorders>
            <w:vAlign w:val="center"/>
          </w:tcPr>
          <w:p w14:paraId="5D9ECFC3">
            <w:pPr>
              <w:spacing w:line="360" w:lineRule="auto"/>
              <w:ind w:left="36" w:leftChars="17" w:right="36" w:rightChars="17"/>
              <w:rPr>
                <w:rFonts w:hint="eastAsia" w:ascii="宋体" w:hAnsi="宋体" w:eastAsia="宋体" w:cs="宋体"/>
                <w:color w:val="auto"/>
                <w:szCs w:val="21"/>
              </w:rPr>
            </w:pPr>
            <w:r>
              <w:rPr>
                <w:rFonts w:hint="eastAsia" w:ascii="宋体" w:hAnsi="宋体" w:eastAsia="宋体" w:cs="宋体"/>
                <w:color w:val="auto"/>
                <w:szCs w:val="21"/>
              </w:rPr>
              <w:t>是否</w:t>
            </w:r>
            <w:r>
              <w:rPr>
                <w:rFonts w:hint="eastAsia" w:ascii="宋体" w:hAnsi="宋体" w:eastAsia="宋体" w:cs="宋体"/>
                <w:color w:val="auto"/>
                <w:spacing w:val="-2"/>
                <w:szCs w:val="21"/>
              </w:rPr>
              <w:t>要</w:t>
            </w:r>
            <w:r>
              <w:rPr>
                <w:rFonts w:hint="eastAsia" w:ascii="宋体" w:hAnsi="宋体" w:eastAsia="宋体" w:cs="宋体"/>
                <w:color w:val="auto"/>
                <w:szCs w:val="21"/>
              </w:rPr>
              <w:t>求</w:t>
            </w:r>
            <w:r>
              <w:rPr>
                <w:rFonts w:hint="eastAsia" w:ascii="宋体" w:hAnsi="宋体" w:eastAsia="宋体" w:cs="宋体"/>
                <w:color w:val="auto"/>
                <w:spacing w:val="-2"/>
                <w:szCs w:val="21"/>
              </w:rPr>
              <w:t>投</w:t>
            </w:r>
            <w:r>
              <w:rPr>
                <w:rFonts w:hint="eastAsia" w:ascii="宋体" w:hAnsi="宋体" w:eastAsia="宋体" w:cs="宋体"/>
                <w:color w:val="auto"/>
                <w:szCs w:val="21"/>
              </w:rPr>
              <w:t>标</w:t>
            </w:r>
            <w:r>
              <w:rPr>
                <w:rFonts w:hint="eastAsia" w:ascii="宋体" w:hAnsi="宋体" w:eastAsia="宋体" w:cs="宋体"/>
                <w:color w:val="auto"/>
                <w:spacing w:val="-2"/>
                <w:szCs w:val="21"/>
              </w:rPr>
              <w:t>人</w:t>
            </w:r>
            <w:r>
              <w:rPr>
                <w:rFonts w:hint="eastAsia" w:ascii="宋体" w:hAnsi="宋体" w:eastAsia="宋体" w:cs="宋体"/>
                <w:color w:val="auto"/>
                <w:szCs w:val="21"/>
              </w:rPr>
              <w:t>递</w:t>
            </w:r>
            <w:r>
              <w:rPr>
                <w:rFonts w:hint="eastAsia" w:ascii="宋体" w:hAnsi="宋体" w:eastAsia="宋体" w:cs="宋体"/>
                <w:color w:val="auto"/>
                <w:spacing w:val="-2"/>
                <w:szCs w:val="21"/>
              </w:rPr>
              <w:t>交</w:t>
            </w:r>
            <w:r>
              <w:rPr>
                <w:rFonts w:hint="eastAsia" w:ascii="宋体" w:hAnsi="宋体" w:eastAsia="宋体" w:cs="宋体"/>
                <w:color w:val="auto"/>
                <w:szCs w:val="21"/>
              </w:rPr>
              <w:t>投</w:t>
            </w:r>
            <w:r>
              <w:rPr>
                <w:rFonts w:hint="eastAsia" w:ascii="宋体" w:hAnsi="宋体" w:eastAsia="宋体" w:cs="宋体"/>
                <w:color w:val="auto"/>
                <w:spacing w:val="-2"/>
                <w:szCs w:val="21"/>
              </w:rPr>
              <w:t>标</w:t>
            </w:r>
            <w:r>
              <w:rPr>
                <w:rFonts w:hint="eastAsia" w:ascii="宋体" w:hAnsi="宋体" w:eastAsia="宋体" w:cs="宋体"/>
                <w:color w:val="auto"/>
                <w:szCs w:val="21"/>
              </w:rPr>
              <w:t>保证</w:t>
            </w:r>
            <w:r>
              <w:rPr>
                <w:rFonts w:hint="eastAsia" w:ascii="宋体" w:hAnsi="宋体" w:eastAsia="宋体" w:cs="宋体"/>
                <w:color w:val="auto"/>
                <w:spacing w:val="-2"/>
                <w:szCs w:val="21"/>
              </w:rPr>
              <w:t>金</w:t>
            </w:r>
            <w:r>
              <w:rPr>
                <w:rFonts w:hint="eastAsia" w:ascii="宋体" w:hAnsi="宋体" w:eastAsia="宋体" w:cs="宋体"/>
                <w:color w:val="auto"/>
                <w:szCs w:val="21"/>
              </w:rPr>
              <w:t>：</w:t>
            </w:r>
          </w:p>
          <w:p w14:paraId="6CF0BF53">
            <w:pPr>
              <w:spacing w:line="360" w:lineRule="auto"/>
              <w:ind w:left="36" w:leftChars="17" w:right="36" w:rightChars="17"/>
              <w:rPr>
                <w:rFonts w:hint="eastAsia" w:ascii="宋体" w:hAnsi="宋体" w:eastAsia="宋体" w:cs="宋体"/>
                <w:bCs/>
                <w:color w:val="auto"/>
                <w:szCs w:val="21"/>
                <w:u w:val="single"/>
              </w:rPr>
            </w:pPr>
            <w:r>
              <w:rPr>
                <w:rFonts w:hint="eastAsia" w:ascii="宋体" w:hAnsi="宋体" w:eastAsia="宋体" w:cs="宋体"/>
                <w:color w:val="auto"/>
                <w:spacing w:val="-1"/>
                <w:szCs w:val="21"/>
              </w:rPr>
              <w:t>□</w:t>
            </w:r>
            <w:r>
              <w:rPr>
                <w:rFonts w:hint="eastAsia" w:ascii="宋体" w:hAnsi="宋体" w:eastAsia="宋体" w:cs="宋体"/>
                <w:color w:val="auto"/>
                <w:szCs w:val="21"/>
              </w:rPr>
              <w:t>要求，</w:t>
            </w:r>
            <w:r>
              <w:rPr>
                <w:rFonts w:hint="eastAsia" w:ascii="宋体" w:hAnsi="宋体" w:eastAsia="宋体" w:cs="宋体"/>
                <w:color w:val="auto"/>
                <w:spacing w:val="-2"/>
                <w:szCs w:val="21"/>
              </w:rPr>
              <w:t>投</w:t>
            </w:r>
            <w:r>
              <w:rPr>
                <w:rFonts w:hint="eastAsia" w:ascii="宋体" w:hAnsi="宋体" w:eastAsia="宋体" w:cs="宋体"/>
                <w:color w:val="auto"/>
                <w:szCs w:val="21"/>
              </w:rPr>
              <w:t>标</w:t>
            </w:r>
            <w:r>
              <w:rPr>
                <w:rFonts w:hint="eastAsia" w:ascii="宋体" w:hAnsi="宋体" w:eastAsia="宋体" w:cs="宋体"/>
                <w:color w:val="auto"/>
                <w:spacing w:val="-2"/>
                <w:szCs w:val="21"/>
              </w:rPr>
              <w:t>保</w:t>
            </w:r>
            <w:r>
              <w:rPr>
                <w:rFonts w:hint="eastAsia" w:ascii="宋体" w:hAnsi="宋体" w:eastAsia="宋体" w:cs="宋体"/>
                <w:color w:val="auto"/>
                <w:szCs w:val="21"/>
              </w:rPr>
              <w:t>证</w:t>
            </w:r>
            <w:r>
              <w:rPr>
                <w:rFonts w:hint="eastAsia" w:ascii="宋体" w:hAnsi="宋体" w:eastAsia="宋体" w:cs="宋体"/>
                <w:color w:val="auto"/>
                <w:spacing w:val="-2"/>
                <w:szCs w:val="21"/>
              </w:rPr>
              <w:t>金</w:t>
            </w:r>
            <w:r>
              <w:rPr>
                <w:rFonts w:hint="eastAsia" w:ascii="宋体" w:hAnsi="宋体" w:eastAsia="宋体" w:cs="宋体"/>
                <w:color w:val="auto"/>
                <w:szCs w:val="21"/>
              </w:rPr>
              <w:t>的</w:t>
            </w:r>
            <w:r>
              <w:rPr>
                <w:rFonts w:hint="eastAsia" w:ascii="宋体" w:hAnsi="宋体" w:eastAsia="宋体" w:cs="宋体"/>
                <w:color w:val="auto"/>
                <w:spacing w:val="-2"/>
                <w:szCs w:val="21"/>
              </w:rPr>
              <w:t>形</w:t>
            </w:r>
            <w:r>
              <w:rPr>
                <w:rFonts w:hint="eastAsia" w:ascii="宋体" w:hAnsi="宋体" w:eastAsia="宋体" w:cs="宋体"/>
                <w:color w:val="auto"/>
                <w:szCs w:val="21"/>
              </w:rPr>
              <w:t>式：</w:t>
            </w:r>
          </w:p>
          <w:p w14:paraId="45245FEA">
            <w:pPr>
              <w:spacing w:line="360" w:lineRule="auto"/>
              <w:ind w:left="36" w:leftChars="17" w:right="36" w:rightChars="17"/>
              <w:rPr>
                <w:rFonts w:hint="eastAsia" w:ascii="宋体" w:hAnsi="宋体" w:eastAsia="宋体" w:cs="宋体"/>
                <w:b/>
                <w:color w:val="auto"/>
                <w:szCs w:val="21"/>
                <w:u w:val="single"/>
              </w:rPr>
            </w:pPr>
            <w:r>
              <w:rPr>
                <w:rFonts w:hint="eastAsia" w:ascii="宋体" w:hAnsi="宋体" w:eastAsia="宋体" w:cs="宋体"/>
                <w:color w:val="auto"/>
                <w:szCs w:val="21"/>
              </w:rPr>
              <w:t>投标</w:t>
            </w:r>
            <w:r>
              <w:rPr>
                <w:rFonts w:hint="eastAsia" w:ascii="宋体" w:hAnsi="宋体" w:eastAsia="宋体" w:cs="宋体"/>
                <w:color w:val="auto"/>
                <w:spacing w:val="-2"/>
                <w:szCs w:val="21"/>
              </w:rPr>
              <w:t>保</w:t>
            </w:r>
            <w:r>
              <w:rPr>
                <w:rFonts w:hint="eastAsia" w:ascii="宋体" w:hAnsi="宋体" w:eastAsia="宋体" w:cs="宋体"/>
                <w:color w:val="auto"/>
                <w:szCs w:val="21"/>
              </w:rPr>
              <w:t>证</w:t>
            </w:r>
            <w:r>
              <w:rPr>
                <w:rFonts w:hint="eastAsia" w:ascii="宋体" w:hAnsi="宋体" w:eastAsia="宋体" w:cs="宋体"/>
                <w:color w:val="auto"/>
                <w:spacing w:val="-2"/>
                <w:szCs w:val="21"/>
              </w:rPr>
              <w:t>金</w:t>
            </w:r>
            <w:r>
              <w:rPr>
                <w:rFonts w:hint="eastAsia" w:ascii="宋体" w:hAnsi="宋体" w:eastAsia="宋体" w:cs="宋体"/>
                <w:color w:val="auto"/>
                <w:szCs w:val="21"/>
              </w:rPr>
              <w:t>的</w:t>
            </w:r>
            <w:r>
              <w:rPr>
                <w:rFonts w:hint="eastAsia" w:ascii="宋体" w:hAnsi="宋体" w:eastAsia="宋体" w:cs="宋体"/>
                <w:color w:val="auto"/>
                <w:spacing w:val="-2"/>
                <w:szCs w:val="21"/>
              </w:rPr>
              <w:t>金</w:t>
            </w:r>
            <w:r>
              <w:rPr>
                <w:rFonts w:hint="eastAsia" w:ascii="宋体" w:hAnsi="宋体" w:eastAsia="宋体" w:cs="宋体"/>
                <w:color w:val="auto"/>
                <w:szCs w:val="21"/>
              </w:rPr>
              <w:t>额：/</w:t>
            </w:r>
          </w:p>
          <w:p w14:paraId="71F4B59C">
            <w:pPr>
              <w:pStyle w:val="18"/>
              <w:topLinePunct/>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■不要求</w:t>
            </w:r>
          </w:p>
        </w:tc>
      </w:tr>
      <w:tr w14:paraId="347D5EFB">
        <w:tblPrEx>
          <w:tblCellMar>
            <w:top w:w="0" w:type="dxa"/>
            <w:left w:w="108" w:type="dxa"/>
            <w:bottom w:w="0" w:type="dxa"/>
            <w:right w:w="108" w:type="dxa"/>
          </w:tblCellMar>
        </w:tblPrEx>
        <w:trPr>
          <w:trHeight w:val="579" w:hRule="atLeast"/>
        </w:trPr>
        <w:tc>
          <w:tcPr>
            <w:tcW w:w="1165" w:type="dxa"/>
            <w:tcBorders>
              <w:top w:val="single" w:color="auto" w:sz="4" w:space="0"/>
              <w:left w:val="single" w:color="auto" w:sz="4" w:space="0"/>
              <w:bottom w:val="single" w:color="auto" w:sz="4" w:space="0"/>
              <w:right w:val="single" w:color="auto" w:sz="4" w:space="0"/>
            </w:tcBorders>
            <w:vAlign w:val="center"/>
          </w:tcPr>
          <w:p w14:paraId="042C5DB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3.4.4</w:t>
            </w:r>
          </w:p>
        </w:tc>
        <w:tc>
          <w:tcPr>
            <w:tcW w:w="2292" w:type="dxa"/>
            <w:tcBorders>
              <w:top w:val="single" w:color="auto" w:sz="4" w:space="0"/>
              <w:left w:val="single" w:color="auto" w:sz="4" w:space="0"/>
              <w:bottom w:val="single" w:color="auto" w:sz="4" w:space="0"/>
              <w:right w:val="single" w:color="auto" w:sz="4" w:space="0"/>
            </w:tcBorders>
            <w:vAlign w:val="center"/>
          </w:tcPr>
          <w:p w14:paraId="6B436F7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其他可以不予退还投标保证金的情形</w:t>
            </w:r>
          </w:p>
        </w:tc>
        <w:tc>
          <w:tcPr>
            <w:tcW w:w="5865" w:type="dxa"/>
            <w:tcBorders>
              <w:top w:val="single" w:color="auto" w:sz="4" w:space="0"/>
              <w:left w:val="single" w:color="auto" w:sz="4" w:space="0"/>
              <w:bottom w:val="single" w:color="auto" w:sz="4" w:space="0"/>
              <w:right w:val="single" w:color="auto" w:sz="4" w:space="0"/>
            </w:tcBorders>
            <w:vAlign w:val="center"/>
          </w:tcPr>
          <w:p w14:paraId="5AA79BB7">
            <w:pPr>
              <w:spacing w:line="360" w:lineRule="auto"/>
              <w:jc w:val="left"/>
              <w:rPr>
                <w:rFonts w:hint="eastAsia" w:ascii="宋体" w:hAnsi="宋体" w:eastAsia="宋体" w:cs="宋体"/>
                <w:color w:val="auto"/>
                <w:szCs w:val="21"/>
              </w:rPr>
            </w:pPr>
            <w:r>
              <w:rPr>
                <w:rFonts w:hint="eastAsia" w:ascii="宋体" w:hAnsi="宋体" w:eastAsia="宋体" w:cs="宋体"/>
                <w:color w:val="auto"/>
              </w:rPr>
              <w:t>/</w:t>
            </w:r>
          </w:p>
        </w:tc>
      </w:tr>
      <w:tr w14:paraId="19CA7F09">
        <w:tblPrEx>
          <w:tblCellMar>
            <w:top w:w="0" w:type="dxa"/>
            <w:left w:w="108" w:type="dxa"/>
            <w:bottom w:w="0" w:type="dxa"/>
            <w:right w:w="108" w:type="dxa"/>
          </w:tblCellMar>
        </w:tblPrEx>
        <w:trPr>
          <w:trHeight w:val="6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30964B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2292" w:type="dxa"/>
            <w:tcBorders>
              <w:top w:val="single" w:color="auto" w:sz="4" w:space="0"/>
              <w:left w:val="single" w:color="auto" w:sz="4" w:space="0"/>
              <w:bottom w:val="single" w:color="auto" w:sz="4" w:space="0"/>
              <w:right w:val="single" w:color="auto" w:sz="4" w:space="0"/>
            </w:tcBorders>
            <w:vAlign w:val="center"/>
          </w:tcPr>
          <w:p w14:paraId="3809673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资格审查资料的特殊要求</w:t>
            </w:r>
          </w:p>
        </w:tc>
        <w:tc>
          <w:tcPr>
            <w:tcW w:w="5865" w:type="dxa"/>
            <w:tcBorders>
              <w:top w:val="single" w:color="auto" w:sz="4" w:space="0"/>
              <w:left w:val="single" w:color="auto" w:sz="4" w:space="0"/>
              <w:bottom w:val="single" w:color="auto" w:sz="4" w:space="0"/>
              <w:right w:val="single" w:color="auto" w:sz="4" w:space="0"/>
            </w:tcBorders>
            <w:vAlign w:val="center"/>
          </w:tcPr>
          <w:p w14:paraId="182B1904">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6CD1F6B1">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Cs w:val="21"/>
              </w:rPr>
              <w:t>□</w:t>
            </w:r>
            <w:r>
              <w:rPr>
                <w:rFonts w:hint="eastAsia" w:ascii="宋体" w:hAnsi="宋体" w:eastAsia="宋体" w:cs="宋体"/>
                <w:color w:val="auto"/>
                <w:sz w:val="21"/>
                <w:szCs w:val="21"/>
              </w:rPr>
              <w:t>有，具体要求：/</w:t>
            </w:r>
          </w:p>
        </w:tc>
      </w:tr>
      <w:tr w14:paraId="6B6FA350">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106B1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3.5.2</w:t>
            </w:r>
          </w:p>
        </w:tc>
        <w:tc>
          <w:tcPr>
            <w:tcW w:w="2292" w:type="dxa"/>
            <w:tcBorders>
              <w:top w:val="single" w:color="auto" w:sz="4" w:space="0"/>
              <w:left w:val="single" w:color="auto" w:sz="4" w:space="0"/>
              <w:bottom w:val="single" w:color="auto" w:sz="4" w:space="0"/>
              <w:right w:val="single" w:color="auto" w:sz="4" w:space="0"/>
            </w:tcBorders>
            <w:vAlign w:val="center"/>
          </w:tcPr>
          <w:p w14:paraId="05935EB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近年财务状况的年份要求</w:t>
            </w:r>
          </w:p>
        </w:tc>
        <w:tc>
          <w:tcPr>
            <w:tcW w:w="5865" w:type="dxa"/>
            <w:tcBorders>
              <w:top w:val="single" w:color="auto" w:sz="4" w:space="0"/>
              <w:left w:val="single" w:color="auto" w:sz="4" w:space="0"/>
              <w:bottom w:val="single" w:color="auto" w:sz="4" w:space="0"/>
              <w:right w:val="single" w:color="auto" w:sz="4" w:space="0"/>
            </w:tcBorders>
            <w:vAlign w:val="center"/>
          </w:tcPr>
          <w:p w14:paraId="72DE47A7">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w:t>
            </w:r>
          </w:p>
        </w:tc>
      </w:tr>
      <w:tr w14:paraId="4D2FF93C">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E9731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3.5.3</w:t>
            </w:r>
          </w:p>
        </w:tc>
        <w:tc>
          <w:tcPr>
            <w:tcW w:w="2292" w:type="dxa"/>
            <w:tcBorders>
              <w:top w:val="single" w:color="auto" w:sz="4" w:space="0"/>
              <w:left w:val="single" w:color="auto" w:sz="4" w:space="0"/>
              <w:bottom w:val="single" w:color="auto" w:sz="4" w:space="0"/>
              <w:right w:val="single" w:color="auto" w:sz="4" w:space="0"/>
            </w:tcBorders>
            <w:vAlign w:val="center"/>
          </w:tcPr>
          <w:p w14:paraId="435551D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近年完成的类似项目情况的时间要求</w:t>
            </w:r>
          </w:p>
        </w:tc>
        <w:tc>
          <w:tcPr>
            <w:tcW w:w="5865" w:type="dxa"/>
            <w:tcBorders>
              <w:top w:val="single" w:color="auto" w:sz="4" w:space="0"/>
              <w:left w:val="single" w:color="auto" w:sz="4" w:space="0"/>
              <w:bottom w:val="single" w:color="auto" w:sz="4" w:space="0"/>
              <w:right w:val="single" w:color="auto" w:sz="4" w:space="0"/>
            </w:tcBorders>
            <w:vAlign w:val="center"/>
          </w:tcPr>
          <w:p w14:paraId="188E21D3">
            <w:pPr>
              <w:spacing w:line="360" w:lineRule="auto"/>
              <w:rPr>
                <w:rFonts w:hint="eastAsia" w:ascii="宋体" w:hAnsi="宋体" w:eastAsia="宋体" w:cs="宋体"/>
                <w:color w:val="auto"/>
                <w:szCs w:val="21"/>
              </w:rPr>
            </w:pPr>
            <w:r>
              <w:rPr>
                <w:rFonts w:hint="eastAsia" w:ascii="宋体" w:hAnsi="宋体" w:eastAsia="宋体" w:cs="宋体"/>
                <w:color w:val="auto"/>
              </w:rPr>
              <w:t>/</w:t>
            </w:r>
          </w:p>
        </w:tc>
      </w:tr>
      <w:tr w14:paraId="490806AD">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370B8C7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3.5.5</w:t>
            </w:r>
          </w:p>
        </w:tc>
        <w:tc>
          <w:tcPr>
            <w:tcW w:w="2292" w:type="dxa"/>
            <w:tcBorders>
              <w:top w:val="single" w:color="auto" w:sz="4" w:space="0"/>
              <w:left w:val="single" w:color="auto" w:sz="4" w:space="0"/>
              <w:bottom w:val="single" w:color="auto" w:sz="4" w:space="0"/>
              <w:right w:val="single" w:color="auto" w:sz="4" w:space="0"/>
            </w:tcBorders>
            <w:vAlign w:val="center"/>
          </w:tcPr>
          <w:p w14:paraId="325C6EC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近年发生的诉讼及仲裁情况的时间要求</w:t>
            </w:r>
          </w:p>
        </w:tc>
        <w:tc>
          <w:tcPr>
            <w:tcW w:w="5865" w:type="dxa"/>
            <w:tcBorders>
              <w:top w:val="single" w:color="auto" w:sz="4" w:space="0"/>
              <w:left w:val="single" w:color="auto" w:sz="4" w:space="0"/>
              <w:bottom w:val="single" w:color="auto" w:sz="4" w:space="0"/>
              <w:right w:val="single" w:color="auto" w:sz="4" w:space="0"/>
            </w:tcBorders>
            <w:vAlign w:val="center"/>
          </w:tcPr>
          <w:p w14:paraId="423BD6C8">
            <w:pPr>
              <w:spacing w:line="360" w:lineRule="auto"/>
              <w:rPr>
                <w:rFonts w:hint="eastAsia" w:ascii="宋体" w:hAnsi="宋体" w:eastAsia="宋体" w:cs="宋体"/>
                <w:color w:val="auto"/>
                <w:szCs w:val="21"/>
              </w:rPr>
            </w:pPr>
            <w:r>
              <w:rPr>
                <w:rFonts w:hint="eastAsia" w:ascii="宋体" w:hAnsi="宋体" w:eastAsia="宋体" w:cs="宋体"/>
                <w:color w:val="auto"/>
                <w:szCs w:val="21"/>
              </w:rPr>
              <w:t>/</w:t>
            </w:r>
          </w:p>
        </w:tc>
      </w:tr>
      <w:tr w14:paraId="5A5EB384">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21F286D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3.6.1</w:t>
            </w:r>
          </w:p>
        </w:tc>
        <w:tc>
          <w:tcPr>
            <w:tcW w:w="2292" w:type="dxa"/>
            <w:tcBorders>
              <w:top w:val="single" w:color="auto" w:sz="4" w:space="0"/>
              <w:left w:val="single" w:color="auto" w:sz="4" w:space="0"/>
              <w:bottom w:val="single" w:color="auto" w:sz="4" w:space="0"/>
              <w:right w:val="single" w:color="auto" w:sz="4" w:space="0"/>
            </w:tcBorders>
            <w:vAlign w:val="center"/>
          </w:tcPr>
          <w:p w14:paraId="4948CD1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是否允许递交备选投标方案</w:t>
            </w:r>
          </w:p>
        </w:tc>
        <w:tc>
          <w:tcPr>
            <w:tcW w:w="5865" w:type="dxa"/>
            <w:tcBorders>
              <w:top w:val="single" w:color="auto" w:sz="4" w:space="0"/>
              <w:left w:val="single" w:color="auto" w:sz="4" w:space="0"/>
              <w:bottom w:val="single" w:color="auto" w:sz="4" w:space="0"/>
              <w:right w:val="single" w:color="auto" w:sz="4" w:space="0"/>
            </w:tcBorders>
            <w:vAlign w:val="center"/>
          </w:tcPr>
          <w:p w14:paraId="372AD3B5">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■不允许</w:t>
            </w:r>
          </w:p>
          <w:p w14:paraId="4815EAE0">
            <w:pPr>
              <w:spacing w:line="360" w:lineRule="auto"/>
              <w:rPr>
                <w:rFonts w:hint="eastAsia" w:ascii="宋体" w:hAnsi="宋体" w:eastAsia="宋体" w:cs="宋体"/>
                <w:color w:val="auto"/>
                <w:szCs w:val="21"/>
              </w:rPr>
            </w:pPr>
            <w:r>
              <w:rPr>
                <w:rFonts w:hint="eastAsia" w:ascii="宋体" w:hAnsi="宋体" w:eastAsia="宋体" w:cs="宋体"/>
                <w:color w:val="auto"/>
                <w:szCs w:val="21"/>
              </w:rPr>
              <w:t>□允许</w:t>
            </w:r>
          </w:p>
        </w:tc>
      </w:tr>
      <w:tr w14:paraId="6264968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FC3478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3.7.3</w:t>
            </w:r>
          </w:p>
        </w:tc>
        <w:tc>
          <w:tcPr>
            <w:tcW w:w="2292" w:type="dxa"/>
            <w:tcBorders>
              <w:top w:val="single" w:color="auto" w:sz="4" w:space="0"/>
              <w:left w:val="single" w:color="auto" w:sz="4" w:space="0"/>
              <w:bottom w:val="single" w:color="auto" w:sz="4" w:space="0"/>
              <w:right w:val="single" w:color="auto" w:sz="4" w:space="0"/>
            </w:tcBorders>
            <w:vAlign w:val="center"/>
          </w:tcPr>
          <w:p w14:paraId="79B241D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投标文件所附证书证件要求</w:t>
            </w:r>
          </w:p>
        </w:tc>
        <w:tc>
          <w:tcPr>
            <w:tcW w:w="5865" w:type="dxa"/>
            <w:tcBorders>
              <w:top w:val="single" w:color="auto" w:sz="4" w:space="0"/>
              <w:left w:val="single" w:color="auto" w:sz="4" w:space="0"/>
              <w:bottom w:val="single" w:color="auto" w:sz="4" w:space="0"/>
              <w:right w:val="single" w:color="auto" w:sz="4" w:space="0"/>
            </w:tcBorders>
          </w:tcPr>
          <w:p w14:paraId="32BA5E51">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u w:val="single"/>
              </w:rPr>
              <w:t>证书证件需为清晰扫描件，并采用单位数字证书，按照招标文件要求在相应位置用单位数字证书加盖电子印章。</w:t>
            </w:r>
          </w:p>
        </w:tc>
      </w:tr>
      <w:tr w14:paraId="2EBA6F4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6D0E0C1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3.7.3</w:t>
            </w:r>
          </w:p>
        </w:tc>
        <w:tc>
          <w:tcPr>
            <w:tcW w:w="2292" w:type="dxa"/>
            <w:tcBorders>
              <w:top w:val="single" w:color="auto" w:sz="4" w:space="0"/>
              <w:left w:val="single" w:color="auto" w:sz="4" w:space="0"/>
              <w:bottom w:val="single" w:color="auto" w:sz="4" w:space="0"/>
              <w:right w:val="single" w:color="auto" w:sz="4" w:space="0"/>
            </w:tcBorders>
            <w:vAlign w:val="center"/>
          </w:tcPr>
          <w:p w14:paraId="1A7F023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投标文件签字或盖章要求</w:t>
            </w:r>
          </w:p>
        </w:tc>
        <w:tc>
          <w:tcPr>
            <w:tcW w:w="5865" w:type="dxa"/>
            <w:tcBorders>
              <w:top w:val="single" w:color="auto" w:sz="4" w:space="0"/>
              <w:left w:val="single" w:color="auto" w:sz="4" w:space="0"/>
              <w:bottom w:val="single" w:color="auto" w:sz="4" w:space="0"/>
              <w:right w:val="single" w:color="auto" w:sz="4" w:space="0"/>
            </w:tcBorders>
          </w:tcPr>
          <w:p w14:paraId="405A2768">
            <w:pPr>
              <w:spacing w:line="360" w:lineRule="auto"/>
              <w:jc w:val="left"/>
              <w:rPr>
                <w:rFonts w:hint="eastAsia" w:ascii="宋体" w:hAnsi="宋体" w:eastAsia="宋体" w:cs="宋体"/>
                <w:b/>
                <w:color w:val="auto"/>
                <w:szCs w:val="21"/>
                <w:u w:val="single"/>
              </w:rPr>
            </w:pPr>
            <w:r>
              <w:rPr>
                <w:rFonts w:hint="eastAsia" w:ascii="宋体" w:hAnsi="宋体" w:eastAsia="宋体" w:cs="宋体"/>
                <w:color w:val="auto"/>
                <w:szCs w:val="21"/>
              </w:rPr>
              <w:t>投标文件全部采用电子文档，投标文件所附证书证件均为原件彩色扫描件，并采用单位数字证书，按招标文件要求在相应位置加盖电子印章。投标文件中需个人签字或盖章的，</w:t>
            </w:r>
            <w:r>
              <w:rPr>
                <w:rFonts w:hint="eastAsia" w:ascii="宋体" w:hAnsi="宋体" w:eastAsia="宋体" w:cs="宋体"/>
                <w:color w:val="auto"/>
                <w:szCs w:val="21"/>
                <w:u w:val="single"/>
              </w:rPr>
              <w:t>应加盖个人电子印章或在线下完成后扫描上传</w:t>
            </w:r>
            <w:r>
              <w:rPr>
                <w:rFonts w:hint="eastAsia" w:ascii="宋体" w:hAnsi="宋体" w:eastAsia="宋体" w:cs="宋体"/>
                <w:color w:val="auto"/>
                <w:szCs w:val="21"/>
              </w:rPr>
              <w:t>。</w:t>
            </w:r>
          </w:p>
          <w:p w14:paraId="72A46211">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具体操作详见</w:t>
            </w:r>
            <w:r>
              <w:rPr>
                <w:rFonts w:hint="eastAsia" w:ascii="宋体" w:hAnsi="宋体" w:eastAsia="宋体" w:cs="宋体"/>
                <w:color w:val="auto"/>
                <w:szCs w:val="21"/>
                <w:u w:val="single"/>
              </w:rPr>
              <w:t>广州交易集团有限公司（广州公共资源交易中心）网站最新发布的操作指引。</w:t>
            </w:r>
          </w:p>
        </w:tc>
      </w:tr>
      <w:tr w14:paraId="6DB2757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E30F85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4.1.1</w:t>
            </w:r>
          </w:p>
        </w:tc>
        <w:tc>
          <w:tcPr>
            <w:tcW w:w="2292" w:type="dxa"/>
            <w:tcBorders>
              <w:top w:val="single" w:color="auto" w:sz="4" w:space="0"/>
              <w:left w:val="single" w:color="auto" w:sz="4" w:space="0"/>
              <w:bottom w:val="single" w:color="auto" w:sz="4" w:space="0"/>
              <w:right w:val="single" w:color="auto" w:sz="4" w:space="0"/>
            </w:tcBorders>
            <w:vAlign w:val="center"/>
          </w:tcPr>
          <w:p w14:paraId="1195A8B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投标文件加密要求</w:t>
            </w:r>
          </w:p>
        </w:tc>
        <w:tc>
          <w:tcPr>
            <w:tcW w:w="5865" w:type="dxa"/>
            <w:tcBorders>
              <w:top w:val="single" w:color="auto" w:sz="4" w:space="0"/>
              <w:left w:val="single" w:color="auto" w:sz="4" w:space="0"/>
              <w:bottom w:val="single" w:color="auto" w:sz="4" w:space="0"/>
              <w:right w:val="single" w:color="auto" w:sz="4" w:space="0"/>
            </w:tcBorders>
            <w:vAlign w:val="center"/>
          </w:tcPr>
          <w:p w14:paraId="78B228ED">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网上递交的电子投标文件须进行加密。具体操作详见</w:t>
            </w:r>
            <w:r>
              <w:rPr>
                <w:rFonts w:hint="eastAsia" w:ascii="宋体" w:hAnsi="宋体" w:eastAsia="宋体" w:cs="宋体"/>
                <w:color w:val="auto"/>
                <w:szCs w:val="21"/>
                <w:u w:val="single"/>
              </w:rPr>
              <w:t>广州交易集团有限公司（广州公共资源交易中心）网站最新发布的操作指引。</w:t>
            </w:r>
          </w:p>
        </w:tc>
      </w:tr>
      <w:tr w14:paraId="29757EE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288697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4.1.2</w:t>
            </w:r>
          </w:p>
        </w:tc>
        <w:tc>
          <w:tcPr>
            <w:tcW w:w="2292" w:type="dxa"/>
            <w:tcBorders>
              <w:top w:val="single" w:color="auto" w:sz="4" w:space="0"/>
              <w:left w:val="single" w:color="auto" w:sz="4" w:space="0"/>
              <w:bottom w:val="single" w:color="auto" w:sz="4" w:space="0"/>
              <w:right w:val="single" w:color="auto" w:sz="4" w:space="0"/>
            </w:tcBorders>
            <w:vAlign w:val="center"/>
          </w:tcPr>
          <w:p w14:paraId="0CB333E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封套上应载明的信息</w:t>
            </w:r>
          </w:p>
          <w:p w14:paraId="16AA7A28">
            <w:pPr>
              <w:spacing w:line="360" w:lineRule="auto"/>
              <w:jc w:val="center"/>
              <w:rPr>
                <w:rFonts w:hint="eastAsia" w:ascii="宋体" w:hAnsi="宋体" w:eastAsia="宋体" w:cs="宋体"/>
                <w:color w:val="auto"/>
                <w:szCs w:val="21"/>
                <w:shd w:val="clear" w:color="FFFFFF" w:fill="D9D9D9"/>
              </w:rPr>
            </w:pPr>
            <w:r>
              <w:rPr>
                <w:rFonts w:hint="eastAsia" w:ascii="宋体" w:hAnsi="宋体" w:eastAsia="宋体" w:cs="宋体"/>
                <w:color w:val="auto"/>
                <w:szCs w:val="21"/>
              </w:rPr>
              <w:t>（适用于提交备用光盘的情况）</w:t>
            </w:r>
          </w:p>
        </w:tc>
        <w:tc>
          <w:tcPr>
            <w:tcW w:w="5865" w:type="dxa"/>
            <w:tcBorders>
              <w:top w:val="single" w:color="auto" w:sz="4" w:space="0"/>
              <w:left w:val="single" w:color="auto" w:sz="4" w:space="0"/>
              <w:bottom w:val="single" w:color="auto" w:sz="4" w:space="0"/>
              <w:right w:val="single" w:color="auto" w:sz="4" w:space="0"/>
            </w:tcBorders>
            <w:vAlign w:val="center"/>
          </w:tcPr>
          <w:p w14:paraId="23031F05">
            <w:pPr>
              <w:topLinePunct/>
              <w:snapToGrid w:val="0"/>
              <w:spacing w:line="360" w:lineRule="auto"/>
              <w:ind w:right="174" w:rightChars="83"/>
              <w:rPr>
                <w:rFonts w:hint="eastAsia" w:ascii="宋体" w:hAnsi="宋体" w:eastAsia="宋体" w:cs="宋体"/>
                <w:color w:val="auto"/>
                <w:kern w:val="0"/>
                <w:szCs w:val="21"/>
              </w:rPr>
            </w:pPr>
            <w:r>
              <w:rPr>
                <w:rFonts w:hint="eastAsia" w:ascii="宋体" w:hAnsi="宋体" w:eastAsia="宋体" w:cs="宋体"/>
                <w:color w:val="auto"/>
                <w:kern w:val="0"/>
                <w:szCs w:val="21"/>
              </w:rPr>
              <w:t>如有提交投标文件光盘备用，封套上应注明如下信息：</w:t>
            </w:r>
          </w:p>
          <w:p w14:paraId="6948B5C3">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招标人名称：</w:t>
            </w:r>
            <w:r>
              <w:rPr>
                <w:rFonts w:hint="eastAsia" w:ascii="宋体" w:hAnsi="宋体" w:eastAsia="宋体" w:cs="宋体"/>
                <w:color w:val="auto"/>
                <w:szCs w:val="21"/>
                <w:u w:val="single"/>
              </w:rPr>
              <w:t>广州锦泷房地产开发有限公司</w:t>
            </w:r>
          </w:p>
          <w:p w14:paraId="54BD7FDD">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天河区金融城东区AT091415、AT091417地块工程监理</w:t>
            </w:r>
            <w:r>
              <w:rPr>
                <w:rFonts w:hint="eastAsia" w:ascii="宋体" w:hAnsi="宋体" w:eastAsia="宋体" w:cs="宋体"/>
                <w:color w:val="auto"/>
                <w:szCs w:val="21"/>
              </w:rPr>
              <w:t>投标文件备用光盘</w:t>
            </w:r>
          </w:p>
          <w:p w14:paraId="0E1A5E5E">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招标项目编号：</w:t>
            </w:r>
            <w:r>
              <w:rPr>
                <w:rFonts w:hint="eastAsia" w:ascii="宋体" w:hAnsi="宋体" w:eastAsia="宋体" w:cs="宋体"/>
                <w:color w:val="auto"/>
                <w:sz w:val="21"/>
                <w:szCs w:val="21"/>
                <w:u w:val="single"/>
              </w:rPr>
              <w:t xml:space="preserve">             </w:t>
            </w:r>
          </w:p>
          <w:p w14:paraId="6EEAC1C5">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分前不得开启（填入开标时间）</w:t>
            </w:r>
          </w:p>
        </w:tc>
      </w:tr>
      <w:tr w14:paraId="0FBC83F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8CF33E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4.2.1</w:t>
            </w:r>
          </w:p>
        </w:tc>
        <w:tc>
          <w:tcPr>
            <w:tcW w:w="2292" w:type="dxa"/>
            <w:tcBorders>
              <w:top w:val="single" w:color="auto" w:sz="4" w:space="0"/>
              <w:left w:val="single" w:color="auto" w:sz="4" w:space="0"/>
              <w:bottom w:val="single" w:color="auto" w:sz="4" w:space="0"/>
              <w:right w:val="single" w:color="auto" w:sz="4" w:space="0"/>
            </w:tcBorders>
            <w:vAlign w:val="center"/>
          </w:tcPr>
          <w:p w14:paraId="17FE534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投标截止时间</w:t>
            </w:r>
          </w:p>
        </w:tc>
        <w:tc>
          <w:tcPr>
            <w:tcW w:w="5865" w:type="dxa"/>
            <w:tcBorders>
              <w:top w:val="single" w:color="auto" w:sz="4" w:space="0"/>
              <w:left w:val="single" w:color="auto" w:sz="4" w:space="0"/>
              <w:bottom w:val="single" w:color="auto" w:sz="4" w:space="0"/>
              <w:right w:val="single" w:color="auto" w:sz="4" w:space="0"/>
            </w:tcBorders>
            <w:vAlign w:val="center"/>
          </w:tcPr>
          <w:p w14:paraId="1D87985F">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详见招标公告。</w:t>
            </w:r>
          </w:p>
        </w:tc>
      </w:tr>
      <w:tr w14:paraId="35D7176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4273284">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4.2.2</w:t>
            </w:r>
          </w:p>
        </w:tc>
        <w:tc>
          <w:tcPr>
            <w:tcW w:w="2292" w:type="dxa"/>
            <w:tcBorders>
              <w:top w:val="single" w:color="auto" w:sz="4" w:space="0"/>
              <w:left w:val="single" w:color="auto" w:sz="4" w:space="0"/>
              <w:bottom w:val="single" w:color="auto" w:sz="4" w:space="0"/>
              <w:right w:val="single" w:color="auto" w:sz="4" w:space="0"/>
            </w:tcBorders>
            <w:vAlign w:val="center"/>
          </w:tcPr>
          <w:p w14:paraId="06099611">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递交投标文件地点</w:t>
            </w:r>
          </w:p>
        </w:tc>
        <w:tc>
          <w:tcPr>
            <w:tcW w:w="5865" w:type="dxa"/>
            <w:tcBorders>
              <w:top w:val="single" w:color="auto" w:sz="4" w:space="0"/>
              <w:left w:val="single" w:color="auto" w:sz="4" w:space="0"/>
              <w:bottom w:val="single" w:color="auto" w:sz="4" w:space="0"/>
              <w:right w:val="single" w:color="auto" w:sz="4" w:space="0"/>
            </w:tcBorders>
            <w:vAlign w:val="center"/>
          </w:tcPr>
          <w:p w14:paraId="5444BDE4">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1.递交方式：网上递交投标文件。</w:t>
            </w:r>
          </w:p>
          <w:p w14:paraId="5274E3D5">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2.地点：广州交易集团有限公司（广州公共资源交易中心）网站。 </w:t>
            </w:r>
          </w:p>
          <w:p w14:paraId="4CA7D1E4">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3.上述时间及地点是否有改变， 请密切留意招标答疑纪要的相关信息。</w:t>
            </w:r>
          </w:p>
        </w:tc>
      </w:tr>
      <w:tr w14:paraId="457B1B57">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78D9ED6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4.2.3</w:t>
            </w:r>
          </w:p>
        </w:tc>
        <w:tc>
          <w:tcPr>
            <w:tcW w:w="2292" w:type="dxa"/>
            <w:tcBorders>
              <w:top w:val="single" w:color="auto" w:sz="4" w:space="0"/>
              <w:left w:val="single" w:color="auto" w:sz="4" w:space="0"/>
              <w:bottom w:val="single" w:color="auto" w:sz="4" w:space="0"/>
              <w:right w:val="single" w:color="auto" w:sz="4" w:space="0"/>
            </w:tcBorders>
            <w:vAlign w:val="center"/>
          </w:tcPr>
          <w:p w14:paraId="519B49A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投标文件是否退还</w:t>
            </w:r>
          </w:p>
        </w:tc>
        <w:tc>
          <w:tcPr>
            <w:tcW w:w="5865" w:type="dxa"/>
            <w:tcBorders>
              <w:top w:val="single" w:color="auto" w:sz="4" w:space="0"/>
              <w:left w:val="single" w:color="auto" w:sz="4" w:space="0"/>
              <w:bottom w:val="single" w:color="auto" w:sz="4" w:space="0"/>
              <w:right w:val="single" w:color="auto" w:sz="4" w:space="0"/>
            </w:tcBorders>
            <w:vAlign w:val="center"/>
          </w:tcPr>
          <w:p w14:paraId="73799DCB">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■否</w:t>
            </w:r>
          </w:p>
          <w:p w14:paraId="0BCE5B50">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□是，退还时间：/</w:t>
            </w:r>
          </w:p>
        </w:tc>
      </w:tr>
      <w:tr w14:paraId="649E1204">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7554BA7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5.1</w:t>
            </w:r>
          </w:p>
        </w:tc>
        <w:tc>
          <w:tcPr>
            <w:tcW w:w="2292" w:type="dxa"/>
            <w:tcBorders>
              <w:top w:val="single" w:color="auto" w:sz="4" w:space="0"/>
              <w:left w:val="single" w:color="auto" w:sz="4" w:space="0"/>
              <w:bottom w:val="single" w:color="auto" w:sz="4" w:space="0"/>
              <w:right w:val="single" w:color="auto" w:sz="4" w:space="0"/>
            </w:tcBorders>
            <w:vAlign w:val="center"/>
          </w:tcPr>
          <w:p w14:paraId="532F3FE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开标时间和地点</w:t>
            </w:r>
          </w:p>
        </w:tc>
        <w:tc>
          <w:tcPr>
            <w:tcW w:w="5865" w:type="dxa"/>
            <w:tcBorders>
              <w:top w:val="single" w:color="auto" w:sz="4" w:space="0"/>
              <w:left w:val="single" w:color="auto" w:sz="4" w:space="0"/>
              <w:bottom w:val="single" w:color="auto" w:sz="4" w:space="0"/>
              <w:right w:val="single" w:color="auto" w:sz="4" w:space="0"/>
            </w:tcBorders>
            <w:vAlign w:val="center"/>
          </w:tcPr>
          <w:p w14:paraId="527D8EE8">
            <w:pPr>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eastAsia="宋体" w:cs="宋体"/>
                <w:color w:val="auto"/>
                <w:kern w:val="0"/>
                <w:szCs w:val="21"/>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5C15A0F">
            <w:pPr>
              <w:spacing w:line="360" w:lineRule="auto"/>
              <w:rPr>
                <w:rFonts w:hint="eastAsia" w:ascii="宋体" w:hAnsi="宋体" w:eastAsia="宋体" w:cs="宋体"/>
                <w:color w:val="auto"/>
                <w:szCs w:val="21"/>
              </w:rPr>
            </w:pPr>
            <w:r>
              <w:rPr>
                <w:rFonts w:hint="eastAsia" w:ascii="宋体" w:hAnsi="宋体" w:eastAsia="宋体" w:cs="宋体"/>
                <w:b/>
                <w:color w:val="auto"/>
                <w:szCs w:val="21"/>
              </w:rPr>
              <w:t>具体时间、地点可以到广州交易集团有限公司（广州公共资源交易中心）网站的项目查询(日程安排、答疑纪要)中输入本项目编号或项目名称进行查询。</w:t>
            </w:r>
          </w:p>
        </w:tc>
      </w:tr>
      <w:tr w14:paraId="20C38232">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14:paraId="1BE7C55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5.2</w:t>
            </w:r>
          </w:p>
        </w:tc>
        <w:tc>
          <w:tcPr>
            <w:tcW w:w="2292" w:type="dxa"/>
            <w:tcBorders>
              <w:top w:val="single" w:color="auto" w:sz="4" w:space="0"/>
              <w:left w:val="single" w:color="auto" w:sz="4" w:space="0"/>
              <w:bottom w:val="single" w:color="auto" w:sz="4" w:space="0"/>
              <w:right w:val="single" w:color="auto" w:sz="4" w:space="0"/>
            </w:tcBorders>
            <w:vAlign w:val="center"/>
          </w:tcPr>
          <w:p w14:paraId="19A582C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电子招投标开标程序</w:t>
            </w:r>
          </w:p>
        </w:tc>
        <w:tc>
          <w:tcPr>
            <w:tcW w:w="5865" w:type="dxa"/>
            <w:tcBorders>
              <w:top w:val="single" w:color="auto" w:sz="4" w:space="0"/>
              <w:left w:val="single" w:color="auto" w:sz="4" w:space="0"/>
              <w:bottom w:val="single" w:color="auto" w:sz="4" w:space="0"/>
              <w:right w:val="single" w:color="auto" w:sz="4" w:space="0"/>
            </w:tcBorders>
            <w:vAlign w:val="center"/>
          </w:tcPr>
          <w:p w14:paraId="281326BB">
            <w:pPr>
              <w:spacing w:line="360" w:lineRule="auto"/>
              <w:rPr>
                <w:rFonts w:hint="eastAsia" w:ascii="宋体" w:hAnsi="宋体" w:eastAsia="宋体" w:cs="宋体"/>
                <w:color w:val="auto"/>
                <w:szCs w:val="21"/>
              </w:rPr>
            </w:pPr>
            <w:r>
              <w:rPr>
                <w:rFonts w:hint="eastAsia" w:ascii="宋体" w:hAnsi="宋体" w:eastAsia="宋体" w:cs="宋体"/>
                <w:color w:val="auto"/>
                <w:szCs w:val="21"/>
              </w:rPr>
              <w:t>5.2.1主持人按下列程序进行开标：</w:t>
            </w:r>
          </w:p>
          <w:p w14:paraId="5896EC91">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（1）宣布开标纪律；</w:t>
            </w:r>
          </w:p>
          <w:p w14:paraId="64375F20">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（2）投标人通过电子招标投标交易平台对已递交的电子投标文件进行解密；</w:t>
            </w:r>
          </w:p>
          <w:p w14:paraId="69063731">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（3）投标人完成解密后，再由招标人或招标代理机构进行解密；</w:t>
            </w:r>
          </w:p>
          <w:p w14:paraId="474F8B38">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（4）解密完成后，公布招标项目名称、投标人名称、投标报价、监理服务期限及其他内容，并记录在案；</w:t>
            </w:r>
          </w:p>
          <w:p w14:paraId="4656ED3D">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（5）投标人代表、招标人代表、监标人、记录人等有关人员在开标记录上签字确认；若有关人员不签字的，不影响开标程序；</w:t>
            </w:r>
          </w:p>
          <w:p w14:paraId="64509DD0">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（6）开标结束。</w:t>
            </w:r>
          </w:p>
          <w:p w14:paraId="0992DC8A">
            <w:pPr>
              <w:spacing w:line="360" w:lineRule="auto"/>
              <w:rPr>
                <w:rFonts w:hint="eastAsia" w:ascii="宋体" w:hAnsi="宋体" w:eastAsia="宋体" w:cs="宋体"/>
                <w:color w:val="auto"/>
                <w:szCs w:val="21"/>
              </w:rPr>
            </w:pPr>
            <w:r>
              <w:rPr>
                <w:rFonts w:hint="eastAsia" w:ascii="宋体" w:hAnsi="宋体" w:eastAsia="宋体" w:cs="宋体"/>
                <w:color w:val="auto"/>
                <w:szCs w:val="21"/>
              </w:rPr>
              <w:t>5.2.2投标截止时间前未完成投标文件传输的或因投标人之外的原因（如：网络瘫痪、服务器损坏、交易系统故障短期无法恢复等因素）造成投标文件未解密的，视为投标人撤回投标文件。因投标人原因造成投标文件未解密的或未在投标截止时间后</w:t>
            </w:r>
            <w:r>
              <w:rPr>
                <w:rFonts w:hint="eastAsia" w:ascii="宋体" w:hAnsi="宋体" w:eastAsia="宋体" w:cs="宋体"/>
                <w:b/>
                <w:color w:val="auto"/>
                <w:szCs w:val="21"/>
                <w:u w:val="single"/>
              </w:rPr>
              <w:t>一小时内</w:t>
            </w:r>
            <w:r>
              <w:rPr>
                <w:rFonts w:hint="eastAsia" w:ascii="宋体" w:hAnsi="宋体" w:eastAsia="宋体" w:cs="宋体"/>
                <w:color w:val="auto"/>
                <w:szCs w:val="21"/>
              </w:rPr>
              <w:t>解密的且未提交备用光盘（或U盘）的，视为撤销其投标文件。</w:t>
            </w:r>
          </w:p>
          <w:p w14:paraId="5889829E">
            <w:pPr>
              <w:spacing w:line="360" w:lineRule="auto"/>
              <w:rPr>
                <w:rFonts w:hint="eastAsia" w:ascii="宋体" w:hAnsi="宋体" w:eastAsia="宋体" w:cs="宋体"/>
                <w:bCs/>
                <w:color w:val="auto"/>
                <w:szCs w:val="21"/>
                <w:u w:val="single"/>
              </w:rPr>
            </w:pPr>
            <w:r>
              <w:rPr>
                <w:rFonts w:hint="eastAsia" w:ascii="宋体" w:hAnsi="宋体" w:eastAsia="宋体" w:cs="宋体"/>
                <w:bCs/>
                <w:color w:val="auto"/>
                <w:szCs w:val="21"/>
                <w:u w:val="single"/>
              </w:rPr>
              <w:t>5.2.3开标时，出现下列情形之一的，不参与资格审查和评标：</w:t>
            </w:r>
          </w:p>
          <w:p w14:paraId="5BD2B096">
            <w:pPr>
              <w:spacing w:line="360" w:lineRule="auto"/>
              <w:rPr>
                <w:rFonts w:hint="eastAsia" w:ascii="宋体" w:hAnsi="宋体" w:eastAsia="宋体" w:cs="宋体"/>
                <w:bCs/>
                <w:color w:val="auto"/>
                <w:szCs w:val="21"/>
                <w:u w:val="single"/>
              </w:rPr>
            </w:pPr>
            <w:r>
              <w:rPr>
                <w:rFonts w:hint="eastAsia" w:ascii="宋体" w:hAnsi="宋体" w:eastAsia="宋体" w:cs="宋体"/>
                <w:bCs/>
                <w:color w:val="auto"/>
                <w:szCs w:val="21"/>
                <w:u w:val="single"/>
              </w:rPr>
              <w:t>（1）未成功递交投标文件的。</w:t>
            </w:r>
          </w:p>
          <w:p w14:paraId="1322F7B7">
            <w:pPr>
              <w:spacing w:line="360" w:lineRule="auto"/>
              <w:rPr>
                <w:rFonts w:hint="eastAsia" w:ascii="宋体" w:hAnsi="宋体" w:eastAsia="宋体" w:cs="宋体"/>
                <w:bCs/>
                <w:color w:val="auto"/>
                <w:szCs w:val="21"/>
                <w:u w:val="single"/>
              </w:rPr>
            </w:pPr>
            <w:r>
              <w:rPr>
                <w:rFonts w:hint="eastAsia" w:ascii="宋体" w:hAnsi="宋体" w:eastAsia="宋体" w:cs="宋体"/>
                <w:bCs/>
                <w:color w:val="auto"/>
                <w:szCs w:val="21"/>
                <w:u w:val="single"/>
              </w:rPr>
              <w:t>（2）因投标人原因造成投标文件未解密的。</w:t>
            </w:r>
          </w:p>
          <w:p w14:paraId="6CB6B0CE">
            <w:pPr>
              <w:spacing w:line="360" w:lineRule="auto"/>
              <w:rPr>
                <w:rFonts w:hint="eastAsia" w:ascii="宋体" w:hAnsi="宋体" w:eastAsia="宋体" w:cs="宋体"/>
                <w:color w:val="auto"/>
                <w:szCs w:val="21"/>
              </w:rPr>
            </w:pPr>
            <w:r>
              <w:rPr>
                <w:rFonts w:hint="eastAsia" w:ascii="宋体" w:hAnsi="宋体" w:eastAsia="宋体" w:cs="宋体"/>
                <w:bCs/>
                <w:color w:val="auto"/>
                <w:szCs w:val="21"/>
                <w:u w:val="single"/>
              </w:rPr>
              <w:t>5.2.4开标时，两个（含两个）以上的投标人加密打包投标文件电脑机器特征码一致的，不参与下一程序，并由评标委员会否决其投标。</w:t>
            </w:r>
          </w:p>
        </w:tc>
      </w:tr>
      <w:tr w14:paraId="3B2A77C7">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761BA4B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6.1.1</w:t>
            </w:r>
          </w:p>
        </w:tc>
        <w:tc>
          <w:tcPr>
            <w:tcW w:w="2292" w:type="dxa"/>
            <w:tcBorders>
              <w:top w:val="single" w:color="auto" w:sz="4" w:space="0"/>
              <w:left w:val="single" w:color="auto" w:sz="4" w:space="0"/>
              <w:bottom w:val="single" w:color="auto" w:sz="4" w:space="0"/>
              <w:right w:val="single" w:color="auto" w:sz="4" w:space="0"/>
            </w:tcBorders>
            <w:vAlign w:val="center"/>
          </w:tcPr>
          <w:p w14:paraId="1C4F85C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评标委员会的组建</w:t>
            </w:r>
          </w:p>
        </w:tc>
        <w:tc>
          <w:tcPr>
            <w:tcW w:w="5865" w:type="dxa"/>
            <w:tcBorders>
              <w:top w:val="single" w:color="auto" w:sz="4" w:space="0"/>
              <w:left w:val="single" w:color="auto" w:sz="4" w:space="0"/>
              <w:bottom w:val="single" w:color="auto" w:sz="4" w:space="0"/>
              <w:right w:val="single" w:color="auto" w:sz="4" w:space="0"/>
            </w:tcBorders>
            <w:vAlign w:val="center"/>
          </w:tcPr>
          <w:p w14:paraId="66E7D9AD">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u w:val="single"/>
              </w:rPr>
              <w:t>由招标人依法组建。</w:t>
            </w:r>
          </w:p>
        </w:tc>
      </w:tr>
      <w:tr w14:paraId="6E5B4004">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2D22E4A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6.3.2</w:t>
            </w:r>
          </w:p>
        </w:tc>
        <w:tc>
          <w:tcPr>
            <w:tcW w:w="2292" w:type="dxa"/>
            <w:tcBorders>
              <w:top w:val="single" w:color="auto" w:sz="4" w:space="0"/>
              <w:left w:val="single" w:color="auto" w:sz="4" w:space="0"/>
              <w:bottom w:val="single" w:color="auto" w:sz="4" w:space="0"/>
              <w:right w:val="single" w:color="auto" w:sz="4" w:space="0"/>
            </w:tcBorders>
            <w:vAlign w:val="center"/>
          </w:tcPr>
          <w:p w14:paraId="52B7004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评标委员会推荐中标候选人的人数</w:t>
            </w:r>
          </w:p>
        </w:tc>
        <w:tc>
          <w:tcPr>
            <w:tcW w:w="5865" w:type="dxa"/>
            <w:tcBorders>
              <w:top w:val="single" w:color="auto" w:sz="4" w:space="0"/>
              <w:left w:val="single" w:color="auto" w:sz="4" w:space="0"/>
              <w:bottom w:val="single" w:color="auto" w:sz="4" w:space="0"/>
              <w:right w:val="single" w:color="auto" w:sz="4" w:space="0"/>
            </w:tcBorders>
            <w:vAlign w:val="center"/>
          </w:tcPr>
          <w:p w14:paraId="3CC23379">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所有通过初步评审</w:t>
            </w:r>
            <w:r>
              <w:rPr>
                <w:rFonts w:hint="eastAsia" w:ascii="宋体" w:hAnsi="宋体" w:eastAsia="宋体" w:cs="宋体"/>
                <w:color w:val="auto"/>
                <w:u w:val="single"/>
              </w:rPr>
              <w:t>（形式评审、资格评审、响应性评审）的</w:t>
            </w:r>
            <w:r>
              <w:rPr>
                <w:rFonts w:hint="eastAsia" w:ascii="宋体" w:hAnsi="宋体" w:eastAsia="宋体" w:cs="宋体"/>
                <w:color w:val="auto"/>
                <w:szCs w:val="21"/>
                <w:u w:val="single"/>
              </w:rPr>
              <w:t>投标人全部被推荐为合格的中标候选人，进入定标阶段</w:t>
            </w:r>
            <w:r>
              <w:rPr>
                <w:rFonts w:hint="eastAsia" w:ascii="宋体" w:hAnsi="宋体" w:eastAsia="宋体" w:cs="宋体"/>
                <w:color w:val="auto"/>
                <w:u w:val="single"/>
              </w:rPr>
              <w:t>【不排序，按其统一社会信用代码后4位（除校验码外）大小进行排位】</w:t>
            </w:r>
            <w:r>
              <w:rPr>
                <w:rFonts w:hint="eastAsia" w:ascii="宋体" w:hAnsi="宋体" w:eastAsia="宋体" w:cs="宋体"/>
                <w:color w:val="auto"/>
                <w:szCs w:val="21"/>
                <w:u w:val="single"/>
              </w:rPr>
              <w:t>。</w:t>
            </w:r>
            <w:r>
              <w:rPr>
                <w:rFonts w:hint="eastAsia" w:ascii="宋体" w:hAnsi="宋体" w:eastAsia="宋体" w:cs="宋体"/>
                <w:color w:val="auto"/>
                <w:u w:val="single"/>
              </w:rPr>
              <w:t>合格的中标候选人少于3家的，应当重新招标。</w:t>
            </w:r>
          </w:p>
        </w:tc>
      </w:tr>
      <w:tr w14:paraId="0FAAA3B1">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66E9DCB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7.1</w:t>
            </w:r>
          </w:p>
        </w:tc>
        <w:tc>
          <w:tcPr>
            <w:tcW w:w="2292" w:type="dxa"/>
            <w:tcBorders>
              <w:top w:val="single" w:color="auto" w:sz="4" w:space="0"/>
              <w:left w:val="single" w:color="auto" w:sz="4" w:space="0"/>
              <w:bottom w:val="single" w:color="auto" w:sz="4" w:space="0"/>
              <w:right w:val="single" w:color="auto" w:sz="4" w:space="0"/>
            </w:tcBorders>
            <w:vAlign w:val="center"/>
          </w:tcPr>
          <w:p w14:paraId="4EEF239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中标候选人公示媒介及期限</w:t>
            </w:r>
          </w:p>
        </w:tc>
        <w:tc>
          <w:tcPr>
            <w:tcW w:w="5865" w:type="dxa"/>
            <w:tcBorders>
              <w:top w:val="single" w:color="auto" w:sz="4" w:space="0"/>
              <w:left w:val="single" w:color="auto" w:sz="4" w:space="0"/>
              <w:bottom w:val="single" w:color="auto" w:sz="4" w:space="0"/>
              <w:right w:val="single" w:color="auto" w:sz="4" w:space="0"/>
            </w:tcBorders>
            <w:vAlign w:val="center"/>
          </w:tcPr>
          <w:p w14:paraId="60A47170">
            <w:pPr>
              <w:spacing w:line="360" w:lineRule="auto"/>
              <w:rPr>
                <w:rFonts w:hint="eastAsia" w:ascii="宋体" w:hAnsi="宋体" w:eastAsia="宋体" w:cs="宋体"/>
                <w:color w:val="auto"/>
                <w:szCs w:val="21"/>
              </w:rPr>
            </w:pPr>
            <w:r>
              <w:rPr>
                <w:rFonts w:hint="eastAsia" w:ascii="宋体" w:hAnsi="宋体" w:eastAsia="宋体" w:cs="宋体"/>
                <w:color w:val="auto"/>
                <w:szCs w:val="21"/>
              </w:rPr>
              <w:t>公示媒介：</w:t>
            </w:r>
            <w:r>
              <w:rPr>
                <w:rFonts w:hint="eastAsia" w:ascii="宋体" w:hAnsi="宋体" w:eastAsia="宋体" w:cs="宋体"/>
                <w:color w:val="auto"/>
                <w:kern w:val="0"/>
                <w:szCs w:val="21"/>
                <w:u w:val="single"/>
              </w:rPr>
              <w:t>广州交易集团有限公司（广州公共资源交易中心）网站、中国招标投标公共服务平台、广东省招标投标监管网及广州国企阳光采购信息发布平台。</w:t>
            </w:r>
          </w:p>
          <w:p w14:paraId="7DB7E7DC">
            <w:pPr>
              <w:spacing w:line="360" w:lineRule="auto"/>
              <w:rPr>
                <w:rFonts w:hint="eastAsia" w:ascii="宋体" w:hAnsi="宋体" w:eastAsia="宋体" w:cs="宋体"/>
                <w:color w:val="auto"/>
                <w:szCs w:val="21"/>
              </w:rPr>
            </w:pPr>
            <w:r>
              <w:rPr>
                <w:rFonts w:hint="eastAsia" w:ascii="宋体" w:hAnsi="宋体" w:eastAsia="宋体" w:cs="宋体"/>
                <w:color w:val="auto"/>
                <w:szCs w:val="21"/>
              </w:rPr>
              <w:t>公示期限：</w:t>
            </w:r>
            <w:r>
              <w:rPr>
                <w:rFonts w:hint="eastAsia" w:ascii="宋体" w:hAnsi="宋体" w:eastAsia="宋体" w:cs="宋体"/>
                <w:color w:val="auto"/>
                <w:szCs w:val="21"/>
                <w:u w:val="single"/>
              </w:rPr>
              <w:t xml:space="preserve"> 3 </w:t>
            </w:r>
            <w:r>
              <w:rPr>
                <w:rFonts w:hint="eastAsia" w:ascii="宋体" w:hAnsi="宋体" w:eastAsia="宋体" w:cs="宋体"/>
                <w:color w:val="auto"/>
                <w:szCs w:val="21"/>
              </w:rPr>
              <w:t>日，公示结束日为工作日。</w:t>
            </w:r>
          </w:p>
        </w:tc>
      </w:tr>
      <w:tr w14:paraId="7B9B7595">
        <w:tblPrEx>
          <w:tblCellMar>
            <w:top w:w="0" w:type="dxa"/>
            <w:left w:w="108" w:type="dxa"/>
            <w:bottom w:w="0" w:type="dxa"/>
            <w:right w:w="108" w:type="dxa"/>
          </w:tblCellMar>
        </w:tblPrEx>
        <w:trPr>
          <w:trHeight w:val="404" w:hRule="atLeast"/>
        </w:trPr>
        <w:tc>
          <w:tcPr>
            <w:tcW w:w="1165" w:type="dxa"/>
            <w:tcBorders>
              <w:top w:val="single" w:color="auto" w:sz="4" w:space="0"/>
              <w:left w:val="single" w:color="auto" w:sz="4" w:space="0"/>
              <w:bottom w:val="single" w:color="auto" w:sz="4" w:space="0"/>
              <w:right w:val="single" w:color="auto" w:sz="4" w:space="0"/>
            </w:tcBorders>
            <w:vAlign w:val="center"/>
          </w:tcPr>
          <w:p w14:paraId="19D0B7B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7.4</w:t>
            </w:r>
          </w:p>
        </w:tc>
        <w:tc>
          <w:tcPr>
            <w:tcW w:w="2292" w:type="dxa"/>
            <w:tcBorders>
              <w:top w:val="single" w:color="auto" w:sz="4" w:space="0"/>
              <w:left w:val="single" w:color="auto" w:sz="4" w:space="0"/>
              <w:bottom w:val="single" w:color="auto" w:sz="4" w:space="0"/>
              <w:right w:val="single" w:color="auto" w:sz="4" w:space="0"/>
            </w:tcBorders>
            <w:vAlign w:val="center"/>
          </w:tcPr>
          <w:p w14:paraId="55C476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定标</w:t>
            </w:r>
          </w:p>
        </w:tc>
        <w:tc>
          <w:tcPr>
            <w:tcW w:w="5865" w:type="dxa"/>
            <w:tcBorders>
              <w:top w:val="single" w:color="auto" w:sz="4" w:space="0"/>
              <w:left w:val="single" w:color="auto" w:sz="4" w:space="0"/>
              <w:bottom w:val="single" w:color="auto" w:sz="4" w:space="0"/>
              <w:right w:val="single" w:color="auto" w:sz="4" w:space="0"/>
            </w:tcBorders>
            <w:vAlign w:val="center"/>
          </w:tcPr>
          <w:p w14:paraId="4F55BABE">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（1）定标工作由招标人依法组建的定标委员会负责。</w:t>
            </w:r>
          </w:p>
          <w:p w14:paraId="26FFB9EB">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（2）定标委员会按照第三章评标办法（“评定分离”定标办法）规定的定标方法、标准和程序，在评标委员会向招标人推荐的合格的中标候选人中，采用直接票决定标法“记名投票+撰写评语”方式确定中标人。</w:t>
            </w:r>
          </w:p>
          <w:p w14:paraId="48B66B99">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（3）招标人应当在定标工作完成后的3日内公示中标结果。公示内容包括：定标时间、所有合格的中标候选人的评审结果或票数及理由、中标人等内容。</w:t>
            </w:r>
          </w:p>
          <w:p w14:paraId="774375BD">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（4）定标后出现中标人不符合法定情形的，招标人可从其他合格的中标候选人中采用原定标办法，由原定标委员会确定中标人，也可以重新招标。</w:t>
            </w:r>
          </w:p>
        </w:tc>
      </w:tr>
      <w:tr w14:paraId="20A7BFF7">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7D82B6D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7.6.1</w:t>
            </w:r>
          </w:p>
        </w:tc>
        <w:tc>
          <w:tcPr>
            <w:tcW w:w="2292" w:type="dxa"/>
            <w:tcBorders>
              <w:top w:val="single" w:color="auto" w:sz="4" w:space="0"/>
              <w:left w:val="single" w:color="auto" w:sz="4" w:space="0"/>
              <w:bottom w:val="single" w:color="auto" w:sz="4" w:space="0"/>
              <w:right w:val="single" w:color="auto" w:sz="4" w:space="0"/>
            </w:tcBorders>
            <w:vAlign w:val="center"/>
          </w:tcPr>
          <w:p w14:paraId="7AE6DF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履约保证金</w:t>
            </w:r>
          </w:p>
        </w:tc>
        <w:tc>
          <w:tcPr>
            <w:tcW w:w="5865" w:type="dxa"/>
            <w:tcBorders>
              <w:top w:val="single" w:color="auto" w:sz="4" w:space="0"/>
              <w:left w:val="single" w:color="auto" w:sz="4" w:space="0"/>
              <w:bottom w:val="single" w:color="auto" w:sz="4" w:space="0"/>
              <w:right w:val="single" w:color="auto" w:sz="4" w:space="0"/>
            </w:tcBorders>
            <w:vAlign w:val="center"/>
          </w:tcPr>
          <w:p w14:paraId="167152AB">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是否要求中标人提交履约保证金：</w:t>
            </w:r>
          </w:p>
          <w:p w14:paraId="76ACC025">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Cs w:val="21"/>
              </w:rPr>
              <w:t>□</w:t>
            </w:r>
            <w:r>
              <w:rPr>
                <w:rFonts w:hint="eastAsia" w:ascii="宋体" w:hAnsi="宋体" w:eastAsia="宋体" w:cs="宋体"/>
                <w:color w:val="auto"/>
                <w:sz w:val="21"/>
                <w:szCs w:val="21"/>
              </w:rPr>
              <w:t>要求，履约保证金的形式：</w:t>
            </w:r>
            <w:r>
              <w:rPr>
                <w:rFonts w:hint="eastAsia" w:ascii="宋体" w:hAnsi="宋体" w:eastAsia="宋体" w:cs="宋体"/>
                <w:color w:val="auto"/>
                <w:sz w:val="21"/>
                <w:szCs w:val="21"/>
                <w:u w:val="single"/>
              </w:rPr>
              <w:t>/</w:t>
            </w:r>
          </w:p>
          <w:p w14:paraId="431C3468">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履约保证金的金额：</w:t>
            </w:r>
            <w:r>
              <w:rPr>
                <w:rFonts w:hint="eastAsia" w:ascii="宋体" w:hAnsi="宋体" w:eastAsia="宋体" w:cs="宋体"/>
                <w:color w:val="auto"/>
                <w:szCs w:val="21"/>
                <w:u w:val="single"/>
              </w:rPr>
              <w:t>/</w:t>
            </w:r>
          </w:p>
          <w:p w14:paraId="6D149D92">
            <w:pPr>
              <w:pStyle w:val="18"/>
              <w:topLinePunct/>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■不要求</w:t>
            </w:r>
          </w:p>
        </w:tc>
      </w:tr>
      <w:tr w14:paraId="02945E40">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5DD7FCC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92" w:type="dxa"/>
            <w:tcBorders>
              <w:top w:val="single" w:color="auto" w:sz="4" w:space="0"/>
              <w:left w:val="single" w:color="auto" w:sz="4" w:space="0"/>
              <w:bottom w:val="single" w:color="auto" w:sz="4" w:space="0"/>
              <w:right w:val="single" w:color="auto" w:sz="4" w:space="0"/>
            </w:tcBorders>
            <w:vAlign w:val="center"/>
          </w:tcPr>
          <w:p w14:paraId="5650369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是否采用电子招标投标</w:t>
            </w:r>
          </w:p>
        </w:tc>
        <w:tc>
          <w:tcPr>
            <w:tcW w:w="5865" w:type="dxa"/>
            <w:tcBorders>
              <w:top w:val="single" w:color="auto" w:sz="4" w:space="0"/>
              <w:left w:val="single" w:color="auto" w:sz="4" w:space="0"/>
              <w:bottom w:val="single" w:color="auto" w:sz="4" w:space="0"/>
              <w:right w:val="single" w:color="auto" w:sz="4" w:space="0"/>
            </w:tcBorders>
            <w:vAlign w:val="center"/>
          </w:tcPr>
          <w:p w14:paraId="513696E8">
            <w:pPr>
              <w:spacing w:line="360" w:lineRule="auto"/>
              <w:rPr>
                <w:rFonts w:hint="eastAsia" w:ascii="宋体" w:hAnsi="宋体" w:eastAsia="宋体" w:cs="宋体"/>
                <w:color w:val="auto"/>
                <w:szCs w:val="21"/>
              </w:rPr>
            </w:pPr>
            <w:r>
              <w:rPr>
                <w:rFonts w:hint="eastAsia" w:ascii="宋体" w:hAnsi="宋体" w:eastAsia="宋体" w:cs="宋体"/>
                <w:color w:val="auto"/>
                <w:szCs w:val="21"/>
              </w:rPr>
              <w:t>□否</w:t>
            </w:r>
          </w:p>
          <w:p w14:paraId="5CC63290">
            <w:pPr>
              <w:spacing w:line="360" w:lineRule="auto"/>
              <w:rPr>
                <w:rFonts w:hint="eastAsia" w:ascii="宋体" w:hAnsi="宋体" w:eastAsia="宋体" w:cs="宋体"/>
                <w:color w:val="auto"/>
                <w:szCs w:val="21"/>
              </w:rPr>
            </w:pPr>
            <w:r>
              <w:rPr>
                <w:rFonts w:hint="eastAsia" w:ascii="宋体" w:hAnsi="宋体" w:eastAsia="宋体" w:cs="宋体"/>
                <w:color w:val="auto"/>
                <w:szCs w:val="21"/>
              </w:rPr>
              <w:t>■是，具体要求：</w:t>
            </w:r>
          </w:p>
          <w:p w14:paraId="2FF94F22">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（1）具体操作详见广州交易集团有限公司（广州公共资源交易中心）网站发布的《建设工程全流程电子化项目操作指南》。</w:t>
            </w:r>
          </w:p>
          <w:p w14:paraId="3946EBDD">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（2）现场提交投标文件光盘（或U盘）备用</w:t>
            </w:r>
          </w:p>
          <w:p w14:paraId="477E390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投标人将按《建设工程全流程电子化项目操作指南》的操作方法制作的非加密的电子投标文件刻入光盘或U盘（1份），在规定的时间、地点</w:t>
            </w:r>
            <w:r>
              <w:rPr>
                <w:rFonts w:hint="eastAsia" w:ascii="宋体" w:hAnsi="宋体" w:eastAsia="宋体" w:cs="宋体"/>
                <w:b/>
                <w:color w:val="auto"/>
                <w:szCs w:val="21"/>
                <w:u w:val="single"/>
              </w:rPr>
              <w:t>凭法定代表人证明书原件、法定代表人授权委托证明书原件（非法定代表人办理手续时提供）、本人身份证原件</w:t>
            </w:r>
            <w:r>
              <w:rPr>
                <w:rFonts w:hint="eastAsia" w:ascii="宋体" w:hAnsi="宋体" w:eastAsia="宋体" w:cs="宋体"/>
                <w:color w:val="auto"/>
                <w:szCs w:val="21"/>
              </w:rPr>
              <w:t>提交备用。刻录好的投标文件光盘或U盘密封在密封袋中，并在封口处加盖投标人单位公章。密封袋上应写明的内容见投标人须知前附表要求4.1.2。递交的投标文件光盘或U盘不得加密。投标文件光盘或U盘无法读取或导入的，则视为未提交备用投标文件光盘。如果投标人没有按规定通过交易平台网上递交电子投标文件的，不再接受提交的光盘。</w:t>
            </w:r>
          </w:p>
          <w:p w14:paraId="7FA3E9E2">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（3）补救方案</w:t>
            </w:r>
          </w:p>
          <w:p w14:paraId="436490B4">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①投标文件解密失败的补救方案：</w:t>
            </w:r>
          </w:p>
          <w:p w14:paraId="257AD07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在规定时间内，因投标人之外原因导致的电子投标文件解密失败，在开标现场读取光盘或U盘内容，继续开标程序。评标委员会对其投标文件的评审以光盘或U盘内容为准。</w:t>
            </w:r>
          </w:p>
          <w:p w14:paraId="0A31DBE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②评标时突发情况的补救方案：</w:t>
            </w:r>
          </w:p>
          <w:p w14:paraId="64C7E262">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若遇不可抗力发生（如：网络瘫痪、服务器损坏、交易系统故障短期无法恢复等因素），由评标委员会开启现场递交的全部投标文件光盘或U盘，并按光盘或U盘内容进行评审。</w:t>
            </w:r>
          </w:p>
          <w:p w14:paraId="20A1BF20">
            <w:pPr>
              <w:spacing w:line="360" w:lineRule="auto"/>
              <w:rPr>
                <w:rFonts w:hint="eastAsia" w:ascii="宋体" w:hAnsi="宋体" w:eastAsia="宋体" w:cs="宋体"/>
                <w:color w:val="auto"/>
                <w:szCs w:val="21"/>
              </w:rPr>
            </w:pPr>
            <w:r>
              <w:rPr>
                <w:rFonts w:hint="eastAsia" w:ascii="宋体" w:hAnsi="宋体" w:eastAsia="宋体" w:cs="宋体"/>
                <w:color w:val="auto"/>
                <w:szCs w:val="21"/>
              </w:rPr>
              <w:t>③除发生上述情况外，开标、评标、定标均以投标人通过交易平台网上递交的电子投标文件为准。</w:t>
            </w:r>
          </w:p>
        </w:tc>
      </w:tr>
      <w:tr w14:paraId="71C51B63">
        <w:tblPrEx>
          <w:tblCellMar>
            <w:top w:w="0" w:type="dxa"/>
            <w:left w:w="108" w:type="dxa"/>
            <w:bottom w:w="0" w:type="dxa"/>
            <w:right w:w="108" w:type="dxa"/>
          </w:tblCellMar>
        </w:tblPrEx>
        <w:trPr>
          <w:trHeight w:val="372" w:hRule="atLeast"/>
        </w:trPr>
        <w:tc>
          <w:tcPr>
            <w:tcW w:w="1165" w:type="dxa"/>
            <w:tcBorders>
              <w:top w:val="single" w:color="auto" w:sz="4" w:space="0"/>
              <w:left w:val="single" w:color="auto" w:sz="4" w:space="0"/>
              <w:bottom w:val="single" w:color="auto" w:sz="4" w:space="0"/>
              <w:right w:val="single" w:color="auto" w:sz="4" w:space="0"/>
            </w:tcBorders>
            <w:vAlign w:val="center"/>
          </w:tcPr>
          <w:p w14:paraId="4645A8E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157" w:type="dxa"/>
            <w:gridSpan w:val="2"/>
            <w:tcBorders>
              <w:top w:val="single" w:color="auto" w:sz="4" w:space="0"/>
              <w:left w:val="single" w:color="auto" w:sz="4" w:space="0"/>
              <w:bottom w:val="single" w:color="auto" w:sz="4" w:space="0"/>
              <w:right w:val="single" w:color="auto" w:sz="4" w:space="0"/>
            </w:tcBorders>
            <w:vAlign w:val="center"/>
          </w:tcPr>
          <w:p w14:paraId="29F89BF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需要补充的其他内容</w:t>
            </w:r>
          </w:p>
        </w:tc>
      </w:tr>
      <w:tr w14:paraId="219BE57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A62F50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10.1</w:t>
            </w:r>
          </w:p>
        </w:tc>
        <w:tc>
          <w:tcPr>
            <w:tcW w:w="2292" w:type="dxa"/>
            <w:tcBorders>
              <w:top w:val="single" w:color="auto" w:sz="4" w:space="0"/>
              <w:left w:val="single" w:color="auto" w:sz="4" w:space="0"/>
              <w:bottom w:val="single" w:color="auto" w:sz="4" w:space="0"/>
              <w:right w:val="single" w:color="auto" w:sz="4" w:space="0"/>
            </w:tcBorders>
            <w:vAlign w:val="center"/>
          </w:tcPr>
          <w:p w14:paraId="3A2BB8F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特别提示</w:t>
            </w:r>
          </w:p>
        </w:tc>
        <w:tc>
          <w:tcPr>
            <w:tcW w:w="5865" w:type="dxa"/>
            <w:tcBorders>
              <w:top w:val="single" w:color="auto" w:sz="4" w:space="0"/>
              <w:left w:val="single" w:color="auto" w:sz="4" w:space="0"/>
              <w:bottom w:val="single" w:color="auto" w:sz="4" w:space="0"/>
              <w:right w:val="single" w:color="auto" w:sz="4" w:space="0"/>
            </w:tcBorders>
            <w:vAlign w:val="center"/>
          </w:tcPr>
          <w:p w14:paraId="2F23ABE7">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投标人在本项目招标人的工程项目中存在下列行为的，将被拒绝一年内参与我单位后续工程投标。</w:t>
            </w:r>
          </w:p>
          <w:p w14:paraId="747BC4BB">
            <w:pPr>
              <w:spacing w:line="360" w:lineRule="auto"/>
              <w:rPr>
                <w:rFonts w:hint="eastAsia" w:ascii="宋体" w:hAnsi="宋体" w:eastAsia="宋体" w:cs="宋体"/>
                <w:color w:val="auto"/>
                <w:szCs w:val="21"/>
              </w:rPr>
            </w:pPr>
            <w:r>
              <w:rPr>
                <w:rFonts w:hint="eastAsia" w:ascii="宋体" w:hAnsi="宋体" w:eastAsia="宋体" w:cs="宋体"/>
                <w:color w:val="auto"/>
                <w:szCs w:val="21"/>
              </w:rPr>
              <w:t>（1）将中标工程转包或者违法分包的；</w:t>
            </w:r>
          </w:p>
          <w:p w14:paraId="2F237B69">
            <w:pPr>
              <w:spacing w:line="360" w:lineRule="auto"/>
              <w:rPr>
                <w:rFonts w:hint="eastAsia" w:ascii="宋体" w:hAnsi="宋体" w:eastAsia="宋体" w:cs="宋体"/>
                <w:color w:val="auto"/>
                <w:szCs w:val="21"/>
              </w:rPr>
            </w:pPr>
            <w:r>
              <w:rPr>
                <w:rFonts w:hint="eastAsia" w:ascii="宋体" w:hAnsi="宋体" w:eastAsia="宋体" w:cs="宋体"/>
                <w:color w:val="auto"/>
                <w:szCs w:val="21"/>
              </w:rPr>
              <w:t>（2）在中标工程中不执行质量、安全生产相关规定的，造成质量或安全事故的；</w:t>
            </w:r>
          </w:p>
          <w:p w14:paraId="6B58C689">
            <w:pPr>
              <w:spacing w:line="360" w:lineRule="auto"/>
              <w:rPr>
                <w:rFonts w:hint="eastAsia" w:ascii="宋体" w:hAnsi="宋体" w:eastAsia="宋体" w:cs="宋体"/>
                <w:color w:val="auto"/>
                <w:szCs w:val="21"/>
              </w:rPr>
            </w:pPr>
            <w:r>
              <w:rPr>
                <w:rFonts w:hint="eastAsia" w:ascii="宋体" w:hAnsi="宋体" w:eastAsia="宋体" w:cs="宋体"/>
                <w:color w:val="auto"/>
                <w:szCs w:val="21"/>
              </w:rPr>
              <w:t>（3）存在围标或串标情形的；</w:t>
            </w:r>
          </w:p>
          <w:p w14:paraId="345164B5">
            <w:pPr>
              <w:spacing w:line="360" w:lineRule="auto"/>
              <w:rPr>
                <w:rFonts w:hint="eastAsia" w:ascii="宋体" w:hAnsi="宋体" w:eastAsia="宋体" w:cs="宋体"/>
                <w:color w:val="auto"/>
                <w:szCs w:val="21"/>
              </w:rPr>
            </w:pPr>
            <w:r>
              <w:rPr>
                <w:rFonts w:hint="eastAsia" w:ascii="宋体" w:hAnsi="宋体" w:eastAsia="宋体" w:cs="宋体"/>
                <w:color w:val="auto"/>
                <w:szCs w:val="21"/>
              </w:rPr>
              <w:t>（4）在投标文件中提供虚假材料的；</w:t>
            </w:r>
          </w:p>
          <w:p w14:paraId="08FB7168">
            <w:pPr>
              <w:spacing w:line="360" w:lineRule="auto"/>
              <w:rPr>
                <w:rFonts w:hint="eastAsia" w:ascii="宋体" w:hAnsi="宋体" w:eastAsia="宋体" w:cs="宋体"/>
                <w:color w:val="auto"/>
                <w:szCs w:val="21"/>
              </w:rPr>
            </w:pPr>
            <w:r>
              <w:rPr>
                <w:rFonts w:hint="eastAsia" w:ascii="宋体" w:hAnsi="宋体" w:eastAsia="宋体" w:cs="宋体"/>
                <w:color w:val="auto"/>
                <w:szCs w:val="21"/>
              </w:rPr>
              <w:t>（5）存在行贿情形的；</w:t>
            </w:r>
          </w:p>
          <w:p w14:paraId="01664C42">
            <w:pPr>
              <w:spacing w:line="360" w:lineRule="auto"/>
              <w:rPr>
                <w:rFonts w:hint="eastAsia" w:ascii="宋体" w:hAnsi="宋体" w:eastAsia="宋体" w:cs="宋体"/>
                <w:color w:val="auto"/>
                <w:szCs w:val="21"/>
              </w:rPr>
            </w:pPr>
            <w:r>
              <w:rPr>
                <w:rFonts w:hint="eastAsia" w:ascii="宋体" w:hAnsi="宋体" w:eastAsia="宋体" w:cs="宋体"/>
                <w:color w:val="auto"/>
                <w:szCs w:val="21"/>
              </w:rPr>
              <w:t>（6）拖欠农民工工资的；</w:t>
            </w:r>
          </w:p>
          <w:p w14:paraId="598B3062">
            <w:pPr>
              <w:spacing w:line="360" w:lineRule="auto"/>
              <w:rPr>
                <w:rFonts w:hint="eastAsia" w:ascii="宋体" w:hAnsi="宋体" w:eastAsia="宋体" w:cs="宋体"/>
                <w:color w:val="auto"/>
                <w:szCs w:val="21"/>
              </w:rPr>
            </w:pPr>
            <w:r>
              <w:rPr>
                <w:rFonts w:hint="eastAsia" w:ascii="宋体" w:hAnsi="宋体" w:eastAsia="宋体" w:cs="宋体"/>
                <w:color w:val="auto"/>
                <w:szCs w:val="21"/>
              </w:rPr>
              <w:t>（7）为招标人提供监理服务过程中存在因过错行为被生效法律文书认定承担违约或侵权责任的；</w:t>
            </w:r>
          </w:p>
          <w:p w14:paraId="6121DC16">
            <w:pPr>
              <w:spacing w:line="360" w:lineRule="auto"/>
              <w:rPr>
                <w:rFonts w:hint="eastAsia" w:ascii="宋体" w:hAnsi="宋体" w:eastAsia="宋体" w:cs="宋体"/>
                <w:color w:val="auto"/>
                <w:szCs w:val="21"/>
              </w:rPr>
            </w:pPr>
            <w:r>
              <w:rPr>
                <w:rFonts w:hint="eastAsia" w:ascii="宋体" w:hAnsi="宋体" w:eastAsia="宋体" w:cs="宋体"/>
                <w:color w:val="auto"/>
                <w:szCs w:val="21"/>
              </w:rPr>
              <w:t>（8）违反监理合同约定自行调换或未按照招标人要求及时更换项目总监的；</w:t>
            </w:r>
          </w:p>
          <w:p w14:paraId="26DFD888">
            <w:pPr>
              <w:spacing w:line="360" w:lineRule="auto"/>
              <w:rPr>
                <w:rFonts w:hint="eastAsia" w:ascii="宋体" w:hAnsi="宋体" w:eastAsia="宋体" w:cs="宋体"/>
                <w:color w:val="auto"/>
                <w:szCs w:val="21"/>
              </w:rPr>
            </w:pPr>
            <w:r>
              <w:rPr>
                <w:rFonts w:hint="eastAsia" w:ascii="宋体" w:hAnsi="宋体" w:eastAsia="宋体" w:cs="宋体"/>
                <w:color w:val="auto"/>
                <w:szCs w:val="21"/>
              </w:rPr>
              <w:t>（9）委派的项目总监已在其他在建项目中任职且任职数量不符合相关规定并拒绝更换的。</w:t>
            </w:r>
          </w:p>
        </w:tc>
      </w:tr>
      <w:tr w14:paraId="5AC3F11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3C92341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10.2</w:t>
            </w:r>
          </w:p>
        </w:tc>
        <w:tc>
          <w:tcPr>
            <w:tcW w:w="2292" w:type="dxa"/>
            <w:tcBorders>
              <w:top w:val="single" w:color="auto" w:sz="4" w:space="0"/>
              <w:left w:val="single" w:color="auto" w:sz="4" w:space="0"/>
              <w:bottom w:val="single" w:color="auto" w:sz="4" w:space="0"/>
              <w:right w:val="single" w:color="auto" w:sz="4" w:space="0"/>
            </w:tcBorders>
            <w:vAlign w:val="center"/>
          </w:tcPr>
          <w:p w14:paraId="42D2E11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招标失败的情形</w:t>
            </w:r>
          </w:p>
        </w:tc>
        <w:tc>
          <w:tcPr>
            <w:tcW w:w="5865" w:type="dxa"/>
            <w:tcBorders>
              <w:top w:val="single" w:color="auto" w:sz="4" w:space="0"/>
              <w:left w:val="single" w:color="auto" w:sz="4" w:space="0"/>
              <w:bottom w:val="single" w:color="auto" w:sz="4" w:space="0"/>
              <w:right w:val="single" w:color="auto" w:sz="4" w:space="0"/>
            </w:tcBorders>
            <w:vAlign w:val="center"/>
          </w:tcPr>
          <w:p w14:paraId="729C3E2A">
            <w:pPr>
              <w:spacing w:line="360" w:lineRule="auto"/>
              <w:ind w:left="1"/>
              <w:rPr>
                <w:rFonts w:hint="eastAsia" w:ascii="宋体" w:hAnsi="宋体" w:eastAsia="宋体" w:cs="宋体"/>
                <w:color w:val="auto"/>
                <w:szCs w:val="21"/>
              </w:rPr>
            </w:pPr>
            <w:r>
              <w:rPr>
                <w:rFonts w:hint="eastAsia" w:ascii="宋体" w:hAnsi="宋体" w:eastAsia="宋体" w:cs="宋体"/>
                <w:color w:val="auto"/>
                <w:szCs w:val="21"/>
              </w:rPr>
              <w:t>本项目采用资格后审方式，资格审查与评标同时进行，通过形式评审、资格审查、响应性评审的投标人不足</w:t>
            </w:r>
            <w:r>
              <w:rPr>
                <w:rFonts w:hint="eastAsia" w:ascii="宋体" w:hAnsi="宋体" w:eastAsia="宋体" w:cs="宋体"/>
                <w:b/>
                <w:color w:val="auto"/>
                <w:szCs w:val="21"/>
              </w:rPr>
              <w:t>3名</w:t>
            </w:r>
            <w:r>
              <w:rPr>
                <w:rFonts w:hint="eastAsia" w:ascii="宋体" w:hAnsi="宋体" w:eastAsia="宋体" w:cs="宋体"/>
                <w:color w:val="auto"/>
                <w:szCs w:val="21"/>
              </w:rPr>
              <w:t>时为招标失败。招标人分析招标失败原因，修正招标方案，报有关管理部门核准后，重新组织招标。</w:t>
            </w:r>
          </w:p>
        </w:tc>
      </w:tr>
      <w:tr w14:paraId="30036488">
        <w:tblPrEx>
          <w:tblCellMar>
            <w:top w:w="0" w:type="dxa"/>
            <w:left w:w="108" w:type="dxa"/>
            <w:bottom w:w="0" w:type="dxa"/>
            <w:right w:w="108" w:type="dxa"/>
          </w:tblCellMar>
        </w:tblPrEx>
        <w:trPr>
          <w:trHeight w:val="589" w:hRule="atLeast"/>
        </w:trPr>
        <w:tc>
          <w:tcPr>
            <w:tcW w:w="1165" w:type="dxa"/>
            <w:tcBorders>
              <w:top w:val="single" w:color="auto" w:sz="4" w:space="0"/>
              <w:left w:val="single" w:color="auto" w:sz="4" w:space="0"/>
              <w:bottom w:val="single" w:color="auto" w:sz="4" w:space="0"/>
              <w:right w:val="single" w:color="auto" w:sz="4" w:space="0"/>
            </w:tcBorders>
            <w:vAlign w:val="center"/>
          </w:tcPr>
          <w:p w14:paraId="0B17CBE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10.3</w:t>
            </w:r>
          </w:p>
        </w:tc>
        <w:tc>
          <w:tcPr>
            <w:tcW w:w="2292" w:type="dxa"/>
            <w:tcBorders>
              <w:top w:val="single" w:color="auto" w:sz="4" w:space="0"/>
              <w:left w:val="single" w:color="auto" w:sz="4" w:space="0"/>
              <w:bottom w:val="single" w:color="auto" w:sz="4" w:space="0"/>
              <w:right w:val="single" w:color="auto" w:sz="4" w:space="0"/>
            </w:tcBorders>
            <w:vAlign w:val="center"/>
          </w:tcPr>
          <w:p w14:paraId="6879E5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5865" w:type="dxa"/>
            <w:tcBorders>
              <w:top w:val="single" w:color="auto" w:sz="4" w:space="0"/>
              <w:left w:val="single" w:color="auto" w:sz="4" w:space="0"/>
              <w:bottom w:val="single" w:color="auto" w:sz="4" w:space="0"/>
              <w:right w:val="single" w:color="auto" w:sz="4" w:space="0"/>
            </w:tcBorders>
            <w:vAlign w:val="center"/>
          </w:tcPr>
          <w:p w14:paraId="27F2B8BB">
            <w:pPr>
              <w:spacing w:line="360" w:lineRule="auto"/>
              <w:ind w:left="1"/>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zCs w:val="21"/>
                <w:u w:val="single"/>
              </w:rPr>
              <w:t>在产生中标候选人后，招标人将中标候选人的投标文件初步评审部分的电子版（涉及商业秘密的内容除外）在</w:t>
            </w:r>
            <w:r>
              <w:rPr>
                <w:rFonts w:hint="eastAsia" w:ascii="宋体" w:hAnsi="宋体" w:eastAsia="宋体" w:cs="宋体"/>
                <w:color w:val="auto"/>
                <w:kern w:val="0"/>
                <w:szCs w:val="21"/>
                <w:u w:val="single"/>
              </w:rPr>
              <w:t>广州交易集团有限公司（广州公共资源交易中心）</w:t>
            </w:r>
            <w:r>
              <w:rPr>
                <w:rFonts w:hint="eastAsia" w:ascii="宋体" w:hAnsi="宋体" w:eastAsia="宋体" w:cs="宋体"/>
                <w:color w:val="auto"/>
                <w:szCs w:val="21"/>
                <w:u w:val="single"/>
              </w:rPr>
              <w:t>网站公开。</w:t>
            </w:r>
            <w:r>
              <w:rPr>
                <w:rFonts w:hint="eastAsia" w:ascii="宋体" w:hAnsi="宋体" w:eastAsia="宋体" w:cs="宋体"/>
                <w:color w:val="auto"/>
              </w:rPr>
              <w:t>招标人或招标代理在公示前应对中标候选人提交的电子文件内容进行核对，确定电子文件内容是否与中标候选人提交的电子投标文件内容一致。若电子文件内容与中标候选人提交的电子投标文件内容不一致或不完整的，中标候选人应补充或修改电子文件后公开。</w:t>
            </w:r>
          </w:p>
          <w:p w14:paraId="3EE5241E">
            <w:pPr>
              <w:spacing w:line="360" w:lineRule="auto"/>
              <w:ind w:left="1"/>
              <w:rPr>
                <w:rFonts w:hint="eastAsia" w:ascii="宋体" w:hAnsi="宋体" w:eastAsia="宋体" w:cs="宋体"/>
                <w:color w:val="auto"/>
              </w:rPr>
            </w:pPr>
            <w:r>
              <w:rPr>
                <w:rFonts w:hint="eastAsia" w:ascii="宋体" w:hAnsi="宋体" w:eastAsia="宋体" w:cs="宋体"/>
                <w:color w:val="auto"/>
              </w:rPr>
              <w:t>2.招标人根据评标委员会递交的评标报告，最终依法审定中标人。但在签订合同前的任何时候，评委、招标人以及其他人员发现投标人在招标过程有弄虚作假、虚报资料情况的，一经查实，立即取消其中标人资格。</w:t>
            </w:r>
          </w:p>
          <w:p w14:paraId="36906267">
            <w:pPr>
              <w:spacing w:line="360" w:lineRule="auto"/>
              <w:ind w:left="1"/>
              <w:rPr>
                <w:rFonts w:hint="eastAsia" w:ascii="宋体" w:hAnsi="宋体" w:eastAsia="宋体" w:cs="宋体"/>
                <w:color w:val="auto"/>
              </w:rPr>
            </w:pPr>
            <w:r>
              <w:rPr>
                <w:rFonts w:hint="eastAsia" w:ascii="宋体" w:hAnsi="宋体" w:eastAsia="宋体" w:cs="宋体"/>
                <w:color w:val="auto"/>
              </w:rPr>
              <w:t>3.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p w14:paraId="3D08B046">
            <w:pPr>
              <w:spacing w:line="360" w:lineRule="auto"/>
              <w:ind w:left="1"/>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szCs w:val="21"/>
              </w:rPr>
              <w:t>中标结果公示结束后5个工作日内，</w:t>
            </w:r>
            <w:r>
              <w:rPr>
                <w:rFonts w:hint="eastAsia" w:ascii="宋体" w:hAnsi="宋体" w:eastAsia="宋体" w:cs="宋体"/>
                <w:color w:val="auto"/>
              </w:rPr>
              <w:t>中标人须向招标人（招标代理机构）提供与递交的电子投标文件内容一致的纸质投标文件三套及电子文件二套（电子文件介质使用CD-R光盘，所有电子文件不能采用压缩加密处理）。</w:t>
            </w:r>
          </w:p>
          <w:p w14:paraId="1377AA29">
            <w:pPr>
              <w:pStyle w:val="13"/>
              <w:spacing w:line="360" w:lineRule="auto"/>
              <w:ind w:firstLine="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zCs w:val="21"/>
                <w:u w:val="single"/>
              </w:rPr>
              <w:t>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tc>
      </w:tr>
    </w:tbl>
    <w:p w14:paraId="7D3A0428">
      <w:pPr>
        <w:widowControl/>
        <w:jc w:val="left"/>
        <w:rPr>
          <w:rFonts w:hint="eastAsia" w:ascii="宋体" w:hAnsi="宋体" w:eastAsia="宋体" w:cs="宋体"/>
          <w:color w:val="auto"/>
        </w:rPr>
      </w:pPr>
      <w:r>
        <w:rPr>
          <w:rFonts w:hint="eastAsia" w:ascii="宋体" w:hAnsi="宋体" w:eastAsia="宋体" w:cs="宋体"/>
          <w:color w:val="auto"/>
        </w:rPr>
        <w:br w:type="page"/>
      </w:r>
      <w:bookmarkStart w:id="17" w:name="_Toc49509965"/>
      <w:r>
        <w:rPr>
          <w:rFonts w:hint="eastAsia" w:ascii="宋体" w:hAnsi="宋体" w:eastAsia="宋体" w:cs="宋体"/>
          <w:b/>
          <w:bCs/>
          <w:color w:val="auto"/>
          <w:sz w:val="32"/>
          <w:szCs w:val="32"/>
        </w:rPr>
        <w:t>1. 总则</w:t>
      </w:r>
      <w:bookmarkEnd w:id="17"/>
    </w:p>
    <w:p w14:paraId="5A781DF4">
      <w:pPr>
        <w:pStyle w:val="4"/>
        <w:spacing w:line="240" w:lineRule="auto"/>
        <w:ind w:firstLine="137"/>
        <w:rPr>
          <w:rFonts w:hint="eastAsia" w:ascii="宋体" w:hAnsi="宋体" w:eastAsia="宋体" w:cs="宋体"/>
          <w:color w:val="auto"/>
        </w:rPr>
      </w:pPr>
      <w:bookmarkStart w:id="18" w:name="_Toc49509966"/>
      <w:bookmarkStart w:id="19" w:name="_Toc49506132"/>
      <w:r>
        <w:rPr>
          <w:rFonts w:hint="eastAsia" w:ascii="宋体" w:hAnsi="宋体" w:eastAsia="宋体" w:cs="宋体"/>
          <w:color w:val="auto"/>
        </w:rPr>
        <w:t>1.1 招标项目概况</w:t>
      </w:r>
      <w:bookmarkEnd w:id="18"/>
      <w:bookmarkEnd w:id="19"/>
    </w:p>
    <w:p w14:paraId="667C9A27">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1.1.1根据《中华人民共和国招标投标法》、《中华人民共和国招标投标法实施条例》等有关法律、法规和规章的规定，本招标项目已具备招标条件，现对</w:t>
      </w:r>
      <w:r>
        <w:rPr>
          <w:rFonts w:hint="eastAsia" w:ascii="宋体" w:hAnsi="宋体" w:eastAsia="宋体" w:cs="宋体"/>
          <w:color w:val="auto"/>
          <w:u w:val="single"/>
        </w:rPr>
        <w:t>监理</w:t>
      </w:r>
      <w:r>
        <w:rPr>
          <w:rFonts w:hint="eastAsia" w:ascii="宋体" w:hAnsi="宋体" w:eastAsia="宋体" w:cs="宋体"/>
          <w:color w:val="auto"/>
        </w:rPr>
        <w:t>进行招标。</w:t>
      </w:r>
    </w:p>
    <w:p w14:paraId="635E6A6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1.1.2招标人：见投标人须知前附表。</w:t>
      </w:r>
    </w:p>
    <w:p w14:paraId="0F20F24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1.1.3招标代理机构：见投标人须知前附表。</w:t>
      </w:r>
    </w:p>
    <w:p w14:paraId="33454B3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1.1.4 招标项目名称：见投标人须知前附表。</w:t>
      </w:r>
    </w:p>
    <w:p w14:paraId="35E0BA4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1.1.5项目建设地点：见投标人须知前附表。</w:t>
      </w:r>
    </w:p>
    <w:p w14:paraId="3E5A16B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1.1.6 项目建设规模：见投标人须知前附表。</w:t>
      </w:r>
    </w:p>
    <w:p w14:paraId="035D784A">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1.1.7 工程项目施工预计开工日期和建设周期：见投标人须知前附表。</w:t>
      </w:r>
    </w:p>
    <w:p w14:paraId="6CF069B1">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1.1.8 建筑安装工程费/工程概算：见投标人须知前附表。</w:t>
      </w:r>
    </w:p>
    <w:p w14:paraId="3CE2680A">
      <w:pPr>
        <w:pStyle w:val="4"/>
        <w:spacing w:line="240" w:lineRule="auto"/>
        <w:ind w:firstLine="137"/>
        <w:rPr>
          <w:rFonts w:hint="eastAsia" w:ascii="宋体" w:hAnsi="宋体" w:eastAsia="宋体" w:cs="宋体"/>
          <w:color w:val="auto"/>
        </w:rPr>
      </w:pPr>
      <w:bookmarkStart w:id="20" w:name="_Toc49509967"/>
      <w:bookmarkStart w:id="21" w:name="_Toc49506133"/>
      <w:r>
        <w:rPr>
          <w:rFonts w:hint="eastAsia" w:ascii="宋体" w:hAnsi="宋体" w:eastAsia="宋体" w:cs="宋体"/>
          <w:color w:val="auto"/>
        </w:rPr>
        <w:t>1.2 招标项目的资金来源和落实情况</w:t>
      </w:r>
      <w:bookmarkEnd w:id="20"/>
      <w:bookmarkEnd w:id="21"/>
    </w:p>
    <w:p w14:paraId="148E216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1.2.1资金来源及比例：见投标人须知前附表。</w:t>
      </w:r>
    </w:p>
    <w:p w14:paraId="51A4F6E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1.2.2资金落实情况：见投标人须知前附表。</w:t>
      </w:r>
    </w:p>
    <w:p w14:paraId="3ACBADED">
      <w:pPr>
        <w:pStyle w:val="4"/>
        <w:spacing w:line="240" w:lineRule="auto"/>
        <w:ind w:firstLine="137"/>
        <w:rPr>
          <w:rFonts w:hint="eastAsia" w:ascii="宋体" w:hAnsi="宋体" w:eastAsia="宋体" w:cs="宋体"/>
          <w:color w:val="auto"/>
        </w:rPr>
      </w:pPr>
      <w:bookmarkStart w:id="22" w:name="_Toc49506134"/>
      <w:bookmarkStart w:id="23" w:name="_Toc49509968"/>
      <w:r>
        <w:rPr>
          <w:rFonts w:hint="eastAsia" w:ascii="宋体" w:hAnsi="宋体" w:eastAsia="宋体" w:cs="宋体"/>
          <w:color w:val="auto"/>
        </w:rPr>
        <w:t>1.3招标范围、监理服务期限和质量标准</w:t>
      </w:r>
      <w:bookmarkEnd w:id="22"/>
      <w:bookmarkEnd w:id="23"/>
    </w:p>
    <w:p w14:paraId="214088A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1.3.1招标范围：见投标人须知前附表。</w:t>
      </w:r>
    </w:p>
    <w:p w14:paraId="289757F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1.3.2监理服务期限：见投标人须知前附表。</w:t>
      </w:r>
    </w:p>
    <w:p w14:paraId="454F0A3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1.3.3 质量标准：见投标人须知前附表。</w:t>
      </w:r>
    </w:p>
    <w:p w14:paraId="2D5ACB21">
      <w:pPr>
        <w:pStyle w:val="4"/>
        <w:spacing w:line="240" w:lineRule="auto"/>
        <w:ind w:firstLine="137"/>
        <w:rPr>
          <w:rFonts w:hint="eastAsia" w:ascii="宋体" w:hAnsi="宋体" w:eastAsia="宋体" w:cs="宋体"/>
          <w:color w:val="auto"/>
        </w:rPr>
      </w:pPr>
      <w:bookmarkStart w:id="24" w:name="_Toc49509969"/>
      <w:bookmarkStart w:id="25" w:name="_Toc49506135"/>
      <w:r>
        <w:rPr>
          <w:rFonts w:hint="eastAsia" w:ascii="宋体" w:hAnsi="宋体" w:eastAsia="宋体" w:cs="宋体"/>
          <w:color w:val="auto"/>
        </w:rPr>
        <w:t>1.4投标人资格要求</w:t>
      </w:r>
      <w:bookmarkEnd w:id="24"/>
      <w:bookmarkEnd w:id="25"/>
    </w:p>
    <w:p w14:paraId="1D4F1965">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1.4.1 投标人应具备承担本招标项目资质条件、能力和信誉：</w:t>
      </w:r>
    </w:p>
    <w:p w14:paraId="6C87E0AC">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（1）资质要求：见投标人须知前附表；</w:t>
      </w:r>
    </w:p>
    <w:p w14:paraId="5F8310EA">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（2）财务要求：见投标人须知前附表；</w:t>
      </w:r>
    </w:p>
    <w:p w14:paraId="4582B2F8">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（3）业绩要求：见投标人须知前附表；</w:t>
      </w:r>
    </w:p>
    <w:p w14:paraId="55574724">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（4）信誉要求：见投标人须知前附表；</w:t>
      </w:r>
    </w:p>
    <w:p w14:paraId="5686EDDA">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（5）总监理工程师的资格要求：具体要求见投标人须知前附表；</w:t>
      </w:r>
    </w:p>
    <w:p w14:paraId="1479F95B">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（6）其他主要人员要求：见投标人须知前附表；</w:t>
      </w:r>
    </w:p>
    <w:p w14:paraId="04FE5A25">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（7）试验检测仪器设备要求：见投标人须知前附表；</w:t>
      </w:r>
    </w:p>
    <w:p w14:paraId="6F5DB9BE">
      <w:pPr>
        <w:spacing w:line="400" w:lineRule="exact"/>
        <w:ind w:firstLine="315" w:firstLineChars="150"/>
        <w:rPr>
          <w:rFonts w:hint="eastAsia" w:ascii="宋体" w:hAnsi="宋体" w:eastAsia="宋体" w:cs="宋体"/>
          <w:color w:val="auto"/>
        </w:rPr>
      </w:pPr>
      <w:r>
        <w:rPr>
          <w:rFonts w:hint="eastAsia" w:ascii="宋体" w:hAnsi="宋体" w:eastAsia="宋体" w:cs="宋体"/>
          <w:color w:val="auto"/>
        </w:rPr>
        <w:t>（8）其他要求：见投标人须知前附表。</w:t>
      </w:r>
    </w:p>
    <w:p w14:paraId="6D7DE6A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需要提交的相关证明材料见本章第3.5款的规定。</w:t>
      </w:r>
    </w:p>
    <w:p w14:paraId="08841C2E">
      <w:pPr>
        <w:spacing w:line="40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1.4.2投标人须知前附表规定接受联合体投标的，联合体除应符合本章第1.4.1项和投标人须知前附表的要求外，还应遵守以下规定：</w:t>
      </w:r>
    </w:p>
    <w:p w14:paraId="6418AF62">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（1）联合体各方应按招标文件提供的格式签订联合体协议书，明确联合体牵头人和各方权利义务，并承诺就中标项目向招标人承担连带责任；</w:t>
      </w:r>
    </w:p>
    <w:p w14:paraId="2FFEBB9C">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（2）由同一专业的单位组成的联合体，按照资质等级较低的单位确定资质等级；</w:t>
      </w:r>
    </w:p>
    <w:p w14:paraId="38D489D4">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（3）联合体各方不得再以自己名义单独或参加其他联合体在本招标项目中投标，否则各相关投标均无效。</w:t>
      </w:r>
    </w:p>
    <w:p w14:paraId="45F0F9A5">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1.4.3投标人不得存在下列情形之一：</w:t>
      </w:r>
    </w:p>
    <w:p w14:paraId="0F82232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（1）为招标人不具有独立法人资格的附属机构（单位）；</w:t>
      </w:r>
    </w:p>
    <w:p w14:paraId="06F9CF2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（2）与招标人存在利害关系且可能影响招标公正性；</w:t>
      </w:r>
    </w:p>
    <w:p w14:paraId="37FF848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（3）与本招标项目的其他投标人为同一个单位负责人；</w:t>
      </w:r>
    </w:p>
    <w:p w14:paraId="01F3EA7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（4）与本招标项目的其他投标人存在控股、管理关系；</w:t>
      </w:r>
    </w:p>
    <w:p w14:paraId="0EC9189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（5）为本招标项目的代建人；</w:t>
      </w:r>
    </w:p>
    <w:p w14:paraId="1DB7321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（6）为本招标项目的招标代理机构；</w:t>
      </w:r>
    </w:p>
    <w:p w14:paraId="46379F0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（7）与本招标项目的代建人或招标代理机构同为一个法定代表人；</w:t>
      </w:r>
    </w:p>
    <w:p w14:paraId="584BC56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（8）与本招标项目的代建人或招标代理机构存在控股或参股关系；</w:t>
      </w:r>
    </w:p>
    <w:p w14:paraId="51084CE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（9）与本招标项目的施工承包人以及建筑材料、建筑构配件和设备供应商有隶属关系或者其他利害关系；</w:t>
      </w:r>
    </w:p>
    <w:p w14:paraId="3FBAC03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（10）被依法暂停或者取消投标资格</w:t>
      </w:r>
      <w:r>
        <w:rPr>
          <w:rFonts w:hint="eastAsia" w:ascii="宋体" w:hAnsi="宋体" w:eastAsia="宋体" w:cs="宋体"/>
          <w:color w:val="auto"/>
          <w:szCs w:val="21"/>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zCs w:val="21"/>
        </w:rPr>
        <w:t>；</w:t>
      </w:r>
    </w:p>
    <w:p w14:paraId="6EBFC446">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（11）被责令停产停业、暂扣或者吊销许可证、暂扣或者吊销执照</w:t>
      </w:r>
      <w:r>
        <w:rPr>
          <w:rFonts w:hint="eastAsia" w:ascii="宋体" w:hAnsi="宋体" w:eastAsia="宋体" w:cs="宋体"/>
          <w:color w:val="auto"/>
          <w:szCs w:val="21"/>
          <w:u w:val="single"/>
        </w:rPr>
        <w:t>（本项事实应当以根据《中华人民共和国行政处罚法》依法作出并已经生效的行政处罚决定为认定依据）</w:t>
      </w:r>
      <w:r>
        <w:rPr>
          <w:rFonts w:hint="eastAsia" w:ascii="宋体" w:hAnsi="宋体" w:eastAsia="宋体" w:cs="宋体"/>
          <w:color w:val="auto"/>
          <w:szCs w:val="21"/>
        </w:rPr>
        <w:t>；</w:t>
      </w:r>
    </w:p>
    <w:p w14:paraId="1BF96ED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（12）进入清算程序，或被宣告破产，或其他丧失履约能力的情形；</w:t>
      </w:r>
    </w:p>
    <w:p w14:paraId="404838B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（13）在最近三年内发生重大监理质量问题（以相关行业主管部门的行政处罚决定或司法机关出具的有关法律文书为准；</w:t>
      </w:r>
      <w:r>
        <w:rPr>
          <w:rFonts w:hint="eastAsia" w:ascii="宋体" w:hAnsi="宋体" w:eastAsia="宋体" w:cs="宋体"/>
          <w:color w:val="auto"/>
          <w:szCs w:val="21"/>
          <w:u w:val="single"/>
        </w:rPr>
        <w:t>“最近三年”是指从2022年1月1日至投标截止时间止，以相关行业主管部门、司法机关出具的生效文件的落款时间起计算）；</w:t>
      </w:r>
    </w:p>
    <w:p w14:paraId="04B7CCF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（14）法律法规或投标人须知前附表规定的其他情形。</w:t>
      </w:r>
    </w:p>
    <w:p w14:paraId="4E59698F">
      <w:pPr>
        <w:pStyle w:val="4"/>
        <w:spacing w:line="240" w:lineRule="auto"/>
        <w:ind w:firstLine="137"/>
        <w:rPr>
          <w:rFonts w:hint="eastAsia" w:ascii="宋体" w:hAnsi="宋体" w:eastAsia="宋体" w:cs="宋体"/>
          <w:color w:val="auto"/>
        </w:rPr>
      </w:pPr>
      <w:bookmarkStart w:id="26" w:name="_Toc49509970"/>
      <w:bookmarkStart w:id="27" w:name="_Toc49506136"/>
      <w:r>
        <w:rPr>
          <w:rFonts w:hint="eastAsia" w:ascii="宋体" w:hAnsi="宋体" w:eastAsia="宋体" w:cs="宋体"/>
          <w:color w:val="auto"/>
        </w:rPr>
        <w:t>1.5 费用承担</w:t>
      </w:r>
      <w:bookmarkEnd w:id="26"/>
      <w:bookmarkEnd w:id="27"/>
    </w:p>
    <w:p w14:paraId="799DDA6E">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投标人准备和参加投标活动发生的费用自理。</w:t>
      </w:r>
    </w:p>
    <w:p w14:paraId="237A6CFA">
      <w:pPr>
        <w:pStyle w:val="4"/>
        <w:spacing w:line="240" w:lineRule="auto"/>
        <w:ind w:firstLine="137"/>
        <w:rPr>
          <w:rFonts w:hint="eastAsia" w:ascii="宋体" w:hAnsi="宋体" w:eastAsia="宋体" w:cs="宋体"/>
          <w:color w:val="auto"/>
        </w:rPr>
      </w:pPr>
      <w:bookmarkStart w:id="28" w:name="_Toc49509971"/>
      <w:bookmarkStart w:id="29" w:name="_Toc49506137"/>
      <w:r>
        <w:rPr>
          <w:rFonts w:hint="eastAsia" w:ascii="宋体" w:hAnsi="宋体" w:eastAsia="宋体" w:cs="宋体"/>
          <w:color w:val="auto"/>
        </w:rPr>
        <w:t>1.6保密</w:t>
      </w:r>
      <w:bookmarkEnd w:id="28"/>
      <w:bookmarkEnd w:id="29"/>
    </w:p>
    <w:p w14:paraId="7FE6312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参与招标投标活动的各方应对招标文件和投标文件中</w:t>
      </w:r>
      <w:bookmarkStart w:id="30" w:name="_Toc5326"/>
      <w:bookmarkStart w:id="31" w:name="_Toc369531519"/>
      <w:bookmarkStart w:id="32" w:name="_Toc361508589"/>
      <w:bookmarkStart w:id="33" w:name="_Toc352691477"/>
      <w:bookmarkStart w:id="34" w:name="_Toc384308214"/>
      <w:r>
        <w:rPr>
          <w:rFonts w:hint="eastAsia" w:ascii="宋体" w:hAnsi="宋体" w:eastAsia="宋体" w:cs="宋体"/>
          <w:color w:val="auto"/>
        </w:rPr>
        <w:t>的商业和技术等秘密保密</w:t>
      </w:r>
      <w:bookmarkEnd w:id="30"/>
      <w:bookmarkEnd w:id="31"/>
      <w:bookmarkEnd w:id="32"/>
      <w:bookmarkEnd w:id="33"/>
      <w:bookmarkEnd w:id="34"/>
      <w:r>
        <w:rPr>
          <w:rFonts w:hint="eastAsia" w:ascii="宋体" w:hAnsi="宋体" w:eastAsia="宋体" w:cs="宋体"/>
          <w:color w:val="auto"/>
        </w:rPr>
        <w:t>，否则应承担相应的法律责任。</w:t>
      </w:r>
    </w:p>
    <w:p w14:paraId="1D771AA6">
      <w:pPr>
        <w:pStyle w:val="4"/>
        <w:spacing w:line="240" w:lineRule="auto"/>
        <w:ind w:firstLine="137"/>
        <w:rPr>
          <w:rFonts w:hint="eastAsia" w:ascii="宋体" w:hAnsi="宋体" w:eastAsia="宋体" w:cs="宋体"/>
          <w:color w:val="auto"/>
        </w:rPr>
      </w:pPr>
      <w:bookmarkStart w:id="35" w:name="_Toc49506138"/>
      <w:bookmarkStart w:id="36" w:name="_Toc49509972"/>
      <w:r>
        <w:rPr>
          <w:rFonts w:hint="eastAsia" w:ascii="宋体" w:hAnsi="宋体" w:eastAsia="宋体" w:cs="宋体"/>
          <w:color w:val="auto"/>
        </w:rPr>
        <w:t>1.7语言文字</w:t>
      </w:r>
      <w:bookmarkEnd w:id="35"/>
      <w:bookmarkEnd w:id="36"/>
    </w:p>
    <w:p w14:paraId="58E958A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招标投标文件使用的语言文字为中文。专用术语使用外文的，应附有中文注释。</w:t>
      </w:r>
    </w:p>
    <w:p w14:paraId="2F0F7E9D">
      <w:pPr>
        <w:pStyle w:val="4"/>
        <w:spacing w:line="240" w:lineRule="auto"/>
        <w:ind w:firstLine="137"/>
        <w:rPr>
          <w:rFonts w:hint="eastAsia" w:ascii="宋体" w:hAnsi="宋体" w:eastAsia="宋体" w:cs="宋体"/>
          <w:color w:val="auto"/>
        </w:rPr>
      </w:pPr>
      <w:bookmarkStart w:id="37" w:name="_Toc49509973"/>
      <w:bookmarkStart w:id="38" w:name="_Toc49506139"/>
      <w:r>
        <w:rPr>
          <w:rFonts w:hint="eastAsia" w:ascii="宋体" w:hAnsi="宋体" w:eastAsia="宋体" w:cs="宋体"/>
          <w:color w:val="auto"/>
        </w:rPr>
        <w:t>1.8计量单位</w:t>
      </w:r>
      <w:bookmarkEnd w:id="37"/>
      <w:bookmarkEnd w:id="38"/>
    </w:p>
    <w:p w14:paraId="2F3CBAB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所有计量均采用中华人民共和国法定计量单位。</w:t>
      </w:r>
    </w:p>
    <w:p w14:paraId="6836F73F">
      <w:pPr>
        <w:pStyle w:val="4"/>
        <w:spacing w:line="240" w:lineRule="auto"/>
        <w:ind w:firstLine="137"/>
        <w:rPr>
          <w:rFonts w:hint="eastAsia" w:ascii="宋体" w:hAnsi="宋体" w:eastAsia="宋体" w:cs="宋体"/>
          <w:color w:val="auto"/>
        </w:rPr>
      </w:pPr>
      <w:bookmarkStart w:id="39" w:name="_Toc49509974"/>
      <w:bookmarkStart w:id="40" w:name="_Toc300834959"/>
      <w:bookmarkStart w:id="41" w:name="_Toc49506140"/>
      <w:bookmarkStart w:id="42" w:name="_Toc482188480"/>
      <w:bookmarkStart w:id="43" w:name="_Toc247513962"/>
      <w:bookmarkStart w:id="44" w:name="_Toc361508594"/>
      <w:bookmarkStart w:id="45" w:name="_Toc152042315"/>
      <w:bookmarkStart w:id="46" w:name="_Toc370676289"/>
      <w:bookmarkStart w:id="47" w:name="_Toc391393967"/>
      <w:bookmarkStart w:id="48" w:name="_Toc384308219"/>
      <w:bookmarkStart w:id="49" w:name="_Toc247527563"/>
      <w:bookmarkStart w:id="50" w:name="_Toc152045539"/>
      <w:bookmarkStart w:id="51" w:name="_Toc144974507"/>
      <w:r>
        <w:rPr>
          <w:rFonts w:hint="eastAsia" w:ascii="宋体" w:hAnsi="宋体" w:eastAsia="宋体" w:cs="宋体"/>
          <w:color w:val="auto"/>
        </w:rPr>
        <w:t>1.9 踏勘现场</w:t>
      </w:r>
      <w:bookmarkEnd w:id="39"/>
      <w:bookmarkEnd w:id="40"/>
      <w:bookmarkEnd w:id="41"/>
      <w:bookmarkEnd w:id="42"/>
      <w:bookmarkEnd w:id="43"/>
      <w:bookmarkEnd w:id="44"/>
      <w:bookmarkEnd w:id="45"/>
      <w:bookmarkEnd w:id="46"/>
      <w:bookmarkEnd w:id="47"/>
      <w:bookmarkEnd w:id="48"/>
      <w:bookmarkEnd w:id="49"/>
      <w:bookmarkEnd w:id="50"/>
      <w:bookmarkEnd w:id="51"/>
    </w:p>
    <w:p w14:paraId="6C0F57A2">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1.9.1 投标人须知前附表规定组织踏勘现场的，招标人按投标人须知前附表规定的时间、地点组织投标人踏勘项目现场。部分投标人未按时参加踏勘现场的，不影响踏勘现场的正常进行。</w:t>
      </w:r>
    </w:p>
    <w:p w14:paraId="27604AA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1.9.2 投标人踏勘现场发生的费用自理。</w:t>
      </w:r>
    </w:p>
    <w:p w14:paraId="5BFD338E">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1.9.3 除招标人的原因外，投标人自行负责在踏勘现场中所发生的人员伤亡和财产损失。</w:t>
      </w:r>
    </w:p>
    <w:p w14:paraId="166CB1A7">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1.9.4 招标人在踏勘现场中介绍的工程场地和相关的周边环境情况，供投标人在编制投标文件时参考，招标人不对投标人据此作出的判断和决策负责。</w:t>
      </w:r>
    </w:p>
    <w:p w14:paraId="64BF2315">
      <w:pPr>
        <w:pStyle w:val="4"/>
        <w:spacing w:line="240" w:lineRule="auto"/>
        <w:ind w:firstLine="137"/>
        <w:rPr>
          <w:rFonts w:hint="eastAsia" w:ascii="宋体" w:hAnsi="宋体" w:eastAsia="宋体" w:cs="宋体"/>
          <w:color w:val="auto"/>
        </w:rPr>
      </w:pPr>
      <w:bookmarkStart w:id="52" w:name="_Toc49506141"/>
      <w:bookmarkStart w:id="53" w:name="_Toc49509975"/>
      <w:r>
        <w:rPr>
          <w:rFonts w:hint="eastAsia" w:ascii="宋体" w:hAnsi="宋体" w:eastAsia="宋体" w:cs="宋体"/>
          <w:color w:val="auto"/>
        </w:rPr>
        <w:t>1.10投标预备会</w:t>
      </w:r>
      <w:bookmarkEnd w:id="52"/>
      <w:bookmarkEnd w:id="53"/>
    </w:p>
    <w:p w14:paraId="33A9F2BE">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1.10.1 投标人须知前附表规定召开投标预备会的，招标人按投标人须知前附表规定的时间和地点召开投标预备会，澄清投标人提出的问题。</w:t>
      </w:r>
    </w:p>
    <w:p w14:paraId="4D6AE547">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1.10.2 投标人应按投标人须知前附表规定的时间和形式将提出的问题送达招标人，以便招标人在会议期间澄清。</w:t>
      </w:r>
    </w:p>
    <w:p w14:paraId="180042F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1.10.3 投标预备会后，招标人将对投标人所提问题的澄清，以投标人须知前附表规定的形式通知所有</w:t>
      </w:r>
      <w:r>
        <w:rPr>
          <w:rFonts w:hint="eastAsia" w:ascii="宋体" w:hAnsi="宋体" w:eastAsia="宋体" w:cs="宋体"/>
          <w:color w:val="auto"/>
          <w:u w:val="single"/>
        </w:rPr>
        <w:t>投标登记</w:t>
      </w:r>
      <w:r>
        <w:rPr>
          <w:rFonts w:hint="eastAsia" w:ascii="宋体" w:hAnsi="宋体" w:eastAsia="宋体" w:cs="宋体"/>
          <w:color w:val="auto"/>
        </w:rPr>
        <w:t>的投标人。该澄清内容为招标文件的组成部分。</w:t>
      </w:r>
    </w:p>
    <w:p w14:paraId="5D2B8E32">
      <w:pPr>
        <w:pStyle w:val="4"/>
        <w:spacing w:line="240" w:lineRule="auto"/>
        <w:ind w:firstLine="137"/>
        <w:rPr>
          <w:rFonts w:hint="eastAsia" w:ascii="宋体" w:hAnsi="宋体" w:eastAsia="宋体" w:cs="宋体"/>
          <w:color w:val="auto"/>
        </w:rPr>
      </w:pPr>
      <w:bookmarkStart w:id="54" w:name="_Toc49506142"/>
      <w:bookmarkStart w:id="55" w:name="_Toc49509976"/>
      <w:r>
        <w:rPr>
          <w:rFonts w:hint="eastAsia" w:ascii="宋体" w:hAnsi="宋体" w:eastAsia="宋体" w:cs="宋体"/>
          <w:color w:val="auto"/>
        </w:rPr>
        <w:t>1.11 分包</w:t>
      </w:r>
      <w:bookmarkEnd w:id="54"/>
      <w:bookmarkEnd w:id="55"/>
    </w:p>
    <w:p w14:paraId="40D1976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本项目严禁分包。</w:t>
      </w:r>
    </w:p>
    <w:p w14:paraId="6D1F519B">
      <w:pPr>
        <w:pStyle w:val="4"/>
        <w:spacing w:line="240" w:lineRule="auto"/>
        <w:ind w:firstLine="137"/>
        <w:rPr>
          <w:rFonts w:hint="eastAsia" w:ascii="宋体" w:hAnsi="宋体" w:eastAsia="宋体" w:cs="宋体"/>
          <w:color w:val="auto"/>
        </w:rPr>
      </w:pPr>
      <w:bookmarkStart w:id="56" w:name="_Toc49509977"/>
      <w:bookmarkStart w:id="57" w:name="_Toc49506143"/>
      <w:r>
        <w:rPr>
          <w:rFonts w:hint="eastAsia" w:ascii="宋体" w:hAnsi="宋体" w:eastAsia="宋体" w:cs="宋体"/>
          <w:color w:val="auto"/>
        </w:rPr>
        <w:t>1.12响应和偏差</w:t>
      </w:r>
      <w:bookmarkEnd w:id="56"/>
      <w:bookmarkEnd w:id="57"/>
    </w:p>
    <w:p w14:paraId="121E166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1.12.1投标文件应当对招标文件的实质性要求和条件作出满足性或更有利于招标人的响应，否则，投标人的投标将被否决。实质性要求和条件见投标人须知前附表。</w:t>
      </w:r>
    </w:p>
    <w:p w14:paraId="7C4B395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1.12.2 </w:t>
      </w:r>
      <w:r>
        <w:rPr>
          <w:rFonts w:hint="eastAsia" w:ascii="宋体" w:hAnsi="宋体" w:eastAsia="宋体" w:cs="宋体"/>
          <w:color w:val="auto"/>
          <w:szCs w:val="21"/>
        </w:rPr>
        <w:t>投标人应根据招标文件的要求提供</w:t>
      </w:r>
      <w:r>
        <w:rPr>
          <w:rFonts w:hint="eastAsia" w:ascii="宋体" w:hAnsi="宋体" w:eastAsia="宋体" w:cs="宋体"/>
          <w:color w:val="auto"/>
        </w:rPr>
        <w:t>投标监理方案大纲等内容以对招标文件作出响应。</w:t>
      </w:r>
    </w:p>
    <w:p w14:paraId="62F02CC4">
      <w:pPr>
        <w:spacing w:line="400" w:lineRule="exact"/>
        <w:ind w:firstLine="435"/>
        <w:rPr>
          <w:rFonts w:hint="eastAsia" w:ascii="宋体" w:hAnsi="宋体" w:eastAsia="宋体" w:cs="宋体"/>
          <w:color w:val="auto"/>
        </w:rPr>
      </w:pPr>
      <w:r>
        <w:rPr>
          <w:rFonts w:hint="eastAsia" w:ascii="宋体" w:hAnsi="宋体" w:eastAsia="宋体" w:cs="宋体"/>
          <w:color w:val="auto"/>
        </w:rPr>
        <w:t>1.12.3投标人须知前附表允许投标文件偏离招标文件某些要求的，偏差应当符合招标文件规定的偏差范围和幅度。</w:t>
      </w:r>
    </w:p>
    <w:p w14:paraId="19CB33D9">
      <w:pPr>
        <w:pStyle w:val="3"/>
        <w:rPr>
          <w:rFonts w:hint="eastAsia" w:ascii="宋体" w:hAnsi="宋体" w:eastAsia="宋体" w:cs="宋体"/>
          <w:color w:val="auto"/>
        </w:rPr>
      </w:pPr>
      <w:bookmarkStart w:id="58" w:name="_Toc49509978"/>
      <w:r>
        <w:rPr>
          <w:rFonts w:hint="eastAsia" w:ascii="宋体" w:hAnsi="宋体" w:eastAsia="宋体" w:cs="宋体"/>
          <w:color w:val="auto"/>
        </w:rPr>
        <w:t>2. 招标文件</w:t>
      </w:r>
      <w:bookmarkEnd w:id="58"/>
    </w:p>
    <w:p w14:paraId="17BF775C">
      <w:pPr>
        <w:pStyle w:val="4"/>
        <w:spacing w:line="240" w:lineRule="auto"/>
        <w:ind w:firstLine="137"/>
        <w:rPr>
          <w:rFonts w:hint="eastAsia" w:ascii="宋体" w:hAnsi="宋体" w:eastAsia="宋体" w:cs="宋体"/>
          <w:color w:val="auto"/>
        </w:rPr>
      </w:pPr>
      <w:bookmarkStart w:id="59" w:name="_Toc49506145"/>
      <w:bookmarkStart w:id="60" w:name="_Toc49509979"/>
      <w:r>
        <w:rPr>
          <w:rFonts w:hint="eastAsia" w:ascii="宋体" w:hAnsi="宋体" w:eastAsia="宋体" w:cs="宋体"/>
          <w:color w:val="auto"/>
        </w:rPr>
        <w:t>2.1 招标文件的组成</w:t>
      </w:r>
      <w:bookmarkEnd w:id="59"/>
      <w:bookmarkEnd w:id="60"/>
    </w:p>
    <w:p w14:paraId="3E3C9D0D">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本招标文件包括：</w:t>
      </w:r>
    </w:p>
    <w:p w14:paraId="071986C2">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（1）招标公告</w:t>
      </w:r>
      <w:r>
        <w:rPr>
          <w:rFonts w:hint="eastAsia" w:ascii="宋体" w:hAnsi="宋体" w:eastAsia="宋体" w:cs="宋体"/>
          <w:strike/>
          <w:color w:val="auto"/>
        </w:rPr>
        <w:t>（或投标邀请书）</w:t>
      </w:r>
      <w:r>
        <w:rPr>
          <w:rFonts w:hint="eastAsia" w:ascii="宋体" w:hAnsi="宋体" w:eastAsia="宋体" w:cs="宋体"/>
          <w:color w:val="auto"/>
        </w:rPr>
        <w:t>；</w:t>
      </w:r>
    </w:p>
    <w:p w14:paraId="4E9E3AC7">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（2）投标人须知；</w:t>
      </w:r>
    </w:p>
    <w:p w14:paraId="7D58FFEF">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（3）评标办法</w:t>
      </w:r>
      <w:r>
        <w:rPr>
          <w:rFonts w:hint="eastAsia" w:ascii="宋体" w:hAnsi="宋体" w:eastAsia="宋体" w:cs="宋体"/>
          <w:color w:val="auto"/>
          <w:u w:val="single"/>
        </w:rPr>
        <w:t>（“评定分离”定标办法）</w:t>
      </w:r>
      <w:r>
        <w:rPr>
          <w:rFonts w:hint="eastAsia" w:ascii="宋体" w:hAnsi="宋体" w:eastAsia="宋体" w:cs="宋体"/>
          <w:color w:val="auto"/>
        </w:rPr>
        <w:t>；</w:t>
      </w:r>
    </w:p>
    <w:p w14:paraId="36D67C04">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（4）合同条款及格式；</w:t>
      </w:r>
    </w:p>
    <w:p w14:paraId="4F7A5C4A">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（5）委托人要求；</w:t>
      </w:r>
    </w:p>
    <w:p w14:paraId="64FBB22D">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rPr>
        <w:t>（6）投标文件格式；</w:t>
      </w:r>
    </w:p>
    <w:p w14:paraId="221C6121">
      <w:pPr>
        <w:spacing w:line="400" w:lineRule="exact"/>
        <w:ind w:firstLine="359" w:firstLineChars="171"/>
        <w:rPr>
          <w:rFonts w:hint="eastAsia" w:ascii="宋体" w:hAnsi="宋体" w:eastAsia="宋体" w:cs="宋体"/>
          <w:color w:val="auto"/>
          <w:u w:val="single"/>
        </w:rPr>
      </w:pPr>
      <w:r>
        <w:rPr>
          <w:rFonts w:hint="eastAsia" w:ascii="宋体" w:hAnsi="宋体" w:eastAsia="宋体" w:cs="宋体"/>
          <w:color w:val="auto"/>
        </w:rPr>
        <w:t>（7）</w:t>
      </w:r>
      <w:r>
        <w:rPr>
          <w:rFonts w:hint="eastAsia" w:ascii="宋体" w:hAnsi="宋体" w:eastAsia="宋体" w:cs="宋体"/>
          <w:color w:val="auto"/>
          <w:u w:val="single"/>
        </w:rPr>
        <w:t>否决性条款汇总；</w:t>
      </w:r>
    </w:p>
    <w:p w14:paraId="2447AC4D">
      <w:pPr>
        <w:spacing w:line="400" w:lineRule="exact"/>
        <w:ind w:firstLine="359" w:firstLineChars="171"/>
        <w:rPr>
          <w:rFonts w:hint="eastAsia" w:ascii="宋体" w:hAnsi="宋体" w:eastAsia="宋体" w:cs="宋体"/>
          <w:color w:val="auto"/>
          <w:u w:val="single"/>
        </w:rPr>
      </w:pPr>
      <w:r>
        <w:rPr>
          <w:rFonts w:hint="eastAsia" w:ascii="宋体" w:hAnsi="宋体" w:eastAsia="宋体" w:cs="宋体"/>
          <w:color w:val="auto"/>
          <w:u w:val="single"/>
        </w:rPr>
        <w:t>（8）投标人须知前附表规定的其他资料。</w:t>
      </w:r>
    </w:p>
    <w:p w14:paraId="27A1B27F">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根据本章第1.10款、第2.2款和第2.3款对招标文件所作的澄清、修改，构成招标文件的组成部分。</w:t>
      </w:r>
    </w:p>
    <w:p w14:paraId="4DCEDB25">
      <w:pPr>
        <w:pStyle w:val="4"/>
        <w:spacing w:line="240" w:lineRule="auto"/>
        <w:ind w:firstLine="137"/>
        <w:rPr>
          <w:rFonts w:hint="eastAsia" w:ascii="宋体" w:hAnsi="宋体" w:eastAsia="宋体" w:cs="宋体"/>
          <w:color w:val="auto"/>
        </w:rPr>
      </w:pPr>
      <w:bookmarkStart w:id="61" w:name="_Toc49506146"/>
      <w:bookmarkStart w:id="62" w:name="_Toc49509980"/>
      <w:r>
        <w:rPr>
          <w:rFonts w:hint="eastAsia" w:ascii="宋体" w:hAnsi="宋体" w:eastAsia="宋体" w:cs="宋体"/>
          <w:color w:val="auto"/>
        </w:rPr>
        <w:t>2.2 招标文件的澄清</w:t>
      </w:r>
      <w:bookmarkEnd w:id="61"/>
      <w:bookmarkEnd w:id="62"/>
    </w:p>
    <w:p w14:paraId="0018A09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5ABD47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2.2.2招标文件的澄清以投标人须知前附表规定的形式发给所有</w:t>
      </w:r>
      <w:r>
        <w:rPr>
          <w:rFonts w:hint="eastAsia" w:ascii="宋体" w:hAnsi="宋体" w:eastAsia="宋体" w:cs="宋体"/>
          <w:color w:val="auto"/>
          <w:u w:val="single"/>
        </w:rPr>
        <w:t>投标登记</w:t>
      </w:r>
      <w:r>
        <w:rPr>
          <w:rFonts w:hint="eastAsia" w:ascii="宋体" w:hAnsi="宋体" w:eastAsia="宋体" w:cs="宋体"/>
          <w:color w:val="auto"/>
        </w:rPr>
        <w:t>的投标人，但不指明澄清问题的来源。澄清发出的时间距本章第4.2.1项规定的投标截止时间不足15日的，并且澄清内容可能影响投标文件编制的，将相应延长投标截止时间。</w:t>
      </w:r>
    </w:p>
    <w:p w14:paraId="29A62AD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2.2.3投标人在收到澄清后，应按投标人须知前附表规定的时间和形式通知招标人，确认已收到该澄清。</w:t>
      </w:r>
    </w:p>
    <w:p w14:paraId="60F8FF3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2.2.4除非招标人认为确有必要答复，否则，招标人有权拒绝回复投标人在本章第2.2.1项规定的时间后的任何澄清要求。</w:t>
      </w:r>
    </w:p>
    <w:p w14:paraId="534B33C9">
      <w:pPr>
        <w:pStyle w:val="4"/>
        <w:spacing w:line="240" w:lineRule="auto"/>
        <w:ind w:firstLine="137"/>
        <w:rPr>
          <w:rFonts w:hint="eastAsia" w:ascii="宋体" w:hAnsi="宋体" w:eastAsia="宋体" w:cs="宋体"/>
          <w:color w:val="auto"/>
        </w:rPr>
      </w:pPr>
      <w:bookmarkStart w:id="63" w:name="_Toc49509981"/>
      <w:bookmarkStart w:id="64" w:name="_Toc49506147"/>
      <w:bookmarkStart w:id="65" w:name="_Toc352691479"/>
      <w:r>
        <w:rPr>
          <w:rFonts w:hint="eastAsia" w:ascii="宋体" w:hAnsi="宋体" w:eastAsia="宋体" w:cs="宋体"/>
          <w:color w:val="auto"/>
        </w:rPr>
        <w:t>2.3 招标文件的修</w:t>
      </w:r>
      <w:bookmarkStart w:id="66" w:name="_Toc16514"/>
      <w:bookmarkStart w:id="67" w:name="_Toc369531521"/>
      <w:r>
        <w:rPr>
          <w:rFonts w:hint="eastAsia" w:ascii="宋体" w:hAnsi="宋体" w:eastAsia="宋体" w:cs="宋体"/>
          <w:color w:val="auto"/>
        </w:rPr>
        <w:t>改</w:t>
      </w:r>
      <w:bookmarkEnd w:id="63"/>
      <w:bookmarkEnd w:id="64"/>
    </w:p>
    <w:p w14:paraId="408A6D1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2.3.1招标人以投标人须知前附表规定的形式修改招标文件，并通知所有</w:t>
      </w:r>
      <w:r>
        <w:rPr>
          <w:rFonts w:hint="eastAsia" w:ascii="宋体" w:hAnsi="宋体" w:eastAsia="宋体" w:cs="宋体"/>
          <w:color w:val="auto"/>
          <w:u w:val="single"/>
        </w:rPr>
        <w:t>投标登记</w:t>
      </w:r>
      <w:r>
        <w:rPr>
          <w:rFonts w:hint="eastAsia" w:ascii="宋体" w:hAnsi="宋体" w:eastAsia="宋体" w:cs="宋体"/>
          <w:color w:val="auto"/>
        </w:rPr>
        <w:t>的投标人。修改招标文件的时间距本章第4.2.1项规定的投标截止时间不足15日的，并且修改内容可能影响投标文件编制的，将相应延长投标截止时间。</w:t>
      </w:r>
    </w:p>
    <w:bookmarkEnd w:id="65"/>
    <w:bookmarkEnd w:id="66"/>
    <w:bookmarkEnd w:id="67"/>
    <w:p w14:paraId="39C587C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2.3.2投标人收到修改内容</w:t>
      </w:r>
      <w:bookmarkStart w:id="68" w:name="_Toc369531524"/>
      <w:bookmarkStart w:id="69" w:name="_Toc247527562"/>
      <w:bookmarkStart w:id="70" w:name="_Toc152045538"/>
      <w:bookmarkStart w:id="71" w:name="_Toc247513961"/>
      <w:bookmarkStart w:id="72" w:name="_Toc361508593"/>
      <w:bookmarkStart w:id="73" w:name="_Toc144974506"/>
      <w:bookmarkStart w:id="74" w:name="_Toc352691482"/>
      <w:bookmarkStart w:id="75" w:name="_Toc384308218"/>
      <w:bookmarkStart w:id="76" w:name="_Toc24632"/>
      <w:bookmarkStart w:id="77" w:name="_Toc300834958"/>
      <w:bookmarkStart w:id="78" w:name="_Toc152042314"/>
      <w:r>
        <w:rPr>
          <w:rFonts w:hint="eastAsia" w:ascii="宋体" w:hAnsi="宋体" w:eastAsia="宋体" w:cs="宋体"/>
          <w:color w:val="auto"/>
        </w:rPr>
        <w:t>后，</w:t>
      </w:r>
      <w:bookmarkEnd w:id="68"/>
      <w:bookmarkEnd w:id="69"/>
      <w:bookmarkEnd w:id="70"/>
      <w:bookmarkEnd w:id="71"/>
      <w:bookmarkEnd w:id="72"/>
      <w:bookmarkEnd w:id="73"/>
      <w:bookmarkEnd w:id="74"/>
      <w:bookmarkEnd w:id="75"/>
      <w:bookmarkEnd w:id="76"/>
      <w:bookmarkEnd w:id="77"/>
      <w:bookmarkEnd w:id="78"/>
      <w:bookmarkStart w:id="79" w:name="_Toc152045540"/>
      <w:bookmarkStart w:id="80" w:name="_Toc247513963"/>
      <w:bookmarkStart w:id="81" w:name="_Toc369531526"/>
      <w:bookmarkStart w:id="82" w:name="_Toc361508595"/>
      <w:bookmarkStart w:id="83" w:name="_Toc247527564"/>
      <w:bookmarkStart w:id="84" w:name="_Toc352691484"/>
      <w:bookmarkStart w:id="85" w:name="_Toc384308220"/>
      <w:bookmarkStart w:id="86" w:name="_Toc144974508"/>
      <w:bookmarkStart w:id="87" w:name="_Toc16623"/>
      <w:bookmarkStart w:id="88" w:name="_Toc152042316"/>
      <w:bookmarkStart w:id="89" w:name="_Toc300834960"/>
      <w:r>
        <w:rPr>
          <w:rFonts w:hint="eastAsia" w:ascii="宋体" w:hAnsi="宋体" w:eastAsia="宋体" w:cs="宋体"/>
          <w:color w:val="auto"/>
        </w:rPr>
        <w:t>应按投标人须知前附表规定的时间和形式通知招标人，确认已收到该修改。</w:t>
      </w:r>
    </w:p>
    <w:p w14:paraId="5C0C60B1">
      <w:pPr>
        <w:pStyle w:val="4"/>
        <w:spacing w:line="240" w:lineRule="auto"/>
        <w:ind w:firstLine="137"/>
        <w:rPr>
          <w:rFonts w:hint="eastAsia" w:ascii="宋体" w:hAnsi="宋体" w:eastAsia="宋体" w:cs="宋体"/>
          <w:color w:val="auto"/>
        </w:rPr>
      </w:pPr>
      <w:bookmarkStart w:id="90" w:name="_Toc49509982"/>
      <w:bookmarkStart w:id="91" w:name="_Toc49506148"/>
      <w:r>
        <w:rPr>
          <w:rFonts w:hint="eastAsia" w:ascii="宋体" w:hAnsi="宋体" w:eastAsia="宋体" w:cs="宋体"/>
          <w:color w:val="auto"/>
        </w:rPr>
        <w:t>2.</w:t>
      </w:r>
      <w:bookmarkEnd w:id="79"/>
      <w:bookmarkEnd w:id="80"/>
      <w:bookmarkEnd w:id="81"/>
      <w:bookmarkEnd w:id="82"/>
      <w:bookmarkEnd w:id="83"/>
      <w:bookmarkEnd w:id="84"/>
      <w:bookmarkEnd w:id="85"/>
      <w:bookmarkEnd w:id="86"/>
      <w:bookmarkEnd w:id="87"/>
      <w:bookmarkEnd w:id="88"/>
      <w:bookmarkEnd w:id="89"/>
      <w:r>
        <w:rPr>
          <w:rFonts w:hint="eastAsia" w:ascii="宋体" w:hAnsi="宋体" w:eastAsia="宋体" w:cs="宋体"/>
          <w:color w:val="auto"/>
        </w:rPr>
        <w:t>4 招标文件的异议</w:t>
      </w:r>
      <w:bookmarkEnd w:id="90"/>
      <w:bookmarkEnd w:id="91"/>
    </w:p>
    <w:p w14:paraId="7F66EA9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投标人或者其他利害关系人对招标文件有异议的，应当在投标截止时间10日前以书面形式提出。招标人将在收到异议之日起3日内作出答复；作出答复前，将暂停招标投标活动。</w:t>
      </w:r>
    </w:p>
    <w:p w14:paraId="67672773">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0CA4C99">
      <w:pPr>
        <w:pStyle w:val="3"/>
        <w:rPr>
          <w:rFonts w:hint="eastAsia" w:ascii="宋体" w:hAnsi="宋体" w:eastAsia="宋体" w:cs="宋体"/>
          <w:color w:val="auto"/>
        </w:rPr>
      </w:pPr>
      <w:bookmarkStart w:id="92" w:name="_Toc49509983"/>
      <w:r>
        <w:rPr>
          <w:rFonts w:hint="eastAsia" w:ascii="宋体" w:hAnsi="宋体" w:eastAsia="宋体" w:cs="宋体"/>
          <w:color w:val="auto"/>
        </w:rPr>
        <w:t>3. 投标文件</w:t>
      </w:r>
      <w:bookmarkEnd w:id="92"/>
    </w:p>
    <w:p w14:paraId="02DBD389">
      <w:pPr>
        <w:pStyle w:val="4"/>
        <w:spacing w:line="240" w:lineRule="auto"/>
        <w:ind w:firstLine="137"/>
        <w:rPr>
          <w:rFonts w:hint="eastAsia" w:ascii="宋体" w:hAnsi="宋体" w:eastAsia="宋体" w:cs="宋体"/>
          <w:color w:val="auto"/>
        </w:rPr>
      </w:pPr>
      <w:bookmarkStart w:id="93" w:name="_Toc49509984"/>
      <w:bookmarkStart w:id="94" w:name="_Toc49506150"/>
      <w:r>
        <w:rPr>
          <w:rFonts w:hint="eastAsia" w:ascii="宋体" w:hAnsi="宋体" w:eastAsia="宋体" w:cs="宋体"/>
          <w:color w:val="auto"/>
        </w:rPr>
        <w:t>3.1 投标文件的组成</w:t>
      </w:r>
      <w:bookmarkEnd w:id="93"/>
      <w:bookmarkEnd w:id="94"/>
    </w:p>
    <w:p w14:paraId="49CA458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3.1.1投标文件应包括下列内容：</w:t>
      </w:r>
    </w:p>
    <w:p w14:paraId="2CD19E39">
      <w:pPr>
        <w:topLinePunct/>
        <w:adjustRightInd w:val="0"/>
        <w:snapToGrid w:val="0"/>
        <w:spacing w:line="360" w:lineRule="auto"/>
        <w:ind w:firstLine="42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（1）投标函及投标函附录；</w:t>
      </w:r>
    </w:p>
    <w:p w14:paraId="443B74EB">
      <w:pPr>
        <w:topLinePunct/>
        <w:adjustRightInd w:val="0"/>
        <w:snapToGrid w:val="0"/>
        <w:spacing w:line="360" w:lineRule="auto"/>
        <w:ind w:firstLine="42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（2）法定代表人身份证明或授权委托书；</w:t>
      </w:r>
    </w:p>
    <w:p w14:paraId="15BEB096">
      <w:pPr>
        <w:topLinePunct/>
        <w:adjustRightInd w:val="0"/>
        <w:snapToGrid w:val="0"/>
        <w:spacing w:line="360" w:lineRule="auto"/>
        <w:ind w:firstLine="420" w:firstLineChars="200"/>
        <w:rPr>
          <w:rFonts w:hint="eastAsia" w:ascii="宋体" w:hAnsi="宋体" w:eastAsia="宋体" w:cs="宋体"/>
          <w:strike/>
          <w:color w:val="auto"/>
          <w:kern w:val="0"/>
          <w:szCs w:val="24"/>
        </w:rPr>
      </w:pPr>
      <w:r>
        <w:rPr>
          <w:rFonts w:hint="eastAsia" w:ascii="宋体" w:hAnsi="宋体" w:eastAsia="宋体" w:cs="宋体"/>
          <w:strike/>
          <w:color w:val="auto"/>
          <w:kern w:val="0"/>
          <w:szCs w:val="24"/>
        </w:rPr>
        <w:t>（3）联合体协议书；</w:t>
      </w:r>
    </w:p>
    <w:p w14:paraId="71A56B10">
      <w:pPr>
        <w:topLinePunct/>
        <w:adjustRightInd w:val="0"/>
        <w:snapToGrid w:val="0"/>
        <w:spacing w:line="360" w:lineRule="auto"/>
        <w:ind w:firstLine="420" w:firstLineChars="200"/>
        <w:rPr>
          <w:rFonts w:hint="eastAsia" w:ascii="宋体" w:hAnsi="宋体" w:eastAsia="宋体" w:cs="宋体"/>
          <w:strike/>
          <w:color w:val="auto"/>
          <w:kern w:val="0"/>
          <w:szCs w:val="24"/>
        </w:rPr>
      </w:pPr>
      <w:r>
        <w:rPr>
          <w:rFonts w:hint="eastAsia" w:ascii="宋体" w:hAnsi="宋体" w:eastAsia="宋体" w:cs="宋体"/>
          <w:strike/>
          <w:color w:val="auto"/>
          <w:kern w:val="0"/>
          <w:szCs w:val="24"/>
        </w:rPr>
        <w:t>（4）投标保证金；</w:t>
      </w:r>
    </w:p>
    <w:p w14:paraId="21CF7171">
      <w:pPr>
        <w:topLinePunct/>
        <w:adjustRightInd w:val="0"/>
        <w:snapToGrid w:val="0"/>
        <w:spacing w:line="360" w:lineRule="auto"/>
        <w:ind w:firstLine="42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（5）监理报酬清单；</w:t>
      </w:r>
    </w:p>
    <w:p w14:paraId="264E50A9">
      <w:pPr>
        <w:topLinePunct/>
        <w:adjustRightInd w:val="0"/>
        <w:snapToGrid w:val="0"/>
        <w:spacing w:line="360" w:lineRule="auto"/>
        <w:ind w:firstLine="42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（6）资格审查资料；</w:t>
      </w:r>
    </w:p>
    <w:p w14:paraId="7D3079A5">
      <w:pPr>
        <w:topLinePunct/>
        <w:adjustRightInd w:val="0"/>
        <w:snapToGrid w:val="0"/>
        <w:spacing w:line="360" w:lineRule="auto"/>
        <w:ind w:firstLine="42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（7）监理大纲；</w:t>
      </w:r>
    </w:p>
    <w:p w14:paraId="48227859">
      <w:pPr>
        <w:topLinePunct/>
        <w:adjustRightInd w:val="0"/>
        <w:snapToGrid w:val="0"/>
        <w:spacing w:line="360" w:lineRule="auto"/>
        <w:ind w:firstLine="420" w:firstLineChars="200"/>
        <w:rPr>
          <w:rFonts w:hint="eastAsia" w:ascii="宋体" w:hAnsi="宋体" w:eastAsia="宋体" w:cs="宋体"/>
          <w:color w:val="auto"/>
          <w:kern w:val="0"/>
          <w:szCs w:val="24"/>
        </w:rPr>
      </w:pPr>
      <w:r>
        <w:rPr>
          <w:rFonts w:hint="eastAsia" w:ascii="宋体" w:hAnsi="宋体" w:eastAsia="宋体" w:cs="宋体"/>
          <w:color w:val="auto"/>
          <w:kern w:val="0"/>
          <w:szCs w:val="24"/>
        </w:rPr>
        <w:t>（8）投标人须知前附表规定的其他资料。</w:t>
      </w:r>
    </w:p>
    <w:p w14:paraId="12EDE5D2">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投标人在评标过程中作出的符合法律法规和招标文件规定的澄清确认，构成投标文件的组成部分。</w:t>
      </w:r>
    </w:p>
    <w:p w14:paraId="5B24862F">
      <w:pPr>
        <w:spacing w:line="400" w:lineRule="exact"/>
        <w:ind w:firstLine="359" w:firstLineChars="171"/>
        <w:rPr>
          <w:rFonts w:hint="eastAsia" w:ascii="宋体" w:hAnsi="宋体" w:eastAsia="宋体" w:cs="宋体"/>
          <w:strike/>
          <w:color w:val="auto"/>
        </w:rPr>
      </w:pPr>
      <w:r>
        <w:rPr>
          <w:rFonts w:hint="eastAsia" w:ascii="宋体" w:hAnsi="宋体" w:eastAsia="宋体" w:cs="宋体"/>
          <w:strike/>
          <w:color w:val="auto"/>
        </w:rPr>
        <w:t>3.1.2投标人须知前附表规定不接受联合体投标的，或投标人没有组成联合体的，投标文件不包括本章第3.1.1（3）目所指的联合体协议书。</w:t>
      </w:r>
    </w:p>
    <w:p w14:paraId="6ACABE61">
      <w:pPr>
        <w:spacing w:line="400" w:lineRule="exact"/>
        <w:ind w:firstLine="359" w:firstLineChars="171"/>
        <w:rPr>
          <w:rFonts w:hint="eastAsia" w:ascii="宋体" w:hAnsi="宋体" w:eastAsia="宋体" w:cs="宋体"/>
          <w:color w:val="auto"/>
        </w:rPr>
      </w:pPr>
      <w:r>
        <w:rPr>
          <w:rFonts w:hint="eastAsia" w:ascii="宋体" w:hAnsi="宋体" w:eastAsia="宋体" w:cs="宋体"/>
          <w:strike/>
          <w:color w:val="auto"/>
        </w:rPr>
        <w:t>3.1.3投标人须知前附表未要求提交投标保证金的，投标文件不包括本章第3.1.1（4）目所指的投标保证金。</w:t>
      </w:r>
    </w:p>
    <w:p w14:paraId="07FC67DA">
      <w:pPr>
        <w:pStyle w:val="4"/>
        <w:spacing w:line="240" w:lineRule="auto"/>
        <w:ind w:firstLine="137"/>
        <w:rPr>
          <w:rFonts w:hint="eastAsia" w:ascii="宋体" w:hAnsi="宋体" w:eastAsia="宋体" w:cs="宋体"/>
          <w:color w:val="auto"/>
        </w:rPr>
      </w:pPr>
      <w:bookmarkStart w:id="95" w:name="_Toc49506151"/>
      <w:bookmarkStart w:id="96" w:name="_Toc49509985"/>
      <w:r>
        <w:rPr>
          <w:rFonts w:hint="eastAsia" w:ascii="宋体" w:hAnsi="宋体" w:eastAsia="宋体" w:cs="宋体"/>
          <w:color w:val="auto"/>
        </w:rPr>
        <w:t>3.2 投标报价</w:t>
      </w:r>
      <w:bookmarkEnd w:id="95"/>
      <w:bookmarkEnd w:id="96"/>
    </w:p>
    <w:p w14:paraId="50923B3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3.2.1投标报价应包括国家规定的增值税税金，除投标人须知前附表另有规定外，增值税税金按一般计税方法计算。投标人应按第六章“投标文件格式”的要求在投标函中进行报价并填写报酬清单。</w:t>
      </w:r>
    </w:p>
    <w:p w14:paraId="23C22E4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3.2.2投标人应充分了解该项目的总体情况以及影响投标报价的其他要素。</w:t>
      </w:r>
    </w:p>
    <w:p w14:paraId="52598511">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3.2.3</w:t>
      </w:r>
      <w:bookmarkStart w:id="97" w:name="_Toc384308224"/>
      <w:bookmarkEnd w:id="97"/>
      <w:bookmarkStart w:id="98" w:name="_Toc369531530"/>
      <w:bookmarkEnd w:id="98"/>
      <w:bookmarkStart w:id="99" w:name="_Toc247513967"/>
      <w:bookmarkEnd w:id="99"/>
      <w:bookmarkStart w:id="100" w:name="_Toc152045543"/>
      <w:bookmarkEnd w:id="100"/>
      <w:bookmarkStart w:id="101" w:name="_Toc144974511"/>
      <w:bookmarkEnd w:id="101"/>
      <w:bookmarkStart w:id="102" w:name="_Toc352691487"/>
      <w:bookmarkEnd w:id="102"/>
      <w:bookmarkStart w:id="103" w:name="_Toc152042319"/>
      <w:bookmarkEnd w:id="103"/>
      <w:bookmarkStart w:id="104" w:name="_Toc15242"/>
      <w:bookmarkEnd w:id="104"/>
      <w:bookmarkStart w:id="105" w:name="_Toc247527568"/>
      <w:bookmarkEnd w:id="105"/>
      <w:bookmarkStart w:id="106" w:name="_Toc361508599"/>
      <w:bookmarkEnd w:id="106"/>
      <w:bookmarkStart w:id="107" w:name="_Toc300834964"/>
      <w:bookmarkEnd w:id="107"/>
      <w:r>
        <w:rPr>
          <w:rFonts w:hint="eastAsia" w:ascii="宋体" w:hAnsi="宋体" w:eastAsia="宋体" w:cs="宋体"/>
          <w:color w:val="auto"/>
        </w:rPr>
        <w:t>本项目的报价方式见投标人须知前附表。投标人在投标截止时间前修改投标函中的投标报价总额，应同时修改投标文件“投标报价表”中的相应报价。此修改须符合本章第4.3款的有关要求。</w:t>
      </w:r>
    </w:p>
    <w:p w14:paraId="41BDF55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3.2.4招标人设有最高投标限价的，投标人的投标报价不得超过最高投标限价，最高投标限价在投标</w:t>
      </w:r>
      <w:bookmarkStart w:id="108" w:name="_Toc361508600"/>
      <w:bookmarkStart w:id="109" w:name="_Toc247527569"/>
      <w:bookmarkStart w:id="110" w:name="_Toc10429"/>
      <w:bookmarkStart w:id="111" w:name="_Toc352691488"/>
      <w:bookmarkStart w:id="112" w:name="_Toc144974512"/>
      <w:bookmarkStart w:id="113" w:name="_Toc247513968"/>
      <w:bookmarkStart w:id="114" w:name="_Toc369531531"/>
      <w:bookmarkStart w:id="115" w:name="_Toc384308225"/>
      <w:bookmarkStart w:id="116" w:name="_Toc152045544"/>
      <w:bookmarkStart w:id="117" w:name="_Toc300834965"/>
      <w:bookmarkStart w:id="118" w:name="_Toc152042320"/>
      <w:r>
        <w:rPr>
          <w:rFonts w:hint="eastAsia" w:ascii="宋体" w:hAnsi="宋体" w:eastAsia="宋体" w:cs="宋体"/>
          <w:color w:val="auto"/>
        </w:rPr>
        <w:t>人须知前附表中载明。</w:t>
      </w:r>
      <w:bookmarkEnd w:id="108"/>
      <w:bookmarkEnd w:id="109"/>
      <w:bookmarkEnd w:id="110"/>
      <w:bookmarkEnd w:id="111"/>
      <w:bookmarkEnd w:id="112"/>
      <w:bookmarkEnd w:id="113"/>
      <w:bookmarkEnd w:id="114"/>
      <w:bookmarkEnd w:id="115"/>
      <w:bookmarkEnd w:id="116"/>
      <w:bookmarkEnd w:id="117"/>
      <w:bookmarkEnd w:id="118"/>
    </w:p>
    <w:p w14:paraId="2CB2393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3.2.5 投标报价的其他要求见投标人须知前附表。</w:t>
      </w:r>
    </w:p>
    <w:p w14:paraId="2AE1405F">
      <w:pPr>
        <w:pStyle w:val="4"/>
        <w:spacing w:line="240" w:lineRule="auto"/>
        <w:ind w:firstLine="137"/>
        <w:rPr>
          <w:rFonts w:hint="eastAsia" w:ascii="宋体" w:hAnsi="宋体" w:eastAsia="宋体" w:cs="宋体"/>
          <w:color w:val="auto"/>
        </w:rPr>
      </w:pPr>
      <w:bookmarkStart w:id="119" w:name="_Toc49506152"/>
      <w:bookmarkStart w:id="120" w:name="_Toc49509986"/>
      <w:r>
        <w:rPr>
          <w:rFonts w:hint="eastAsia" w:ascii="宋体" w:hAnsi="宋体" w:eastAsia="宋体" w:cs="宋体"/>
          <w:color w:val="auto"/>
        </w:rPr>
        <w:t>3.3 投标有效期</w:t>
      </w:r>
      <w:bookmarkEnd w:id="119"/>
      <w:bookmarkEnd w:id="120"/>
    </w:p>
    <w:p w14:paraId="7223344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3.3.1除投标人须知前附表另有规定外，投标有效期为90天。</w:t>
      </w:r>
    </w:p>
    <w:p w14:paraId="75FE219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3.3.2在投标有效期内，投标人撤销投标文件的，应承担招标文件和法律规定的责任。</w:t>
      </w:r>
    </w:p>
    <w:p w14:paraId="67D1923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3.3.3出现特殊情况需要延长投标有效期的，招标人以书面形式通知所有投标人延长投标有效期。投标人应予以书面答复，同意延长的，</w:t>
      </w:r>
      <w:r>
        <w:rPr>
          <w:rFonts w:hint="eastAsia" w:ascii="宋体" w:hAnsi="宋体" w:eastAsia="宋体" w:cs="宋体"/>
          <w:strike/>
          <w:color w:val="auto"/>
        </w:rPr>
        <w:t>应相应延长其投标保证金的有效期，但</w:t>
      </w:r>
      <w:r>
        <w:rPr>
          <w:rFonts w:hint="eastAsia" w:ascii="宋体" w:hAnsi="宋体" w:eastAsia="宋体" w:cs="宋体"/>
          <w:color w:val="auto"/>
        </w:rPr>
        <w:t>不得要求或被允许修改其投标文件；投标人拒绝延长的，其投标失效</w:t>
      </w:r>
      <w:r>
        <w:rPr>
          <w:rFonts w:hint="eastAsia" w:ascii="宋体" w:hAnsi="宋体" w:eastAsia="宋体" w:cs="宋体"/>
          <w:strike/>
          <w:color w:val="auto"/>
        </w:rPr>
        <w:t>，但投标人有权收回其投标保证金及以现金或者支票形式递交的投标保证金的银行同期存款利息</w:t>
      </w:r>
      <w:r>
        <w:rPr>
          <w:rFonts w:hint="eastAsia" w:ascii="宋体" w:hAnsi="宋体" w:eastAsia="宋体" w:cs="宋体"/>
          <w:color w:val="auto"/>
        </w:rPr>
        <w:t>。</w:t>
      </w:r>
    </w:p>
    <w:p w14:paraId="5AD308A5">
      <w:pPr>
        <w:pStyle w:val="4"/>
        <w:spacing w:line="240" w:lineRule="auto"/>
        <w:ind w:firstLine="137"/>
        <w:rPr>
          <w:rFonts w:hint="eastAsia" w:ascii="宋体" w:hAnsi="宋体" w:eastAsia="宋体" w:cs="宋体"/>
          <w:color w:val="auto"/>
        </w:rPr>
      </w:pPr>
      <w:bookmarkStart w:id="121" w:name="_Toc49509987"/>
      <w:bookmarkStart w:id="122" w:name="_Toc49506153"/>
      <w:r>
        <w:rPr>
          <w:rFonts w:hint="eastAsia" w:ascii="宋体" w:hAnsi="宋体" w:eastAsia="宋体" w:cs="宋体"/>
          <w:color w:val="auto"/>
        </w:rPr>
        <w:t>3.4 投标保证金</w:t>
      </w:r>
      <w:bookmarkEnd w:id="121"/>
      <w:bookmarkEnd w:id="122"/>
      <w:r>
        <w:rPr>
          <w:rFonts w:hint="eastAsia" w:ascii="宋体" w:hAnsi="宋体" w:eastAsia="宋体" w:cs="宋体"/>
          <w:b/>
          <w:color w:val="auto"/>
          <w:szCs w:val="28"/>
          <w:u w:val="single"/>
        </w:rPr>
        <w:t>（本项目不要求递交投标保证金）</w:t>
      </w:r>
    </w:p>
    <w:p w14:paraId="537AD473">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47424DB">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3.4.2 投标人不按本章第3.4.1项要求提交投标保证金的，评标委员会将否决其投标。</w:t>
      </w:r>
    </w:p>
    <w:p w14:paraId="09BE3528">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3.4.3 招标人最迟将在与中标人签订合同后5日内，向未中标的投标人和中标人退还投标保证金。</w:t>
      </w:r>
    </w:p>
    <w:p w14:paraId="0529FDCD">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3.4.4 有下列情形之一的，投标保证金将不予退还：</w:t>
      </w:r>
    </w:p>
    <w:p w14:paraId="31BB0B08">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（1）投标人在投标有效期内撤销投标文件；</w:t>
      </w:r>
    </w:p>
    <w:p w14:paraId="1042BBD0">
      <w:pPr>
        <w:spacing w:line="400" w:lineRule="exact"/>
        <w:ind w:firstLine="315" w:firstLineChars="150"/>
        <w:rPr>
          <w:rFonts w:hint="eastAsia" w:ascii="宋体" w:hAnsi="宋体" w:eastAsia="宋体" w:cs="宋体"/>
          <w:strike/>
          <w:color w:val="auto"/>
        </w:rPr>
      </w:pPr>
      <w:r>
        <w:rPr>
          <w:rFonts w:hint="eastAsia" w:ascii="宋体" w:hAnsi="宋体" w:eastAsia="宋体" w:cs="宋体"/>
          <w:strike/>
          <w:color w:val="auto"/>
        </w:rPr>
        <w:t>（2）中标人在收到中标通知书后，无正当理由不与招标人订立合同，在签订合同时向招标人提出附加条件，或者不按照招标文件要求提交履约保证金；</w:t>
      </w:r>
    </w:p>
    <w:p w14:paraId="661241DB">
      <w:pPr>
        <w:spacing w:line="400" w:lineRule="exact"/>
        <w:ind w:firstLine="315" w:firstLineChars="150"/>
        <w:rPr>
          <w:rFonts w:hint="eastAsia" w:ascii="宋体" w:hAnsi="宋体" w:eastAsia="宋体" w:cs="宋体"/>
          <w:color w:val="auto"/>
        </w:rPr>
      </w:pPr>
      <w:r>
        <w:rPr>
          <w:rFonts w:hint="eastAsia" w:ascii="宋体" w:hAnsi="宋体" w:eastAsia="宋体" w:cs="宋体"/>
          <w:strike/>
          <w:color w:val="auto"/>
        </w:rPr>
        <w:t>（3）发生投标人须知前附表规定的其他可以不予退还投标保证金的情形。</w:t>
      </w:r>
    </w:p>
    <w:p w14:paraId="03F9BFD9">
      <w:pPr>
        <w:pStyle w:val="4"/>
        <w:spacing w:line="240" w:lineRule="auto"/>
        <w:ind w:firstLine="137"/>
        <w:rPr>
          <w:rFonts w:hint="eastAsia" w:ascii="宋体" w:hAnsi="宋体" w:eastAsia="宋体" w:cs="宋体"/>
          <w:color w:val="auto"/>
        </w:rPr>
      </w:pPr>
      <w:bookmarkStart w:id="123" w:name="_Toc49509988"/>
      <w:bookmarkStart w:id="124" w:name="_Toc49506154"/>
      <w:r>
        <w:rPr>
          <w:rFonts w:hint="eastAsia" w:ascii="宋体" w:hAnsi="宋体" w:eastAsia="宋体" w:cs="宋体"/>
          <w:color w:val="auto"/>
        </w:rPr>
        <w:t>3.5 资格审查资料（适用于未进行资格预审的）</w:t>
      </w:r>
      <w:bookmarkEnd w:id="123"/>
      <w:bookmarkEnd w:id="124"/>
    </w:p>
    <w:p w14:paraId="53EDF63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除投标人须知前附表另有规定外，投标人应按下列规定提供资格审查资料，以证明其满足本章第1.4款规定的资质、财务、业绩、信誉等要求。</w:t>
      </w:r>
    </w:p>
    <w:p w14:paraId="65BDBC4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3.5.1 “投标人基本情况表”应附投标人</w:t>
      </w:r>
      <w:r>
        <w:rPr>
          <w:rFonts w:hint="eastAsia" w:ascii="宋体" w:hAnsi="宋体" w:eastAsia="宋体" w:cs="宋体"/>
          <w:color w:val="auto"/>
          <w:u w:val="single"/>
        </w:rPr>
        <w:t>营业执照、资质证书</w:t>
      </w:r>
      <w:r>
        <w:rPr>
          <w:rFonts w:hint="eastAsia" w:ascii="宋体" w:hAnsi="宋体" w:eastAsia="宋体" w:cs="宋体"/>
          <w:color w:val="auto"/>
        </w:rPr>
        <w:t>等材料。</w:t>
      </w:r>
    </w:p>
    <w:p w14:paraId="13C5F58A">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3.5.2 按招标公告要求提供总监理工程师相关证明资料。</w:t>
      </w:r>
    </w:p>
    <w:p w14:paraId="18CC70BE">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3.5.3按照招标文件的附件内容签署盖章的投标人声明（原件扫描件）。</w:t>
      </w:r>
    </w:p>
    <w:p w14:paraId="67F83343">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3.5.4投标人认为需要提交的其他资料。</w:t>
      </w:r>
    </w:p>
    <w:p w14:paraId="6BAF81D5">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3.5.5 投标人须知前附表规定不接受联合体投标。</w:t>
      </w:r>
    </w:p>
    <w:p w14:paraId="1EA3F43F">
      <w:pPr>
        <w:pStyle w:val="4"/>
        <w:spacing w:line="240" w:lineRule="auto"/>
        <w:ind w:firstLine="137"/>
        <w:rPr>
          <w:rFonts w:hint="eastAsia" w:ascii="宋体" w:hAnsi="宋体" w:eastAsia="宋体" w:cs="宋体"/>
          <w:color w:val="auto"/>
        </w:rPr>
      </w:pPr>
      <w:bookmarkStart w:id="125" w:name="_Toc49506155"/>
      <w:bookmarkStart w:id="126" w:name="_Toc49509989"/>
      <w:r>
        <w:rPr>
          <w:rFonts w:hint="eastAsia" w:ascii="宋体" w:hAnsi="宋体" w:eastAsia="宋体" w:cs="宋体"/>
          <w:color w:val="auto"/>
        </w:rPr>
        <w:t>3.6 备选投标方案</w:t>
      </w:r>
      <w:bookmarkEnd w:id="125"/>
      <w:bookmarkEnd w:id="126"/>
    </w:p>
    <w:p w14:paraId="75A9EA9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3.6.1除投标人须知前附表规定允许外，投标人不得递交备选投标方案，否则其投标将被否决。</w:t>
      </w:r>
    </w:p>
    <w:p w14:paraId="7033763F">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333D617F">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3.6.3投标人提供两个或两个以上投标报价，或者在投标文件中提供一个报价，但同时提供两个或两个以上</w:t>
      </w:r>
      <w:bookmarkStart w:id="127" w:name="_Toc29902"/>
      <w:bookmarkStart w:id="128" w:name="_Toc247513974"/>
      <w:bookmarkStart w:id="129" w:name="_Toc300834971"/>
      <w:bookmarkStart w:id="130" w:name="_Toc152045550"/>
      <w:bookmarkStart w:id="131" w:name="_Toc384308232"/>
      <w:bookmarkStart w:id="132" w:name="_Toc361508607"/>
      <w:bookmarkStart w:id="133" w:name="_Toc152042326"/>
      <w:bookmarkStart w:id="134" w:name="_Toc247527575"/>
      <w:bookmarkStart w:id="135" w:name="_Toc352691495"/>
      <w:bookmarkStart w:id="136" w:name="_Toc369531538"/>
      <w:bookmarkStart w:id="137" w:name="_Toc144974518"/>
      <w:r>
        <w:rPr>
          <w:rFonts w:hint="eastAsia" w:ascii="宋体" w:hAnsi="宋体" w:eastAsia="宋体" w:cs="宋体"/>
          <w:color w:val="auto"/>
        </w:rPr>
        <w:t>监理方案的</w:t>
      </w:r>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cs="宋体"/>
          <w:color w:val="auto"/>
        </w:rPr>
        <w:t>，视为提供备选方案。</w:t>
      </w:r>
    </w:p>
    <w:p w14:paraId="2B8E8DDE">
      <w:pPr>
        <w:pStyle w:val="4"/>
        <w:spacing w:line="240" w:lineRule="auto"/>
        <w:ind w:firstLine="137"/>
        <w:rPr>
          <w:rFonts w:hint="eastAsia" w:ascii="宋体" w:hAnsi="宋体" w:eastAsia="宋体" w:cs="宋体"/>
          <w:color w:val="auto"/>
        </w:rPr>
      </w:pPr>
      <w:bookmarkStart w:id="138" w:name="_Toc49509990"/>
      <w:bookmarkStart w:id="139" w:name="_Toc49506156"/>
      <w:r>
        <w:rPr>
          <w:rFonts w:hint="eastAsia" w:ascii="宋体" w:hAnsi="宋体" w:eastAsia="宋体" w:cs="宋体"/>
          <w:color w:val="auto"/>
        </w:rPr>
        <w:t>3.7 投标文件的编制</w:t>
      </w:r>
      <w:bookmarkEnd w:id="138"/>
      <w:bookmarkEnd w:id="139"/>
    </w:p>
    <w:p w14:paraId="5E46E8BF">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6B7DD6A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3.7.2投标文件应当对招标文件有关服务期限、投标有效期、委托人要求、招标范围等实质性内容作出响应。</w:t>
      </w:r>
    </w:p>
    <w:p w14:paraId="27909C27">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3.7.3投标文件全部采用电子文档，除投标人须知前附表另有规定外，投标文件所附证书证件需为原件清晰扫描件，并采用单位数字证书，按照招标文件要求在相应位置加盖电子印章。取消在招标文件中采用个人数字证书和加盖个人电子印章要求，投标文件中需法定代表人、代理人签字或加盖电子印章的，应手签后扫描上传，对加盖个人电子印章不做要求。投标文件按招标文件要求加盖单位电子印章。具体要求见投标人须知前附表。</w:t>
      </w:r>
    </w:p>
    <w:p w14:paraId="524212E9">
      <w:pPr>
        <w:pStyle w:val="3"/>
        <w:rPr>
          <w:rFonts w:hint="eastAsia" w:ascii="宋体" w:hAnsi="宋体" w:eastAsia="宋体" w:cs="宋体"/>
          <w:color w:val="auto"/>
        </w:rPr>
      </w:pPr>
      <w:bookmarkStart w:id="140" w:name="_Toc49509991"/>
      <w:r>
        <w:rPr>
          <w:rFonts w:hint="eastAsia" w:ascii="宋体" w:hAnsi="宋体" w:eastAsia="宋体" w:cs="宋体"/>
          <w:color w:val="auto"/>
        </w:rPr>
        <w:t>4. 投标</w:t>
      </w:r>
      <w:bookmarkEnd w:id="140"/>
    </w:p>
    <w:p w14:paraId="021B9461">
      <w:pPr>
        <w:pStyle w:val="4"/>
        <w:spacing w:line="240" w:lineRule="auto"/>
        <w:ind w:firstLine="137"/>
        <w:rPr>
          <w:rFonts w:hint="eastAsia" w:ascii="宋体" w:hAnsi="宋体" w:eastAsia="宋体" w:cs="宋体"/>
          <w:color w:val="auto"/>
        </w:rPr>
      </w:pPr>
      <w:bookmarkStart w:id="141" w:name="_Toc49506158"/>
      <w:bookmarkStart w:id="142" w:name="_Toc49509992"/>
      <w:r>
        <w:rPr>
          <w:rFonts w:hint="eastAsia" w:ascii="宋体" w:hAnsi="宋体" w:eastAsia="宋体" w:cs="宋体"/>
          <w:color w:val="auto"/>
        </w:rPr>
        <w:t>4.1 投标文件的密封和标记</w:t>
      </w:r>
      <w:bookmarkEnd w:id="141"/>
      <w:bookmarkEnd w:id="142"/>
    </w:p>
    <w:p w14:paraId="3BA8036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4.1.1投标人应当按照招标文件和电子招标投标交易平台的要求加密投标文件，具体要求见投标人须知前附表。</w:t>
      </w:r>
    </w:p>
    <w:p w14:paraId="44CF8AC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4.1.2网上递交的电子投标文件须进行加密。</w:t>
      </w:r>
    </w:p>
    <w:p w14:paraId="2AAD282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4.1.3投标文件封套上应写明的内容见投标人须知前附表。</w:t>
      </w:r>
    </w:p>
    <w:p w14:paraId="64D67DF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4.1.4未按本章第4.1.1项要求密封的投标文件，招标人将予以拒收。</w:t>
      </w:r>
    </w:p>
    <w:p w14:paraId="32D205FD">
      <w:pPr>
        <w:pStyle w:val="4"/>
        <w:spacing w:line="240" w:lineRule="auto"/>
        <w:ind w:firstLine="137"/>
        <w:rPr>
          <w:rFonts w:hint="eastAsia" w:ascii="宋体" w:hAnsi="宋体" w:eastAsia="宋体" w:cs="宋体"/>
          <w:color w:val="auto"/>
        </w:rPr>
      </w:pPr>
      <w:bookmarkStart w:id="143" w:name="_Toc49509993"/>
      <w:bookmarkStart w:id="144" w:name="_Toc49506159"/>
      <w:r>
        <w:rPr>
          <w:rFonts w:hint="eastAsia" w:ascii="宋体" w:hAnsi="宋体" w:eastAsia="宋体" w:cs="宋体"/>
          <w:color w:val="auto"/>
        </w:rPr>
        <w:t>4.2 投标文件的递交</w:t>
      </w:r>
      <w:bookmarkEnd w:id="143"/>
      <w:bookmarkEnd w:id="144"/>
    </w:p>
    <w:p w14:paraId="3B50D5B2">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4.2.1投标人应在投标人须知前附表规定的投标截止时间前递交投标文件。</w:t>
      </w:r>
    </w:p>
    <w:p w14:paraId="6516C3F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4.2.2投标人通过下载招标文件的电子招标投标交易平台递交电子投标文件。</w:t>
      </w:r>
    </w:p>
    <w:p w14:paraId="216D5BDE">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4.2.3除投标人须知前附表另有规定外，投标人所递交的投标文件不予退还。</w:t>
      </w:r>
    </w:p>
    <w:p w14:paraId="684E58FF">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4.2.4投标人完成电子投标文件上传后，电子招标投标交易平台即时向投标人发出递交回执通知。递交时间以递交回执通知载明的传输完成时间为准。</w:t>
      </w:r>
    </w:p>
    <w:p w14:paraId="322CB2D4">
      <w:pPr>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rPr>
        <w:t>4.2.5逾期送达的投标文件，电子招标投标交易平台将予以拒收。</w:t>
      </w:r>
    </w:p>
    <w:p w14:paraId="0CC814A7">
      <w:pPr>
        <w:pStyle w:val="4"/>
        <w:spacing w:line="240" w:lineRule="auto"/>
        <w:ind w:firstLine="137"/>
        <w:rPr>
          <w:rFonts w:hint="eastAsia" w:ascii="宋体" w:hAnsi="宋体" w:eastAsia="宋体" w:cs="宋体"/>
          <w:color w:val="auto"/>
        </w:rPr>
      </w:pPr>
      <w:bookmarkStart w:id="145" w:name="_Toc49506160"/>
      <w:bookmarkStart w:id="146" w:name="_Toc49509994"/>
      <w:r>
        <w:rPr>
          <w:rFonts w:hint="eastAsia" w:ascii="宋体" w:hAnsi="宋体" w:eastAsia="宋体" w:cs="宋体"/>
          <w:color w:val="auto"/>
        </w:rPr>
        <w:t>4.3 投标文件的修改与撤回</w:t>
      </w:r>
      <w:bookmarkEnd w:id="145"/>
      <w:bookmarkEnd w:id="146"/>
    </w:p>
    <w:p w14:paraId="63397AEE">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4.3.1在本章第4.2.1项规定的投标截止时间前，投标人可以修改或撤回已递交的投标文件，但应以书面形式通知招标人。</w:t>
      </w:r>
    </w:p>
    <w:p w14:paraId="33BA746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4.3.2投标人修改或撤回已递交投标文件的通知，应按照本章第3.7.3（B）项的要求加盖电子印章。电子招标投标交易平台收到通知后，即时向投标人发出确认回执通知。</w:t>
      </w:r>
    </w:p>
    <w:p w14:paraId="3D8181D5">
      <w:pPr>
        <w:spacing w:line="400" w:lineRule="exact"/>
        <w:ind w:firstLine="420" w:firstLineChars="200"/>
        <w:rPr>
          <w:rFonts w:hint="eastAsia" w:ascii="宋体" w:hAnsi="宋体" w:eastAsia="宋体" w:cs="宋体"/>
          <w:color w:val="auto"/>
        </w:rPr>
      </w:pPr>
      <w:r>
        <w:rPr>
          <w:rFonts w:hint="eastAsia" w:ascii="宋体" w:hAnsi="宋体" w:eastAsia="宋体" w:cs="宋体"/>
          <w:strike/>
          <w:color w:val="auto"/>
        </w:rPr>
        <w:t>4.3.3投标人撤回投标文件的，招标人自收到投标人书面撤回通知之日起5日内退还已收取的投标保证金。</w:t>
      </w:r>
    </w:p>
    <w:p w14:paraId="37BDAB1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w:t>
      </w:r>
      <w:bookmarkStart w:id="147" w:name="_Toc19203"/>
      <w:bookmarkStart w:id="148" w:name="_Toc300834974"/>
      <w:bookmarkStart w:id="149" w:name="_Toc247527578"/>
      <w:bookmarkStart w:id="150" w:name="_Toc352691497"/>
      <w:bookmarkStart w:id="151" w:name="_Toc152042329"/>
      <w:bookmarkStart w:id="152" w:name="_Toc144974521"/>
      <w:bookmarkStart w:id="153" w:name="_Toc369531541"/>
      <w:bookmarkStart w:id="154" w:name="_Toc152045553"/>
      <w:bookmarkStart w:id="155" w:name="_Toc384308235"/>
      <w:bookmarkStart w:id="156" w:name="_Toc361508610"/>
      <w:bookmarkStart w:id="157" w:name="_Toc247513977"/>
      <w:r>
        <w:rPr>
          <w:rFonts w:hint="eastAsia" w:ascii="宋体" w:hAnsi="宋体" w:eastAsia="宋体" w:cs="宋体"/>
          <w:color w:val="auto"/>
        </w:rPr>
        <w:t>4修改的内容为投标</w:t>
      </w:r>
      <w:bookmarkEnd w:id="147"/>
      <w:bookmarkEnd w:id="148"/>
      <w:bookmarkEnd w:id="149"/>
      <w:bookmarkEnd w:id="150"/>
      <w:bookmarkEnd w:id="151"/>
      <w:bookmarkEnd w:id="152"/>
      <w:bookmarkEnd w:id="153"/>
      <w:bookmarkEnd w:id="154"/>
      <w:bookmarkEnd w:id="155"/>
      <w:bookmarkEnd w:id="156"/>
      <w:bookmarkEnd w:id="157"/>
      <w:r>
        <w:rPr>
          <w:rFonts w:hint="eastAsia" w:ascii="宋体" w:hAnsi="宋体" w:eastAsia="宋体" w:cs="宋体"/>
          <w:color w:val="auto"/>
        </w:rPr>
        <w:t>文件的组成部分。修改的投标文件应按照本章第3条、第4条的规定进行编制、密封、标记和递交，并标明“修改”字样。</w:t>
      </w:r>
    </w:p>
    <w:p w14:paraId="491E6DF4">
      <w:pPr>
        <w:pStyle w:val="3"/>
        <w:rPr>
          <w:rFonts w:hint="eastAsia" w:ascii="宋体" w:hAnsi="宋体" w:eastAsia="宋体" w:cs="宋体"/>
          <w:color w:val="auto"/>
        </w:rPr>
      </w:pPr>
      <w:bookmarkStart w:id="158" w:name="_Toc49509995"/>
      <w:r>
        <w:rPr>
          <w:rFonts w:hint="eastAsia" w:ascii="宋体" w:hAnsi="宋体" w:eastAsia="宋体" w:cs="宋体"/>
          <w:color w:val="auto"/>
        </w:rPr>
        <w:t>5. 开标</w:t>
      </w:r>
      <w:bookmarkEnd w:id="158"/>
    </w:p>
    <w:p w14:paraId="1074CD9D">
      <w:pPr>
        <w:pStyle w:val="4"/>
        <w:spacing w:line="240" w:lineRule="auto"/>
        <w:ind w:firstLine="137"/>
        <w:rPr>
          <w:rFonts w:hint="eastAsia" w:ascii="宋体" w:hAnsi="宋体" w:eastAsia="宋体" w:cs="宋体"/>
          <w:color w:val="auto"/>
        </w:rPr>
      </w:pPr>
      <w:bookmarkStart w:id="159" w:name="_Toc49509996"/>
      <w:bookmarkStart w:id="160" w:name="_Toc49506162"/>
      <w:r>
        <w:rPr>
          <w:rFonts w:hint="eastAsia" w:ascii="宋体" w:hAnsi="宋体" w:eastAsia="宋体" w:cs="宋体"/>
          <w:color w:val="auto"/>
        </w:rPr>
        <w:t>5.1 开标时间和地点</w:t>
      </w:r>
      <w:bookmarkEnd w:id="159"/>
      <w:bookmarkEnd w:id="160"/>
    </w:p>
    <w:p w14:paraId="06D54612">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招标人在本章第4.2.1项规定的投标截止时间（开标时间）,通过电子招标投标交易平台公开开标，所有投标人的法定代表人或其委托代理人应当准时参加。</w:t>
      </w:r>
    </w:p>
    <w:p w14:paraId="5DC5AC07">
      <w:pPr>
        <w:pStyle w:val="4"/>
        <w:spacing w:line="240" w:lineRule="auto"/>
        <w:ind w:firstLine="137"/>
        <w:rPr>
          <w:rFonts w:hint="eastAsia" w:ascii="宋体" w:hAnsi="宋体" w:eastAsia="宋体" w:cs="宋体"/>
          <w:color w:val="auto"/>
        </w:rPr>
      </w:pPr>
      <w:bookmarkStart w:id="161" w:name="_Toc49506163"/>
      <w:bookmarkStart w:id="162" w:name="_Toc49509997"/>
      <w:r>
        <w:rPr>
          <w:rFonts w:hint="eastAsia" w:ascii="宋体" w:hAnsi="宋体" w:eastAsia="宋体" w:cs="宋体"/>
          <w:color w:val="auto"/>
        </w:rPr>
        <w:t>5.2 开标程序</w:t>
      </w:r>
      <w:bookmarkEnd w:id="161"/>
      <w:bookmarkEnd w:id="162"/>
    </w:p>
    <w:p w14:paraId="076FDBB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u w:val="single"/>
        </w:rPr>
        <w:t>5.2.1</w:t>
      </w:r>
      <w:r>
        <w:rPr>
          <w:rFonts w:hint="eastAsia" w:ascii="宋体" w:hAnsi="宋体" w:eastAsia="宋体" w:cs="宋体"/>
          <w:color w:val="auto"/>
        </w:rPr>
        <w:t>主持人按下列程序进行开标：</w:t>
      </w:r>
    </w:p>
    <w:p w14:paraId="0C1BB30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（1）宣布开标纪律；</w:t>
      </w:r>
    </w:p>
    <w:p w14:paraId="50C2D2E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u w:val="single"/>
        </w:rPr>
        <w:t>（2）投标人通过电子招标投标交易平台对已递交的电子投标文件进行解密；</w:t>
      </w:r>
    </w:p>
    <w:p w14:paraId="2996AAF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u w:val="single"/>
        </w:rPr>
        <w:t>（3）投标人完成解密后，再由招标人或招标代理机构进行解密；</w:t>
      </w:r>
    </w:p>
    <w:p w14:paraId="409FAEA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u w:val="single"/>
        </w:rPr>
        <w:t>（4）解密完成后，公布招标项目名称、投标人名称、投标报价、监理服务期限及其他内容，并记录在案；</w:t>
      </w:r>
    </w:p>
    <w:p w14:paraId="3BB8EB1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u w:val="single"/>
        </w:rPr>
        <w:t>（5）投标人代表、招标人代表、监标人、记录人等有关人员在开标记录上签字确认；若有关人员不签字的，不影响开标程序；</w:t>
      </w:r>
    </w:p>
    <w:p w14:paraId="6037887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（6）开标结束。</w:t>
      </w:r>
    </w:p>
    <w:p w14:paraId="62A0904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u w:val="single"/>
        </w:rPr>
      </w:pPr>
      <w:r>
        <w:rPr>
          <w:rFonts w:hint="eastAsia" w:ascii="宋体" w:hAnsi="宋体" w:eastAsia="宋体" w:cs="宋体"/>
          <w:color w:val="auto"/>
          <w:szCs w:val="21"/>
          <w:u w:val="single"/>
        </w:rPr>
        <w:t>5.2.2投标截止时间前未完成投标文件传输的或因投标人之外的原因（如：网络瘫痪、服务器损坏、交易系统故障短期无法恢复等因素）造成投标文件未解密的，视为投标人撤回投标文件。因投标人原因造成投标文件未解密的或未在投标截止时间后</w:t>
      </w:r>
      <w:r>
        <w:rPr>
          <w:rFonts w:hint="eastAsia" w:ascii="宋体" w:hAnsi="宋体" w:eastAsia="宋体" w:cs="宋体"/>
          <w:b/>
          <w:color w:val="auto"/>
          <w:szCs w:val="21"/>
          <w:u w:val="single"/>
        </w:rPr>
        <w:t>一小时内</w:t>
      </w:r>
      <w:r>
        <w:rPr>
          <w:rFonts w:hint="eastAsia" w:ascii="宋体" w:hAnsi="宋体" w:eastAsia="宋体" w:cs="宋体"/>
          <w:color w:val="auto"/>
          <w:szCs w:val="21"/>
          <w:u w:val="single"/>
        </w:rPr>
        <w:t>解密的且未提交备用光盘（或U盘）的，视为撤销其投标文件。</w:t>
      </w:r>
    </w:p>
    <w:p w14:paraId="26B2183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u w:val="single"/>
        </w:rPr>
      </w:pPr>
      <w:r>
        <w:rPr>
          <w:rFonts w:hint="eastAsia" w:ascii="宋体" w:hAnsi="宋体" w:eastAsia="宋体" w:cs="宋体"/>
          <w:bCs/>
          <w:color w:val="auto"/>
          <w:szCs w:val="21"/>
          <w:u w:val="single"/>
        </w:rPr>
        <w:t>5.2.3开标时，出现下列情形之一的，不参与资格审查和评标：</w:t>
      </w:r>
    </w:p>
    <w:p w14:paraId="12C9C0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u w:val="single"/>
        </w:rPr>
      </w:pPr>
      <w:r>
        <w:rPr>
          <w:rFonts w:hint="eastAsia" w:ascii="宋体" w:hAnsi="宋体" w:eastAsia="宋体" w:cs="宋体"/>
          <w:bCs/>
          <w:color w:val="auto"/>
          <w:szCs w:val="21"/>
          <w:u w:val="single"/>
        </w:rPr>
        <w:t>（1）未成功递交投标文件的。</w:t>
      </w:r>
    </w:p>
    <w:p w14:paraId="2BF8634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u w:val="single"/>
        </w:rPr>
      </w:pPr>
      <w:r>
        <w:rPr>
          <w:rFonts w:hint="eastAsia" w:ascii="宋体" w:hAnsi="宋体" w:eastAsia="宋体" w:cs="宋体"/>
          <w:bCs/>
          <w:color w:val="auto"/>
          <w:szCs w:val="21"/>
          <w:u w:val="single"/>
        </w:rPr>
        <w:t>（2）因投标人原因造成投标文件未解密的。</w:t>
      </w:r>
    </w:p>
    <w:p w14:paraId="70FF22B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rPr>
      </w:pPr>
      <w:r>
        <w:rPr>
          <w:rFonts w:hint="eastAsia" w:ascii="宋体" w:hAnsi="宋体" w:eastAsia="宋体" w:cs="宋体"/>
          <w:bCs/>
          <w:color w:val="auto"/>
          <w:szCs w:val="21"/>
          <w:u w:val="single"/>
        </w:rPr>
        <w:t>5.2.4开标时，两个（含两个）以上的投标人加密打包投标文件电脑机器特征码一致的，不参与下一程序，并由评标委员会否决其投标。</w:t>
      </w:r>
      <w:bookmarkStart w:id="163" w:name="_Toc49506164"/>
      <w:bookmarkStart w:id="164" w:name="_Toc49509998"/>
    </w:p>
    <w:p w14:paraId="08104BF2">
      <w:pPr>
        <w:pStyle w:val="4"/>
        <w:spacing w:line="240" w:lineRule="auto"/>
        <w:ind w:firstLine="137"/>
        <w:rPr>
          <w:rFonts w:hint="eastAsia" w:ascii="宋体" w:hAnsi="宋体" w:eastAsia="宋体" w:cs="宋体"/>
          <w:color w:val="auto"/>
        </w:rPr>
      </w:pPr>
      <w:r>
        <w:rPr>
          <w:rFonts w:hint="eastAsia" w:ascii="宋体" w:hAnsi="宋体" w:eastAsia="宋体" w:cs="宋体"/>
          <w:color w:val="auto"/>
        </w:rPr>
        <w:t>5.3 开标异议</w:t>
      </w:r>
      <w:bookmarkEnd w:id="163"/>
      <w:bookmarkEnd w:id="164"/>
    </w:p>
    <w:p w14:paraId="0CD9A665">
      <w:pPr>
        <w:spacing w:line="400" w:lineRule="exact"/>
        <w:ind w:firstLine="359" w:firstLineChars="171"/>
        <w:rPr>
          <w:rFonts w:hint="eastAsia" w:ascii="宋体" w:hAnsi="宋体" w:eastAsia="宋体" w:cs="宋体"/>
          <w:color w:val="auto"/>
        </w:rPr>
      </w:pPr>
      <w:r>
        <w:rPr>
          <w:rFonts w:hint="eastAsia" w:ascii="宋体" w:hAnsi="宋体" w:eastAsia="宋体" w:cs="宋体"/>
          <w:color w:val="auto"/>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34D0965">
      <w:pPr>
        <w:pStyle w:val="3"/>
        <w:rPr>
          <w:rFonts w:hint="eastAsia" w:ascii="宋体" w:hAnsi="宋体" w:eastAsia="宋体" w:cs="宋体"/>
          <w:color w:val="auto"/>
        </w:rPr>
      </w:pPr>
      <w:bookmarkStart w:id="165" w:name="_Toc49509999"/>
      <w:r>
        <w:rPr>
          <w:rFonts w:hint="eastAsia" w:ascii="宋体" w:hAnsi="宋体" w:eastAsia="宋体" w:cs="宋体"/>
          <w:color w:val="auto"/>
        </w:rPr>
        <w:t>6. 评标</w:t>
      </w:r>
      <w:bookmarkEnd w:id="165"/>
    </w:p>
    <w:p w14:paraId="1C13E093">
      <w:pPr>
        <w:pStyle w:val="4"/>
        <w:spacing w:line="240" w:lineRule="auto"/>
        <w:ind w:firstLine="137"/>
        <w:rPr>
          <w:rFonts w:hint="eastAsia" w:ascii="宋体" w:hAnsi="宋体" w:eastAsia="宋体" w:cs="宋体"/>
          <w:color w:val="auto"/>
        </w:rPr>
      </w:pPr>
      <w:bookmarkStart w:id="166" w:name="_Toc49510000"/>
      <w:bookmarkStart w:id="167" w:name="_Toc49506166"/>
      <w:r>
        <w:rPr>
          <w:rFonts w:hint="eastAsia" w:ascii="宋体" w:hAnsi="宋体" w:eastAsia="宋体" w:cs="宋体"/>
          <w:color w:val="auto"/>
        </w:rPr>
        <w:t>6.1 评标委员会</w:t>
      </w:r>
      <w:bookmarkEnd w:id="166"/>
      <w:bookmarkEnd w:id="167"/>
    </w:p>
    <w:p w14:paraId="243F232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7C4C01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6.1.2评标委员会成员有下列情形之一的，应当回避：</w:t>
      </w:r>
    </w:p>
    <w:p w14:paraId="29B10FE5">
      <w:pPr>
        <w:spacing w:line="400" w:lineRule="exact"/>
        <w:ind w:firstLine="718" w:firstLineChars="342"/>
        <w:rPr>
          <w:rFonts w:hint="eastAsia" w:ascii="宋体" w:hAnsi="宋体" w:eastAsia="宋体" w:cs="宋体"/>
          <w:color w:val="auto"/>
        </w:rPr>
      </w:pPr>
      <w:r>
        <w:rPr>
          <w:rFonts w:hint="eastAsia" w:ascii="宋体" w:hAnsi="宋体" w:eastAsia="宋体" w:cs="宋体"/>
          <w:color w:val="auto"/>
        </w:rPr>
        <w:t>（1）投标人或投标人主要负责人的近亲属；</w:t>
      </w:r>
    </w:p>
    <w:p w14:paraId="7EA22E7C">
      <w:pPr>
        <w:spacing w:line="400" w:lineRule="exact"/>
        <w:ind w:firstLine="718" w:firstLineChars="342"/>
        <w:rPr>
          <w:rFonts w:hint="eastAsia" w:ascii="宋体" w:hAnsi="宋体" w:eastAsia="宋体" w:cs="宋体"/>
          <w:color w:val="auto"/>
        </w:rPr>
      </w:pPr>
      <w:r>
        <w:rPr>
          <w:rFonts w:hint="eastAsia" w:ascii="宋体" w:hAnsi="宋体" w:eastAsia="宋体" w:cs="宋体"/>
          <w:color w:val="auto"/>
        </w:rPr>
        <w:t>（2）项目主管部门或者行政监督部门的人员；</w:t>
      </w:r>
    </w:p>
    <w:p w14:paraId="72AE35E3">
      <w:pPr>
        <w:spacing w:line="400" w:lineRule="exact"/>
        <w:ind w:firstLine="718" w:firstLineChars="342"/>
        <w:rPr>
          <w:rFonts w:hint="eastAsia" w:ascii="宋体" w:hAnsi="宋体" w:eastAsia="宋体" w:cs="宋体"/>
          <w:color w:val="auto"/>
        </w:rPr>
      </w:pPr>
      <w:r>
        <w:rPr>
          <w:rFonts w:hint="eastAsia" w:ascii="宋体" w:hAnsi="宋体" w:eastAsia="宋体" w:cs="宋体"/>
          <w:color w:val="auto"/>
        </w:rPr>
        <w:t>（3）与投标人有经济利益关系，可能影响对投标公正评审的；</w:t>
      </w:r>
    </w:p>
    <w:p w14:paraId="1B1CF66F">
      <w:pPr>
        <w:spacing w:line="400" w:lineRule="exact"/>
        <w:ind w:firstLine="718" w:firstLineChars="342"/>
        <w:rPr>
          <w:rFonts w:hint="eastAsia" w:ascii="宋体" w:hAnsi="宋体" w:eastAsia="宋体" w:cs="宋体"/>
          <w:color w:val="auto"/>
        </w:rPr>
      </w:pPr>
      <w:r>
        <w:rPr>
          <w:rFonts w:hint="eastAsia" w:ascii="宋体" w:hAnsi="宋体" w:eastAsia="宋体" w:cs="宋体"/>
          <w:color w:val="auto"/>
        </w:rPr>
        <w:t>（4）曾因在招标、评</w:t>
      </w:r>
      <w:bookmarkStart w:id="168" w:name="_Toc352691499"/>
      <w:bookmarkStart w:id="169" w:name="_Toc247527580"/>
      <w:bookmarkStart w:id="170" w:name="_Toc361508612"/>
      <w:bookmarkStart w:id="171" w:name="_Toc247513979"/>
      <w:bookmarkStart w:id="172" w:name="_Toc384308237"/>
      <w:bookmarkStart w:id="173" w:name="_Toc300834976"/>
      <w:bookmarkStart w:id="174" w:name="_Toc152042331"/>
      <w:bookmarkStart w:id="175" w:name="_Toc6230"/>
      <w:bookmarkStart w:id="176" w:name="_Toc144974523"/>
      <w:bookmarkStart w:id="177" w:name="_Toc152045555"/>
      <w:bookmarkStart w:id="178" w:name="_Toc369531543"/>
      <w:r>
        <w:rPr>
          <w:rFonts w:hint="eastAsia" w:ascii="宋体" w:hAnsi="宋体" w:eastAsia="宋体" w:cs="宋体"/>
          <w:color w:val="auto"/>
        </w:rPr>
        <w:t>标以及其他</w:t>
      </w:r>
      <w:bookmarkEnd w:id="168"/>
      <w:bookmarkEnd w:id="169"/>
      <w:bookmarkEnd w:id="170"/>
      <w:bookmarkEnd w:id="171"/>
      <w:bookmarkEnd w:id="172"/>
      <w:bookmarkEnd w:id="173"/>
      <w:bookmarkEnd w:id="174"/>
      <w:bookmarkEnd w:id="175"/>
      <w:bookmarkEnd w:id="176"/>
      <w:bookmarkEnd w:id="177"/>
      <w:bookmarkEnd w:id="178"/>
      <w:r>
        <w:rPr>
          <w:rFonts w:hint="eastAsia" w:ascii="宋体" w:hAnsi="宋体" w:eastAsia="宋体" w:cs="宋体"/>
          <w:color w:val="auto"/>
        </w:rPr>
        <w:t>与</w:t>
      </w:r>
      <w:bookmarkStart w:id="179" w:name="_Toc152045556"/>
      <w:bookmarkStart w:id="180" w:name="_Toc300834977"/>
      <w:bookmarkStart w:id="181" w:name="_Toc352691500"/>
      <w:bookmarkStart w:id="182" w:name="_Toc247513980"/>
      <w:bookmarkStart w:id="183" w:name="_Toc361508613"/>
      <w:bookmarkStart w:id="184" w:name="_Toc384308238"/>
      <w:bookmarkStart w:id="185" w:name="_Toc152042332"/>
      <w:bookmarkStart w:id="186" w:name="_Toc144974524"/>
      <w:bookmarkStart w:id="187" w:name="_Toc369531544"/>
      <w:bookmarkStart w:id="188" w:name="_Toc247527581"/>
      <w:bookmarkStart w:id="189" w:name="_Toc17703"/>
      <w:r>
        <w:rPr>
          <w:rFonts w:hint="eastAsia" w:ascii="宋体" w:hAnsi="宋体" w:eastAsia="宋体" w:cs="宋体"/>
          <w:color w:val="auto"/>
        </w:rPr>
        <w:t>招标投标有关活动中从事违法行</w:t>
      </w:r>
      <w:bookmarkEnd w:id="179"/>
      <w:bookmarkEnd w:id="180"/>
      <w:bookmarkEnd w:id="181"/>
      <w:bookmarkEnd w:id="182"/>
      <w:bookmarkEnd w:id="183"/>
      <w:bookmarkEnd w:id="184"/>
      <w:bookmarkEnd w:id="185"/>
      <w:bookmarkEnd w:id="186"/>
      <w:bookmarkEnd w:id="187"/>
      <w:bookmarkEnd w:id="188"/>
      <w:bookmarkEnd w:id="189"/>
      <w:r>
        <w:rPr>
          <w:rFonts w:hint="eastAsia" w:ascii="宋体" w:hAnsi="宋体" w:eastAsia="宋体" w:cs="宋体"/>
          <w:color w:val="auto"/>
        </w:rPr>
        <w:t>为而受过行政处罚或刑事处罚的；</w:t>
      </w:r>
    </w:p>
    <w:p w14:paraId="5DA30CAD">
      <w:pPr>
        <w:spacing w:line="400" w:lineRule="exact"/>
        <w:ind w:firstLine="718" w:firstLineChars="342"/>
        <w:rPr>
          <w:rFonts w:hint="eastAsia" w:ascii="宋体" w:hAnsi="宋体" w:eastAsia="宋体" w:cs="宋体"/>
          <w:color w:val="auto"/>
        </w:rPr>
      </w:pPr>
      <w:r>
        <w:rPr>
          <w:rFonts w:hint="eastAsia" w:ascii="宋体" w:hAnsi="宋体" w:eastAsia="宋体" w:cs="宋体"/>
          <w:color w:val="auto"/>
        </w:rPr>
        <w:t>（5）与投标人有其他利害关系。</w:t>
      </w:r>
    </w:p>
    <w:p w14:paraId="613AFCA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6.1.3评标过程中，评标委员会成员有回避事由、擅离职守或者因健康等原因不能继续评标的，招标人有权更换。被更换的评标委员会成员作出的评审结论无效，由更换后的评标委员会成员重新进行评审。</w:t>
      </w:r>
    </w:p>
    <w:p w14:paraId="4D00657A">
      <w:pPr>
        <w:pStyle w:val="4"/>
        <w:spacing w:line="240" w:lineRule="auto"/>
        <w:ind w:firstLine="137"/>
        <w:rPr>
          <w:rFonts w:hint="eastAsia" w:ascii="宋体" w:hAnsi="宋体" w:eastAsia="宋体" w:cs="宋体"/>
          <w:color w:val="auto"/>
        </w:rPr>
      </w:pPr>
      <w:bookmarkStart w:id="190" w:name="_Toc49506167"/>
      <w:bookmarkStart w:id="191" w:name="_Toc49510001"/>
      <w:r>
        <w:rPr>
          <w:rFonts w:hint="eastAsia" w:ascii="宋体" w:hAnsi="宋体" w:eastAsia="宋体" w:cs="宋体"/>
          <w:color w:val="auto"/>
        </w:rPr>
        <w:t>6.2 评标原则</w:t>
      </w:r>
      <w:bookmarkEnd w:id="190"/>
      <w:bookmarkEnd w:id="191"/>
    </w:p>
    <w:p w14:paraId="1065755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评标活动遵循公平、公正、科学和择优的原</w:t>
      </w:r>
      <w:bookmarkStart w:id="192" w:name="_Toc369531545"/>
      <w:bookmarkStart w:id="193" w:name="_Toc352691501"/>
      <w:bookmarkStart w:id="194" w:name="_Toc247527582"/>
      <w:bookmarkStart w:id="195" w:name="_Toc300834978"/>
      <w:bookmarkStart w:id="196" w:name="_Toc384308239"/>
      <w:bookmarkStart w:id="197" w:name="_Toc152045557"/>
      <w:bookmarkStart w:id="198" w:name="_Toc152042333"/>
      <w:bookmarkStart w:id="199" w:name="_Toc361508614"/>
      <w:bookmarkStart w:id="200" w:name="_Toc18949"/>
      <w:bookmarkStart w:id="201" w:name="_Toc247513981"/>
      <w:bookmarkStart w:id="202" w:name="_Toc144974525"/>
      <w:r>
        <w:rPr>
          <w:rFonts w:hint="eastAsia" w:ascii="宋体" w:hAnsi="宋体" w:eastAsia="宋体" w:cs="宋体"/>
          <w:color w:val="auto"/>
        </w:rPr>
        <w:t>则。</w:t>
      </w:r>
    </w:p>
    <w:p w14:paraId="0B922D78">
      <w:pPr>
        <w:pStyle w:val="4"/>
        <w:spacing w:line="240" w:lineRule="auto"/>
        <w:ind w:firstLine="137"/>
        <w:rPr>
          <w:rFonts w:hint="eastAsia" w:ascii="宋体" w:hAnsi="宋体" w:eastAsia="宋体" w:cs="宋体"/>
          <w:color w:val="auto"/>
        </w:rPr>
      </w:pPr>
      <w:bookmarkStart w:id="203" w:name="_Toc49510002"/>
      <w:bookmarkStart w:id="204" w:name="_Toc49506168"/>
      <w:r>
        <w:rPr>
          <w:rFonts w:hint="eastAsia" w:ascii="宋体" w:hAnsi="宋体" w:eastAsia="宋体" w:cs="宋体"/>
          <w:color w:val="auto"/>
        </w:rPr>
        <w:t>6.3 评标</w:t>
      </w:r>
      <w:bookmarkEnd w:id="203"/>
      <w:bookmarkEnd w:id="204"/>
    </w:p>
    <w:p w14:paraId="67BD947A">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color w:val="auto"/>
        </w:rPr>
        <w:t>.3.1评标委员会按照第三章评标办法（“评定分离”定标办法）规定的方法、评审因素、标准和程序对投标文件进行评审。第三章评标办法（“评定分离”定标办法）没有规定的方法、评审因素和标准，不作为评标依据。</w:t>
      </w:r>
    </w:p>
    <w:p w14:paraId="1AE8B705">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6.3.2评标完成后，评标委员会应当向招标人提交书面评标报告和中标候选人名单。</w:t>
      </w:r>
    </w:p>
    <w:p w14:paraId="3E7106BB">
      <w:pPr>
        <w:pStyle w:val="3"/>
        <w:rPr>
          <w:rFonts w:hint="eastAsia" w:ascii="宋体" w:hAnsi="宋体" w:eastAsia="宋体" w:cs="宋体"/>
          <w:color w:val="auto"/>
        </w:rPr>
      </w:pPr>
      <w:bookmarkStart w:id="205" w:name="_Toc49510004"/>
      <w:r>
        <w:rPr>
          <w:rFonts w:hint="eastAsia" w:ascii="宋体" w:hAnsi="宋体" w:eastAsia="宋体" w:cs="宋体"/>
          <w:color w:val="auto"/>
        </w:rPr>
        <w:t>7. 合同授予</w:t>
      </w:r>
      <w:bookmarkEnd w:id="205"/>
    </w:p>
    <w:p w14:paraId="5C866B30">
      <w:pPr>
        <w:pStyle w:val="4"/>
        <w:spacing w:line="240" w:lineRule="auto"/>
        <w:ind w:firstLine="137"/>
        <w:rPr>
          <w:rFonts w:hint="eastAsia" w:ascii="宋体" w:hAnsi="宋体" w:eastAsia="宋体" w:cs="宋体"/>
          <w:color w:val="auto"/>
        </w:rPr>
      </w:pPr>
      <w:bookmarkStart w:id="206" w:name="_Toc49510005"/>
      <w:bookmarkStart w:id="207" w:name="_Toc49506170"/>
      <w:r>
        <w:rPr>
          <w:rFonts w:hint="eastAsia" w:ascii="宋体" w:hAnsi="宋体" w:eastAsia="宋体" w:cs="宋体"/>
          <w:color w:val="auto"/>
        </w:rPr>
        <w:t>7.1 中标候选人公示</w:t>
      </w:r>
      <w:bookmarkEnd w:id="206"/>
      <w:bookmarkEnd w:id="207"/>
    </w:p>
    <w:p w14:paraId="75567D41">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招标人在收到评标报告之日起3日内，按照投标人须知前附表规定的公示媒介和期限公示中标候选人，公示期不得少于3天。</w:t>
      </w:r>
    </w:p>
    <w:p w14:paraId="565855A4">
      <w:pPr>
        <w:pStyle w:val="4"/>
        <w:spacing w:line="240" w:lineRule="auto"/>
        <w:ind w:firstLine="137"/>
        <w:rPr>
          <w:rFonts w:hint="eastAsia" w:ascii="宋体" w:hAnsi="宋体" w:eastAsia="宋体" w:cs="宋体"/>
          <w:color w:val="auto"/>
        </w:rPr>
      </w:pPr>
      <w:bookmarkStart w:id="208" w:name="_Toc49506171"/>
      <w:bookmarkStart w:id="209" w:name="_Toc49510006"/>
      <w:r>
        <w:rPr>
          <w:rFonts w:hint="eastAsia" w:ascii="宋体" w:hAnsi="宋体" w:eastAsia="宋体" w:cs="宋体"/>
          <w:color w:val="auto"/>
        </w:rPr>
        <w:t>7.2 评标结果异议</w:t>
      </w:r>
      <w:bookmarkEnd w:id="208"/>
      <w:bookmarkEnd w:id="209"/>
    </w:p>
    <w:p w14:paraId="676E47AF">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p>
    <w:p w14:paraId="1F09A72B">
      <w:pPr>
        <w:pStyle w:val="4"/>
        <w:spacing w:line="240" w:lineRule="auto"/>
        <w:ind w:firstLine="137"/>
        <w:rPr>
          <w:rFonts w:hint="eastAsia" w:ascii="宋体" w:hAnsi="宋体" w:eastAsia="宋体" w:cs="宋体"/>
          <w:color w:val="auto"/>
        </w:rPr>
      </w:pPr>
      <w:bookmarkStart w:id="210" w:name="_Toc49510007"/>
      <w:bookmarkStart w:id="211" w:name="_Toc49506172"/>
      <w:r>
        <w:rPr>
          <w:rFonts w:hint="eastAsia" w:ascii="宋体" w:hAnsi="宋体" w:eastAsia="宋体" w:cs="宋体"/>
          <w:color w:val="auto"/>
        </w:rPr>
        <w:t>7.3 中标候选人履约能力审查</w:t>
      </w:r>
      <w:bookmarkEnd w:id="210"/>
      <w:bookmarkEnd w:id="211"/>
    </w:p>
    <w:p w14:paraId="454E6D79">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中标候选人的经营、财务状况发生较大变化或存在违法行为，招标人认为可能影响其履约能力的，将在发出中标通知书前提请原评标委员会按照招标文件规定的标准和方法进行审查确认。</w:t>
      </w:r>
    </w:p>
    <w:p w14:paraId="4BA99C14">
      <w:pPr>
        <w:pStyle w:val="4"/>
        <w:spacing w:line="240" w:lineRule="auto"/>
        <w:ind w:firstLine="137"/>
        <w:rPr>
          <w:rFonts w:hint="eastAsia" w:ascii="宋体" w:hAnsi="宋体" w:eastAsia="宋体" w:cs="宋体"/>
          <w:color w:val="auto"/>
        </w:rPr>
      </w:pPr>
      <w:bookmarkStart w:id="212" w:name="_Toc49506173"/>
      <w:bookmarkStart w:id="213" w:name="_Toc49510008"/>
      <w:r>
        <w:rPr>
          <w:rFonts w:hint="eastAsia" w:ascii="宋体" w:hAnsi="宋体" w:eastAsia="宋体" w:cs="宋体"/>
          <w:color w:val="auto"/>
        </w:rPr>
        <w:t>7.4 定标</w:t>
      </w:r>
      <w:bookmarkEnd w:id="212"/>
      <w:bookmarkEnd w:id="213"/>
    </w:p>
    <w:p w14:paraId="0A56008A">
      <w:pPr>
        <w:spacing w:line="420" w:lineRule="exact"/>
        <w:ind w:firstLine="420" w:firstLineChars="200"/>
        <w:rPr>
          <w:rFonts w:hint="eastAsia" w:ascii="宋体" w:hAnsi="宋体" w:eastAsia="宋体" w:cs="宋体"/>
          <w:color w:val="auto"/>
          <w:u w:val="single"/>
        </w:rPr>
      </w:pPr>
      <w:r>
        <w:rPr>
          <w:rFonts w:hint="eastAsia" w:ascii="宋体" w:hAnsi="宋体" w:eastAsia="宋体" w:cs="宋体"/>
          <w:color w:val="auto"/>
          <w:szCs w:val="24"/>
          <w:u w:val="single"/>
        </w:rPr>
        <w:t>定标委员会</w:t>
      </w:r>
      <w:r>
        <w:rPr>
          <w:rFonts w:hint="eastAsia" w:ascii="宋体" w:hAnsi="宋体" w:eastAsia="宋体" w:cs="宋体"/>
          <w:color w:val="auto"/>
          <w:u w:val="single"/>
        </w:rPr>
        <w:t>按照投标人须知前附表的规定依法确定中标人。</w:t>
      </w:r>
    </w:p>
    <w:p w14:paraId="7DCF14D3">
      <w:pPr>
        <w:pStyle w:val="4"/>
        <w:spacing w:line="240" w:lineRule="auto"/>
        <w:ind w:firstLine="137"/>
        <w:rPr>
          <w:rFonts w:hint="eastAsia" w:ascii="宋体" w:hAnsi="宋体" w:eastAsia="宋体" w:cs="宋体"/>
          <w:color w:val="auto"/>
        </w:rPr>
      </w:pPr>
      <w:bookmarkStart w:id="214" w:name="_Toc49510009"/>
      <w:bookmarkStart w:id="215" w:name="_Toc49506174"/>
      <w:r>
        <w:rPr>
          <w:rFonts w:hint="eastAsia" w:ascii="宋体" w:hAnsi="宋体" w:eastAsia="宋体" w:cs="宋体"/>
          <w:color w:val="auto"/>
        </w:rPr>
        <w:t>7.5 中标通知</w:t>
      </w:r>
      <w:bookmarkEnd w:id="214"/>
      <w:bookmarkEnd w:id="215"/>
    </w:p>
    <w:p w14:paraId="49B20D5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在本章第3.3款规定的投标有效期内，招标人以书面形式向中标人发出中标</w:t>
      </w:r>
      <w:bookmarkStart w:id="216" w:name="_Toc361508619"/>
      <w:bookmarkStart w:id="217" w:name="_Toc5668"/>
      <w:bookmarkStart w:id="218" w:name="_Toc300834983"/>
      <w:bookmarkStart w:id="219" w:name="_Toc369531550"/>
      <w:bookmarkStart w:id="220" w:name="_Toc352691506"/>
      <w:bookmarkStart w:id="221" w:name="_Toc384308244"/>
      <w:r>
        <w:rPr>
          <w:rFonts w:hint="eastAsia" w:ascii="宋体" w:hAnsi="宋体" w:eastAsia="宋体" w:cs="宋体"/>
          <w:color w:val="auto"/>
        </w:rPr>
        <w:t>通知书，同时将中</w:t>
      </w:r>
      <w:bookmarkEnd w:id="216"/>
      <w:bookmarkEnd w:id="217"/>
      <w:bookmarkEnd w:id="218"/>
      <w:bookmarkEnd w:id="219"/>
      <w:bookmarkEnd w:id="220"/>
      <w:bookmarkEnd w:id="221"/>
      <w:r>
        <w:rPr>
          <w:rFonts w:hint="eastAsia" w:ascii="宋体" w:hAnsi="宋体" w:eastAsia="宋体" w:cs="宋体"/>
          <w:color w:val="auto"/>
        </w:rPr>
        <w:t>标结果通知未中标的投标人。</w:t>
      </w:r>
    </w:p>
    <w:p w14:paraId="43AE110C">
      <w:pPr>
        <w:pStyle w:val="4"/>
        <w:spacing w:line="240" w:lineRule="auto"/>
        <w:ind w:firstLine="137"/>
        <w:rPr>
          <w:rFonts w:hint="eastAsia" w:ascii="宋体" w:hAnsi="宋体" w:eastAsia="宋体" w:cs="宋体"/>
          <w:color w:val="auto"/>
        </w:rPr>
      </w:pPr>
      <w:bookmarkStart w:id="222" w:name="_Toc49506175"/>
      <w:bookmarkStart w:id="223" w:name="_Toc49510010"/>
      <w:r>
        <w:rPr>
          <w:rFonts w:hint="eastAsia" w:ascii="宋体" w:hAnsi="宋体" w:eastAsia="宋体" w:cs="宋体"/>
          <w:color w:val="auto"/>
        </w:rPr>
        <w:t>7.6 履约保证金</w:t>
      </w:r>
      <w:bookmarkEnd w:id="222"/>
      <w:bookmarkEnd w:id="223"/>
      <w:r>
        <w:rPr>
          <w:rFonts w:hint="eastAsia" w:ascii="宋体" w:hAnsi="宋体" w:eastAsia="宋体" w:cs="宋体"/>
          <w:b/>
          <w:color w:val="auto"/>
          <w:szCs w:val="28"/>
          <w:u w:val="single"/>
        </w:rPr>
        <w:t>（本项目不要求递交履约保证金）</w:t>
      </w:r>
    </w:p>
    <w:p w14:paraId="27C988F8">
      <w:pPr>
        <w:spacing w:line="40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45C55708">
      <w:pPr>
        <w:spacing w:line="40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7.6.2中标人不能按本章第7.6.1项要求提交履约保证金的，视为放弃中标，其投标保证金不予退还，给招标人造成的损失超过投标保证金数额的，中标人还应当对超过部分予以赔偿。</w:t>
      </w:r>
    </w:p>
    <w:p w14:paraId="533E0930">
      <w:pPr>
        <w:pStyle w:val="4"/>
        <w:spacing w:line="240" w:lineRule="auto"/>
        <w:ind w:firstLine="137"/>
        <w:rPr>
          <w:rFonts w:hint="eastAsia" w:ascii="宋体" w:hAnsi="宋体" w:eastAsia="宋体" w:cs="宋体"/>
          <w:color w:val="auto"/>
        </w:rPr>
      </w:pPr>
      <w:bookmarkStart w:id="224" w:name="_Toc49506176"/>
      <w:bookmarkStart w:id="225" w:name="_Toc49510011"/>
      <w:r>
        <w:rPr>
          <w:rFonts w:hint="eastAsia" w:ascii="宋体" w:hAnsi="宋体" w:eastAsia="宋体" w:cs="宋体"/>
          <w:color w:val="auto"/>
        </w:rPr>
        <w:t>7.7 签订合同</w:t>
      </w:r>
      <w:bookmarkEnd w:id="224"/>
      <w:bookmarkEnd w:id="225"/>
    </w:p>
    <w:p w14:paraId="10DD556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7.7.1招标人和中标人应当在中标通知书发出之日起30日内，根据招标文件和中标人的投标文件订立书面合同。中标人无正当理由拒签合同，在签订合同时向招标人提出附加条件，</w:t>
      </w:r>
      <w:r>
        <w:rPr>
          <w:rFonts w:hint="eastAsia" w:ascii="宋体" w:hAnsi="宋体" w:eastAsia="宋体" w:cs="宋体"/>
          <w:strike/>
          <w:color w:val="auto"/>
        </w:rPr>
        <w:t>或者不按照招标文件要求提交履约保证金的，</w:t>
      </w:r>
      <w:r>
        <w:rPr>
          <w:rFonts w:hint="eastAsia" w:ascii="宋体" w:hAnsi="宋体" w:eastAsia="宋体" w:cs="宋体"/>
          <w:color w:val="auto"/>
        </w:rPr>
        <w:t>招标人有权取消其中标资格</w:t>
      </w:r>
      <w:r>
        <w:rPr>
          <w:rFonts w:hint="eastAsia" w:ascii="宋体" w:hAnsi="宋体" w:eastAsia="宋体" w:cs="宋体"/>
          <w:strike/>
          <w:color w:val="auto"/>
        </w:rPr>
        <w:t>，其投标保证金不予退还</w:t>
      </w:r>
      <w:r>
        <w:rPr>
          <w:rFonts w:hint="eastAsia" w:ascii="宋体" w:hAnsi="宋体" w:eastAsia="宋体" w:cs="宋体"/>
          <w:color w:val="auto"/>
        </w:rPr>
        <w:t>；给招标人造成的损失</w:t>
      </w:r>
      <w:r>
        <w:rPr>
          <w:rFonts w:hint="eastAsia" w:ascii="宋体" w:hAnsi="宋体" w:eastAsia="宋体" w:cs="宋体"/>
          <w:strike/>
          <w:color w:val="auto"/>
        </w:rPr>
        <w:t>超过投标保证金数额</w:t>
      </w:r>
      <w:r>
        <w:rPr>
          <w:rFonts w:hint="eastAsia" w:ascii="宋体" w:hAnsi="宋体" w:eastAsia="宋体" w:cs="宋体"/>
          <w:color w:val="auto"/>
        </w:rPr>
        <w:t>的，中标人还应当</w:t>
      </w:r>
      <w:r>
        <w:rPr>
          <w:rFonts w:hint="eastAsia" w:ascii="宋体" w:hAnsi="宋体" w:eastAsia="宋体" w:cs="宋体"/>
          <w:strike/>
          <w:color w:val="auto"/>
        </w:rPr>
        <w:t>对超过部分</w:t>
      </w:r>
      <w:r>
        <w:rPr>
          <w:rFonts w:hint="eastAsia" w:ascii="宋体" w:hAnsi="宋体" w:eastAsia="宋体" w:cs="宋体"/>
          <w:color w:val="auto"/>
        </w:rPr>
        <w:t>予以赔偿。</w:t>
      </w:r>
    </w:p>
    <w:p w14:paraId="195C38AA">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7.7.2发出中标通知书后，招标人无正当理由拒签合同，或者在签订合同时向中标人提出附加条件</w:t>
      </w:r>
      <w:r>
        <w:rPr>
          <w:rFonts w:hint="eastAsia" w:ascii="宋体" w:hAnsi="宋体" w:eastAsia="宋体" w:cs="宋体"/>
          <w:strike/>
          <w:color w:val="auto"/>
        </w:rPr>
        <w:t>的，招标人向中标人退还投标保证金；</w:t>
      </w:r>
      <w:r>
        <w:rPr>
          <w:rFonts w:hint="eastAsia" w:ascii="宋体" w:hAnsi="宋体" w:eastAsia="宋体" w:cs="宋体"/>
          <w:color w:val="auto"/>
        </w:rPr>
        <w:t>给中标人造成损失的，还应当赔偿损失。</w:t>
      </w:r>
    </w:p>
    <w:p w14:paraId="527421FA">
      <w:pPr>
        <w:spacing w:line="400" w:lineRule="exact"/>
        <w:ind w:firstLine="420" w:firstLineChars="200"/>
        <w:rPr>
          <w:rFonts w:hint="eastAsia" w:ascii="宋体" w:hAnsi="宋体" w:eastAsia="宋体" w:cs="宋体"/>
          <w:color w:val="auto"/>
        </w:rPr>
      </w:pPr>
      <w:r>
        <w:rPr>
          <w:rFonts w:hint="eastAsia" w:ascii="宋体" w:hAnsi="宋体" w:eastAsia="宋体" w:cs="宋体"/>
          <w:strike/>
          <w:color w:val="auto"/>
        </w:rPr>
        <w:t>7.7.3联合体中标的，联合体各方应当共同与招标人签订合同，就中标项目向招标人承担连带责任。</w:t>
      </w:r>
    </w:p>
    <w:p w14:paraId="61AC1934">
      <w:pPr>
        <w:pStyle w:val="3"/>
        <w:rPr>
          <w:rFonts w:hint="eastAsia" w:ascii="宋体" w:hAnsi="宋体" w:eastAsia="宋体" w:cs="宋体"/>
          <w:color w:val="auto"/>
        </w:rPr>
      </w:pPr>
      <w:bookmarkStart w:id="226" w:name="_Toc361508627"/>
      <w:bookmarkStart w:id="227" w:name="_Toc24067"/>
      <w:bookmarkStart w:id="228" w:name="_Toc384308252"/>
      <w:bookmarkStart w:id="229" w:name="_Toc49510012"/>
      <w:bookmarkStart w:id="230" w:name="_Toc152042344"/>
      <w:bookmarkStart w:id="231" w:name="_Toc144974536"/>
      <w:bookmarkStart w:id="232" w:name="_Toc300834991"/>
      <w:bookmarkStart w:id="233" w:name="_Toc247513992"/>
      <w:bookmarkStart w:id="234" w:name="_Toc152045568"/>
      <w:bookmarkStart w:id="235" w:name="_Toc247527593"/>
      <w:r>
        <w:rPr>
          <w:rFonts w:hint="eastAsia" w:ascii="宋体" w:hAnsi="宋体" w:eastAsia="宋体" w:cs="宋体"/>
          <w:color w:val="auto"/>
        </w:rPr>
        <w:t>8.</w:t>
      </w:r>
      <w:bookmarkEnd w:id="226"/>
      <w:bookmarkEnd w:id="227"/>
      <w:bookmarkEnd w:id="228"/>
      <w:r>
        <w:rPr>
          <w:rFonts w:hint="eastAsia" w:ascii="宋体" w:hAnsi="宋体" w:eastAsia="宋体" w:cs="宋体"/>
          <w:color w:val="auto"/>
        </w:rPr>
        <w:t>纪律和监督</w:t>
      </w:r>
      <w:bookmarkEnd w:id="229"/>
    </w:p>
    <w:p w14:paraId="3EB82B91">
      <w:pPr>
        <w:pStyle w:val="4"/>
        <w:spacing w:line="240" w:lineRule="auto"/>
        <w:ind w:firstLine="137"/>
        <w:rPr>
          <w:rFonts w:hint="eastAsia" w:ascii="宋体" w:hAnsi="宋体" w:eastAsia="宋体" w:cs="宋体"/>
          <w:color w:val="auto"/>
        </w:rPr>
      </w:pPr>
      <w:bookmarkStart w:id="236" w:name="_Toc49510013"/>
      <w:bookmarkStart w:id="237" w:name="_Toc49506178"/>
      <w:r>
        <w:rPr>
          <w:rFonts w:hint="eastAsia" w:ascii="宋体" w:hAnsi="宋体" w:eastAsia="宋体" w:cs="宋体"/>
          <w:color w:val="auto"/>
        </w:rPr>
        <w:t>8.1 对招标人的纪律要求</w:t>
      </w:r>
      <w:bookmarkEnd w:id="236"/>
      <w:bookmarkEnd w:id="237"/>
    </w:p>
    <w:p w14:paraId="0CDB35A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招标人不得泄露招标投标活动中应当保密的情况和资料，不得与投标人串通损害国家利益、社会公共利益或者他人合法权益。</w:t>
      </w:r>
    </w:p>
    <w:p w14:paraId="0CB17A39">
      <w:pPr>
        <w:pStyle w:val="4"/>
        <w:spacing w:line="240" w:lineRule="auto"/>
        <w:ind w:firstLine="137"/>
        <w:rPr>
          <w:rFonts w:hint="eastAsia" w:ascii="宋体" w:hAnsi="宋体" w:eastAsia="宋体" w:cs="宋体"/>
          <w:color w:val="auto"/>
        </w:rPr>
      </w:pPr>
      <w:bookmarkStart w:id="238" w:name="_Toc49506179"/>
      <w:bookmarkStart w:id="239" w:name="_Toc49510014"/>
      <w:r>
        <w:rPr>
          <w:rFonts w:hint="eastAsia" w:ascii="宋体" w:hAnsi="宋体" w:eastAsia="宋体" w:cs="宋体"/>
          <w:color w:val="auto"/>
        </w:rPr>
        <w:t>8.2 对投标人的纪律要求</w:t>
      </w:r>
      <w:bookmarkEnd w:id="238"/>
      <w:bookmarkEnd w:id="239"/>
    </w:p>
    <w:p w14:paraId="6E987D0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2E3154B">
      <w:pPr>
        <w:pStyle w:val="4"/>
        <w:spacing w:line="240" w:lineRule="auto"/>
        <w:ind w:firstLine="137"/>
        <w:rPr>
          <w:rFonts w:hint="eastAsia" w:ascii="宋体" w:hAnsi="宋体" w:eastAsia="宋体" w:cs="宋体"/>
          <w:color w:val="auto"/>
        </w:rPr>
      </w:pPr>
      <w:bookmarkStart w:id="240" w:name="_Toc49506180"/>
      <w:bookmarkStart w:id="241" w:name="_Toc49510015"/>
      <w:r>
        <w:rPr>
          <w:rFonts w:hint="eastAsia" w:ascii="宋体" w:hAnsi="宋体" w:eastAsia="宋体" w:cs="宋体"/>
          <w:color w:val="auto"/>
        </w:rPr>
        <w:t>8.3 对评标委员会成员的纪律要求</w:t>
      </w:r>
      <w:bookmarkEnd w:id="240"/>
      <w:bookmarkEnd w:id="241"/>
    </w:p>
    <w:p w14:paraId="0945CDD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评标委员会成员不得收受他人的财物或者其他好处，不得向他人透露对投标文件的评审</w:t>
      </w:r>
      <w:bookmarkStart w:id="242" w:name="_Toc361508628"/>
      <w:bookmarkStart w:id="243" w:name="_Toc384308253"/>
      <w:bookmarkStart w:id="244" w:name="_Toc369531559"/>
      <w:bookmarkStart w:id="245" w:name="_Toc352691515"/>
      <w:bookmarkStart w:id="246" w:name="_Toc13644"/>
      <w:r>
        <w:rPr>
          <w:rFonts w:hint="eastAsia" w:ascii="宋体" w:hAnsi="宋体" w:eastAsia="宋体" w:cs="宋体"/>
          <w:color w:val="auto"/>
        </w:rPr>
        <w:t>和比较、中标候选人</w:t>
      </w:r>
      <w:bookmarkEnd w:id="230"/>
      <w:bookmarkEnd w:id="231"/>
      <w:bookmarkEnd w:id="232"/>
      <w:bookmarkEnd w:id="233"/>
      <w:bookmarkEnd w:id="234"/>
      <w:bookmarkEnd w:id="235"/>
      <w:bookmarkEnd w:id="242"/>
      <w:bookmarkEnd w:id="243"/>
      <w:bookmarkEnd w:id="244"/>
      <w:bookmarkEnd w:id="245"/>
      <w:bookmarkEnd w:id="246"/>
      <w:r>
        <w:rPr>
          <w:rFonts w:hint="eastAsia" w:ascii="宋体" w:hAnsi="宋体" w:eastAsia="宋体" w:cs="宋体"/>
          <w:color w:val="auto"/>
        </w:rPr>
        <w:t>的推荐情况以及评标有关的其他情况。在评标活动中，评标委员会成员应当客观、公正地履行职责，遵守职业道德，不得擅离职守，影响评标程序正常进行，不得使用第三章评标办法（“评定分离”定标办法）没有规定的评审因素和标准进行评标。</w:t>
      </w:r>
    </w:p>
    <w:p w14:paraId="41605718">
      <w:pPr>
        <w:pStyle w:val="4"/>
        <w:spacing w:line="240" w:lineRule="auto"/>
        <w:ind w:firstLine="137"/>
        <w:rPr>
          <w:rFonts w:hint="eastAsia" w:ascii="宋体" w:hAnsi="宋体" w:eastAsia="宋体" w:cs="宋体"/>
          <w:color w:val="auto"/>
        </w:rPr>
      </w:pPr>
      <w:bookmarkStart w:id="247" w:name="_Toc49506181"/>
      <w:bookmarkStart w:id="248" w:name="_Toc49510016"/>
      <w:r>
        <w:rPr>
          <w:rFonts w:hint="eastAsia" w:ascii="宋体" w:hAnsi="宋体" w:eastAsia="宋体" w:cs="宋体"/>
          <w:color w:val="auto"/>
        </w:rPr>
        <w:t>8.4 对与评标活动有关的工作人员的纪律要求</w:t>
      </w:r>
      <w:bookmarkEnd w:id="247"/>
      <w:bookmarkEnd w:id="248"/>
    </w:p>
    <w:p w14:paraId="79BFD62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与评标活动有关的工作人员不得收受他人的财物或者其他好处，不得向他人透露对投标文件</w:t>
      </w:r>
      <w:bookmarkStart w:id="249" w:name="_Toc19429"/>
      <w:bookmarkStart w:id="250" w:name="_Toc152042345"/>
      <w:bookmarkStart w:id="251" w:name="_Toc361508629"/>
      <w:bookmarkStart w:id="252" w:name="_Toc247527594"/>
      <w:bookmarkStart w:id="253" w:name="_Toc300834992"/>
      <w:bookmarkStart w:id="254" w:name="_Toc384308254"/>
      <w:bookmarkStart w:id="255" w:name="_Toc247513993"/>
      <w:bookmarkStart w:id="256" w:name="_Toc144974537"/>
      <w:bookmarkStart w:id="257" w:name="_Toc152045569"/>
      <w:bookmarkStart w:id="258" w:name="_Toc369531560"/>
      <w:bookmarkStart w:id="259" w:name="_Toc352691516"/>
      <w:r>
        <w:rPr>
          <w:rFonts w:hint="eastAsia" w:ascii="宋体" w:hAnsi="宋体" w:eastAsia="宋体" w:cs="宋体"/>
          <w:color w:val="auto"/>
        </w:rPr>
        <w:t>的评审和比较、中标</w:t>
      </w:r>
      <w:bookmarkEnd w:id="249"/>
      <w:bookmarkEnd w:id="250"/>
      <w:bookmarkEnd w:id="251"/>
      <w:bookmarkEnd w:id="252"/>
      <w:bookmarkEnd w:id="253"/>
      <w:bookmarkEnd w:id="254"/>
      <w:bookmarkEnd w:id="255"/>
      <w:bookmarkEnd w:id="256"/>
      <w:bookmarkEnd w:id="257"/>
      <w:bookmarkEnd w:id="258"/>
      <w:bookmarkEnd w:id="259"/>
      <w:r>
        <w:rPr>
          <w:rFonts w:hint="eastAsia" w:ascii="宋体" w:hAnsi="宋体" w:eastAsia="宋体" w:cs="宋体"/>
          <w:color w:val="auto"/>
        </w:rPr>
        <w:t>候选人的推荐情况以及评标有关的其他情况。在评标活动中，与评标活动有关的工作人员不得擅离职守，影响评标程序正常进行。</w:t>
      </w:r>
    </w:p>
    <w:p w14:paraId="1724714B">
      <w:pPr>
        <w:pStyle w:val="4"/>
        <w:spacing w:line="240" w:lineRule="auto"/>
        <w:ind w:firstLine="137"/>
        <w:rPr>
          <w:rFonts w:hint="eastAsia" w:ascii="宋体" w:hAnsi="宋体" w:eastAsia="宋体" w:cs="宋体"/>
          <w:color w:val="auto"/>
        </w:rPr>
      </w:pPr>
      <w:bookmarkStart w:id="260" w:name="_Toc49510017"/>
      <w:bookmarkStart w:id="261" w:name="_Toc49506182"/>
      <w:r>
        <w:rPr>
          <w:rFonts w:hint="eastAsia" w:ascii="宋体" w:hAnsi="宋体" w:eastAsia="宋体" w:cs="宋体"/>
          <w:color w:val="auto"/>
        </w:rPr>
        <w:t>8.5 投诉</w:t>
      </w:r>
      <w:bookmarkEnd w:id="260"/>
      <w:bookmarkEnd w:id="261"/>
    </w:p>
    <w:p w14:paraId="52A6EFB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8.5.1投标人或者其他利害关系人认为招标投标活动不符合法律、行政法规规定的，可以自知道或者应当知道之日起10日内向有关行政监督部门投诉。投诉应当有明确的请求和必要的证明材料。</w:t>
      </w:r>
    </w:p>
    <w:p w14:paraId="209FBD4B">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8.5.2 投标人或者其他利害关系人对招标文件、开标和评标结果提出投诉的，应当按照投标人须知第2.4款、第5.3款和第7.2款的规定先向招标人提出异议。异议答复期间</w:t>
      </w:r>
      <w:bookmarkStart w:id="262" w:name="_Toc352691517"/>
      <w:bookmarkStart w:id="263" w:name="_Toc361508630"/>
      <w:bookmarkStart w:id="264" w:name="_Toc12776"/>
      <w:bookmarkStart w:id="265" w:name="_Toc247513994"/>
      <w:bookmarkStart w:id="266" w:name="_Toc247527595"/>
      <w:bookmarkStart w:id="267" w:name="_Toc152045570"/>
      <w:bookmarkStart w:id="268" w:name="_Toc152042346"/>
      <w:bookmarkStart w:id="269" w:name="_Toc144974538"/>
      <w:bookmarkStart w:id="270" w:name="_Toc369531561"/>
      <w:bookmarkStart w:id="271" w:name="_Toc384308255"/>
      <w:bookmarkStart w:id="272" w:name="_Toc300834993"/>
      <w:r>
        <w:rPr>
          <w:rFonts w:hint="eastAsia" w:ascii="宋体" w:hAnsi="宋体" w:eastAsia="宋体" w:cs="宋体"/>
          <w:color w:val="auto"/>
        </w:rPr>
        <w:t>不计算在第8.5.</w:t>
      </w:r>
      <w:bookmarkEnd w:id="262"/>
      <w:bookmarkEnd w:id="263"/>
      <w:bookmarkEnd w:id="264"/>
      <w:bookmarkEnd w:id="265"/>
      <w:bookmarkEnd w:id="266"/>
      <w:bookmarkEnd w:id="267"/>
      <w:bookmarkEnd w:id="268"/>
      <w:bookmarkEnd w:id="269"/>
      <w:bookmarkEnd w:id="270"/>
      <w:bookmarkEnd w:id="271"/>
      <w:bookmarkEnd w:id="272"/>
      <w:r>
        <w:rPr>
          <w:rFonts w:hint="eastAsia" w:ascii="宋体" w:hAnsi="宋体" w:eastAsia="宋体" w:cs="宋体"/>
          <w:color w:val="auto"/>
        </w:rPr>
        <w:t>1项规定的期限内。</w:t>
      </w:r>
    </w:p>
    <w:p w14:paraId="6D4F2B02">
      <w:pPr>
        <w:pStyle w:val="3"/>
        <w:spacing w:line="240" w:lineRule="auto"/>
        <w:rPr>
          <w:rFonts w:hint="eastAsia" w:ascii="宋体" w:hAnsi="宋体" w:eastAsia="宋体" w:cs="宋体"/>
          <w:color w:val="auto"/>
        </w:rPr>
      </w:pPr>
      <w:bookmarkStart w:id="273" w:name="_Toc49510018"/>
      <w:bookmarkStart w:id="274" w:name="_Toc477134992"/>
      <w:r>
        <w:rPr>
          <w:rFonts w:hint="eastAsia" w:ascii="宋体" w:hAnsi="宋体" w:eastAsia="宋体" w:cs="宋体"/>
          <w:color w:val="auto"/>
        </w:rPr>
        <w:t>9. 是否采用电子招标投标</w:t>
      </w:r>
      <w:bookmarkEnd w:id="273"/>
      <w:bookmarkEnd w:id="274"/>
    </w:p>
    <w:p w14:paraId="78D07448">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本招标项目是否采用电子招标投标方式，见投标人须知前附表。</w:t>
      </w:r>
    </w:p>
    <w:p w14:paraId="2B9CF62C">
      <w:pPr>
        <w:pStyle w:val="3"/>
        <w:spacing w:line="240" w:lineRule="auto"/>
        <w:rPr>
          <w:rFonts w:hint="eastAsia" w:ascii="宋体" w:hAnsi="宋体" w:eastAsia="宋体" w:cs="宋体"/>
          <w:color w:val="auto"/>
        </w:rPr>
      </w:pPr>
      <w:bookmarkStart w:id="275" w:name="_Toc49510019"/>
      <w:r>
        <w:rPr>
          <w:rFonts w:hint="eastAsia" w:ascii="宋体" w:hAnsi="宋体" w:eastAsia="宋体" w:cs="宋体"/>
          <w:color w:val="auto"/>
        </w:rPr>
        <w:t>10. 需要补充的其他内容</w:t>
      </w:r>
      <w:bookmarkEnd w:id="275"/>
    </w:p>
    <w:p w14:paraId="24EB96AC">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需要补充的其他内容：见投标人须知前附表。</w:t>
      </w:r>
    </w:p>
    <w:p w14:paraId="4F72370D">
      <w:pPr>
        <w:jc w:val="left"/>
        <w:rPr>
          <w:rFonts w:hint="eastAsia" w:ascii="宋体" w:hAnsi="宋体" w:eastAsia="宋体" w:cs="宋体"/>
          <w:color w:val="auto"/>
          <w:sz w:val="28"/>
        </w:rPr>
      </w:pPr>
      <w:r>
        <w:rPr>
          <w:rFonts w:hint="eastAsia" w:ascii="宋体" w:hAnsi="宋体" w:eastAsia="宋体" w:cs="宋体"/>
          <w:color w:val="auto"/>
        </w:rPr>
        <w:br w:type="page"/>
      </w:r>
      <w:r>
        <w:rPr>
          <w:rFonts w:hint="eastAsia" w:ascii="宋体" w:hAnsi="宋体" w:eastAsia="宋体" w:cs="宋体"/>
          <w:color w:val="auto"/>
          <w:position w:val="-4"/>
          <w:sz w:val="28"/>
        </w:rPr>
        <w:t>附件一</w:t>
      </w:r>
      <w:r>
        <w:rPr>
          <w:rFonts w:hint="eastAsia" w:ascii="宋体" w:hAnsi="宋体" w:eastAsia="宋体" w:cs="宋体"/>
          <w:color w:val="auto"/>
          <w:spacing w:val="-3"/>
          <w:position w:val="-4"/>
          <w:sz w:val="28"/>
        </w:rPr>
        <w:t>：</w:t>
      </w:r>
      <w:r>
        <w:rPr>
          <w:rFonts w:hint="eastAsia" w:ascii="宋体" w:hAnsi="宋体" w:eastAsia="宋体" w:cs="宋体"/>
          <w:color w:val="auto"/>
          <w:position w:val="-4"/>
          <w:sz w:val="28"/>
        </w:rPr>
        <w:t>开标</w:t>
      </w:r>
      <w:r>
        <w:rPr>
          <w:rFonts w:hint="eastAsia" w:ascii="宋体" w:hAnsi="宋体" w:eastAsia="宋体" w:cs="宋体"/>
          <w:color w:val="auto"/>
          <w:spacing w:val="-3"/>
          <w:position w:val="-4"/>
          <w:sz w:val="28"/>
        </w:rPr>
        <w:t>记录</w:t>
      </w:r>
      <w:r>
        <w:rPr>
          <w:rFonts w:hint="eastAsia" w:ascii="宋体" w:hAnsi="宋体" w:eastAsia="宋体" w:cs="宋体"/>
          <w:color w:val="auto"/>
          <w:position w:val="-4"/>
          <w:sz w:val="28"/>
        </w:rPr>
        <w:t>表</w:t>
      </w:r>
    </w:p>
    <w:p w14:paraId="77A766C3">
      <w:pPr>
        <w:spacing w:line="200" w:lineRule="exact"/>
        <w:jc w:val="left"/>
        <w:rPr>
          <w:rFonts w:hint="eastAsia" w:ascii="宋体" w:hAnsi="宋体" w:eastAsia="宋体" w:cs="宋体"/>
          <w:color w:val="auto"/>
          <w:sz w:val="20"/>
        </w:rPr>
      </w:pPr>
    </w:p>
    <w:p w14:paraId="0AB7E4A0">
      <w:pPr>
        <w:spacing w:before="12" w:line="200" w:lineRule="exact"/>
        <w:jc w:val="left"/>
        <w:rPr>
          <w:rFonts w:hint="eastAsia" w:ascii="宋体" w:hAnsi="宋体" w:eastAsia="宋体" w:cs="宋体"/>
          <w:color w:val="auto"/>
          <w:sz w:val="20"/>
        </w:rPr>
      </w:pPr>
    </w:p>
    <w:p w14:paraId="122EA009">
      <w:pPr>
        <w:spacing w:line="373" w:lineRule="exact"/>
        <w:ind w:left="3799" w:right="3400"/>
        <w:jc w:val="center"/>
        <w:rPr>
          <w:rFonts w:hint="eastAsia" w:ascii="宋体" w:hAnsi="宋体" w:eastAsia="宋体" w:cs="宋体"/>
          <w:color w:val="auto"/>
          <w:sz w:val="28"/>
        </w:rPr>
      </w:pPr>
      <w:r>
        <w:rPr>
          <w:rFonts w:hint="eastAsia" w:ascii="宋体" w:hAnsi="宋体" w:eastAsia="宋体" w:cs="宋体"/>
          <w:color w:val="auto"/>
          <w:sz w:val="28"/>
        </w:rPr>
        <w:t>开标记</w:t>
      </w:r>
      <w:r>
        <w:rPr>
          <w:rFonts w:hint="eastAsia" w:ascii="宋体" w:hAnsi="宋体" w:eastAsia="宋体" w:cs="宋体"/>
          <w:color w:val="auto"/>
          <w:spacing w:val="-3"/>
          <w:sz w:val="28"/>
        </w:rPr>
        <w:t>录</w:t>
      </w:r>
      <w:r>
        <w:rPr>
          <w:rFonts w:hint="eastAsia" w:ascii="宋体" w:hAnsi="宋体" w:eastAsia="宋体" w:cs="宋体"/>
          <w:color w:val="auto"/>
          <w:sz w:val="28"/>
        </w:rPr>
        <w:t>表</w:t>
      </w:r>
    </w:p>
    <w:p w14:paraId="13EEF4F3">
      <w:pPr>
        <w:spacing w:before="7" w:line="140" w:lineRule="exact"/>
        <w:jc w:val="left"/>
        <w:rPr>
          <w:rFonts w:hint="eastAsia" w:ascii="宋体" w:hAnsi="宋体" w:eastAsia="宋体" w:cs="宋体"/>
          <w:color w:val="auto"/>
          <w:sz w:val="14"/>
        </w:rPr>
      </w:pPr>
    </w:p>
    <w:p w14:paraId="32EA706B">
      <w:pPr>
        <w:tabs>
          <w:tab w:val="left" w:pos="3600"/>
          <w:tab w:val="left" w:pos="4760"/>
          <w:tab w:val="left" w:pos="5920"/>
          <w:tab w:val="left" w:pos="7060"/>
          <w:tab w:val="left" w:pos="8220"/>
        </w:tabs>
        <w:spacing w:line="337" w:lineRule="exact"/>
        <w:ind w:right="-20"/>
        <w:jc w:val="left"/>
        <w:rPr>
          <w:rFonts w:hint="eastAsia" w:ascii="宋体" w:hAnsi="宋体" w:eastAsia="宋体" w:cs="宋体"/>
          <w:color w:val="auto"/>
          <w:position w:val="-4"/>
        </w:rPr>
      </w:pPr>
      <w:r>
        <w:rPr>
          <w:rFonts w:hint="eastAsia" w:ascii="宋体" w:hAnsi="宋体" w:eastAsia="宋体" w:cs="宋体"/>
          <w:color w:val="auto"/>
          <w:position w:val="-4"/>
        </w:rPr>
        <w:t>开标</w:t>
      </w:r>
      <w:r>
        <w:rPr>
          <w:rFonts w:hint="eastAsia" w:ascii="宋体" w:hAnsi="宋体" w:eastAsia="宋体" w:cs="宋体"/>
          <w:color w:val="auto"/>
          <w:spacing w:val="-2"/>
          <w:position w:val="-4"/>
        </w:rPr>
        <w:t>时</w:t>
      </w:r>
      <w:r>
        <w:rPr>
          <w:rFonts w:hint="eastAsia" w:ascii="宋体" w:hAnsi="宋体" w:eastAsia="宋体" w:cs="宋体"/>
          <w:color w:val="auto"/>
          <w:position w:val="-4"/>
        </w:rPr>
        <w:t>间</w:t>
      </w:r>
      <w:r>
        <w:rPr>
          <w:rFonts w:hint="eastAsia" w:ascii="宋体" w:hAnsi="宋体" w:eastAsia="宋体" w:cs="宋体"/>
          <w:color w:val="auto"/>
          <w:spacing w:val="-2"/>
          <w:position w:val="-4"/>
        </w:rPr>
        <w:t>：</w:t>
      </w:r>
      <w:r>
        <w:rPr>
          <w:rFonts w:hint="eastAsia" w:ascii="宋体" w:hAnsi="宋体" w:eastAsia="宋体" w:cs="宋体"/>
          <w:color w:val="auto"/>
          <w:position w:val="-4"/>
          <w:u w:val="single"/>
        </w:rPr>
        <w:t xml:space="preserve"> </w:t>
      </w:r>
      <w:r>
        <w:rPr>
          <w:rFonts w:hint="eastAsia" w:ascii="宋体" w:hAnsi="宋体" w:eastAsia="宋体" w:cs="宋体"/>
          <w:color w:val="auto"/>
          <w:spacing w:val="1"/>
          <w:position w:val="-4"/>
          <w:u w:val="single"/>
        </w:rPr>
        <w:t xml:space="preserve"> </w:t>
      </w:r>
      <w:r>
        <w:rPr>
          <w:rFonts w:hint="eastAsia" w:ascii="宋体" w:hAnsi="宋体" w:eastAsia="宋体" w:cs="宋体"/>
          <w:color w:val="auto"/>
          <w:position w:val="-4"/>
        </w:rPr>
        <w:t>年</w:t>
      </w:r>
      <w:r>
        <w:rPr>
          <w:rFonts w:hint="eastAsia" w:ascii="宋体" w:hAnsi="宋体" w:eastAsia="宋体" w:cs="宋体"/>
          <w:color w:val="auto"/>
          <w:position w:val="-4"/>
          <w:u w:val="single"/>
        </w:rPr>
        <w:t xml:space="preserve"> </w:t>
      </w:r>
      <w:r>
        <w:rPr>
          <w:rFonts w:hint="eastAsia" w:ascii="宋体" w:hAnsi="宋体" w:eastAsia="宋体" w:cs="宋体"/>
          <w:color w:val="auto"/>
          <w:spacing w:val="1"/>
          <w:position w:val="-4"/>
          <w:u w:val="single"/>
        </w:rPr>
        <w:t xml:space="preserve"> </w:t>
      </w:r>
      <w:r>
        <w:rPr>
          <w:rFonts w:hint="eastAsia" w:ascii="宋体" w:hAnsi="宋体" w:eastAsia="宋体" w:cs="宋体"/>
          <w:color w:val="auto"/>
          <w:position w:val="-4"/>
        </w:rPr>
        <w:t>月</w:t>
      </w:r>
      <w:r>
        <w:rPr>
          <w:rFonts w:hint="eastAsia" w:ascii="宋体" w:hAnsi="宋体" w:eastAsia="宋体" w:cs="宋体"/>
          <w:color w:val="auto"/>
          <w:position w:val="-4"/>
          <w:u w:val="single"/>
        </w:rPr>
        <w:t xml:space="preserve"> </w:t>
      </w:r>
      <w:r>
        <w:rPr>
          <w:rFonts w:hint="eastAsia" w:ascii="宋体" w:hAnsi="宋体" w:eastAsia="宋体" w:cs="宋体"/>
          <w:color w:val="auto"/>
          <w:spacing w:val="1"/>
          <w:position w:val="-4"/>
          <w:u w:val="single"/>
        </w:rPr>
        <w:t xml:space="preserve"> </w:t>
      </w:r>
      <w:r>
        <w:rPr>
          <w:rFonts w:hint="eastAsia" w:ascii="宋体" w:hAnsi="宋体" w:eastAsia="宋体" w:cs="宋体"/>
          <w:color w:val="auto"/>
          <w:position w:val="-4"/>
        </w:rPr>
        <w:t>日</w:t>
      </w:r>
      <w:r>
        <w:rPr>
          <w:rFonts w:hint="eastAsia" w:ascii="宋体" w:hAnsi="宋体" w:eastAsia="宋体" w:cs="宋体"/>
          <w:color w:val="auto"/>
          <w:position w:val="-4"/>
          <w:u w:val="single"/>
        </w:rPr>
        <w:t xml:space="preserve"> </w:t>
      </w:r>
      <w:r>
        <w:rPr>
          <w:rFonts w:hint="eastAsia" w:ascii="宋体" w:hAnsi="宋体" w:eastAsia="宋体" w:cs="宋体"/>
          <w:color w:val="auto"/>
          <w:spacing w:val="1"/>
          <w:position w:val="-4"/>
          <w:u w:val="single"/>
        </w:rPr>
        <w:t xml:space="preserve"> </w:t>
      </w:r>
      <w:r>
        <w:rPr>
          <w:rFonts w:hint="eastAsia" w:ascii="宋体" w:hAnsi="宋体" w:eastAsia="宋体" w:cs="宋体"/>
          <w:color w:val="auto"/>
          <w:position w:val="-4"/>
        </w:rPr>
        <w:t>时</w:t>
      </w:r>
      <w:r>
        <w:rPr>
          <w:rFonts w:hint="eastAsia" w:ascii="宋体" w:hAnsi="宋体" w:eastAsia="宋体" w:cs="宋体"/>
          <w:color w:val="auto"/>
          <w:position w:val="-4"/>
          <w:u w:val="single"/>
        </w:rPr>
        <w:t xml:space="preserve"> </w:t>
      </w:r>
      <w:r>
        <w:rPr>
          <w:rFonts w:hint="eastAsia" w:ascii="宋体" w:hAnsi="宋体" w:eastAsia="宋体" w:cs="宋体"/>
          <w:color w:val="auto"/>
          <w:spacing w:val="1"/>
          <w:position w:val="-4"/>
          <w:u w:val="single"/>
        </w:rPr>
        <w:t xml:space="preserve"> </w:t>
      </w:r>
      <w:r>
        <w:rPr>
          <w:rFonts w:hint="eastAsia" w:ascii="宋体" w:hAnsi="宋体" w:eastAsia="宋体" w:cs="宋体"/>
          <w:color w:val="auto"/>
          <w:position w:val="-4"/>
        </w:rPr>
        <w:t>分</w:t>
      </w:r>
    </w:p>
    <w:p w14:paraId="359B3F35">
      <w:pPr>
        <w:tabs>
          <w:tab w:val="left" w:pos="3600"/>
          <w:tab w:val="left" w:pos="4760"/>
          <w:tab w:val="left" w:pos="5920"/>
          <w:tab w:val="left" w:pos="7060"/>
          <w:tab w:val="left" w:pos="8220"/>
        </w:tabs>
        <w:spacing w:line="337" w:lineRule="exact"/>
        <w:ind w:right="-20"/>
        <w:jc w:val="left"/>
        <w:rPr>
          <w:rFonts w:hint="eastAsia" w:ascii="宋体" w:hAnsi="宋体" w:eastAsia="宋体" w:cs="宋体"/>
          <w:color w:val="auto"/>
          <w:position w:val="-4"/>
        </w:rPr>
      </w:pPr>
      <w:r>
        <w:rPr>
          <w:rFonts w:hint="eastAsia" w:ascii="宋体" w:hAnsi="宋体" w:eastAsia="宋体" w:cs="宋体"/>
          <w:color w:val="auto"/>
          <w:position w:val="-4"/>
        </w:rPr>
        <w:t>项目名称：</w:t>
      </w:r>
    </w:p>
    <w:tbl>
      <w:tblPr>
        <w:tblStyle w:val="46"/>
        <w:tblW w:w="0" w:type="auto"/>
        <w:jc w:val="center"/>
        <w:tblLayout w:type="fixed"/>
        <w:tblCellMar>
          <w:top w:w="0" w:type="dxa"/>
          <w:left w:w="108" w:type="dxa"/>
          <w:bottom w:w="0" w:type="dxa"/>
          <w:right w:w="108" w:type="dxa"/>
        </w:tblCellMar>
      </w:tblPr>
      <w:tblGrid>
        <w:gridCol w:w="1195"/>
        <w:gridCol w:w="1260"/>
        <w:gridCol w:w="973"/>
        <w:gridCol w:w="10"/>
        <w:gridCol w:w="841"/>
        <w:gridCol w:w="10"/>
        <w:gridCol w:w="839"/>
        <w:gridCol w:w="10"/>
        <w:gridCol w:w="1124"/>
        <w:gridCol w:w="10"/>
        <w:gridCol w:w="1121"/>
        <w:gridCol w:w="10"/>
        <w:gridCol w:w="695"/>
        <w:gridCol w:w="10"/>
        <w:gridCol w:w="1135"/>
        <w:gridCol w:w="10"/>
      </w:tblGrid>
      <w:tr w14:paraId="18B2614A">
        <w:tblPrEx>
          <w:tblCellMar>
            <w:top w:w="0" w:type="dxa"/>
            <w:left w:w="108" w:type="dxa"/>
            <w:bottom w:w="0" w:type="dxa"/>
            <w:right w:w="108" w:type="dxa"/>
          </w:tblCellMar>
        </w:tblPrEx>
        <w:trPr>
          <w:trHeight w:val="850"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384D5C30">
            <w:pPr>
              <w:spacing w:line="276" w:lineRule="auto"/>
              <w:jc w:val="center"/>
              <w:rPr>
                <w:rFonts w:hint="eastAsia" w:ascii="宋体" w:hAnsi="宋体" w:eastAsia="宋体" w:cs="宋体"/>
                <w:color w:val="auto"/>
              </w:rPr>
            </w:pPr>
            <w:r>
              <w:rPr>
                <w:rFonts w:hint="eastAsia" w:ascii="宋体" w:hAnsi="宋体" w:eastAsia="宋体" w:cs="宋体"/>
                <w:color w:val="auto"/>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73ABCEBC">
            <w:pPr>
              <w:spacing w:line="276" w:lineRule="auto"/>
              <w:jc w:val="center"/>
              <w:rPr>
                <w:rFonts w:hint="eastAsia" w:ascii="宋体" w:hAnsi="宋体" w:eastAsia="宋体" w:cs="宋体"/>
                <w:color w:val="auto"/>
              </w:rPr>
            </w:pPr>
            <w:r>
              <w:rPr>
                <w:rFonts w:hint="eastAsia" w:ascii="宋体" w:hAnsi="宋体" w:eastAsia="宋体" w:cs="宋体"/>
                <w:color w:val="auto"/>
              </w:rPr>
              <w:t>投标人</w:t>
            </w: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3A1A4772">
            <w:pPr>
              <w:spacing w:line="276" w:lineRule="auto"/>
              <w:ind w:right="-13" w:rightChars="-6"/>
              <w:jc w:val="center"/>
              <w:rPr>
                <w:rFonts w:hint="eastAsia" w:ascii="宋体" w:hAnsi="宋体" w:eastAsia="宋体" w:cs="宋体"/>
                <w:color w:val="auto"/>
              </w:rPr>
            </w:pPr>
            <w:r>
              <w:rPr>
                <w:rFonts w:hint="eastAsia" w:ascii="宋体" w:hAnsi="宋体" w:eastAsia="宋体" w:cs="宋体"/>
                <w:color w:val="auto"/>
              </w:rPr>
              <w:t>投标总报价（元）</w:t>
            </w: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67F645FE">
            <w:pPr>
              <w:spacing w:line="276" w:lineRule="auto"/>
              <w:jc w:val="center"/>
              <w:rPr>
                <w:rFonts w:hint="eastAsia" w:ascii="宋体" w:hAnsi="宋体" w:eastAsia="宋体" w:cs="宋体"/>
                <w:color w:val="auto"/>
              </w:rPr>
            </w:pPr>
            <w:r>
              <w:rPr>
                <w:rFonts w:hint="eastAsia" w:ascii="宋体" w:hAnsi="宋体" w:eastAsia="宋体" w:cs="宋体"/>
                <w:color w:val="auto"/>
              </w:rPr>
              <w:t>总监理工程师</w:t>
            </w: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7A6110DC">
            <w:pPr>
              <w:spacing w:line="276" w:lineRule="auto"/>
              <w:jc w:val="center"/>
              <w:rPr>
                <w:rFonts w:hint="eastAsia" w:ascii="宋体" w:hAnsi="宋体" w:eastAsia="宋体" w:cs="宋体"/>
                <w:color w:val="auto"/>
              </w:rPr>
            </w:pPr>
            <w:r>
              <w:rPr>
                <w:rFonts w:hint="eastAsia" w:ascii="宋体" w:hAnsi="宋体" w:eastAsia="宋体" w:cs="宋体"/>
                <w:color w:val="auto"/>
              </w:rPr>
              <w:t>监理服务期限</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06F36F1A">
            <w:pPr>
              <w:spacing w:line="276" w:lineRule="auto"/>
              <w:jc w:val="center"/>
              <w:rPr>
                <w:rFonts w:hint="eastAsia" w:ascii="宋体" w:hAnsi="宋体" w:eastAsia="宋体" w:cs="宋体"/>
                <w:color w:val="auto"/>
              </w:rPr>
            </w:pPr>
            <w:r>
              <w:rPr>
                <w:rFonts w:hint="eastAsia" w:ascii="宋体" w:hAnsi="宋体" w:eastAsia="宋体" w:cs="宋体"/>
                <w:color w:val="auto"/>
              </w:rPr>
              <w:t>投标文件递交情况</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2D261B08">
            <w:pPr>
              <w:spacing w:line="276" w:lineRule="auto"/>
              <w:jc w:val="center"/>
              <w:rPr>
                <w:rFonts w:hint="eastAsia" w:ascii="宋体" w:hAnsi="宋体" w:eastAsia="宋体" w:cs="宋体"/>
                <w:color w:val="auto"/>
              </w:rPr>
            </w:pPr>
            <w:r>
              <w:rPr>
                <w:rFonts w:hint="eastAsia" w:ascii="宋体" w:hAnsi="宋体" w:eastAsia="宋体" w:cs="宋体"/>
                <w:color w:val="auto"/>
              </w:rPr>
              <w:t>投标文件解密情况</w:t>
            </w: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0B57C852">
            <w:pPr>
              <w:spacing w:line="276" w:lineRule="auto"/>
              <w:jc w:val="center"/>
              <w:rPr>
                <w:rFonts w:hint="eastAsia" w:ascii="宋体" w:hAnsi="宋体" w:eastAsia="宋体" w:cs="宋体"/>
                <w:color w:val="auto"/>
              </w:rPr>
            </w:pPr>
            <w:r>
              <w:rPr>
                <w:rFonts w:hint="eastAsia" w:ascii="宋体" w:hAnsi="宋体" w:eastAsia="宋体" w:cs="宋体"/>
                <w:color w:val="auto"/>
              </w:rPr>
              <w:t>备注</w:t>
            </w: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429420DE">
            <w:pPr>
              <w:spacing w:line="276" w:lineRule="auto"/>
              <w:jc w:val="center"/>
              <w:rPr>
                <w:rFonts w:hint="eastAsia" w:ascii="宋体" w:hAnsi="宋体" w:eastAsia="宋体" w:cs="宋体"/>
                <w:color w:val="auto"/>
              </w:rPr>
            </w:pPr>
            <w:r>
              <w:rPr>
                <w:rFonts w:hint="eastAsia" w:ascii="宋体" w:hAnsi="宋体" w:eastAsia="宋体" w:cs="宋体"/>
                <w:color w:val="auto"/>
              </w:rPr>
              <w:t>投标人</w:t>
            </w:r>
          </w:p>
          <w:p w14:paraId="405EFA9B">
            <w:pPr>
              <w:spacing w:line="276" w:lineRule="auto"/>
              <w:jc w:val="center"/>
              <w:rPr>
                <w:rFonts w:hint="eastAsia" w:ascii="宋体" w:hAnsi="宋体" w:eastAsia="宋体" w:cs="宋体"/>
                <w:color w:val="auto"/>
              </w:rPr>
            </w:pPr>
            <w:r>
              <w:rPr>
                <w:rFonts w:hint="eastAsia" w:ascii="宋体" w:hAnsi="宋体" w:eastAsia="宋体" w:cs="宋体"/>
                <w:color w:val="auto"/>
              </w:rPr>
              <w:t>代表签名</w:t>
            </w:r>
          </w:p>
        </w:tc>
      </w:tr>
      <w:tr w14:paraId="6FB9F69C">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33A9A06F">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47DCF4C">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3AB605FF">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176FB5AB">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4DE8290B">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0B5AF07B">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30FE3333">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4A7A2F29">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278759E3">
            <w:pPr>
              <w:spacing w:line="500" w:lineRule="exact"/>
              <w:jc w:val="center"/>
              <w:rPr>
                <w:rFonts w:hint="eastAsia" w:ascii="宋体" w:hAnsi="宋体" w:eastAsia="宋体" w:cs="宋体"/>
                <w:color w:val="auto"/>
              </w:rPr>
            </w:pPr>
          </w:p>
        </w:tc>
      </w:tr>
      <w:tr w14:paraId="064A1678">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22B3D652">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D7E3131">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22ED4C78">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24663523">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4CC42A92">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6EE2EA60">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202C4255">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5373E8DC">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1A70168C">
            <w:pPr>
              <w:spacing w:line="500" w:lineRule="exact"/>
              <w:jc w:val="center"/>
              <w:rPr>
                <w:rFonts w:hint="eastAsia" w:ascii="宋体" w:hAnsi="宋体" w:eastAsia="宋体" w:cs="宋体"/>
                <w:color w:val="auto"/>
              </w:rPr>
            </w:pPr>
          </w:p>
        </w:tc>
      </w:tr>
      <w:tr w14:paraId="20159A77">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5EE3F455">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D85CA5A">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5CD96677">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6FFA25E1">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6EFF3B1D">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39BAE70B">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68C9DF86">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19495073">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37F85F67">
            <w:pPr>
              <w:spacing w:line="500" w:lineRule="exact"/>
              <w:jc w:val="center"/>
              <w:rPr>
                <w:rFonts w:hint="eastAsia" w:ascii="宋体" w:hAnsi="宋体" w:eastAsia="宋体" w:cs="宋体"/>
                <w:color w:val="auto"/>
              </w:rPr>
            </w:pPr>
          </w:p>
        </w:tc>
      </w:tr>
      <w:tr w14:paraId="279F33D5">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59371D7E">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684A119">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368B942D">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7A8AD212">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2773232F">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35E9BFEE">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577D72F4">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2F6F1E0A">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2BAAFE63">
            <w:pPr>
              <w:spacing w:line="500" w:lineRule="exact"/>
              <w:jc w:val="center"/>
              <w:rPr>
                <w:rFonts w:hint="eastAsia" w:ascii="宋体" w:hAnsi="宋体" w:eastAsia="宋体" w:cs="宋体"/>
                <w:color w:val="auto"/>
              </w:rPr>
            </w:pPr>
          </w:p>
        </w:tc>
      </w:tr>
      <w:tr w14:paraId="7E298E7E">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3F21A96E">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41CBEED">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017C61C7">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3F0F692B">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112641A9">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4EBE9DFE">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35709C13">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4FFFA49A">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44CA81DD">
            <w:pPr>
              <w:spacing w:line="500" w:lineRule="exact"/>
              <w:jc w:val="center"/>
              <w:rPr>
                <w:rFonts w:hint="eastAsia" w:ascii="宋体" w:hAnsi="宋体" w:eastAsia="宋体" w:cs="宋体"/>
                <w:color w:val="auto"/>
              </w:rPr>
            </w:pPr>
          </w:p>
        </w:tc>
      </w:tr>
      <w:tr w14:paraId="1F97CDB8">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0824D9D9">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BD45F72">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11D19EFF">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66BCAB42">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2747821A">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3F79CD41">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63F9840E">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0137A200">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56B35A50">
            <w:pPr>
              <w:spacing w:line="500" w:lineRule="exact"/>
              <w:jc w:val="center"/>
              <w:rPr>
                <w:rFonts w:hint="eastAsia" w:ascii="宋体" w:hAnsi="宋体" w:eastAsia="宋体" w:cs="宋体"/>
                <w:color w:val="auto"/>
              </w:rPr>
            </w:pPr>
          </w:p>
        </w:tc>
      </w:tr>
      <w:tr w14:paraId="5C4336E1">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5CF4CD30">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D28AA99">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763A0F9B">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12507B0B">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6087BB33">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19B37625">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5B5FB16B">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7545D7B6">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0F1778E9">
            <w:pPr>
              <w:spacing w:line="500" w:lineRule="exact"/>
              <w:jc w:val="center"/>
              <w:rPr>
                <w:rFonts w:hint="eastAsia" w:ascii="宋体" w:hAnsi="宋体" w:eastAsia="宋体" w:cs="宋体"/>
                <w:color w:val="auto"/>
              </w:rPr>
            </w:pPr>
          </w:p>
        </w:tc>
      </w:tr>
      <w:tr w14:paraId="5B196441">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7881FC8A">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25DFDC72">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27B4B664">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44C2CCD2">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620001A0">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68AED51E">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249DE33B">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4ED71700">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3D49CDB7">
            <w:pPr>
              <w:spacing w:line="500" w:lineRule="exact"/>
              <w:jc w:val="center"/>
              <w:rPr>
                <w:rFonts w:hint="eastAsia" w:ascii="宋体" w:hAnsi="宋体" w:eastAsia="宋体" w:cs="宋体"/>
                <w:color w:val="auto"/>
              </w:rPr>
            </w:pPr>
          </w:p>
        </w:tc>
      </w:tr>
      <w:tr w14:paraId="10EE5396">
        <w:tblPrEx>
          <w:tblCellMar>
            <w:top w:w="0" w:type="dxa"/>
            <w:left w:w="108" w:type="dxa"/>
            <w:bottom w:w="0" w:type="dxa"/>
            <w:right w:w="108" w:type="dxa"/>
          </w:tblCellMar>
        </w:tblPrEx>
        <w:trPr>
          <w:trHeight w:val="502"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2BF0E886">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16FAF29">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050092B6">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50CB6419">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7008A8FE">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0C6E7FF0">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0D4C3375">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221DE6C8">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0C943CA9">
            <w:pPr>
              <w:spacing w:line="500" w:lineRule="exact"/>
              <w:jc w:val="center"/>
              <w:rPr>
                <w:rFonts w:hint="eastAsia" w:ascii="宋体" w:hAnsi="宋体" w:eastAsia="宋体" w:cs="宋体"/>
                <w:color w:val="auto"/>
              </w:rPr>
            </w:pPr>
          </w:p>
        </w:tc>
      </w:tr>
      <w:tr w14:paraId="104500F7">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14:paraId="7D0176E5">
            <w:pPr>
              <w:spacing w:line="500" w:lineRule="exact"/>
              <w:jc w:val="center"/>
              <w:rPr>
                <w:rFonts w:hint="eastAsia" w:ascii="宋体" w:hAnsi="宋体" w:eastAsia="宋体" w:cs="宋体"/>
                <w:color w:val="auto"/>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CCFDE90">
            <w:pPr>
              <w:spacing w:line="500" w:lineRule="exact"/>
              <w:jc w:val="center"/>
              <w:rPr>
                <w:rFonts w:hint="eastAsia" w:ascii="宋体" w:hAnsi="宋体" w:eastAsia="宋体" w:cs="宋体"/>
                <w:color w:val="auto"/>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14:paraId="5B4C64EA">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7A5DB34C">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1786D609">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609925F7">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19AA78B9">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0FD182A3">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0B0F24B9">
            <w:pPr>
              <w:spacing w:line="500" w:lineRule="exact"/>
              <w:jc w:val="center"/>
              <w:rPr>
                <w:rFonts w:hint="eastAsia" w:ascii="宋体" w:hAnsi="宋体" w:eastAsia="宋体" w:cs="宋体"/>
                <w:color w:val="auto"/>
              </w:rPr>
            </w:pPr>
          </w:p>
        </w:tc>
      </w:tr>
      <w:tr w14:paraId="5D5330C1">
        <w:tblPrEx>
          <w:tblCellMar>
            <w:top w:w="0" w:type="dxa"/>
            <w:left w:w="108" w:type="dxa"/>
            <w:bottom w:w="0" w:type="dxa"/>
            <w:right w:w="108" w:type="dxa"/>
          </w:tblCellMar>
        </w:tblPrEx>
        <w:trPr>
          <w:gridAfter w:val="1"/>
          <w:wAfter w:w="10" w:type="dxa"/>
          <w:jc w:val="center"/>
        </w:trPr>
        <w:tc>
          <w:tcPr>
            <w:tcW w:w="2455" w:type="dxa"/>
            <w:gridSpan w:val="2"/>
            <w:tcBorders>
              <w:top w:val="single" w:color="auto" w:sz="4" w:space="0"/>
              <w:left w:val="single" w:color="auto" w:sz="4" w:space="0"/>
              <w:bottom w:val="single" w:color="auto" w:sz="4" w:space="0"/>
              <w:right w:val="single" w:color="auto" w:sz="4" w:space="0"/>
            </w:tcBorders>
            <w:noWrap/>
            <w:vAlign w:val="center"/>
          </w:tcPr>
          <w:p w14:paraId="43377BF9">
            <w:pPr>
              <w:spacing w:line="500" w:lineRule="exact"/>
              <w:rPr>
                <w:rFonts w:hint="eastAsia" w:ascii="宋体" w:hAnsi="宋体" w:eastAsia="宋体" w:cs="宋体"/>
                <w:color w:val="auto"/>
              </w:rPr>
            </w:pPr>
            <w:r>
              <w:rPr>
                <w:rFonts w:hint="eastAsia" w:ascii="宋体" w:hAnsi="宋体" w:eastAsia="宋体" w:cs="宋体"/>
                <w:color w:val="auto"/>
              </w:rPr>
              <w:t>最高投标限价：</w:t>
            </w:r>
          </w:p>
        </w:tc>
        <w:tc>
          <w:tcPr>
            <w:tcW w:w="973" w:type="dxa"/>
            <w:tcBorders>
              <w:top w:val="single" w:color="auto" w:sz="4" w:space="0"/>
              <w:left w:val="single" w:color="auto" w:sz="4" w:space="0"/>
              <w:bottom w:val="single" w:color="auto" w:sz="4" w:space="0"/>
              <w:right w:val="single" w:color="auto" w:sz="4" w:space="0"/>
            </w:tcBorders>
            <w:noWrap/>
            <w:vAlign w:val="center"/>
          </w:tcPr>
          <w:p w14:paraId="1744ADAC">
            <w:pPr>
              <w:spacing w:line="500" w:lineRule="exact"/>
              <w:jc w:val="center"/>
              <w:rPr>
                <w:rFonts w:hint="eastAsia" w:ascii="宋体" w:hAnsi="宋体" w:eastAsia="宋体" w:cs="宋体"/>
                <w:color w:val="auto"/>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19E06FA3">
            <w:pPr>
              <w:spacing w:line="500" w:lineRule="exact"/>
              <w:jc w:val="center"/>
              <w:rPr>
                <w:rFonts w:hint="eastAsia" w:ascii="宋体" w:hAnsi="宋体" w:eastAsia="宋体" w:cs="宋体"/>
                <w:color w:val="auto"/>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14:paraId="3C712D3A">
            <w:pPr>
              <w:spacing w:line="500" w:lineRule="exact"/>
              <w:jc w:val="center"/>
              <w:rPr>
                <w:rFonts w:hint="eastAsia" w:ascii="宋体" w:hAnsi="宋体" w:eastAsia="宋体" w:cs="宋体"/>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14:paraId="57BF1D19">
            <w:pPr>
              <w:spacing w:line="500" w:lineRule="exact"/>
              <w:jc w:val="center"/>
              <w:rPr>
                <w:rFonts w:hint="eastAsia" w:ascii="宋体" w:hAnsi="宋体" w:eastAsia="宋体" w:cs="宋体"/>
                <w:color w:val="auto"/>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14:paraId="648DF3A6">
            <w:pPr>
              <w:spacing w:line="500" w:lineRule="exact"/>
              <w:jc w:val="center"/>
              <w:rPr>
                <w:rFonts w:hint="eastAsia" w:ascii="宋体" w:hAnsi="宋体" w:eastAsia="宋体" w:cs="宋体"/>
                <w:color w:val="auto"/>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14:paraId="2E119146">
            <w:pPr>
              <w:spacing w:line="500" w:lineRule="exact"/>
              <w:jc w:val="center"/>
              <w:rPr>
                <w:rFonts w:hint="eastAsia" w:ascii="宋体" w:hAnsi="宋体" w:eastAsia="宋体" w:cs="宋体"/>
                <w:color w:val="auto"/>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14:paraId="257B3986">
            <w:pPr>
              <w:spacing w:line="500" w:lineRule="exact"/>
              <w:jc w:val="center"/>
              <w:rPr>
                <w:rFonts w:hint="eastAsia" w:ascii="宋体" w:hAnsi="宋体" w:eastAsia="宋体" w:cs="宋体"/>
                <w:color w:val="auto"/>
              </w:rPr>
            </w:pPr>
          </w:p>
        </w:tc>
      </w:tr>
    </w:tbl>
    <w:p w14:paraId="5757F246">
      <w:pPr>
        <w:pStyle w:val="13"/>
        <w:ind w:firstLine="0"/>
        <w:rPr>
          <w:rFonts w:hint="eastAsia" w:ascii="宋体" w:hAnsi="宋体" w:eastAsia="宋体" w:cs="宋体"/>
          <w:color w:val="auto"/>
        </w:rPr>
      </w:pPr>
    </w:p>
    <w:p w14:paraId="1DB55774">
      <w:pPr>
        <w:tabs>
          <w:tab w:val="left" w:pos="2200"/>
          <w:tab w:val="left" w:pos="3040"/>
          <w:tab w:val="left" w:pos="4620"/>
          <w:tab w:val="left" w:pos="5360"/>
          <w:tab w:val="left" w:pos="6940"/>
        </w:tabs>
        <w:spacing w:line="271" w:lineRule="exact"/>
        <w:ind w:left="220" w:right="-20"/>
        <w:jc w:val="left"/>
        <w:rPr>
          <w:rFonts w:hint="eastAsia" w:ascii="宋体" w:hAnsi="宋体" w:eastAsia="宋体" w:cs="宋体"/>
          <w:color w:val="auto"/>
        </w:rPr>
      </w:pPr>
      <w:r>
        <w:rPr>
          <w:rFonts w:hint="eastAsia" w:ascii="宋体" w:hAnsi="宋体" w:eastAsia="宋体" w:cs="宋体"/>
          <w:color w:val="auto"/>
          <w:position w:val="-2"/>
        </w:rPr>
        <w:t>招标</w:t>
      </w:r>
      <w:r>
        <w:rPr>
          <w:rFonts w:hint="eastAsia" w:ascii="宋体" w:hAnsi="宋体" w:eastAsia="宋体" w:cs="宋体"/>
          <w:color w:val="auto"/>
          <w:spacing w:val="-2"/>
          <w:position w:val="-2"/>
        </w:rPr>
        <w:t>人</w:t>
      </w:r>
      <w:r>
        <w:rPr>
          <w:rFonts w:hint="eastAsia" w:ascii="宋体" w:hAnsi="宋体" w:eastAsia="宋体" w:cs="宋体"/>
          <w:color w:val="auto"/>
          <w:position w:val="-2"/>
        </w:rPr>
        <w:t>代</w:t>
      </w:r>
      <w:r>
        <w:rPr>
          <w:rFonts w:hint="eastAsia" w:ascii="宋体" w:hAnsi="宋体" w:eastAsia="宋体" w:cs="宋体"/>
          <w:color w:val="auto"/>
          <w:spacing w:val="-2"/>
          <w:position w:val="-2"/>
        </w:rPr>
        <w:t>表</w:t>
      </w:r>
      <w:r>
        <w:rPr>
          <w:rFonts w:hint="eastAsia" w:ascii="宋体" w:hAnsi="宋体" w:eastAsia="宋体" w:cs="宋体"/>
          <w:color w:val="auto"/>
          <w:position w:val="-2"/>
        </w:rPr>
        <w:t xml:space="preserve">：  </w:t>
      </w:r>
      <w:r>
        <w:rPr>
          <w:rFonts w:hint="eastAsia" w:ascii="宋体" w:hAnsi="宋体" w:eastAsia="宋体" w:cs="宋体"/>
          <w:color w:val="auto"/>
          <w:spacing w:val="-2"/>
          <w:position w:val="-2"/>
        </w:rPr>
        <w:t>记</w:t>
      </w:r>
      <w:r>
        <w:rPr>
          <w:rFonts w:hint="eastAsia" w:ascii="宋体" w:hAnsi="宋体" w:eastAsia="宋体" w:cs="宋体"/>
          <w:color w:val="auto"/>
          <w:position w:val="-2"/>
        </w:rPr>
        <w:t>录</w:t>
      </w:r>
      <w:r>
        <w:rPr>
          <w:rFonts w:hint="eastAsia" w:ascii="宋体" w:hAnsi="宋体" w:eastAsia="宋体" w:cs="宋体"/>
          <w:color w:val="auto"/>
          <w:spacing w:val="-2"/>
          <w:position w:val="-2"/>
        </w:rPr>
        <w:t>人</w:t>
      </w:r>
      <w:r>
        <w:rPr>
          <w:rFonts w:hint="eastAsia" w:ascii="宋体" w:hAnsi="宋体" w:eastAsia="宋体" w:cs="宋体"/>
          <w:color w:val="auto"/>
          <w:position w:val="-2"/>
        </w:rPr>
        <w:t>：</w:t>
      </w:r>
      <w:r>
        <w:rPr>
          <w:rFonts w:hint="eastAsia" w:ascii="宋体" w:hAnsi="宋体" w:eastAsia="宋体" w:cs="宋体"/>
          <w:color w:val="auto"/>
          <w:w w:val="201"/>
          <w:position w:val="-2"/>
        </w:rPr>
        <w:t xml:space="preserve"> </w:t>
      </w:r>
      <w:r>
        <w:rPr>
          <w:rFonts w:hint="eastAsia" w:ascii="宋体" w:hAnsi="宋体" w:eastAsia="宋体" w:cs="宋体"/>
          <w:color w:val="auto"/>
          <w:spacing w:val="-2"/>
          <w:position w:val="-2"/>
        </w:rPr>
        <w:t>监</w:t>
      </w:r>
      <w:r>
        <w:rPr>
          <w:rFonts w:hint="eastAsia" w:ascii="宋体" w:hAnsi="宋体" w:eastAsia="宋体" w:cs="宋体"/>
          <w:color w:val="auto"/>
          <w:position w:val="-2"/>
        </w:rPr>
        <w:t>标</w:t>
      </w:r>
      <w:r>
        <w:rPr>
          <w:rFonts w:hint="eastAsia" w:ascii="宋体" w:hAnsi="宋体" w:eastAsia="宋体" w:cs="宋体"/>
          <w:color w:val="auto"/>
          <w:spacing w:val="-2"/>
          <w:position w:val="-2"/>
        </w:rPr>
        <w:t>人</w:t>
      </w:r>
      <w:r>
        <w:rPr>
          <w:rFonts w:hint="eastAsia" w:ascii="宋体" w:hAnsi="宋体" w:eastAsia="宋体" w:cs="宋体"/>
          <w:color w:val="auto"/>
          <w:position w:val="-2"/>
        </w:rPr>
        <w:t>：</w:t>
      </w:r>
    </w:p>
    <w:p w14:paraId="2B1D345B">
      <w:pPr>
        <w:spacing w:line="150" w:lineRule="exact"/>
        <w:jc w:val="left"/>
        <w:rPr>
          <w:rFonts w:hint="eastAsia" w:ascii="宋体" w:hAnsi="宋体" w:eastAsia="宋体" w:cs="宋体"/>
          <w:color w:val="auto"/>
          <w:sz w:val="15"/>
        </w:rPr>
      </w:pPr>
    </w:p>
    <w:p w14:paraId="48091918">
      <w:pPr>
        <w:spacing w:line="200" w:lineRule="exact"/>
        <w:jc w:val="left"/>
        <w:rPr>
          <w:rFonts w:hint="eastAsia" w:ascii="宋体" w:hAnsi="宋体" w:eastAsia="宋体" w:cs="宋体"/>
          <w:color w:val="auto"/>
          <w:sz w:val="20"/>
        </w:rPr>
      </w:pPr>
    </w:p>
    <w:p w14:paraId="356BA8F7">
      <w:pPr>
        <w:tabs>
          <w:tab w:val="left" w:pos="720"/>
          <w:tab w:val="left" w:pos="1680"/>
          <w:tab w:val="left" w:pos="2620"/>
        </w:tabs>
        <w:spacing w:line="295" w:lineRule="exact"/>
        <w:ind w:right="96"/>
        <w:jc w:val="right"/>
        <w:rPr>
          <w:rFonts w:hint="eastAsia" w:ascii="宋体" w:hAnsi="宋体" w:eastAsia="宋体" w:cs="宋体"/>
          <w:color w:val="auto"/>
        </w:rPr>
      </w:pPr>
      <w:r>
        <w:rPr>
          <w:rFonts w:hint="eastAsia" w:ascii="宋体" w:hAnsi="宋体" w:eastAsia="宋体" w:cs="宋体"/>
          <w:color w:val="auto"/>
          <w:w w:val="201"/>
          <w:position w:val="-1"/>
          <w:u w:val="single"/>
        </w:rPr>
        <w:t xml:space="preserve"> </w:t>
      </w:r>
      <w:r>
        <w:rPr>
          <w:rFonts w:hint="eastAsia" w:ascii="宋体" w:hAnsi="宋体" w:eastAsia="宋体" w:cs="宋体"/>
          <w:color w:val="auto"/>
          <w:position w:val="-1"/>
        </w:rPr>
        <w:t>年</w:t>
      </w:r>
      <w:r>
        <w:rPr>
          <w:rFonts w:hint="eastAsia" w:ascii="宋体" w:hAnsi="宋体" w:eastAsia="宋体" w:cs="宋体"/>
          <w:color w:val="auto"/>
          <w:position w:val="-1"/>
          <w:u w:val="single"/>
        </w:rPr>
        <w:t xml:space="preserve"> </w:t>
      </w:r>
      <w:r>
        <w:rPr>
          <w:rFonts w:hint="eastAsia" w:ascii="宋体" w:hAnsi="宋体" w:eastAsia="宋体" w:cs="宋体"/>
          <w:color w:val="auto"/>
          <w:spacing w:val="-2"/>
          <w:position w:val="-1"/>
        </w:rPr>
        <w:t>月</w:t>
      </w:r>
      <w:r>
        <w:rPr>
          <w:rFonts w:hint="eastAsia" w:ascii="宋体" w:hAnsi="宋体" w:eastAsia="宋体" w:cs="宋体"/>
          <w:color w:val="auto"/>
          <w:position w:val="-1"/>
          <w:u w:val="single"/>
        </w:rPr>
        <w:t xml:space="preserve"> </w:t>
      </w:r>
      <w:r>
        <w:rPr>
          <w:rFonts w:hint="eastAsia" w:ascii="宋体" w:hAnsi="宋体" w:eastAsia="宋体" w:cs="宋体"/>
          <w:color w:val="auto"/>
          <w:position w:val="-1"/>
        </w:rPr>
        <w:t>日</w:t>
      </w:r>
    </w:p>
    <w:p w14:paraId="7756F678">
      <w:pPr>
        <w:spacing w:line="373" w:lineRule="exact"/>
        <w:ind w:left="14" w:right="40" w:hanging="14" w:hangingChars="5"/>
        <w:rPr>
          <w:rFonts w:hint="eastAsia" w:ascii="宋体" w:hAnsi="宋体" w:eastAsia="宋体" w:cs="宋体"/>
          <w:color w:val="auto"/>
          <w:sz w:val="28"/>
        </w:rPr>
      </w:pPr>
    </w:p>
    <w:p w14:paraId="0FC6D0A9">
      <w:pPr>
        <w:spacing w:line="373" w:lineRule="exact"/>
        <w:ind w:left="14" w:right="40" w:hanging="14" w:hangingChars="5"/>
        <w:rPr>
          <w:rFonts w:hint="eastAsia" w:ascii="宋体" w:hAnsi="宋体" w:eastAsia="宋体" w:cs="宋体"/>
          <w:color w:val="auto"/>
          <w:sz w:val="28"/>
        </w:rPr>
      </w:pPr>
      <w:r>
        <w:rPr>
          <w:rFonts w:hint="eastAsia" w:ascii="宋体" w:hAnsi="宋体" w:eastAsia="宋体" w:cs="宋体"/>
          <w:color w:val="auto"/>
          <w:sz w:val="28"/>
        </w:rPr>
        <w:t>注：以广州交易集团有限公司（广州公共资源交易中心）格式为准。</w:t>
      </w:r>
    </w:p>
    <w:p w14:paraId="0DC76584">
      <w:pPr>
        <w:spacing w:line="383" w:lineRule="exact"/>
        <w:ind w:right="-20"/>
        <w:jc w:val="left"/>
        <w:rPr>
          <w:rFonts w:hint="eastAsia" w:ascii="宋体" w:hAnsi="宋体" w:eastAsia="宋体" w:cs="宋体"/>
          <w:color w:val="auto"/>
          <w:sz w:val="28"/>
        </w:rPr>
      </w:pPr>
      <w:r>
        <w:rPr>
          <w:rFonts w:hint="eastAsia" w:ascii="宋体" w:hAnsi="宋体" w:eastAsia="宋体" w:cs="宋体"/>
          <w:color w:val="auto"/>
        </w:rPr>
        <w:br w:type="page"/>
      </w:r>
      <w:r>
        <w:rPr>
          <w:rFonts w:hint="eastAsia" w:ascii="宋体" w:hAnsi="宋体" w:eastAsia="宋体" w:cs="宋体"/>
          <w:color w:val="auto"/>
          <w:position w:val="-4"/>
          <w:sz w:val="28"/>
        </w:rPr>
        <w:t>附件二</w:t>
      </w:r>
      <w:r>
        <w:rPr>
          <w:rFonts w:hint="eastAsia" w:ascii="宋体" w:hAnsi="宋体" w:eastAsia="宋体" w:cs="宋体"/>
          <w:color w:val="auto"/>
          <w:spacing w:val="-3"/>
          <w:position w:val="-4"/>
          <w:sz w:val="28"/>
        </w:rPr>
        <w:t>：</w:t>
      </w:r>
      <w:r>
        <w:rPr>
          <w:rFonts w:hint="eastAsia" w:ascii="宋体" w:hAnsi="宋体" w:eastAsia="宋体" w:cs="宋体"/>
          <w:color w:val="auto"/>
          <w:position w:val="-4"/>
          <w:sz w:val="28"/>
        </w:rPr>
        <w:t>问题</w:t>
      </w:r>
      <w:r>
        <w:rPr>
          <w:rFonts w:hint="eastAsia" w:ascii="宋体" w:hAnsi="宋体" w:eastAsia="宋体" w:cs="宋体"/>
          <w:color w:val="auto"/>
          <w:spacing w:val="-3"/>
          <w:position w:val="-4"/>
          <w:sz w:val="28"/>
        </w:rPr>
        <w:t>澄清</w:t>
      </w:r>
      <w:r>
        <w:rPr>
          <w:rFonts w:hint="eastAsia" w:ascii="宋体" w:hAnsi="宋体" w:eastAsia="宋体" w:cs="宋体"/>
          <w:color w:val="auto"/>
          <w:position w:val="-4"/>
          <w:sz w:val="28"/>
        </w:rPr>
        <w:t>通知</w:t>
      </w:r>
    </w:p>
    <w:p w14:paraId="27BCC056">
      <w:pPr>
        <w:spacing w:line="200" w:lineRule="exact"/>
        <w:jc w:val="left"/>
        <w:rPr>
          <w:rFonts w:hint="eastAsia" w:ascii="宋体" w:hAnsi="宋体" w:eastAsia="宋体" w:cs="宋体"/>
          <w:color w:val="auto"/>
          <w:sz w:val="20"/>
        </w:rPr>
      </w:pPr>
    </w:p>
    <w:p w14:paraId="2B4AEC25">
      <w:pPr>
        <w:spacing w:line="373" w:lineRule="exact"/>
        <w:ind w:left="14" w:right="40" w:hanging="14" w:hangingChars="5"/>
        <w:rPr>
          <w:rFonts w:hint="eastAsia" w:ascii="宋体" w:hAnsi="宋体" w:eastAsia="宋体" w:cs="宋体"/>
          <w:color w:val="auto"/>
          <w:sz w:val="28"/>
        </w:rPr>
      </w:pPr>
      <w:r>
        <w:rPr>
          <w:rFonts w:hint="eastAsia" w:ascii="宋体" w:hAnsi="宋体" w:eastAsia="宋体" w:cs="宋体"/>
          <w:color w:val="auto"/>
          <w:sz w:val="28"/>
        </w:rPr>
        <w:t>注：以广州交易集团有限公司（广州公共资源交易中心）格式为准。</w:t>
      </w:r>
    </w:p>
    <w:p w14:paraId="0866F50D">
      <w:pPr>
        <w:spacing w:line="383" w:lineRule="exact"/>
        <w:ind w:left="237" w:right="-20"/>
        <w:jc w:val="left"/>
        <w:rPr>
          <w:rFonts w:hint="eastAsia" w:ascii="宋体" w:hAnsi="宋体" w:eastAsia="宋体" w:cs="宋体"/>
          <w:color w:val="auto"/>
          <w:position w:val="-4"/>
          <w:sz w:val="28"/>
        </w:rPr>
      </w:pPr>
    </w:p>
    <w:p w14:paraId="262E584F">
      <w:pPr>
        <w:spacing w:line="383" w:lineRule="exact"/>
        <w:ind w:left="237" w:right="-20"/>
        <w:jc w:val="left"/>
        <w:rPr>
          <w:rFonts w:hint="eastAsia" w:ascii="宋体" w:hAnsi="宋体" w:eastAsia="宋体" w:cs="宋体"/>
          <w:color w:val="auto"/>
          <w:position w:val="-4"/>
          <w:sz w:val="28"/>
        </w:rPr>
      </w:pPr>
    </w:p>
    <w:p w14:paraId="1BB2E424">
      <w:pPr>
        <w:spacing w:line="383" w:lineRule="exact"/>
        <w:ind w:right="-20"/>
        <w:jc w:val="left"/>
        <w:rPr>
          <w:rFonts w:hint="eastAsia" w:ascii="宋体" w:hAnsi="宋体" w:eastAsia="宋体" w:cs="宋体"/>
          <w:color w:val="auto"/>
          <w:sz w:val="17"/>
        </w:rPr>
      </w:pPr>
      <w:r>
        <w:rPr>
          <w:rFonts w:hint="eastAsia" w:ascii="宋体" w:hAnsi="宋体" w:eastAsia="宋体" w:cs="宋体"/>
          <w:color w:val="auto"/>
          <w:position w:val="-4"/>
          <w:sz w:val="28"/>
        </w:rPr>
        <w:t>附件三</w:t>
      </w:r>
      <w:r>
        <w:rPr>
          <w:rFonts w:hint="eastAsia" w:ascii="宋体" w:hAnsi="宋体" w:eastAsia="宋体" w:cs="宋体"/>
          <w:color w:val="auto"/>
          <w:spacing w:val="-3"/>
          <w:position w:val="-4"/>
          <w:sz w:val="28"/>
        </w:rPr>
        <w:t>：</w:t>
      </w:r>
      <w:r>
        <w:rPr>
          <w:rFonts w:hint="eastAsia" w:ascii="宋体" w:hAnsi="宋体" w:eastAsia="宋体" w:cs="宋体"/>
          <w:color w:val="auto"/>
          <w:position w:val="-4"/>
          <w:sz w:val="28"/>
        </w:rPr>
        <w:t>问题</w:t>
      </w:r>
      <w:r>
        <w:rPr>
          <w:rFonts w:hint="eastAsia" w:ascii="宋体" w:hAnsi="宋体" w:eastAsia="宋体" w:cs="宋体"/>
          <w:color w:val="auto"/>
          <w:spacing w:val="-3"/>
          <w:position w:val="-4"/>
          <w:sz w:val="28"/>
        </w:rPr>
        <w:t>的澄</w:t>
      </w:r>
      <w:r>
        <w:rPr>
          <w:rFonts w:hint="eastAsia" w:ascii="宋体" w:hAnsi="宋体" w:eastAsia="宋体" w:cs="宋体"/>
          <w:color w:val="auto"/>
          <w:position w:val="-4"/>
          <w:sz w:val="28"/>
        </w:rPr>
        <w:t>清</w:t>
      </w:r>
    </w:p>
    <w:p w14:paraId="2B458F15">
      <w:pPr>
        <w:spacing w:line="200" w:lineRule="exact"/>
        <w:jc w:val="left"/>
        <w:rPr>
          <w:rFonts w:hint="eastAsia" w:ascii="宋体" w:hAnsi="宋体" w:eastAsia="宋体" w:cs="宋体"/>
          <w:color w:val="auto"/>
          <w:sz w:val="20"/>
        </w:rPr>
      </w:pPr>
    </w:p>
    <w:p w14:paraId="3320A2B9">
      <w:pPr>
        <w:spacing w:line="373" w:lineRule="exact"/>
        <w:ind w:right="40"/>
        <w:rPr>
          <w:rFonts w:hint="eastAsia" w:ascii="宋体" w:hAnsi="宋体" w:eastAsia="宋体" w:cs="宋体"/>
          <w:color w:val="auto"/>
          <w:sz w:val="28"/>
        </w:rPr>
      </w:pPr>
      <w:r>
        <w:rPr>
          <w:rFonts w:hint="eastAsia" w:ascii="宋体" w:hAnsi="宋体" w:eastAsia="宋体" w:cs="宋体"/>
          <w:color w:val="auto"/>
          <w:sz w:val="28"/>
        </w:rPr>
        <w:t>注：以广州交易集团有限公司（广州公共资源交易中心）格式为准。</w:t>
      </w:r>
    </w:p>
    <w:p w14:paraId="02DDBEEA">
      <w:pPr>
        <w:spacing w:line="383" w:lineRule="exact"/>
        <w:ind w:left="237" w:right="-20"/>
        <w:jc w:val="left"/>
        <w:rPr>
          <w:rFonts w:hint="eastAsia" w:ascii="宋体" w:hAnsi="宋体" w:eastAsia="宋体" w:cs="宋体"/>
          <w:color w:val="auto"/>
          <w:position w:val="-4"/>
          <w:sz w:val="28"/>
        </w:rPr>
      </w:pPr>
      <w:bookmarkStart w:id="276" w:name="_Toc529459327"/>
      <w:bookmarkStart w:id="277" w:name="_Toc51593457"/>
      <w:bookmarkStart w:id="278" w:name="_Toc525218682"/>
      <w:bookmarkStart w:id="279" w:name="_Toc27507"/>
      <w:bookmarkStart w:id="280" w:name="_Toc536455247"/>
      <w:bookmarkStart w:id="281" w:name="_Toc51179204"/>
    </w:p>
    <w:p w14:paraId="1A696440">
      <w:pPr>
        <w:spacing w:line="383" w:lineRule="exact"/>
        <w:ind w:left="237" w:right="-20"/>
        <w:jc w:val="left"/>
        <w:rPr>
          <w:rFonts w:hint="eastAsia" w:ascii="宋体" w:hAnsi="宋体" w:eastAsia="宋体" w:cs="宋体"/>
          <w:color w:val="auto"/>
          <w:position w:val="-4"/>
          <w:sz w:val="28"/>
        </w:rPr>
      </w:pPr>
    </w:p>
    <w:p w14:paraId="2BF13354">
      <w:pPr>
        <w:spacing w:line="383" w:lineRule="exact"/>
        <w:ind w:right="-20"/>
        <w:jc w:val="left"/>
        <w:rPr>
          <w:rFonts w:hint="eastAsia" w:ascii="宋体" w:hAnsi="宋体" w:eastAsia="宋体" w:cs="宋体"/>
          <w:color w:val="auto"/>
          <w:position w:val="-4"/>
          <w:sz w:val="28"/>
        </w:rPr>
      </w:pPr>
      <w:r>
        <w:rPr>
          <w:rFonts w:hint="eastAsia" w:ascii="宋体" w:hAnsi="宋体" w:eastAsia="宋体" w:cs="宋体"/>
          <w:color w:val="auto"/>
          <w:position w:val="-4"/>
          <w:sz w:val="28"/>
        </w:rPr>
        <w:t>附件四：中标通知书</w:t>
      </w:r>
      <w:bookmarkEnd w:id="276"/>
      <w:bookmarkEnd w:id="277"/>
      <w:bookmarkEnd w:id="278"/>
      <w:bookmarkEnd w:id="279"/>
      <w:bookmarkEnd w:id="280"/>
      <w:bookmarkEnd w:id="281"/>
    </w:p>
    <w:p w14:paraId="3885BFDC">
      <w:pPr>
        <w:spacing w:line="200" w:lineRule="exact"/>
        <w:jc w:val="left"/>
        <w:rPr>
          <w:rFonts w:hint="eastAsia" w:ascii="宋体" w:hAnsi="宋体" w:eastAsia="宋体" w:cs="宋体"/>
          <w:color w:val="auto"/>
          <w:sz w:val="20"/>
        </w:rPr>
      </w:pPr>
    </w:p>
    <w:p w14:paraId="549A4BFF">
      <w:pPr>
        <w:spacing w:line="373" w:lineRule="exact"/>
        <w:ind w:left="14" w:right="40" w:hanging="14" w:hangingChars="5"/>
        <w:rPr>
          <w:rFonts w:hint="eastAsia" w:ascii="宋体" w:hAnsi="宋体" w:eastAsia="宋体" w:cs="宋体"/>
          <w:color w:val="auto"/>
          <w:sz w:val="28"/>
        </w:rPr>
      </w:pPr>
      <w:r>
        <w:rPr>
          <w:rFonts w:hint="eastAsia" w:ascii="宋体" w:hAnsi="宋体" w:eastAsia="宋体" w:cs="宋体"/>
          <w:color w:val="auto"/>
          <w:sz w:val="28"/>
        </w:rPr>
        <w:t>注：以广州交易集团有限公司（广州公共资源交易中心）格式为准。</w:t>
      </w:r>
    </w:p>
    <w:p w14:paraId="3225B289">
      <w:pPr>
        <w:spacing w:line="373" w:lineRule="exact"/>
        <w:ind w:left="3578" w:right="40" w:hanging="3578" w:hangingChars="1278"/>
        <w:jc w:val="center"/>
        <w:rPr>
          <w:rFonts w:hint="eastAsia" w:ascii="宋体" w:hAnsi="宋体" w:eastAsia="宋体" w:cs="宋体"/>
          <w:color w:val="auto"/>
          <w:sz w:val="28"/>
        </w:rPr>
      </w:pPr>
    </w:p>
    <w:p w14:paraId="2C42DFC8">
      <w:pPr>
        <w:spacing w:line="383" w:lineRule="exact"/>
        <w:ind w:left="237" w:right="-20"/>
        <w:jc w:val="left"/>
        <w:rPr>
          <w:rFonts w:hint="eastAsia" w:ascii="宋体" w:hAnsi="宋体" w:eastAsia="宋体" w:cs="宋体"/>
          <w:color w:val="auto"/>
          <w:position w:val="-4"/>
          <w:sz w:val="28"/>
        </w:rPr>
      </w:pPr>
      <w:bookmarkStart w:id="282" w:name="_Toc492300625"/>
      <w:bookmarkStart w:id="283" w:name="_Toc492300624"/>
      <w:bookmarkStart w:id="284" w:name="_Toc529196580"/>
      <w:bookmarkStart w:id="285" w:name="_Toc535938719"/>
      <w:bookmarkStart w:id="286" w:name="_Toc530470628"/>
      <w:bookmarkStart w:id="287" w:name="_Toc6395"/>
      <w:bookmarkStart w:id="288" w:name="_Toc49510020"/>
    </w:p>
    <w:p w14:paraId="0E8CD4E7">
      <w:pPr>
        <w:spacing w:after="240"/>
        <w:rPr>
          <w:rFonts w:hint="eastAsia" w:ascii="宋体" w:hAnsi="宋体" w:eastAsia="宋体" w:cs="宋体"/>
          <w:color w:val="auto"/>
          <w:position w:val="-4"/>
          <w:sz w:val="28"/>
        </w:rPr>
      </w:pPr>
      <w:r>
        <w:rPr>
          <w:rFonts w:hint="eastAsia" w:ascii="宋体" w:hAnsi="宋体" w:eastAsia="宋体" w:cs="宋体"/>
          <w:color w:val="auto"/>
          <w:position w:val="-4"/>
          <w:sz w:val="28"/>
        </w:rPr>
        <w:t>附件五：</w:t>
      </w:r>
      <w:bookmarkEnd w:id="282"/>
      <w:r>
        <w:rPr>
          <w:rFonts w:hint="eastAsia" w:ascii="宋体" w:hAnsi="宋体" w:eastAsia="宋体" w:cs="宋体"/>
          <w:color w:val="auto"/>
          <w:position w:val="-4"/>
          <w:sz w:val="28"/>
        </w:rPr>
        <w:t>中标结果通知书</w:t>
      </w:r>
      <w:bookmarkEnd w:id="283"/>
    </w:p>
    <w:p w14:paraId="31FA25E2">
      <w:pPr>
        <w:spacing w:line="373" w:lineRule="exact"/>
        <w:ind w:left="14" w:right="40" w:hanging="14" w:hangingChars="5"/>
        <w:rPr>
          <w:rFonts w:hint="eastAsia" w:ascii="宋体" w:hAnsi="宋体" w:eastAsia="宋体" w:cs="宋体"/>
          <w:color w:val="auto"/>
          <w:sz w:val="28"/>
        </w:rPr>
      </w:pPr>
      <w:r>
        <w:rPr>
          <w:rFonts w:hint="eastAsia" w:ascii="宋体" w:hAnsi="宋体" w:eastAsia="宋体" w:cs="宋体"/>
          <w:color w:val="auto"/>
          <w:sz w:val="28"/>
        </w:rPr>
        <w:t>注：以广州交易集团有限公司（广州公共资源交易中心）格式为准。</w:t>
      </w:r>
    </w:p>
    <w:bookmarkEnd w:id="284"/>
    <w:bookmarkEnd w:id="285"/>
    <w:bookmarkEnd w:id="286"/>
    <w:p w14:paraId="4ED4CBF3">
      <w:pPr>
        <w:spacing w:line="383" w:lineRule="exact"/>
        <w:ind w:left="237" w:right="-20"/>
        <w:jc w:val="left"/>
        <w:rPr>
          <w:rFonts w:hint="eastAsia" w:ascii="宋体" w:hAnsi="宋体" w:eastAsia="宋体" w:cs="宋体"/>
          <w:color w:val="auto"/>
          <w:position w:val="-4"/>
          <w:sz w:val="28"/>
        </w:rPr>
      </w:pPr>
    </w:p>
    <w:p w14:paraId="32599DBE">
      <w:pPr>
        <w:spacing w:line="383" w:lineRule="exact"/>
        <w:ind w:left="237" w:right="-20"/>
        <w:jc w:val="left"/>
        <w:rPr>
          <w:rFonts w:hint="eastAsia" w:ascii="宋体" w:hAnsi="宋体" w:eastAsia="宋体" w:cs="宋体"/>
          <w:color w:val="auto"/>
          <w:position w:val="-4"/>
          <w:sz w:val="28"/>
        </w:rPr>
      </w:pPr>
    </w:p>
    <w:p w14:paraId="5290CC58">
      <w:pPr>
        <w:rPr>
          <w:rFonts w:hint="eastAsia" w:ascii="宋体" w:hAnsi="宋体" w:eastAsia="宋体" w:cs="宋体"/>
          <w:color w:val="auto"/>
          <w:position w:val="-4"/>
          <w:sz w:val="28"/>
        </w:rPr>
      </w:pPr>
      <w:r>
        <w:rPr>
          <w:rFonts w:hint="eastAsia" w:ascii="宋体" w:hAnsi="宋体" w:eastAsia="宋体" w:cs="宋体"/>
          <w:color w:val="auto"/>
          <w:position w:val="-4"/>
          <w:sz w:val="28"/>
        </w:rPr>
        <w:t>附件六：确认通知</w:t>
      </w:r>
    </w:p>
    <w:p w14:paraId="0B80158A">
      <w:pPr>
        <w:spacing w:line="200" w:lineRule="exact"/>
        <w:jc w:val="left"/>
        <w:rPr>
          <w:rFonts w:hint="eastAsia" w:ascii="宋体" w:hAnsi="宋体" w:eastAsia="宋体" w:cs="宋体"/>
          <w:color w:val="auto"/>
          <w:sz w:val="20"/>
        </w:rPr>
      </w:pPr>
    </w:p>
    <w:p w14:paraId="0E34724E">
      <w:pPr>
        <w:spacing w:line="373" w:lineRule="exact"/>
        <w:ind w:left="14" w:right="40" w:hanging="14" w:hangingChars="5"/>
        <w:rPr>
          <w:rFonts w:hint="eastAsia" w:ascii="宋体" w:hAnsi="宋体" w:eastAsia="宋体" w:cs="宋体"/>
          <w:color w:val="auto"/>
          <w:sz w:val="28"/>
        </w:rPr>
      </w:pPr>
      <w:r>
        <w:rPr>
          <w:rFonts w:hint="eastAsia" w:ascii="宋体" w:hAnsi="宋体" w:eastAsia="宋体" w:cs="宋体"/>
          <w:color w:val="auto"/>
          <w:sz w:val="28"/>
        </w:rPr>
        <w:t>注：以广州交易集团有限公司（广州公共资源交易中心）格式为准。</w:t>
      </w:r>
    </w:p>
    <w:p w14:paraId="09D9CCBC">
      <w:pPr>
        <w:rPr>
          <w:rFonts w:hint="eastAsia" w:ascii="宋体" w:hAnsi="宋体" w:eastAsia="宋体" w:cs="宋体"/>
          <w:color w:val="auto"/>
        </w:rPr>
      </w:pPr>
    </w:p>
    <w:p w14:paraId="3877852E">
      <w:pPr>
        <w:pStyle w:val="2"/>
        <w:spacing w:line="240" w:lineRule="auto"/>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第三章 评标办法（“评定分离”定标办法）</w:t>
      </w:r>
      <w:bookmarkEnd w:id="287"/>
      <w:bookmarkEnd w:id="288"/>
    </w:p>
    <w:p w14:paraId="7BB4CDE0">
      <w:pPr>
        <w:pStyle w:val="3"/>
        <w:spacing w:line="240" w:lineRule="auto"/>
        <w:jc w:val="center"/>
        <w:rPr>
          <w:rFonts w:hint="eastAsia" w:ascii="宋体" w:hAnsi="宋体" w:eastAsia="宋体" w:cs="宋体"/>
          <w:color w:val="auto"/>
        </w:rPr>
      </w:pPr>
      <w:bookmarkStart w:id="289" w:name="_Toc49510021"/>
      <w:r>
        <w:rPr>
          <w:rFonts w:hint="eastAsia" w:ascii="宋体" w:hAnsi="宋体" w:eastAsia="宋体" w:cs="宋体"/>
          <w:color w:val="auto"/>
        </w:rPr>
        <w:t>评标办法前附表</w:t>
      </w:r>
      <w:bookmarkEnd w:id="289"/>
    </w:p>
    <w:tbl>
      <w:tblPr>
        <w:tblStyle w:val="46"/>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1158"/>
        <w:gridCol w:w="1772"/>
        <w:gridCol w:w="5511"/>
      </w:tblGrid>
      <w:tr w14:paraId="3B97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DA880F3">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条款号</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46021E7">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评审因素</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581C8AE">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评审标准</w:t>
            </w:r>
          </w:p>
        </w:tc>
      </w:tr>
      <w:tr w14:paraId="2254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3218C35">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15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AECB807">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评标方法</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8388D2">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中标候选人排序方法</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775E4F">
            <w:pPr>
              <w:spacing w:line="360" w:lineRule="auto"/>
              <w:rPr>
                <w:rFonts w:hint="eastAsia" w:ascii="宋体" w:hAnsi="宋体" w:eastAsia="宋体" w:cs="宋体"/>
                <w:color w:val="auto"/>
                <w:szCs w:val="21"/>
              </w:rPr>
            </w:pPr>
            <w:r>
              <w:rPr>
                <w:rFonts w:hint="eastAsia" w:ascii="宋体" w:hAnsi="宋体" w:eastAsia="宋体" w:cs="宋体"/>
                <w:color w:val="auto"/>
                <w:u w:val="single"/>
              </w:rPr>
              <w:t>本项目采用评定分离定标办法，其中：评标采用“通过制”评标办法，</w:t>
            </w:r>
            <w:r>
              <w:rPr>
                <w:rFonts w:hint="eastAsia" w:ascii="宋体" w:hAnsi="宋体" w:eastAsia="宋体" w:cs="宋体"/>
                <w:color w:val="auto"/>
                <w:szCs w:val="21"/>
                <w:u w:val="single"/>
              </w:rPr>
              <w:t>所有通过初步评审</w:t>
            </w:r>
            <w:r>
              <w:rPr>
                <w:rFonts w:hint="eastAsia" w:ascii="宋体" w:hAnsi="宋体" w:eastAsia="宋体" w:cs="宋体"/>
                <w:color w:val="auto"/>
                <w:u w:val="single"/>
              </w:rPr>
              <w:t>（形式评审、资格评审、响应性评审）的</w:t>
            </w:r>
            <w:r>
              <w:rPr>
                <w:rFonts w:hint="eastAsia" w:ascii="宋体" w:hAnsi="宋体" w:eastAsia="宋体" w:cs="宋体"/>
                <w:color w:val="auto"/>
                <w:szCs w:val="21"/>
                <w:u w:val="single"/>
              </w:rPr>
              <w:t>投标人全部被推荐为合格的中标候选人，进入定标阶段</w:t>
            </w:r>
            <w:r>
              <w:rPr>
                <w:rFonts w:hint="eastAsia" w:ascii="宋体" w:hAnsi="宋体" w:eastAsia="宋体" w:cs="宋体"/>
                <w:color w:val="auto"/>
                <w:u w:val="single"/>
              </w:rPr>
              <w:t>【不排序，按其统一社会信用代码后4位（除校验码外）大小进行排位】</w:t>
            </w:r>
            <w:r>
              <w:rPr>
                <w:rFonts w:hint="eastAsia" w:ascii="宋体" w:hAnsi="宋体" w:eastAsia="宋体" w:cs="宋体"/>
                <w:color w:val="auto"/>
                <w:szCs w:val="21"/>
                <w:u w:val="single"/>
              </w:rPr>
              <w:t>。</w:t>
            </w:r>
          </w:p>
        </w:tc>
      </w:tr>
      <w:tr w14:paraId="6F51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E6DA389">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2.1.1</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4CD7921">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形式评审标准</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F43D798">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DFD5E81">
            <w:pPr>
              <w:widowControl/>
              <w:spacing w:beforeAutospacing="1" w:afterAutospacing="1"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与营业执照、资质证书一致；</w:t>
            </w:r>
            <w:r>
              <w:rPr>
                <w:rFonts w:hint="eastAsia" w:ascii="宋体" w:hAnsi="宋体" w:eastAsia="宋体" w:cs="宋体"/>
                <w:color w:val="auto"/>
                <w:szCs w:val="21"/>
                <w:u w:val="single"/>
              </w:rPr>
              <w:t>香港企业参加投标的，须与在广东省住房和城乡建设主管部门备案的证明一致。</w:t>
            </w:r>
          </w:p>
        </w:tc>
      </w:tr>
      <w:tr w14:paraId="3585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3CE43B2">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44CBEA7">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61CFBA4">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投标函及投标函</w:t>
            </w:r>
          </w:p>
          <w:p w14:paraId="0E5AE00C">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附录签字盖章</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6A15153">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有法定代表人或被授权人签字（或盖章）并加盖单位章。由法定代表人签字（或盖章）的，应附法定代表人身份证明；由被授权人签字（或盖章）的，应附授权委托书、法定代表人身份证明。</w:t>
            </w:r>
          </w:p>
        </w:tc>
      </w:tr>
      <w:tr w14:paraId="18F1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8835C6B">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5BCF548">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FB56E64">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投标文件格式</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658DD88">
            <w:pPr>
              <w:widowControl/>
              <w:spacing w:beforeAutospacing="1" w:afterAutospacing="1"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w:t>
            </w:r>
            <w:r>
              <w:rPr>
                <w:rFonts w:hint="eastAsia" w:ascii="宋体" w:hAnsi="宋体" w:eastAsia="宋体" w:cs="宋体"/>
                <w:color w:val="auto"/>
                <w:u w:val="single"/>
              </w:rPr>
              <w:t>投标函及投标函附录”</w:t>
            </w:r>
            <w:r>
              <w:rPr>
                <w:rFonts w:hint="eastAsia" w:ascii="宋体" w:hAnsi="宋体" w:eastAsia="宋体" w:cs="宋体"/>
                <w:color w:val="auto"/>
                <w:kern w:val="0"/>
                <w:szCs w:val="21"/>
                <w:u w:val="single"/>
              </w:rPr>
              <w:t>符合第六章“投标文件格式”的规定。</w:t>
            </w:r>
          </w:p>
        </w:tc>
      </w:tr>
      <w:tr w14:paraId="6936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2560F4E">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9F50E90">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02777AE">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pacing w:val="-7"/>
                <w:szCs w:val="21"/>
              </w:rPr>
              <w:t>备选投标方案</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E2C134D">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u w:val="single"/>
              </w:rPr>
              <w:t>不允许。</w:t>
            </w:r>
          </w:p>
        </w:tc>
      </w:tr>
      <w:tr w14:paraId="05DC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0394503">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6993098">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9179140">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联合体投标人</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3E425D">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u w:val="single"/>
              </w:rPr>
              <w:t>本次招标不接受联合体投标。</w:t>
            </w:r>
          </w:p>
        </w:tc>
      </w:tr>
      <w:tr w14:paraId="2A2B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D7CDFE1">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B5ABBC3">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C4B86D">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投标人机器码</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C26DA7">
            <w:pPr>
              <w:widowControl/>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4"/>
                <w:u w:val="single"/>
              </w:rPr>
              <w:t>投标人与本项目其他投标人加密打包投标文件电脑机器特征码不一致的(以广州交易集团有限公司（广州公共资源交易中心）交易平台开标系统的检索信息为准)</w:t>
            </w:r>
            <w:r>
              <w:rPr>
                <w:rFonts w:hint="eastAsia" w:ascii="宋体" w:hAnsi="宋体" w:eastAsia="宋体" w:cs="宋体"/>
                <w:color w:val="auto"/>
                <w:kern w:val="0"/>
                <w:szCs w:val="21"/>
                <w:u w:val="single"/>
              </w:rPr>
              <w:t>。</w:t>
            </w:r>
          </w:p>
        </w:tc>
      </w:tr>
      <w:tr w14:paraId="5CFE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4E686CB">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2.1.2</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567696F">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资格评审标准</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7EC79C4">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u w:val="single"/>
              </w:rPr>
              <w:t>营业执照</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3F928F">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符合第二章“投标人须知”第3.5.1项规定，具备有效的营业执照；</w:t>
            </w:r>
            <w:r>
              <w:rPr>
                <w:rFonts w:hint="eastAsia" w:ascii="宋体" w:hAnsi="宋体" w:eastAsia="宋体" w:cs="宋体"/>
                <w:color w:val="auto"/>
                <w:szCs w:val="21"/>
                <w:u w:val="single"/>
              </w:rPr>
              <w:t>香港企业提供在香港进行商业登记的证明文书。</w:t>
            </w:r>
          </w:p>
        </w:tc>
      </w:tr>
      <w:tr w14:paraId="4325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9CF2FD7">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BEAF23B">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4E15B1E">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zCs w:val="21"/>
              </w:rPr>
              <w:t>资质要求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0605C2F">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符合第二章“投标人须知”第1.4.1项规定。</w:t>
            </w:r>
          </w:p>
        </w:tc>
      </w:tr>
      <w:tr w14:paraId="5F5B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5592794">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C0022B2">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6CA880C">
            <w:pPr>
              <w:widowControl/>
              <w:spacing w:beforeAutospacing="1" w:afterAutospacing="1"/>
              <w:jc w:val="center"/>
              <w:rPr>
                <w:rFonts w:hint="eastAsia" w:ascii="宋体" w:hAnsi="宋体" w:eastAsia="宋体" w:cs="宋体"/>
                <w:color w:val="auto"/>
                <w:szCs w:val="21"/>
              </w:rPr>
            </w:pPr>
            <w:r>
              <w:rPr>
                <w:rFonts w:hint="eastAsia" w:ascii="宋体" w:hAnsi="宋体" w:eastAsia="宋体" w:cs="宋体"/>
                <w:color w:val="auto"/>
                <w:szCs w:val="21"/>
              </w:rPr>
              <w:t>财务要求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5A9EF3E">
            <w:pPr>
              <w:widowControl/>
              <w:spacing w:beforeAutospacing="1" w:afterAutospacing="1" w:line="360" w:lineRule="auto"/>
              <w:jc w:val="left"/>
              <w:rPr>
                <w:rFonts w:hint="eastAsia" w:ascii="宋体" w:hAnsi="宋体" w:eastAsia="宋体" w:cs="宋体"/>
                <w:color w:val="auto"/>
                <w:szCs w:val="21"/>
              </w:rPr>
            </w:pPr>
            <w:r>
              <w:rPr>
                <w:rFonts w:hint="eastAsia" w:ascii="宋体" w:hAnsi="宋体" w:eastAsia="宋体" w:cs="宋体"/>
                <w:color w:val="auto"/>
                <w:szCs w:val="21"/>
              </w:rPr>
              <w:t>/</w:t>
            </w:r>
          </w:p>
        </w:tc>
      </w:tr>
      <w:tr w14:paraId="68C5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8A43E9F">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1171CFE">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6C9DA3">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zCs w:val="21"/>
              </w:rPr>
              <w:t>业绩要求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0908224">
            <w:pPr>
              <w:spacing w:line="360" w:lineRule="auto"/>
              <w:rPr>
                <w:rFonts w:hint="eastAsia" w:ascii="宋体" w:hAnsi="宋体" w:eastAsia="宋体" w:cs="宋体"/>
                <w:color w:val="auto"/>
                <w:kern w:val="0"/>
                <w:szCs w:val="21"/>
              </w:rPr>
            </w:pPr>
            <w:r>
              <w:rPr>
                <w:rFonts w:hint="eastAsia" w:ascii="宋体" w:hAnsi="宋体" w:eastAsia="宋体" w:cs="宋体"/>
                <w:color w:val="auto"/>
                <w:szCs w:val="21"/>
              </w:rPr>
              <w:t>/</w:t>
            </w:r>
          </w:p>
        </w:tc>
      </w:tr>
      <w:tr w14:paraId="6500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E66D507">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C1FF0D2">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12F46BE">
            <w:pPr>
              <w:widowControl/>
              <w:spacing w:beforeAutospacing="1" w:afterAutospacing="1"/>
              <w:jc w:val="center"/>
              <w:rPr>
                <w:rFonts w:hint="eastAsia" w:ascii="宋体" w:hAnsi="宋体" w:eastAsia="宋体" w:cs="宋体"/>
                <w:color w:val="auto"/>
                <w:szCs w:val="21"/>
              </w:rPr>
            </w:pPr>
            <w:r>
              <w:rPr>
                <w:rFonts w:hint="eastAsia" w:ascii="宋体" w:hAnsi="宋体" w:eastAsia="宋体" w:cs="宋体"/>
                <w:color w:val="auto"/>
                <w:szCs w:val="21"/>
              </w:rPr>
              <w:t>信誉要求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29B1C2">
            <w:pPr>
              <w:widowControl/>
              <w:spacing w:beforeAutospacing="1" w:afterAutospacing="1" w:line="360" w:lineRule="auto"/>
              <w:jc w:val="left"/>
              <w:rPr>
                <w:rFonts w:hint="eastAsia" w:ascii="宋体" w:hAnsi="宋体" w:eastAsia="宋体" w:cs="宋体"/>
                <w:color w:val="auto"/>
                <w:szCs w:val="21"/>
              </w:rPr>
            </w:pPr>
            <w:r>
              <w:rPr>
                <w:rFonts w:hint="eastAsia" w:ascii="宋体" w:hAnsi="宋体" w:eastAsia="宋体" w:cs="宋体"/>
                <w:color w:val="auto"/>
                <w:szCs w:val="21"/>
              </w:rPr>
              <w:t>/</w:t>
            </w:r>
          </w:p>
        </w:tc>
      </w:tr>
      <w:tr w14:paraId="07A5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A588FD1">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CE963B5">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52200A">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zCs w:val="21"/>
              </w:rPr>
              <w:t>总监理工程师</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AC9B174">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符合第二章“投标人须知”第1.4.1项规定。</w:t>
            </w:r>
          </w:p>
        </w:tc>
      </w:tr>
      <w:tr w14:paraId="270C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DE6EFF3">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2CB85D5">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03C96B1">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zCs w:val="21"/>
              </w:rPr>
              <w:t>其他主要人员</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2171D8">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w:t>
            </w:r>
          </w:p>
        </w:tc>
      </w:tr>
      <w:tr w14:paraId="4A9E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448BD98">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8EB7E6E">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CE88311">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zCs w:val="21"/>
              </w:rPr>
              <w:t>试验检测仪器设备</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CC045F">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w:t>
            </w:r>
          </w:p>
        </w:tc>
      </w:tr>
      <w:tr w14:paraId="7B14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4F0378D">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8C59C08">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85E958">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szCs w:val="21"/>
              </w:rPr>
              <w:t>其他要求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32AA0A">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符合第二章“投标人须知”第1.4.1项规定。</w:t>
            </w:r>
          </w:p>
        </w:tc>
      </w:tr>
      <w:tr w14:paraId="3934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8460B53">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94D0AC4">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732E500">
            <w:pPr>
              <w:widowControl/>
              <w:spacing w:beforeAutospacing="1" w:afterAutospacing="1"/>
              <w:jc w:val="center"/>
              <w:rPr>
                <w:rFonts w:hint="eastAsia" w:ascii="宋体" w:hAnsi="宋体" w:eastAsia="宋体" w:cs="宋体"/>
                <w:color w:val="auto"/>
                <w:szCs w:val="21"/>
              </w:rPr>
            </w:pPr>
            <w:r>
              <w:rPr>
                <w:rFonts w:hint="eastAsia" w:ascii="宋体" w:hAnsi="宋体" w:eastAsia="宋体" w:cs="宋体"/>
                <w:color w:val="auto"/>
                <w:szCs w:val="21"/>
              </w:rPr>
              <w:t>联合体投标人</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CC2122D">
            <w:pPr>
              <w:widowControl/>
              <w:spacing w:beforeAutospacing="1" w:afterAutospacing="1" w:line="360" w:lineRule="auto"/>
              <w:jc w:val="left"/>
              <w:rPr>
                <w:rFonts w:hint="eastAsia" w:ascii="宋体" w:hAnsi="宋体" w:eastAsia="宋体" w:cs="宋体"/>
                <w:color w:val="auto"/>
                <w:szCs w:val="21"/>
              </w:rPr>
            </w:pPr>
            <w:r>
              <w:rPr>
                <w:rFonts w:hint="eastAsia" w:ascii="宋体" w:hAnsi="宋体" w:eastAsia="宋体" w:cs="宋体"/>
                <w:color w:val="auto"/>
                <w:szCs w:val="21"/>
                <w:u w:val="single"/>
              </w:rPr>
              <w:t>本次招标不接受联合体投标。</w:t>
            </w:r>
          </w:p>
        </w:tc>
      </w:tr>
      <w:tr w14:paraId="130C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1881704">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7A20C89">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E66410E">
            <w:pPr>
              <w:widowControl/>
              <w:jc w:val="center"/>
              <w:rPr>
                <w:rFonts w:hint="eastAsia" w:ascii="宋体" w:hAnsi="宋体" w:eastAsia="宋体" w:cs="宋体"/>
                <w:color w:val="auto"/>
                <w:kern w:val="0"/>
                <w:szCs w:val="21"/>
              </w:rPr>
            </w:pPr>
            <w:r>
              <w:rPr>
                <w:rFonts w:hint="eastAsia" w:ascii="宋体" w:hAnsi="宋体" w:eastAsia="宋体" w:cs="宋体"/>
                <w:color w:val="auto"/>
                <w:szCs w:val="21"/>
              </w:rPr>
              <w:t>不存在禁止投标的情形</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9662349">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不存在第二章“投标人须知”第1.4.3项规定的任何一种情形。</w:t>
            </w:r>
          </w:p>
        </w:tc>
      </w:tr>
      <w:tr w14:paraId="188C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08A2391">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F77D88D">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A76413">
            <w:pPr>
              <w:spacing w:before="40" w:after="40"/>
              <w:jc w:val="center"/>
              <w:rPr>
                <w:rFonts w:hint="eastAsia" w:ascii="宋体" w:hAnsi="宋体" w:eastAsia="宋体" w:cs="宋体"/>
                <w:color w:val="auto"/>
              </w:rPr>
            </w:pPr>
            <w:r>
              <w:rPr>
                <w:rFonts w:hint="eastAsia" w:ascii="宋体" w:hAnsi="宋体" w:eastAsia="宋体" w:cs="宋体"/>
                <w:color w:val="auto"/>
                <w:szCs w:val="21"/>
                <w:u w:val="single"/>
              </w:rPr>
              <w:t>投标人声明签字盖章</w:t>
            </w:r>
          </w:p>
        </w:tc>
        <w:tc>
          <w:tcPr>
            <w:tcW w:w="551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F242D2">
            <w:pPr>
              <w:wordWrap w:val="0"/>
              <w:autoSpaceDE w:val="0"/>
              <w:autoSpaceDN w:val="0"/>
              <w:spacing w:line="360" w:lineRule="auto"/>
              <w:rPr>
                <w:rFonts w:hint="eastAsia" w:ascii="宋体" w:hAnsi="宋体" w:eastAsia="宋体" w:cs="宋体"/>
                <w:color w:val="auto"/>
              </w:rPr>
            </w:pPr>
            <w:r>
              <w:rPr>
                <w:rFonts w:hint="eastAsia" w:ascii="宋体" w:hAnsi="宋体" w:eastAsia="宋体" w:cs="宋体"/>
                <w:color w:val="auto"/>
                <w:szCs w:val="21"/>
                <w:u w:val="single"/>
              </w:rPr>
              <w:t>法定代表人、总监理工程师按《投标人声明》格式要求签字并加盖单位公章。</w:t>
            </w:r>
          </w:p>
        </w:tc>
      </w:tr>
      <w:tr w14:paraId="2C17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2CF2060">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4E23654">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D42762">
            <w:pPr>
              <w:jc w:val="center"/>
              <w:rPr>
                <w:rFonts w:hint="eastAsia" w:ascii="宋体" w:hAnsi="宋体" w:eastAsia="宋体" w:cs="宋体"/>
                <w:color w:val="auto"/>
                <w:u w:val="single"/>
              </w:rPr>
            </w:pPr>
            <w:r>
              <w:rPr>
                <w:rFonts w:hint="eastAsia" w:ascii="宋体" w:hAnsi="宋体" w:eastAsia="宋体" w:cs="宋体"/>
                <w:color w:val="auto"/>
                <w:szCs w:val="21"/>
                <w:u w:val="single"/>
              </w:rPr>
              <w:t>未被列入拖欠农民工工资失信联合惩戒对象名单</w:t>
            </w:r>
          </w:p>
        </w:tc>
        <w:tc>
          <w:tcPr>
            <w:tcW w:w="551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749DD8D">
            <w:pPr>
              <w:spacing w:line="360" w:lineRule="auto"/>
              <w:rPr>
                <w:rFonts w:hint="eastAsia" w:ascii="宋体" w:hAnsi="宋体" w:eastAsia="宋体" w:cs="宋体"/>
                <w:color w:val="auto"/>
                <w:u w:val="single"/>
              </w:rPr>
            </w:pPr>
            <w:r>
              <w:rPr>
                <w:rFonts w:hint="eastAsia" w:ascii="宋体" w:hAnsi="宋体" w:eastAsia="宋体" w:cs="宋体"/>
                <w:color w:val="auto"/>
                <w:szCs w:val="21"/>
                <w:u w:val="single"/>
              </w:rPr>
              <w:t>投标人无需提供资料，按投标截止时间交易系统比对的结果进行评审。</w:t>
            </w:r>
          </w:p>
        </w:tc>
      </w:tr>
      <w:tr w14:paraId="22EE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C563787">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2.1.3</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E38A274">
            <w:pPr>
              <w:widowControl/>
              <w:spacing w:beforeAutospacing="1" w:afterAutospacing="1"/>
              <w:jc w:val="center"/>
              <w:rPr>
                <w:rFonts w:hint="eastAsia" w:ascii="宋体" w:hAnsi="宋体" w:eastAsia="宋体" w:cs="宋体"/>
                <w:strike/>
                <w:color w:val="auto"/>
                <w:kern w:val="0"/>
                <w:szCs w:val="21"/>
              </w:rPr>
            </w:pPr>
            <w:r>
              <w:rPr>
                <w:rFonts w:hint="eastAsia" w:ascii="宋体" w:hAnsi="宋体" w:eastAsia="宋体" w:cs="宋体"/>
                <w:color w:val="auto"/>
                <w:kern w:val="0"/>
                <w:szCs w:val="21"/>
              </w:rPr>
              <w:t>响应性评审标准</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F4E856F">
            <w:pPr>
              <w:widowControl/>
              <w:spacing w:beforeAutospacing="1" w:afterAutospacing="1"/>
              <w:jc w:val="center"/>
              <w:rPr>
                <w:rFonts w:hint="eastAsia" w:ascii="宋体" w:hAnsi="宋体" w:eastAsia="宋体" w:cs="宋体"/>
                <w:color w:val="auto"/>
                <w:szCs w:val="21"/>
              </w:rPr>
            </w:pPr>
            <w:r>
              <w:rPr>
                <w:rFonts w:hint="eastAsia" w:ascii="宋体" w:hAnsi="宋体" w:eastAsia="宋体" w:cs="宋体"/>
                <w:color w:val="auto"/>
                <w:kern w:val="0"/>
                <w:szCs w:val="21"/>
              </w:rPr>
              <w:t>投标报价</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D64FE5">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符合第二章“投标人须知”第3.2款规定，对同一招标项目没有出现：两个或以上的投标报价且修正无依据。</w:t>
            </w:r>
          </w:p>
        </w:tc>
      </w:tr>
      <w:tr w14:paraId="25FC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3CFB99">
            <w:pPr>
              <w:rPr>
                <w:rFonts w:hint="eastAsia" w:ascii="宋体" w:hAnsi="宋体" w:eastAsia="宋体" w:cs="宋体"/>
                <w:color w:val="auto"/>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C408749">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335A6EB">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投标内容</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7C90052">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符合第二章“投标人须知”第1.3.1项规定，投标文件按规定的格式填写，内容齐全或关键字迹清晰、容易辩认。</w:t>
            </w:r>
          </w:p>
        </w:tc>
      </w:tr>
      <w:tr w14:paraId="4FE9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E83D05">
            <w:pPr>
              <w:rPr>
                <w:rFonts w:hint="eastAsia" w:ascii="宋体" w:hAnsi="宋体" w:eastAsia="宋体" w:cs="宋体"/>
                <w:color w:val="auto"/>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206EB49">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58DC6C7">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监理服务期限</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69E7F41">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符合第二章“投标人须知”第1.3.2项规定。</w:t>
            </w:r>
          </w:p>
        </w:tc>
      </w:tr>
      <w:tr w14:paraId="3F0A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07B49AB">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30448BC">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BE36346">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质量标准</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899A541">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符合第二章“投标人须知”第1.3.3项规定。</w:t>
            </w:r>
          </w:p>
        </w:tc>
      </w:tr>
      <w:tr w14:paraId="1E16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9027ED2">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53DA6E8">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0CFDE591">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投标有效期</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01710435">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符合第二章“投标人须知”第3.3.1项规定。</w:t>
            </w:r>
          </w:p>
        </w:tc>
      </w:tr>
      <w:tr w14:paraId="4499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63DCBD5">
            <w:pPr>
              <w:rPr>
                <w:rFonts w:hint="eastAsia" w:ascii="宋体" w:hAnsi="宋体" w:eastAsia="宋体" w:cs="宋体"/>
                <w:color w:val="auto"/>
                <w:sz w:val="20"/>
                <w:szCs w:val="20"/>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21509D6">
            <w:pPr>
              <w:rPr>
                <w:rFonts w:hint="eastAsia" w:ascii="宋体" w:hAnsi="宋体" w:eastAsia="宋体" w:cs="宋体"/>
                <w:color w:val="auto"/>
                <w:sz w:val="20"/>
                <w:szCs w:val="20"/>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74FDC6D6">
            <w:pPr>
              <w:widowControl/>
              <w:spacing w:beforeAutospacing="1" w:afterAutospacing="1"/>
              <w:jc w:val="center"/>
              <w:rPr>
                <w:rFonts w:hint="eastAsia" w:ascii="宋体" w:hAnsi="宋体" w:eastAsia="宋体" w:cs="宋体"/>
                <w:color w:val="auto"/>
                <w:kern w:val="0"/>
                <w:szCs w:val="21"/>
              </w:rPr>
            </w:pPr>
            <w:r>
              <w:rPr>
                <w:rFonts w:hint="eastAsia" w:ascii="宋体" w:hAnsi="宋体" w:eastAsia="宋体" w:cs="宋体"/>
                <w:color w:val="auto"/>
                <w:kern w:val="0"/>
                <w:szCs w:val="21"/>
              </w:rPr>
              <w:t>串通投标情形</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7FE74AE1">
            <w:pPr>
              <w:widowControl/>
              <w:spacing w:beforeAutospacing="1" w:afterAutospacing="1"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不存在串通投标情形（串通投标情形以《广东省实施&lt;中华人民共和国招标投标法&gt;》第十六条的规定为准）。</w:t>
            </w:r>
          </w:p>
        </w:tc>
      </w:tr>
      <w:tr w14:paraId="70EA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44A187BE">
            <w:pPr>
              <w:widowControl/>
              <w:jc w:val="center"/>
              <w:rPr>
                <w:rFonts w:hint="eastAsia" w:ascii="宋体" w:hAnsi="宋体" w:eastAsia="宋体" w:cs="宋体"/>
                <w:color w:val="auto"/>
                <w:kern w:val="0"/>
                <w:szCs w:val="21"/>
                <w:u w:val="single"/>
              </w:rPr>
            </w:pPr>
            <w:r>
              <w:rPr>
                <w:rFonts w:hint="eastAsia" w:ascii="宋体" w:hAnsi="宋体" w:eastAsia="宋体" w:cs="宋体"/>
                <w:color w:val="auto"/>
                <w:szCs w:val="21"/>
                <w:u w:val="single"/>
              </w:rPr>
              <w:t>4</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27CA8416">
            <w:pPr>
              <w:widowControl/>
              <w:jc w:val="center"/>
              <w:rPr>
                <w:rFonts w:hint="eastAsia" w:ascii="宋体" w:hAnsi="宋体" w:eastAsia="宋体" w:cs="宋体"/>
                <w:color w:val="auto"/>
                <w:kern w:val="0"/>
                <w:szCs w:val="21"/>
              </w:rPr>
            </w:pPr>
            <w:r>
              <w:rPr>
                <w:rFonts w:hint="eastAsia" w:ascii="宋体" w:hAnsi="宋体" w:eastAsia="宋体" w:cs="宋体"/>
                <w:color w:val="auto"/>
                <w:szCs w:val="21"/>
              </w:rPr>
              <w:t>定标</w:t>
            </w:r>
          </w:p>
        </w:tc>
        <w:tc>
          <w:tcPr>
            <w:tcW w:w="7283"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F707016">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1.定标委员会的组成</w:t>
            </w:r>
          </w:p>
          <w:p w14:paraId="6612DBE8">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（1）定标委员会</w:t>
            </w:r>
          </w:p>
          <w:p w14:paraId="18A718B9">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定标委员会由招标人依法组建。</w:t>
            </w:r>
          </w:p>
          <w:p w14:paraId="107800D1">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（2）定标会召开的时间地点：</w:t>
            </w:r>
          </w:p>
          <w:p w14:paraId="2759883A">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定标会召开时间在合格的中标候选人公示完成后10个工作日内在广州交易集团有限公司（广州公共资源交易中心）举行，定标会全程在广州交易集团有限公司（广州公共资源交易中心）见证人员见证下进行。</w:t>
            </w:r>
          </w:p>
          <w:p w14:paraId="57073998">
            <w:pPr>
              <w:spacing w:line="360" w:lineRule="auto"/>
              <w:rPr>
                <w:rFonts w:hint="eastAsia" w:ascii="宋体" w:hAnsi="宋体" w:eastAsia="宋体" w:cs="宋体"/>
                <w:b/>
                <w:color w:val="auto"/>
                <w:kern w:val="0"/>
                <w:szCs w:val="21"/>
              </w:rPr>
            </w:pPr>
            <w:r>
              <w:rPr>
                <w:rFonts w:hint="eastAsia" w:ascii="宋体" w:hAnsi="宋体" w:eastAsia="宋体" w:cs="宋体"/>
                <w:b/>
                <w:color w:val="auto"/>
                <w:kern w:val="0"/>
                <w:szCs w:val="21"/>
              </w:rPr>
              <w:t>2.定标原则</w:t>
            </w:r>
          </w:p>
          <w:p w14:paraId="4D28257D">
            <w:pPr>
              <w:spacing w:line="360" w:lineRule="auto"/>
              <w:rPr>
                <w:rFonts w:hint="eastAsia" w:ascii="宋体" w:hAnsi="宋体" w:eastAsia="宋体" w:cs="宋体"/>
                <w:b/>
                <w:color w:val="auto"/>
                <w:kern w:val="0"/>
                <w:szCs w:val="21"/>
              </w:rPr>
            </w:pPr>
            <w:r>
              <w:rPr>
                <w:rFonts w:hint="eastAsia" w:ascii="宋体" w:hAnsi="宋体" w:eastAsia="宋体" w:cs="宋体"/>
                <w:color w:val="auto"/>
                <w:u w:val="single"/>
              </w:rPr>
              <w:t>详见</w:t>
            </w:r>
            <w:r>
              <w:rPr>
                <w:rFonts w:hint="eastAsia" w:ascii="宋体" w:hAnsi="宋体" w:eastAsia="宋体" w:cs="宋体"/>
                <w:bCs/>
                <w:color w:val="auto"/>
                <w:szCs w:val="21"/>
                <w:u w:val="single"/>
              </w:rPr>
              <w:t>本章第4款。</w:t>
            </w:r>
          </w:p>
        </w:tc>
      </w:tr>
      <w:tr w14:paraId="37E3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4216924E">
            <w:pPr>
              <w:widowControl/>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5</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70C6BC77">
            <w:pPr>
              <w:widowControl/>
              <w:jc w:val="center"/>
              <w:rPr>
                <w:rFonts w:hint="eastAsia" w:ascii="宋体" w:hAnsi="宋体" w:eastAsia="宋体" w:cs="宋体"/>
                <w:color w:val="auto"/>
                <w:szCs w:val="21"/>
              </w:rPr>
            </w:pPr>
            <w:r>
              <w:rPr>
                <w:rFonts w:hint="eastAsia" w:ascii="宋体" w:hAnsi="宋体" w:eastAsia="宋体" w:cs="宋体"/>
                <w:color w:val="auto"/>
                <w:szCs w:val="21"/>
              </w:rPr>
              <w:t>定标表格</w:t>
            </w:r>
          </w:p>
        </w:tc>
        <w:tc>
          <w:tcPr>
            <w:tcW w:w="7283"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98354E7">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u w:val="single"/>
              </w:rPr>
              <w:t>详见本章第5款附表</w:t>
            </w:r>
            <w:r>
              <w:rPr>
                <w:rFonts w:hint="eastAsia" w:ascii="宋体" w:hAnsi="宋体" w:eastAsia="宋体" w:cs="宋体"/>
                <w:color w:val="auto"/>
                <w:szCs w:val="21"/>
              </w:rPr>
              <w:t>。</w:t>
            </w:r>
          </w:p>
        </w:tc>
      </w:tr>
    </w:tbl>
    <w:p w14:paraId="77392FCC">
      <w:pPr>
        <w:spacing w:before="120" w:beforeLines="50" w:after="120" w:afterLines="50" w:line="360" w:lineRule="exact"/>
        <w:outlineLvl w:val="2"/>
        <w:rPr>
          <w:rFonts w:hint="eastAsia" w:ascii="宋体" w:hAnsi="宋体" w:eastAsia="宋体" w:cs="宋体"/>
          <w:b/>
          <w:color w:val="auto"/>
          <w:sz w:val="32"/>
        </w:rPr>
      </w:pPr>
      <w:bookmarkStart w:id="290" w:name="_Toc515205256"/>
      <w:bookmarkStart w:id="291" w:name="_Toc529196583"/>
      <w:r>
        <w:rPr>
          <w:rFonts w:hint="eastAsia" w:ascii="宋体" w:hAnsi="宋体" w:eastAsia="宋体" w:cs="宋体"/>
          <w:b/>
          <w:color w:val="auto"/>
          <w:sz w:val="32"/>
        </w:rPr>
        <w:br w:type="page"/>
      </w:r>
      <w:r>
        <w:rPr>
          <w:rFonts w:hint="eastAsia" w:ascii="宋体" w:hAnsi="宋体" w:eastAsia="宋体" w:cs="宋体"/>
          <w:b/>
          <w:color w:val="auto"/>
          <w:sz w:val="32"/>
        </w:rPr>
        <w:t>1. 评标方法</w:t>
      </w:r>
      <w:bookmarkEnd w:id="290"/>
      <w:bookmarkEnd w:id="291"/>
    </w:p>
    <w:p w14:paraId="1850F056">
      <w:pPr>
        <w:spacing w:line="440" w:lineRule="exact"/>
        <w:ind w:firstLine="420" w:firstLineChars="200"/>
        <w:rPr>
          <w:rFonts w:hint="eastAsia" w:ascii="宋体" w:hAnsi="宋体" w:eastAsia="宋体" w:cs="宋体"/>
          <w:strike/>
          <w:color w:val="auto"/>
        </w:rPr>
      </w:pPr>
      <w:r>
        <w:rPr>
          <w:rFonts w:hint="eastAsia" w:ascii="宋体" w:hAnsi="宋体" w:eastAsia="宋体" w:cs="宋体"/>
          <w:color w:val="auto"/>
          <w:u w:val="single"/>
        </w:rPr>
        <w:t>本项目采用评定分离定标办法，其中：评标采用“通过制”评标办法，</w:t>
      </w:r>
      <w:r>
        <w:rPr>
          <w:rFonts w:hint="eastAsia" w:ascii="宋体" w:hAnsi="宋体" w:eastAsia="宋体" w:cs="宋体"/>
          <w:color w:val="auto"/>
          <w:szCs w:val="21"/>
          <w:u w:val="single"/>
        </w:rPr>
        <w:t>所有通过初步评审</w:t>
      </w:r>
      <w:r>
        <w:rPr>
          <w:rFonts w:hint="eastAsia" w:ascii="宋体" w:hAnsi="宋体" w:eastAsia="宋体" w:cs="宋体"/>
          <w:color w:val="auto"/>
          <w:u w:val="single"/>
        </w:rPr>
        <w:t>（形式评审、资格评审、响应性评审）的</w:t>
      </w:r>
      <w:r>
        <w:rPr>
          <w:rFonts w:hint="eastAsia" w:ascii="宋体" w:hAnsi="宋体" w:eastAsia="宋体" w:cs="宋体"/>
          <w:color w:val="auto"/>
          <w:szCs w:val="21"/>
          <w:u w:val="single"/>
        </w:rPr>
        <w:t>投标人全部被推荐为合格的中标候选人，进入定标阶段</w:t>
      </w:r>
      <w:r>
        <w:rPr>
          <w:rFonts w:hint="eastAsia" w:ascii="宋体" w:hAnsi="宋体" w:eastAsia="宋体" w:cs="宋体"/>
          <w:color w:val="auto"/>
          <w:u w:val="single"/>
        </w:rPr>
        <w:t>【不排序，按其统一社会信用代码后4位（除校验码外）大小进行排位】</w:t>
      </w:r>
      <w:r>
        <w:rPr>
          <w:rFonts w:hint="eastAsia" w:ascii="宋体" w:hAnsi="宋体" w:eastAsia="宋体" w:cs="宋体"/>
          <w:color w:val="auto"/>
          <w:szCs w:val="21"/>
          <w:u w:val="single"/>
        </w:rPr>
        <w:t>。</w:t>
      </w:r>
    </w:p>
    <w:p w14:paraId="14B88068">
      <w:pPr>
        <w:ind w:firstLine="420" w:firstLineChars="200"/>
        <w:rPr>
          <w:rFonts w:hint="eastAsia" w:ascii="宋体" w:hAnsi="宋体" w:eastAsia="宋体" w:cs="宋体"/>
          <w:strike/>
          <w:color w:val="auto"/>
        </w:rPr>
      </w:pPr>
    </w:p>
    <w:p w14:paraId="01053BF3">
      <w:pPr>
        <w:spacing w:before="120" w:beforeLines="50" w:line="360" w:lineRule="exact"/>
        <w:outlineLvl w:val="2"/>
        <w:rPr>
          <w:rFonts w:hint="eastAsia" w:ascii="宋体" w:hAnsi="宋体" w:eastAsia="宋体" w:cs="宋体"/>
          <w:b/>
          <w:color w:val="auto"/>
          <w:sz w:val="32"/>
        </w:rPr>
      </w:pPr>
      <w:bookmarkStart w:id="292" w:name="_Toc515205257"/>
      <w:bookmarkStart w:id="293" w:name="_Toc529196584"/>
      <w:r>
        <w:rPr>
          <w:rFonts w:hint="eastAsia" w:ascii="宋体" w:hAnsi="宋体" w:eastAsia="宋体" w:cs="宋体"/>
          <w:b/>
          <w:color w:val="auto"/>
          <w:sz w:val="32"/>
        </w:rPr>
        <w:t>2. 评审标准</w:t>
      </w:r>
      <w:bookmarkEnd w:id="292"/>
      <w:bookmarkEnd w:id="293"/>
    </w:p>
    <w:p w14:paraId="0CD32C28">
      <w:pPr>
        <w:spacing w:before="240" w:beforeLines="100" w:after="240" w:afterLines="100" w:line="360" w:lineRule="exact"/>
        <w:rPr>
          <w:rFonts w:hint="eastAsia" w:ascii="宋体" w:hAnsi="宋体" w:eastAsia="宋体" w:cs="宋体"/>
          <w:b/>
          <w:color w:val="auto"/>
          <w:sz w:val="28"/>
        </w:rPr>
      </w:pPr>
      <w:bookmarkStart w:id="294" w:name="_Toc529196585"/>
      <w:bookmarkStart w:id="295" w:name="_Toc515205258"/>
      <w:r>
        <w:rPr>
          <w:rFonts w:hint="eastAsia" w:ascii="宋体" w:hAnsi="宋体" w:eastAsia="宋体" w:cs="宋体"/>
          <w:b/>
          <w:color w:val="auto"/>
          <w:sz w:val="28"/>
        </w:rPr>
        <w:t>2.1 初步评审标准</w:t>
      </w:r>
      <w:bookmarkEnd w:id="294"/>
      <w:bookmarkEnd w:id="295"/>
    </w:p>
    <w:p w14:paraId="02643654">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2.1.1 形式评审标准：见评标办法前附表。</w:t>
      </w:r>
    </w:p>
    <w:p w14:paraId="11038D8B">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2.1.2 资格评审标准：见评标办法前附表。</w:t>
      </w:r>
    </w:p>
    <w:p w14:paraId="35B1980C">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2.1.3 响应性评审标准：见评标办法前附表。</w:t>
      </w:r>
    </w:p>
    <w:p w14:paraId="79F3F8C4">
      <w:pPr>
        <w:spacing w:before="240" w:beforeLines="100" w:after="240" w:afterLines="100" w:line="360" w:lineRule="exact"/>
        <w:rPr>
          <w:rFonts w:hint="eastAsia" w:ascii="宋体" w:hAnsi="宋体" w:eastAsia="宋体" w:cs="宋体"/>
          <w:b/>
          <w:strike/>
          <w:color w:val="auto"/>
          <w:sz w:val="28"/>
        </w:rPr>
      </w:pPr>
      <w:bookmarkStart w:id="296" w:name="_Toc529196586"/>
      <w:bookmarkStart w:id="297" w:name="_Toc515205259"/>
      <w:r>
        <w:rPr>
          <w:rFonts w:hint="eastAsia" w:ascii="宋体" w:hAnsi="宋体" w:eastAsia="宋体" w:cs="宋体"/>
          <w:b/>
          <w:strike/>
          <w:color w:val="auto"/>
          <w:sz w:val="28"/>
        </w:rPr>
        <w:t>2.2 分值构成与评分标准</w:t>
      </w:r>
      <w:bookmarkEnd w:id="296"/>
      <w:bookmarkEnd w:id="297"/>
    </w:p>
    <w:p w14:paraId="1C058E65">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2.2.1 分值构成：</w:t>
      </w:r>
    </w:p>
    <w:p w14:paraId="010CEAE6">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（1）资信业绩部分：见评标办法前附表；</w:t>
      </w:r>
    </w:p>
    <w:p w14:paraId="529D30E3">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（2）监理大纲部分：见评标办法前附表；</w:t>
      </w:r>
    </w:p>
    <w:p w14:paraId="46A47494">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（3）投标报价：见评标办法前附表；</w:t>
      </w:r>
    </w:p>
    <w:p w14:paraId="2670131B">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（4）其他评分因素：见评标办法前附表。</w:t>
      </w:r>
    </w:p>
    <w:p w14:paraId="1FA520F9">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2.2.2 评标基准价计算</w:t>
      </w:r>
    </w:p>
    <w:p w14:paraId="5AECBFCD">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评标基准价计算方法：见评标办法前附表。</w:t>
      </w:r>
    </w:p>
    <w:p w14:paraId="5DF61CFE">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2.2.3 投标报价的偏差率计算</w:t>
      </w:r>
    </w:p>
    <w:p w14:paraId="1CDEF6A3">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投标报价的偏差率计算公式：见评标办法前附表。</w:t>
      </w:r>
    </w:p>
    <w:p w14:paraId="29EC4A49">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2.2.4 评分标准</w:t>
      </w:r>
    </w:p>
    <w:p w14:paraId="31AA536E">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（1）资信业绩评分标准：见评标办法前附表；</w:t>
      </w:r>
    </w:p>
    <w:p w14:paraId="301D1D1A">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（2）监理大纲评分标准：见评标办法前附表；</w:t>
      </w:r>
    </w:p>
    <w:p w14:paraId="78880829">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（3）投标报价评分标准：见评标办法前附表；</w:t>
      </w:r>
    </w:p>
    <w:p w14:paraId="248D15A4">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（4）其他因素评分标准：见评标办法前附表。</w:t>
      </w:r>
    </w:p>
    <w:p w14:paraId="26ACC03A">
      <w:pPr>
        <w:ind w:firstLine="420" w:firstLineChars="200"/>
        <w:rPr>
          <w:rFonts w:hint="eastAsia" w:ascii="宋体" w:hAnsi="宋体" w:eastAsia="宋体" w:cs="宋体"/>
          <w:color w:val="auto"/>
        </w:rPr>
      </w:pPr>
    </w:p>
    <w:p w14:paraId="63CAB5A7">
      <w:pPr>
        <w:spacing w:before="120" w:beforeLines="50" w:line="360" w:lineRule="exact"/>
        <w:outlineLvl w:val="2"/>
        <w:rPr>
          <w:rFonts w:hint="eastAsia" w:ascii="宋体" w:hAnsi="宋体" w:eastAsia="宋体" w:cs="宋体"/>
          <w:b/>
          <w:color w:val="auto"/>
          <w:sz w:val="32"/>
        </w:rPr>
      </w:pPr>
      <w:bookmarkStart w:id="298" w:name="_Toc515205260"/>
      <w:bookmarkStart w:id="299" w:name="_Toc529196587"/>
      <w:r>
        <w:rPr>
          <w:rFonts w:hint="eastAsia" w:ascii="宋体" w:hAnsi="宋体" w:eastAsia="宋体" w:cs="宋体"/>
          <w:b/>
          <w:color w:val="auto"/>
          <w:sz w:val="32"/>
        </w:rPr>
        <w:t>3. 评标程序</w:t>
      </w:r>
      <w:bookmarkEnd w:id="298"/>
      <w:bookmarkEnd w:id="299"/>
    </w:p>
    <w:p w14:paraId="337BA3C3">
      <w:pPr>
        <w:spacing w:before="240" w:beforeLines="100" w:after="240" w:afterLines="100" w:line="360" w:lineRule="exact"/>
        <w:rPr>
          <w:rFonts w:hint="eastAsia" w:ascii="宋体" w:hAnsi="宋体" w:eastAsia="宋体" w:cs="宋体"/>
          <w:b/>
          <w:color w:val="auto"/>
          <w:sz w:val="28"/>
        </w:rPr>
      </w:pPr>
      <w:bookmarkStart w:id="300" w:name="_Toc515205261"/>
      <w:bookmarkStart w:id="301" w:name="_Toc529196588"/>
      <w:r>
        <w:rPr>
          <w:rFonts w:hint="eastAsia" w:ascii="宋体" w:hAnsi="宋体" w:eastAsia="宋体" w:cs="宋体"/>
          <w:b/>
          <w:color w:val="auto"/>
          <w:sz w:val="28"/>
        </w:rPr>
        <w:t>3.1 初步评审</w:t>
      </w:r>
      <w:bookmarkEnd w:id="300"/>
      <w:bookmarkEnd w:id="301"/>
    </w:p>
    <w:p w14:paraId="62686853">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EFCF672">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3.1.2 投标人有以下情形之一的，评标委员会应当否决其投标：</w:t>
      </w:r>
    </w:p>
    <w:p w14:paraId="01E070DE">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（1）投标文件没有对招标文件的实质性要求和条件作出响应，或者对招标文件的偏差超出招标文件规定的偏差范围或最高项数；</w:t>
      </w:r>
    </w:p>
    <w:p w14:paraId="6E949560">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（2）有串通投标、弄虚作假、行贿等违法行为。</w:t>
      </w:r>
    </w:p>
    <w:p w14:paraId="3CAA1399">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3.1.3 投标报价有算术错误及其他错误的，评标委员会按以下原则要求投标人对投标报价进行修正，并要求投标人书面澄清确认。投标人拒不澄清确认的，评标委员会应当否决其投标：</w:t>
      </w:r>
    </w:p>
    <w:p w14:paraId="3EB02B55">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（1）投标文件中的大写金额与小写金额不一致的，以大写金额为准；</w:t>
      </w:r>
    </w:p>
    <w:p w14:paraId="6D0E4A2C">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（2）总价金额与单价金额不一致的，以单价金额为准，但单价金额小数点有明显错误的除外。</w:t>
      </w:r>
    </w:p>
    <w:p w14:paraId="11577EB3">
      <w:pPr>
        <w:spacing w:before="168" w:beforeLines="70" w:after="168" w:afterLines="70" w:line="360" w:lineRule="exact"/>
        <w:rPr>
          <w:rFonts w:hint="eastAsia" w:ascii="宋体" w:hAnsi="宋体" w:eastAsia="宋体" w:cs="宋体"/>
          <w:b/>
          <w:strike/>
          <w:color w:val="auto"/>
          <w:sz w:val="28"/>
        </w:rPr>
      </w:pPr>
      <w:bookmarkStart w:id="302" w:name="_Toc515205262"/>
      <w:bookmarkStart w:id="303" w:name="_Toc529196589"/>
      <w:r>
        <w:rPr>
          <w:rFonts w:hint="eastAsia" w:ascii="宋体" w:hAnsi="宋体" w:eastAsia="宋体" w:cs="宋体"/>
          <w:b/>
          <w:strike/>
          <w:color w:val="auto"/>
          <w:sz w:val="28"/>
        </w:rPr>
        <w:t>3.2 详细评审</w:t>
      </w:r>
      <w:bookmarkEnd w:id="302"/>
      <w:bookmarkEnd w:id="303"/>
    </w:p>
    <w:p w14:paraId="5EAAE0AC">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3.2.1 评标委员会按本章第2.2款规定的量化因素和分值进行打分，并计算出综合评估得分。</w:t>
      </w:r>
    </w:p>
    <w:p w14:paraId="240F6F2C">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（1）按本章第 2.2.4（1）目规定的评审因素和分值对资信业绩部分计算出得分 A；</w:t>
      </w:r>
    </w:p>
    <w:p w14:paraId="0CF77AD6">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（2）按本章第 2.2.4（2）目规定的评审因素和分值对监理大纲部分计算出得分 B；</w:t>
      </w:r>
    </w:p>
    <w:p w14:paraId="5A2B4967">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（3）按本章第 2.2.4（3）目规定的评审因素和分值对投标报价计算出得分 C；</w:t>
      </w:r>
    </w:p>
    <w:p w14:paraId="07A70818">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（4）按本章第 2.2.4（4）目规定的评审因素和分值对其他部分计算出得分 D。</w:t>
      </w:r>
    </w:p>
    <w:p w14:paraId="018E736F">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3.2.2 评分分值计算保留小数点后两位，小数点后第三位“四舍五入”。</w:t>
      </w:r>
    </w:p>
    <w:p w14:paraId="07950C2F">
      <w:pPr>
        <w:spacing w:line="360" w:lineRule="exact"/>
        <w:ind w:firstLine="420" w:firstLineChars="200"/>
        <w:rPr>
          <w:rFonts w:hint="eastAsia" w:ascii="宋体" w:hAnsi="宋体" w:eastAsia="宋体" w:cs="宋体"/>
          <w:strike/>
          <w:color w:val="auto"/>
        </w:rPr>
      </w:pPr>
      <w:r>
        <w:rPr>
          <w:rFonts w:hint="eastAsia" w:ascii="宋体" w:hAnsi="宋体" w:eastAsia="宋体" w:cs="宋体"/>
          <w:strike/>
          <w:color w:val="auto"/>
        </w:rPr>
        <w:t>3.2.3 投标人得分=A+B+C+D</w:t>
      </w:r>
    </w:p>
    <w:p w14:paraId="0780D9F8">
      <w:pPr>
        <w:spacing w:line="360" w:lineRule="exact"/>
        <w:ind w:firstLine="420" w:firstLineChars="200"/>
        <w:rPr>
          <w:rFonts w:hint="eastAsia" w:ascii="宋体" w:hAnsi="宋体" w:eastAsia="宋体" w:cs="宋体"/>
          <w:color w:val="auto"/>
        </w:rPr>
      </w:pPr>
      <w:r>
        <w:rPr>
          <w:rFonts w:hint="eastAsia" w:ascii="宋体" w:hAnsi="宋体" w:eastAsia="宋体" w:cs="宋体"/>
          <w:strike/>
          <w:color w:val="auto"/>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D0E017">
      <w:pPr>
        <w:spacing w:before="168" w:beforeLines="70" w:after="168" w:afterLines="70" w:line="360" w:lineRule="exact"/>
        <w:rPr>
          <w:rFonts w:hint="eastAsia" w:ascii="宋体" w:hAnsi="宋体" w:eastAsia="宋体" w:cs="宋体"/>
          <w:b/>
          <w:color w:val="auto"/>
          <w:sz w:val="28"/>
        </w:rPr>
      </w:pPr>
      <w:bookmarkStart w:id="304" w:name="_Toc515205263"/>
      <w:bookmarkStart w:id="305" w:name="_Toc529196590"/>
      <w:r>
        <w:rPr>
          <w:rFonts w:hint="eastAsia" w:ascii="宋体" w:hAnsi="宋体" w:eastAsia="宋体" w:cs="宋体"/>
          <w:b/>
          <w:color w:val="auto"/>
          <w:sz w:val="28"/>
        </w:rPr>
        <w:t>3.3 投标文件的澄清</w:t>
      </w:r>
      <w:bookmarkEnd w:id="304"/>
      <w:bookmarkEnd w:id="305"/>
    </w:p>
    <w:p w14:paraId="5105B33A">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9795708">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3.3.2 澄清、说明或补正不得超出投标文件的范围且不得改变投标文件的实质性内容，并构成投标文件的组成部分。</w:t>
      </w:r>
    </w:p>
    <w:p w14:paraId="136C374D">
      <w:pPr>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3.3.3 评标委员会对投标人提交的澄清、说明或补正有疑问的，可以要求投标人进一步澄清、说明或补正，直至满足评标委员会的要求。</w:t>
      </w:r>
    </w:p>
    <w:p w14:paraId="42A8F8BF">
      <w:pPr>
        <w:spacing w:before="168" w:beforeLines="70" w:after="168" w:afterLines="70" w:line="360" w:lineRule="exact"/>
        <w:rPr>
          <w:rFonts w:hint="eastAsia" w:ascii="宋体" w:hAnsi="宋体" w:eastAsia="宋体" w:cs="宋体"/>
          <w:b/>
          <w:color w:val="auto"/>
          <w:sz w:val="28"/>
        </w:rPr>
      </w:pPr>
      <w:bookmarkStart w:id="306" w:name="_Toc515205264"/>
      <w:bookmarkStart w:id="307" w:name="_Toc529196591"/>
      <w:r>
        <w:rPr>
          <w:rFonts w:hint="eastAsia" w:ascii="宋体" w:hAnsi="宋体" w:eastAsia="宋体" w:cs="宋体"/>
          <w:b/>
          <w:color w:val="auto"/>
          <w:sz w:val="28"/>
        </w:rPr>
        <w:t>3.4 评标结果</w:t>
      </w:r>
      <w:bookmarkEnd w:id="306"/>
      <w:bookmarkEnd w:id="307"/>
    </w:p>
    <w:p w14:paraId="0D326FDE">
      <w:pPr>
        <w:spacing w:line="360" w:lineRule="exact"/>
        <w:ind w:firstLine="420" w:firstLineChars="200"/>
        <w:rPr>
          <w:rFonts w:hint="eastAsia" w:ascii="宋体" w:hAnsi="宋体" w:eastAsia="宋体" w:cs="宋体"/>
          <w:b/>
          <w:strike/>
          <w:color w:val="auto"/>
        </w:rPr>
      </w:pPr>
      <w:r>
        <w:rPr>
          <w:rFonts w:hint="eastAsia" w:ascii="宋体" w:hAnsi="宋体" w:eastAsia="宋体" w:cs="宋体"/>
          <w:color w:val="auto"/>
        </w:rPr>
        <w:t xml:space="preserve">3.4.1 </w:t>
      </w:r>
      <w:r>
        <w:rPr>
          <w:rFonts w:hint="eastAsia" w:ascii="宋体" w:hAnsi="宋体" w:eastAsia="宋体" w:cs="宋体"/>
          <w:color w:val="auto"/>
          <w:u w:val="single"/>
        </w:rPr>
        <w:t>评标委员会按照招标文件规定完成初步评审（形式评审、资格评审、响应性评审），向招标人推荐合格的中标候选人，进入定标阶段【不排序，按其统一社会信用代码后4位（除校验码外）大小进行排位】。合格的中标候选人少于3家的，应当重新招标。</w:t>
      </w:r>
    </w:p>
    <w:p w14:paraId="5506C314">
      <w:pPr>
        <w:spacing w:line="360" w:lineRule="exact"/>
        <w:ind w:firstLine="482"/>
        <w:rPr>
          <w:rFonts w:hint="eastAsia" w:ascii="宋体" w:hAnsi="宋体" w:eastAsia="宋体" w:cs="宋体"/>
          <w:b/>
          <w:color w:val="auto"/>
          <w:sz w:val="30"/>
          <w:szCs w:val="30"/>
        </w:rPr>
      </w:pPr>
      <w:r>
        <w:rPr>
          <w:rFonts w:hint="eastAsia" w:ascii="宋体" w:hAnsi="宋体" w:eastAsia="宋体" w:cs="宋体"/>
          <w:color w:val="auto"/>
        </w:rPr>
        <w:t xml:space="preserve">3.4.2 </w:t>
      </w:r>
      <w:r>
        <w:rPr>
          <w:rFonts w:hint="eastAsia" w:ascii="宋体" w:hAnsi="宋体" w:eastAsia="宋体" w:cs="宋体"/>
          <w:color w:val="auto"/>
          <w:szCs w:val="21"/>
          <w:u w:val="single"/>
        </w:rPr>
        <w:t>评标委员会完成评标后，应当向招标人提交书面评标报告和合格的中标候选人名单</w:t>
      </w:r>
      <w:r>
        <w:rPr>
          <w:rFonts w:hint="eastAsia" w:ascii="宋体" w:hAnsi="宋体" w:eastAsia="宋体" w:cs="宋体"/>
          <w:color w:val="auto"/>
        </w:rPr>
        <w:t>。</w:t>
      </w:r>
    </w:p>
    <w:p w14:paraId="7D6FE188">
      <w:pPr>
        <w:spacing w:before="240" w:beforeLines="100" w:line="360" w:lineRule="auto"/>
        <w:outlineLvl w:val="2"/>
        <w:rPr>
          <w:rFonts w:hint="eastAsia" w:ascii="宋体" w:hAnsi="宋体" w:eastAsia="宋体" w:cs="宋体"/>
          <w:b/>
          <w:color w:val="auto"/>
          <w:szCs w:val="21"/>
          <w:u w:val="single"/>
        </w:rPr>
      </w:pPr>
    </w:p>
    <w:p w14:paraId="17B2C8A5">
      <w:pPr>
        <w:spacing w:before="120" w:beforeLines="50" w:line="360" w:lineRule="exact"/>
        <w:outlineLvl w:val="2"/>
        <w:rPr>
          <w:rFonts w:hint="eastAsia" w:ascii="宋体" w:hAnsi="宋体" w:eastAsia="宋体" w:cs="宋体"/>
          <w:b/>
          <w:color w:val="auto"/>
          <w:sz w:val="32"/>
        </w:rPr>
      </w:pPr>
      <w:r>
        <w:rPr>
          <w:rFonts w:hint="eastAsia" w:ascii="宋体" w:hAnsi="宋体" w:eastAsia="宋体" w:cs="宋体"/>
          <w:b/>
          <w:color w:val="auto"/>
          <w:sz w:val="32"/>
          <w:u w:val="single"/>
        </w:rPr>
        <w:t>4.定标原则</w:t>
      </w:r>
    </w:p>
    <w:p w14:paraId="50AFE0F8">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4.1本项目定标办法采用“记名投票+撰写评语”。定标委员会成员根据评标过程资料，对比合格的中标候选人的投标文件等情况，综合考虑各中标候选人的情况，根据定标因素（详见《定标因素表》）对各合格的中标候选人进行评审比较后，采用直接票决定标法“记名投票+撰写评语”方式确定中标人。</w:t>
      </w:r>
    </w:p>
    <w:p w14:paraId="0A84E370">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4.2定标细则</w:t>
      </w:r>
    </w:p>
    <w:p w14:paraId="1D699767">
      <w:pPr>
        <w:spacing w:line="360" w:lineRule="exact"/>
        <w:ind w:firstLine="420" w:firstLineChars="200"/>
        <w:rPr>
          <w:rFonts w:hint="eastAsia" w:ascii="宋体" w:hAnsi="宋体" w:eastAsia="宋体" w:cs="宋体"/>
          <w:color w:val="auto"/>
          <w:u w:val="single"/>
        </w:rPr>
      </w:pPr>
      <w:r>
        <w:rPr>
          <w:rFonts w:hint="eastAsia" w:ascii="宋体" w:hAnsi="宋体" w:eastAsia="宋体" w:cs="宋体"/>
          <w:color w:val="auto"/>
          <w:szCs w:val="21"/>
          <w:u w:val="single"/>
        </w:rPr>
        <w:t>（1）定标委员会根据评标委员会递交的评标报告和定标因素（详见《定标因素表》），对各合格中标候选人的投标文件</w:t>
      </w:r>
      <w:r>
        <w:rPr>
          <w:rFonts w:hint="eastAsia" w:ascii="宋体" w:hAnsi="宋体" w:eastAsia="宋体" w:cs="宋体"/>
          <w:color w:val="auto"/>
          <w:u w:val="single"/>
        </w:rPr>
        <w:t>进行评审比较并撰写评语和记名投票，汇总确认选票情况，编写并提交定标报告。</w:t>
      </w:r>
      <w:r>
        <w:rPr>
          <w:rFonts w:hint="eastAsia" w:ascii="宋体" w:hAnsi="宋体" w:eastAsia="宋体" w:cs="宋体"/>
          <w:color w:val="auto"/>
          <w:szCs w:val="21"/>
          <w:u w:val="single"/>
        </w:rPr>
        <w:t>定标报告由定标委员会全体成员签字，对定标结论持有异议的成员应以书面方式阐述其不同意见和理由。</w:t>
      </w:r>
    </w:p>
    <w:p w14:paraId="43AE9F91">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投票规则：由定标委员会</w:t>
      </w:r>
      <w:r>
        <w:rPr>
          <w:rFonts w:hint="eastAsia" w:ascii="宋体" w:hAnsi="宋体" w:eastAsia="宋体" w:cs="宋体"/>
          <w:color w:val="auto"/>
          <w:u w:val="single"/>
        </w:rPr>
        <w:t>进行评审比较并撰写评语和记名投票</w:t>
      </w:r>
      <w:r>
        <w:rPr>
          <w:rFonts w:hint="eastAsia" w:ascii="宋体" w:hAnsi="宋体" w:eastAsia="宋体" w:cs="宋体"/>
          <w:color w:val="auto"/>
          <w:szCs w:val="21"/>
          <w:u w:val="single"/>
        </w:rPr>
        <w:t>，进行一轮一次性票决并排序，每位定标委员会成员只有1票表决权（即只能对其中一家投标人投票），经票决，</w:t>
      </w:r>
      <w:r>
        <w:rPr>
          <w:rFonts w:hint="eastAsia" w:ascii="宋体" w:hAnsi="宋体" w:eastAsia="宋体" w:cs="宋体"/>
          <w:color w:val="auto"/>
          <w:u w:val="single"/>
        </w:rPr>
        <w:t>定标委员会向招标人推荐</w:t>
      </w:r>
      <w:r>
        <w:rPr>
          <w:rFonts w:hint="eastAsia" w:ascii="宋体" w:hAnsi="宋体" w:eastAsia="宋体" w:cs="宋体"/>
          <w:color w:val="auto"/>
          <w:szCs w:val="21"/>
          <w:u w:val="single"/>
        </w:rPr>
        <w:t>得票数最多的合格中标候选人为中标人，若出现票数相同且无法票决出中标人时，票数相同的再进行附加的一次性票决，直至票决出中标人。</w:t>
      </w:r>
    </w:p>
    <w:p w14:paraId="0115F029">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定标委员会向招标人提交书面定标报告后即解散，定标过程中使用的文件、表格以及其他资料不得私自带离。</w:t>
      </w:r>
    </w:p>
    <w:p w14:paraId="23A27772">
      <w:pPr>
        <w:spacing w:line="360" w:lineRule="exact"/>
        <w:jc w:val="center"/>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u w:val="single"/>
        </w:rPr>
        <w:t>定标因素表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19"/>
        <w:gridCol w:w="6561"/>
      </w:tblGrid>
      <w:tr w14:paraId="7E4E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6E04C4DB">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序号</w:t>
            </w:r>
          </w:p>
        </w:tc>
        <w:tc>
          <w:tcPr>
            <w:tcW w:w="1719" w:type="dxa"/>
            <w:tcBorders>
              <w:top w:val="single" w:color="auto" w:sz="4" w:space="0"/>
              <w:left w:val="nil"/>
              <w:bottom w:val="single" w:color="auto" w:sz="4" w:space="0"/>
              <w:right w:val="single" w:color="auto" w:sz="4" w:space="0"/>
            </w:tcBorders>
            <w:vAlign w:val="center"/>
          </w:tcPr>
          <w:p w14:paraId="296A36F7">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评审因素</w:t>
            </w:r>
          </w:p>
        </w:tc>
        <w:tc>
          <w:tcPr>
            <w:tcW w:w="6561" w:type="dxa"/>
            <w:tcBorders>
              <w:top w:val="single" w:color="auto" w:sz="4" w:space="0"/>
              <w:left w:val="nil"/>
              <w:bottom w:val="single" w:color="auto" w:sz="4" w:space="0"/>
              <w:right w:val="single" w:color="auto" w:sz="4" w:space="0"/>
            </w:tcBorders>
            <w:vAlign w:val="center"/>
          </w:tcPr>
          <w:p w14:paraId="721E309D">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具体内容</w:t>
            </w:r>
          </w:p>
        </w:tc>
      </w:tr>
      <w:tr w14:paraId="0C0E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0921D4F">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lang w:bidi="ar"/>
              </w:rPr>
              <w:t>1</w:t>
            </w:r>
          </w:p>
        </w:tc>
        <w:tc>
          <w:tcPr>
            <w:tcW w:w="1719" w:type="dxa"/>
            <w:tcBorders>
              <w:top w:val="single" w:color="auto" w:sz="4" w:space="0"/>
              <w:left w:val="nil"/>
              <w:bottom w:val="single" w:color="auto" w:sz="4" w:space="0"/>
              <w:right w:val="single" w:color="auto" w:sz="4" w:space="0"/>
            </w:tcBorders>
            <w:vAlign w:val="center"/>
          </w:tcPr>
          <w:p w14:paraId="3E71325B">
            <w:pPr>
              <w:spacing w:line="360" w:lineRule="exact"/>
              <w:jc w:val="center"/>
              <w:rPr>
                <w:rFonts w:hint="eastAsia" w:ascii="宋体" w:hAnsi="宋体" w:eastAsia="宋体" w:cs="宋体"/>
                <w:color w:val="auto"/>
                <w:szCs w:val="21"/>
                <w:u w:val="single"/>
              </w:rPr>
            </w:pPr>
            <w:r>
              <w:rPr>
                <w:rFonts w:hint="eastAsia" w:ascii="宋体" w:hAnsi="宋体" w:eastAsia="宋体" w:cs="宋体"/>
                <w:color w:val="auto"/>
                <w:szCs w:val="21"/>
                <w:u w:val="single"/>
                <w:lang w:bidi="ar"/>
              </w:rPr>
              <w:t>资信因素</w:t>
            </w:r>
          </w:p>
        </w:tc>
        <w:tc>
          <w:tcPr>
            <w:tcW w:w="6561" w:type="dxa"/>
            <w:tcBorders>
              <w:top w:val="single" w:color="auto" w:sz="4" w:space="0"/>
              <w:left w:val="nil"/>
              <w:bottom w:val="single" w:color="auto" w:sz="4" w:space="0"/>
              <w:right w:val="single" w:color="auto" w:sz="4" w:space="0"/>
            </w:tcBorders>
            <w:vAlign w:val="center"/>
          </w:tcPr>
          <w:p w14:paraId="18486EA7">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对合格的中标候选人企业综合能力及信誉、业绩、获奖情况进行评审。</w:t>
            </w:r>
          </w:p>
          <w:p w14:paraId="658CEE7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（1）管理体系认证：具备有效期内的质量管理体系认证、环境管理体系认证、职业健康安全管理体系认证、信息安全管理体系认证、知识产权管理体系认证的情况：</w:t>
            </w:r>
          </w:p>
          <w:p w14:paraId="4CE6BD9C">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【优】同时具备上述5项的。</w:t>
            </w:r>
          </w:p>
          <w:p w14:paraId="7A2D4BF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【中】具备上述其中3项（含本数）以上的。</w:t>
            </w:r>
          </w:p>
          <w:p w14:paraId="19C25CE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【差】具备上述其中3项（不含本数）以下的，或不具备的。</w:t>
            </w:r>
          </w:p>
          <w:p w14:paraId="56D87DD1">
            <w:pPr>
              <w:spacing w:line="360" w:lineRule="auto"/>
              <w:rPr>
                <w:rFonts w:hint="eastAsia" w:ascii="宋体" w:hAnsi="宋体" w:eastAsia="宋体" w:cs="宋体"/>
                <w:color w:val="auto"/>
                <w:kern w:val="0"/>
                <w:szCs w:val="21"/>
                <w:u w:val="single"/>
              </w:rPr>
            </w:pPr>
            <w:r>
              <w:rPr>
                <w:rFonts w:hint="eastAsia" w:ascii="宋体" w:hAnsi="宋体" w:eastAsia="宋体" w:cs="宋体"/>
                <w:color w:val="auto"/>
                <w:szCs w:val="21"/>
                <w:u w:val="single"/>
                <w:lang w:bidi="ar"/>
              </w:rPr>
              <w:t>注：需</w:t>
            </w:r>
            <w:r>
              <w:rPr>
                <w:rFonts w:hint="eastAsia" w:ascii="宋体" w:hAnsi="宋体" w:eastAsia="宋体" w:cs="宋体"/>
                <w:color w:val="auto"/>
                <w:kern w:val="0"/>
                <w:szCs w:val="21"/>
                <w:u w:val="single"/>
              </w:rPr>
              <w:t>同时提供</w:t>
            </w:r>
            <w:r>
              <w:rPr>
                <w:rFonts w:hint="eastAsia" w:ascii="宋体" w:hAnsi="宋体" w:eastAsia="宋体" w:cs="宋体"/>
                <w:color w:val="auto"/>
                <w:szCs w:val="21"/>
                <w:u w:val="single"/>
                <w:lang w:bidi="ar"/>
              </w:rPr>
              <w:t>①有效期内的</w:t>
            </w:r>
            <w:r>
              <w:rPr>
                <w:rFonts w:hint="eastAsia" w:ascii="宋体" w:hAnsi="宋体" w:eastAsia="宋体" w:cs="宋体"/>
                <w:color w:val="auto"/>
                <w:kern w:val="0"/>
                <w:szCs w:val="21"/>
                <w:u w:val="single"/>
              </w:rPr>
              <w:t>认证证书</w:t>
            </w:r>
            <w:r>
              <w:rPr>
                <w:rFonts w:hint="eastAsia" w:ascii="宋体" w:hAnsi="宋体" w:eastAsia="宋体" w:cs="宋体"/>
                <w:color w:val="auto"/>
                <w:szCs w:val="21"/>
                <w:u w:val="single"/>
                <w:lang w:bidi="ar"/>
              </w:rPr>
              <w:t>；②</w:t>
            </w:r>
            <w:r>
              <w:rPr>
                <w:rFonts w:hint="eastAsia" w:ascii="宋体" w:hAnsi="宋体" w:eastAsia="宋体" w:cs="宋体"/>
                <w:color w:val="auto"/>
                <w:kern w:val="0"/>
                <w:szCs w:val="21"/>
                <w:u w:val="single"/>
              </w:rPr>
              <w:t>全国认证认可信息公共服务平台（http://cx.cnca.cn/）查询结果网页截图。</w:t>
            </w:r>
          </w:p>
          <w:p w14:paraId="74106D52">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（2）纳税信用：曾获评“纳税信用A级纳税人”称号（须含2024评审年度）的情况：</w:t>
            </w:r>
          </w:p>
          <w:p w14:paraId="0927C82B">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【优】获评5个（含本数）以上年度的。</w:t>
            </w:r>
          </w:p>
          <w:p w14:paraId="7E57B9D6">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【中】获评3个（含本数）-5个（不含本数）年度的。</w:t>
            </w:r>
          </w:p>
          <w:p w14:paraId="4FC40E6E">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【差】获评3个（不含本数）以下年度的，或未获评的。</w:t>
            </w:r>
          </w:p>
          <w:p w14:paraId="162EF580">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注：</w:t>
            </w:r>
            <w:r>
              <w:rPr>
                <w:rFonts w:hint="eastAsia" w:ascii="宋体" w:hAnsi="宋体" w:eastAsia="宋体" w:cs="宋体"/>
                <w:color w:val="auto"/>
                <w:kern w:val="0"/>
                <w:szCs w:val="21"/>
                <w:u w:val="single"/>
              </w:rPr>
              <w:t>需提供纳税信用A级纳税人证书或省级（或以上）国家税务局官网（含在国家税务局官网单列的城市）纳税信用信息查询结果的网页截图。时间以证书或网页截图上注明的公示评价（评定）年度为准；只计算投标人自身，不计算投标人的分公司、子公司和分支机构。</w:t>
            </w:r>
          </w:p>
          <w:p w14:paraId="2FDDAF1F">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（3）类似项目业绩：2021年1月1日至今完成过质量合格的类似监理业绩情况：</w:t>
            </w:r>
          </w:p>
          <w:p w14:paraId="791D1027">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【优】完成5个（含本数）以上的。</w:t>
            </w:r>
          </w:p>
          <w:p w14:paraId="7613367E">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【中】完成3个（含本数）-5个（不含本数）的。</w:t>
            </w:r>
          </w:p>
          <w:p w14:paraId="78C5FB0E">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【差】完成3个（不含本数）以下的，或没有完成的。</w:t>
            </w:r>
          </w:p>
          <w:p w14:paraId="40FDD378">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注：类似监理业绩是指中标金额大于或等于400万元的房屋建筑工程监理业绩，需同时提供①中标通知书或免招标的相关证明；②合同关键页（含签订合同双方的单位名称、服务内容、签订合同双方的盖章页、签订时间）；③竣工验收报告或竣工验收证明。业绩时间以竣工验收报告或竣工验收证明出具时间为准；中标金额以中标通知书为准，中标通知书上没有金额或免招标的，以监理合同（不含补充合同）为准。</w:t>
            </w:r>
          </w:p>
          <w:p w14:paraId="0027CFD4">
            <w:pPr>
              <w:spacing w:line="360" w:lineRule="auto"/>
              <w:rPr>
                <w:rFonts w:hint="eastAsia" w:ascii="宋体" w:hAnsi="宋体" w:eastAsia="宋体" w:cs="宋体"/>
                <w:color w:val="auto"/>
                <w:szCs w:val="21"/>
                <w:u w:val="single"/>
                <w:lang w:bidi="ar"/>
              </w:rPr>
            </w:pPr>
            <w:r>
              <w:rPr>
                <w:rFonts w:hint="eastAsia" w:ascii="宋体" w:hAnsi="宋体" w:eastAsia="宋体" w:cs="宋体"/>
                <w:color w:val="auto"/>
                <w:szCs w:val="21"/>
                <w:u w:val="single"/>
                <w:lang w:bidi="ar"/>
              </w:rPr>
              <w:t>（4）项目获奖情况：2021年1月1日至今监理的房屋建筑工程获得市级(含副省级)或以上奖项的情况：</w:t>
            </w:r>
          </w:p>
          <w:p w14:paraId="7C5FE8C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【优】获得5个（含本数）以上的。</w:t>
            </w:r>
          </w:p>
          <w:p w14:paraId="394C1D06">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【中】获得3个（含本数）-5个（不含本数）的。</w:t>
            </w:r>
          </w:p>
          <w:p w14:paraId="1929442F">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【差】获得3个（不含本数）以下的，或没有获得的。</w:t>
            </w:r>
          </w:p>
          <w:p w14:paraId="0A26E36F">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u w:val="single"/>
              </w:rPr>
              <w:t>注：需提供获奖证书等证明材料。获奖时间以获奖证明文件注明时间为准。国家级奖项包括中国建设工程鲁班奖、中国土木工程詹天佑奖、国家优质工程奖、国家优质工程金质奖等；省级或市级奖项指由建设行政主管部门或行业协会（学会）颁发的工程质量类奖项；非工程质量类获奖不予计分。同一工程项目获得多个奖项的，按最高获奖等级计算，不重复计算。</w:t>
            </w:r>
          </w:p>
        </w:tc>
      </w:tr>
      <w:tr w14:paraId="66E3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0CC34B1">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lang w:bidi="ar"/>
              </w:rPr>
              <w:t>2</w:t>
            </w:r>
          </w:p>
        </w:tc>
        <w:tc>
          <w:tcPr>
            <w:tcW w:w="1719" w:type="dxa"/>
            <w:tcBorders>
              <w:top w:val="single" w:color="auto" w:sz="4" w:space="0"/>
              <w:left w:val="nil"/>
              <w:bottom w:val="single" w:color="auto" w:sz="4" w:space="0"/>
              <w:right w:val="single" w:color="auto" w:sz="4" w:space="0"/>
            </w:tcBorders>
            <w:vAlign w:val="center"/>
          </w:tcPr>
          <w:p w14:paraId="23F40090">
            <w:pPr>
              <w:spacing w:line="360" w:lineRule="exact"/>
              <w:jc w:val="center"/>
              <w:rPr>
                <w:rFonts w:hint="eastAsia" w:ascii="宋体" w:hAnsi="宋体" w:eastAsia="宋体" w:cs="宋体"/>
                <w:color w:val="auto"/>
                <w:szCs w:val="21"/>
                <w:u w:val="single"/>
              </w:rPr>
            </w:pPr>
            <w:r>
              <w:rPr>
                <w:rFonts w:hint="eastAsia" w:ascii="宋体" w:hAnsi="宋体" w:eastAsia="宋体" w:cs="宋体"/>
                <w:color w:val="auto"/>
                <w:szCs w:val="21"/>
                <w:u w:val="single"/>
                <w:lang w:bidi="ar"/>
              </w:rPr>
              <w:t>方案因素</w:t>
            </w:r>
          </w:p>
        </w:tc>
        <w:tc>
          <w:tcPr>
            <w:tcW w:w="6561" w:type="dxa"/>
            <w:tcBorders>
              <w:top w:val="single" w:color="auto" w:sz="4" w:space="0"/>
              <w:left w:val="nil"/>
              <w:bottom w:val="single" w:color="auto" w:sz="4" w:space="0"/>
              <w:right w:val="single" w:color="auto" w:sz="4" w:space="0"/>
            </w:tcBorders>
            <w:vAlign w:val="center"/>
          </w:tcPr>
          <w:p w14:paraId="6207C73D">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对各阶段监理工作方案、对本项目重点及难点分析及解决措施等监理大纲内容的合理性、可行性进行评审：</w:t>
            </w:r>
          </w:p>
          <w:p w14:paraId="04A4C35D">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优】监理工作目标明确，监理工作依据、制度、流程完善；监理工作内容及管理手段合理可行、措施具体；针对本项目建设特点进行监理的重点难点分析、提出相关解决技术措施方案、措施，内容全面具体、针对性强。</w:t>
            </w:r>
          </w:p>
          <w:p w14:paraId="2934909B">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lang w:bidi="ar"/>
              </w:rPr>
              <w:t>【中】监理工作目标较明确，监理工作依据、制度、流程基本完善；监理工作内容及管理手段基本合理可行；能针对本项目建设特点进行监理的重点难点分析、提出相关解决技术措施方案，内容基本合理。</w:t>
            </w:r>
          </w:p>
          <w:p w14:paraId="229FE82A">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lang w:bidi="ar"/>
              </w:rPr>
              <w:t>【差】监理工作目标不明确，监理工作依据、制度、流程不完善；监理工作内容及管理手段不合理；监理的重点难点分析、提出相关解决技术措施方案、措施内容不全面、或缺乏针对性。</w:t>
            </w:r>
          </w:p>
        </w:tc>
      </w:tr>
      <w:tr w14:paraId="6B7F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6593CC39">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lang w:bidi="ar"/>
              </w:rPr>
              <w:t>3</w:t>
            </w:r>
          </w:p>
        </w:tc>
        <w:tc>
          <w:tcPr>
            <w:tcW w:w="1719" w:type="dxa"/>
            <w:tcBorders>
              <w:top w:val="single" w:color="auto" w:sz="4" w:space="0"/>
              <w:left w:val="nil"/>
              <w:bottom w:val="single" w:color="auto" w:sz="4" w:space="0"/>
              <w:right w:val="single" w:color="auto" w:sz="4" w:space="0"/>
            </w:tcBorders>
            <w:vAlign w:val="center"/>
          </w:tcPr>
          <w:p w14:paraId="3CAE4450">
            <w:pPr>
              <w:spacing w:line="360" w:lineRule="exact"/>
              <w:jc w:val="center"/>
              <w:rPr>
                <w:rFonts w:hint="eastAsia" w:ascii="宋体" w:hAnsi="宋体" w:eastAsia="宋体" w:cs="宋体"/>
                <w:color w:val="auto"/>
                <w:szCs w:val="21"/>
                <w:u w:val="single"/>
              </w:rPr>
            </w:pPr>
            <w:r>
              <w:rPr>
                <w:rFonts w:hint="eastAsia" w:ascii="宋体" w:hAnsi="宋体" w:eastAsia="宋体" w:cs="宋体"/>
                <w:color w:val="auto"/>
                <w:szCs w:val="21"/>
                <w:u w:val="single"/>
                <w:lang w:bidi="ar"/>
              </w:rPr>
              <w:t>团队因素</w:t>
            </w:r>
          </w:p>
        </w:tc>
        <w:tc>
          <w:tcPr>
            <w:tcW w:w="6561" w:type="dxa"/>
            <w:tcBorders>
              <w:top w:val="single" w:color="auto" w:sz="4" w:space="0"/>
              <w:left w:val="nil"/>
              <w:bottom w:val="single" w:color="auto" w:sz="4" w:space="0"/>
              <w:right w:val="single" w:color="auto" w:sz="4" w:space="0"/>
            </w:tcBorders>
            <w:vAlign w:val="center"/>
          </w:tcPr>
          <w:p w14:paraId="78884ABF">
            <w:pPr>
              <w:spacing w:line="360" w:lineRule="auto"/>
              <w:rPr>
                <w:rFonts w:hint="eastAsia" w:ascii="宋体" w:hAnsi="宋体" w:eastAsia="宋体" w:cs="宋体"/>
                <w:color w:val="auto"/>
                <w:szCs w:val="21"/>
                <w:u w:val="single"/>
                <w:lang w:bidi="ar"/>
              </w:rPr>
            </w:pPr>
            <w:r>
              <w:rPr>
                <w:rFonts w:hint="eastAsia" w:ascii="宋体" w:hAnsi="宋体" w:eastAsia="宋体" w:cs="宋体"/>
                <w:color w:val="auto"/>
                <w:szCs w:val="21"/>
                <w:u w:val="single"/>
                <w:lang w:bidi="ar"/>
              </w:rPr>
              <w:t>【优】拟投入监理机构人员配备合理，优于招标文件《监理机构人员配备要求表》基本要求，人员技术水平高。</w:t>
            </w:r>
          </w:p>
          <w:p w14:paraId="194AEF6B">
            <w:pPr>
              <w:spacing w:line="360" w:lineRule="auto"/>
              <w:rPr>
                <w:rFonts w:hint="eastAsia" w:ascii="宋体" w:hAnsi="宋体" w:eastAsia="宋体" w:cs="宋体"/>
                <w:color w:val="auto"/>
                <w:szCs w:val="21"/>
                <w:u w:val="single"/>
                <w:lang w:bidi="ar"/>
              </w:rPr>
            </w:pPr>
            <w:r>
              <w:rPr>
                <w:rFonts w:hint="eastAsia" w:ascii="宋体" w:hAnsi="宋体" w:eastAsia="宋体" w:cs="宋体"/>
                <w:color w:val="auto"/>
                <w:szCs w:val="21"/>
                <w:u w:val="single"/>
                <w:lang w:bidi="ar"/>
              </w:rPr>
              <w:t>【中】拟投入监理机构人员配备较合理，满足招标文件《监理机构人员配备要求表》基本要求，人员技术水平较高。</w:t>
            </w:r>
          </w:p>
          <w:p w14:paraId="53AD7F0E">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u w:val="single"/>
                <w:lang w:bidi="ar"/>
              </w:rPr>
              <w:t>【差】拟投入监理机构人员配备不合理，不满足招标文件《监理机构人员配备要求表》基本要求。</w:t>
            </w:r>
            <w:r>
              <w:rPr>
                <w:rFonts w:hint="eastAsia" w:ascii="宋体" w:hAnsi="宋体" w:eastAsia="宋体" w:cs="宋体"/>
                <w:color w:val="auto"/>
                <w:kern w:val="0"/>
                <w:szCs w:val="21"/>
                <w:lang w:bidi="ar"/>
              </w:rPr>
              <w:t xml:space="preserve"> </w:t>
            </w:r>
          </w:p>
        </w:tc>
      </w:tr>
    </w:tbl>
    <w:p w14:paraId="7C376555">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4.3定标后出现中标人不符合法定情形的，招标人可从其他合格的中标候选人中采用原定标办法，由原定标委员会确定中标人，也可以重新招标。</w:t>
      </w:r>
    </w:p>
    <w:p w14:paraId="04AF5313">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因质疑或投诉生效，需要重新评标或定标的，评标、定标信息（含业绩、奖项等）仍以投标截止时投标人的信息为准。因特殊原因需要延长投标有效期，投标人拒绝延长投标有效期的，仍参与评标、定标，但不被推荐为中标人。</w:t>
      </w:r>
    </w:p>
    <w:p w14:paraId="4C7A6D5C">
      <w:pPr>
        <w:spacing w:line="360" w:lineRule="exact"/>
        <w:ind w:firstLine="420" w:firstLineChars="200"/>
        <w:rPr>
          <w:rFonts w:hint="eastAsia" w:ascii="宋体" w:hAnsi="宋体" w:eastAsia="宋体" w:cs="宋体"/>
          <w:color w:val="auto"/>
          <w:u w:val="single"/>
        </w:rPr>
      </w:pPr>
      <w:r>
        <w:rPr>
          <w:rFonts w:hint="eastAsia" w:ascii="宋体" w:hAnsi="宋体" w:eastAsia="宋体" w:cs="宋体"/>
          <w:color w:val="auto"/>
          <w:szCs w:val="21"/>
          <w:u w:val="single"/>
        </w:rPr>
        <w:t>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1BA599F9">
      <w:pPr>
        <w:spacing w:before="120" w:beforeLines="50" w:line="360" w:lineRule="exact"/>
        <w:outlineLvl w:val="2"/>
        <w:rPr>
          <w:rFonts w:hint="eastAsia" w:ascii="宋体" w:hAnsi="宋体" w:eastAsia="宋体" w:cs="宋体"/>
          <w:b/>
          <w:color w:val="auto"/>
          <w:szCs w:val="21"/>
          <w:u w:val="single"/>
        </w:rPr>
      </w:pPr>
    </w:p>
    <w:p w14:paraId="561B6CF6">
      <w:pPr>
        <w:spacing w:before="120" w:beforeLines="50" w:line="360" w:lineRule="exact"/>
        <w:outlineLvl w:val="2"/>
        <w:rPr>
          <w:rFonts w:hint="eastAsia" w:ascii="宋体" w:hAnsi="宋体" w:eastAsia="宋体" w:cs="宋体"/>
          <w:b/>
          <w:color w:val="auto"/>
          <w:sz w:val="32"/>
          <w:u w:val="single"/>
        </w:rPr>
      </w:pPr>
      <w:r>
        <w:rPr>
          <w:rFonts w:hint="eastAsia" w:ascii="宋体" w:hAnsi="宋体" w:eastAsia="宋体" w:cs="宋体"/>
          <w:b/>
          <w:color w:val="auto"/>
          <w:sz w:val="32"/>
          <w:u w:val="single"/>
        </w:rPr>
        <w:t>5.定标表格</w:t>
      </w:r>
    </w:p>
    <w:p w14:paraId="5B4F5A05">
      <w:pPr>
        <w:spacing w:line="36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见后附表。</w:t>
      </w:r>
    </w:p>
    <w:p w14:paraId="20EAEF58">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定标委员评语表</w:t>
      </w:r>
    </w:p>
    <w:p w14:paraId="4F938E48">
      <w:pPr>
        <w:pStyle w:val="138"/>
        <w:rPr>
          <w:rFonts w:hint="eastAsia" w:ascii="宋体" w:hAnsi="宋体" w:eastAsia="宋体" w:cs="宋体"/>
          <w:color w:val="auto"/>
        </w:rPr>
      </w:pPr>
    </w:p>
    <w:p w14:paraId="4D547FD8">
      <w:pPr>
        <w:pStyle w:val="138"/>
        <w:spacing w:line="360" w:lineRule="auto"/>
        <w:jc w:val="left"/>
        <w:rPr>
          <w:rFonts w:hint="eastAsia" w:ascii="宋体" w:hAnsi="宋体" w:eastAsia="宋体" w:cs="宋体"/>
          <w:b w:val="0"/>
          <w:color w:val="auto"/>
          <w:szCs w:val="21"/>
        </w:rPr>
      </w:pPr>
      <w:r>
        <w:rPr>
          <w:rFonts w:hint="eastAsia" w:ascii="宋体" w:hAnsi="宋体" w:eastAsia="宋体" w:cs="宋体"/>
          <w:b w:val="0"/>
          <w:color w:val="auto"/>
          <w:szCs w:val="21"/>
        </w:rPr>
        <w:t>项目名称：</w:t>
      </w:r>
    </w:p>
    <w:p w14:paraId="43781274">
      <w:pPr>
        <w:pStyle w:val="138"/>
        <w:spacing w:line="360" w:lineRule="auto"/>
        <w:jc w:val="left"/>
        <w:rPr>
          <w:rFonts w:hint="eastAsia" w:ascii="宋体" w:hAnsi="宋体" w:eastAsia="宋体" w:cs="宋体"/>
          <w:b w:val="0"/>
          <w:color w:val="auto"/>
          <w:szCs w:val="21"/>
        </w:rPr>
      </w:pPr>
      <w:r>
        <w:rPr>
          <w:rFonts w:hint="eastAsia" w:ascii="宋体" w:hAnsi="宋体" w:eastAsia="宋体" w:cs="宋体"/>
          <w:b w:val="0"/>
          <w:color w:val="auto"/>
          <w:szCs w:val="21"/>
        </w:rPr>
        <w:t>合格中标候选人名称：</w:t>
      </w:r>
    </w:p>
    <w:tbl>
      <w:tblPr>
        <w:tblStyle w:val="46"/>
        <w:tblW w:w="919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74"/>
        <w:gridCol w:w="1767"/>
        <w:gridCol w:w="2266"/>
        <w:gridCol w:w="2917"/>
      </w:tblGrid>
      <w:tr w14:paraId="6C7E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3" w:type="dxa"/>
            <w:tcBorders>
              <w:top w:val="single" w:color="auto" w:sz="4" w:space="0"/>
              <w:left w:val="single" w:color="auto" w:sz="4" w:space="0"/>
              <w:bottom w:val="single" w:color="auto" w:sz="4" w:space="0"/>
              <w:right w:val="single" w:color="auto" w:sz="4" w:space="0"/>
            </w:tcBorders>
            <w:vAlign w:val="center"/>
          </w:tcPr>
          <w:p w14:paraId="36EF35D0">
            <w:pPr>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3141" w:type="dxa"/>
            <w:gridSpan w:val="2"/>
            <w:tcBorders>
              <w:top w:val="single" w:color="auto" w:sz="4" w:space="0"/>
              <w:left w:val="single" w:color="auto" w:sz="4" w:space="0"/>
              <w:bottom w:val="single" w:color="auto" w:sz="4" w:space="0"/>
              <w:right w:val="single" w:color="auto" w:sz="4" w:space="0"/>
            </w:tcBorders>
            <w:vAlign w:val="center"/>
          </w:tcPr>
          <w:p w14:paraId="0948A318">
            <w:pPr>
              <w:jc w:val="center"/>
              <w:rPr>
                <w:rFonts w:hint="eastAsia" w:ascii="宋体" w:hAnsi="宋体" w:eastAsia="宋体" w:cs="宋体"/>
                <w:b/>
                <w:bCs/>
                <w:color w:val="auto"/>
                <w:szCs w:val="21"/>
              </w:rPr>
            </w:pPr>
            <w:r>
              <w:rPr>
                <w:rFonts w:hint="eastAsia" w:ascii="宋体" w:hAnsi="宋体" w:eastAsia="宋体" w:cs="宋体"/>
                <w:b/>
                <w:bCs/>
                <w:color w:val="auto"/>
                <w:szCs w:val="21"/>
              </w:rPr>
              <w:t>定标因素</w:t>
            </w:r>
          </w:p>
        </w:tc>
        <w:tc>
          <w:tcPr>
            <w:tcW w:w="2266" w:type="dxa"/>
            <w:tcBorders>
              <w:top w:val="single" w:color="auto" w:sz="4" w:space="0"/>
              <w:left w:val="single" w:color="auto" w:sz="4" w:space="0"/>
              <w:bottom w:val="single" w:color="auto" w:sz="4" w:space="0"/>
              <w:right w:val="single" w:color="auto" w:sz="4" w:space="0"/>
            </w:tcBorders>
            <w:vAlign w:val="center"/>
          </w:tcPr>
          <w:p w14:paraId="25483966">
            <w:pPr>
              <w:jc w:val="center"/>
              <w:rPr>
                <w:rFonts w:hint="eastAsia" w:ascii="宋体" w:hAnsi="宋体" w:eastAsia="宋体" w:cs="宋体"/>
                <w:b/>
                <w:bCs/>
                <w:color w:val="auto"/>
                <w:szCs w:val="21"/>
              </w:rPr>
            </w:pPr>
            <w:r>
              <w:rPr>
                <w:rFonts w:hint="eastAsia" w:ascii="宋体" w:hAnsi="宋体" w:eastAsia="宋体" w:cs="宋体"/>
                <w:b/>
                <w:bCs/>
                <w:color w:val="auto"/>
                <w:szCs w:val="21"/>
              </w:rPr>
              <w:t>定标因素结论</w:t>
            </w:r>
          </w:p>
        </w:tc>
        <w:tc>
          <w:tcPr>
            <w:tcW w:w="2917" w:type="dxa"/>
            <w:tcBorders>
              <w:top w:val="single" w:color="auto" w:sz="4" w:space="0"/>
              <w:left w:val="single" w:color="auto" w:sz="4" w:space="0"/>
              <w:bottom w:val="single" w:color="auto" w:sz="4" w:space="0"/>
              <w:right w:val="single" w:color="auto" w:sz="4" w:space="0"/>
            </w:tcBorders>
            <w:vAlign w:val="center"/>
          </w:tcPr>
          <w:p w14:paraId="0E823007">
            <w:pPr>
              <w:jc w:val="center"/>
              <w:rPr>
                <w:rFonts w:hint="eastAsia" w:ascii="宋体" w:hAnsi="宋体" w:eastAsia="宋体" w:cs="宋体"/>
                <w:b/>
                <w:bCs/>
                <w:color w:val="auto"/>
                <w:szCs w:val="21"/>
              </w:rPr>
            </w:pPr>
            <w:r>
              <w:rPr>
                <w:rFonts w:hint="eastAsia" w:ascii="宋体" w:hAnsi="宋体" w:eastAsia="宋体" w:cs="宋体"/>
                <w:b/>
                <w:bCs/>
                <w:color w:val="auto"/>
                <w:szCs w:val="21"/>
              </w:rPr>
              <w:t>定标委员评语</w:t>
            </w:r>
          </w:p>
        </w:tc>
      </w:tr>
      <w:tr w14:paraId="6765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restart"/>
            <w:tcBorders>
              <w:top w:val="single" w:color="auto" w:sz="4" w:space="0"/>
              <w:left w:val="single" w:color="auto" w:sz="4" w:space="0"/>
              <w:right w:val="single" w:color="auto" w:sz="4" w:space="0"/>
            </w:tcBorders>
            <w:vAlign w:val="center"/>
          </w:tcPr>
          <w:p w14:paraId="308F96A5">
            <w:pPr>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1374" w:type="dxa"/>
            <w:vMerge w:val="restart"/>
            <w:tcBorders>
              <w:top w:val="single" w:color="auto" w:sz="4" w:space="0"/>
              <w:left w:val="single" w:color="auto" w:sz="4" w:space="0"/>
              <w:right w:val="single" w:color="auto" w:sz="4" w:space="0"/>
            </w:tcBorders>
            <w:vAlign w:val="center"/>
          </w:tcPr>
          <w:p w14:paraId="48B6E36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资信因素</w:t>
            </w:r>
          </w:p>
        </w:tc>
        <w:tc>
          <w:tcPr>
            <w:tcW w:w="1767" w:type="dxa"/>
            <w:tcBorders>
              <w:top w:val="single" w:color="auto" w:sz="4" w:space="0"/>
              <w:left w:val="single" w:color="auto" w:sz="4" w:space="0"/>
              <w:bottom w:val="single" w:color="auto" w:sz="4" w:space="0"/>
              <w:right w:val="single" w:color="auto" w:sz="4" w:space="0"/>
            </w:tcBorders>
            <w:vAlign w:val="center"/>
          </w:tcPr>
          <w:p w14:paraId="386E184E">
            <w:pPr>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u w:val="single"/>
                <w:lang w:bidi="ar"/>
              </w:rPr>
              <w:t>管理体系认证</w:t>
            </w:r>
          </w:p>
        </w:tc>
        <w:tc>
          <w:tcPr>
            <w:tcW w:w="2266" w:type="dxa"/>
            <w:tcBorders>
              <w:top w:val="single" w:color="auto" w:sz="4" w:space="0"/>
              <w:left w:val="single" w:color="auto" w:sz="4" w:space="0"/>
              <w:bottom w:val="single" w:color="auto" w:sz="4" w:space="0"/>
              <w:right w:val="single" w:color="auto" w:sz="4" w:space="0"/>
            </w:tcBorders>
            <w:vAlign w:val="center"/>
          </w:tcPr>
          <w:p w14:paraId="78EF061D">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□优</w:t>
            </w:r>
          </w:p>
          <w:p w14:paraId="3AE20B7A">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□中</w:t>
            </w:r>
          </w:p>
          <w:p w14:paraId="09482EED">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□差</w:t>
            </w:r>
          </w:p>
        </w:tc>
        <w:tc>
          <w:tcPr>
            <w:tcW w:w="2917" w:type="dxa"/>
            <w:tcBorders>
              <w:top w:val="single" w:color="auto" w:sz="4" w:space="0"/>
              <w:left w:val="single" w:color="auto" w:sz="4" w:space="0"/>
              <w:bottom w:val="single" w:color="auto" w:sz="4" w:space="0"/>
              <w:right w:val="single" w:color="auto" w:sz="4" w:space="0"/>
            </w:tcBorders>
          </w:tcPr>
          <w:p w14:paraId="5A905506">
            <w:pPr>
              <w:spacing w:line="360" w:lineRule="auto"/>
              <w:rPr>
                <w:rFonts w:hint="eastAsia" w:ascii="宋体" w:hAnsi="宋体" w:eastAsia="宋体" w:cs="宋体"/>
                <w:color w:val="auto"/>
                <w:szCs w:val="21"/>
              </w:rPr>
            </w:pPr>
          </w:p>
        </w:tc>
      </w:tr>
      <w:tr w14:paraId="0E17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continue"/>
            <w:tcBorders>
              <w:left w:val="single" w:color="auto" w:sz="4" w:space="0"/>
              <w:right w:val="single" w:color="auto" w:sz="4" w:space="0"/>
            </w:tcBorders>
            <w:vAlign w:val="center"/>
          </w:tcPr>
          <w:p w14:paraId="2C8028C2">
            <w:pPr>
              <w:rPr>
                <w:rFonts w:hint="eastAsia" w:ascii="宋体" w:hAnsi="宋体" w:eastAsia="宋体" w:cs="宋体"/>
                <w:color w:val="auto"/>
              </w:rPr>
            </w:pPr>
          </w:p>
        </w:tc>
        <w:tc>
          <w:tcPr>
            <w:tcW w:w="1374" w:type="dxa"/>
            <w:vMerge w:val="continue"/>
            <w:tcBorders>
              <w:left w:val="single" w:color="auto" w:sz="4" w:space="0"/>
              <w:right w:val="single" w:color="auto" w:sz="4" w:space="0"/>
            </w:tcBorders>
            <w:vAlign w:val="center"/>
          </w:tcPr>
          <w:p w14:paraId="1C20C292">
            <w:pPr>
              <w:rPr>
                <w:rFonts w:hint="eastAsia" w:ascii="宋体" w:hAnsi="宋体" w:eastAsia="宋体" w:cs="宋体"/>
                <w:color w:val="auto"/>
              </w:rPr>
            </w:pPr>
          </w:p>
        </w:tc>
        <w:tc>
          <w:tcPr>
            <w:tcW w:w="1767" w:type="dxa"/>
            <w:tcBorders>
              <w:top w:val="single" w:color="auto" w:sz="4" w:space="0"/>
              <w:left w:val="single" w:color="auto" w:sz="4" w:space="0"/>
              <w:bottom w:val="single" w:color="auto" w:sz="4" w:space="0"/>
              <w:right w:val="single" w:color="auto" w:sz="4" w:space="0"/>
            </w:tcBorders>
            <w:vAlign w:val="center"/>
          </w:tcPr>
          <w:p w14:paraId="6DABDBD5">
            <w:pPr>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u w:val="single"/>
                <w:lang w:bidi="ar"/>
              </w:rPr>
              <w:t>纳税信用</w:t>
            </w:r>
          </w:p>
        </w:tc>
        <w:tc>
          <w:tcPr>
            <w:tcW w:w="2266" w:type="dxa"/>
            <w:tcBorders>
              <w:top w:val="single" w:color="auto" w:sz="4" w:space="0"/>
              <w:left w:val="single" w:color="auto" w:sz="4" w:space="0"/>
              <w:bottom w:val="single" w:color="auto" w:sz="4" w:space="0"/>
              <w:right w:val="single" w:color="auto" w:sz="4" w:space="0"/>
            </w:tcBorders>
            <w:vAlign w:val="center"/>
          </w:tcPr>
          <w:p w14:paraId="247E7F0E">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□优</w:t>
            </w:r>
          </w:p>
          <w:p w14:paraId="6DCBB031">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□中</w:t>
            </w:r>
          </w:p>
          <w:p w14:paraId="50D5C402">
            <w:pPr>
              <w:spacing w:line="360" w:lineRule="auto"/>
              <w:jc w:val="center"/>
              <w:rPr>
                <w:rFonts w:hint="eastAsia" w:ascii="宋体" w:hAnsi="宋体" w:eastAsia="宋体" w:cs="宋体"/>
                <w:color w:val="auto"/>
                <w:szCs w:val="21"/>
              </w:rPr>
            </w:pPr>
            <w:r>
              <w:rPr>
                <w:rFonts w:hint="eastAsia" w:ascii="宋体" w:hAnsi="宋体" w:eastAsia="宋体" w:cs="宋体"/>
                <w:b/>
                <w:bCs/>
                <w:color w:val="auto"/>
                <w:szCs w:val="21"/>
              </w:rPr>
              <w:t>□差</w:t>
            </w:r>
          </w:p>
        </w:tc>
        <w:tc>
          <w:tcPr>
            <w:tcW w:w="2917" w:type="dxa"/>
            <w:tcBorders>
              <w:top w:val="single" w:color="auto" w:sz="4" w:space="0"/>
              <w:left w:val="single" w:color="auto" w:sz="4" w:space="0"/>
              <w:bottom w:val="single" w:color="auto" w:sz="4" w:space="0"/>
              <w:right w:val="single" w:color="auto" w:sz="4" w:space="0"/>
            </w:tcBorders>
          </w:tcPr>
          <w:p w14:paraId="0D1DB2B1">
            <w:pPr>
              <w:spacing w:line="360" w:lineRule="auto"/>
              <w:rPr>
                <w:rFonts w:hint="eastAsia" w:ascii="宋体" w:hAnsi="宋体" w:eastAsia="宋体" w:cs="宋体"/>
                <w:color w:val="auto"/>
                <w:szCs w:val="21"/>
              </w:rPr>
            </w:pPr>
          </w:p>
        </w:tc>
      </w:tr>
      <w:tr w14:paraId="0642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continue"/>
            <w:tcBorders>
              <w:left w:val="single" w:color="auto" w:sz="4" w:space="0"/>
              <w:right w:val="single" w:color="auto" w:sz="4" w:space="0"/>
            </w:tcBorders>
            <w:vAlign w:val="center"/>
          </w:tcPr>
          <w:p w14:paraId="4A346D52">
            <w:pPr>
              <w:rPr>
                <w:rFonts w:hint="eastAsia" w:ascii="宋体" w:hAnsi="宋体" w:eastAsia="宋体" w:cs="宋体"/>
                <w:color w:val="auto"/>
              </w:rPr>
            </w:pPr>
          </w:p>
        </w:tc>
        <w:tc>
          <w:tcPr>
            <w:tcW w:w="1374" w:type="dxa"/>
            <w:vMerge w:val="continue"/>
            <w:tcBorders>
              <w:left w:val="single" w:color="auto" w:sz="4" w:space="0"/>
              <w:right w:val="single" w:color="auto" w:sz="4" w:space="0"/>
            </w:tcBorders>
            <w:vAlign w:val="center"/>
          </w:tcPr>
          <w:p w14:paraId="16398129">
            <w:pPr>
              <w:rPr>
                <w:rFonts w:hint="eastAsia" w:ascii="宋体" w:hAnsi="宋体" w:eastAsia="宋体" w:cs="宋体"/>
                <w:color w:val="auto"/>
              </w:rPr>
            </w:pPr>
          </w:p>
        </w:tc>
        <w:tc>
          <w:tcPr>
            <w:tcW w:w="1767" w:type="dxa"/>
            <w:tcBorders>
              <w:top w:val="single" w:color="auto" w:sz="4" w:space="0"/>
              <w:left w:val="single" w:color="auto" w:sz="4" w:space="0"/>
              <w:bottom w:val="single" w:color="auto" w:sz="4" w:space="0"/>
              <w:right w:val="single" w:color="auto" w:sz="4" w:space="0"/>
            </w:tcBorders>
            <w:vAlign w:val="center"/>
          </w:tcPr>
          <w:p w14:paraId="520AE2B8">
            <w:pPr>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u w:val="single"/>
                <w:lang w:bidi="ar"/>
              </w:rPr>
              <w:t>类似项目业绩</w:t>
            </w:r>
          </w:p>
        </w:tc>
        <w:tc>
          <w:tcPr>
            <w:tcW w:w="2266" w:type="dxa"/>
            <w:tcBorders>
              <w:top w:val="single" w:color="auto" w:sz="4" w:space="0"/>
              <w:left w:val="single" w:color="auto" w:sz="4" w:space="0"/>
              <w:bottom w:val="single" w:color="auto" w:sz="4" w:space="0"/>
              <w:right w:val="single" w:color="auto" w:sz="4" w:space="0"/>
            </w:tcBorders>
            <w:vAlign w:val="center"/>
          </w:tcPr>
          <w:p w14:paraId="281BF38D">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□优</w:t>
            </w:r>
          </w:p>
          <w:p w14:paraId="6BA96C2C">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□中</w:t>
            </w:r>
          </w:p>
          <w:p w14:paraId="2817E286">
            <w:pPr>
              <w:spacing w:line="360" w:lineRule="auto"/>
              <w:jc w:val="center"/>
              <w:rPr>
                <w:rFonts w:hint="eastAsia" w:ascii="宋体" w:hAnsi="宋体" w:eastAsia="宋体" w:cs="宋体"/>
                <w:color w:val="auto"/>
                <w:szCs w:val="21"/>
              </w:rPr>
            </w:pPr>
            <w:r>
              <w:rPr>
                <w:rFonts w:hint="eastAsia" w:ascii="宋体" w:hAnsi="宋体" w:eastAsia="宋体" w:cs="宋体"/>
                <w:b/>
                <w:bCs/>
                <w:color w:val="auto"/>
                <w:szCs w:val="21"/>
              </w:rPr>
              <w:t>□差</w:t>
            </w:r>
          </w:p>
        </w:tc>
        <w:tc>
          <w:tcPr>
            <w:tcW w:w="2917" w:type="dxa"/>
            <w:tcBorders>
              <w:top w:val="single" w:color="auto" w:sz="4" w:space="0"/>
              <w:left w:val="single" w:color="auto" w:sz="4" w:space="0"/>
              <w:bottom w:val="single" w:color="auto" w:sz="4" w:space="0"/>
              <w:right w:val="single" w:color="auto" w:sz="4" w:space="0"/>
            </w:tcBorders>
          </w:tcPr>
          <w:p w14:paraId="7A48CC30">
            <w:pPr>
              <w:spacing w:line="360" w:lineRule="auto"/>
              <w:rPr>
                <w:rFonts w:hint="eastAsia" w:ascii="宋体" w:hAnsi="宋体" w:eastAsia="宋体" w:cs="宋体"/>
                <w:color w:val="auto"/>
                <w:szCs w:val="21"/>
              </w:rPr>
            </w:pPr>
          </w:p>
        </w:tc>
      </w:tr>
      <w:tr w14:paraId="13BF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continue"/>
            <w:tcBorders>
              <w:left w:val="single" w:color="auto" w:sz="4" w:space="0"/>
              <w:bottom w:val="single" w:color="auto" w:sz="4" w:space="0"/>
              <w:right w:val="single" w:color="auto" w:sz="4" w:space="0"/>
            </w:tcBorders>
            <w:vAlign w:val="center"/>
          </w:tcPr>
          <w:p w14:paraId="77C7B8E9">
            <w:pPr>
              <w:rPr>
                <w:rFonts w:hint="eastAsia" w:ascii="宋体" w:hAnsi="宋体" w:eastAsia="宋体" w:cs="宋体"/>
                <w:color w:val="auto"/>
              </w:rPr>
            </w:pPr>
          </w:p>
        </w:tc>
        <w:tc>
          <w:tcPr>
            <w:tcW w:w="1374" w:type="dxa"/>
            <w:vMerge w:val="continue"/>
            <w:tcBorders>
              <w:left w:val="single" w:color="auto" w:sz="4" w:space="0"/>
              <w:bottom w:val="single" w:color="auto" w:sz="4" w:space="0"/>
              <w:right w:val="single" w:color="auto" w:sz="4" w:space="0"/>
            </w:tcBorders>
            <w:vAlign w:val="center"/>
          </w:tcPr>
          <w:p w14:paraId="6F15F1D5">
            <w:pPr>
              <w:rPr>
                <w:rFonts w:hint="eastAsia" w:ascii="宋体" w:hAnsi="宋体" w:eastAsia="宋体" w:cs="宋体"/>
                <w:color w:val="auto"/>
              </w:rPr>
            </w:pPr>
          </w:p>
        </w:tc>
        <w:tc>
          <w:tcPr>
            <w:tcW w:w="1767" w:type="dxa"/>
            <w:tcBorders>
              <w:top w:val="single" w:color="auto" w:sz="4" w:space="0"/>
              <w:left w:val="single" w:color="auto" w:sz="4" w:space="0"/>
              <w:bottom w:val="single" w:color="auto" w:sz="4" w:space="0"/>
              <w:right w:val="single" w:color="auto" w:sz="4" w:space="0"/>
            </w:tcBorders>
            <w:vAlign w:val="center"/>
          </w:tcPr>
          <w:p w14:paraId="1197C3DC">
            <w:pPr>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u w:val="single"/>
                <w:lang w:bidi="ar"/>
              </w:rPr>
              <w:t>项目获奖情况</w:t>
            </w:r>
          </w:p>
        </w:tc>
        <w:tc>
          <w:tcPr>
            <w:tcW w:w="2266" w:type="dxa"/>
            <w:tcBorders>
              <w:top w:val="single" w:color="auto" w:sz="4" w:space="0"/>
              <w:left w:val="single" w:color="auto" w:sz="4" w:space="0"/>
              <w:bottom w:val="single" w:color="auto" w:sz="4" w:space="0"/>
              <w:right w:val="single" w:color="auto" w:sz="4" w:space="0"/>
            </w:tcBorders>
            <w:vAlign w:val="center"/>
          </w:tcPr>
          <w:p w14:paraId="5289FB1B">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□优</w:t>
            </w:r>
          </w:p>
          <w:p w14:paraId="3F2DF349">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□中</w:t>
            </w:r>
          </w:p>
          <w:p w14:paraId="28A57B4B">
            <w:pPr>
              <w:spacing w:line="360" w:lineRule="auto"/>
              <w:jc w:val="center"/>
              <w:rPr>
                <w:rFonts w:hint="eastAsia" w:ascii="宋体" w:hAnsi="宋体" w:eastAsia="宋体" w:cs="宋体"/>
                <w:color w:val="auto"/>
                <w:szCs w:val="21"/>
              </w:rPr>
            </w:pPr>
            <w:r>
              <w:rPr>
                <w:rFonts w:hint="eastAsia" w:ascii="宋体" w:hAnsi="宋体" w:eastAsia="宋体" w:cs="宋体"/>
                <w:b/>
                <w:bCs/>
                <w:color w:val="auto"/>
                <w:szCs w:val="21"/>
              </w:rPr>
              <w:t>□差</w:t>
            </w:r>
          </w:p>
        </w:tc>
        <w:tc>
          <w:tcPr>
            <w:tcW w:w="2917" w:type="dxa"/>
            <w:tcBorders>
              <w:top w:val="single" w:color="auto" w:sz="4" w:space="0"/>
              <w:left w:val="single" w:color="auto" w:sz="4" w:space="0"/>
              <w:bottom w:val="single" w:color="auto" w:sz="4" w:space="0"/>
              <w:right w:val="single" w:color="auto" w:sz="4" w:space="0"/>
            </w:tcBorders>
          </w:tcPr>
          <w:p w14:paraId="11C2CC40">
            <w:pPr>
              <w:spacing w:line="360" w:lineRule="auto"/>
              <w:rPr>
                <w:rFonts w:hint="eastAsia" w:ascii="宋体" w:hAnsi="宋体" w:eastAsia="宋体" w:cs="宋体"/>
                <w:color w:val="auto"/>
                <w:szCs w:val="21"/>
              </w:rPr>
            </w:pPr>
          </w:p>
        </w:tc>
      </w:tr>
      <w:tr w14:paraId="3414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left w:val="single" w:color="auto" w:sz="4" w:space="0"/>
              <w:bottom w:val="single" w:color="auto" w:sz="4" w:space="0"/>
              <w:right w:val="single" w:color="auto" w:sz="4" w:space="0"/>
            </w:tcBorders>
            <w:vAlign w:val="center"/>
          </w:tcPr>
          <w:p w14:paraId="6C9C8107">
            <w:pPr>
              <w:jc w:val="center"/>
              <w:rPr>
                <w:rFonts w:hint="eastAsia" w:ascii="宋体" w:hAnsi="宋体" w:eastAsia="宋体" w:cs="宋体"/>
                <w:color w:val="auto"/>
              </w:rPr>
            </w:pPr>
            <w:r>
              <w:rPr>
                <w:rFonts w:hint="eastAsia" w:ascii="宋体" w:hAnsi="宋体" w:eastAsia="宋体" w:cs="宋体"/>
                <w:color w:val="auto"/>
              </w:rPr>
              <w:t>2</w:t>
            </w:r>
          </w:p>
        </w:tc>
        <w:tc>
          <w:tcPr>
            <w:tcW w:w="3141" w:type="dxa"/>
            <w:gridSpan w:val="2"/>
            <w:tcBorders>
              <w:left w:val="single" w:color="auto" w:sz="4" w:space="0"/>
              <w:bottom w:val="single" w:color="auto" w:sz="4" w:space="0"/>
              <w:right w:val="single" w:color="auto" w:sz="4" w:space="0"/>
            </w:tcBorders>
            <w:vAlign w:val="center"/>
          </w:tcPr>
          <w:p w14:paraId="61A331C8">
            <w:pPr>
              <w:spacing w:line="360" w:lineRule="auto"/>
              <w:jc w:val="center"/>
              <w:rPr>
                <w:rFonts w:hint="eastAsia" w:ascii="宋体" w:hAnsi="宋体" w:eastAsia="宋体" w:cs="宋体"/>
                <w:color w:val="auto"/>
                <w:sz w:val="22"/>
                <w:lang w:val="zh-CN"/>
              </w:rPr>
            </w:pPr>
            <w:r>
              <w:rPr>
                <w:rFonts w:hint="eastAsia" w:ascii="宋体" w:hAnsi="宋体" w:eastAsia="宋体" w:cs="宋体"/>
                <w:color w:val="auto"/>
                <w:szCs w:val="21"/>
                <w:u w:val="single"/>
                <w:lang w:bidi="ar"/>
              </w:rPr>
              <w:t>方案因素</w:t>
            </w:r>
          </w:p>
        </w:tc>
        <w:tc>
          <w:tcPr>
            <w:tcW w:w="2266" w:type="dxa"/>
            <w:tcBorders>
              <w:top w:val="single" w:color="auto" w:sz="4" w:space="0"/>
              <w:left w:val="single" w:color="auto" w:sz="4" w:space="0"/>
              <w:bottom w:val="single" w:color="auto" w:sz="4" w:space="0"/>
              <w:right w:val="single" w:color="auto" w:sz="4" w:space="0"/>
            </w:tcBorders>
            <w:vAlign w:val="center"/>
          </w:tcPr>
          <w:p w14:paraId="50F09EDE">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□优</w:t>
            </w:r>
          </w:p>
          <w:p w14:paraId="432BF208">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□中</w:t>
            </w:r>
          </w:p>
          <w:p w14:paraId="77F9CE06">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□差</w:t>
            </w:r>
          </w:p>
        </w:tc>
        <w:tc>
          <w:tcPr>
            <w:tcW w:w="2917" w:type="dxa"/>
            <w:tcBorders>
              <w:top w:val="single" w:color="auto" w:sz="4" w:space="0"/>
              <w:left w:val="single" w:color="auto" w:sz="4" w:space="0"/>
              <w:bottom w:val="single" w:color="auto" w:sz="4" w:space="0"/>
              <w:right w:val="single" w:color="auto" w:sz="4" w:space="0"/>
            </w:tcBorders>
          </w:tcPr>
          <w:p w14:paraId="59676877">
            <w:pPr>
              <w:spacing w:line="360" w:lineRule="auto"/>
              <w:rPr>
                <w:rFonts w:hint="eastAsia" w:ascii="宋体" w:hAnsi="宋体" w:eastAsia="宋体" w:cs="宋体"/>
                <w:color w:val="auto"/>
                <w:szCs w:val="21"/>
              </w:rPr>
            </w:pPr>
          </w:p>
        </w:tc>
      </w:tr>
      <w:tr w14:paraId="5AB7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left w:val="single" w:color="auto" w:sz="4" w:space="0"/>
              <w:bottom w:val="single" w:color="auto" w:sz="4" w:space="0"/>
              <w:right w:val="single" w:color="auto" w:sz="4" w:space="0"/>
            </w:tcBorders>
            <w:vAlign w:val="center"/>
          </w:tcPr>
          <w:p w14:paraId="11D4872F">
            <w:pPr>
              <w:jc w:val="center"/>
              <w:rPr>
                <w:rFonts w:hint="eastAsia" w:ascii="宋体" w:hAnsi="宋体" w:eastAsia="宋体" w:cs="宋体"/>
                <w:color w:val="auto"/>
              </w:rPr>
            </w:pPr>
            <w:r>
              <w:rPr>
                <w:rFonts w:hint="eastAsia" w:ascii="宋体" w:hAnsi="宋体" w:eastAsia="宋体" w:cs="宋体"/>
                <w:color w:val="auto"/>
              </w:rPr>
              <w:t>3</w:t>
            </w:r>
          </w:p>
        </w:tc>
        <w:tc>
          <w:tcPr>
            <w:tcW w:w="3141" w:type="dxa"/>
            <w:gridSpan w:val="2"/>
            <w:tcBorders>
              <w:left w:val="single" w:color="auto" w:sz="4" w:space="0"/>
              <w:bottom w:val="single" w:color="auto" w:sz="4" w:space="0"/>
              <w:right w:val="single" w:color="auto" w:sz="4" w:space="0"/>
            </w:tcBorders>
            <w:vAlign w:val="center"/>
          </w:tcPr>
          <w:p w14:paraId="7F560E0E">
            <w:pPr>
              <w:spacing w:line="360" w:lineRule="auto"/>
              <w:jc w:val="center"/>
              <w:rPr>
                <w:rFonts w:hint="eastAsia" w:ascii="宋体" w:hAnsi="宋体" w:eastAsia="宋体" w:cs="宋体"/>
                <w:color w:val="auto"/>
                <w:sz w:val="22"/>
                <w:lang w:val="zh-CN"/>
              </w:rPr>
            </w:pPr>
            <w:r>
              <w:rPr>
                <w:rFonts w:hint="eastAsia" w:ascii="宋体" w:hAnsi="宋体" w:eastAsia="宋体" w:cs="宋体"/>
                <w:color w:val="auto"/>
                <w:szCs w:val="21"/>
                <w:u w:val="single"/>
                <w:lang w:bidi="ar"/>
              </w:rPr>
              <w:t>团队因素</w:t>
            </w:r>
          </w:p>
        </w:tc>
        <w:tc>
          <w:tcPr>
            <w:tcW w:w="2266" w:type="dxa"/>
            <w:tcBorders>
              <w:top w:val="single" w:color="auto" w:sz="4" w:space="0"/>
              <w:left w:val="single" w:color="auto" w:sz="4" w:space="0"/>
              <w:bottom w:val="single" w:color="auto" w:sz="4" w:space="0"/>
              <w:right w:val="single" w:color="auto" w:sz="4" w:space="0"/>
            </w:tcBorders>
            <w:vAlign w:val="center"/>
          </w:tcPr>
          <w:p w14:paraId="32FA5CB6">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□优</w:t>
            </w:r>
          </w:p>
          <w:p w14:paraId="48456810">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□中</w:t>
            </w:r>
          </w:p>
          <w:p w14:paraId="5E12894E">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□差</w:t>
            </w:r>
          </w:p>
        </w:tc>
        <w:tc>
          <w:tcPr>
            <w:tcW w:w="2917" w:type="dxa"/>
            <w:tcBorders>
              <w:top w:val="single" w:color="auto" w:sz="4" w:space="0"/>
              <w:left w:val="single" w:color="auto" w:sz="4" w:space="0"/>
              <w:bottom w:val="single" w:color="auto" w:sz="4" w:space="0"/>
              <w:right w:val="single" w:color="auto" w:sz="4" w:space="0"/>
            </w:tcBorders>
          </w:tcPr>
          <w:p w14:paraId="2E58AA06">
            <w:pPr>
              <w:spacing w:line="360" w:lineRule="auto"/>
              <w:rPr>
                <w:rFonts w:hint="eastAsia" w:ascii="宋体" w:hAnsi="宋体" w:eastAsia="宋体" w:cs="宋体"/>
                <w:color w:val="auto"/>
                <w:szCs w:val="21"/>
              </w:rPr>
            </w:pPr>
          </w:p>
        </w:tc>
      </w:tr>
      <w:tr w14:paraId="4887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80" w:type="dxa"/>
            <w:gridSpan w:val="4"/>
            <w:tcBorders>
              <w:top w:val="single" w:color="auto" w:sz="4" w:space="0"/>
              <w:left w:val="single" w:color="auto" w:sz="4" w:space="0"/>
              <w:bottom w:val="single" w:color="auto" w:sz="4" w:space="0"/>
              <w:right w:val="single" w:color="auto" w:sz="4" w:space="0"/>
            </w:tcBorders>
            <w:vAlign w:val="center"/>
          </w:tcPr>
          <w:p w14:paraId="0B9FBFED">
            <w:pPr>
              <w:pStyle w:val="12"/>
              <w:ind w:firstLine="2530" w:firstLineChars="1200"/>
              <w:rPr>
                <w:rFonts w:hint="eastAsia" w:ascii="宋体" w:hAnsi="宋体" w:eastAsia="宋体" w:cs="宋体"/>
                <w:bCs/>
                <w:color w:val="auto"/>
                <w:szCs w:val="21"/>
              </w:rPr>
            </w:pPr>
            <w:r>
              <w:rPr>
                <w:rFonts w:hint="eastAsia" w:ascii="宋体" w:hAnsi="宋体" w:eastAsia="宋体" w:cs="宋体"/>
                <w:color w:val="auto"/>
                <w:szCs w:val="21"/>
              </w:rPr>
              <w:t>结论</w:t>
            </w:r>
          </w:p>
        </w:tc>
        <w:tc>
          <w:tcPr>
            <w:tcW w:w="2917" w:type="dxa"/>
            <w:tcBorders>
              <w:top w:val="single" w:color="auto" w:sz="4" w:space="0"/>
              <w:left w:val="single" w:color="auto" w:sz="4" w:space="0"/>
              <w:bottom w:val="single" w:color="auto" w:sz="4" w:space="0"/>
              <w:right w:val="single" w:color="auto" w:sz="4" w:space="0"/>
            </w:tcBorders>
            <w:vAlign w:val="center"/>
          </w:tcPr>
          <w:p w14:paraId="02B36890">
            <w:pPr>
              <w:jc w:val="center"/>
              <w:rPr>
                <w:rFonts w:hint="eastAsia" w:ascii="宋体" w:hAnsi="宋体" w:eastAsia="宋体" w:cs="宋体"/>
                <w:bCs/>
                <w:color w:val="auto"/>
                <w:szCs w:val="21"/>
              </w:rPr>
            </w:pPr>
            <w:r>
              <w:rPr>
                <w:rFonts w:hint="eastAsia" w:ascii="宋体" w:hAnsi="宋体" w:eastAsia="宋体" w:cs="宋体"/>
                <w:b/>
                <w:color w:val="auto"/>
                <w:szCs w:val="21"/>
              </w:rPr>
              <w:t>□优   □中   □差</w:t>
            </w:r>
          </w:p>
        </w:tc>
      </w:tr>
    </w:tbl>
    <w:p w14:paraId="548AE680">
      <w:pPr>
        <w:spacing w:line="360" w:lineRule="auto"/>
        <w:ind w:left="316" w:hanging="316" w:hangingChars="150"/>
        <w:jc w:val="left"/>
        <w:rPr>
          <w:rFonts w:hint="eastAsia" w:ascii="宋体" w:hAnsi="宋体" w:eastAsia="宋体" w:cs="宋体"/>
          <w:b/>
          <w:bCs/>
          <w:color w:val="auto"/>
          <w:szCs w:val="21"/>
        </w:rPr>
      </w:pPr>
      <w:r>
        <w:rPr>
          <w:rFonts w:hint="eastAsia" w:ascii="宋体" w:hAnsi="宋体" w:eastAsia="宋体" w:cs="宋体"/>
          <w:b/>
          <w:bCs/>
          <w:color w:val="auto"/>
          <w:szCs w:val="21"/>
        </w:rPr>
        <w:t>注：定标委员须根据合格中标候选人的投标文件在定标因素结论中进行勾选，并按相应的定标因素填写评语。</w:t>
      </w:r>
    </w:p>
    <w:p w14:paraId="03182C6B">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定标委员签名：                                            日期：</w:t>
      </w:r>
    </w:p>
    <w:p w14:paraId="775D63A5">
      <w:pPr>
        <w:adjustRightInd w:val="0"/>
        <w:snapToGrid w:val="0"/>
        <w:spacing w:line="360" w:lineRule="auto"/>
        <w:ind w:firstLine="562" w:firstLineChars="200"/>
        <w:jc w:val="center"/>
        <w:rPr>
          <w:rFonts w:hint="eastAsia" w:ascii="宋体" w:hAnsi="宋体" w:eastAsia="宋体" w:cs="宋体"/>
          <w:b/>
          <w:color w:val="auto"/>
          <w:sz w:val="36"/>
          <w:szCs w:val="36"/>
        </w:rPr>
      </w:pPr>
      <w:r>
        <w:rPr>
          <w:rFonts w:hint="eastAsia" w:ascii="宋体" w:hAnsi="宋体" w:eastAsia="宋体" w:cs="宋体"/>
          <w:b/>
          <w:bCs/>
          <w:color w:val="auto"/>
          <w:kern w:val="0"/>
          <w:sz w:val="28"/>
          <w:szCs w:val="28"/>
        </w:rPr>
        <w:br w:type="page"/>
      </w:r>
      <w:r>
        <w:rPr>
          <w:rFonts w:hint="eastAsia" w:ascii="宋体" w:hAnsi="宋体" w:eastAsia="宋体" w:cs="宋体"/>
          <w:b/>
          <w:color w:val="auto"/>
          <w:sz w:val="36"/>
          <w:szCs w:val="36"/>
        </w:rPr>
        <w:t>直接票决定标选票表（定标阶段）</w:t>
      </w:r>
    </w:p>
    <w:p w14:paraId="76A2DCD8">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szCs w:val="21"/>
        </w:rPr>
        <w:t>项目</w:t>
      </w:r>
      <w:r>
        <w:rPr>
          <w:rFonts w:hint="eastAsia" w:ascii="宋体" w:hAnsi="宋体" w:eastAsia="宋体" w:cs="宋体"/>
          <w:color w:val="auto"/>
          <w:kern w:val="0"/>
        </w:rPr>
        <w:t>名称：</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4B6F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14:paraId="6DA4FB70">
            <w:pPr>
              <w:adjustRightInd w:val="0"/>
              <w:snapToGrid w:val="0"/>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支持的投标人名称</w:t>
            </w:r>
          </w:p>
        </w:tc>
        <w:tc>
          <w:tcPr>
            <w:tcW w:w="2990" w:type="dxa"/>
            <w:tcBorders>
              <w:top w:val="single" w:color="auto" w:sz="4" w:space="0"/>
              <w:left w:val="nil"/>
              <w:bottom w:val="single" w:color="auto" w:sz="4" w:space="0"/>
              <w:right w:val="single" w:color="auto" w:sz="4" w:space="0"/>
            </w:tcBorders>
            <w:vAlign w:val="center"/>
          </w:tcPr>
          <w:p w14:paraId="41AF5A71">
            <w:pPr>
              <w:adjustRightInd w:val="0"/>
              <w:snapToGrid w:val="0"/>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备注</w:t>
            </w:r>
          </w:p>
        </w:tc>
      </w:tr>
      <w:tr w14:paraId="401A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14:paraId="0F8C09E8">
            <w:pPr>
              <w:adjustRightInd w:val="0"/>
              <w:snapToGrid w:val="0"/>
              <w:spacing w:line="360" w:lineRule="auto"/>
              <w:jc w:val="center"/>
              <w:rPr>
                <w:rFonts w:hint="eastAsia" w:ascii="宋体" w:hAnsi="宋体" w:eastAsia="宋体" w:cs="宋体"/>
                <w:color w:val="auto"/>
                <w:kern w:val="0"/>
                <w:szCs w:val="21"/>
              </w:rPr>
            </w:pPr>
          </w:p>
        </w:tc>
        <w:tc>
          <w:tcPr>
            <w:tcW w:w="2990" w:type="dxa"/>
            <w:tcBorders>
              <w:top w:val="single" w:color="auto" w:sz="4" w:space="0"/>
              <w:left w:val="nil"/>
              <w:bottom w:val="single" w:color="auto" w:sz="4" w:space="0"/>
              <w:right w:val="single" w:color="auto" w:sz="4" w:space="0"/>
            </w:tcBorders>
            <w:vAlign w:val="center"/>
          </w:tcPr>
          <w:p w14:paraId="300293B4">
            <w:pPr>
              <w:adjustRightInd w:val="0"/>
              <w:snapToGrid w:val="0"/>
              <w:spacing w:line="360" w:lineRule="auto"/>
              <w:jc w:val="center"/>
              <w:rPr>
                <w:rFonts w:hint="eastAsia" w:ascii="宋体" w:hAnsi="宋体" w:eastAsia="宋体" w:cs="宋体"/>
                <w:color w:val="auto"/>
                <w:kern w:val="0"/>
                <w:szCs w:val="21"/>
              </w:rPr>
            </w:pPr>
          </w:p>
        </w:tc>
      </w:tr>
    </w:tbl>
    <w:p w14:paraId="156DAF97">
      <w:pPr>
        <w:pStyle w:val="139"/>
        <w:rPr>
          <w:rFonts w:hint="eastAsia" w:ascii="宋体" w:hAnsi="宋体" w:eastAsia="宋体" w:cs="宋体"/>
          <w:color w:val="auto"/>
          <w:kern w:val="0"/>
          <w:szCs w:val="21"/>
        </w:rPr>
      </w:pPr>
    </w:p>
    <w:p w14:paraId="1B6DF4D8">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定标委员签名：                                            日期：</w:t>
      </w:r>
    </w:p>
    <w:p w14:paraId="7A738EAE">
      <w:pPr>
        <w:adjustRightInd w:val="0"/>
        <w:snapToGrid w:val="0"/>
        <w:spacing w:line="360" w:lineRule="auto"/>
        <w:rPr>
          <w:rFonts w:hint="eastAsia" w:ascii="宋体" w:hAnsi="宋体" w:eastAsia="宋体" w:cs="宋体"/>
          <w:color w:val="auto"/>
          <w:kern w:val="0"/>
        </w:rPr>
      </w:pPr>
    </w:p>
    <w:p w14:paraId="206F6624">
      <w:pPr>
        <w:adjustRightInd w:val="0"/>
        <w:snapToGrid w:val="0"/>
        <w:spacing w:line="360" w:lineRule="auto"/>
        <w:rPr>
          <w:rFonts w:hint="eastAsia" w:ascii="宋体" w:hAnsi="宋体" w:eastAsia="宋体" w:cs="宋体"/>
          <w:b/>
          <w:color w:val="auto"/>
          <w:kern w:val="0"/>
        </w:rPr>
      </w:pPr>
      <w:r>
        <w:rPr>
          <w:rFonts w:hint="eastAsia" w:ascii="宋体" w:hAnsi="宋体" w:eastAsia="宋体" w:cs="宋体"/>
          <w:b/>
          <w:color w:val="auto"/>
          <w:kern w:val="0"/>
        </w:rPr>
        <w:t>注：由定标委员会成员进行投票，各定标委员会成员只能支持一家投标人。</w:t>
      </w:r>
    </w:p>
    <w:p w14:paraId="4D176BAB">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kern w:val="0"/>
        </w:rPr>
        <w:t xml:space="preserve"> </w:t>
      </w:r>
    </w:p>
    <w:p w14:paraId="11BD1732">
      <w:pPr>
        <w:pStyle w:val="139"/>
        <w:jc w:val="center"/>
        <w:rPr>
          <w:rFonts w:hint="eastAsia" w:ascii="宋体" w:hAnsi="宋体" w:eastAsia="宋体" w:cs="宋体"/>
          <w:b/>
          <w:color w:val="auto"/>
          <w:sz w:val="36"/>
          <w:szCs w:val="36"/>
        </w:rPr>
      </w:pPr>
      <w:r>
        <w:rPr>
          <w:rFonts w:hint="eastAsia" w:ascii="宋体" w:hAnsi="宋体" w:eastAsia="宋体" w:cs="宋体"/>
          <w:color w:val="auto"/>
        </w:rPr>
        <w:br w:type="page"/>
      </w:r>
      <w:r>
        <w:rPr>
          <w:rFonts w:hint="eastAsia" w:ascii="宋体" w:hAnsi="宋体" w:eastAsia="宋体" w:cs="宋体"/>
          <w:b/>
          <w:color w:val="auto"/>
          <w:sz w:val="36"/>
          <w:szCs w:val="36"/>
        </w:rPr>
        <w:t>直接票决定标选票汇总表（定标阶段）</w:t>
      </w:r>
    </w:p>
    <w:p w14:paraId="7F7CF3CA">
      <w:pPr>
        <w:pStyle w:val="139"/>
        <w:rPr>
          <w:rFonts w:hint="eastAsia" w:ascii="宋体" w:hAnsi="宋体" w:eastAsia="宋体" w:cs="宋体"/>
          <w:color w:val="auto"/>
        </w:rPr>
      </w:pPr>
    </w:p>
    <w:p w14:paraId="740D5B83">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szCs w:val="21"/>
        </w:rPr>
        <w:t>项目</w:t>
      </w:r>
      <w:r>
        <w:rPr>
          <w:rFonts w:hint="eastAsia" w:ascii="宋体" w:hAnsi="宋体" w:eastAsia="宋体" w:cs="宋体"/>
          <w:color w:val="auto"/>
          <w:kern w:val="0"/>
          <w:szCs w:val="21"/>
        </w:rPr>
        <w:t>名称：</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020"/>
        <w:gridCol w:w="3782"/>
      </w:tblGrid>
      <w:tr w14:paraId="781F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14:paraId="5E0DCB35">
            <w:pPr>
              <w:adjustRightInd w:val="0"/>
              <w:snapToGrid w:val="0"/>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序号</w:t>
            </w:r>
          </w:p>
        </w:tc>
        <w:tc>
          <w:tcPr>
            <w:tcW w:w="4131" w:type="dxa"/>
            <w:tcBorders>
              <w:top w:val="single" w:color="auto" w:sz="4" w:space="0"/>
              <w:left w:val="single" w:color="auto" w:sz="4" w:space="0"/>
              <w:bottom w:val="single" w:color="auto" w:sz="6" w:space="0"/>
              <w:right w:val="single" w:color="auto" w:sz="6" w:space="0"/>
            </w:tcBorders>
            <w:vAlign w:val="center"/>
          </w:tcPr>
          <w:p w14:paraId="0671EC5A">
            <w:pPr>
              <w:adjustRightInd w:val="0"/>
              <w:snapToGrid w:val="0"/>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投标人名称</w:t>
            </w:r>
          </w:p>
        </w:tc>
        <w:tc>
          <w:tcPr>
            <w:tcW w:w="3885" w:type="dxa"/>
            <w:tcBorders>
              <w:top w:val="single" w:color="auto" w:sz="4" w:space="0"/>
              <w:left w:val="single" w:color="auto" w:sz="6" w:space="0"/>
              <w:bottom w:val="single" w:color="auto" w:sz="6" w:space="0"/>
              <w:right w:val="single" w:color="auto" w:sz="6" w:space="0"/>
            </w:tcBorders>
            <w:vAlign w:val="center"/>
          </w:tcPr>
          <w:p w14:paraId="5D1ED733">
            <w:pPr>
              <w:adjustRightInd w:val="0"/>
              <w:snapToGrid w:val="0"/>
              <w:spacing w:line="36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得票数</w:t>
            </w:r>
          </w:p>
        </w:tc>
      </w:tr>
      <w:tr w14:paraId="1F82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14:paraId="62AABE14">
            <w:pPr>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4131" w:type="dxa"/>
            <w:tcBorders>
              <w:top w:val="single" w:color="auto" w:sz="6" w:space="0"/>
              <w:left w:val="single" w:color="auto" w:sz="4" w:space="0"/>
              <w:bottom w:val="single" w:color="auto" w:sz="6" w:space="0"/>
              <w:right w:val="single" w:color="auto" w:sz="6" w:space="0"/>
            </w:tcBorders>
            <w:vAlign w:val="center"/>
          </w:tcPr>
          <w:p w14:paraId="4ADDFC36">
            <w:pPr>
              <w:adjustRightInd w:val="0"/>
              <w:snapToGrid w:val="0"/>
              <w:spacing w:line="360" w:lineRule="auto"/>
              <w:jc w:val="center"/>
              <w:rPr>
                <w:rFonts w:hint="eastAsia" w:ascii="宋体" w:hAnsi="宋体" w:eastAsia="宋体" w:cs="宋体"/>
                <w:color w:val="auto"/>
                <w:kern w:val="0"/>
                <w:szCs w:val="21"/>
              </w:rPr>
            </w:pPr>
          </w:p>
        </w:tc>
        <w:tc>
          <w:tcPr>
            <w:tcW w:w="3885" w:type="dxa"/>
            <w:tcBorders>
              <w:top w:val="single" w:color="auto" w:sz="6" w:space="0"/>
              <w:left w:val="single" w:color="auto" w:sz="6" w:space="0"/>
              <w:bottom w:val="single" w:color="auto" w:sz="6" w:space="0"/>
              <w:right w:val="single" w:color="auto" w:sz="6" w:space="0"/>
            </w:tcBorders>
            <w:vAlign w:val="center"/>
          </w:tcPr>
          <w:p w14:paraId="7DB4EB98">
            <w:pPr>
              <w:adjustRightInd w:val="0"/>
              <w:snapToGrid w:val="0"/>
              <w:spacing w:line="360" w:lineRule="auto"/>
              <w:jc w:val="center"/>
              <w:rPr>
                <w:rFonts w:hint="eastAsia" w:ascii="宋体" w:hAnsi="宋体" w:eastAsia="宋体" w:cs="宋体"/>
                <w:color w:val="auto"/>
                <w:kern w:val="0"/>
                <w:szCs w:val="21"/>
              </w:rPr>
            </w:pPr>
          </w:p>
        </w:tc>
      </w:tr>
      <w:tr w14:paraId="27F9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14:paraId="194208BC">
            <w:pPr>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4131" w:type="dxa"/>
            <w:tcBorders>
              <w:top w:val="single" w:color="auto" w:sz="6" w:space="0"/>
              <w:left w:val="single" w:color="auto" w:sz="4" w:space="0"/>
              <w:bottom w:val="single" w:color="auto" w:sz="6" w:space="0"/>
              <w:right w:val="single" w:color="auto" w:sz="6" w:space="0"/>
            </w:tcBorders>
            <w:vAlign w:val="center"/>
          </w:tcPr>
          <w:p w14:paraId="2B2ED288">
            <w:pPr>
              <w:adjustRightInd w:val="0"/>
              <w:snapToGrid w:val="0"/>
              <w:spacing w:line="360" w:lineRule="auto"/>
              <w:jc w:val="center"/>
              <w:rPr>
                <w:rFonts w:hint="eastAsia" w:ascii="宋体" w:hAnsi="宋体" w:eastAsia="宋体" w:cs="宋体"/>
                <w:color w:val="auto"/>
                <w:kern w:val="0"/>
                <w:szCs w:val="21"/>
              </w:rPr>
            </w:pPr>
          </w:p>
        </w:tc>
        <w:tc>
          <w:tcPr>
            <w:tcW w:w="3885" w:type="dxa"/>
            <w:tcBorders>
              <w:top w:val="single" w:color="auto" w:sz="6" w:space="0"/>
              <w:left w:val="single" w:color="auto" w:sz="6" w:space="0"/>
              <w:bottom w:val="single" w:color="auto" w:sz="6" w:space="0"/>
              <w:right w:val="single" w:color="auto" w:sz="6" w:space="0"/>
            </w:tcBorders>
            <w:vAlign w:val="center"/>
          </w:tcPr>
          <w:p w14:paraId="53589250">
            <w:pPr>
              <w:adjustRightInd w:val="0"/>
              <w:snapToGrid w:val="0"/>
              <w:spacing w:line="360" w:lineRule="auto"/>
              <w:jc w:val="center"/>
              <w:rPr>
                <w:rFonts w:hint="eastAsia" w:ascii="宋体" w:hAnsi="宋体" w:eastAsia="宋体" w:cs="宋体"/>
                <w:color w:val="auto"/>
                <w:kern w:val="0"/>
                <w:szCs w:val="21"/>
              </w:rPr>
            </w:pPr>
          </w:p>
        </w:tc>
      </w:tr>
      <w:tr w14:paraId="1F83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14:paraId="71893FB7">
            <w:pPr>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4131" w:type="dxa"/>
            <w:tcBorders>
              <w:top w:val="single" w:color="auto" w:sz="6" w:space="0"/>
              <w:left w:val="single" w:color="auto" w:sz="4" w:space="0"/>
              <w:bottom w:val="single" w:color="auto" w:sz="6" w:space="0"/>
              <w:right w:val="single" w:color="auto" w:sz="6" w:space="0"/>
            </w:tcBorders>
            <w:vAlign w:val="center"/>
          </w:tcPr>
          <w:p w14:paraId="5BF32DD8">
            <w:pPr>
              <w:adjustRightInd w:val="0"/>
              <w:snapToGrid w:val="0"/>
              <w:spacing w:line="360" w:lineRule="auto"/>
              <w:jc w:val="center"/>
              <w:rPr>
                <w:rFonts w:hint="eastAsia" w:ascii="宋体" w:hAnsi="宋体" w:eastAsia="宋体" w:cs="宋体"/>
                <w:color w:val="auto"/>
                <w:kern w:val="0"/>
                <w:szCs w:val="21"/>
              </w:rPr>
            </w:pPr>
          </w:p>
        </w:tc>
        <w:tc>
          <w:tcPr>
            <w:tcW w:w="3885" w:type="dxa"/>
            <w:tcBorders>
              <w:top w:val="single" w:color="auto" w:sz="6" w:space="0"/>
              <w:left w:val="single" w:color="auto" w:sz="6" w:space="0"/>
              <w:bottom w:val="single" w:color="auto" w:sz="6" w:space="0"/>
              <w:right w:val="single" w:color="auto" w:sz="6" w:space="0"/>
            </w:tcBorders>
            <w:vAlign w:val="center"/>
          </w:tcPr>
          <w:p w14:paraId="290A0C65">
            <w:pPr>
              <w:adjustRightInd w:val="0"/>
              <w:snapToGrid w:val="0"/>
              <w:spacing w:line="360" w:lineRule="auto"/>
              <w:jc w:val="center"/>
              <w:rPr>
                <w:rFonts w:hint="eastAsia" w:ascii="宋体" w:hAnsi="宋体" w:eastAsia="宋体" w:cs="宋体"/>
                <w:color w:val="auto"/>
                <w:kern w:val="0"/>
                <w:szCs w:val="21"/>
              </w:rPr>
            </w:pPr>
          </w:p>
        </w:tc>
      </w:tr>
      <w:tr w14:paraId="16B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14:paraId="76ABB667">
            <w:pPr>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4131" w:type="dxa"/>
            <w:tcBorders>
              <w:top w:val="single" w:color="auto" w:sz="6" w:space="0"/>
              <w:left w:val="single" w:color="auto" w:sz="4" w:space="0"/>
              <w:bottom w:val="single" w:color="auto" w:sz="6" w:space="0"/>
              <w:right w:val="single" w:color="auto" w:sz="6" w:space="0"/>
            </w:tcBorders>
            <w:vAlign w:val="center"/>
          </w:tcPr>
          <w:p w14:paraId="76ED6F05">
            <w:pPr>
              <w:adjustRightInd w:val="0"/>
              <w:snapToGrid w:val="0"/>
              <w:spacing w:line="360" w:lineRule="auto"/>
              <w:jc w:val="center"/>
              <w:rPr>
                <w:rFonts w:hint="eastAsia" w:ascii="宋体" w:hAnsi="宋体" w:eastAsia="宋体" w:cs="宋体"/>
                <w:color w:val="auto"/>
                <w:kern w:val="0"/>
                <w:szCs w:val="21"/>
              </w:rPr>
            </w:pPr>
          </w:p>
        </w:tc>
        <w:tc>
          <w:tcPr>
            <w:tcW w:w="3885" w:type="dxa"/>
            <w:tcBorders>
              <w:top w:val="single" w:color="auto" w:sz="6" w:space="0"/>
              <w:left w:val="single" w:color="auto" w:sz="6" w:space="0"/>
              <w:bottom w:val="single" w:color="auto" w:sz="6" w:space="0"/>
              <w:right w:val="single" w:color="auto" w:sz="6" w:space="0"/>
            </w:tcBorders>
            <w:vAlign w:val="center"/>
          </w:tcPr>
          <w:p w14:paraId="7FA50EF9">
            <w:pPr>
              <w:adjustRightInd w:val="0"/>
              <w:snapToGrid w:val="0"/>
              <w:spacing w:line="360" w:lineRule="auto"/>
              <w:jc w:val="center"/>
              <w:rPr>
                <w:rFonts w:hint="eastAsia" w:ascii="宋体" w:hAnsi="宋体" w:eastAsia="宋体" w:cs="宋体"/>
                <w:color w:val="auto"/>
                <w:kern w:val="0"/>
                <w:szCs w:val="21"/>
              </w:rPr>
            </w:pPr>
          </w:p>
        </w:tc>
      </w:tr>
      <w:tr w14:paraId="3B69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14:paraId="288C74F1">
            <w:pPr>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c>
          <w:tcPr>
            <w:tcW w:w="4131" w:type="dxa"/>
            <w:tcBorders>
              <w:top w:val="single" w:color="auto" w:sz="6" w:space="0"/>
              <w:left w:val="single" w:color="auto" w:sz="4" w:space="0"/>
              <w:bottom w:val="single" w:color="auto" w:sz="4" w:space="0"/>
              <w:right w:val="single" w:color="auto" w:sz="6" w:space="0"/>
            </w:tcBorders>
            <w:vAlign w:val="center"/>
          </w:tcPr>
          <w:p w14:paraId="101805EB">
            <w:pPr>
              <w:adjustRightInd w:val="0"/>
              <w:snapToGrid w:val="0"/>
              <w:spacing w:line="360" w:lineRule="auto"/>
              <w:jc w:val="center"/>
              <w:rPr>
                <w:rFonts w:hint="eastAsia" w:ascii="宋体" w:hAnsi="宋体" w:eastAsia="宋体" w:cs="宋体"/>
                <w:color w:val="auto"/>
                <w:kern w:val="0"/>
                <w:szCs w:val="21"/>
              </w:rPr>
            </w:pPr>
          </w:p>
        </w:tc>
        <w:tc>
          <w:tcPr>
            <w:tcW w:w="3885" w:type="dxa"/>
            <w:tcBorders>
              <w:top w:val="single" w:color="auto" w:sz="6" w:space="0"/>
              <w:left w:val="single" w:color="auto" w:sz="6" w:space="0"/>
              <w:bottom w:val="single" w:color="auto" w:sz="4" w:space="0"/>
              <w:right w:val="single" w:color="auto" w:sz="6" w:space="0"/>
            </w:tcBorders>
            <w:vAlign w:val="center"/>
          </w:tcPr>
          <w:p w14:paraId="5C892C77">
            <w:pPr>
              <w:adjustRightInd w:val="0"/>
              <w:snapToGrid w:val="0"/>
              <w:spacing w:line="360" w:lineRule="auto"/>
              <w:jc w:val="center"/>
              <w:rPr>
                <w:rFonts w:hint="eastAsia" w:ascii="宋体" w:hAnsi="宋体" w:eastAsia="宋体" w:cs="宋体"/>
                <w:color w:val="auto"/>
                <w:kern w:val="0"/>
                <w:szCs w:val="21"/>
              </w:rPr>
            </w:pPr>
          </w:p>
        </w:tc>
      </w:tr>
    </w:tbl>
    <w:p w14:paraId="782DB38C">
      <w:pPr>
        <w:rPr>
          <w:rFonts w:hint="eastAsia" w:ascii="宋体" w:hAnsi="宋体" w:eastAsia="宋体" w:cs="宋体"/>
          <w:color w:val="auto"/>
          <w:kern w:val="0"/>
          <w:szCs w:val="21"/>
        </w:rPr>
      </w:pPr>
    </w:p>
    <w:p w14:paraId="5B6CC498">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定标委员签名：                                         日期：</w:t>
      </w:r>
    </w:p>
    <w:p w14:paraId="69C3E1F7">
      <w:pPr>
        <w:pStyle w:val="139"/>
        <w:rPr>
          <w:rFonts w:hint="eastAsia" w:ascii="宋体" w:hAnsi="宋体" w:eastAsia="宋体" w:cs="宋体"/>
          <w:color w:val="auto"/>
        </w:rPr>
      </w:pPr>
    </w:p>
    <w:p w14:paraId="4FC94D66">
      <w:pPr>
        <w:pStyle w:val="139"/>
        <w:jc w:val="center"/>
        <w:rPr>
          <w:rFonts w:hint="eastAsia" w:ascii="宋体" w:hAnsi="宋体" w:eastAsia="宋体" w:cs="宋体"/>
          <w:b/>
          <w:color w:val="auto"/>
          <w:sz w:val="36"/>
          <w:szCs w:val="36"/>
        </w:rPr>
      </w:pPr>
      <w:r>
        <w:rPr>
          <w:rFonts w:hint="eastAsia" w:ascii="宋体" w:hAnsi="宋体" w:eastAsia="宋体" w:cs="宋体"/>
          <w:color w:val="auto"/>
        </w:rPr>
        <w:br w:type="page"/>
      </w:r>
      <w:r>
        <w:rPr>
          <w:rFonts w:hint="eastAsia" w:ascii="宋体" w:hAnsi="宋体" w:eastAsia="宋体" w:cs="宋体"/>
          <w:b/>
          <w:color w:val="auto"/>
          <w:sz w:val="36"/>
          <w:szCs w:val="36"/>
        </w:rPr>
        <w:t>附加直接票决定标选票表</w:t>
      </w:r>
    </w:p>
    <w:p w14:paraId="311C814D">
      <w:pPr>
        <w:pStyle w:val="139"/>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（定标阶段-票数相同时定标委员会个人用表）</w:t>
      </w:r>
    </w:p>
    <w:p w14:paraId="79C4D98C">
      <w:pPr>
        <w:pStyle w:val="139"/>
        <w:jc w:val="center"/>
        <w:rPr>
          <w:rFonts w:hint="eastAsia" w:ascii="宋体" w:hAnsi="宋体" w:eastAsia="宋体" w:cs="宋体"/>
          <w:b/>
          <w:color w:val="auto"/>
          <w:sz w:val="28"/>
          <w:szCs w:val="28"/>
        </w:rPr>
      </w:pPr>
    </w:p>
    <w:p w14:paraId="04220A60">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szCs w:val="21"/>
        </w:rPr>
        <w:t>项目</w:t>
      </w:r>
      <w:r>
        <w:rPr>
          <w:rFonts w:hint="eastAsia" w:ascii="宋体" w:hAnsi="宋体" w:eastAsia="宋体" w:cs="宋体"/>
          <w:color w:val="auto"/>
          <w:kern w:val="0"/>
        </w:rPr>
        <w:t>名称：</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640A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46619033">
            <w:pPr>
              <w:spacing w:line="600" w:lineRule="exact"/>
              <w:jc w:val="center"/>
              <w:rPr>
                <w:rFonts w:hint="eastAsia" w:ascii="宋体" w:hAnsi="宋体" w:eastAsia="宋体" w:cs="宋体"/>
                <w:b/>
                <w:bCs/>
                <w:color w:val="auto"/>
                <w:kern w:val="0"/>
              </w:rPr>
            </w:pPr>
            <w:r>
              <w:rPr>
                <w:rFonts w:hint="eastAsia" w:ascii="宋体" w:hAnsi="宋体" w:eastAsia="宋体" w:cs="宋体"/>
                <w:b/>
                <w:bCs/>
                <w:color w:val="auto"/>
                <w:kern w:val="0"/>
              </w:rPr>
              <w:t>投标人名称</w:t>
            </w:r>
          </w:p>
        </w:tc>
        <w:tc>
          <w:tcPr>
            <w:tcW w:w="1930" w:type="dxa"/>
            <w:tcBorders>
              <w:top w:val="single" w:color="auto" w:sz="4" w:space="0"/>
              <w:left w:val="single" w:color="auto" w:sz="4" w:space="0"/>
              <w:bottom w:val="single" w:color="auto" w:sz="4" w:space="0"/>
              <w:right w:val="single" w:color="auto" w:sz="4" w:space="0"/>
            </w:tcBorders>
            <w:vAlign w:val="center"/>
          </w:tcPr>
          <w:p w14:paraId="4A565F8A">
            <w:pPr>
              <w:spacing w:line="600" w:lineRule="exact"/>
              <w:jc w:val="center"/>
              <w:rPr>
                <w:rFonts w:hint="eastAsia" w:ascii="宋体" w:hAnsi="宋体" w:eastAsia="宋体" w:cs="宋体"/>
                <w:color w:val="auto"/>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684A95D0">
            <w:pPr>
              <w:spacing w:line="600" w:lineRule="exact"/>
              <w:jc w:val="center"/>
              <w:rPr>
                <w:rFonts w:hint="eastAsia" w:ascii="宋体" w:hAnsi="宋体" w:eastAsia="宋体" w:cs="宋体"/>
                <w:color w:val="auto"/>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1E793A4F">
            <w:pPr>
              <w:spacing w:line="600" w:lineRule="exact"/>
              <w:jc w:val="center"/>
              <w:rPr>
                <w:rFonts w:hint="eastAsia" w:ascii="宋体" w:hAnsi="宋体" w:eastAsia="宋体" w:cs="宋体"/>
                <w:color w:val="auto"/>
                <w:kern w:val="0"/>
              </w:rPr>
            </w:pPr>
          </w:p>
        </w:tc>
      </w:tr>
      <w:tr w14:paraId="4694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265E8073">
            <w:pPr>
              <w:spacing w:line="600" w:lineRule="exact"/>
              <w:jc w:val="center"/>
              <w:rPr>
                <w:rFonts w:hint="eastAsia" w:ascii="宋体" w:hAnsi="宋体" w:eastAsia="宋体" w:cs="宋体"/>
                <w:b/>
                <w:bCs/>
                <w:color w:val="auto"/>
                <w:kern w:val="0"/>
                <w:szCs w:val="21"/>
              </w:rPr>
            </w:pPr>
            <w:r>
              <w:rPr>
                <w:rFonts w:hint="eastAsia" w:ascii="宋体" w:hAnsi="宋体" w:eastAsia="宋体" w:cs="宋体"/>
                <w:b/>
                <w:bCs/>
                <w:color w:val="auto"/>
                <w:kern w:val="0"/>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06E97E0F">
            <w:pPr>
              <w:spacing w:line="600" w:lineRule="exact"/>
              <w:jc w:val="center"/>
              <w:rPr>
                <w:rFonts w:hint="eastAsia" w:ascii="宋体" w:hAnsi="宋体" w:eastAsia="宋体" w:cs="宋体"/>
                <w:color w:val="auto"/>
                <w:kern w:val="0"/>
                <w:szCs w:val="21"/>
              </w:rPr>
            </w:pPr>
          </w:p>
        </w:tc>
        <w:tc>
          <w:tcPr>
            <w:tcW w:w="2206" w:type="dxa"/>
            <w:tcBorders>
              <w:top w:val="single" w:color="auto" w:sz="4" w:space="0"/>
              <w:left w:val="single" w:color="auto" w:sz="4" w:space="0"/>
              <w:bottom w:val="single" w:color="auto" w:sz="4" w:space="0"/>
              <w:right w:val="single" w:color="auto" w:sz="4" w:space="0"/>
            </w:tcBorders>
            <w:vAlign w:val="center"/>
          </w:tcPr>
          <w:p w14:paraId="3A1F3D22">
            <w:pPr>
              <w:spacing w:line="600" w:lineRule="exact"/>
              <w:jc w:val="center"/>
              <w:rPr>
                <w:rFonts w:hint="eastAsia" w:ascii="宋体" w:hAnsi="宋体" w:eastAsia="宋体" w:cs="宋体"/>
                <w:color w:val="auto"/>
                <w:kern w:val="0"/>
              </w:rPr>
            </w:pPr>
          </w:p>
        </w:tc>
        <w:tc>
          <w:tcPr>
            <w:tcW w:w="2206" w:type="dxa"/>
            <w:tcBorders>
              <w:top w:val="single" w:color="auto" w:sz="4" w:space="0"/>
              <w:left w:val="single" w:color="auto" w:sz="4" w:space="0"/>
              <w:bottom w:val="single" w:color="auto" w:sz="4" w:space="0"/>
              <w:right w:val="single" w:color="auto" w:sz="4" w:space="0"/>
            </w:tcBorders>
            <w:vAlign w:val="center"/>
          </w:tcPr>
          <w:p w14:paraId="6ED06E23">
            <w:pPr>
              <w:spacing w:line="600" w:lineRule="exact"/>
              <w:jc w:val="center"/>
              <w:rPr>
                <w:rFonts w:hint="eastAsia" w:ascii="宋体" w:hAnsi="宋体" w:eastAsia="宋体" w:cs="宋体"/>
                <w:color w:val="auto"/>
                <w:kern w:val="0"/>
              </w:rPr>
            </w:pPr>
          </w:p>
        </w:tc>
      </w:tr>
    </w:tbl>
    <w:p w14:paraId="088A98AD">
      <w:pPr>
        <w:pStyle w:val="139"/>
        <w:rPr>
          <w:rFonts w:hint="eastAsia" w:ascii="宋体" w:hAnsi="宋体" w:eastAsia="宋体" w:cs="宋体"/>
          <w:color w:val="auto"/>
          <w:kern w:val="0"/>
          <w:szCs w:val="21"/>
        </w:rPr>
      </w:pPr>
    </w:p>
    <w:p w14:paraId="0866DA25">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定标委员签名：                                            日期：</w:t>
      </w:r>
    </w:p>
    <w:p w14:paraId="26CFB9CD">
      <w:pPr>
        <w:pStyle w:val="139"/>
        <w:rPr>
          <w:rFonts w:hint="eastAsia" w:ascii="宋体" w:hAnsi="宋体" w:eastAsia="宋体" w:cs="宋体"/>
          <w:color w:val="auto"/>
        </w:rPr>
      </w:pPr>
    </w:p>
    <w:p w14:paraId="6B176475">
      <w:pPr>
        <w:pStyle w:val="139"/>
        <w:rPr>
          <w:rFonts w:hint="eastAsia" w:ascii="宋体" w:hAnsi="宋体" w:eastAsia="宋体" w:cs="宋体"/>
          <w:b/>
          <w:color w:val="auto"/>
        </w:rPr>
      </w:pPr>
      <w:r>
        <w:rPr>
          <w:rFonts w:hint="eastAsia" w:ascii="宋体" w:hAnsi="宋体" w:eastAsia="宋体" w:cs="宋体"/>
          <w:b/>
          <w:color w:val="auto"/>
        </w:rPr>
        <w:t>备注：</w:t>
      </w:r>
    </w:p>
    <w:p w14:paraId="3A3C8751">
      <w:pPr>
        <w:pStyle w:val="139"/>
        <w:ind w:firstLine="422" w:firstLineChars="200"/>
        <w:rPr>
          <w:rFonts w:hint="eastAsia" w:ascii="宋体" w:hAnsi="宋体" w:eastAsia="宋体" w:cs="宋体"/>
          <w:b/>
          <w:color w:val="auto"/>
        </w:rPr>
      </w:pPr>
      <w:r>
        <w:rPr>
          <w:rFonts w:hint="eastAsia" w:ascii="宋体" w:hAnsi="宋体" w:eastAsia="宋体" w:cs="宋体"/>
          <w:b/>
          <w:color w:val="auto"/>
        </w:rPr>
        <w:t>1、本表用于投票出现票数相同的情况。</w:t>
      </w:r>
    </w:p>
    <w:p w14:paraId="4A86E399">
      <w:pPr>
        <w:pStyle w:val="139"/>
        <w:ind w:firstLine="422" w:firstLineChars="200"/>
        <w:rPr>
          <w:rFonts w:hint="eastAsia" w:ascii="宋体" w:hAnsi="宋体" w:eastAsia="宋体" w:cs="宋体"/>
          <w:b/>
          <w:color w:val="auto"/>
        </w:rPr>
      </w:pPr>
      <w:r>
        <w:rPr>
          <w:rFonts w:hint="eastAsia" w:ascii="宋体" w:hAnsi="宋体" w:eastAsia="宋体" w:cs="宋体"/>
          <w:b/>
          <w:color w:val="auto"/>
        </w:rPr>
        <w:t>2、由定标委员会成员进行附加投票，票决意见分别为“投票”或“不投票”，各定标委员会成员只有1票表决权（即只能对其中一名投标人“投票”），票决意见为“投票”的，用“○”表示；票决意见为“不投票”，用“×”表示。</w:t>
      </w:r>
    </w:p>
    <w:p w14:paraId="5B75A84C">
      <w:pPr>
        <w:pStyle w:val="139"/>
        <w:jc w:val="center"/>
        <w:rPr>
          <w:rFonts w:hint="eastAsia" w:ascii="宋体" w:hAnsi="宋体" w:eastAsia="宋体" w:cs="宋体"/>
          <w:b/>
          <w:color w:val="auto"/>
          <w:sz w:val="36"/>
          <w:szCs w:val="36"/>
        </w:rPr>
      </w:pPr>
      <w:r>
        <w:rPr>
          <w:rFonts w:hint="eastAsia" w:ascii="宋体" w:hAnsi="宋体" w:eastAsia="宋体" w:cs="宋体"/>
          <w:color w:val="auto"/>
        </w:rPr>
        <w:br w:type="page"/>
      </w:r>
      <w:r>
        <w:rPr>
          <w:rFonts w:hint="eastAsia" w:ascii="宋体" w:hAnsi="宋体" w:eastAsia="宋体" w:cs="宋体"/>
          <w:b/>
          <w:color w:val="auto"/>
          <w:sz w:val="36"/>
          <w:szCs w:val="36"/>
        </w:rPr>
        <w:t>附加直接票决定标选票汇总表</w:t>
      </w:r>
    </w:p>
    <w:p w14:paraId="2C289F40">
      <w:pPr>
        <w:pStyle w:val="139"/>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（定标阶段-票数相同时定标委员会汇总用表）</w:t>
      </w:r>
    </w:p>
    <w:p w14:paraId="57500514">
      <w:pPr>
        <w:pStyle w:val="139"/>
        <w:jc w:val="center"/>
        <w:rPr>
          <w:rFonts w:hint="eastAsia" w:ascii="宋体" w:hAnsi="宋体" w:eastAsia="宋体" w:cs="宋体"/>
          <w:b/>
          <w:color w:val="auto"/>
          <w:sz w:val="28"/>
          <w:szCs w:val="28"/>
        </w:rPr>
      </w:pPr>
    </w:p>
    <w:p w14:paraId="4A7E18F8">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szCs w:val="21"/>
        </w:rPr>
        <w:t>项目</w:t>
      </w:r>
      <w:r>
        <w:rPr>
          <w:rFonts w:hint="eastAsia" w:ascii="宋体" w:hAnsi="宋体" w:eastAsia="宋体" w:cs="宋体"/>
          <w:color w:val="auto"/>
          <w:kern w:val="0"/>
        </w:rPr>
        <w:t>名称：</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5098"/>
        <w:gridCol w:w="2224"/>
      </w:tblGrid>
      <w:tr w14:paraId="78D9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63" w:type="dxa"/>
            <w:tcBorders>
              <w:top w:val="single" w:color="auto" w:sz="4" w:space="0"/>
              <w:left w:val="single" w:color="auto" w:sz="4" w:space="0"/>
              <w:bottom w:val="single" w:color="auto" w:sz="4" w:space="0"/>
              <w:right w:val="single" w:color="auto" w:sz="4" w:space="0"/>
            </w:tcBorders>
            <w:vAlign w:val="center"/>
          </w:tcPr>
          <w:p w14:paraId="2ED5E85E">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5243" w:type="dxa"/>
            <w:tcBorders>
              <w:top w:val="single" w:color="auto" w:sz="4" w:space="0"/>
              <w:left w:val="single" w:color="auto" w:sz="4" w:space="0"/>
              <w:bottom w:val="single" w:color="auto" w:sz="4" w:space="0"/>
              <w:right w:val="single" w:color="auto" w:sz="4" w:space="0"/>
            </w:tcBorders>
            <w:vAlign w:val="center"/>
          </w:tcPr>
          <w:p w14:paraId="05585558">
            <w:pPr>
              <w:jc w:val="center"/>
              <w:rPr>
                <w:rFonts w:hint="eastAsia" w:ascii="宋体" w:hAnsi="宋体" w:eastAsia="宋体" w:cs="宋体"/>
                <w:b/>
                <w:bCs/>
                <w:color w:val="auto"/>
                <w:sz w:val="24"/>
              </w:rPr>
            </w:pPr>
            <w:r>
              <w:rPr>
                <w:rFonts w:hint="eastAsia" w:ascii="宋体" w:hAnsi="宋体" w:eastAsia="宋体" w:cs="宋体"/>
                <w:b/>
                <w:bCs/>
                <w:color w:val="auto"/>
                <w:sz w:val="24"/>
              </w:rPr>
              <w:t>投标人名称</w:t>
            </w:r>
          </w:p>
        </w:tc>
        <w:tc>
          <w:tcPr>
            <w:tcW w:w="2280" w:type="dxa"/>
            <w:tcBorders>
              <w:top w:val="single" w:color="auto" w:sz="4" w:space="0"/>
              <w:left w:val="single" w:color="auto" w:sz="4" w:space="0"/>
              <w:bottom w:val="single" w:color="auto" w:sz="4" w:space="0"/>
              <w:right w:val="single" w:color="auto" w:sz="4" w:space="0"/>
            </w:tcBorders>
            <w:vAlign w:val="center"/>
          </w:tcPr>
          <w:p w14:paraId="2E71978D">
            <w:pPr>
              <w:jc w:val="center"/>
              <w:rPr>
                <w:rFonts w:hint="eastAsia" w:ascii="宋体" w:hAnsi="宋体" w:eastAsia="宋体" w:cs="宋体"/>
                <w:b/>
                <w:bCs/>
                <w:color w:val="auto"/>
                <w:szCs w:val="21"/>
              </w:rPr>
            </w:pPr>
            <w:r>
              <w:rPr>
                <w:rFonts w:hint="eastAsia" w:ascii="宋体" w:hAnsi="宋体" w:eastAsia="宋体" w:cs="宋体"/>
                <w:b/>
                <w:bCs/>
                <w:color w:val="auto"/>
                <w:szCs w:val="21"/>
              </w:rPr>
              <w:t>得票数</w:t>
            </w:r>
          </w:p>
        </w:tc>
      </w:tr>
      <w:tr w14:paraId="0512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14:paraId="11FB8FAD">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5243" w:type="dxa"/>
            <w:tcBorders>
              <w:top w:val="single" w:color="auto" w:sz="4" w:space="0"/>
              <w:left w:val="single" w:color="auto" w:sz="4" w:space="0"/>
              <w:bottom w:val="single" w:color="auto" w:sz="4" w:space="0"/>
              <w:right w:val="single" w:color="auto" w:sz="4" w:space="0"/>
            </w:tcBorders>
            <w:vAlign w:val="center"/>
          </w:tcPr>
          <w:p w14:paraId="588C4C6F">
            <w:pPr>
              <w:jc w:val="center"/>
              <w:rPr>
                <w:rFonts w:hint="eastAsia" w:ascii="宋体" w:hAnsi="宋体" w:eastAsia="宋体" w:cs="宋体"/>
                <w:color w:val="auto"/>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67F7723C">
            <w:pPr>
              <w:jc w:val="center"/>
              <w:rPr>
                <w:rFonts w:hint="eastAsia" w:ascii="宋体" w:hAnsi="宋体" w:eastAsia="宋体" w:cs="宋体"/>
                <w:color w:val="auto"/>
                <w:sz w:val="24"/>
              </w:rPr>
            </w:pPr>
          </w:p>
        </w:tc>
      </w:tr>
      <w:tr w14:paraId="5B89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14:paraId="03365BBE">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5243" w:type="dxa"/>
            <w:tcBorders>
              <w:top w:val="single" w:color="auto" w:sz="4" w:space="0"/>
              <w:left w:val="single" w:color="auto" w:sz="4" w:space="0"/>
              <w:bottom w:val="single" w:color="auto" w:sz="4" w:space="0"/>
              <w:right w:val="single" w:color="auto" w:sz="4" w:space="0"/>
            </w:tcBorders>
            <w:vAlign w:val="center"/>
          </w:tcPr>
          <w:p w14:paraId="4D1E6F87">
            <w:pPr>
              <w:jc w:val="center"/>
              <w:rPr>
                <w:rFonts w:hint="eastAsia" w:ascii="宋体" w:hAnsi="宋体" w:eastAsia="宋体" w:cs="宋体"/>
                <w:color w:val="auto"/>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319845B7">
            <w:pPr>
              <w:jc w:val="center"/>
              <w:rPr>
                <w:rFonts w:hint="eastAsia" w:ascii="宋体" w:hAnsi="宋体" w:eastAsia="宋体" w:cs="宋体"/>
                <w:color w:val="auto"/>
                <w:sz w:val="24"/>
              </w:rPr>
            </w:pPr>
          </w:p>
        </w:tc>
      </w:tr>
      <w:tr w14:paraId="7DF0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14:paraId="6771C14E">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5243" w:type="dxa"/>
            <w:tcBorders>
              <w:top w:val="single" w:color="auto" w:sz="4" w:space="0"/>
              <w:left w:val="single" w:color="auto" w:sz="4" w:space="0"/>
              <w:bottom w:val="single" w:color="auto" w:sz="4" w:space="0"/>
              <w:right w:val="single" w:color="auto" w:sz="4" w:space="0"/>
            </w:tcBorders>
            <w:vAlign w:val="center"/>
          </w:tcPr>
          <w:p w14:paraId="750CEF37">
            <w:pPr>
              <w:jc w:val="center"/>
              <w:rPr>
                <w:rFonts w:hint="eastAsia" w:ascii="宋体" w:hAnsi="宋体" w:eastAsia="宋体" w:cs="宋体"/>
                <w:color w:val="auto"/>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532E1EEA">
            <w:pPr>
              <w:jc w:val="center"/>
              <w:rPr>
                <w:rFonts w:hint="eastAsia" w:ascii="宋体" w:hAnsi="宋体" w:eastAsia="宋体" w:cs="宋体"/>
                <w:color w:val="auto"/>
                <w:sz w:val="24"/>
              </w:rPr>
            </w:pPr>
          </w:p>
        </w:tc>
      </w:tr>
      <w:tr w14:paraId="5118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14:paraId="7CEA77BD">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5243" w:type="dxa"/>
            <w:tcBorders>
              <w:top w:val="single" w:color="auto" w:sz="4" w:space="0"/>
              <w:left w:val="single" w:color="auto" w:sz="4" w:space="0"/>
              <w:bottom w:val="single" w:color="auto" w:sz="4" w:space="0"/>
              <w:right w:val="single" w:color="auto" w:sz="4" w:space="0"/>
            </w:tcBorders>
            <w:vAlign w:val="center"/>
          </w:tcPr>
          <w:p w14:paraId="514CF844">
            <w:pPr>
              <w:jc w:val="center"/>
              <w:rPr>
                <w:rFonts w:hint="eastAsia" w:ascii="宋体" w:hAnsi="宋体" w:eastAsia="宋体" w:cs="宋体"/>
                <w:color w:val="auto"/>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6FA4AAFE">
            <w:pPr>
              <w:jc w:val="center"/>
              <w:rPr>
                <w:rFonts w:hint="eastAsia" w:ascii="宋体" w:hAnsi="宋体" w:eastAsia="宋体" w:cs="宋体"/>
                <w:color w:val="auto"/>
                <w:sz w:val="24"/>
              </w:rPr>
            </w:pPr>
          </w:p>
        </w:tc>
      </w:tr>
      <w:tr w14:paraId="0809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14:paraId="48317682">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243" w:type="dxa"/>
            <w:tcBorders>
              <w:top w:val="single" w:color="auto" w:sz="4" w:space="0"/>
              <w:left w:val="single" w:color="auto" w:sz="4" w:space="0"/>
              <w:bottom w:val="single" w:color="auto" w:sz="4" w:space="0"/>
              <w:right w:val="single" w:color="auto" w:sz="4" w:space="0"/>
            </w:tcBorders>
            <w:vAlign w:val="center"/>
          </w:tcPr>
          <w:p w14:paraId="4BDF9BDD">
            <w:pPr>
              <w:jc w:val="center"/>
              <w:rPr>
                <w:rFonts w:hint="eastAsia" w:ascii="宋体" w:hAnsi="宋体" w:eastAsia="宋体" w:cs="宋体"/>
                <w:color w:val="auto"/>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52337BD4">
            <w:pPr>
              <w:jc w:val="center"/>
              <w:rPr>
                <w:rFonts w:hint="eastAsia" w:ascii="宋体" w:hAnsi="宋体" w:eastAsia="宋体" w:cs="宋体"/>
                <w:color w:val="auto"/>
                <w:sz w:val="24"/>
              </w:rPr>
            </w:pPr>
          </w:p>
        </w:tc>
      </w:tr>
    </w:tbl>
    <w:p w14:paraId="6DA23C1B">
      <w:pPr>
        <w:pStyle w:val="139"/>
        <w:rPr>
          <w:rFonts w:hint="eastAsia" w:ascii="宋体" w:hAnsi="宋体" w:eastAsia="宋体" w:cs="宋体"/>
          <w:color w:val="auto"/>
          <w:kern w:val="0"/>
          <w:szCs w:val="21"/>
        </w:rPr>
      </w:pPr>
    </w:p>
    <w:p w14:paraId="305BD1AC">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定标委员签名：                                            日期：</w:t>
      </w:r>
    </w:p>
    <w:p w14:paraId="0D38E897">
      <w:pPr>
        <w:pStyle w:val="139"/>
        <w:rPr>
          <w:rFonts w:hint="eastAsia" w:ascii="宋体" w:hAnsi="宋体" w:eastAsia="宋体" w:cs="宋体"/>
          <w:color w:val="auto"/>
        </w:rPr>
      </w:pPr>
    </w:p>
    <w:p w14:paraId="3CC4AF30">
      <w:pPr>
        <w:adjustRightInd w:val="0"/>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直接票决定标情况汇总表（定标阶段）</w:t>
      </w:r>
    </w:p>
    <w:p w14:paraId="4E58F98A">
      <w:pPr>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szCs w:val="21"/>
        </w:rPr>
        <w:t>项目</w:t>
      </w:r>
      <w:r>
        <w:rPr>
          <w:rFonts w:hint="eastAsia" w:ascii="宋体" w:hAnsi="宋体" w:eastAsia="宋体" w:cs="宋体"/>
          <w:color w:val="auto"/>
          <w:kern w:val="0"/>
        </w:rPr>
        <w:t>名称：</w:t>
      </w:r>
    </w:p>
    <w:tbl>
      <w:tblPr>
        <w:tblStyle w:val="46"/>
        <w:tblW w:w="46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3432"/>
        <w:gridCol w:w="1763"/>
        <w:gridCol w:w="2200"/>
      </w:tblGrid>
      <w:tr w14:paraId="5CC1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6" w:type="pct"/>
            <w:tcBorders>
              <w:top w:val="single" w:color="auto" w:sz="4" w:space="0"/>
              <w:left w:val="single" w:color="auto" w:sz="4" w:space="0"/>
              <w:bottom w:val="single" w:color="auto" w:sz="4" w:space="0"/>
              <w:right w:val="single" w:color="auto" w:sz="4" w:space="0"/>
            </w:tcBorders>
            <w:vAlign w:val="center"/>
          </w:tcPr>
          <w:p w14:paraId="1711FC9B">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048" w:type="pct"/>
            <w:tcBorders>
              <w:top w:val="single" w:color="auto" w:sz="4" w:space="0"/>
              <w:left w:val="nil"/>
              <w:bottom w:val="single" w:color="auto" w:sz="4" w:space="0"/>
              <w:right w:val="single" w:color="auto" w:sz="4" w:space="0"/>
            </w:tcBorders>
            <w:vAlign w:val="center"/>
          </w:tcPr>
          <w:p w14:paraId="6AA0B1B5">
            <w:pPr>
              <w:jc w:val="center"/>
              <w:rPr>
                <w:rFonts w:hint="eastAsia" w:ascii="宋体" w:hAnsi="宋体" w:eastAsia="宋体" w:cs="宋体"/>
                <w:b/>
                <w:color w:val="auto"/>
                <w:szCs w:val="21"/>
              </w:rPr>
            </w:pPr>
            <w:r>
              <w:rPr>
                <w:rFonts w:hint="eastAsia" w:ascii="宋体" w:hAnsi="宋体" w:eastAsia="宋体" w:cs="宋体"/>
                <w:b/>
                <w:color w:val="auto"/>
                <w:szCs w:val="21"/>
              </w:rPr>
              <w:t>投标人名称</w:t>
            </w:r>
          </w:p>
        </w:tc>
        <w:tc>
          <w:tcPr>
            <w:tcW w:w="1052" w:type="pct"/>
            <w:tcBorders>
              <w:top w:val="single" w:color="auto" w:sz="4" w:space="0"/>
              <w:left w:val="nil"/>
              <w:bottom w:val="single" w:color="auto" w:sz="4" w:space="0"/>
              <w:right w:val="single" w:color="auto" w:sz="4" w:space="0"/>
            </w:tcBorders>
            <w:vAlign w:val="center"/>
          </w:tcPr>
          <w:p w14:paraId="535F7FD7">
            <w:pPr>
              <w:jc w:val="center"/>
              <w:rPr>
                <w:rFonts w:hint="eastAsia" w:ascii="宋体" w:hAnsi="宋体" w:eastAsia="宋体" w:cs="宋体"/>
                <w:b/>
                <w:color w:val="auto"/>
                <w:szCs w:val="21"/>
              </w:rPr>
            </w:pPr>
            <w:r>
              <w:rPr>
                <w:rFonts w:hint="eastAsia" w:ascii="宋体" w:hAnsi="宋体" w:eastAsia="宋体" w:cs="宋体"/>
                <w:b/>
                <w:color w:val="auto"/>
                <w:szCs w:val="21"/>
              </w:rPr>
              <w:t>得票数</w:t>
            </w:r>
          </w:p>
        </w:tc>
        <w:tc>
          <w:tcPr>
            <w:tcW w:w="1313" w:type="pct"/>
            <w:tcBorders>
              <w:top w:val="single" w:color="auto" w:sz="4" w:space="0"/>
              <w:left w:val="nil"/>
              <w:bottom w:val="single" w:color="auto" w:sz="4" w:space="0"/>
              <w:right w:val="single" w:color="auto" w:sz="4" w:space="0"/>
            </w:tcBorders>
            <w:vAlign w:val="center"/>
          </w:tcPr>
          <w:p w14:paraId="66D69C1F">
            <w:pPr>
              <w:jc w:val="center"/>
              <w:rPr>
                <w:rFonts w:hint="eastAsia" w:ascii="宋体" w:hAnsi="宋体" w:eastAsia="宋体" w:cs="宋体"/>
                <w:b/>
                <w:color w:val="auto"/>
                <w:szCs w:val="21"/>
              </w:rPr>
            </w:pPr>
            <w:r>
              <w:rPr>
                <w:rFonts w:hint="eastAsia" w:ascii="宋体" w:hAnsi="宋体" w:eastAsia="宋体" w:cs="宋体"/>
                <w:b/>
                <w:color w:val="auto"/>
                <w:szCs w:val="21"/>
              </w:rPr>
              <w:t>是否被推荐为中标人</w:t>
            </w:r>
          </w:p>
        </w:tc>
      </w:tr>
      <w:tr w14:paraId="2ED4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14:paraId="1F9AB4C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48" w:type="pct"/>
            <w:tcBorders>
              <w:top w:val="single" w:color="auto" w:sz="4" w:space="0"/>
              <w:left w:val="nil"/>
              <w:bottom w:val="single" w:color="auto" w:sz="4" w:space="0"/>
              <w:right w:val="single" w:color="auto" w:sz="4" w:space="0"/>
            </w:tcBorders>
            <w:vAlign w:val="center"/>
          </w:tcPr>
          <w:p w14:paraId="1BB22BFF">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7D8131BB">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6DAF7B5B">
            <w:pPr>
              <w:jc w:val="center"/>
              <w:rPr>
                <w:rFonts w:hint="eastAsia" w:ascii="宋体" w:hAnsi="宋体" w:eastAsia="宋体" w:cs="宋体"/>
                <w:color w:val="auto"/>
                <w:sz w:val="24"/>
                <w:szCs w:val="24"/>
              </w:rPr>
            </w:pPr>
          </w:p>
        </w:tc>
      </w:tr>
      <w:tr w14:paraId="1EF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14:paraId="2A35088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48" w:type="pct"/>
            <w:tcBorders>
              <w:top w:val="single" w:color="auto" w:sz="4" w:space="0"/>
              <w:left w:val="nil"/>
              <w:bottom w:val="single" w:color="auto" w:sz="4" w:space="0"/>
              <w:right w:val="single" w:color="auto" w:sz="4" w:space="0"/>
            </w:tcBorders>
            <w:vAlign w:val="center"/>
          </w:tcPr>
          <w:p w14:paraId="7DB10534">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0E7E2BB6">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3195FC38">
            <w:pPr>
              <w:jc w:val="center"/>
              <w:rPr>
                <w:rFonts w:hint="eastAsia" w:ascii="宋体" w:hAnsi="宋体" w:eastAsia="宋体" w:cs="宋体"/>
                <w:color w:val="auto"/>
                <w:sz w:val="24"/>
                <w:szCs w:val="24"/>
              </w:rPr>
            </w:pPr>
          </w:p>
        </w:tc>
      </w:tr>
      <w:tr w14:paraId="020F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14:paraId="7DD605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48" w:type="pct"/>
            <w:tcBorders>
              <w:top w:val="single" w:color="auto" w:sz="4" w:space="0"/>
              <w:left w:val="nil"/>
              <w:bottom w:val="single" w:color="auto" w:sz="4" w:space="0"/>
              <w:right w:val="single" w:color="auto" w:sz="4" w:space="0"/>
            </w:tcBorders>
            <w:vAlign w:val="center"/>
          </w:tcPr>
          <w:p w14:paraId="52218892">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0AA0913E">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0C7A0762">
            <w:pPr>
              <w:jc w:val="center"/>
              <w:rPr>
                <w:rFonts w:hint="eastAsia" w:ascii="宋体" w:hAnsi="宋体" w:eastAsia="宋体" w:cs="宋体"/>
                <w:color w:val="auto"/>
                <w:sz w:val="24"/>
                <w:szCs w:val="24"/>
              </w:rPr>
            </w:pPr>
          </w:p>
        </w:tc>
      </w:tr>
      <w:tr w14:paraId="7EFA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14:paraId="73D0CE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48" w:type="pct"/>
            <w:tcBorders>
              <w:top w:val="single" w:color="auto" w:sz="4" w:space="0"/>
              <w:left w:val="nil"/>
              <w:bottom w:val="single" w:color="auto" w:sz="4" w:space="0"/>
              <w:right w:val="single" w:color="auto" w:sz="4" w:space="0"/>
            </w:tcBorders>
            <w:vAlign w:val="center"/>
          </w:tcPr>
          <w:p w14:paraId="5F797088">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25B4CE00">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47E572AD">
            <w:pPr>
              <w:jc w:val="center"/>
              <w:rPr>
                <w:rFonts w:hint="eastAsia" w:ascii="宋体" w:hAnsi="宋体" w:eastAsia="宋体" w:cs="宋体"/>
                <w:color w:val="auto"/>
                <w:sz w:val="24"/>
                <w:szCs w:val="24"/>
              </w:rPr>
            </w:pPr>
          </w:p>
        </w:tc>
      </w:tr>
      <w:tr w14:paraId="425C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14:paraId="4CB9917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48" w:type="pct"/>
            <w:tcBorders>
              <w:top w:val="single" w:color="auto" w:sz="4" w:space="0"/>
              <w:left w:val="nil"/>
              <w:bottom w:val="single" w:color="auto" w:sz="4" w:space="0"/>
              <w:right w:val="single" w:color="auto" w:sz="4" w:space="0"/>
            </w:tcBorders>
            <w:vAlign w:val="center"/>
          </w:tcPr>
          <w:p w14:paraId="433AB060">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449D0455">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2E2EB37D">
            <w:pPr>
              <w:jc w:val="center"/>
              <w:rPr>
                <w:rFonts w:hint="eastAsia" w:ascii="宋体" w:hAnsi="宋体" w:eastAsia="宋体" w:cs="宋体"/>
                <w:color w:val="auto"/>
                <w:sz w:val="24"/>
                <w:szCs w:val="24"/>
              </w:rPr>
            </w:pPr>
          </w:p>
        </w:tc>
      </w:tr>
      <w:tr w14:paraId="1CF5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14:paraId="2138898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48" w:type="pct"/>
            <w:tcBorders>
              <w:top w:val="single" w:color="auto" w:sz="4" w:space="0"/>
              <w:left w:val="nil"/>
              <w:bottom w:val="single" w:color="auto" w:sz="4" w:space="0"/>
              <w:right w:val="single" w:color="auto" w:sz="4" w:space="0"/>
            </w:tcBorders>
            <w:vAlign w:val="center"/>
          </w:tcPr>
          <w:p w14:paraId="271E15B1">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553679F5">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245C7638">
            <w:pPr>
              <w:jc w:val="center"/>
              <w:rPr>
                <w:rFonts w:hint="eastAsia" w:ascii="宋体" w:hAnsi="宋体" w:eastAsia="宋体" w:cs="宋体"/>
                <w:color w:val="auto"/>
                <w:sz w:val="24"/>
                <w:szCs w:val="24"/>
              </w:rPr>
            </w:pPr>
          </w:p>
        </w:tc>
      </w:tr>
      <w:tr w14:paraId="6624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86" w:type="pct"/>
            <w:tcBorders>
              <w:top w:val="single" w:color="auto" w:sz="4" w:space="0"/>
              <w:left w:val="single" w:color="auto" w:sz="4" w:space="0"/>
              <w:bottom w:val="single" w:color="auto" w:sz="4" w:space="0"/>
              <w:right w:val="single" w:color="auto" w:sz="4" w:space="0"/>
            </w:tcBorders>
            <w:vAlign w:val="center"/>
          </w:tcPr>
          <w:p w14:paraId="568EAD1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48" w:type="pct"/>
            <w:tcBorders>
              <w:top w:val="single" w:color="auto" w:sz="4" w:space="0"/>
              <w:left w:val="nil"/>
              <w:bottom w:val="single" w:color="auto" w:sz="4" w:space="0"/>
              <w:right w:val="single" w:color="auto" w:sz="4" w:space="0"/>
            </w:tcBorders>
            <w:vAlign w:val="center"/>
          </w:tcPr>
          <w:p w14:paraId="7F8D1CC4">
            <w:pPr>
              <w:jc w:val="center"/>
              <w:rPr>
                <w:rFonts w:hint="eastAsia" w:ascii="宋体" w:hAnsi="宋体" w:eastAsia="宋体" w:cs="宋体"/>
                <w:color w:val="auto"/>
                <w:sz w:val="24"/>
                <w:szCs w:val="24"/>
              </w:rPr>
            </w:pPr>
          </w:p>
        </w:tc>
        <w:tc>
          <w:tcPr>
            <w:tcW w:w="1052" w:type="pct"/>
            <w:tcBorders>
              <w:top w:val="single" w:color="auto" w:sz="4" w:space="0"/>
              <w:left w:val="nil"/>
              <w:bottom w:val="single" w:color="auto" w:sz="4" w:space="0"/>
              <w:right w:val="single" w:color="auto" w:sz="4" w:space="0"/>
            </w:tcBorders>
            <w:vAlign w:val="center"/>
          </w:tcPr>
          <w:p w14:paraId="1083FAC8">
            <w:pPr>
              <w:jc w:val="center"/>
              <w:rPr>
                <w:rFonts w:hint="eastAsia" w:ascii="宋体" w:hAnsi="宋体" w:eastAsia="宋体" w:cs="宋体"/>
                <w:color w:val="auto"/>
                <w:sz w:val="24"/>
                <w:szCs w:val="24"/>
              </w:rPr>
            </w:pPr>
          </w:p>
        </w:tc>
        <w:tc>
          <w:tcPr>
            <w:tcW w:w="1313" w:type="pct"/>
            <w:tcBorders>
              <w:top w:val="single" w:color="auto" w:sz="4" w:space="0"/>
              <w:left w:val="nil"/>
              <w:bottom w:val="single" w:color="auto" w:sz="4" w:space="0"/>
              <w:right w:val="single" w:color="auto" w:sz="4" w:space="0"/>
            </w:tcBorders>
          </w:tcPr>
          <w:p w14:paraId="6948F7F2">
            <w:pPr>
              <w:jc w:val="center"/>
              <w:rPr>
                <w:rFonts w:hint="eastAsia" w:ascii="宋体" w:hAnsi="宋体" w:eastAsia="宋体" w:cs="宋体"/>
                <w:color w:val="auto"/>
                <w:sz w:val="24"/>
                <w:szCs w:val="24"/>
              </w:rPr>
            </w:pPr>
          </w:p>
        </w:tc>
      </w:tr>
    </w:tbl>
    <w:p w14:paraId="170ED2F7">
      <w:pPr>
        <w:pStyle w:val="139"/>
        <w:rPr>
          <w:rFonts w:hint="eastAsia" w:ascii="宋体" w:hAnsi="宋体" w:eastAsia="宋体" w:cs="宋体"/>
          <w:color w:val="auto"/>
        </w:rPr>
      </w:pPr>
    </w:p>
    <w:p w14:paraId="299E05F3">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定标委员签名：                                         日期：</w:t>
      </w:r>
    </w:p>
    <w:p w14:paraId="711937A7">
      <w:pPr>
        <w:pStyle w:val="139"/>
        <w:rPr>
          <w:rFonts w:hint="eastAsia" w:ascii="宋体" w:hAnsi="宋体" w:eastAsia="宋体" w:cs="宋体"/>
          <w:color w:val="auto"/>
        </w:rPr>
      </w:pPr>
    </w:p>
    <w:p w14:paraId="58C0A01F">
      <w:pPr>
        <w:pStyle w:val="139"/>
        <w:rPr>
          <w:rFonts w:hint="eastAsia" w:ascii="宋体" w:hAnsi="宋体" w:eastAsia="宋体" w:cs="宋体"/>
          <w:color w:val="auto"/>
        </w:rPr>
      </w:pPr>
    </w:p>
    <w:p w14:paraId="061DC27C">
      <w:pPr>
        <w:pStyle w:val="44"/>
        <w:spacing w:line="360" w:lineRule="auto"/>
        <w:ind w:firstLine="0"/>
        <w:rPr>
          <w:rFonts w:hint="eastAsia" w:ascii="宋体" w:hAnsi="宋体" w:eastAsia="宋体" w:cs="宋体"/>
          <w:b/>
          <w:color w:val="auto"/>
          <w:szCs w:val="22"/>
        </w:rPr>
      </w:pPr>
      <w:r>
        <w:rPr>
          <w:rFonts w:hint="eastAsia" w:ascii="宋体" w:hAnsi="宋体" w:eastAsia="宋体" w:cs="宋体"/>
          <w:b/>
          <w:color w:val="auto"/>
          <w:szCs w:val="22"/>
        </w:rPr>
        <w:t>注： 定标委员会成员须根据投票结果，得票数最多的合格的中标候选人推荐为中标人。</w:t>
      </w:r>
    </w:p>
    <w:p w14:paraId="7EF65405">
      <w:pPr>
        <w:rPr>
          <w:rFonts w:hint="eastAsia" w:ascii="宋体" w:hAnsi="宋体" w:eastAsia="宋体" w:cs="宋体"/>
          <w:b/>
          <w:bCs/>
          <w:color w:val="auto"/>
          <w:szCs w:val="32"/>
        </w:rPr>
      </w:pPr>
    </w:p>
    <w:p w14:paraId="6F7F9273">
      <w:pPr>
        <w:rPr>
          <w:rFonts w:hint="eastAsia" w:ascii="宋体" w:hAnsi="宋体" w:eastAsia="宋体" w:cs="宋体"/>
          <w:color w:val="auto"/>
          <w:szCs w:val="32"/>
        </w:rPr>
      </w:pPr>
    </w:p>
    <w:p w14:paraId="5E6E0CCB">
      <w:pPr>
        <w:rPr>
          <w:rFonts w:hint="eastAsia" w:ascii="宋体" w:hAnsi="宋体" w:eastAsia="宋体" w:cs="宋体"/>
          <w:color w:val="auto"/>
          <w:szCs w:val="32"/>
        </w:rPr>
      </w:pPr>
    </w:p>
    <w:p w14:paraId="180FD49F">
      <w:pPr>
        <w:widowControl/>
        <w:snapToGrid w:val="0"/>
        <w:spacing w:line="360" w:lineRule="auto"/>
        <w:ind w:firstLine="426" w:firstLineChars="202"/>
        <w:jc w:val="left"/>
        <w:rPr>
          <w:rFonts w:hint="eastAsia" w:ascii="宋体" w:hAnsi="宋体" w:eastAsia="宋体" w:cs="宋体"/>
          <w:b/>
          <w:color w:val="auto"/>
          <w:kern w:val="0"/>
          <w:szCs w:val="21"/>
          <w:shd w:val="clear" w:color="auto" w:fill="FFFFFF"/>
        </w:rPr>
      </w:pPr>
    </w:p>
    <w:p w14:paraId="45D7A48F">
      <w:pPr>
        <w:rPr>
          <w:rFonts w:hint="eastAsia" w:ascii="宋体" w:hAnsi="宋体" w:eastAsia="宋体" w:cs="宋体"/>
          <w:color w:val="auto"/>
          <w:szCs w:val="32"/>
        </w:rPr>
      </w:pPr>
    </w:p>
    <w:p w14:paraId="1CF423DF">
      <w:pPr>
        <w:spacing w:line="360" w:lineRule="auto"/>
        <w:ind w:firstLine="420" w:firstLineChars="200"/>
        <w:rPr>
          <w:rFonts w:hint="eastAsia" w:ascii="宋体" w:hAnsi="宋体" w:eastAsia="宋体" w:cs="宋体"/>
          <w:color w:val="auto"/>
        </w:rPr>
      </w:pPr>
    </w:p>
    <w:p w14:paraId="048CB816">
      <w:pPr>
        <w:pStyle w:val="2"/>
        <w:spacing w:line="240" w:lineRule="auto"/>
        <w:jc w:val="center"/>
        <w:rPr>
          <w:rFonts w:hint="eastAsia" w:ascii="宋体" w:hAnsi="宋体" w:eastAsia="宋体" w:cs="宋体"/>
          <w:color w:val="auto"/>
        </w:rPr>
      </w:pPr>
      <w:r>
        <w:rPr>
          <w:rFonts w:hint="eastAsia" w:ascii="宋体" w:hAnsi="宋体" w:eastAsia="宋体" w:cs="宋体"/>
          <w:color w:val="auto"/>
        </w:rPr>
        <w:br w:type="page"/>
      </w:r>
      <w:bookmarkStart w:id="308" w:name="_Toc49510035"/>
      <w:bookmarkStart w:id="309" w:name="_Toc15726"/>
      <w:r>
        <w:rPr>
          <w:rFonts w:hint="eastAsia" w:ascii="宋体" w:hAnsi="宋体" w:eastAsia="宋体" w:cs="宋体"/>
          <w:color w:val="auto"/>
        </w:rPr>
        <w:t>第四章 合同条款及格式</w:t>
      </w:r>
      <w:bookmarkEnd w:id="308"/>
      <w:bookmarkEnd w:id="309"/>
    </w:p>
    <w:p w14:paraId="1C06310C">
      <w:pPr>
        <w:pStyle w:val="3"/>
        <w:ind w:firstLine="643" w:firstLineChars="200"/>
        <w:jc w:val="center"/>
        <w:rPr>
          <w:rFonts w:hint="eastAsia" w:ascii="宋体" w:hAnsi="宋体" w:eastAsia="宋体" w:cs="宋体"/>
          <w:bCs/>
          <w:color w:val="auto"/>
        </w:rPr>
      </w:pPr>
      <w:bookmarkStart w:id="310" w:name="_Toc29728"/>
      <w:bookmarkStart w:id="311" w:name="_Toc16559"/>
      <w:r>
        <w:rPr>
          <w:rFonts w:hint="eastAsia" w:ascii="宋体" w:hAnsi="宋体" w:eastAsia="宋体" w:cs="宋体"/>
          <w:bCs/>
          <w:color w:val="auto"/>
        </w:rPr>
        <w:t>（另册）</w:t>
      </w:r>
      <w:bookmarkEnd w:id="310"/>
      <w:bookmarkEnd w:id="311"/>
    </w:p>
    <w:p w14:paraId="370755EF">
      <w:pPr>
        <w:rPr>
          <w:rFonts w:hint="eastAsia" w:ascii="宋体" w:hAnsi="宋体" w:eastAsia="宋体" w:cs="宋体"/>
          <w:bCs/>
          <w:color w:val="auto"/>
        </w:rPr>
      </w:pPr>
    </w:p>
    <w:p w14:paraId="7D3B66C1">
      <w:pPr>
        <w:pStyle w:val="20"/>
        <w:rPr>
          <w:rFonts w:hint="eastAsia" w:ascii="宋体" w:hAnsi="宋体" w:eastAsia="宋体" w:cs="宋体"/>
          <w:bCs/>
          <w:color w:val="auto"/>
        </w:rPr>
      </w:pPr>
    </w:p>
    <w:p w14:paraId="28CA546A">
      <w:pPr>
        <w:pStyle w:val="21"/>
        <w:rPr>
          <w:rFonts w:hint="eastAsia" w:ascii="宋体" w:hAnsi="宋体" w:eastAsia="宋体" w:cs="宋体"/>
          <w:bCs/>
          <w:color w:val="auto"/>
        </w:rPr>
      </w:pPr>
    </w:p>
    <w:p w14:paraId="4A10B7C2">
      <w:pPr>
        <w:spacing w:line="360" w:lineRule="auto"/>
        <w:jc w:val="center"/>
        <w:rPr>
          <w:rFonts w:hint="eastAsia" w:ascii="宋体" w:hAnsi="宋体" w:eastAsia="宋体" w:cs="宋体"/>
          <w:color w:val="auto"/>
        </w:rPr>
      </w:pPr>
      <w:bookmarkStart w:id="312" w:name="_Toc1039"/>
      <w:bookmarkStart w:id="313" w:name="_Toc49510050"/>
      <w:bookmarkStart w:id="314" w:name="_Toc179632787"/>
      <w:bookmarkStart w:id="315" w:name="_Toc246996338"/>
      <w:bookmarkStart w:id="316" w:name="_Toc246997081"/>
      <w:bookmarkStart w:id="317" w:name="_Toc247085853"/>
      <w:bookmarkStart w:id="318" w:name="_Toc247514197"/>
      <w:bookmarkStart w:id="319" w:name="_Toc247527798"/>
      <w:bookmarkStart w:id="320" w:name="_Toc144974578"/>
      <w:bookmarkStart w:id="321" w:name="_Toc152045610"/>
      <w:bookmarkStart w:id="322" w:name="_Toc300835199"/>
      <w:bookmarkStart w:id="323" w:name="_Toc152042388"/>
      <w:bookmarkStart w:id="324" w:name="_Toc152042549"/>
      <w:bookmarkStart w:id="325" w:name="_Toc144974829"/>
      <w:bookmarkStart w:id="326" w:name="_Toc184635122"/>
      <w:r>
        <w:rPr>
          <w:rFonts w:hint="eastAsia" w:ascii="宋体" w:hAnsi="宋体" w:eastAsia="宋体" w:cs="宋体"/>
          <w:b/>
          <w:color w:val="auto"/>
          <w:kern w:val="44"/>
          <w:sz w:val="44"/>
          <w:szCs w:val="20"/>
        </w:rPr>
        <w:br w:type="page"/>
      </w:r>
      <w:bookmarkEnd w:id="312"/>
      <w:bookmarkEnd w:id="313"/>
      <w:bookmarkStart w:id="327" w:name="_Toc49510051"/>
      <w:bookmarkStart w:id="328" w:name="_Toc25775"/>
      <w:r>
        <w:rPr>
          <w:rFonts w:hint="eastAsia" w:ascii="宋体" w:hAnsi="宋体" w:eastAsia="宋体" w:cs="宋体"/>
          <w:b/>
          <w:bCs/>
          <w:color w:val="auto"/>
          <w:sz w:val="44"/>
          <w:szCs w:val="44"/>
        </w:rPr>
        <w:t>第二卷</w:t>
      </w:r>
    </w:p>
    <w:p w14:paraId="53ED7BC6">
      <w:pPr>
        <w:pStyle w:val="2"/>
        <w:spacing w:line="240" w:lineRule="auto"/>
        <w:jc w:val="center"/>
        <w:rPr>
          <w:rFonts w:hint="eastAsia" w:ascii="宋体" w:hAnsi="宋体" w:eastAsia="宋体" w:cs="宋体"/>
          <w:color w:val="auto"/>
        </w:rPr>
      </w:pPr>
      <w:r>
        <w:rPr>
          <w:rFonts w:hint="eastAsia" w:ascii="宋体" w:hAnsi="宋体" w:eastAsia="宋体" w:cs="宋体"/>
          <w:color w:val="auto"/>
        </w:rPr>
        <w:t>第五章 委托人要求</w:t>
      </w:r>
      <w:bookmarkEnd w:id="327"/>
      <w:bookmarkEnd w:id="328"/>
    </w:p>
    <w:bookmarkEnd w:id="314"/>
    <w:bookmarkEnd w:id="315"/>
    <w:bookmarkEnd w:id="316"/>
    <w:bookmarkEnd w:id="317"/>
    <w:p w14:paraId="133223F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委托人具体要求详见第四章“合同条款及格式”。</w:t>
      </w:r>
    </w:p>
    <w:p w14:paraId="2BF7FCF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下表中所列人员配备为最低要求，招标人可根据实际工作需要要求中标人及时增加人员投入，中标人须无条件配合。投标人拟投入的人员不满足下表最低配备要求的，将影响其团队因素评价，但不作为否决性条款。</w:t>
      </w:r>
    </w:p>
    <w:tbl>
      <w:tblPr>
        <w:tblStyle w:val="46"/>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16"/>
        <w:gridCol w:w="829"/>
        <w:gridCol w:w="5149"/>
      </w:tblGrid>
      <w:tr w14:paraId="3D50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7" w:type="dxa"/>
            <w:vAlign w:val="center"/>
          </w:tcPr>
          <w:p w14:paraId="66EE9F13">
            <w:pPr>
              <w:adjustRightInd w:val="0"/>
              <w:snapToGrid w:val="0"/>
              <w:jc w:val="center"/>
              <w:rPr>
                <w:rFonts w:hint="eastAsia" w:ascii="宋体" w:hAnsi="宋体" w:eastAsia="宋体" w:cs="宋体"/>
                <w:b/>
                <w:color w:val="auto"/>
                <w:kern w:val="44"/>
                <w:szCs w:val="21"/>
              </w:rPr>
            </w:pPr>
            <w:r>
              <w:rPr>
                <w:rFonts w:hint="eastAsia" w:ascii="宋体" w:hAnsi="宋体" w:eastAsia="宋体" w:cs="宋体"/>
                <w:b/>
                <w:color w:val="auto"/>
                <w:kern w:val="44"/>
                <w:szCs w:val="21"/>
              </w:rPr>
              <w:t>序号</w:t>
            </w:r>
          </w:p>
        </w:tc>
        <w:tc>
          <w:tcPr>
            <w:tcW w:w="2416" w:type="dxa"/>
            <w:vAlign w:val="center"/>
          </w:tcPr>
          <w:p w14:paraId="0DECE265">
            <w:pPr>
              <w:adjustRightInd w:val="0"/>
              <w:snapToGrid w:val="0"/>
              <w:jc w:val="center"/>
              <w:rPr>
                <w:rFonts w:hint="eastAsia" w:ascii="宋体" w:hAnsi="宋体" w:eastAsia="宋体" w:cs="宋体"/>
                <w:color w:val="auto"/>
                <w:kern w:val="44"/>
                <w:szCs w:val="21"/>
              </w:rPr>
            </w:pPr>
            <w:r>
              <w:rPr>
                <w:rFonts w:hint="eastAsia" w:ascii="宋体" w:hAnsi="宋体" w:eastAsia="宋体" w:cs="宋体"/>
                <w:b/>
                <w:color w:val="auto"/>
                <w:kern w:val="44"/>
                <w:szCs w:val="21"/>
              </w:rPr>
              <w:t>专业类别</w:t>
            </w:r>
          </w:p>
        </w:tc>
        <w:tc>
          <w:tcPr>
            <w:tcW w:w="829" w:type="dxa"/>
            <w:vAlign w:val="center"/>
          </w:tcPr>
          <w:p w14:paraId="3440A693">
            <w:pPr>
              <w:adjustRightInd w:val="0"/>
              <w:snapToGrid w:val="0"/>
              <w:jc w:val="center"/>
              <w:rPr>
                <w:rFonts w:hint="eastAsia" w:ascii="宋体" w:hAnsi="宋体" w:eastAsia="宋体" w:cs="宋体"/>
                <w:color w:val="auto"/>
                <w:kern w:val="44"/>
                <w:szCs w:val="21"/>
              </w:rPr>
            </w:pPr>
            <w:r>
              <w:rPr>
                <w:rFonts w:hint="eastAsia" w:ascii="宋体" w:hAnsi="宋体" w:eastAsia="宋体" w:cs="宋体"/>
                <w:b/>
                <w:color w:val="auto"/>
                <w:kern w:val="44"/>
                <w:szCs w:val="21"/>
              </w:rPr>
              <w:t>数量</w:t>
            </w:r>
          </w:p>
        </w:tc>
        <w:tc>
          <w:tcPr>
            <w:tcW w:w="5149" w:type="dxa"/>
            <w:vAlign w:val="center"/>
          </w:tcPr>
          <w:p w14:paraId="6EE0CDAB">
            <w:pPr>
              <w:adjustRightInd w:val="0"/>
              <w:snapToGrid w:val="0"/>
              <w:jc w:val="center"/>
              <w:rPr>
                <w:rFonts w:hint="eastAsia" w:ascii="宋体" w:hAnsi="宋体" w:eastAsia="宋体" w:cs="宋体"/>
                <w:color w:val="auto"/>
                <w:kern w:val="44"/>
                <w:szCs w:val="21"/>
              </w:rPr>
            </w:pPr>
            <w:r>
              <w:rPr>
                <w:rFonts w:hint="eastAsia" w:ascii="宋体" w:hAnsi="宋体" w:eastAsia="宋体" w:cs="宋体"/>
                <w:b/>
                <w:color w:val="auto"/>
                <w:kern w:val="44"/>
                <w:szCs w:val="21"/>
              </w:rPr>
              <w:t>基本要求</w:t>
            </w:r>
          </w:p>
        </w:tc>
      </w:tr>
      <w:tr w14:paraId="6976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10B3F17A">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416" w:type="dxa"/>
            <w:vAlign w:val="center"/>
          </w:tcPr>
          <w:p w14:paraId="0095532E">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总监理工程师</w:t>
            </w:r>
          </w:p>
        </w:tc>
        <w:tc>
          <w:tcPr>
            <w:tcW w:w="829" w:type="dxa"/>
            <w:vAlign w:val="center"/>
          </w:tcPr>
          <w:p w14:paraId="29AE5635">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59A74786">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按招标公告要求。</w:t>
            </w:r>
          </w:p>
        </w:tc>
      </w:tr>
      <w:tr w14:paraId="2E31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019370C5">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2416" w:type="dxa"/>
            <w:vAlign w:val="center"/>
          </w:tcPr>
          <w:p w14:paraId="45D4B61B">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建筑专业监理工程师</w:t>
            </w:r>
          </w:p>
        </w:tc>
        <w:tc>
          <w:tcPr>
            <w:tcW w:w="829" w:type="dxa"/>
            <w:vAlign w:val="center"/>
          </w:tcPr>
          <w:p w14:paraId="1BAFA67C">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5923BD31">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具备相关专业中级（或以上）技术职称或专业监理工程师或注册监理工程师资格。专业以职称证或专业监理工程师证书或注册监理工程师注册执业证书或毕业证所列的相关专业为准。</w:t>
            </w:r>
          </w:p>
        </w:tc>
      </w:tr>
      <w:tr w14:paraId="6960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0381AE1D">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2416" w:type="dxa"/>
            <w:vAlign w:val="center"/>
          </w:tcPr>
          <w:p w14:paraId="2016EB71">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幕墙专业监理工程师</w:t>
            </w:r>
          </w:p>
        </w:tc>
        <w:tc>
          <w:tcPr>
            <w:tcW w:w="829" w:type="dxa"/>
            <w:vAlign w:val="center"/>
          </w:tcPr>
          <w:p w14:paraId="20728104">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66091DA7">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具备相关专业中级（或以上）技术职称或专业监理工程师或注册监理工程师资格。专业以职称证或专业监理工程师证书或注册监理工程师注册执业证书或毕业证所列的相关专业为准。</w:t>
            </w:r>
          </w:p>
        </w:tc>
      </w:tr>
      <w:tr w14:paraId="44A4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4A366BCF">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2416" w:type="dxa"/>
            <w:vAlign w:val="center"/>
          </w:tcPr>
          <w:p w14:paraId="41ED1AB9">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电气专业监理工程师</w:t>
            </w:r>
          </w:p>
        </w:tc>
        <w:tc>
          <w:tcPr>
            <w:tcW w:w="829" w:type="dxa"/>
            <w:vAlign w:val="center"/>
          </w:tcPr>
          <w:p w14:paraId="6DF4E898">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442BF282">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具备相关专业中级（或以上）技术职称或专业监理工程师或注册监理工程师资格。专业以职称证或专业监理工程师证书或注册监理工程师注册执业证书或毕业证所列的相关专业为准。</w:t>
            </w:r>
          </w:p>
        </w:tc>
      </w:tr>
      <w:tr w14:paraId="6810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79ECEC0A">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2416" w:type="dxa"/>
            <w:vAlign w:val="center"/>
          </w:tcPr>
          <w:p w14:paraId="3D177911">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给排水专业监理工程师</w:t>
            </w:r>
          </w:p>
        </w:tc>
        <w:tc>
          <w:tcPr>
            <w:tcW w:w="829" w:type="dxa"/>
            <w:vAlign w:val="center"/>
          </w:tcPr>
          <w:p w14:paraId="7A78E160">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29F21553">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具备相关专业中级（或以上）技术职称或专业监理工程师或注册监理工程师资格。专业以职称证或专业监理工程师证书或注册监理工程师注册执业证书或毕业证所列的相关专业为准。</w:t>
            </w:r>
          </w:p>
        </w:tc>
      </w:tr>
      <w:tr w14:paraId="013F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308ADB9F">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2416" w:type="dxa"/>
            <w:vAlign w:val="center"/>
          </w:tcPr>
          <w:p w14:paraId="1E52275D">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装修专业监理工程师</w:t>
            </w:r>
          </w:p>
        </w:tc>
        <w:tc>
          <w:tcPr>
            <w:tcW w:w="829" w:type="dxa"/>
            <w:vAlign w:val="center"/>
          </w:tcPr>
          <w:p w14:paraId="24039254">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05FB8FEC">
            <w:pPr>
              <w:adjustRightInd w:val="0"/>
              <w:snapToGrid w:val="0"/>
              <w:jc w:val="left"/>
              <w:rPr>
                <w:rFonts w:hint="eastAsia" w:ascii="宋体" w:hAnsi="宋体" w:eastAsia="宋体" w:cs="宋体"/>
                <w:color w:val="auto"/>
                <w:szCs w:val="21"/>
              </w:rPr>
            </w:pPr>
            <w:r>
              <w:rPr>
                <w:rFonts w:hint="eastAsia" w:ascii="宋体" w:hAnsi="宋体" w:eastAsia="宋体" w:cs="宋体"/>
                <w:color w:val="auto"/>
                <w:szCs w:val="21"/>
              </w:rPr>
              <w:t>具备相关专业中级（或以上）技术职称或专业监理工程师或注册监理工程师资格。专业以职称证或专业监理工程师证书或注册监理工程师注册执业证书或毕业证所列的相关专业为准。</w:t>
            </w:r>
          </w:p>
        </w:tc>
      </w:tr>
      <w:tr w14:paraId="59C5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4D7C5A8C">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2416" w:type="dxa"/>
            <w:vAlign w:val="center"/>
          </w:tcPr>
          <w:p w14:paraId="3F5F0C4F">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安全监理员或注册安全工程师</w:t>
            </w:r>
          </w:p>
        </w:tc>
        <w:tc>
          <w:tcPr>
            <w:tcW w:w="829" w:type="dxa"/>
            <w:vAlign w:val="center"/>
          </w:tcPr>
          <w:p w14:paraId="428E5728">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02E13D96">
            <w:pPr>
              <w:adjustRightInd w:val="0"/>
              <w:snapToGrid w:val="0"/>
              <w:jc w:val="center"/>
              <w:rPr>
                <w:rFonts w:hint="eastAsia" w:ascii="宋体" w:hAnsi="宋体" w:eastAsia="宋体" w:cs="宋体"/>
                <w:color w:val="auto"/>
                <w:szCs w:val="21"/>
              </w:rPr>
            </w:pPr>
            <w:bookmarkStart w:id="329" w:name="突出显示"/>
            <w:r>
              <w:rPr>
                <w:rFonts w:hint="eastAsia" w:ascii="宋体" w:hAnsi="宋体" w:eastAsia="宋体" w:cs="宋体"/>
                <w:color w:val="auto"/>
                <w:szCs w:val="21"/>
              </w:rPr>
              <w:t>具备相关岗位证或培训证或上岗证</w:t>
            </w:r>
            <w:bookmarkEnd w:id="329"/>
            <w:r>
              <w:rPr>
                <w:rFonts w:hint="eastAsia" w:ascii="宋体" w:hAnsi="宋体" w:eastAsia="宋体" w:cs="宋体"/>
                <w:color w:val="auto"/>
                <w:szCs w:val="21"/>
              </w:rPr>
              <w:t>，或注册安全工程师执业资格。</w:t>
            </w:r>
          </w:p>
        </w:tc>
      </w:tr>
      <w:tr w14:paraId="474D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09BF533B">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2416" w:type="dxa"/>
            <w:vAlign w:val="center"/>
          </w:tcPr>
          <w:p w14:paraId="25F7688F">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监理员</w:t>
            </w:r>
          </w:p>
        </w:tc>
        <w:tc>
          <w:tcPr>
            <w:tcW w:w="829" w:type="dxa"/>
            <w:vAlign w:val="center"/>
          </w:tcPr>
          <w:p w14:paraId="0F3DC301">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5149" w:type="dxa"/>
            <w:vAlign w:val="center"/>
          </w:tcPr>
          <w:p w14:paraId="0AC55516">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具备相关岗位证或培训证或上岗证。</w:t>
            </w:r>
          </w:p>
        </w:tc>
      </w:tr>
      <w:tr w14:paraId="0310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14:paraId="49D46E51">
            <w:pPr>
              <w:widowControl/>
              <w:adjustRightInd w:val="0"/>
              <w:snapToGrid w:val="0"/>
              <w:ind w:left="-361" w:leftChars="-172"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9</w:t>
            </w:r>
          </w:p>
        </w:tc>
        <w:tc>
          <w:tcPr>
            <w:tcW w:w="2416" w:type="dxa"/>
            <w:vAlign w:val="center"/>
          </w:tcPr>
          <w:p w14:paraId="60D74EDB">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资料员</w:t>
            </w:r>
          </w:p>
        </w:tc>
        <w:tc>
          <w:tcPr>
            <w:tcW w:w="829" w:type="dxa"/>
            <w:vAlign w:val="center"/>
          </w:tcPr>
          <w:p w14:paraId="6112F7A4">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5149" w:type="dxa"/>
            <w:vAlign w:val="center"/>
          </w:tcPr>
          <w:p w14:paraId="6E9722D2">
            <w:pPr>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具备相关岗位证或培训证或上岗证。</w:t>
            </w:r>
          </w:p>
        </w:tc>
      </w:tr>
      <w:tr w14:paraId="54FA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03" w:type="dxa"/>
            <w:gridSpan w:val="2"/>
            <w:vAlign w:val="center"/>
          </w:tcPr>
          <w:p w14:paraId="4572A4E7">
            <w:pPr>
              <w:adjustRightInd w:val="0"/>
              <w:snapToGrid w:val="0"/>
              <w:jc w:val="center"/>
              <w:rPr>
                <w:rFonts w:hint="eastAsia" w:ascii="宋体" w:hAnsi="宋体" w:eastAsia="宋体" w:cs="宋体"/>
                <w:color w:val="auto"/>
                <w:szCs w:val="21"/>
              </w:rPr>
            </w:pPr>
            <w:r>
              <w:rPr>
                <w:rFonts w:hint="eastAsia" w:ascii="宋体" w:hAnsi="宋体" w:eastAsia="宋体" w:cs="宋体"/>
                <w:b/>
                <w:snapToGrid w:val="0"/>
                <w:color w:val="auto"/>
                <w:spacing w:val="4"/>
                <w:kern w:val="0"/>
                <w:szCs w:val="21"/>
              </w:rPr>
              <w:t>合计</w:t>
            </w:r>
          </w:p>
        </w:tc>
        <w:tc>
          <w:tcPr>
            <w:tcW w:w="829" w:type="dxa"/>
            <w:vAlign w:val="center"/>
          </w:tcPr>
          <w:p w14:paraId="7D15F8CF">
            <w:pPr>
              <w:adjustRightInd w:val="0"/>
              <w:snapToGrid w:val="0"/>
              <w:jc w:val="center"/>
              <w:rPr>
                <w:rFonts w:hint="eastAsia" w:ascii="宋体" w:hAnsi="宋体" w:eastAsia="宋体" w:cs="宋体"/>
                <w:color w:val="auto"/>
                <w:szCs w:val="21"/>
              </w:rPr>
            </w:pPr>
            <w:r>
              <w:rPr>
                <w:rFonts w:hint="eastAsia" w:ascii="宋体" w:hAnsi="宋体" w:eastAsia="宋体" w:cs="宋体"/>
                <w:snapToGrid w:val="0"/>
                <w:color w:val="auto"/>
                <w:spacing w:val="4"/>
                <w:kern w:val="0"/>
                <w:szCs w:val="21"/>
              </w:rPr>
              <w:t>12</w:t>
            </w:r>
          </w:p>
        </w:tc>
        <w:tc>
          <w:tcPr>
            <w:tcW w:w="5149" w:type="dxa"/>
            <w:vAlign w:val="center"/>
          </w:tcPr>
          <w:p w14:paraId="247A929C">
            <w:pPr>
              <w:adjustRightInd w:val="0"/>
              <w:snapToGrid w:val="0"/>
              <w:jc w:val="center"/>
              <w:rPr>
                <w:rFonts w:hint="eastAsia" w:ascii="宋体" w:hAnsi="宋体" w:eastAsia="宋体" w:cs="宋体"/>
                <w:color w:val="auto"/>
                <w:szCs w:val="21"/>
              </w:rPr>
            </w:pPr>
          </w:p>
        </w:tc>
      </w:tr>
    </w:tbl>
    <w:p w14:paraId="2425675E">
      <w:pPr>
        <w:rPr>
          <w:rFonts w:hint="eastAsia" w:ascii="宋体" w:hAnsi="宋体" w:eastAsia="宋体" w:cs="宋体"/>
          <w:color w:val="auto"/>
          <w:szCs w:val="21"/>
        </w:rPr>
      </w:pPr>
      <w:r>
        <w:rPr>
          <w:rFonts w:hint="eastAsia" w:ascii="宋体" w:hAnsi="宋体" w:eastAsia="宋体" w:cs="宋体"/>
          <w:color w:val="auto"/>
          <w:szCs w:val="21"/>
        </w:rPr>
        <w:t>注：1.以上人员岗位不能互相兼任。</w:t>
      </w:r>
    </w:p>
    <w:p w14:paraId="0B864918">
      <w:pPr>
        <w:rPr>
          <w:rFonts w:hint="eastAsia" w:ascii="宋体" w:hAnsi="宋体" w:eastAsia="宋体" w:cs="宋体"/>
          <w:color w:val="auto"/>
          <w:sz w:val="22"/>
        </w:rPr>
      </w:pPr>
      <w:r>
        <w:rPr>
          <w:rFonts w:hint="eastAsia" w:ascii="宋体" w:hAnsi="宋体" w:eastAsia="宋体" w:cs="宋体"/>
          <w:color w:val="auto"/>
          <w:szCs w:val="21"/>
        </w:rPr>
        <w:t>2.按照《造价工程师职业资格制度规定》的规定，根据原人事部、原建设部发布的《造价工程师执业资格制度暂行规定》（人发[1996]77号)取得的造价工程师执业资格，并经注册且在有效期内的，等同于一级注册造价工程师。</w:t>
      </w:r>
    </w:p>
    <w:p w14:paraId="497BC5DB">
      <w:pPr>
        <w:pStyle w:val="44"/>
        <w:rPr>
          <w:rFonts w:hint="eastAsia" w:ascii="宋体" w:hAnsi="宋体" w:eastAsia="宋体" w:cs="宋体"/>
          <w:color w:val="auto"/>
        </w:rPr>
      </w:pPr>
      <w:r>
        <w:rPr>
          <w:rFonts w:hint="eastAsia" w:ascii="宋体" w:hAnsi="宋体" w:eastAsia="宋体" w:cs="宋体"/>
          <w:color w:val="auto"/>
        </w:rPr>
        <w:t>对监理人员的要求按合同专用条款约定，具体如下：按阶段、按专业派出满足工作需要的监理机构及监理人员，高峰期人员总数不得少于12人，总监1名，专业监理工程师不少于5名(建筑专业不少于1名，幕墙专业不少于1名，电气专业不少于1名，给排水专业不少于1名，装修工程师不少于1名)，安全专职监理工程师1名，监理员按专业配备不少于4名，监理资料员不少于1名，变更或调整监理人员必须经委托人同意后方可进行。</w:t>
      </w:r>
    </w:p>
    <w:p w14:paraId="54DE8822">
      <w:pPr>
        <w:jc w:val="center"/>
        <w:rPr>
          <w:rFonts w:hint="eastAsia" w:ascii="宋体" w:hAnsi="宋体" w:eastAsia="宋体" w:cs="宋体"/>
          <w:color w:val="auto"/>
        </w:rPr>
      </w:pPr>
      <w:r>
        <w:rPr>
          <w:rFonts w:hint="eastAsia" w:ascii="宋体" w:hAnsi="宋体" w:eastAsia="宋体" w:cs="宋体"/>
          <w:color w:val="auto"/>
          <w:sz w:val="22"/>
        </w:rPr>
        <w:br w:type="page"/>
      </w:r>
      <w:bookmarkStart w:id="330" w:name="_Toc49510052"/>
      <w:bookmarkStart w:id="331" w:name="_Toc29685"/>
      <w:r>
        <w:rPr>
          <w:rFonts w:hint="eastAsia" w:ascii="宋体" w:hAnsi="宋体" w:eastAsia="宋体" w:cs="宋体"/>
          <w:b/>
          <w:bCs/>
          <w:color w:val="auto"/>
          <w:sz w:val="44"/>
          <w:szCs w:val="44"/>
        </w:rPr>
        <w:t>第三卷</w:t>
      </w:r>
      <w:bookmarkEnd w:id="330"/>
      <w:bookmarkEnd w:id="331"/>
      <w:bookmarkStart w:id="332" w:name="_Toc49510053"/>
      <w:bookmarkStart w:id="333" w:name="_Toc1700"/>
    </w:p>
    <w:p w14:paraId="025BA2D3">
      <w:pPr>
        <w:pStyle w:val="2"/>
        <w:spacing w:line="240" w:lineRule="auto"/>
        <w:jc w:val="center"/>
        <w:rPr>
          <w:rFonts w:hint="eastAsia" w:ascii="宋体" w:hAnsi="宋体" w:eastAsia="宋体" w:cs="宋体"/>
          <w:color w:val="auto"/>
        </w:rPr>
      </w:pPr>
      <w:r>
        <w:rPr>
          <w:rFonts w:hint="eastAsia" w:ascii="宋体" w:hAnsi="宋体" w:eastAsia="宋体" w:cs="宋体"/>
          <w:color w:val="auto"/>
        </w:rPr>
        <w:t>第六章 投标文件格式</w:t>
      </w:r>
      <w:bookmarkEnd w:id="332"/>
      <w:bookmarkEnd w:id="333"/>
    </w:p>
    <w:p w14:paraId="4C2202AF">
      <w:pPr>
        <w:spacing w:line="400" w:lineRule="exact"/>
        <w:rPr>
          <w:rFonts w:hint="eastAsia" w:ascii="宋体" w:hAnsi="宋体" w:eastAsia="宋体" w:cs="宋体"/>
          <w:color w:val="auto"/>
        </w:rPr>
      </w:pPr>
    </w:p>
    <w:p w14:paraId="60B9B43F">
      <w:pPr>
        <w:spacing w:line="400" w:lineRule="exact"/>
        <w:rPr>
          <w:rFonts w:hint="eastAsia" w:ascii="宋体" w:hAnsi="宋体" w:eastAsia="宋体" w:cs="宋体"/>
          <w:color w:val="auto"/>
        </w:rPr>
      </w:pPr>
      <w:r>
        <w:rPr>
          <w:rFonts w:hint="eastAsia" w:ascii="宋体" w:hAnsi="宋体" w:eastAsia="宋体" w:cs="宋体"/>
          <w:color w:val="auto"/>
        </w:rPr>
        <w:br w:type="page"/>
      </w:r>
    </w:p>
    <w:bookmarkEnd w:id="318"/>
    <w:bookmarkEnd w:id="319"/>
    <w:bookmarkEnd w:id="320"/>
    <w:bookmarkEnd w:id="321"/>
    <w:bookmarkEnd w:id="322"/>
    <w:bookmarkEnd w:id="323"/>
    <w:bookmarkEnd w:id="324"/>
    <w:bookmarkEnd w:id="325"/>
    <w:bookmarkEnd w:id="326"/>
    <w:p w14:paraId="19281E98">
      <w:pPr>
        <w:pStyle w:val="3"/>
        <w:jc w:val="center"/>
        <w:rPr>
          <w:rFonts w:hint="eastAsia" w:ascii="宋体" w:hAnsi="宋体" w:eastAsia="宋体" w:cs="宋体"/>
          <w:color w:val="auto"/>
        </w:rPr>
      </w:pPr>
      <w:bookmarkStart w:id="334" w:name="_Toc515450412"/>
      <w:bookmarkStart w:id="335" w:name="_Toc516145370"/>
      <w:bookmarkStart w:id="336" w:name="_Toc492300719"/>
      <w:r>
        <w:rPr>
          <w:rFonts w:hint="eastAsia" w:ascii="宋体" w:hAnsi="宋体" w:eastAsia="宋体" w:cs="宋体"/>
          <w:color w:val="auto"/>
        </w:rPr>
        <w:t>目录</w:t>
      </w:r>
      <w:bookmarkEnd w:id="334"/>
      <w:bookmarkEnd w:id="335"/>
      <w:bookmarkEnd w:id="336"/>
    </w:p>
    <w:p w14:paraId="6FCA6B39">
      <w:pPr>
        <w:spacing w:line="540" w:lineRule="exact"/>
        <w:outlineLvl w:val="0"/>
        <w:rPr>
          <w:rFonts w:hint="eastAsia" w:ascii="宋体" w:hAnsi="宋体" w:eastAsia="宋体" w:cs="宋体"/>
          <w:color w:val="auto"/>
        </w:rPr>
      </w:pPr>
      <w:bookmarkStart w:id="337" w:name="_Toc20798"/>
      <w:bookmarkStart w:id="338" w:name="_Toc5748"/>
      <w:bookmarkStart w:id="339" w:name="_Toc28562"/>
      <w:bookmarkStart w:id="340" w:name="_Toc7039"/>
      <w:bookmarkStart w:id="341" w:name="_Toc352691655"/>
      <w:bookmarkStart w:id="342" w:name="_Toc369531691"/>
      <w:r>
        <w:rPr>
          <w:rFonts w:hint="eastAsia" w:ascii="宋体" w:hAnsi="宋体" w:eastAsia="宋体" w:cs="宋体"/>
          <w:color w:val="auto"/>
        </w:rPr>
        <w:t>一、投标函及投标函附录</w:t>
      </w:r>
      <w:bookmarkEnd w:id="337"/>
      <w:bookmarkEnd w:id="338"/>
      <w:bookmarkEnd w:id="339"/>
    </w:p>
    <w:p w14:paraId="42BF0AC7">
      <w:pPr>
        <w:spacing w:line="540" w:lineRule="exact"/>
        <w:outlineLvl w:val="0"/>
        <w:rPr>
          <w:rFonts w:hint="eastAsia" w:ascii="宋体" w:hAnsi="宋体" w:eastAsia="宋体" w:cs="宋体"/>
          <w:color w:val="auto"/>
        </w:rPr>
      </w:pPr>
      <w:bookmarkStart w:id="343" w:name="_Toc23791"/>
      <w:bookmarkStart w:id="344" w:name="_Toc8297"/>
      <w:bookmarkStart w:id="345" w:name="_Toc23586"/>
      <w:r>
        <w:rPr>
          <w:rFonts w:hint="eastAsia" w:ascii="宋体" w:hAnsi="宋体" w:eastAsia="宋体" w:cs="宋体"/>
          <w:color w:val="auto"/>
        </w:rPr>
        <w:t>二、法定代表人身份证明</w:t>
      </w:r>
      <w:bookmarkEnd w:id="343"/>
      <w:bookmarkEnd w:id="344"/>
      <w:bookmarkEnd w:id="345"/>
      <w:bookmarkStart w:id="346" w:name="_Toc26395"/>
      <w:bookmarkStart w:id="347" w:name="_Toc16108"/>
      <w:bookmarkStart w:id="348" w:name="_Toc23827"/>
      <w:r>
        <w:rPr>
          <w:rFonts w:hint="eastAsia" w:ascii="宋体" w:hAnsi="宋体" w:eastAsia="宋体" w:cs="宋体"/>
          <w:color w:val="auto"/>
        </w:rPr>
        <w:t>、授权委托书</w:t>
      </w:r>
      <w:bookmarkEnd w:id="346"/>
      <w:bookmarkEnd w:id="347"/>
      <w:bookmarkEnd w:id="348"/>
    </w:p>
    <w:p w14:paraId="12F42040">
      <w:pPr>
        <w:spacing w:line="540" w:lineRule="exact"/>
        <w:outlineLvl w:val="0"/>
        <w:rPr>
          <w:rFonts w:hint="eastAsia" w:ascii="宋体" w:hAnsi="宋体" w:eastAsia="宋体" w:cs="宋体"/>
          <w:color w:val="auto"/>
        </w:rPr>
      </w:pPr>
      <w:bookmarkStart w:id="349" w:name="_Toc31821"/>
      <w:bookmarkStart w:id="350" w:name="_Toc13987"/>
      <w:bookmarkStart w:id="351" w:name="_Toc28998"/>
      <w:r>
        <w:rPr>
          <w:rFonts w:hint="eastAsia" w:ascii="宋体" w:hAnsi="宋体" w:eastAsia="宋体" w:cs="宋体"/>
          <w:color w:val="auto"/>
        </w:rPr>
        <w:t>三、</w:t>
      </w:r>
      <w:bookmarkEnd w:id="349"/>
      <w:bookmarkEnd w:id="350"/>
      <w:bookmarkEnd w:id="351"/>
      <w:r>
        <w:rPr>
          <w:rFonts w:hint="eastAsia" w:ascii="宋体" w:hAnsi="宋体" w:eastAsia="宋体" w:cs="宋体"/>
          <w:color w:val="auto"/>
        </w:rPr>
        <w:t>监理报酬清单</w:t>
      </w:r>
    </w:p>
    <w:p w14:paraId="40C14DAC">
      <w:pPr>
        <w:spacing w:line="540" w:lineRule="exact"/>
        <w:outlineLvl w:val="0"/>
        <w:rPr>
          <w:rFonts w:hint="eastAsia" w:ascii="宋体" w:hAnsi="宋体" w:eastAsia="宋体" w:cs="宋体"/>
          <w:color w:val="auto"/>
        </w:rPr>
      </w:pPr>
      <w:bookmarkStart w:id="352" w:name="_Toc13588"/>
      <w:bookmarkStart w:id="353" w:name="_Toc12809"/>
      <w:bookmarkStart w:id="354" w:name="_Toc4284"/>
      <w:r>
        <w:rPr>
          <w:rFonts w:hint="eastAsia" w:ascii="宋体" w:hAnsi="宋体" w:eastAsia="宋体" w:cs="宋体"/>
          <w:color w:val="auto"/>
        </w:rPr>
        <w:t>四、资格审查资料</w:t>
      </w:r>
      <w:bookmarkEnd w:id="352"/>
      <w:bookmarkEnd w:id="353"/>
      <w:bookmarkEnd w:id="354"/>
    </w:p>
    <w:p w14:paraId="40D4F572">
      <w:pPr>
        <w:spacing w:line="540" w:lineRule="exact"/>
        <w:outlineLvl w:val="0"/>
        <w:rPr>
          <w:rFonts w:hint="eastAsia" w:ascii="宋体" w:hAnsi="宋体" w:eastAsia="宋体" w:cs="宋体"/>
          <w:color w:val="auto"/>
        </w:rPr>
      </w:pPr>
      <w:bookmarkStart w:id="355" w:name="_Toc6297"/>
      <w:bookmarkStart w:id="356" w:name="_Toc4325"/>
      <w:bookmarkStart w:id="357" w:name="_Toc8093"/>
      <w:r>
        <w:rPr>
          <w:rFonts w:hint="eastAsia" w:ascii="宋体" w:hAnsi="宋体" w:eastAsia="宋体" w:cs="宋体"/>
          <w:color w:val="auto"/>
        </w:rPr>
        <w:t>五、</w:t>
      </w:r>
      <w:bookmarkEnd w:id="355"/>
      <w:bookmarkEnd w:id="356"/>
      <w:bookmarkEnd w:id="357"/>
      <w:r>
        <w:rPr>
          <w:rFonts w:hint="eastAsia" w:ascii="宋体" w:hAnsi="宋体" w:eastAsia="宋体" w:cs="宋体"/>
          <w:color w:val="auto"/>
        </w:rPr>
        <w:t>监理大纲</w:t>
      </w:r>
    </w:p>
    <w:p w14:paraId="28199D5E">
      <w:pPr>
        <w:spacing w:line="540" w:lineRule="exact"/>
        <w:outlineLvl w:val="0"/>
        <w:rPr>
          <w:rFonts w:hint="eastAsia" w:ascii="宋体" w:hAnsi="宋体" w:eastAsia="宋体" w:cs="宋体"/>
          <w:color w:val="auto"/>
        </w:rPr>
      </w:pPr>
      <w:bookmarkStart w:id="358" w:name="_Toc12786"/>
      <w:bookmarkStart w:id="359" w:name="_Toc20369"/>
      <w:bookmarkStart w:id="360" w:name="_Toc10714"/>
      <w:r>
        <w:rPr>
          <w:rFonts w:hint="eastAsia" w:ascii="宋体" w:hAnsi="宋体" w:eastAsia="宋体" w:cs="宋体"/>
          <w:color w:val="auto"/>
        </w:rPr>
        <w:t>六、其他资料</w:t>
      </w:r>
      <w:bookmarkEnd w:id="358"/>
      <w:bookmarkEnd w:id="359"/>
      <w:bookmarkEnd w:id="360"/>
    </w:p>
    <w:p w14:paraId="2F89E8EF">
      <w:pPr>
        <w:pStyle w:val="82"/>
        <w:rPr>
          <w:rFonts w:hint="eastAsia" w:ascii="宋体" w:hAnsi="宋体" w:eastAsia="宋体" w:cs="宋体"/>
          <w:color w:val="auto"/>
        </w:rPr>
      </w:pPr>
    </w:p>
    <w:p w14:paraId="579E9168">
      <w:pPr>
        <w:spacing w:line="540" w:lineRule="exact"/>
        <w:rPr>
          <w:rFonts w:hint="eastAsia" w:ascii="宋体" w:hAnsi="宋体" w:eastAsia="宋体" w:cs="宋体"/>
          <w:color w:val="auto"/>
          <w:sz w:val="20"/>
        </w:rPr>
      </w:pPr>
    </w:p>
    <w:bookmarkEnd w:id="340"/>
    <w:bookmarkEnd w:id="341"/>
    <w:bookmarkEnd w:id="342"/>
    <w:p w14:paraId="16BB7AF0">
      <w:pPr>
        <w:pStyle w:val="3"/>
        <w:spacing w:line="360" w:lineRule="auto"/>
        <w:jc w:val="center"/>
        <w:rPr>
          <w:rFonts w:hint="eastAsia" w:ascii="宋体" w:hAnsi="宋体" w:eastAsia="宋体" w:cs="宋体"/>
          <w:color w:val="auto"/>
        </w:rPr>
      </w:pPr>
      <w:bookmarkStart w:id="361" w:name="_Toc492300720"/>
      <w:bookmarkStart w:id="362" w:name="_Toc516145371"/>
      <w:bookmarkStart w:id="363" w:name="_Toc515450413"/>
      <w:r>
        <w:rPr>
          <w:rFonts w:hint="eastAsia" w:ascii="宋体" w:hAnsi="宋体" w:eastAsia="宋体" w:cs="宋体"/>
          <w:color w:val="auto"/>
        </w:rPr>
        <w:br w:type="page"/>
      </w:r>
      <w:r>
        <w:rPr>
          <w:rFonts w:hint="eastAsia" w:ascii="宋体" w:hAnsi="宋体" w:eastAsia="宋体" w:cs="宋体"/>
          <w:color w:val="auto"/>
        </w:rPr>
        <w:t>一、投标</w:t>
      </w:r>
      <w:bookmarkStart w:id="364" w:name="_Toc6931"/>
      <w:bookmarkStart w:id="365" w:name="_Toc369531692"/>
      <w:bookmarkStart w:id="366" w:name="_Toc352691656"/>
      <w:r>
        <w:rPr>
          <w:rFonts w:hint="eastAsia" w:ascii="宋体" w:hAnsi="宋体" w:eastAsia="宋体" w:cs="宋体"/>
          <w:color w:val="auto"/>
        </w:rPr>
        <w:t>函及投标函附录</w:t>
      </w:r>
      <w:bookmarkEnd w:id="361"/>
      <w:bookmarkEnd w:id="362"/>
      <w:bookmarkEnd w:id="363"/>
    </w:p>
    <w:bookmarkEnd w:id="364"/>
    <w:bookmarkEnd w:id="365"/>
    <w:bookmarkEnd w:id="366"/>
    <w:p w14:paraId="33484AB5">
      <w:pPr>
        <w:spacing w:line="360" w:lineRule="auto"/>
        <w:ind w:left="118"/>
        <w:jc w:val="center"/>
        <w:outlineLvl w:val="2"/>
        <w:rPr>
          <w:rFonts w:hint="eastAsia" w:ascii="宋体" w:hAnsi="宋体" w:eastAsia="宋体" w:cs="宋体"/>
          <w:b/>
          <w:bCs/>
          <w:color w:val="auto"/>
          <w:kern w:val="0"/>
          <w:sz w:val="32"/>
          <w:szCs w:val="28"/>
        </w:rPr>
      </w:pPr>
      <w:bookmarkStart w:id="367" w:name="_Toc359594235"/>
      <w:bookmarkStart w:id="368" w:name="_Toc370676426"/>
      <w:bookmarkStart w:id="369" w:name="_Toc530470643"/>
      <w:bookmarkStart w:id="370" w:name="_Toc529196601"/>
      <w:bookmarkStart w:id="371" w:name="_Toc482188651"/>
      <w:bookmarkStart w:id="372" w:name="_Toc391394111"/>
      <w:bookmarkStart w:id="373" w:name="_Toc535938752"/>
      <w:bookmarkStart w:id="374" w:name="_Toc385943065"/>
      <w:r>
        <w:rPr>
          <w:rFonts w:hint="eastAsia" w:ascii="宋体" w:hAnsi="宋体" w:eastAsia="宋体" w:cs="宋体"/>
          <w:b/>
          <w:bCs/>
          <w:color w:val="auto"/>
          <w:kern w:val="0"/>
          <w:sz w:val="32"/>
          <w:szCs w:val="28"/>
        </w:rPr>
        <w:t>（一）投标函</w:t>
      </w:r>
      <w:bookmarkEnd w:id="367"/>
      <w:bookmarkEnd w:id="368"/>
      <w:bookmarkEnd w:id="369"/>
      <w:bookmarkEnd w:id="370"/>
      <w:bookmarkEnd w:id="371"/>
      <w:bookmarkEnd w:id="372"/>
      <w:bookmarkEnd w:id="373"/>
      <w:bookmarkEnd w:id="374"/>
    </w:p>
    <w:p w14:paraId="1901E604">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（招标人名称）：</w:t>
      </w:r>
    </w:p>
    <w:p w14:paraId="43473DA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1．我方已仔细研究了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（项目名称）监理招标项目招标文件的全部内容，愿意以《投标函附录》中的投标报价和监理服务期限，按合同约定完成监理工作。</w:t>
      </w:r>
    </w:p>
    <w:p w14:paraId="4BD69386">
      <w:pPr>
        <w:spacing w:line="360" w:lineRule="auto"/>
        <w:ind w:firstLine="420" w:firstLineChars="200"/>
        <w:rPr>
          <w:rFonts w:hint="eastAsia" w:ascii="宋体" w:hAnsi="宋体" w:eastAsia="宋体" w:cs="宋体"/>
          <w:color w:val="auto"/>
          <w:szCs w:val="21"/>
        </w:rPr>
      </w:pPr>
      <w:bookmarkStart w:id="375" w:name="_Toc530470644"/>
      <w:r>
        <w:rPr>
          <w:rFonts w:hint="eastAsia" w:ascii="宋体" w:hAnsi="宋体" w:eastAsia="宋体" w:cs="宋体"/>
          <w:color w:val="auto"/>
          <w:szCs w:val="21"/>
        </w:rPr>
        <w:t>2. 我方的投标文件包括下列内容：</w:t>
      </w:r>
      <w:bookmarkEnd w:id="375"/>
    </w:p>
    <w:p w14:paraId="135633AF">
      <w:pPr>
        <w:spacing w:line="360" w:lineRule="auto"/>
        <w:ind w:firstLine="405"/>
        <w:rPr>
          <w:rFonts w:hint="eastAsia" w:ascii="宋体" w:hAnsi="宋体" w:eastAsia="宋体" w:cs="宋体"/>
          <w:color w:val="auto"/>
          <w:szCs w:val="21"/>
        </w:rPr>
      </w:pPr>
      <w:r>
        <w:rPr>
          <w:rFonts w:hint="eastAsia" w:ascii="宋体" w:hAnsi="宋体" w:eastAsia="宋体" w:cs="宋体"/>
          <w:color w:val="auto"/>
          <w:szCs w:val="21"/>
        </w:rPr>
        <w:t>（1）投标函及投标函附录；</w:t>
      </w:r>
    </w:p>
    <w:p w14:paraId="33482D74">
      <w:pPr>
        <w:spacing w:line="360" w:lineRule="auto"/>
        <w:ind w:firstLine="405"/>
        <w:rPr>
          <w:rFonts w:hint="eastAsia" w:ascii="宋体" w:hAnsi="宋体" w:eastAsia="宋体" w:cs="宋体"/>
          <w:color w:val="auto"/>
          <w:szCs w:val="21"/>
        </w:rPr>
      </w:pPr>
      <w:r>
        <w:rPr>
          <w:rFonts w:hint="eastAsia" w:ascii="宋体" w:hAnsi="宋体" w:eastAsia="宋体" w:cs="宋体"/>
          <w:color w:val="auto"/>
          <w:szCs w:val="21"/>
        </w:rPr>
        <w:t>（2）法定代表人身份证明或授权委托书（如有）；</w:t>
      </w:r>
    </w:p>
    <w:p w14:paraId="683D8B32">
      <w:pPr>
        <w:spacing w:line="360" w:lineRule="auto"/>
        <w:ind w:firstLine="405"/>
        <w:rPr>
          <w:rFonts w:hint="eastAsia" w:ascii="宋体" w:hAnsi="宋体" w:eastAsia="宋体" w:cs="宋体"/>
          <w:strike/>
          <w:color w:val="auto"/>
          <w:szCs w:val="21"/>
        </w:rPr>
      </w:pPr>
      <w:r>
        <w:rPr>
          <w:rFonts w:hint="eastAsia" w:ascii="宋体" w:hAnsi="宋体" w:eastAsia="宋体" w:cs="宋体"/>
          <w:color w:val="auto"/>
          <w:szCs w:val="21"/>
        </w:rPr>
        <w:t>（3）监理报酬清单；</w:t>
      </w:r>
    </w:p>
    <w:p w14:paraId="4DFA5E31">
      <w:pPr>
        <w:spacing w:line="360" w:lineRule="auto"/>
        <w:ind w:firstLine="405"/>
        <w:rPr>
          <w:rFonts w:hint="eastAsia" w:ascii="宋体" w:hAnsi="宋体" w:eastAsia="宋体" w:cs="宋体"/>
          <w:color w:val="auto"/>
          <w:szCs w:val="21"/>
        </w:rPr>
      </w:pPr>
      <w:r>
        <w:rPr>
          <w:rFonts w:hint="eastAsia" w:ascii="宋体" w:hAnsi="宋体" w:eastAsia="宋体" w:cs="宋体"/>
          <w:color w:val="auto"/>
          <w:szCs w:val="21"/>
        </w:rPr>
        <w:t>（4）资格审查资料；</w:t>
      </w:r>
    </w:p>
    <w:p w14:paraId="65D493F5">
      <w:pPr>
        <w:spacing w:line="360" w:lineRule="auto"/>
        <w:ind w:firstLine="405"/>
        <w:rPr>
          <w:rFonts w:hint="eastAsia" w:ascii="宋体" w:hAnsi="宋体" w:eastAsia="宋体" w:cs="宋体"/>
          <w:color w:val="auto"/>
          <w:szCs w:val="21"/>
        </w:rPr>
      </w:pPr>
      <w:r>
        <w:rPr>
          <w:rFonts w:hint="eastAsia" w:ascii="宋体" w:hAnsi="宋体" w:eastAsia="宋体" w:cs="宋体"/>
          <w:color w:val="auto"/>
          <w:szCs w:val="21"/>
        </w:rPr>
        <w:t>（5）监理大纲；</w:t>
      </w:r>
    </w:p>
    <w:p w14:paraId="70456B0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（6）其他资料。</w:t>
      </w:r>
    </w:p>
    <w:p w14:paraId="697B0E6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投标文件的上述组成部分如存在内容不一致的，以投标函为准。</w:t>
      </w:r>
    </w:p>
    <w:p w14:paraId="6A1FBCD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3．我方承诺在招标文件规定的投标有效期</w:t>
      </w:r>
      <w:r>
        <w:rPr>
          <w:rFonts w:hint="eastAsia" w:ascii="宋体" w:hAnsi="宋体" w:eastAsia="宋体" w:cs="宋体"/>
          <w:color w:val="auto"/>
          <w:szCs w:val="21"/>
          <w:u w:val="single"/>
        </w:rPr>
        <w:t>90</w:t>
      </w:r>
      <w:r>
        <w:rPr>
          <w:rFonts w:hint="eastAsia" w:ascii="宋体" w:hAnsi="宋体" w:eastAsia="宋体" w:cs="宋体"/>
          <w:color w:val="auto"/>
          <w:szCs w:val="21"/>
        </w:rPr>
        <w:t>日历天内不撤销投标文件。</w:t>
      </w:r>
    </w:p>
    <w:p w14:paraId="0991994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4．如我方中标，我方承诺：</w:t>
      </w:r>
    </w:p>
    <w:p w14:paraId="47104B4C">
      <w:pPr>
        <w:spacing w:line="360" w:lineRule="auto"/>
        <w:ind w:firstLine="619" w:firstLineChars="295"/>
        <w:rPr>
          <w:rFonts w:hint="eastAsia" w:ascii="宋体" w:hAnsi="宋体" w:eastAsia="宋体" w:cs="宋体"/>
          <w:color w:val="auto"/>
          <w:szCs w:val="21"/>
        </w:rPr>
      </w:pPr>
      <w:r>
        <w:rPr>
          <w:rFonts w:hint="eastAsia" w:ascii="宋体" w:hAnsi="宋体" w:eastAsia="宋体" w:cs="宋体"/>
          <w:color w:val="auto"/>
          <w:szCs w:val="21"/>
        </w:rPr>
        <w:t>（1）在收到中标通知书后，在中标通知书规定的期限内与你方签订合同；</w:t>
      </w:r>
    </w:p>
    <w:p w14:paraId="5F474FF0">
      <w:pPr>
        <w:spacing w:line="360" w:lineRule="auto"/>
        <w:ind w:firstLine="619" w:firstLineChars="295"/>
        <w:rPr>
          <w:rFonts w:hint="eastAsia" w:ascii="宋体" w:hAnsi="宋体" w:eastAsia="宋体" w:cs="宋体"/>
          <w:color w:val="auto"/>
          <w:szCs w:val="21"/>
        </w:rPr>
      </w:pPr>
      <w:r>
        <w:rPr>
          <w:rFonts w:hint="eastAsia" w:ascii="宋体" w:hAnsi="宋体" w:eastAsia="宋体" w:cs="宋体"/>
          <w:color w:val="auto"/>
          <w:szCs w:val="21"/>
        </w:rPr>
        <w:t>（2）在签订合同时不向你方提出附加条件；</w:t>
      </w:r>
    </w:p>
    <w:p w14:paraId="1B9EA8AC">
      <w:pPr>
        <w:spacing w:line="360" w:lineRule="auto"/>
        <w:ind w:firstLine="619" w:firstLineChars="295"/>
        <w:rPr>
          <w:rFonts w:hint="eastAsia" w:ascii="宋体" w:hAnsi="宋体" w:eastAsia="宋体" w:cs="宋体"/>
          <w:strike/>
          <w:color w:val="auto"/>
          <w:szCs w:val="21"/>
        </w:rPr>
      </w:pPr>
      <w:r>
        <w:rPr>
          <w:rFonts w:hint="eastAsia" w:ascii="宋体" w:hAnsi="宋体" w:eastAsia="宋体" w:cs="宋体"/>
          <w:strike/>
          <w:color w:val="auto"/>
          <w:szCs w:val="21"/>
        </w:rPr>
        <w:t>（3）按照招标文件要求提交履约保证金；</w:t>
      </w:r>
      <w:bookmarkStart w:id="376" w:name="_Toc352691658"/>
      <w:bookmarkStart w:id="377" w:name="_Toc1187"/>
      <w:bookmarkStart w:id="378" w:name="_Toc369531694"/>
    </w:p>
    <w:p w14:paraId="56754309">
      <w:pPr>
        <w:spacing w:line="360" w:lineRule="auto"/>
        <w:ind w:firstLine="619" w:firstLineChars="295"/>
        <w:rPr>
          <w:rFonts w:hint="eastAsia" w:ascii="宋体" w:hAnsi="宋体" w:eastAsia="宋体" w:cs="宋体"/>
          <w:color w:val="auto"/>
          <w:szCs w:val="21"/>
        </w:rPr>
      </w:pPr>
      <w:r>
        <w:rPr>
          <w:rFonts w:hint="eastAsia" w:ascii="宋体" w:hAnsi="宋体" w:eastAsia="宋体" w:cs="宋体"/>
          <w:color w:val="auto"/>
          <w:szCs w:val="21"/>
        </w:rPr>
        <w:t>（4）在合</w:t>
      </w:r>
      <w:bookmarkEnd w:id="376"/>
      <w:bookmarkEnd w:id="377"/>
      <w:bookmarkEnd w:id="378"/>
      <w:r>
        <w:rPr>
          <w:rFonts w:hint="eastAsia" w:ascii="宋体" w:hAnsi="宋体" w:eastAsia="宋体" w:cs="宋体"/>
          <w:color w:val="auto"/>
          <w:szCs w:val="21"/>
        </w:rPr>
        <w:t>同约定的期限内完成合同规定的全部义务。</w:t>
      </w:r>
    </w:p>
    <w:p w14:paraId="5D1EDB5B">
      <w:pPr>
        <w:spacing w:line="360" w:lineRule="auto"/>
        <w:ind w:firstLine="619" w:firstLineChars="295"/>
        <w:rPr>
          <w:rFonts w:hint="eastAsia" w:ascii="宋体" w:hAnsi="宋体" w:eastAsia="宋体" w:cs="宋体"/>
          <w:color w:val="auto"/>
          <w:szCs w:val="21"/>
        </w:rPr>
      </w:pPr>
      <w:r>
        <w:rPr>
          <w:rFonts w:hint="eastAsia" w:ascii="宋体" w:hAnsi="宋体" w:eastAsia="宋体" w:cs="宋体"/>
          <w:color w:val="auto"/>
          <w:szCs w:val="21"/>
        </w:rPr>
        <w:t>（5）除伤亡、吊销监理工程师执业资格等合法原因不能再从事监理工作情形外，如我方更换项目总监、总监代表，接受贵</w:t>
      </w:r>
      <w:r>
        <w:rPr>
          <w:rFonts w:hint="eastAsia" w:ascii="宋体" w:hAnsi="宋体" w:eastAsia="宋体" w:cs="宋体"/>
          <w:color w:val="auto"/>
          <w:spacing w:val="4"/>
          <w:szCs w:val="21"/>
        </w:rPr>
        <w:t>单位</w:t>
      </w:r>
      <w:r>
        <w:rPr>
          <w:rFonts w:hint="eastAsia" w:ascii="宋体" w:hAnsi="宋体" w:eastAsia="宋体" w:cs="宋体"/>
          <w:color w:val="auto"/>
          <w:szCs w:val="21"/>
        </w:rPr>
        <w:t>1年内拒绝我方参与贵单位后续工程投标的处理。</w:t>
      </w:r>
    </w:p>
    <w:p w14:paraId="64F57BD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5．我方在此声明，</w:t>
      </w:r>
      <w:bookmarkStart w:id="379" w:name="_Hlk22686284"/>
      <w:r>
        <w:rPr>
          <w:rFonts w:hint="eastAsia" w:ascii="宋体" w:hAnsi="宋体" w:eastAsia="宋体" w:cs="宋体"/>
          <w:color w:val="auto"/>
          <w:szCs w:val="21"/>
        </w:rPr>
        <w:t>所递交的投标文件</w:t>
      </w:r>
      <w:bookmarkEnd w:id="379"/>
      <w:r>
        <w:rPr>
          <w:rFonts w:hint="eastAsia" w:ascii="宋体" w:hAnsi="宋体" w:eastAsia="宋体" w:cs="宋体"/>
          <w:color w:val="auto"/>
          <w:szCs w:val="21"/>
        </w:rPr>
        <w:t>及有关资料内容完整、真实和准确，且不存在第二章“投标人须知”第1.4.3项规定的任何一种情形。</w:t>
      </w:r>
    </w:p>
    <w:p w14:paraId="5F8E5DB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 如我方中标，我方承诺，满足“委托人要求”中的所有内容。</w:t>
      </w:r>
    </w:p>
    <w:p w14:paraId="374DBDF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接受行政监督部门的行政处罚等。</w:t>
      </w:r>
    </w:p>
    <w:p w14:paraId="2A4613BE">
      <w:pPr>
        <w:spacing w:line="360" w:lineRule="auto"/>
        <w:ind w:firstLine="2520" w:firstLineChars="1200"/>
        <w:jc w:val="left"/>
        <w:rPr>
          <w:rFonts w:hint="eastAsia" w:ascii="宋体" w:hAnsi="宋体" w:eastAsia="宋体" w:cs="宋体"/>
          <w:color w:val="auto"/>
          <w:szCs w:val="21"/>
        </w:rPr>
      </w:pPr>
    </w:p>
    <w:p w14:paraId="576BA39E">
      <w:pPr>
        <w:spacing w:line="360" w:lineRule="auto"/>
        <w:ind w:firstLine="2520" w:firstLineChars="1200"/>
        <w:jc w:val="left"/>
        <w:rPr>
          <w:rFonts w:hint="eastAsia" w:ascii="宋体" w:hAnsi="宋体" w:eastAsia="宋体" w:cs="宋体"/>
          <w:color w:val="auto"/>
          <w:szCs w:val="21"/>
        </w:rPr>
      </w:pPr>
    </w:p>
    <w:p w14:paraId="148072A1">
      <w:pPr>
        <w:spacing w:line="360" w:lineRule="auto"/>
        <w:ind w:firstLine="2835" w:firstLineChars="1350"/>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4A85A0B1">
      <w:pPr>
        <w:spacing w:line="360" w:lineRule="auto"/>
        <w:ind w:firstLine="2835" w:firstLineChars="1350"/>
        <w:rPr>
          <w:rFonts w:hint="eastAsia" w:ascii="宋体" w:hAnsi="宋体" w:eastAsia="宋体" w:cs="宋体"/>
          <w:color w:val="auto"/>
          <w:szCs w:val="21"/>
          <w:u w:val="single"/>
        </w:rPr>
      </w:pPr>
      <w:r>
        <w:rPr>
          <w:rFonts w:hint="eastAsia" w:ascii="宋体" w:hAnsi="宋体" w:eastAsia="宋体" w:cs="宋体"/>
          <w:color w:val="auto"/>
          <w:szCs w:val="21"/>
        </w:rPr>
        <w:t>法定代表人(或被授权人)：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（签字或盖章）</w:t>
      </w:r>
    </w:p>
    <w:p w14:paraId="0152DEE4">
      <w:pPr>
        <w:spacing w:line="360" w:lineRule="auto"/>
        <w:ind w:firstLine="2835" w:firstLineChars="135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084F7F04">
      <w:pPr>
        <w:spacing w:line="360" w:lineRule="auto"/>
        <w:ind w:firstLine="2835" w:firstLineChars="1350"/>
        <w:rPr>
          <w:rFonts w:hint="eastAsia" w:ascii="宋体" w:hAnsi="宋体" w:eastAsia="宋体" w:cs="宋体"/>
          <w:color w:val="auto"/>
          <w:szCs w:val="21"/>
        </w:rPr>
      </w:pPr>
      <w:r>
        <w:rPr>
          <w:rFonts w:hint="eastAsia" w:ascii="宋体" w:hAnsi="宋体" w:eastAsia="宋体" w:cs="宋体"/>
          <w:color w:val="auto"/>
          <w:szCs w:val="21"/>
        </w:rPr>
        <w:t>网址：</w:t>
      </w:r>
      <w:r>
        <w:rPr>
          <w:rFonts w:hint="eastAsia" w:ascii="宋体" w:hAnsi="宋体" w:eastAsia="宋体" w:cs="宋体"/>
          <w:color w:val="auto"/>
          <w:szCs w:val="21"/>
          <w:u w:val="single"/>
        </w:rPr>
        <w:t xml:space="preserve">                                   </w:t>
      </w:r>
    </w:p>
    <w:p w14:paraId="2D4FF200">
      <w:pPr>
        <w:spacing w:line="360" w:lineRule="auto"/>
        <w:ind w:right="85" w:firstLine="2835" w:firstLineChars="1350"/>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p>
    <w:p w14:paraId="7941FA7A">
      <w:pPr>
        <w:spacing w:line="360" w:lineRule="auto"/>
        <w:ind w:firstLine="2835" w:firstLineChars="1350"/>
        <w:rPr>
          <w:rFonts w:hint="eastAsia" w:ascii="宋体" w:hAnsi="宋体" w:eastAsia="宋体" w:cs="宋体"/>
          <w:color w:val="auto"/>
          <w:szCs w:val="21"/>
        </w:rPr>
      </w:pP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048DB0A3">
      <w:pPr>
        <w:spacing w:line="360" w:lineRule="auto"/>
        <w:ind w:firstLine="2835" w:firstLineChars="1350"/>
        <w:rPr>
          <w:rFonts w:hint="eastAsia" w:ascii="宋体" w:hAnsi="宋体" w:eastAsia="宋体" w:cs="宋体"/>
          <w:color w:val="auto"/>
          <w:szCs w:val="21"/>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p>
    <w:p w14:paraId="779C27DE">
      <w:pPr>
        <w:spacing w:line="360" w:lineRule="auto"/>
        <w:ind w:firstLine="5880" w:firstLineChars="2800"/>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2A0A8FD4">
      <w:pPr>
        <w:rPr>
          <w:rFonts w:hint="eastAsia" w:ascii="宋体" w:hAnsi="宋体" w:eastAsia="宋体" w:cs="宋体"/>
          <w:color w:val="auto"/>
        </w:rPr>
      </w:pPr>
      <w:bookmarkStart w:id="380" w:name="_Toc369531697"/>
      <w:bookmarkStart w:id="381" w:name="_Toc352691661"/>
      <w:bookmarkStart w:id="382" w:name="_Toc300835209"/>
      <w:bookmarkStart w:id="383" w:name="_Toc152042576"/>
      <w:bookmarkStart w:id="384" w:name="_Toc384308375"/>
      <w:bookmarkStart w:id="385" w:name="_Toc152045787"/>
      <w:bookmarkStart w:id="386" w:name="_Toc144974856"/>
      <w:bookmarkStart w:id="387" w:name="_Toc247527827"/>
      <w:bookmarkStart w:id="388" w:name="_Toc361508752"/>
      <w:bookmarkStart w:id="389" w:name="_Toc17960"/>
      <w:bookmarkStart w:id="390" w:name="_Toc247514246"/>
      <w:r>
        <w:rPr>
          <w:rFonts w:hint="eastAsia" w:ascii="宋体" w:hAnsi="宋体" w:eastAsia="宋体" w:cs="宋体"/>
          <w:color w:val="auto"/>
          <w:szCs w:val="21"/>
        </w:rPr>
        <w:br w:type="page"/>
      </w:r>
    </w:p>
    <w:p w14:paraId="3AE939B7">
      <w:pPr>
        <w:spacing w:line="360" w:lineRule="auto"/>
        <w:jc w:val="center"/>
        <w:rPr>
          <w:rFonts w:hint="eastAsia" w:ascii="宋体" w:hAnsi="宋体" w:eastAsia="宋体" w:cs="宋体"/>
          <w:color w:val="auto"/>
          <w:sz w:val="32"/>
          <w:szCs w:val="32"/>
        </w:rPr>
      </w:pPr>
      <w:bookmarkStart w:id="391" w:name="_Toc370676427"/>
      <w:bookmarkStart w:id="392" w:name="_Toc482188652"/>
      <w:bookmarkStart w:id="393" w:name="_Toc391394112"/>
      <w:bookmarkStart w:id="394" w:name="_Toc515450415"/>
      <w:bookmarkStart w:id="395" w:name="_Toc516145373"/>
      <w:bookmarkStart w:id="396" w:name="_Toc492300722"/>
      <w:bookmarkStart w:id="397" w:name="_Toc359594236"/>
      <w:bookmarkStart w:id="398" w:name="_Toc385943066"/>
      <w:r>
        <w:rPr>
          <w:rFonts w:hint="eastAsia" w:ascii="宋体" w:hAnsi="宋体" w:eastAsia="宋体" w:cs="宋体"/>
          <w:b/>
          <w:bCs/>
          <w:color w:val="auto"/>
          <w:kern w:val="0"/>
          <w:sz w:val="32"/>
          <w:szCs w:val="32"/>
        </w:rPr>
        <w:t>（二）投标函附录</w:t>
      </w:r>
      <w:bookmarkEnd w:id="391"/>
      <w:bookmarkEnd w:id="392"/>
      <w:bookmarkEnd w:id="393"/>
      <w:bookmarkEnd w:id="394"/>
      <w:bookmarkEnd w:id="395"/>
      <w:bookmarkEnd w:id="396"/>
      <w:bookmarkEnd w:id="397"/>
      <w:bookmarkEnd w:id="398"/>
    </w:p>
    <w:tbl>
      <w:tblPr>
        <w:tblStyle w:val="4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12"/>
        <w:gridCol w:w="4711"/>
        <w:gridCol w:w="1649"/>
      </w:tblGrid>
      <w:tr w14:paraId="36F4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704B99A0">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812" w:type="dxa"/>
            <w:tcBorders>
              <w:top w:val="single" w:color="auto" w:sz="4" w:space="0"/>
              <w:left w:val="single" w:color="auto" w:sz="4" w:space="0"/>
              <w:bottom w:val="single" w:color="auto" w:sz="4" w:space="0"/>
              <w:right w:val="single" w:color="auto" w:sz="4" w:space="0"/>
            </w:tcBorders>
            <w:noWrap/>
            <w:vAlign w:val="center"/>
          </w:tcPr>
          <w:p w14:paraId="72F8117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4711" w:type="dxa"/>
            <w:tcBorders>
              <w:top w:val="single" w:color="auto" w:sz="4" w:space="0"/>
              <w:left w:val="single" w:color="auto" w:sz="4" w:space="0"/>
              <w:bottom w:val="single" w:color="auto" w:sz="4" w:space="0"/>
              <w:right w:val="single" w:color="auto" w:sz="4" w:space="0"/>
            </w:tcBorders>
            <w:noWrap/>
            <w:vAlign w:val="center"/>
          </w:tcPr>
          <w:p w14:paraId="0027F5B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约定内容</w:t>
            </w:r>
          </w:p>
        </w:tc>
        <w:tc>
          <w:tcPr>
            <w:tcW w:w="1649" w:type="dxa"/>
            <w:tcBorders>
              <w:top w:val="single" w:color="auto" w:sz="4" w:space="0"/>
              <w:left w:val="single" w:color="auto" w:sz="4" w:space="0"/>
              <w:bottom w:val="single" w:color="auto" w:sz="4" w:space="0"/>
              <w:right w:val="single" w:color="auto" w:sz="4" w:space="0"/>
            </w:tcBorders>
            <w:noWrap/>
            <w:vAlign w:val="center"/>
          </w:tcPr>
          <w:p w14:paraId="452CAA5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452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739FD301">
            <w:pPr>
              <w:spacing w:before="100" w:beforeAutospacing="1" w:after="100" w:afterAutospacing="1"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12" w:type="dxa"/>
            <w:tcBorders>
              <w:top w:val="single" w:color="auto" w:sz="4" w:space="0"/>
              <w:left w:val="single" w:color="auto" w:sz="4" w:space="0"/>
              <w:bottom w:val="single" w:color="auto" w:sz="4" w:space="0"/>
              <w:right w:val="single" w:color="auto" w:sz="4" w:space="0"/>
            </w:tcBorders>
            <w:noWrap/>
            <w:vAlign w:val="center"/>
          </w:tcPr>
          <w:p w14:paraId="73FF8240">
            <w:pPr>
              <w:spacing w:before="100" w:beforeAutospacing="1" w:after="100" w:afterAutospacing="1"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tc>
        <w:tc>
          <w:tcPr>
            <w:tcW w:w="4711" w:type="dxa"/>
            <w:tcBorders>
              <w:top w:val="single" w:color="auto" w:sz="4" w:space="0"/>
              <w:left w:val="single" w:color="auto" w:sz="4" w:space="0"/>
              <w:bottom w:val="single" w:color="auto" w:sz="4" w:space="0"/>
              <w:right w:val="single" w:color="auto" w:sz="4" w:space="0"/>
            </w:tcBorders>
            <w:noWrap/>
            <w:vAlign w:val="center"/>
          </w:tcPr>
          <w:p w14:paraId="3FD716DE">
            <w:pPr>
              <w:spacing w:line="400" w:lineRule="exact"/>
              <w:contextualSpacing/>
              <w:rPr>
                <w:rFonts w:hint="eastAsia" w:ascii="宋体" w:hAnsi="宋体" w:eastAsia="宋体" w:cs="宋体"/>
                <w:color w:val="auto"/>
                <w:sz w:val="24"/>
              </w:rPr>
            </w:pPr>
            <w:r>
              <w:rPr>
                <w:rFonts w:hint="eastAsia" w:ascii="宋体" w:hAnsi="宋体" w:eastAsia="宋体" w:cs="宋体"/>
                <w:color w:val="auto"/>
                <w:sz w:val="24"/>
              </w:rPr>
              <w:t>姓名：</w:t>
            </w:r>
          </w:p>
          <w:p w14:paraId="60ABD29D">
            <w:pPr>
              <w:pStyle w:val="18"/>
              <w:topLinePunct/>
              <w:spacing w:line="400" w:lineRule="exact"/>
              <w:contextualSpacing/>
              <w:rPr>
                <w:rFonts w:hint="eastAsia" w:ascii="宋体" w:hAnsi="宋体" w:eastAsia="宋体" w:cs="宋体"/>
                <w:color w:val="auto"/>
                <w:szCs w:val="24"/>
              </w:rPr>
            </w:pPr>
            <w:r>
              <w:rPr>
                <w:rFonts w:hint="eastAsia" w:ascii="宋体" w:hAnsi="宋体" w:eastAsia="宋体" w:cs="宋体"/>
                <w:color w:val="auto"/>
              </w:rPr>
              <w:t>注册证号：</w:t>
            </w:r>
          </w:p>
        </w:tc>
        <w:tc>
          <w:tcPr>
            <w:tcW w:w="1649" w:type="dxa"/>
            <w:tcBorders>
              <w:top w:val="single" w:color="auto" w:sz="4" w:space="0"/>
              <w:left w:val="single" w:color="auto" w:sz="4" w:space="0"/>
              <w:bottom w:val="single" w:color="auto" w:sz="4" w:space="0"/>
              <w:right w:val="single" w:color="auto" w:sz="4" w:space="0"/>
            </w:tcBorders>
            <w:noWrap/>
            <w:vAlign w:val="center"/>
          </w:tcPr>
          <w:p w14:paraId="7B0B575D">
            <w:pPr>
              <w:spacing w:line="400" w:lineRule="exact"/>
              <w:ind w:firstLine="820" w:firstLineChars="342"/>
              <w:contextualSpacing/>
              <w:rPr>
                <w:rFonts w:hint="eastAsia" w:ascii="宋体" w:hAnsi="宋体" w:eastAsia="宋体" w:cs="宋体"/>
                <w:color w:val="auto"/>
                <w:sz w:val="24"/>
                <w:szCs w:val="24"/>
              </w:rPr>
            </w:pPr>
          </w:p>
        </w:tc>
      </w:tr>
      <w:tr w14:paraId="3281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4B9A0BCE">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12" w:type="dxa"/>
            <w:tcBorders>
              <w:top w:val="single" w:color="auto" w:sz="4" w:space="0"/>
              <w:left w:val="single" w:color="auto" w:sz="4" w:space="0"/>
              <w:bottom w:val="single" w:color="auto" w:sz="4" w:space="0"/>
              <w:right w:val="single" w:color="auto" w:sz="4" w:space="0"/>
            </w:tcBorders>
            <w:noWrap/>
            <w:vAlign w:val="center"/>
          </w:tcPr>
          <w:p w14:paraId="75EBC082">
            <w:pPr>
              <w:spacing w:before="100" w:beforeAutospacing="1" w:after="100" w:afterAutospacing="1"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监理服务期限</w:t>
            </w:r>
          </w:p>
        </w:tc>
        <w:tc>
          <w:tcPr>
            <w:tcW w:w="4711" w:type="dxa"/>
            <w:tcBorders>
              <w:top w:val="single" w:color="auto" w:sz="4" w:space="0"/>
              <w:left w:val="single" w:color="auto" w:sz="4" w:space="0"/>
              <w:bottom w:val="single" w:color="auto" w:sz="4" w:space="0"/>
              <w:right w:val="single" w:color="auto" w:sz="4" w:space="0"/>
            </w:tcBorders>
            <w:noWrap/>
            <w:vAlign w:val="center"/>
          </w:tcPr>
          <w:p w14:paraId="615E00DC">
            <w:pPr>
              <w:pStyle w:val="18"/>
              <w:topLinePunct/>
              <w:spacing w:line="400" w:lineRule="exact"/>
              <w:contextualSpacing/>
              <w:rPr>
                <w:rFonts w:hint="eastAsia" w:ascii="宋体" w:hAnsi="宋体" w:eastAsia="宋体" w:cs="宋体"/>
                <w:color w:val="auto"/>
                <w:szCs w:val="24"/>
              </w:rPr>
            </w:pPr>
            <w:r>
              <w:rPr>
                <w:rFonts w:hint="eastAsia" w:ascii="宋体" w:hAnsi="宋体" w:eastAsia="宋体" w:cs="宋体"/>
                <w:color w:val="auto"/>
                <w:szCs w:val="24"/>
                <w:u w:val="single"/>
              </w:rPr>
              <w:t>按招标文件要求。</w:t>
            </w:r>
          </w:p>
        </w:tc>
        <w:tc>
          <w:tcPr>
            <w:tcW w:w="1649" w:type="dxa"/>
            <w:tcBorders>
              <w:top w:val="single" w:color="auto" w:sz="4" w:space="0"/>
              <w:left w:val="single" w:color="auto" w:sz="4" w:space="0"/>
              <w:bottom w:val="single" w:color="auto" w:sz="4" w:space="0"/>
              <w:right w:val="single" w:color="auto" w:sz="4" w:space="0"/>
            </w:tcBorders>
            <w:noWrap/>
            <w:vAlign w:val="center"/>
          </w:tcPr>
          <w:p w14:paraId="536C3702">
            <w:pPr>
              <w:spacing w:line="400" w:lineRule="exact"/>
              <w:contextualSpacing/>
              <w:rPr>
                <w:rFonts w:hint="eastAsia" w:ascii="宋体" w:hAnsi="宋体" w:eastAsia="宋体" w:cs="宋体"/>
                <w:color w:val="auto"/>
                <w:sz w:val="24"/>
                <w:szCs w:val="24"/>
              </w:rPr>
            </w:pPr>
          </w:p>
        </w:tc>
      </w:tr>
      <w:tr w14:paraId="4B9F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3909720D">
            <w:pPr>
              <w:tabs>
                <w:tab w:val="left" w:pos="360"/>
              </w:tabs>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12" w:type="dxa"/>
            <w:tcBorders>
              <w:top w:val="single" w:color="auto" w:sz="4" w:space="0"/>
              <w:left w:val="single" w:color="auto" w:sz="4" w:space="0"/>
              <w:bottom w:val="single" w:color="auto" w:sz="4" w:space="0"/>
              <w:right w:val="single" w:color="auto" w:sz="4" w:space="0"/>
            </w:tcBorders>
            <w:noWrap/>
            <w:vAlign w:val="center"/>
          </w:tcPr>
          <w:p w14:paraId="6E2555F4">
            <w:pPr>
              <w:spacing w:before="100" w:beforeAutospacing="1" w:after="100" w:afterAutospacing="1"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合同价款确定方式</w:t>
            </w:r>
          </w:p>
        </w:tc>
        <w:tc>
          <w:tcPr>
            <w:tcW w:w="4711" w:type="dxa"/>
            <w:tcBorders>
              <w:top w:val="single" w:color="auto" w:sz="4" w:space="0"/>
              <w:left w:val="single" w:color="auto" w:sz="4" w:space="0"/>
              <w:bottom w:val="single" w:color="auto" w:sz="4" w:space="0"/>
              <w:right w:val="single" w:color="auto" w:sz="4" w:space="0"/>
            </w:tcBorders>
            <w:noWrap/>
            <w:vAlign w:val="center"/>
          </w:tcPr>
          <w:p w14:paraId="38AF655A">
            <w:pPr>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u w:val="single"/>
              </w:rPr>
              <w:t>按合同约定。</w:t>
            </w:r>
          </w:p>
        </w:tc>
        <w:tc>
          <w:tcPr>
            <w:tcW w:w="1649" w:type="dxa"/>
            <w:tcBorders>
              <w:top w:val="single" w:color="auto" w:sz="4" w:space="0"/>
              <w:left w:val="single" w:color="auto" w:sz="4" w:space="0"/>
              <w:bottom w:val="single" w:color="auto" w:sz="4" w:space="0"/>
              <w:right w:val="single" w:color="auto" w:sz="4" w:space="0"/>
            </w:tcBorders>
            <w:noWrap/>
            <w:vAlign w:val="center"/>
          </w:tcPr>
          <w:p w14:paraId="521A5F21">
            <w:pPr>
              <w:tabs>
                <w:tab w:val="left" w:pos="360"/>
              </w:tabs>
              <w:spacing w:line="400" w:lineRule="exact"/>
              <w:contextualSpacing/>
              <w:jc w:val="center"/>
              <w:rPr>
                <w:rFonts w:hint="eastAsia" w:ascii="宋体" w:hAnsi="宋体" w:eastAsia="宋体" w:cs="宋体"/>
                <w:color w:val="auto"/>
                <w:sz w:val="24"/>
                <w:szCs w:val="24"/>
              </w:rPr>
            </w:pPr>
          </w:p>
        </w:tc>
      </w:tr>
      <w:tr w14:paraId="672E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77EF886F">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12" w:type="dxa"/>
            <w:tcBorders>
              <w:top w:val="single" w:color="auto" w:sz="4" w:space="0"/>
              <w:left w:val="single" w:color="auto" w:sz="4" w:space="0"/>
              <w:bottom w:val="single" w:color="auto" w:sz="4" w:space="0"/>
              <w:right w:val="single" w:color="auto" w:sz="4" w:space="0"/>
            </w:tcBorders>
            <w:noWrap/>
            <w:vAlign w:val="center"/>
          </w:tcPr>
          <w:p w14:paraId="458F54E0">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4711" w:type="dxa"/>
            <w:tcBorders>
              <w:top w:val="single" w:color="auto" w:sz="4" w:space="0"/>
              <w:left w:val="single" w:color="auto" w:sz="4" w:space="0"/>
              <w:bottom w:val="single" w:color="auto" w:sz="4" w:space="0"/>
              <w:right w:val="single" w:color="auto" w:sz="4" w:space="0"/>
            </w:tcBorders>
            <w:noWrap/>
            <w:vAlign w:val="center"/>
          </w:tcPr>
          <w:p w14:paraId="21D6B466">
            <w:pPr>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u w:val="single"/>
              </w:rPr>
              <w:t>按招标文件要求。</w:t>
            </w:r>
          </w:p>
        </w:tc>
        <w:tc>
          <w:tcPr>
            <w:tcW w:w="1649" w:type="dxa"/>
            <w:tcBorders>
              <w:top w:val="single" w:color="auto" w:sz="4" w:space="0"/>
              <w:left w:val="single" w:color="auto" w:sz="4" w:space="0"/>
              <w:bottom w:val="single" w:color="auto" w:sz="4" w:space="0"/>
              <w:right w:val="single" w:color="auto" w:sz="4" w:space="0"/>
            </w:tcBorders>
            <w:noWrap/>
            <w:vAlign w:val="center"/>
          </w:tcPr>
          <w:p w14:paraId="04C908CA">
            <w:pPr>
              <w:tabs>
                <w:tab w:val="left" w:pos="360"/>
              </w:tabs>
              <w:spacing w:line="400" w:lineRule="exact"/>
              <w:contextualSpacing/>
              <w:jc w:val="center"/>
              <w:rPr>
                <w:rFonts w:hint="eastAsia" w:ascii="宋体" w:hAnsi="宋体" w:eastAsia="宋体" w:cs="宋体"/>
                <w:color w:val="auto"/>
                <w:sz w:val="24"/>
                <w:szCs w:val="24"/>
              </w:rPr>
            </w:pPr>
          </w:p>
        </w:tc>
      </w:tr>
      <w:tr w14:paraId="698B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365E59A0">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12" w:type="dxa"/>
            <w:tcBorders>
              <w:top w:val="single" w:color="auto" w:sz="4" w:space="0"/>
              <w:left w:val="single" w:color="auto" w:sz="4" w:space="0"/>
              <w:bottom w:val="single" w:color="auto" w:sz="4" w:space="0"/>
              <w:right w:val="single" w:color="auto" w:sz="4" w:space="0"/>
            </w:tcBorders>
            <w:noWrap/>
            <w:vAlign w:val="center"/>
          </w:tcPr>
          <w:p w14:paraId="157B9472">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拟投入本项目监理机构人数</w:t>
            </w:r>
          </w:p>
        </w:tc>
        <w:tc>
          <w:tcPr>
            <w:tcW w:w="4711" w:type="dxa"/>
            <w:tcBorders>
              <w:top w:val="single" w:color="auto" w:sz="4" w:space="0"/>
              <w:left w:val="single" w:color="auto" w:sz="4" w:space="0"/>
              <w:bottom w:val="single" w:color="auto" w:sz="4" w:space="0"/>
              <w:right w:val="single" w:color="auto" w:sz="4" w:space="0"/>
            </w:tcBorders>
            <w:noWrap/>
            <w:vAlign w:val="center"/>
          </w:tcPr>
          <w:p w14:paraId="4D70CC2D">
            <w:pPr>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人数：</w:t>
            </w:r>
          </w:p>
        </w:tc>
        <w:tc>
          <w:tcPr>
            <w:tcW w:w="1649" w:type="dxa"/>
            <w:tcBorders>
              <w:top w:val="single" w:color="auto" w:sz="4" w:space="0"/>
              <w:left w:val="single" w:color="auto" w:sz="4" w:space="0"/>
              <w:bottom w:val="single" w:color="auto" w:sz="4" w:space="0"/>
              <w:right w:val="single" w:color="auto" w:sz="4" w:space="0"/>
            </w:tcBorders>
            <w:noWrap/>
            <w:vAlign w:val="center"/>
          </w:tcPr>
          <w:p w14:paraId="6BAAE9A5">
            <w:pPr>
              <w:tabs>
                <w:tab w:val="left" w:pos="360"/>
              </w:tabs>
              <w:spacing w:line="400" w:lineRule="exact"/>
              <w:contextualSpacing/>
              <w:jc w:val="center"/>
              <w:rPr>
                <w:rFonts w:hint="eastAsia" w:ascii="宋体" w:hAnsi="宋体" w:eastAsia="宋体" w:cs="宋体"/>
                <w:color w:val="auto"/>
                <w:sz w:val="24"/>
                <w:szCs w:val="24"/>
              </w:rPr>
            </w:pPr>
          </w:p>
        </w:tc>
      </w:tr>
      <w:tr w14:paraId="3BB3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3E4410A0">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12" w:type="dxa"/>
            <w:tcBorders>
              <w:top w:val="single" w:color="auto" w:sz="4" w:space="0"/>
              <w:left w:val="single" w:color="auto" w:sz="4" w:space="0"/>
              <w:bottom w:val="single" w:color="auto" w:sz="4" w:space="0"/>
              <w:right w:val="single" w:color="auto" w:sz="4" w:space="0"/>
            </w:tcBorders>
            <w:noWrap/>
            <w:vAlign w:val="center"/>
          </w:tcPr>
          <w:p w14:paraId="0CA6B7E4">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监理费投标</w:t>
            </w:r>
          </w:p>
          <w:p w14:paraId="0664F447">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总报价</w:t>
            </w:r>
          </w:p>
        </w:tc>
        <w:tc>
          <w:tcPr>
            <w:tcW w:w="4711" w:type="dxa"/>
            <w:tcBorders>
              <w:top w:val="single" w:color="auto" w:sz="4" w:space="0"/>
              <w:left w:val="single" w:color="auto" w:sz="4" w:space="0"/>
              <w:bottom w:val="single" w:color="auto" w:sz="4" w:space="0"/>
              <w:right w:val="single" w:color="auto" w:sz="4" w:space="0"/>
            </w:tcBorders>
            <w:noWrap/>
            <w:vAlign w:val="center"/>
          </w:tcPr>
          <w:p w14:paraId="329DDE60">
            <w:pPr>
              <w:spacing w:before="120" w:beforeLines="50" w:after="120" w:afterLines="50"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rPr>
              <w:t>大写：                    元</w:t>
            </w:r>
          </w:p>
          <w:p w14:paraId="5A2767D2">
            <w:pPr>
              <w:spacing w:before="120" w:beforeLines="50" w:after="120" w:afterLines="50"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c>
          <w:tcPr>
            <w:tcW w:w="1649" w:type="dxa"/>
            <w:tcBorders>
              <w:top w:val="single" w:color="auto" w:sz="4" w:space="0"/>
              <w:left w:val="single" w:color="auto" w:sz="4" w:space="0"/>
              <w:bottom w:val="single" w:color="auto" w:sz="4" w:space="0"/>
              <w:right w:val="single" w:color="auto" w:sz="4" w:space="0"/>
            </w:tcBorders>
            <w:noWrap/>
            <w:vAlign w:val="center"/>
          </w:tcPr>
          <w:p w14:paraId="3094CF5C">
            <w:pPr>
              <w:tabs>
                <w:tab w:val="left" w:pos="360"/>
              </w:tabs>
              <w:spacing w:line="400" w:lineRule="exact"/>
              <w:contextualSpacing/>
              <w:jc w:val="left"/>
              <w:rPr>
                <w:rFonts w:hint="eastAsia" w:ascii="宋体" w:hAnsi="宋体" w:eastAsia="宋体" w:cs="宋体"/>
                <w:b/>
                <w:color w:val="auto"/>
                <w:szCs w:val="21"/>
              </w:rPr>
            </w:pPr>
            <w:r>
              <w:rPr>
                <w:rFonts w:hint="eastAsia" w:ascii="宋体" w:hAnsi="宋体" w:eastAsia="宋体" w:cs="宋体"/>
                <w:bCs/>
                <w:color w:val="auto"/>
                <w:sz w:val="24"/>
                <w:szCs w:val="24"/>
                <w:u w:val="single"/>
              </w:rPr>
              <w:t>其中：含税单价报价：      元/平方米</w:t>
            </w:r>
          </w:p>
        </w:tc>
      </w:tr>
      <w:tr w14:paraId="70E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14:paraId="1F1EAF3B">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12" w:type="dxa"/>
            <w:tcBorders>
              <w:top w:val="single" w:color="auto" w:sz="4" w:space="0"/>
              <w:left w:val="single" w:color="auto" w:sz="4" w:space="0"/>
              <w:bottom w:val="single" w:color="auto" w:sz="4" w:space="0"/>
              <w:right w:val="single" w:color="auto" w:sz="4" w:space="0"/>
            </w:tcBorders>
            <w:noWrap/>
            <w:vAlign w:val="center"/>
          </w:tcPr>
          <w:p w14:paraId="30A84606">
            <w:pPr>
              <w:spacing w:line="400" w:lineRule="exact"/>
              <w:contextualSpacing/>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4711" w:type="dxa"/>
            <w:tcBorders>
              <w:top w:val="single" w:color="auto" w:sz="4" w:space="0"/>
              <w:left w:val="single" w:color="auto" w:sz="4" w:space="0"/>
              <w:bottom w:val="single" w:color="auto" w:sz="4" w:space="0"/>
              <w:right w:val="single" w:color="auto" w:sz="4" w:space="0"/>
            </w:tcBorders>
            <w:noWrap/>
            <w:vAlign w:val="center"/>
          </w:tcPr>
          <w:p w14:paraId="06B6DAA0">
            <w:pPr>
              <w:spacing w:line="400" w:lineRule="exact"/>
              <w:contextualSpacing/>
              <w:rPr>
                <w:rFonts w:hint="eastAsia" w:ascii="宋体" w:hAnsi="宋体" w:eastAsia="宋体" w:cs="宋体"/>
                <w:color w:val="auto"/>
                <w:sz w:val="24"/>
                <w:szCs w:val="24"/>
              </w:rPr>
            </w:pPr>
            <w:r>
              <w:rPr>
                <w:rFonts w:hint="eastAsia" w:ascii="宋体" w:hAnsi="宋体" w:eastAsia="宋体" w:cs="宋体"/>
                <w:color w:val="auto"/>
                <w:sz w:val="24"/>
                <w:szCs w:val="24"/>
              </w:rPr>
              <w:t>按招标文件要求。</w:t>
            </w:r>
          </w:p>
        </w:tc>
        <w:tc>
          <w:tcPr>
            <w:tcW w:w="1649" w:type="dxa"/>
            <w:tcBorders>
              <w:top w:val="single" w:color="auto" w:sz="4" w:space="0"/>
              <w:left w:val="single" w:color="auto" w:sz="4" w:space="0"/>
              <w:bottom w:val="single" w:color="auto" w:sz="4" w:space="0"/>
              <w:right w:val="single" w:color="auto" w:sz="4" w:space="0"/>
            </w:tcBorders>
            <w:noWrap/>
            <w:vAlign w:val="center"/>
          </w:tcPr>
          <w:p w14:paraId="574684D4">
            <w:pPr>
              <w:spacing w:line="400" w:lineRule="exact"/>
              <w:contextualSpacing/>
              <w:jc w:val="center"/>
              <w:rPr>
                <w:rFonts w:hint="eastAsia" w:ascii="宋体" w:hAnsi="宋体" w:eastAsia="宋体" w:cs="宋体"/>
                <w:color w:val="auto"/>
                <w:sz w:val="24"/>
                <w:szCs w:val="24"/>
              </w:rPr>
            </w:pPr>
          </w:p>
        </w:tc>
      </w:tr>
    </w:tbl>
    <w:p w14:paraId="01EDAA0D">
      <w:pPr>
        <w:spacing w:line="440" w:lineRule="exact"/>
        <w:jc w:val="left"/>
        <w:rPr>
          <w:rFonts w:hint="eastAsia" w:ascii="宋体" w:hAnsi="宋体" w:eastAsia="宋体" w:cs="宋体"/>
          <w:b/>
          <w:bCs/>
          <w:color w:val="auto"/>
        </w:rPr>
      </w:pPr>
      <w:r>
        <w:rPr>
          <w:rFonts w:hint="eastAsia" w:ascii="宋体" w:hAnsi="宋体" w:eastAsia="宋体" w:cs="宋体"/>
          <w:b/>
          <w:bCs/>
          <w:color w:val="auto"/>
          <w:szCs w:val="21"/>
        </w:rPr>
        <w:t>注：</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lang w:eastAsia="zh-CN"/>
        </w:rPr>
        <w:t>）</w:t>
      </w:r>
      <w:r>
        <w:rPr>
          <w:rFonts w:hint="eastAsia" w:ascii="宋体" w:hAnsi="宋体" w:eastAsia="宋体" w:cs="宋体"/>
          <w:b/>
          <w:bCs/>
          <w:color w:val="auto"/>
        </w:rPr>
        <w:t>投标人根据企业自身情况进行报价，</w:t>
      </w:r>
      <w:r>
        <w:rPr>
          <w:rFonts w:hint="eastAsia" w:ascii="宋体" w:hAnsi="宋体" w:eastAsia="宋体" w:cs="宋体"/>
          <w:b/>
          <w:bCs/>
          <w:color w:val="auto"/>
          <w:szCs w:val="21"/>
        </w:rPr>
        <w:t>小数点后保留两位小数，第三位小数四舍五入。</w:t>
      </w:r>
      <w:r>
        <w:rPr>
          <w:rFonts w:hint="eastAsia" w:ascii="宋体" w:hAnsi="宋体" w:eastAsia="宋体" w:cs="宋体"/>
          <w:b/>
          <w:bCs/>
          <w:color w:val="auto"/>
          <w:szCs w:val="21"/>
          <w:u w:val="single"/>
        </w:rPr>
        <w:t>投标总报价及含税单价报价不得超过其最高投标限价</w:t>
      </w:r>
      <w:r>
        <w:rPr>
          <w:rFonts w:hint="eastAsia" w:ascii="宋体" w:hAnsi="宋体" w:eastAsia="宋体" w:cs="宋体"/>
          <w:b/>
          <w:bCs/>
          <w:color w:val="auto"/>
        </w:rPr>
        <w:t>。</w:t>
      </w:r>
    </w:p>
    <w:p w14:paraId="087CA350">
      <w:pPr>
        <w:spacing w:line="440" w:lineRule="exact"/>
        <w:jc w:val="left"/>
        <w:rPr>
          <w:rFonts w:hint="eastAsia" w:ascii="宋体" w:hAnsi="宋体" w:eastAsia="宋体" w:cs="宋体"/>
          <w:b/>
          <w:bCs/>
          <w:color w:val="auto"/>
          <w:lang w:val="en-US"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2</w:t>
      </w:r>
      <w:r>
        <w:rPr>
          <w:rFonts w:hint="eastAsia" w:ascii="宋体" w:hAnsi="宋体" w:eastAsia="宋体" w:cs="宋体"/>
          <w:b/>
          <w:bCs/>
          <w:color w:val="auto"/>
          <w:lang w:eastAsia="zh-CN"/>
        </w:rPr>
        <w:t>）</w:t>
      </w:r>
      <w:r>
        <w:rPr>
          <w:rFonts w:hint="eastAsia" w:ascii="宋体" w:hAnsi="宋体" w:eastAsia="宋体" w:cs="宋体"/>
          <w:b/>
          <w:bCs/>
          <w:color w:val="auto"/>
          <w:u w:val="single"/>
          <w:lang w:val="en-US" w:eastAsia="zh-CN"/>
        </w:rPr>
        <w:t>本项目监理面积为136810.95平方米，含税单价最高限价为人民币31.85元/平方米（不含投资控制），监理费用=建筑面积*监理费单价。</w:t>
      </w:r>
    </w:p>
    <w:p w14:paraId="31324D72">
      <w:pPr>
        <w:spacing w:line="480" w:lineRule="exact"/>
        <w:jc w:val="left"/>
        <w:rPr>
          <w:rFonts w:hint="eastAsia" w:ascii="宋体" w:hAnsi="宋体" w:eastAsia="宋体" w:cs="宋体"/>
          <w:color w:val="auto"/>
          <w:sz w:val="24"/>
          <w:szCs w:val="24"/>
        </w:rPr>
      </w:pPr>
    </w:p>
    <w:p w14:paraId="53BAF763">
      <w:pPr>
        <w:spacing w:line="480" w:lineRule="exact"/>
        <w:ind w:firstLine="2880" w:firstLineChars="1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投标人：（盖单位章） </w:t>
      </w:r>
    </w:p>
    <w:p w14:paraId="4F449366">
      <w:pPr>
        <w:tabs>
          <w:tab w:val="left" w:pos="9333"/>
        </w:tabs>
        <w:spacing w:line="480" w:lineRule="exact"/>
        <w:ind w:right="178" w:rightChars="85" w:firstLine="2880" w:firstLineChars="1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法定代表人或委托代理人： （签字或盖章）   </w:t>
      </w:r>
    </w:p>
    <w:p w14:paraId="3DAF77A9">
      <w:pPr>
        <w:spacing w:line="440" w:lineRule="exact"/>
        <w:ind w:firstLine="2880" w:firstLineChars="1200"/>
        <w:rPr>
          <w:rFonts w:hint="eastAsia" w:ascii="宋体" w:hAnsi="宋体" w:eastAsia="宋体" w:cs="宋体"/>
          <w:color w:val="auto"/>
          <w:sz w:val="20"/>
        </w:rPr>
      </w:pPr>
      <w:r>
        <w:rPr>
          <w:rFonts w:hint="eastAsia" w:ascii="宋体" w:hAnsi="宋体" w:eastAsia="宋体" w:cs="宋体"/>
          <w:color w:val="auto"/>
          <w:sz w:val="24"/>
          <w:szCs w:val="24"/>
        </w:rPr>
        <w:t>日期：  年  月  日</w:t>
      </w:r>
    </w:p>
    <w:p w14:paraId="737E7ED0">
      <w:pPr>
        <w:spacing w:line="4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br w:type="page"/>
      </w:r>
    </w:p>
    <w:bookmarkEnd w:id="380"/>
    <w:bookmarkEnd w:id="381"/>
    <w:bookmarkEnd w:id="382"/>
    <w:bookmarkEnd w:id="383"/>
    <w:bookmarkEnd w:id="384"/>
    <w:bookmarkEnd w:id="385"/>
    <w:bookmarkEnd w:id="386"/>
    <w:bookmarkEnd w:id="387"/>
    <w:bookmarkEnd w:id="388"/>
    <w:bookmarkEnd w:id="389"/>
    <w:bookmarkEnd w:id="390"/>
    <w:p w14:paraId="3050F825">
      <w:pPr>
        <w:spacing w:line="600" w:lineRule="auto"/>
        <w:jc w:val="left"/>
        <w:outlineLvl w:val="1"/>
        <w:rPr>
          <w:rFonts w:hint="eastAsia" w:ascii="宋体" w:hAnsi="宋体" w:eastAsia="宋体" w:cs="宋体"/>
          <w:b/>
          <w:bCs/>
          <w:color w:val="auto"/>
          <w:kern w:val="0"/>
          <w:sz w:val="30"/>
          <w:szCs w:val="30"/>
        </w:rPr>
      </w:pPr>
      <w:bookmarkStart w:id="399" w:name="_Toc530470646"/>
      <w:bookmarkStart w:id="400" w:name="_Toc529196603"/>
      <w:bookmarkStart w:id="401" w:name="_Toc535938754"/>
      <w:bookmarkStart w:id="402" w:name="_Toc516145374"/>
      <w:bookmarkStart w:id="403" w:name="_Toc492300723"/>
      <w:bookmarkStart w:id="404" w:name="_Toc515450416"/>
      <w:r>
        <w:rPr>
          <w:rFonts w:hint="eastAsia" w:ascii="宋体" w:hAnsi="宋体" w:eastAsia="宋体" w:cs="宋体"/>
          <w:b/>
          <w:bCs/>
          <w:color w:val="auto"/>
          <w:kern w:val="0"/>
          <w:sz w:val="30"/>
          <w:szCs w:val="30"/>
        </w:rPr>
        <w:t>二、法定代表人身份证明或授权委托书（格式可自定）</w:t>
      </w:r>
      <w:bookmarkEnd w:id="399"/>
      <w:bookmarkEnd w:id="400"/>
      <w:bookmarkEnd w:id="401"/>
    </w:p>
    <w:p w14:paraId="3370F34D">
      <w:pPr>
        <w:spacing w:line="440" w:lineRule="exact"/>
        <w:jc w:val="center"/>
        <w:rPr>
          <w:rFonts w:hint="eastAsia" w:ascii="宋体" w:hAnsi="宋体" w:eastAsia="宋体" w:cs="宋体"/>
          <w:color w:val="auto"/>
        </w:rPr>
      </w:pPr>
      <w:r>
        <w:rPr>
          <w:rFonts w:hint="eastAsia" w:ascii="宋体" w:hAnsi="宋体" w:eastAsia="宋体" w:cs="宋体"/>
          <w:b/>
          <w:color w:val="auto"/>
          <w:sz w:val="32"/>
          <w:szCs w:val="32"/>
        </w:rPr>
        <w:t>法定代表人身份证明</w:t>
      </w:r>
      <w:bookmarkEnd w:id="402"/>
      <w:bookmarkEnd w:id="403"/>
      <w:bookmarkEnd w:id="404"/>
    </w:p>
    <w:p w14:paraId="6DB39968">
      <w:pPr>
        <w:spacing w:line="440" w:lineRule="exact"/>
        <w:rPr>
          <w:rFonts w:hint="eastAsia" w:ascii="宋体" w:hAnsi="宋体" w:eastAsia="宋体" w:cs="宋体"/>
          <w:color w:val="auto"/>
        </w:rPr>
      </w:pPr>
      <w:r>
        <w:rPr>
          <w:rFonts w:hint="eastAsia" w:ascii="宋体" w:hAnsi="宋体" w:eastAsia="宋体" w:cs="宋体"/>
          <w:color w:val="auto"/>
        </w:rPr>
        <w:t>投标人名称：</w:t>
      </w:r>
      <w:r>
        <w:rPr>
          <w:rFonts w:hint="eastAsia" w:ascii="宋体" w:hAnsi="宋体" w:eastAsia="宋体" w:cs="宋体"/>
          <w:color w:val="auto"/>
          <w:szCs w:val="21"/>
          <w:u w:val="single"/>
        </w:rPr>
        <w:t xml:space="preserve">                                </w:t>
      </w:r>
    </w:p>
    <w:p w14:paraId="0810F6D0">
      <w:pPr>
        <w:spacing w:line="440" w:lineRule="exact"/>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szCs w:val="21"/>
          <w:u w:val="single"/>
        </w:rPr>
        <w:t xml:space="preserve">             </w:t>
      </w:r>
      <w:r>
        <w:rPr>
          <w:rFonts w:hint="eastAsia" w:ascii="宋体" w:hAnsi="宋体" w:eastAsia="宋体" w:cs="宋体"/>
          <w:color w:val="auto"/>
        </w:rPr>
        <w:t>性别：</w:t>
      </w:r>
      <w:bookmarkStart w:id="405" w:name="_Toc352691662"/>
      <w:bookmarkStart w:id="406" w:name="_Toc369531698"/>
      <w:bookmarkStart w:id="407" w:name="_Toc27897"/>
      <w:r>
        <w:rPr>
          <w:rFonts w:hint="eastAsia" w:ascii="宋体" w:hAnsi="宋体" w:eastAsia="宋体" w:cs="宋体"/>
          <w:color w:val="auto"/>
          <w:szCs w:val="21"/>
          <w:u w:val="single"/>
        </w:rPr>
        <w:t xml:space="preserve">             </w:t>
      </w:r>
      <w:r>
        <w:rPr>
          <w:rFonts w:hint="eastAsia" w:ascii="宋体" w:hAnsi="宋体" w:eastAsia="宋体" w:cs="宋体"/>
          <w:color w:val="auto"/>
        </w:rPr>
        <w:t>年</w:t>
      </w:r>
      <w:bookmarkEnd w:id="405"/>
      <w:bookmarkEnd w:id="406"/>
      <w:bookmarkEnd w:id="407"/>
      <w:r>
        <w:rPr>
          <w:rFonts w:hint="eastAsia" w:ascii="宋体" w:hAnsi="宋体" w:eastAsia="宋体" w:cs="宋体"/>
          <w:color w:val="auto"/>
        </w:rPr>
        <w:t>龄</w:t>
      </w:r>
      <w:bookmarkStart w:id="408" w:name="_Toc384308377"/>
      <w:bookmarkStart w:id="409" w:name="_Toc361508754"/>
      <w:bookmarkStart w:id="410" w:name="_Toc247527829"/>
      <w:bookmarkStart w:id="411" w:name="_Toc247514248"/>
      <w:bookmarkStart w:id="412" w:name="_Toc152045789"/>
      <w:bookmarkStart w:id="413" w:name="_Toc369531699"/>
      <w:bookmarkStart w:id="414" w:name="_Toc352691663"/>
      <w:bookmarkStart w:id="415" w:name="_Toc15573"/>
      <w:bookmarkStart w:id="416" w:name="_Toc144974858"/>
      <w:bookmarkStart w:id="417" w:name="_Toc152042578"/>
      <w:bookmarkStart w:id="418" w:name="_Toc300835211"/>
      <w:r>
        <w:rPr>
          <w:rFonts w:hint="eastAsia" w:ascii="宋体" w:hAnsi="宋体" w:eastAsia="宋体" w:cs="宋体"/>
          <w:color w:val="auto"/>
        </w:rPr>
        <w:t>：</w:t>
      </w:r>
      <w:bookmarkEnd w:id="408"/>
      <w:bookmarkEnd w:id="409"/>
      <w:bookmarkEnd w:id="410"/>
      <w:bookmarkEnd w:id="411"/>
      <w:bookmarkEnd w:id="412"/>
      <w:bookmarkEnd w:id="413"/>
      <w:bookmarkEnd w:id="414"/>
      <w:bookmarkEnd w:id="415"/>
      <w:bookmarkEnd w:id="416"/>
      <w:bookmarkEnd w:id="417"/>
      <w:bookmarkEnd w:id="418"/>
      <w:r>
        <w:rPr>
          <w:rFonts w:hint="eastAsia" w:ascii="宋体" w:hAnsi="宋体" w:eastAsia="宋体" w:cs="宋体"/>
          <w:color w:val="auto"/>
          <w:szCs w:val="21"/>
          <w:u w:val="single"/>
        </w:rPr>
        <w:t xml:space="preserve">             </w:t>
      </w:r>
      <w:r>
        <w:rPr>
          <w:rFonts w:hint="eastAsia" w:ascii="宋体" w:hAnsi="宋体" w:eastAsia="宋体" w:cs="宋体"/>
          <w:color w:val="auto"/>
        </w:rPr>
        <w:t>职务：</w:t>
      </w:r>
      <w:r>
        <w:rPr>
          <w:rFonts w:hint="eastAsia" w:ascii="宋体" w:hAnsi="宋体" w:eastAsia="宋体" w:cs="宋体"/>
          <w:color w:val="auto"/>
          <w:szCs w:val="21"/>
          <w:u w:val="single"/>
        </w:rPr>
        <w:t xml:space="preserve">             </w:t>
      </w:r>
    </w:p>
    <w:p w14:paraId="5FB054D7">
      <w:pPr>
        <w:spacing w:line="440" w:lineRule="exact"/>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szCs w:val="21"/>
          <w:u w:val="single"/>
        </w:rPr>
        <w:t xml:space="preserve">                               </w:t>
      </w:r>
      <w:r>
        <w:rPr>
          <w:rFonts w:hint="eastAsia" w:ascii="宋体" w:hAnsi="宋体" w:eastAsia="宋体" w:cs="宋体"/>
          <w:color w:val="auto"/>
        </w:rPr>
        <w:t>（投标人名称）的法定代表人。</w:t>
      </w:r>
    </w:p>
    <w:p w14:paraId="7CDAD564">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特此证明。</w:t>
      </w:r>
    </w:p>
    <w:p w14:paraId="608C8110">
      <w:pPr>
        <w:spacing w:line="440" w:lineRule="exact"/>
        <w:rPr>
          <w:rFonts w:hint="eastAsia" w:ascii="宋体" w:hAnsi="宋体" w:eastAsia="宋体" w:cs="宋体"/>
          <w:color w:val="auto"/>
        </w:rPr>
      </w:pPr>
    </w:p>
    <w:p w14:paraId="721F4C6F">
      <w:pPr>
        <w:spacing w:line="440" w:lineRule="exact"/>
        <w:rPr>
          <w:rFonts w:hint="eastAsia" w:ascii="宋体" w:hAnsi="宋体" w:eastAsia="宋体" w:cs="宋体"/>
          <w:color w:val="auto"/>
        </w:rPr>
      </w:pPr>
      <w:r>
        <w:rPr>
          <w:rFonts w:hint="eastAsia" w:ascii="宋体" w:hAnsi="宋体" w:eastAsia="宋体" w:cs="宋体"/>
          <w:color w:val="auto"/>
        </w:rPr>
        <w:t>附：法定代表人身份证扫描件。</w:t>
      </w:r>
    </w:p>
    <w:p w14:paraId="3FB5A41D">
      <w:pPr>
        <w:spacing w:line="440" w:lineRule="exact"/>
        <w:rPr>
          <w:rFonts w:hint="eastAsia" w:ascii="宋体" w:hAnsi="宋体" w:eastAsia="宋体" w:cs="宋体"/>
          <w:color w:val="auto"/>
        </w:rPr>
      </w:pPr>
    </w:p>
    <w:p w14:paraId="6731DE56">
      <w:pPr>
        <w:spacing w:line="440" w:lineRule="exact"/>
        <w:rPr>
          <w:rFonts w:hint="eastAsia" w:ascii="宋体" w:hAnsi="宋体" w:eastAsia="宋体" w:cs="宋体"/>
          <w:color w:val="auto"/>
        </w:rPr>
      </w:pPr>
      <w:r>
        <w:rPr>
          <w:rFonts w:hint="eastAsia" w:ascii="宋体" w:hAnsi="宋体" w:eastAsia="宋体" w:cs="宋体"/>
          <w:color w:val="auto"/>
        </w:rPr>
        <w:t>注：本身份证明需由投标人加盖单位公章。</w:t>
      </w:r>
    </w:p>
    <w:p w14:paraId="2465156E">
      <w:pPr>
        <w:spacing w:line="440" w:lineRule="exact"/>
        <w:rPr>
          <w:rFonts w:hint="eastAsia" w:ascii="宋体" w:hAnsi="宋体" w:eastAsia="宋体" w:cs="宋体"/>
          <w:color w:val="auto"/>
        </w:rPr>
      </w:pPr>
    </w:p>
    <w:p w14:paraId="0CD7C675">
      <w:pPr>
        <w:spacing w:line="440" w:lineRule="exact"/>
        <w:rPr>
          <w:rFonts w:hint="eastAsia" w:ascii="宋体" w:hAnsi="宋体" w:eastAsia="宋体" w:cs="宋体"/>
          <w:color w:val="auto"/>
        </w:rPr>
      </w:pPr>
    </w:p>
    <w:p w14:paraId="6A45BCB5">
      <w:pPr>
        <w:spacing w:line="440" w:lineRule="exact"/>
        <w:jc w:val="center"/>
        <w:rPr>
          <w:rFonts w:hint="eastAsia" w:ascii="宋体" w:hAnsi="宋体" w:eastAsia="宋体" w:cs="宋体"/>
          <w:color w:val="auto"/>
        </w:rPr>
      </w:pPr>
      <w:r>
        <w:rPr>
          <w:rFonts w:hint="eastAsia" w:ascii="宋体" w:hAnsi="宋体" w:eastAsia="宋体" w:cs="宋体"/>
          <w:color w:val="auto"/>
        </w:rPr>
        <w:t xml:space="preserve">                    </w:t>
      </w:r>
      <w:bookmarkStart w:id="419" w:name="_Toc21557"/>
      <w:bookmarkStart w:id="420" w:name="_Toc17279"/>
      <w:r>
        <w:rPr>
          <w:rFonts w:hint="eastAsia" w:ascii="宋体" w:hAnsi="宋体" w:eastAsia="宋体" w:cs="宋体"/>
          <w:color w:val="auto"/>
        </w:rPr>
        <w:t>投标人：</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rPr>
        <w:t>（盖单位章）</w:t>
      </w:r>
      <w:bookmarkEnd w:id="419"/>
      <w:bookmarkEnd w:id="420"/>
    </w:p>
    <w:p w14:paraId="5363261F">
      <w:pPr>
        <w:spacing w:line="440" w:lineRule="exact"/>
        <w:rPr>
          <w:rFonts w:hint="eastAsia" w:ascii="宋体" w:hAnsi="宋体" w:eastAsia="宋体" w:cs="宋体"/>
          <w:color w:val="auto"/>
        </w:rPr>
      </w:pPr>
    </w:p>
    <w:p w14:paraId="6B78C253">
      <w:pPr>
        <w:spacing w:line="440" w:lineRule="exact"/>
        <w:ind w:firstLine="5040" w:firstLineChars="2400"/>
        <w:rPr>
          <w:rFonts w:hint="eastAsia" w:ascii="宋体" w:hAnsi="宋体" w:eastAsia="宋体" w:cs="宋体"/>
          <w:color w:val="auto"/>
        </w:rPr>
      </w:pPr>
      <w:r>
        <w:rPr>
          <w:rFonts w:hint="eastAsia" w:ascii="宋体" w:hAnsi="宋体" w:eastAsia="宋体" w:cs="宋体"/>
          <w:color w:val="auto"/>
        </w:rPr>
        <w:t>年   月   日</w:t>
      </w:r>
    </w:p>
    <w:p w14:paraId="62A22423">
      <w:pPr>
        <w:spacing w:line="440" w:lineRule="exact"/>
        <w:rPr>
          <w:rFonts w:hint="eastAsia" w:ascii="宋体" w:hAnsi="宋体" w:eastAsia="宋体" w:cs="宋体"/>
          <w:color w:val="auto"/>
          <w:sz w:val="20"/>
        </w:rPr>
      </w:pPr>
    </w:p>
    <w:p w14:paraId="590D9E32">
      <w:pPr>
        <w:rPr>
          <w:rFonts w:hint="eastAsia" w:ascii="宋体" w:hAnsi="宋体" w:eastAsia="宋体" w:cs="宋体"/>
          <w:b/>
          <w:color w:val="auto"/>
          <w:sz w:val="32"/>
          <w:szCs w:val="32"/>
        </w:rPr>
      </w:pPr>
      <w:r>
        <w:rPr>
          <w:rFonts w:hint="eastAsia" w:ascii="宋体" w:hAnsi="宋体" w:eastAsia="宋体" w:cs="宋体"/>
          <w:color w:val="auto"/>
          <w:sz w:val="20"/>
        </w:rPr>
        <w:br w:type="page"/>
      </w:r>
    </w:p>
    <w:p w14:paraId="58BBFE16">
      <w:pPr>
        <w:spacing w:line="440" w:lineRule="exact"/>
        <w:jc w:val="center"/>
        <w:rPr>
          <w:rFonts w:hint="eastAsia" w:ascii="宋体" w:hAnsi="宋体" w:eastAsia="宋体" w:cs="宋体"/>
          <w:color w:val="auto"/>
        </w:rPr>
      </w:pPr>
      <w:r>
        <w:rPr>
          <w:rFonts w:hint="eastAsia" w:ascii="宋体" w:hAnsi="宋体" w:eastAsia="宋体" w:cs="宋体"/>
          <w:b/>
          <w:color w:val="auto"/>
          <w:sz w:val="32"/>
          <w:szCs w:val="32"/>
        </w:rPr>
        <w:t>授权委托书</w:t>
      </w:r>
    </w:p>
    <w:p w14:paraId="32944A49">
      <w:pPr>
        <w:topLinePunct/>
        <w:spacing w:line="440" w:lineRule="exact"/>
        <w:ind w:firstLine="420" w:firstLineChars="200"/>
        <w:rPr>
          <w:rFonts w:hint="eastAsia" w:ascii="宋体" w:hAnsi="宋体" w:eastAsia="宋体" w:cs="宋体"/>
          <w:color w:val="auto"/>
        </w:rPr>
      </w:pPr>
    </w:p>
    <w:p w14:paraId="40ED0CD5">
      <w:pPr>
        <w:topLinePunct/>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本人</w:t>
      </w:r>
      <w:r>
        <w:rPr>
          <w:rFonts w:hint="eastAsia" w:ascii="宋体" w:hAnsi="宋体" w:eastAsia="宋体" w:cs="宋体"/>
          <w:color w:val="auto"/>
          <w:szCs w:val="21"/>
          <w:u w:val="single"/>
        </w:rPr>
        <w:t xml:space="preserve">       </w:t>
      </w:r>
      <w:r>
        <w:rPr>
          <w:rFonts w:hint="eastAsia" w:ascii="宋体" w:hAnsi="宋体" w:eastAsia="宋体" w:cs="宋体"/>
          <w:color w:val="auto"/>
        </w:rPr>
        <w:t>（姓名）系</w:t>
      </w:r>
      <w:r>
        <w:rPr>
          <w:rFonts w:hint="eastAsia" w:ascii="宋体" w:hAnsi="宋体" w:eastAsia="宋体" w:cs="宋体"/>
          <w:color w:val="auto"/>
          <w:szCs w:val="21"/>
          <w:u w:val="single"/>
        </w:rPr>
        <w:t xml:space="preserve">          </w:t>
      </w:r>
      <w:r>
        <w:rPr>
          <w:rFonts w:hint="eastAsia" w:ascii="宋体" w:hAnsi="宋体" w:eastAsia="宋体" w:cs="宋体"/>
          <w:color w:val="auto"/>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rPr>
        <w:t>（姓名）为我方代理人。代理人根据授权，以我方名义签署、澄清确认、递交、撤回、修改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rPr>
        <w:t>投标文件、签订合同和处理有关事宜，其法律后果由我方承担。</w:t>
      </w:r>
    </w:p>
    <w:p w14:paraId="3D547F1F">
      <w:pPr>
        <w:spacing w:line="440" w:lineRule="exact"/>
        <w:rPr>
          <w:rFonts w:hint="eastAsia" w:ascii="宋体" w:hAnsi="宋体" w:eastAsia="宋体" w:cs="宋体"/>
          <w:color w:val="auto"/>
        </w:rPr>
      </w:pPr>
      <w:r>
        <w:rPr>
          <w:rFonts w:hint="eastAsia" w:ascii="宋体" w:hAnsi="宋体" w:eastAsia="宋体" w:cs="宋体"/>
          <w:color w:val="auto"/>
        </w:rPr>
        <w:t>委托期限：</w:t>
      </w:r>
      <w:r>
        <w:rPr>
          <w:rFonts w:hint="eastAsia" w:ascii="宋体" w:hAnsi="宋体" w:eastAsia="宋体" w:cs="宋体"/>
          <w:color w:val="auto"/>
          <w:szCs w:val="21"/>
          <w:u w:val="single"/>
        </w:rPr>
        <w:t xml:space="preserve">     90日历天       </w:t>
      </w:r>
      <w:r>
        <w:rPr>
          <w:rFonts w:hint="eastAsia" w:ascii="宋体" w:hAnsi="宋体" w:eastAsia="宋体" w:cs="宋体"/>
          <w:color w:val="auto"/>
        </w:rPr>
        <w:t>。</w:t>
      </w:r>
    </w:p>
    <w:p w14:paraId="25B38655">
      <w:pPr>
        <w:spacing w:line="440" w:lineRule="exact"/>
        <w:ind w:firstLine="420" w:firstLineChars="200"/>
        <w:rPr>
          <w:rFonts w:hint="eastAsia" w:ascii="宋体" w:hAnsi="宋体" w:eastAsia="宋体" w:cs="宋体"/>
          <w:color w:val="auto"/>
        </w:rPr>
      </w:pPr>
      <w:r>
        <w:rPr>
          <w:rFonts w:hint="eastAsia" w:ascii="宋体" w:hAnsi="宋体" w:eastAsia="宋体" w:cs="宋体"/>
          <w:color w:val="auto"/>
        </w:rPr>
        <w:t>代理人无转委托权。</w:t>
      </w:r>
    </w:p>
    <w:p w14:paraId="485FC6D5">
      <w:pPr>
        <w:spacing w:line="440" w:lineRule="exact"/>
        <w:ind w:firstLine="420" w:firstLineChars="200"/>
        <w:rPr>
          <w:rFonts w:hint="eastAsia" w:ascii="宋体" w:hAnsi="宋体" w:eastAsia="宋体" w:cs="宋体"/>
          <w:color w:val="auto"/>
        </w:rPr>
      </w:pPr>
    </w:p>
    <w:p w14:paraId="365DEB6A">
      <w:pPr>
        <w:spacing w:line="440" w:lineRule="exact"/>
        <w:rPr>
          <w:rFonts w:hint="eastAsia" w:ascii="宋体" w:hAnsi="宋体" w:eastAsia="宋体" w:cs="宋体"/>
          <w:color w:val="auto"/>
        </w:rPr>
      </w:pPr>
      <w:r>
        <w:rPr>
          <w:rFonts w:hint="eastAsia" w:ascii="宋体" w:hAnsi="宋体" w:eastAsia="宋体" w:cs="宋体"/>
          <w:color w:val="auto"/>
        </w:rPr>
        <w:t>附：法定代表人身份证扫描件及委托代理人身份证扫描件</w:t>
      </w:r>
    </w:p>
    <w:p w14:paraId="06206898">
      <w:pPr>
        <w:spacing w:line="440" w:lineRule="exact"/>
        <w:rPr>
          <w:rFonts w:hint="eastAsia" w:ascii="宋体" w:hAnsi="宋体" w:eastAsia="宋体" w:cs="宋体"/>
          <w:color w:val="auto"/>
        </w:rPr>
      </w:pPr>
    </w:p>
    <w:p w14:paraId="489A679E">
      <w:pPr>
        <w:spacing w:line="440" w:lineRule="exact"/>
        <w:rPr>
          <w:rFonts w:hint="eastAsia" w:ascii="宋体" w:hAnsi="宋体" w:eastAsia="宋体" w:cs="宋体"/>
          <w:color w:val="auto"/>
        </w:rPr>
      </w:pPr>
      <w:r>
        <w:rPr>
          <w:rFonts w:hint="eastAsia" w:ascii="宋体" w:hAnsi="宋体" w:eastAsia="宋体" w:cs="宋体"/>
          <w:color w:val="auto"/>
        </w:rPr>
        <w:t>注：本授权委托书需由投标人加盖单位公章并由其法定代表人和委托代理人签字或盖章。</w:t>
      </w:r>
    </w:p>
    <w:p w14:paraId="20699BE5">
      <w:pPr>
        <w:spacing w:line="440" w:lineRule="exact"/>
        <w:rPr>
          <w:rFonts w:hint="eastAsia" w:ascii="宋体" w:hAnsi="宋体" w:eastAsia="宋体" w:cs="宋体"/>
          <w:color w:val="auto"/>
        </w:rPr>
      </w:pPr>
    </w:p>
    <w:p w14:paraId="49BCC587">
      <w:pPr>
        <w:spacing w:line="440" w:lineRule="exact"/>
        <w:ind w:firstLine="2692" w:firstLineChars="1282"/>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rPr>
        <w:t>（盖单位章）</w:t>
      </w:r>
    </w:p>
    <w:p w14:paraId="5803A2E6">
      <w:pPr>
        <w:spacing w:line="440" w:lineRule="exact"/>
        <w:ind w:firstLine="2692" w:firstLineChars="1282"/>
        <w:rPr>
          <w:rFonts w:hint="eastAsia" w:ascii="宋体" w:hAnsi="宋体" w:eastAsia="宋体" w:cs="宋体"/>
          <w:color w:val="auto"/>
        </w:rPr>
      </w:pPr>
    </w:p>
    <w:p w14:paraId="6FABA5F0">
      <w:pPr>
        <w:spacing w:line="440" w:lineRule="exact"/>
        <w:ind w:firstLine="2690" w:firstLineChars="1281"/>
        <w:jc w:val="left"/>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rPr>
        <w:t>（签字或盖章）</w:t>
      </w:r>
    </w:p>
    <w:p w14:paraId="41CC7663">
      <w:pPr>
        <w:spacing w:line="440" w:lineRule="exact"/>
        <w:ind w:firstLine="2692" w:firstLineChars="1282"/>
        <w:rPr>
          <w:rFonts w:hint="eastAsia" w:ascii="宋体" w:hAnsi="宋体" w:eastAsia="宋体" w:cs="宋体"/>
          <w:color w:val="auto"/>
        </w:rPr>
      </w:pPr>
    </w:p>
    <w:p w14:paraId="58FC3D02">
      <w:pPr>
        <w:spacing w:line="440" w:lineRule="exact"/>
        <w:ind w:firstLine="2692" w:firstLineChars="1282"/>
        <w:rPr>
          <w:rFonts w:hint="eastAsia" w:ascii="宋体" w:hAnsi="宋体" w:eastAsia="宋体" w:cs="宋体"/>
          <w:color w:val="auto"/>
        </w:rPr>
      </w:pPr>
      <w:r>
        <w:rPr>
          <w:rFonts w:hint="eastAsia" w:ascii="宋体" w:hAnsi="宋体" w:eastAsia="宋体" w:cs="宋体"/>
          <w:color w:val="auto"/>
        </w:rPr>
        <w:t>身份证号码：</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14:paraId="6ADE0FCA">
      <w:pPr>
        <w:spacing w:line="440" w:lineRule="exact"/>
        <w:ind w:firstLine="2692" w:firstLineChars="1282"/>
        <w:rPr>
          <w:rFonts w:hint="eastAsia" w:ascii="宋体" w:hAnsi="宋体" w:eastAsia="宋体" w:cs="宋体"/>
          <w:color w:val="auto"/>
        </w:rPr>
      </w:pPr>
    </w:p>
    <w:p w14:paraId="07235C4C">
      <w:pPr>
        <w:spacing w:line="440" w:lineRule="exact"/>
        <w:ind w:firstLine="2692" w:firstLineChars="1282"/>
        <w:rPr>
          <w:rFonts w:hint="eastAsia" w:ascii="宋体" w:hAnsi="宋体" w:eastAsia="宋体" w:cs="宋体"/>
          <w:color w:val="auto"/>
        </w:rPr>
      </w:pPr>
      <w:r>
        <w:rPr>
          <w:rFonts w:hint="eastAsia" w:ascii="宋体" w:hAnsi="宋体" w:eastAsia="宋体" w:cs="宋体"/>
          <w:color w:val="auto"/>
        </w:rPr>
        <w:t>委托代理人：</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rPr>
        <w:t>（签字或盖章）</w:t>
      </w:r>
    </w:p>
    <w:p w14:paraId="606477F3">
      <w:pPr>
        <w:spacing w:line="440" w:lineRule="exact"/>
        <w:ind w:firstLine="2692" w:firstLineChars="1282"/>
        <w:rPr>
          <w:rFonts w:hint="eastAsia" w:ascii="宋体" w:hAnsi="宋体" w:eastAsia="宋体" w:cs="宋体"/>
          <w:color w:val="auto"/>
        </w:rPr>
      </w:pPr>
    </w:p>
    <w:p w14:paraId="5668AD47">
      <w:pPr>
        <w:spacing w:line="440" w:lineRule="exact"/>
        <w:ind w:firstLine="2692" w:firstLineChars="1282"/>
        <w:rPr>
          <w:rFonts w:hint="eastAsia" w:ascii="宋体" w:hAnsi="宋体" w:eastAsia="宋体" w:cs="宋体"/>
          <w:color w:val="auto"/>
        </w:rPr>
      </w:pPr>
      <w:r>
        <w:rPr>
          <w:rFonts w:hint="eastAsia" w:ascii="宋体" w:hAnsi="宋体" w:eastAsia="宋体" w:cs="宋体"/>
          <w:color w:val="auto"/>
        </w:rPr>
        <w:t>身份证号码：</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p>
    <w:p w14:paraId="5A74A970">
      <w:pPr>
        <w:spacing w:line="440" w:lineRule="exact"/>
        <w:ind w:firstLine="2692" w:firstLineChars="1282"/>
        <w:rPr>
          <w:rFonts w:hint="eastAsia" w:ascii="宋体" w:hAnsi="宋体" w:eastAsia="宋体" w:cs="宋体"/>
          <w:color w:val="auto"/>
        </w:rPr>
      </w:pPr>
    </w:p>
    <w:p w14:paraId="4783FD85">
      <w:pPr>
        <w:spacing w:line="440" w:lineRule="exact"/>
        <w:ind w:firstLine="2692" w:firstLineChars="1282"/>
        <w:rPr>
          <w:rFonts w:hint="eastAsia" w:ascii="宋体" w:hAnsi="宋体" w:eastAsia="宋体" w:cs="宋体"/>
          <w:color w:val="auto"/>
        </w:rPr>
      </w:pPr>
    </w:p>
    <w:p w14:paraId="41C296E6">
      <w:pPr>
        <w:spacing w:line="440" w:lineRule="exact"/>
        <w:ind w:firstLine="4057" w:firstLineChars="1932"/>
        <w:jc w:val="right"/>
        <w:rPr>
          <w:rFonts w:hint="eastAsia" w:ascii="宋体" w:hAnsi="宋体" w:eastAsia="宋体" w:cs="宋体"/>
          <w:color w:val="auto"/>
        </w:rPr>
      </w:pPr>
      <w:r>
        <w:rPr>
          <w:rFonts w:hint="eastAsia" w:ascii="宋体" w:hAnsi="宋体" w:eastAsia="宋体" w:cs="宋体"/>
          <w:color w:val="auto"/>
        </w:rPr>
        <w:t>年   月   日</w:t>
      </w:r>
    </w:p>
    <w:p w14:paraId="29B3DBB9">
      <w:pPr>
        <w:spacing w:line="600" w:lineRule="auto"/>
        <w:jc w:val="left"/>
        <w:outlineLvl w:val="1"/>
        <w:rPr>
          <w:rFonts w:hint="eastAsia" w:ascii="宋体" w:hAnsi="宋体" w:eastAsia="宋体" w:cs="宋体"/>
          <w:b/>
          <w:bCs/>
          <w:color w:val="auto"/>
          <w:kern w:val="0"/>
          <w:sz w:val="30"/>
          <w:szCs w:val="30"/>
        </w:rPr>
      </w:pPr>
      <w:r>
        <w:rPr>
          <w:rFonts w:hint="eastAsia" w:ascii="宋体" w:hAnsi="宋体" w:eastAsia="宋体" w:cs="宋体"/>
          <w:color w:val="auto"/>
        </w:rPr>
        <w:br w:type="page"/>
      </w:r>
      <w:bookmarkStart w:id="421" w:name="_Toc516145377"/>
      <w:bookmarkStart w:id="422" w:name="_Toc515205280"/>
      <w:bookmarkStart w:id="423" w:name="_Toc8916"/>
      <w:bookmarkStart w:id="424" w:name="_Toc30672"/>
      <w:bookmarkStart w:id="425" w:name="_Toc515450421"/>
      <w:bookmarkStart w:id="426" w:name="_Toc492300728"/>
      <w:bookmarkStart w:id="427" w:name="_Toc361508760"/>
      <w:r>
        <w:rPr>
          <w:rFonts w:hint="eastAsia" w:ascii="宋体" w:hAnsi="宋体" w:eastAsia="宋体" w:cs="宋体"/>
          <w:b/>
          <w:bCs/>
          <w:color w:val="auto"/>
          <w:kern w:val="0"/>
          <w:sz w:val="30"/>
          <w:szCs w:val="30"/>
        </w:rPr>
        <w:t>三、</w:t>
      </w:r>
      <w:bookmarkEnd w:id="421"/>
      <w:bookmarkEnd w:id="422"/>
      <w:bookmarkEnd w:id="423"/>
      <w:bookmarkEnd w:id="424"/>
      <w:r>
        <w:rPr>
          <w:rFonts w:hint="eastAsia" w:ascii="宋体" w:hAnsi="宋体" w:eastAsia="宋体" w:cs="宋体"/>
          <w:b/>
          <w:bCs/>
          <w:color w:val="auto"/>
          <w:kern w:val="0"/>
          <w:sz w:val="30"/>
          <w:szCs w:val="30"/>
        </w:rPr>
        <w:t>监理报酬清单（格式可自定）</w:t>
      </w:r>
    </w:p>
    <w:p w14:paraId="6946E817">
      <w:pPr>
        <w:spacing w:before="240"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监理费用报价表</w:t>
      </w:r>
    </w:p>
    <w:p w14:paraId="6557D8D8">
      <w:pPr>
        <w:rPr>
          <w:rFonts w:hint="eastAsia" w:ascii="宋体" w:hAnsi="宋体" w:eastAsia="宋体" w:cs="宋体"/>
          <w:color w:val="auto"/>
        </w:rPr>
      </w:pPr>
    </w:p>
    <w:tbl>
      <w:tblPr>
        <w:tblStyle w:val="46"/>
        <w:tblW w:w="4997" w:type="pct"/>
        <w:jc w:val="center"/>
        <w:tblLayout w:type="fixed"/>
        <w:tblCellMar>
          <w:top w:w="0" w:type="dxa"/>
          <w:left w:w="0" w:type="dxa"/>
          <w:bottom w:w="0" w:type="dxa"/>
          <w:right w:w="0" w:type="dxa"/>
        </w:tblCellMar>
      </w:tblPr>
      <w:tblGrid>
        <w:gridCol w:w="660"/>
        <w:gridCol w:w="2853"/>
        <w:gridCol w:w="1635"/>
        <w:gridCol w:w="1466"/>
        <w:gridCol w:w="2249"/>
      </w:tblGrid>
      <w:tr w14:paraId="4FC12F4B">
        <w:tblPrEx>
          <w:tblCellMar>
            <w:top w:w="0" w:type="dxa"/>
            <w:left w:w="0" w:type="dxa"/>
            <w:bottom w:w="0" w:type="dxa"/>
            <w:right w:w="0" w:type="dxa"/>
          </w:tblCellMar>
        </w:tblPrEx>
        <w:trPr>
          <w:trHeight w:val="620" w:hRule="atLeast"/>
          <w:jc w:val="center"/>
        </w:trPr>
        <w:tc>
          <w:tcPr>
            <w:tcW w:w="3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F4445">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序号</w:t>
            </w:r>
          </w:p>
        </w:tc>
        <w:tc>
          <w:tcPr>
            <w:tcW w:w="1608"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05DDCE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事项</w:t>
            </w:r>
          </w:p>
        </w:tc>
        <w:tc>
          <w:tcPr>
            <w:tcW w:w="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2A2E5">
            <w:pPr>
              <w:widowControl/>
              <w:jc w:val="center"/>
              <w:textAlignment w:val="center"/>
              <w:rPr>
                <w:rFonts w:hint="eastAsia" w:ascii="宋体" w:hAnsi="宋体" w:eastAsia="宋体" w:cs="宋体"/>
                <w:color w:val="auto"/>
              </w:rPr>
            </w:pPr>
            <w:r>
              <w:rPr>
                <w:rFonts w:hint="eastAsia" w:ascii="宋体" w:hAnsi="宋体" w:eastAsia="宋体" w:cs="宋体"/>
                <w:color w:val="auto"/>
                <w:kern w:val="0"/>
                <w:sz w:val="22"/>
                <w:lang w:bidi="ar"/>
              </w:rPr>
              <w:t>建筑面积（m</w:t>
            </w:r>
            <w:r>
              <w:rPr>
                <w:rFonts w:hint="eastAsia" w:ascii="宋体" w:hAnsi="宋体" w:eastAsia="宋体" w:cs="宋体"/>
                <w:color w:val="auto"/>
                <w:kern w:val="0"/>
                <w:sz w:val="22"/>
                <w:vertAlign w:val="superscript"/>
                <w:lang w:bidi="ar"/>
              </w:rPr>
              <w:t xml:space="preserve">2 </w:t>
            </w:r>
            <w:r>
              <w:rPr>
                <w:rFonts w:hint="eastAsia" w:ascii="宋体" w:hAnsi="宋体" w:eastAsia="宋体" w:cs="宋体"/>
                <w:color w:val="auto"/>
                <w:sz w:val="20"/>
                <w:szCs w:val="20"/>
                <w:lang w:bidi="ar"/>
              </w:rPr>
              <w:t>)</w:t>
            </w:r>
          </w:p>
        </w:tc>
        <w:tc>
          <w:tcPr>
            <w:tcW w:w="8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BF648">
            <w:pPr>
              <w:widowControl/>
              <w:jc w:val="center"/>
              <w:textAlignment w:val="center"/>
              <w:rPr>
                <w:rFonts w:hint="eastAsia" w:ascii="宋体" w:hAnsi="宋体" w:eastAsia="宋体" w:cs="宋体"/>
                <w:color w:val="auto"/>
                <w:sz w:val="22"/>
              </w:rPr>
            </w:pPr>
            <w:r>
              <w:rPr>
                <w:rFonts w:hint="eastAsia" w:ascii="宋体" w:hAnsi="宋体" w:eastAsia="宋体" w:cs="宋体"/>
                <w:color w:val="auto"/>
                <w:sz w:val="22"/>
                <w:lang w:bidi="ar"/>
              </w:rPr>
              <w:t>含税单价报价</w:t>
            </w:r>
            <w:r>
              <w:rPr>
                <w:rFonts w:hint="eastAsia" w:ascii="宋体" w:hAnsi="宋体" w:eastAsia="宋体" w:cs="宋体"/>
                <w:color w:val="auto"/>
                <w:sz w:val="22"/>
                <w:lang w:bidi="ar"/>
              </w:rPr>
              <w:br w:type="textWrapping"/>
            </w:r>
            <w:r>
              <w:rPr>
                <w:rFonts w:hint="eastAsia" w:ascii="宋体" w:hAnsi="宋体" w:eastAsia="宋体" w:cs="宋体"/>
                <w:color w:val="auto"/>
                <w:sz w:val="20"/>
                <w:szCs w:val="20"/>
                <w:lang w:bidi="ar"/>
              </w:rPr>
              <w:t>(元/</w:t>
            </w:r>
            <w:r>
              <w:rPr>
                <w:rFonts w:hint="eastAsia" w:ascii="宋体" w:hAnsi="宋体" w:eastAsia="宋体" w:cs="宋体"/>
                <w:color w:val="auto"/>
                <w:kern w:val="0"/>
                <w:sz w:val="22"/>
                <w:lang w:bidi="ar"/>
              </w:rPr>
              <w:t>m</w:t>
            </w:r>
            <w:r>
              <w:rPr>
                <w:rFonts w:hint="eastAsia" w:ascii="宋体" w:hAnsi="宋体" w:eastAsia="宋体" w:cs="宋体"/>
                <w:color w:val="auto"/>
                <w:kern w:val="0"/>
                <w:sz w:val="22"/>
                <w:vertAlign w:val="superscript"/>
                <w:lang w:bidi="ar"/>
              </w:rPr>
              <w:t>2</w:t>
            </w:r>
            <w:r>
              <w:rPr>
                <w:rFonts w:hint="eastAsia" w:ascii="宋体" w:hAnsi="宋体" w:eastAsia="宋体" w:cs="宋体"/>
                <w:color w:val="auto"/>
                <w:sz w:val="20"/>
                <w:szCs w:val="20"/>
                <w:lang w:bidi="ar"/>
              </w:rPr>
              <w:t>)</w:t>
            </w:r>
          </w:p>
        </w:tc>
        <w:tc>
          <w:tcPr>
            <w:tcW w:w="12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87EE1">
            <w:pPr>
              <w:widowControl/>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含税综合合价</w:t>
            </w:r>
          </w:p>
          <w:p w14:paraId="7CA4490D">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（元）</w:t>
            </w:r>
          </w:p>
        </w:tc>
      </w:tr>
      <w:tr w14:paraId="32CC8A95">
        <w:tblPrEx>
          <w:tblCellMar>
            <w:top w:w="0" w:type="dxa"/>
            <w:left w:w="0" w:type="dxa"/>
            <w:bottom w:w="0" w:type="dxa"/>
            <w:right w:w="0" w:type="dxa"/>
          </w:tblCellMar>
        </w:tblPrEx>
        <w:trPr>
          <w:trHeight w:val="540" w:hRule="atLeast"/>
          <w:jc w:val="center"/>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6DB11">
            <w:pPr>
              <w:widowControl/>
              <w:jc w:val="center"/>
              <w:textAlignment w:val="center"/>
              <w:rPr>
                <w:rFonts w:hint="eastAsia" w:ascii="宋体" w:hAnsi="宋体" w:eastAsia="宋体" w:cs="宋体"/>
                <w:color w:val="auto"/>
                <w:sz w:val="22"/>
              </w:rPr>
            </w:pPr>
            <w:r>
              <w:rPr>
                <w:rFonts w:hint="eastAsia" w:ascii="宋体" w:hAnsi="宋体" w:eastAsia="宋体" w:cs="宋体"/>
                <w:color w:val="auto"/>
                <w:kern w:val="0"/>
                <w:sz w:val="22"/>
                <w:lang w:bidi="ar"/>
              </w:rPr>
              <w:t>1</w:t>
            </w:r>
          </w:p>
        </w:tc>
        <w:tc>
          <w:tcPr>
            <w:tcW w:w="16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24652">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 w:val="22"/>
              </w:rPr>
              <w:t>监理酬金</w:t>
            </w:r>
          </w:p>
        </w:tc>
        <w:tc>
          <w:tcPr>
            <w:tcW w:w="9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8C98C">
            <w:pPr>
              <w:widowControl/>
              <w:jc w:val="center"/>
              <w:textAlignment w:val="center"/>
              <w:rPr>
                <w:rFonts w:hint="eastAsia" w:ascii="宋体" w:hAnsi="宋体" w:eastAsia="宋体" w:cs="宋体"/>
                <w:color w:val="auto"/>
                <w:sz w:val="22"/>
              </w:rPr>
            </w:pPr>
            <w:r>
              <w:rPr>
                <w:rFonts w:hint="eastAsia" w:ascii="宋体" w:hAnsi="宋体" w:eastAsia="宋体" w:cs="宋体"/>
                <w:color w:val="auto"/>
                <w:sz w:val="22"/>
                <w:lang w:val="en-US" w:eastAsia="zh-CN"/>
              </w:rPr>
              <w:t>136810.95</w:t>
            </w:r>
          </w:p>
        </w:tc>
        <w:tc>
          <w:tcPr>
            <w:tcW w:w="8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9B912">
            <w:pPr>
              <w:widowControl/>
              <w:jc w:val="center"/>
              <w:textAlignment w:val="center"/>
              <w:rPr>
                <w:rFonts w:hint="eastAsia" w:ascii="宋体" w:hAnsi="宋体" w:eastAsia="宋体" w:cs="宋体"/>
                <w:color w:val="auto"/>
                <w:sz w:val="22"/>
              </w:rPr>
            </w:pPr>
          </w:p>
        </w:tc>
        <w:tc>
          <w:tcPr>
            <w:tcW w:w="1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2404B">
            <w:pPr>
              <w:widowControl/>
              <w:jc w:val="center"/>
              <w:textAlignment w:val="center"/>
              <w:rPr>
                <w:rFonts w:hint="eastAsia" w:ascii="宋体" w:hAnsi="宋体" w:eastAsia="宋体" w:cs="宋体"/>
                <w:color w:val="auto"/>
                <w:sz w:val="22"/>
              </w:rPr>
            </w:pPr>
          </w:p>
        </w:tc>
      </w:tr>
      <w:tr w14:paraId="11BA14E8">
        <w:tblPrEx>
          <w:tblCellMar>
            <w:top w:w="0" w:type="dxa"/>
            <w:left w:w="0" w:type="dxa"/>
            <w:bottom w:w="0" w:type="dxa"/>
            <w:right w:w="0" w:type="dxa"/>
          </w:tblCellMar>
        </w:tblPrEx>
        <w:trPr>
          <w:trHeight w:val="536" w:hRule="atLeast"/>
          <w:jc w:val="center"/>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71B77">
            <w:pPr>
              <w:widowControl/>
              <w:jc w:val="center"/>
              <w:textAlignment w:val="center"/>
              <w:rPr>
                <w:rFonts w:hint="eastAsia" w:ascii="宋体" w:hAnsi="宋体" w:eastAsia="宋体" w:cs="宋体"/>
                <w:color w:val="auto"/>
                <w:kern w:val="0"/>
                <w:sz w:val="22"/>
                <w:lang w:bidi="ar"/>
              </w:rPr>
            </w:pPr>
            <w:r>
              <w:rPr>
                <w:rFonts w:hint="eastAsia" w:ascii="宋体" w:hAnsi="宋体" w:eastAsia="宋体" w:cs="宋体"/>
                <w:color w:val="auto"/>
                <w:kern w:val="0"/>
                <w:sz w:val="22"/>
                <w:lang w:bidi="ar"/>
              </w:rPr>
              <w:t>2</w:t>
            </w:r>
          </w:p>
        </w:tc>
        <w:tc>
          <w:tcPr>
            <w:tcW w:w="16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72ACA">
            <w:pPr>
              <w:widowControl/>
              <w:jc w:val="center"/>
              <w:textAlignment w:val="center"/>
              <w:rPr>
                <w:rFonts w:hint="eastAsia" w:ascii="宋体" w:hAnsi="宋体" w:eastAsia="宋体" w:cs="宋体"/>
                <w:color w:val="auto"/>
                <w:kern w:val="0"/>
                <w:sz w:val="22"/>
                <w:lang w:bidi="ar"/>
              </w:rPr>
            </w:pPr>
          </w:p>
        </w:tc>
        <w:tc>
          <w:tcPr>
            <w:tcW w:w="9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B13EE">
            <w:pPr>
              <w:widowControl/>
              <w:jc w:val="center"/>
              <w:textAlignment w:val="center"/>
              <w:rPr>
                <w:rFonts w:hint="eastAsia" w:ascii="宋体" w:hAnsi="宋体" w:eastAsia="宋体" w:cs="宋体"/>
                <w:color w:val="auto"/>
                <w:kern w:val="0"/>
                <w:sz w:val="22"/>
                <w:lang w:bidi="ar"/>
              </w:rPr>
            </w:pPr>
          </w:p>
        </w:tc>
        <w:tc>
          <w:tcPr>
            <w:tcW w:w="8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998F1">
            <w:pPr>
              <w:widowControl/>
              <w:jc w:val="center"/>
              <w:textAlignment w:val="center"/>
              <w:rPr>
                <w:rFonts w:hint="eastAsia" w:ascii="宋体" w:hAnsi="宋体" w:eastAsia="宋体" w:cs="宋体"/>
                <w:color w:val="auto"/>
                <w:sz w:val="22"/>
              </w:rPr>
            </w:pPr>
          </w:p>
        </w:tc>
        <w:tc>
          <w:tcPr>
            <w:tcW w:w="1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0809C">
            <w:pPr>
              <w:widowControl/>
              <w:jc w:val="center"/>
              <w:textAlignment w:val="center"/>
              <w:rPr>
                <w:rFonts w:hint="eastAsia" w:ascii="宋体" w:hAnsi="宋体" w:eastAsia="宋体" w:cs="宋体"/>
                <w:color w:val="auto"/>
                <w:sz w:val="22"/>
              </w:rPr>
            </w:pPr>
          </w:p>
        </w:tc>
      </w:tr>
      <w:tr w14:paraId="1DB467FE">
        <w:tblPrEx>
          <w:tblCellMar>
            <w:top w:w="0" w:type="dxa"/>
            <w:left w:w="0" w:type="dxa"/>
            <w:bottom w:w="0" w:type="dxa"/>
            <w:right w:w="0" w:type="dxa"/>
          </w:tblCellMar>
        </w:tblPrEx>
        <w:trPr>
          <w:trHeight w:val="540" w:hRule="atLeast"/>
          <w:jc w:val="center"/>
        </w:trPr>
        <w:tc>
          <w:tcPr>
            <w:tcW w:w="198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F17E2">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含税合计(元）：</w:t>
            </w:r>
          </w:p>
        </w:tc>
        <w:tc>
          <w:tcPr>
            <w:tcW w:w="301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103BF">
            <w:pPr>
              <w:jc w:val="center"/>
              <w:rPr>
                <w:rFonts w:hint="eastAsia" w:ascii="宋体" w:hAnsi="宋体" w:eastAsia="宋体" w:cs="宋体"/>
                <w:b/>
                <w:bCs/>
                <w:color w:val="auto"/>
                <w:sz w:val="22"/>
              </w:rPr>
            </w:pPr>
          </w:p>
        </w:tc>
      </w:tr>
    </w:tbl>
    <w:p w14:paraId="7185BC81">
      <w:pPr>
        <w:pStyle w:val="112"/>
        <w:ind w:firstLine="0" w:firstLineChars="0"/>
        <w:rPr>
          <w:rFonts w:hint="eastAsia" w:ascii="宋体" w:hAnsi="宋体" w:eastAsia="宋体" w:cs="宋体"/>
          <w:b/>
          <w:bCs/>
          <w:color w:val="auto"/>
        </w:rPr>
      </w:pPr>
      <w:r>
        <w:rPr>
          <w:rFonts w:hint="eastAsia" w:ascii="宋体" w:hAnsi="宋体" w:eastAsia="宋体" w:cs="宋体"/>
          <w:b/>
          <w:bCs/>
          <w:color w:val="auto"/>
        </w:rPr>
        <w:t>注：1.监理费用报价表含税合计应与投标函附录的监理费投标总报价一致。</w:t>
      </w:r>
    </w:p>
    <w:p w14:paraId="1EE2FC09">
      <w:pPr>
        <w:pStyle w:val="112"/>
        <w:ind w:firstLine="498"/>
        <w:rPr>
          <w:rFonts w:hint="eastAsia" w:ascii="宋体" w:hAnsi="宋体" w:eastAsia="宋体" w:cs="宋体"/>
          <w:b/>
          <w:bCs/>
          <w:color w:val="auto"/>
        </w:rPr>
      </w:pPr>
      <w:r>
        <w:rPr>
          <w:rFonts w:hint="eastAsia" w:ascii="宋体" w:hAnsi="宋体" w:eastAsia="宋体" w:cs="宋体"/>
          <w:b/>
          <w:bCs/>
          <w:color w:val="auto"/>
        </w:rPr>
        <w:t>2.报价</w:t>
      </w:r>
      <w:r>
        <w:rPr>
          <w:rFonts w:hint="eastAsia" w:ascii="宋体" w:hAnsi="宋体" w:eastAsia="宋体" w:cs="宋体"/>
          <w:b/>
          <w:bCs/>
          <w:color w:val="auto"/>
          <w:szCs w:val="21"/>
        </w:rPr>
        <w:t>小数点后保留两位小数，第三位小数四舍五入。</w:t>
      </w:r>
    </w:p>
    <w:p w14:paraId="451E5CDD">
      <w:pPr>
        <w:pStyle w:val="112"/>
        <w:ind w:firstLine="498"/>
        <w:rPr>
          <w:rFonts w:hint="eastAsia" w:ascii="宋体" w:hAnsi="宋体" w:eastAsia="宋体" w:cs="宋体"/>
          <w:b/>
          <w:bCs/>
          <w:color w:val="auto"/>
        </w:rPr>
      </w:pPr>
      <w:r>
        <w:rPr>
          <w:rFonts w:hint="eastAsia" w:ascii="宋体" w:hAnsi="宋体" w:eastAsia="宋体" w:cs="宋体"/>
          <w:b/>
          <w:bCs/>
          <w:color w:val="auto"/>
        </w:rPr>
        <w:t>3.投标报价已包含投标人为实施和完成本项目所需的的全部费用，具体的服务要求及结算方式等内容详见招标文件及合同。</w:t>
      </w:r>
    </w:p>
    <w:p w14:paraId="054AEA9E">
      <w:pPr>
        <w:spacing w:line="480" w:lineRule="exact"/>
        <w:ind w:firstLine="2880" w:firstLineChars="1200"/>
        <w:jc w:val="left"/>
        <w:rPr>
          <w:rFonts w:hint="eastAsia" w:ascii="宋体" w:hAnsi="宋体" w:eastAsia="宋体" w:cs="宋体"/>
          <w:color w:val="auto"/>
          <w:sz w:val="24"/>
          <w:szCs w:val="24"/>
        </w:rPr>
      </w:pPr>
    </w:p>
    <w:p w14:paraId="33C93616">
      <w:pPr>
        <w:spacing w:line="480" w:lineRule="exact"/>
        <w:ind w:firstLine="2880" w:firstLineChars="1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投标人：（盖单位章） </w:t>
      </w:r>
    </w:p>
    <w:p w14:paraId="3C08F882">
      <w:pPr>
        <w:spacing w:line="440" w:lineRule="exact"/>
        <w:ind w:firstLine="2880" w:firstLineChars="1200"/>
        <w:rPr>
          <w:rFonts w:hint="eastAsia" w:ascii="宋体" w:hAnsi="宋体" w:eastAsia="宋体" w:cs="宋体"/>
          <w:color w:val="auto"/>
          <w:sz w:val="20"/>
        </w:rPr>
      </w:pPr>
      <w:r>
        <w:rPr>
          <w:rFonts w:hint="eastAsia" w:ascii="宋体" w:hAnsi="宋体" w:eastAsia="宋体" w:cs="宋体"/>
          <w:color w:val="auto"/>
          <w:sz w:val="24"/>
          <w:szCs w:val="24"/>
        </w:rPr>
        <w:t>日期：  年  月  日</w:t>
      </w:r>
    </w:p>
    <w:p w14:paraId="600551EE">
      <w:pPr>
        <w:widowControl/>
        <w:spacing w:line="360" w:lineRule="auto"/>
        <w:jc w:val="left"/>
        <w:rPr>
          <w:rFonts w:hint="eastAsia" w:ascii="宋体" w:hAnsi="宋体" w:eastAsia="宋体" w:cs="宋体"/>
          <w:b/>
          <w:bCs/>
          <w:color w:val="auto"/>
          <w:sz w:val="32"/>
          <w:szCs w:val="32"/>
        </w:rPr>
      </w:pPr>
      <w:r>
        <w:rPr>
          <w:rFonts w:hint="eastAsia" w:ascii="宋体" w:hAnsi="宋体" w:eastAsia="宋体" w:cs="宋体"/>
          <w:color w:val="auto"/>
        </w:rPr>
        <w:br w:type="page"/>
      </w:r>
      <w:bookmarkEnd w:id="425"/>
      <w:bookmarkEnd w:id="426"/>
      <w:bookmarkEnd w:id="427"/>
      <w:bookmarkStart w:id="428" w:name="_Toc9088"/>
      <w:r>
        <w:rPr>
          <w:rFonts w:hint="eastAsia" w:ascii="宋体" w:hAnsi="宋体" w:eastAsia="宋体" w:cs="宋体"/>
          <w:b/>
          <w:bCs/>
          <w:color w:val="auto"/>
          <w:sz w:val="32"/>
          <w:szCs w:val="32"/>
        </w:rPr>
        <w:t>四、资格审查资料</w:t>
      </w:r>
      <w:r>
        <w:rPr>
          <w:rFonts w:hint="eastAsia" w:ascii="宋体" w:hAnsi="宋体" w:eastAsia="宋体" w:cs="宋体"/>
          <w:b/>
          <w:bCs/>
          <w:color w:val="auto"/>
          <w:kern w:val="0"/>
          <w:sz w:val="32"/>
          <w:szCs w:val="32"/>
        </w:rPr>
        <w:t>（格式可自定）</w:t>
      </w:r>
    </w:p>
    <w:p w14:paraId="4D0C388B">
      <w:pPr>
        <w:jc w:val="center"/>
        <w:rPr>
          <w:rFonts w:hint="eastAsia" w:ascii="宋体" w:hAnsi="宋体" w:eastAsia="宋体" w:cs="宋体"/>
          <w:b/>
          <w:color w:val="auto"/>
          <w:sz w:val="32"/>
          <w:szCs w:val="32"/>
        </w:rPr>
      </w:pPr>
      <w:bookmarkStart w:id="429" w:name="_Toc32629"/>
      <w:bookmarkStart w:id="430" w:name="_Toc4257"/>
      <w:bookmarkStart w:id="431" w:name="_Toc526786515"/>
      <w:r>
        <w:rPr>
          <w:rFonts w:hint="eastAsia" w:ascii="宋体" w:hAnsi="宋体" w:eastAsia="宋体" w:cs="宋体"/>
          <w:b/>
          <w:color w:val="auto"/>
          <w:sz w:val="32"/>
          <w:szCs w:val="32"/>
        </w:rPr>
        <w:t>资格审查资料</w:t>
      </w:r>
    </w:p>
    <w:tbl>
      <w:tblPr>
        <w:tblStyle w:val="4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8040"/>
      </w:tblGrid>
      <w:tr w14:paraId="2341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68" w:type="dxa"/>
            <w:tcBorders>
              <w:top w:val="single" w:color="auto" w:sz="4" w:space="0"/>
              <w:left w:val="single" w:color="auto" w:sz="4" w:space="0"/>
              <w:bottom w:val="single" w:color="auto" w:sz="4" w:space="0"/>
              <w:right w:val="single" w:color="auto" w:sz="4" w:space="0"/>
            </w:tcBorders>
            <w:vAlign w:val="center"/>
          </w:tcPr>
          <w:p w14:paraId="315C7793">
            <w:pPr>
              <w:tabs>
                <w:tab w:val="left" w:pos="720"/>
              </w:tabs>
              <w:snapToGrid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序号</w:t>
            </w:r>
          </w:p>
        </w:tc>
        <w:tc>
          <w:tcPr>
            <w:tcW w:w="8040" w:type="dxa"/>
            <w:tcBorders>
              <w:top w:val="single" w:color="auto" w:sz="4" w:space="0"/>
              <w:left w:val="single" w:color="auto" w:sz="4" w:space="0"/>
              <w:bottom w:val="single" w:color="auto" w:sz="4" w:space="0"/>
              <w:right w:val="single" w:color="auto" w:sz="4" w:space="0"/>
            </w:tcBorders>
            <w:vAlign w:val="center"/>
          </w:tcPr>
          <w:p w14:paraId="4CC36893">
            <w:pPr>
              <w:tabs>
                <w:tab w:val="left" w:pos="720"/>
              </w:tabs>
              <w:snapToGrid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审查内容</w:t>
            </w:r>
          </w:p>
        </w:tc>
      </w:tr>
      <w:tr w14:paraId="3F3A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68" w:type="dxa"/>
            <w:tcBorders>
              <w:top w:val="single" w:color="auto" w:sz="4" w:space="0"/>
              <w:left w:val="single" w:color="auto" w:sz="4" w:space="0"/>
              <w:bottom w:val="single" w:color="auto" w:sz="4" w:space="0"/>
              <w:right w:val="single" w:color="auto" w:sz="4" w:space="0"/>
            </w:tcBorders>
            <w:vAlign w:val="center"/>
          </w:tcPr>
          <w:p w14:paraId="3851D691">
            <w:pPr>
              <w:tabs>
                <w:tab w:val="left" w:pos="720"/>
              </w:tabs>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8040" w:type="dxa"/>
            <w:tcBorders>
              <w:top w:val="single" w:color="auto" w:sz="4" w:space="0"/>
              <w:left w:val="single" w:color="auto" w:sz="4" w:space="0"/>
              <w:bottom w:val="single" w:color="auto" w:sz="4" w:space="0"/>
              <w:right w:val="single" w:color="auto" w:sz="4" w:space="0"/>
            </w:tcBorders>
            <w:vAlign w:val="center"/>
          </w:tcPr>
          <w:p w14:paraId="223A51B1">
            <w:pPr>
              <w:tabs>
                <w:tab w:val="left" w:pos="720"/>
              </w:tabs>
              <w:snapToGrid w:val="0"/>
              <w:rPr>
                <w:rFonts w:hint="eastAsia" w:ascii="宋体" w:hAnsi="宋体" w:eastAsia="宋体" w:cs="宋体"/>
                <w:color w:val="auto"/>
                <w:sz w:val="28"/>
                <w:szCs w:val="28"/>
              </w:rPr>
            </w:pPr>
            <w:r>
              <w:rPr>
                <w:rFonts w:hint="eastAsia" w:ascii="宋体" w:hAnsi="宋体" w:eastAsia="宋体" w:cs="宋体"/>
                <w:color w:val="auto"/>
                <w:sz w:val="28"/>
                <w:szCs w:val="28"/>
              </w:rPr>
              <w:t>营业执照等扫描件</w:t>
            </w:r>
          </w:p>
        </w:tc>
      </w:tr>
      <w:tr w14:paraId="38E6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68" w:type="dxa"/>
            <w:tcBorders>
              <w:top w:val="single" w:color="auto" w:sz="4" w:space="0"/>
              <w:left w:val="single" w:color="auto" w:sz="4" w:space="0"/>
              <w:bottom w:val="single" w:color="auto" w:sz="4" w:space="0"/>
              <w:right w:val="single" w:color="auto" w:sz="4" w:space="0"/>
            </w:tcBorders>
            <w:vAlign w:val="center"/>
          </w:tcPr>
          <w:p w14:paraId="1CFBD1AB">
            <w:pPr>
              <w:tabs>
                <w:tab w:val="left" w:pos="720"/>
              </w:tabs>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8040" w:type="dxa"/>
            <w:tcBorders>
              <w:top w:val="single" w:color="auto" w:sz="4" w:space="0"/>
              <w:left w:val="single" w:color="auto" w:sz="4" w:space="0"/>
              <w:bottom w:val="single" w:color="auto" w:sz="4" w:space="0"/>
              <w:right w:val="single" w:color="auto" w:sz="4" w:space="0"/>
            </w:tcBorders>
            <w:vAlign w:val="center"/>
          </w:tcPr>
          <w:p w14:paraId="6FAD7BD4">
            <w:pPr>
              <w:tabs>
                <w:tab w:val="left" w:pos="720"/>
              </w:tabs>
              <w:snapToGrid w:val="0"/>
              <w:rPr>
                <w:rFonts w:hint="eastAsia" w:ascii="宋体" w:hAnsi="宋体" w:eastAsia="宋体" w:cs="宋体"/>
                <w:color w:val="auto"/>
                <w:sz w:val="28"/>
                <w:szCs w:val="28"/>
              </w:rPr>
            </w:pPr>
            <w:r>
              <w:rPr>
                <w:rFonts w:hint="eastAsia" w:ascii="宋体" w:hAnsi="宋体" w:eastAsia="宋体" w:cs="宋体"/>
                <w:color w:val="auto"/>
                <w:sz w:val="28"/>
                <w:szCs w:val="28"/>
              </w:rPr>
              <w:t>资质证书扫描件</w:t>
            </w:r>
          </w:p>
        </w:tc>
      </w:tr>
      <w:tr w14:paraId="7585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68" w:type="dxa"/>
            <w:tcBorders>
              <w:top w:val="single" w:color="auto" w:sz="4" w:space="0"/>
              <w:left w:val="single" w:color="auto" w:sz="4" w:space="0"/>
              <w:bottom w:val="single" w:color="auto" w:sz="4" w:space="0"/>
              <w:right w:val="single" w:color="auto" w:sz="4" w:space="0"/>
            </w:tcBorders>
            <w:vAlign w:val="center"/>
          </w:tcPr>
          <w:p w14:paraId="58652407">
            <w:pPr>
              <w:tabs>
                <w:tab w:val="left" w:pos="720"/>
              </w:tabs>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8040" w:type="dxa"/>
            <w:tcBorders>
              <w:top w:val="single" w:color="auto" w:sz="4" w:space="0"/>
              <w:left w:val="single" w:color="auto" w:sz="4" w:space="0"/>
              <w:bottom w:val="single" w:color="auto" w:sz="4" w:space="0"/>
              <w:right w:val="single" w:color="auto" w:sz="4" w:space="0"/>
            </w:tcBorders>
            <w:vAlign w:val="center"/>
          </w:tcPr>
          <w:p w14:paraId="7438DA9A">
            <w:pPr>
              <w:tabs>
                <w:tab w:val="left" w:pos="720"/>
              </w:tabs>
              <w:snapToGrid w:val="0"/>
              <w:rPr>
                <w:rFonts w:hint="eastAsia" w:ascii="宋体" w:hAnsi="宋体" w:eastAsia="宋体" w:cs="宋体"/>
                <w:color w:val="auto"/>
                <w:sz w:val="28"/>
                <w:szCs w:val="28"/>
              </w:rPr>
            </w:pPr>
            <w:r>
              <w:rPr>
                <w:rFonts w:hint="eastAsia" w:ascii="宋体" w:hAnsi="宋体" w:eastAsia="宋体" w:cs="宋体"/>
                <w:color w:val="auto"/>
                <w:sz w:val="28"/>
                <w:szCs w:val="28"/>
              </w:rPr>
              <w:t>拟派项目总监理工程师证明资料</w:t>
            </w:r>
          </w:p>
        </w:tc>
      </w:tr>
      <w:tr w14:paraId="4B68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8" w:type="dxa"/>
            <w:tcBorders>
              <w:top w:val="single" w:color="auto" w:sz="4" w:space="0"/>
              <w:left w:val="single" w:color="auto" w:sz="4" w:space="0"/>
              <w:bottom w:val="single" w:color="auto" w:sz="4" w:space="0"/>
              <w:right w:val="single" w:color="auto" w:sz="4" w:space="0"/>
            </w:tcBorders>
            <w:vAlign w:val="center"/>
          </w:tcPr>
          <w:p w14:paraId="53C44298">
            <w:pPr>
              <w:tabs>
                <w:tab w:val="left" w:pos="720"/>
              </w:tabs>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8040" w:type="dxa"/>
            <w:tcBorders>
              <w:top w:val="single" w:color="auto" w:sz="4" w:space="0"/>
              <w:left w:val="single" w:color="auto" w:sz="4" w:space="0"/>
              <w:bottom w:val="single" w:color="auto" w:sz="4" w:space="0"/>
              <w:right w:val="single" w:color="auto" w:sz="4" w:space="0"/>
            </w:tcBorders>
            <w:vAlign w:val="center"/>
          </w:tcPr>
          <w:p w14:paraId="14F3F0A8">
            <w:pPr>
              <w:tabs>
                <w:tab w:val="left" w:pos="720"/>
              </w:tabs>
              <w:snapToGrid w:val="0"/>
              <w:rPr>
                <w:rFonts w:hint="eastAsia" w:ascii="宋体" w:hAnsi="宋体" w:eastAsia="宋体" w:cs="宋体"/>
                <w:color w:val="auto"/>
                <w:sz w:val="28"/>
                <w:szCs w:val="28"/>
              </w:rPr>
            </w:pPr>
            <w:r>
              <w:rPr>
                <w:rFonts w:hint="eastAsia" w:ascii="宋体" w:hAnsi="宋体" w:eastAsia="宋体" w:cs="宋体"/>
                <w:color w:val="auto"/>
                <w:sz w:val="28"/>
                <w:szCs w:val="28"/>
              </w:rPr>
              <w:t>其他证明资料（《投标人声明》格式详见招标公告附件）</w:t>
            </w:r>
          </w:p>
        </w:tc>
      </w:tr>
      <w:tr w14:paraId="71E7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8" w:type="dxa"/>
            <w:tcBorders>
              <w:top w:val="single" w:color="auto" w:sz="4" w:space="0"/>
              <w:left w:val="single" w:color="auto" w:sz="4" w:space="0"/>
              <w:bottom w:val="single" w:color="auto" w:sz="4" w:space="0"/>
              <w:right w:val="single" w:color="auto" w:sz="4" w:space="0"/>
            </w:tcBorders>
            <w:vAlign w:val="center"/>
          </w:tcPr>
          <w:p w14:paraId="14D2A845">
            <w:pPr>
              <w:tabs>
                <w:tab w:val="left" w:pos="720"/>
              </w:tabs>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8040" w:type="dxa"/>
            <w:tcBorders>
              <w:top w:val="single" w:color="auto" w:sz="4" w:space="0"/>
              <w:left w:val="single" w:color="auto" w:sz="4" w:space="0"/>
              <w:bottom w:val="single" w:color="auto" w:sz="4" w:space="0"/>
              <w:right w:val="single" w:color="auto" w:sz="4" w:space="0"/>
            </w:tcBorders>
            <w:vAlign w:val="center"/>
          </w:tcPr>
          <w:p w14:paraId="263BD573">
            <w:pPr>
              <w:tabs>
                <w:tab w:val="left" w:pos="720"/>
              </w:tabs>
              <w:snapToGrid w:val="0"/>
              <w:rPr>
                <w:rFonts w:hint="eastAsia" w:ascii="宋体" w:hAnsi="宋体" w:eastAsia="宋体" w:cs="宋体"/>
                <w:color w:val="auto"/>
                <w:sz w:val="28"/>
                <w:szCs w:val="28"/>
              </w:rPr>
            </w:pPr>
            <w:r>
              <w:rPr>
                <w:rFonts w:hint="eastAsia" w:ascii="宋体" w:hAnsi="宋体" w:eastAsia="宋体" w:cs="宋体"/>
                <w:color w:val="auto"/>
                <w:sz w:val="28"/>
                <w:szCs w:val="28"/>
              </w:rPr>
              <w:t>投标人认为需要提供的资料</w:t>
            </w:r>
          </w:p>
        </w:tc>
      </w:tr>
      <w:tr w14:paraId="41A8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68" w:type="dxa"/>
            <w:tcBorders>
              <w:top w:val="single" w:color="auto" w:sz="4" w:space="0"/>
              <w:left w:val="single" w:color="auto" w:sz="4" w:space="0"/>
              <w:bottom w:val="single" w:color="auto" w:sz="4" w:space="0"/>
              <w:right w:val="single" w:color="auto" w:sz="4" w:space="0"/>
            </w:tcBorders>
            <w:vAlign w:val="center"/>
          </w:tcPr>
          <w:p w14:paraId="0BCB1351">
            <w:pPr>
              <w:tabs>
                <w:tab w:val="left" w:pos="720"/>
              </w:tabs>
              <w:snapToGrid w:val="0"/>
              <w:jc w:val="center"/>
              <w:rPr>
                <w:rFonts w:hint="eastAsia" w:ascii="宋体" w:hAnsi="宋体" w:eastAsia="宋体" w:cs="宋体"/>
                <w:color w:val="auto"/>
                <w:sz w:val="28"/>
                <w:szCs w:val="28"/>
              </w:rPr>
            </w:pPr>
          </w:p>
        </w:tc>
        <w:tc>
          <w:tcPr>
            <w:tcW w:w="8040" w:type="dxa"/>
            <w:tcBorders>
              <w:top w:val="single" w:color="auto" w:sz="4" w:space="0"/>
              <w:left w:val="single" w:color="auto" w:sz="4" w:space="0"/>
              <w:bottom w:val="single" w:color="auto" w:sz="4" w:space="0"/>
              <w:right w:val="single" w:color="auto" w:sz="4" w:space="0"/>
            </w:tcBorders>
            <w:vAlign w:val="center"/>
          </w:tcPr>
          <w:p w14:paraId="09E8E709">
            <w:pPr>
              <w:tabs>
                <w:tab w:val="left" w:pos="720"/>
              </w:tabs>
              <w:snapToGrid w:val="0"/>
              <w:rPr>
                <w:rFonts w:hint="eastAsia" w:ascii="宋体" w:hAnsi="宋体" w:eastAsia="宋体" w:cs="宋体"/>
                <w:color w:val="auto"/>
                <w:sz w:val="28"/>
                <w:szCs w:val="28"/>
              </w:rPr>
            </w:pPr>
            <w:r>
              <w:rPr>
                <w:rFonts w:hint="eastAsia" w:ascii="宋体" w:hAnsi="宋体" w:eastAsia="宋体" w:cs="宋体"/>
                <w:color w:val="auto"/>
                <w:sz w:val="28"/>
                <w:szCs w:val="28"/>
              </w:rPr>
              <w:t>……</w:t>
            </w:r>
          </w:p>
        </w:tc>
      </w:tr>
    </w:tbl>
    <w:p w14:paraId="62FDAC0C">
      <w:pPr>
        <w:ind w:firstLine="1120" w:firstLineChars="400"/>
        <w:rPr>
          <w:rFonts w:hint="eastAsia" w:ascii="宋体" w:hAnsi="宋体" w:eastAsia="宋体" w:cs="宋体"/>
          <w:color w:val="auto"/>
          <w:sz w:val="28"/>
          <w:szCs w:val="28"/>
        </w:rPr>
      </w:pPr>
    </w:p>
    <w:p w14:paraId="0E790B58">
      <w:pPr>
        <w:keepNext/>
        <w:keepLines/>
        <w:spacing w:line="480" w:lineRule="auto"/>
        <w:jc w:val="left"/>
        <w:outlineLvl w:val="2"/>
        <w:rPr>
          <w:rFonts w:hint="eastAsia" w:ascii="宋体" w:hAnsi="宋体" w:eastAsia="宋体" w:cs="宋体"/>
          <w:b/>
          <w:bCs/>
          <w:color w:val="auto"/>
          <w:sz w:val="32"/>
          <w:szCs w:val="32"/>
        </w:rPr>
      </w:pPr>
      <w:r>
        <w:rPr>
          <w:rFonts w:hint="eastAsia" w:ascii="宋体" w:hAnsi="宋体" w:eastAsia="宋体" w:cs="宋体"/>
          <w:color w:val="auto"/>
        </w:rPr>
        <w:br w:type="page"/>
      </w:r>
      <w:r>
        <w:rPr>
          <w:rFonts w:hint="eastAsia" w:ascii="宋体" w:hAnsi="宋体" w:eastAsia="宋体" w:cs="宋体"/>
          <w:b/>
          <w:bCs/>
          <w:color w:val="auto"/>
          <w:sz w:val="32"/>
          <w:szCs w:val="32"/>
        </w:rPr>
        <w:t>五、监理大纲</w:t>
      </w:r>
      <w:r>
        <w:rPr>
          <w:rFonts w:hint="eastAsia" w:ascii="宋体" w:hAnsi="宋体" w:eastAsia="宋体" w:cs="宋体"/>
          <w:b/>
          <w:bCs/>
          <w:color w:val="auto"/>
          <w:kern w:val="0"/>
          <w:sz w:val="30"/>
          <w:szCs w:val="30"/>
        </w:rPr>
        <w:t>（格式可自定）</w:t>
      </w:r>
    </w:p>
    <w:p w14:paraId="1903C39C">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监理大纲应包括（但不限于）下列内容：</w:t>
      </w:r>
    </w:p>
    <w:p w14:paraId="3CE6DC44">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一、监理工程概况；</w:t>
      </w:r>
    </w:p>
    <w:p w14:paraId="366F6D71">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二、监理范围、监理内容；</w:t>
      </w:r>
    </w:p>
    <w:p w14:paraId="1ACB66D3">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三、监理依据、监理工作目标；</w:t>
      </w:r>
    </w:p>
    <w:p w14:paraId="035502FB">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四、监理机构设置（监理组织架构框图）、岗位职责；</w:t>
      </w:r>
    </w:p>
    <w:p w14:paraId="420BA210">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五、质量控制、进度控制、投资控制措施；</w:t>
      </w:r>
    </w:p>
    <w:p w14:paraId="4774653E">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六、安全、文明施工管理；</w:t>
      </w:r>
    </w:p>
    <w:p w14:paraId="6AD99646">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七、合同、信息管理方案；</w:t>
      </w:r>
    </w:p>
    <w:p w14:paraId="1C29C04A">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八、监理组织协调内容及措施；</w:t>
      </w:r>
    </w:p>
    <w:p w14:paraId="1D8AB1D3">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九、监理工作程序、方法和制度；</w:t>
      </w:r>
    </w:p>
    <w:p w14:paraId="7925F3B2">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十、会议制度；</w:t>
      </w:r>
    </w:p>
    <w:p w14:paraId="37F970D8">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十一、工程进度款、工程结算管理；</w:t>
      </w:r>
    </w:p>
    <w:p w14:paraId="1E300795">
      <w:pPr>
        <w:spacing w:line="360" w:lineRule="auto"/>
        <w:ind w:firstLine="542" w:firstLineChars="226"/>
        <w:rPr>
          <w:rFonts w:hint="eastAsia" w:ascii="宋体" w:hAnsi="宋体" w:eastAsia="宋体" w:cs="宋体"/>
          <w:color w:val="auto"/>
          <w:sz w:val="24"/>
          <w:szCs w:val="24"/>
        </w:rPr>
      </w:pPr>
      <w:r>
        <w:rPr>
          <w:rFonts w:hint="eastAsia" w:ascii="宋体" w:hAnsi="宋体" w:eastAsia="宋体" w:cs="宋体"/>
          <w:color w:val="auto"/>
          <w:sz w:val="24"/>
          <w:szCs w:val="24"/>
        </w:rPr>
        <w:t>十二、监理工作重点、难点分析；</w:t>
      </w:r>
    </w:p>
    <w:p w14:paraId="0B5BA4E0">
      <w:pPr>
        <w:numPr>
          <w:ilvl w:val="0"/>
          <w:numId w:val="2"/>
        </w:numPr>
        <w:spacing w:line="360" w:lineRule="auto"/>
        <w:ind w:firstLine="542" w:firstLineChars="226"/>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w:t>
      </w:r>
    </w:p>
    <w:p w14:paraId="65E1A5CE">
      <w:pPr>
        <w:spacing w:line="360" w:lineRule="auto"/>
        <w:jc w:val="left"/>
        <w:rPr>
          <w:rFonts w:hint="eastAsia" w:ascii="宋体" w:hAnsi="宋体" w:eastAsia="宋体" w:cs="宋体"/>
          <w:b/>
          <w:bCs/>
          <w:color w:val="auto"/>
          <w:sz w:val="32"/>
          <w:szCs w:val="32"/>
        </w:rPr>
      </w:pPr>
      <w:r>
        <w:rPr>
          <w:rFonts w:hint="eastAsia" w:ascii="宋体" w:hAnsi="宋体" w:eastAsia="宋体" w:cs="宋体"/>
          <w:color w:val="auto"/>
        </w:rPr>
        <w:br w:type="page"/>
      </w:r>
      <w:r>
        <w:rPr>
          <w:rFonts w:hint="eastAsia" w:ascii="宋体" w:hAnsi="宋体" w:eastAsia="宋体" w:cs="宋体"/>
          <w:b/>
          <w:bCs/>
          <w:color w:val="auto"/>
          <w:sz w:val="32"/>
          <w:szCs w:val="32"/>
        </w:rPr>
        <w:t>六、其他资料</w:t>
      </w:r>
      <w:r>
        <w:rPr>
          <w:rFonts w:hint="eastAsia" w:ascii="宋体" w:hAnsi="宋体" w:eastAsia="宋体" w:cs="宋体"/>
          <w:b/>
          <w:bCs/>
          <w:color w:val="auto"/>
          <w:kern w:val="0"/>
          <w:sz w:val="30"/>
          <w:szCs w:val="30"/>
        </w:rPr>
        <w:t>（格式可自定）</w:t>
      </w:r>
    </w:p>
    <w:p w14:paraId="1F2B8493">
      <w:pPr>
        <w:pStyle w:val="4"/>
        <w:keepNext w:val="0"/>
        <w:keepLines w:val="0"/>
        <w:spacing w:before="20" w:line="240" w:lineRule="auto"/>
        <w:ind w:firstLine="157"/>
        <w:jc w:val="center"/>
        <w:rPr>
          <w:rFonts w:hint="eastAsia" w:ascii="宋体" w:hAnsi="宋体" w:eastAsia="宋体" w:cs="宋体"/>
          <w:color w:val="auto"/>
        </w:rPr>
      </w:pPr>
      <w:bookmarkStart w:id="432" w:name="_Toc517280608"/>
      <w:r>
        <w:rPr>
          <w:rFonts w:hint="eastAsia" w:ascii="宋体" w:hAnsi="宋体" w:eastAsia="宋体" w:cs="宋体"/>
          <w:b/>
          <w:color w:val="auto"/>
          <w:sz w:val="32"/>
        </w:rPr>
        <w:t>（一）基本情况表</w:t>
      </w:r>
      <w:bookmarkEnd w:id="432"/>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5"/>
        <w:gridCol w:w="1210"/>
        <w:gridCol w:w="714"/>
        <w:gridCol w:w="1287"/>
        <w:gridCol w:w="414"/>
        <w:gridCol w:w="873"/>
        <w:gridCol w:w="828"/>
        <w:gridCol w:w="284"/>
        <w:gridCol w:w="1230"/>
      </w:tblGrid>
      <w:tr w14:paraId="5F134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4C8302C4">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14:paraId="752506D1">
            <w:pPr>
              <w:topLinePunct/>
              <w:spacing w:line="440" w:lineRule="exact"/>
              <w:jc w:val="center"/>
              <w:rPr>
                <w:rFonts w:hint="eastAsia" w:ascii="宋体" w:hAnsi="宋体" w:eastAsia="宋体" w:cs="宋体"/>
                <w:color w:val="auto"/>
                <w:sz w:val="24"/>
                <w:szCs w:val="24"/>
              </w:rPr>
            </w:pPr>
          </w:p>
        </w:tc>
      </w:tr>
      <w:tr w14:paraId="4D4C9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5D7B4DBB">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14:paraId="7231C9AC">
            <w:pPr>
              <w:topLinePunct/>
              <w:spacing w:line="440" w:lineRule="exact"/>
              <w:jc w:val="center"/>
              <w:rPr>
                <w:rFonts w:hint="eastAsia" w:ascii="宋体" w:hAnsi="宋体" w:eastAsia="宋体" w:cs="宋体"/>
                <w:color w:val="auto"/>
                <w:sz w:val="24"/>
                <w:szCs w:val="24"/>
              </w:rPr>
            </w:pP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14:paraId="7D5FE901">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343DF9FE">
            <w:pPr>
              <w:topLinePunct/>
              <w:spacing w:line="440" w:lineRule="exact"/>
              <w:jc w:val="center"/>
              <w:rPr>
                <w:rFonts w:hint="eastAsia" w:ascii="宋体" w:hAnsi="宋体" w:eastAsia="宋体" w:cs="宋体"/>
                <w:color w:val="auto"/>
                <w:sz w:val="24"/>
                <w:szCs w:val="24"/>
              </w:rPr>
            </w:pPr>
          </w:p>
        </w:tc>
      </w:tr>
      <w:tr w14:paraId="1E40F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vMerge w:val="restart"/>
            <w:tcBorders>
              <w:top w:val="single" w:color="auto" w:sz="4" w:space="0"/>
              <w:left w:val="single" w:color="auto" w:sz="4" w:space="0"/>
              <w:bottom w:val="single" w:color="auto" w:sz="4" w:space="0"/>
              <w:right w:val="single" w:color="auto" w:sz="4" w:space="0"/>
            </w:tcBorders>
            <w:noWrap/>
            <w:vAlign w:val="center"/>
          </w:tcPr>
          <w:p w14:paraId="47A6BE6E">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210" w:type="dxa"/>
            <w:tcBorders>
              <w:top w:val="single" w:color="auto" w:sz="4" w:space="0"/>
              <w:left w:val="single" w:color="auto" w:sz="4" w:space="0"/>
              <w:bottom w:val="single" w:color="auto" w:sz="4" w:space="0"/>
              <w:right w:val="single" w:color="auto" w:sz="4" w:space="0"/>
            </w:tcBorders>
            <w:noWrap/>
            <w:vAlign w:val="center"/>
          </w:tcPr>
          <w:p w14:paraId="1BEDB50B">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001" w:type="dxa"/>
            <w:gridSpan w:val="2"/>
            <w:tcBorders>
              <w:top w:val="single" w:color="auto" w:sz="4" w:space="0"/>
              <w:left w:val="single" w:color="auto" w:sz="4" w:space="0"/>
              <w:bottom w:val="single" w:color="auto" w:sz="4" w:space="0"/>
              <w:right w:val="single" w:color="auto" w:sz="4" w:space="0"/>
            </w:tcBorders>
            <w:noWrap/>
            <w:vAlign w:val="center"/>
          </w:tcPr>
          <w:p w14:paraId="099C931F">
            <w:pPr>
              <w:topLinePunct/>
              <w:spacing w:line="440" w:lineRule="exact"/>
              <w:jc w:val="center"/>
              <w:rPr>
                <w:rFonts w:hint="eastAsia" w:ascii="宋体" w:hAnsi="宋体" w:eastAsia="宋体" w:cs="宋体"/>
                <w:color w:val="auto"/>
                <w:sz w:val="24"/>
                <w:szCs w:val="24"/>
              </w:rPr>
            </w:pP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14:paraId="406C99C0">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0F04C1BE">
            <w:pPr>
              <w:topLinePunct/>
              <w:spacing w:line="440" w:lineRule="exact"/>
              <w:jc w:val="center"/>
              <w:rPr>
                <w:rFonts w:hint="eastAsia" w:ascii="宋体" w:hAnsi="宋体" w:eastAsia="宋体" w:cs="宋体"/>
                <w:color w:val="auto"/>
                <w:sz w:val="24"/>
                <w:szCs w:val="24"/>
              </w:rPr>
            </w:pPr>
          </w:p>
        </w:tc>
      </w:tr>
      <w:tr w14:paraId="3B1D7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vMerge w:val="continue"/>
            <w:tcBorders>
              <w:top w:val="single" w:color="auto" w:sz="4" w:space="0"/>
              <w:left w:val="single" w:color="auto" w:sz="4" w:space="0"/>
              <w:bottom w:val="single" w:color="auto" w:sz="4" w:space="0"/>
              <w:right w:val="single" w:color="auto" w:sz="4" w:space="0"/>
            </w:tcBorders>
            <w:noWrap/>
            <w:vAlign w:val="center"/>
          </w:tcPr>
          <w:p w14:paraId="1A257273">
            <w:pPr>
              <w:rPr>
                <w:rFonts w:hint="eastAsia" w:ascii="宋体" w:hAnsi="宋体" w:eastAsia="宋体" w:cs="宋体"/>
                <w:color w:val="auto"/>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7E09B5F1">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2001" w:type="dxa"/>
            <w:gridSpan w:val="2"/>
            <w:tcBorders>
              <w:top w:val="single" w:color="auto" w:sz="4" w:space="0"/>
              <w:left w:val="single" w:color="auto" w:sz="4" w:space="0"/>
              <w:bottom w:val="single" w:color="auto" w:sz="4" w:space="0"/>
              <w:right w:val="single" w:color="auto" w:sz="4" w:space="0"/>
            </w:tcBorders>
            <w:noWrap/>
            <w:vAlign w:val="center"/>
          </w:tcPr>
          <w:p w14:paraId="4C95A363">
            <w:pPr>
              <w:topLinePunct/>
              <w:spacing w:line="440" w:lineRule="exact"/>
              <w:jc w:val="center"/>
              <w:rPr>
                <w:rFonts w:hint="eastAsia" w:ascii="宋体" w:hAnsi="宋体" w:eastAsia="宋体" w:cs="宋体"/>
                <w:color w:val="auto"/>
                <w:sz w:val="24"/>
                <w:szCs w:val="24"/>
              </w:rPr>
            </w:pP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14:paraId="17FE2672">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A44DE38">
            <w:pPr>
              <w:topLinePunct/>
              <w:spacing w:line="440" w:lineRule="exact"/>
              <w:jc w:val="center"/>
              <w:rPr>
                <w:rFonts w:hint="eastAsia" w:ascii="宋体" w:hAnsi="宋体" w:eastAsia="宋体" w:cs="宋体"/>
                <w:color w:val="auto"/>
                <w:sz w:val="24"/>
                <w:szCs w:val="24"/>
              </w:rPr>
            </w:pPr>
          </w:p>
        </w:tc>
      </w:tr>
      <w:tr w14:paraId="125C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731C6DB3">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210" w:type="dxa"/>
            <w:tcBorders>
              <w:top w:val="single" w:color="auto" w:sz="4" w:space="0"/>
              <w:left w:val="single" w:color="auto" w:sz="4" w:space="0"/>
              <w:bottom w:val="single" w:color="auto" w:sz="4" w:space="0"/>
              <w:right w:val="single" w:color="auto" w:sz="4" w:space="0"/>
            </w:tcBorders>
            <w:noWrap/>
            <w:vAlign w:val="center"/>
          </w:tcPr>
          <w:p w14:paraId="66A2EDB6">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4" w:type="dxa"/>
            <w:tcBorders>
              <w:top w:val="single" w:color="auto" w:sz="4" w:space="0"/>
              <w:left w:val="single" w:color="auto" w:sz="4" w:space="0"/>
              <w:bottom w:val="single" w:color="auto" w:sz="4" w:space="0"/>
              <w:right w:val="single" w:color="auto" w:sz="4" w:space="0"/>
            </w:tcBorders>
            <w:noWrap/>
            <w:vAlign w:val="center"/>
          </w:tcPr>
          <w:p w14:paraId="6C850965">
            <w:pPr>
              <w:topLinePunct/>
              <w:spacing w:line="440" w:lineRule="exact"/>
              <w:jc w:val="center"/>
              <w:rPr>
                <w:rFonts w:hint="eastAsia" w:ascii="宋体" w:hAnsi="宋体" w:eastAsia="宋体" w:cs="宋体"/>
                <w:color w:val="auto"/>
                <w:sz w:val="24"/>
                <w:szCs w:val="24"/>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11FF3CC">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14:paraId="2DD2F741">
            <w:pPr>
              <w:topLinePunct/>
              <w:spacing w:line="440" w:lineRule="exact"/>
              <w:jc w:val="center"/>
              <w:rPr>
                <w:rFonts w:hint="eastAsia" w:ascii="宋体" w:hAnsi="宋体" w:eastAsia="宋体" w:cs="宋体"/>
                <w:color w:val="auto"/>
                <w:sz w:val="24"/>
                <w:szCs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14:paraId="1BBBD166">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14:paraId="1DB9459D">
            <w:pPr>
              <w:topLinePunct/>
              <w:spacing w:line="440" w:lineRule="exact"/>
              <w:jc w:val="center"/>
              <w:rPr>
                <w:rFonts w:hint="eastAsia" w:ascii="宋体" w:hAnsi="宋体" w:eastAsia="宋体" w:cs="宋体"/>
                <w:color w:val="auto"/>
                <w:sz w:val="24"/>
                <w:szCs w:val="24"/>
              </w:rPr>
            </w:pPr>
          </w:p>
        </w:tc>
      </w:tr>
      <w:tr w14:paraId="761C9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7DCBCE29">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1210" w:type="dxa"/>
            <w:tcBorders>
              <w:top w:val="single" w:color="auto" w:sz="4" w:space="0"/>
              <w:left w:val="single" w:color="auto" w:sz="4" w:space="0"/>
              <w:bottom w:val="single" w:color="auto" w:sz="4" w:space="0"/>
              <w:right w:val="single" w:color="auto" w:sz="4" w:space="0"/>
            </w:tcBorders>
            <w:noWrap/>
            <w:vAlign w:val="center"/>
          </w:tcPr>
          <w:p w14:paraId="49609633">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4" w:type="dxa"/>
            <w:tcBorders>
              <w:top w:val="single" w:color="auto" w:sz="4" w:space="0"/>
              <w:left w:val="single" w:color="auto" w:sz="4" w:space="0"/>
              <w:bottom w:val="single" w:color="auto" w:sz="4" w:space="0"/>
              <w:right w:val="single" w:color="auto" w:sz="4" w:space="0"/>
            </w:tcBorders>
            <w:noWrap/>
            <w:vAlign w:val="center"/>
          </w:tcPr>
          <w:p w14:paraId="286BDDCB">
            <w:pPr>
              <w:topLinePunct/>
              <w:spacing w:line="440" w:lineRule="exact"/>
              <w:jc w:val="center"/>
              <w:rPr>
                <w:rFonts w:hint="eastAsia" w:ascii="宋体" w:hAnsi="宋体" w:eastAsia="宋体" w:cs="宋体"/>
                <w:color w:val="auto"/>
                <w:sz w:val="24"/>
                <w:szCs w:val="24"/>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C546FB0">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14:paraId="4D16B3B6">
            <w:pPr>
              <w:topLinePunct/>
              <w:spacing w:line="440" w:lineRule="exact"/>
              <w:jc w:val="center"/>
              <w:rPr>
                <w:rFonts w:hint="eastAsia" w:ascii="宋体" w:hAnsi="宋体" w:eastAsia="宋体" w:cs="宋体"/>
                <w:color w:val="auto"/>
                <w:sz w:val="24"/>
                <w:szCs w:val="24"/>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14:paraId="50F0D319">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14:paraId="27F9CD2F">
            <w:pPr>
              <w:topLinePunct/>
              <w:spacing w:line="440" w:lineRule="exact"/>
              <w:jc w:val="center"/>
              <w:rPr>
                <w:rFonts w:hint="eastAsia" w:ascii="宋体" w:hAnsi="宋体" w:eastAsia="宋体" w:cs="宋体"/>
                <w:color w:val="auto"/>
                <w:sz w:val="24"/>
                <w:szCs w:val="24"/>
              </w:rPr>
            </w:pPr>
          </w:p>
        </w:tc>
      </w:tr>
      <w:tr w14:paraId="15D86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3D637EA5">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企业监理资质证书</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14:paraId="24C3DE9D">
            <w:pPr>
              <w:topLinePunct/>
              <w:spacing w:before="100" w:beforeAutospacing="1" w:after="100" w:afterAutospacing="1" w:line="44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类型：                    等级：      证书号：</w:t>
            </w:r>
          </w:p>
        </w:tc>
      </w:tr>
      <w:tr w14:paraId="6E74B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7AE1DF00">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14:paraId="0D141D9A">
            <w:pPr>
              <w:topLinePunct/>
              <w:spacing w:before="100" w:beforeAutospacing="1" w:after="100" w:afterAutospacing="1" w:line="44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类型：                    等级：      证书号：</w:t>
            </w:r>
          </w:p>
        </w:tc>
      </w:tr>
      <w:tr w14:paraId="7EFCB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4F58E1E3">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14:paraId="4C5149DA">
            <w:pPr>
              <w:topLinePunct/>
              <w:spacing w:line="440" w:lineRule="exact"/>
              <w:jc w:val="center"/>
              <w:rPr>
                <w:rFonts w:hint="eastAsia" w:ascii="宋体" w:hAnsi="宋体" w:eastAsia="宋体" w:cs="宋体"/>
                <w:color w:val="auto"/>
                <w:sz w:val="24"/>
                <w:szCs w:val="24"/>
              </w:rPr>
            </w:pPr>
          </w:p>
        </w:tc>
        <w:tc>
          <w:tcPr>
            <w:tcW w:w="3629" w:type="dxa"/>
            <w:gridSpan w:val="5"/>
            <w:tcBorders>
              <w:top w:val="single" w:color="auto" w:sz="4" w:space="0"/>
              <w:left w:val="single" w:color="auto" w:sz="4" w:space="0"/>
              <w:bottom w:val="single" w:color="auto" w:sz="4" w:space="0"/>
              <w:right w:val="single" w:color="auto" w:sz="4" w:space="0"/>
            </w:tcBorders>
            <w:noWrap/>
            <w:vAlign w:val="center"/>
          </w:tcPr>
          <w:p w14:paraId="7619FBA3">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59E70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3F648DB8">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14:paraId="0F52EE57">
            <w:pPr>
              <w:topLinePunct/>
              <w:spacing w:line="440" w:lineRule="exact"/>
              <w:jc w:val="center"/>
              <w:rPr>
                <w:rFonts w:hint="eastAsia" w:ascii="宋体" w:hAnsi="宋体" w:eastAsia="宋体" w:cs="宋体"/>
                <w:color w:val="auto"/>
                <w:sz w:val="24"/>
                <w:szCs w:val="24"/>
              </w:rPr>
            </w:pPr>
          </w:p>
        </w:tc>
        <w:tc>
          <w:tcPr>
            <w:tcW w:w="414" w:type="dxa"/>
            <w:vMerge w:val="restart"/>
            <w:tcBorders>
              <w:top w:val="single" w:color="auto" w:sz="4" w:space="0"/>
              <w:left w:val="single" w:color="auto" w:sz="4" w:space="0"/>
              <w:right w:val="single" w:color="auto" w:sz="4" w:space="0"/>
            </w:tcBorders>
            <w:noWrap/>
            <w:vAlign w:val="center"/>
          </w:tcPr>
          <w:p w14:paraId="2D3D25A4">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14:paraId="56F13ACC">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14:paraId="0A2C0A79">
            <w:pPr>
              <w:topLinePunct/>
              <w:spacing w:line="440" w:lineRule="exact"/>
              <w:jc w:val="center"/>
              <w:rPr>
                <w:rFonts w:hint="eastAsia" w:ascii="宋体" w:hAnsi="宋体" w:eastAsia="宋体" w:cs="宋体"/>
                <w:color w:val="auto"/>
                <w:sz w:val="24"/>
                <w:szCs w:val="24"/>
              </w:rPr>
            </w:pPr>
          </w:p>
        </w:tc>
      </w:tr>
      <w:tr w14:paraId="1F7FC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10E35AAF">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14:paraId="7D49EA8C">
            <w:pPr>
              <w:topLinePunct/>
              <w:spacing w:line="440" w:lineRule="exact"/>
              <w:jc w:val="center"/>
              <w:rPr>
                <w:rFonts w:hint="eastAsia" w:ascii="宋体" w:hAnsi="宋体" w:eastAsia="宋体" w:cs="宋体"/>
                <w:color w:val="auto"/>
                <w:sz w:val="24"/>
                <w:szCs w:val="24"/>
              </w:rPr>
            </w:pPr>
          </w:p>
        </w:tc>
        <w:tc>
          <w:tcPr>
            <w:tcW w:w="414" w:type="dxa"/>
            <w:vMerge w:val="continue"/>
            <w:tcBorders>
              <w:left w:val="single" w:color="auto" w:sz="4" w:space="0"/>
              <w:right w:val="single" w:color="auto" w:sz="4" w:space="0"/>
            </w:tcBorders>
            <w:noWrap/>
            <w:vAlign w:val="center"/>
          </w:tcPr>
          <w:p w14:paraId="5C5C92A0">
            <w:pPr>
              <w:rPr>
                <w:rFonts w:hint="eastAsia" w:ascii="宋体" w:hAnsi="宋体" w:eastAsia="宋体" w:cs="宋体"/>
                <w:color w:val="auto"/>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14:paraId="58F2A08C">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14:paraId="00E2C265">
            <w:pPr>
              <w:topLinePunct/>
              <w:spacing w:line="440" w:lineRule="exact"/>
              <w:jc w:val="center"/>
              <w:rPr>
                <w:rFonts w:hint="eastAsia" w:ascii="宋体" w:hAnsi="宋体" w:eastAsia="宋体" w:cs="宋体"/>
                <w:color w:val="auto"/>
                <w:sz w:val="24"/>
                <w:szCs w:val="24"/>
              </w:rPr>
            </w:pPr>
          </w:p>
        </w:tc>
      </w:tr>
      <w:tr w14:paraId="00D00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4FA6C547">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14:paraId="7F24AAFC">
            <w:pPr>
              <w:topLinePunct/>
              <w:spacing w:line="440" w:lineRule="exact"/>
              <w:jc w:val="center"/>
              <w:rPr>
                <w:rFonts w:hint="eastAsia" w:ascii="宋体" w:hAnsi="宋体" w:eastAsia="宋体" w:cs="宋体"/>
                <w:color w:val="auto"/>
                <w:sz w:val="24"/>
                <w:szCs w:val="24"/>
              </w:rPr>
            </w:pPr>
          </w:p>
        </w:tc>
        <w:tc>
          <w:tcPr>
            <w:tcW w:w="414" w:type="dxa"/>
            <w:vMerge w:val="continue"/>
            <w:tcBorders>
              <w:left w:val="single" w:color="auto" w:sz="4" w:space="0"/>
              <w:right w:val="single" w:color="auto" w:sz="4" w:space="0"/>
            </w:tcBorders>
            <w:noWrap/>
            <w:vAlign w:val="center"/>
          </w:tcPr>
          <w:p w14:paraId="7BB3C5F2">
            <w:pPr>
              <w:rPr>
                <w:rFonts w:hint="eastAsia" w:ascii="宋体" w:hAnsi="宋体" w:eastAsia="宋体" w:cs="宋体"/>
                <w:color w:val="auto"/>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14:paraId="01A63BA4">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14:paraId="38730FE1">
            <w:pPr>
              <w:topLinePunct/>
              <w:spacing w:line="440" w:lineRule="exact"/>
              <w:jc w:val="center"/>
              <w:rPr>
                <w:rFonts w:hint="eastAsia" w:ascii="宋体" w:hAnsi="宋体" w:eastAsia="宋体" w:cs="宋体"/>
                <w:color w:val="auto"/>
                <w:sz w:val="24"/>
                <w:szCs w:val="24"/>
              </w:rPr>
            </w:pPr>
          </w:p>
        </w:tc>
      </w:tr>
      <w:tr w14:paraId="6B028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6D02A0BF">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14:paraId="4FC6F17D">
            <w:pPr>
              <w:topLinePunct/>
              <w:spacing w:line="440" w:lineRule="exact"/>
              <w:jc w:val="center"/>
              <w:rPr>
                <w:rFonts w:hint="eastAsia" w:ascii="宋体" w:hAnsi="宋体" w:eastAsia="宋体" w:cs="宋体"/>
                <w:color w:val="auto"/>
                <w:sz w:val="24"/>
                <w:szCs w:val="24"/>
              </w:rPr>
            </w:pPr>
          </w:p>
        </w:tc>
        <w:tc>
          <w:tcPr>
            <w:tcW w:w="414" w:type="dxa"/>
            <w:vMerge w:val="continue"/>
            <w:tcBorders>
              <w:left w:val="single" w:color="auto" w:sz="4" w:space="0"/>
              <w:right w:val="single" w:color="auto" w:sz="4" w:space="0"/>
            </w:tcBorders>
            <w:noWrap/>
            <w:vAlign w:val="center"/>
          </w:tcPr>
          <w:p w14:paraId="4AC92FD7">
            <w:pPr>
              <w:rPr>
                <w:rFonts w:hint="eastAsia" w:ascii="宋体" w:hAnsi="宋体" w:eastAsia="宋体" w:cs="宋体"/>
                <w:color w:val="auto"/>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14:paraId="7082064A">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14:paraId="032019BB">
            <w:pPr>
              <w:topLinePunct/>
              <w:spacing w:line="440" w:lineRule="exact"/>
              <w:jc w:val="center"/>
              <w:rPr>
                <w:rFonts w:hint="eastAsia" w:ascii="宋体" w:hAnsi="宋体" w:eastAsia="宋体" w:cs="宋体"/>
                <w:color w:val="auto"/>
                <w:sz w:val="24"/>
                <w:szCs w:val="24"/>
              </w:rPr>
            </w:pPr>
          </w:p>
        </w:tc>
      </w:tr>
      <w:tr w14:paraId="4D150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right w:val="single" w:color="auto" w:sz="4" w:space="0"/>
            </w:tcBorders>
            <w:noWrap/>
            <w:vAlign w:val="center"/>
          </w:tcPr>
          <w:p w14:paraId="033F3908">
            <w:pPr>
              <w:topLinePunct/>
              <w:spacing w:before="100" w:beforeAutospacing="1" w:after="100" w:afterAutospacing="1" w:line="440" w:lineRule="exac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0" w:type="dxa"/>
            <w:gridSpan w:val="8"/>
            <w:tcBorders>
              <w:top w:val="single" w:color="auto" w:sz="4" w:space="0"/>
              <w:left w:val="single" w:color="auto" w:sz="4" w:space="0"/>
              <w:right w:val="single" w:color="auto" w:sz="4" w:space="0"/>
            </w:tcBorders>
            <w:noWrap/>
            <w:vAlign w:val="center"/>
          </w:tcPr>
          <w:p w14:paraId="5531BF9F">
            <w:pPr>
              <w:topLinePunct/>
              <w:spacing w:line="440" w:lineRule="exact"/>
              <w:jc w:val="center"/>
              <w:rPr>
                <w:rFonts w:hint="eastAsia" w:ascii="宋体" w:hAnsi="宋体" w:eastAsia="宋体" w:cs="宋体"/>
                <w:color w:val="auto"/>
                <w:sz w:val="24"/>
                <w:szCs w:val="24"/>
              </w:rPr>
            </w:pPr>
          </w:p>
        </w:tc>
      </w:tr>
      <w:tr w14:paraId="40BE2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right w:val="single" w:color="auto" w:sz="4" w:space="0"/>
            </w:tcBorders>
            <w:noWrap/>
            <w:vAlign w:val="center"/>
          </w:tcPr>
          <w:p w14:paraId="548D4173">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ign w:val="center"/>
          </w:tcPr>
          <w:p w14:paraId="282AE638">
            <w:pPr>
              <w:topLinePunct/>
              <w:spacing w:line="440" w:lineRule="exact"/>
              <w:jc w:val="center"/>
              <w:rPr>
                <w:rFonts w:hint="eastAsia" w:ascii="宋体" w:hAnsi="宋体" w:eastAsia="宋体" w:cs="宋体"/>
                <w:color w:val="auto"/>
                <w:sz w:val="24"/>
                <w:szCs w:val="24"/>
              </w:rPr>
            </w:pPr>
          </w:p>
        </w:tc>
      </w:tr>
      <w:tr w14:paraId="5511E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14:paraId="78846130">
            <w:pPr>
              <w:topLinePunct/>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14:paraId="02DF62AD">
            <w:pPr>
              <w:topLinePunct/>
              <w:spacing w:line="440" w:lineRule="exact"/>
              <w:jc w:val="center"/>
              <w:rPr>
                <w:rFonts w:hint="eastAsia" w:ascii="宋体" w:hAnsi="宋体" w:eastAsia="宋体" w:cs="宋体"/>
                <w:color w:val="auto"/>
                <w:sz w:val="24"/>
                <w:szCs w:val="24"/>
              </w:rPr>
            </w:pPr>
          </w:p>
        </w:tc>
      </w:tr>
    </w:tbl>
    <w:p w14:paraId="6C0B8658">
      <w:pPr>
        <w:pStyle w:val="4"/>
        <w:keepNext w:val="0"/>
        <w:keepLines w:val="0"/>
        <w:spacing w:line="240" w:lineRule="auto"/>
        <w:ind w:firstLine="137"/>
        <w:jc w:val="center"/>
        <w:rPr>
          <w:rFonts w:hint="eastAsia" w:ascii="宋体" w:hAnsi="宋体" w:eastAsia="宋体" w:cs="宋体"/>
          <w:color w:val="auto"/>
        </w:rPr>
      </w:pPr>
      <w:bookmarkStart w:id="433" w:name="_Toc517280609"/>
      <w:r>
        <w:rPr>
          <w:rFonts w:hint="eastAsia" w:ascii="宋体" w:hAnsi="宋体" w:eastAsia="宋体" w:cs="宋体"/>
          <w:color w:val="auto"/>
        </w:rPr>
        <w:br w:type="page"/>
      </w:r>
      <w:r>
        <w:rPr>
          <w:rFonts w:hint="eastAsia" w:ascii="宋体" w:hAnsi="宋体" w:eastAsia="宋体" w:cs="宋体"/>
          <w:b/>
          <w:color w:val="auto"/>
          <w:sz w:val="32"/>
        </w:rPr>
        <w:t>（二）近年完成的类似监理项目情况表</w:t>
      </w:r>
      <w:bookmarkEnd w:id="433"/>
    </w:p>
    <w:tbl>
      <w:tblPr>
        <w:tblStyle w:val="4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77"/>
      </w:tblGrid>
      <w:tr w14:paraId="2B97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5620521">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077" w:type="dxa"/>
            <w:tcBorders>
              <w:top w:val="single" w:color="auto" w:sz="4" w:space="0"/>
              <w:left w:val="single" w:color="auto" w:sz="4" w:space="0"/>
              <w:bottom w:val="single" w:color="auto" w:sz="4" w:space="0"/>
              <w:right w:val="single" w:color="auto" w:sz="4" w:space="0"/>
            </w:tcBorders>
            <w:noWrap/>
          </w:tcPr>
          <w:p w14:paraId="7E158A3E">
            <w:pPr>
              <w:topLinePunct/>
              <w:spacing w:line="440" w:lineRule="exact"/>
              <w:rPr>
                <w:rFonts w:hint="eastAsia" w:ascii="宋体" w:hAnsi="宋体" w:eastAsia="宋体" w:cs="宋体"/>
                <w:color w:val="auto"/>
                <w:sz w:val="24"/>
                <w:szCs w:val="24"/>
              </w:rPr>
            </w:pPr>
          </w:p>
        </w:tc>
      </w:tr>
      <w:tr w14:paraId="2E81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E4F40F2">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7077" w:type="dxa"/>
            <w:tcBorders>
              <w:top w:val="single" w:color="auto" w:sz="4" w:space="0"/>
              <w:left w:val="single" w:color="auto" w:sz="4" w:space="0"/>
              <w:bottom w:val="single" w:color="auto" w:sz="4" w:space="0"/>
              <w:right w:val="single" w:color="auto" w:sz="4" w:space="0"/>
            </w:tcBorders>
            <w:noWrap/>
          </w:tcPr>
          <w:p w14:paraId="23508BD8">
            <w:pPr>
              <w:topLinePunct/>
              <w:spacing w:line="440" w:lineRule="exact"/>
              <w:rPr>
                <w:rFonts w:hint="eastAsia" w:ascii="宋体" w:hAnsi="宋体" w:eastAsia="宋体" w:cs="宋体"/>
                <w:color w:val="auto"/>
                <w:sz w:val="24"/>
                <w:szCs w:val="24"/>
              </w:rPr>
            </w:pPr>
          </w:p>
        </w:tc>
      </w:tr>
      <w:tr w14:paraId="725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5F6156E">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委托人名称</w:t>
            </w:r>
          </w:p>
        </w:tc>
        <w:tc>
          <w:tcPr>
            <w:tcW w:w="7077" w:type="dxa"/>
            <w:tcBorders>
              <w:top w:val="single" w:color="auto" w:sz="4" w:space="0"/>
              <w:left w:val="single" w:color="auto" w:sz="4" w:space="0"/>
              <w:bottom w:val="single" w:color="auto" w:sz="4" w:space="0"/>
              <w:right w:val="single" w:color="auto" w:sz="4" w:space="0"/>
            </w:tcBorders>
            <w:noWrap/>
          </w:tcPr>
          <w:p w14:paraId="10359BEE">
            <w:pPr>
              <w:topLinePunct/>
              <w:spacing w:line="440" w:lineRule="exact"/>
              <w:rPr>
                <w:rFonts w:hint="eastAsia" w:ascii="宋体" w:hAnsi="宋体" w:eastAsia="宋体" w:cs="宋体"/>
                <w:color w:val="auto"/>
                <w:sz w:val="24"/>
                <w:szCs w:val="24"/>
              </w:rPr>
            </w:pPr>
          </w:p>
        </w:tc>
      </w:tr>
      <w:tr w14:paraId="7BFE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61D772F">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委托人地址</w:t>
            </w:r>
          </w:p>
        </w:tc>
        <w:tc>
          <w:tcPr>
            <w:tcW w:w="7077" w:type="dxa"/>
            <w:tcBorders>
              <w:top w:val="single" w:color="auto" w:sz="4" w:space="0"/>
              <w:left w:val="single" w:color="auto" w:sz="4" w:space="0"/>
              <w:bottom w:val="single" w:color="auto" w:sz="4" w:space="0"/>
              <w:right w:val="single" w:color="auto" w:sz="4" w:space="0"/>
            </w:tcBorders>
            <w:noWrap/>
          </w:tcPr>
          <w:p w14:paraId="4AF430CD">
            <w:pPr>
              <w:topLinePunct/>
              <w:spacing w:line="440" w:lineRule="exact"/>
              <w:rPr>
                <w:rFonts w:hint="eastAsia" w:ascii="宋体" w:hAnsi="宋体" w:eastAsia="宋体" w:cs="宋体"/>
                <w:color w:val="auto"/>
                <w:sz w:val="24"/>
                <w:szCs w:val="24"/>
              </w:rPr>
            </w:pPr>
          </w:p>
        </w:tc>
      </w:tr>
      <w:tr w14:paraId="16F2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00DDEED">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委托人电话</w:t>
            </w:r>
          </w:p>
        </w:tc>
        <w:tc>
          <w:tcPr>
            <w:tcW w:w="7077" w:type="dxa"/>
            <w:tcBorders>
              <w:top w:val="single" w:color="auto" w:sz="4" w:space="0"/>
              <w:left w:val="single" w:color="auto" w:sz="4" w:space="0"/>
              <w:bottom w:val="single" w:color="auto" w:sz="4" w:space="0"/>
              <w:right w:val="single" w:color="auto" w:sz="4" w:space="0"/>
            </w:tcBorders>
            <w:noWrap/>
          </w:tcPr>
          <w:p w14:paraId="2CF335B1">
            <w:pPr>
              <w:topLinePunct/>
              <w:spacing w:line="440" w:lineRule="exact"/>
              <w:rPr>
                <w:rFonts w:hint="eastAsia" w:ascii="宋体" w:hAnsi="宋体" w:eastAsia="宋体" w:cs="宋体"/>
                <w:color w:val="auto"/>
                <w:sz w:val="24"/>
                <w:szCs w:val="24"/>
              </w:rPr>
            </w:pPr>
          </w:p>
        </w:tc>
      </w:tr>
      <w:tr w14:paraId="61B6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B03061C">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7077" w:type="dxa"/>
            <w:tcBorders>
              <w:top w:val="single" w:color="auto" w:sz="4" w:space="0"/>
              <w:left w:val="single" w:color="auto" w:sz="4" w:space="0"/>
              <w:bottom w:val="single" w:color="auto" w:sz="4" w:space="0"/>
              <w:right w:val="single" w:color="auto" w:sz="4" w:space="0"/>
            </w:tcBorders>
            <w:noWrap/>
          </w:tcPr>
          <w:p w14:paraId="02F19F8E">
            <w:pPr>
              <w:topLinePunct/>
              <w:spacing w:line="440" w:lineRule="exact"/>
              <w:rPr>
                <w:rFonts w:hint="eastAsia" w:ascii="宋体" w:hAnsi="宋体" w:eastAsia="宋体" w:cs="宋体"/>
                <w:color w:val="auto"/>
                <w:sz w:val="24"/>
                <w:szCs w:val="24"/>
              </w:rPr>
            </w:pPr>
          </w:p>
        </w:tc>
      </w:tr>
      <w:tr w14:paraId="03F9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E47B583">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监理服务期限</w:t>
            </w:r>
          </w:p>
        </w:tc>
        <w:tc>
          <w:tcPr>
            <w:tcW w:w="7077" w:type="dxa"/>
            <w:tcBorders>
              <w:top w:val="single" w:color="auto" w:sz="4" w:space="0"/>
              <w:left w:val="single" w:color="auto" w:sz="4" w:space="0"/>
              <w:bottom w:val="single" w:color="auto" w:sz="4" w:space="0"/>
              <w:right w:val="single" w:color="auto" w:sz="4" w:space="0"/>
            </w:tcBorders>
            <w:noWrap/>
          </w:tcPr>
          <w:p w14:paraId="06F54F87">
            <w:pPr>
              <w:topLinePunct/>
              <w:spacing w:line="440" w:lineRule="exact"/>
              <w:rPr>
                <w:rFonts w:hint="eastAsia" w:ascii="宋体" w:hAnsi="宋体" w:eastAsia="宋体" w:cs="宋体"/>
                <w:color w:val="auto"/>
                <w:sz w:val="24"/>
                <w:szCs w:val="24"/>
              </w:rPr>
            </w:pPr>
          </w:p>
        </w:tc>
      </w:tr>
      <w:tr w14:paraId="1521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DD04049">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监理内容</w:t>
            </w:r>
          </w:p>
        </w:tc>
        <w:tc>
          <w:tcPr>
            <w:tcW w:w="7077" w:type="dxa"/>
            <w:tcBorders>
              <w:top w:val="single" w:color="auto" w:sz="4" w:space="0"/>
              <w:left w:val="single" w:color="auto" w:sz="4" w:space="0"/>
              <w:bottom w:val="single" w:color="auto" w:sz="4" w:space="0"/>
              <w:right w:val="single" w:color="auto" w:sz="4" w:space="0"/>
            </w:tcBorders>
            <w:noWrap/>
          </w:tcPr>
          <w:p w14:paraId="70EB2524">
            <w:pPr>
              <w:topLinePunct/>
              <w:spacing w:line="440" w:lineRule="exact"/>
              <w:rPr>
                <w:rFonts w:hint="eastAsia" w:ascii="宋体" w:hAnsi="宋体" w:eastAsia="宋体" w:cs="宋体"/>
                <w:color w:val="auto"/>
                <w:sz w:val="24"/>
                <w:szCs w:val="24"/>
              </w:rPr>
            </w:pPr>
          </w:p>
        </w:tc>
      </w:tr>
      <w:tr w14:paraId="43C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A91E356">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tc>
        <w:tc>
          <w:tcPr>
            <w:tcW w:w="7077" w:type="dxa"/>
            <w:tcBorders>
              <w:top w:val="single" w:color="auto" w:sz="4" w:space="0"/>
              <w:left w:val="single" w:color="auto" w:sz="4" w:space="0"/>
              <w:bottom w:val="single" w:color="auto" w:sz="4" w:space="0"/>
              <w:right w:val="single" w:color="auto" w:sz="4" w:space="0"/>
            </w:tcBorders>
            <w:noWrap/>
          </w:tcPr>
          <w:p w14:paraId="2750874E">
            <w:pPr>
              <w:topLinePunct/>
              <w:spacing w:line="440" w:lineRule="exact"/>
              <w:rPr>
                <w:rFonts w:hint="eastAsia" w:ascii="宋体" w:hAnsi="宋体" w:eastAsia="宋体" w:cs="宋体"/>
                <w:color w:val="auto"/>
                <w:sz w:val="24"/>
                <w:szCs w:val="24"/>
              </w:rPr>
            </w:pPr>
          </w:p>
        </w:tc>
      </w:tr>
      <w:tr w14:paraId="20E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EA398DA">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7077" w:type="dxa"/>
            <w:tcBorders>
              <w:top w:val="single" w:color="auto" w:sz="4" w:space="0"/>
              <w:left w:val="single" w:color="auto" w:sz="4" w:space="0"/>
              <w:bottom w:val="single" w:color="auto" w:sz="4" w:space="0"/>
              <w:right w:val="single" w:color="auto" w:sz="4" w:space="0"/>
            </w:tcBorders>
            <w:noWrap/>
          </w:tcPr>
          <w:p w14:paraId="4A3D1580">
            <w:pPr>
              <w:topLinePunct/>
              <w:spacing w:line="440" w:lineRule="exact"/>
              <w:rPr>
                <w:rFonts w:hint="eastAsia" w:ascii="宋体" w:hAnsi="宋体" w:eastAsia="宋体" w:cs="宋体"/>
                <w:color w:val="auto"/>
                <w:sz w:val="24"/>
                <w:szCs w:val="24"/>
              </w:rPr>
            </w:pPr>
          </w:p>
          <w:p w14:paraId="55BE555C">
            <w:pPr>
              <w:topLinePunct/>
              <w:spacing w:line="440" w:lineRule="exact"/>
              <w:rPr>
                <w:rFonts w:hint="eastAsia" w:ascii="宋体" w:hAnsi="宋体" w:eastAsia="宋体" w:cs="宋体"/>
                <w:color w:val="auto"/>
                <w:sz w:val="24"/>
                <w:szCs w:val="24"/>
              </w:rPr>
            </w:pPr>
          </w:p>
          <w:p w14:paraId="2FBC26D5">
            <w:pPr>
              <w:topLinePunct/>
              <w:spacing w:line="440" w:lineRule="exact"/>
              <w:rPr>
                <w:rFonts w:hint="eastAsia" w:ascii="宋体" w:hAnsi="宋体" w:eastAsia="宋体" w:cs="宋体"/>
                <w:color w:val="auto"/>
                <w:sz w:val="24"/>
                <w:szCs w:val="24"/>
              </w:rPr>
            </w:pPr>
          </w:p>
          <w:p w14:paraId="791B663F">
            <w:pPr>
              <w:topLinePunct/>
              <w:spacing w:line="440" w:lineRule="exact"/>
              <w:rPr>
                <w:rFonts w:hint="eastAsia" w:ascii="宋体" w:hAnsi="宋体" w:eastAsia="宋体" w:cs="宋体"/>
                <w:color w:val="auto"/>
                <w:sz w:val="24"/>
                <w:szCs w:val="24"/>
              </w:rPr>
            </w:pPr>
          </w:p>
          <w:p w14:paraId="2DBE98F8">
            <w:pPr>
              <w:topLinePunct/>
              <w:spacing w:line="440" w:lineRule="exact"/>
              <w:rPr>
                <w:rFonts w:hint="eastAsia" w:ascii="宋体" w:hAnsi="宋体" w:eastAsia="宋体" w:cs="宋体"/>
                <w:color w:val="auto"/>
                <w:sz w:val="24"/>
                <w:szCs w:val="24"/>
              </w:rPr>
            </w:pPr>
          </w:p>
          <w:p w14:paraId="65FF25F2">
            <w:pPr>
              <w:topLinePunct/>
              <w:spacing w:line="440" w:lineRule="exact"/>
              <w:rPr>
                <w:rFonts w:hint="eastAsia" w:ascii="宋体" w:hAnsi="宋体" w:eastAsia="宋体" w:cs="宋体"/>
                <w:color w:val="auto"/>
                <w:sz w:val="24"/>
                <w:szCs w:val="24"/>
              </w:rPr>
            </w:pPr>
          </w:p>
          <w:p w14:paraId="5C121498">
            <w:pPr>
              <w:topLinePunct/>
              <w:spacing w:line="440" w:lineRule="exact"/>
              <w:rPr>
                <w:rFonts w:hint="eastAsia" w:ascii="宋体" w:hAnsi="宋体" w:eastAsia="宋体" w:cs="宋体"/>
                <w:color w:val="auto"/>
                <w:sz w:val="24"/>
                <w:szCs w:val="24"/>
              </w:rPr>
            </w:pPr>
          </w:p>
        </w:tc>
      </w:tr>
      <w:tr w14:paraId="07E0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FBD94C9">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077" w:type="dxa"/>
            <w:tcBorders>
              <w:top w:val="single" w:color="auto" w:sz="4" w:space="0"/>
              <w:left w:val="single" w:color="auto" w:sz="4" w:space="0"/>
              <w:bottom w:val="single" w:color="auto" w:sz="4" w:space="0"/>
              <w:right w:val="single" w:color="auto" w:sz="4" w:space="0"/>
            </w:tcBorders>
            <w:noWrap/>
          </w:tcPr>
          <w:p w14:paraId="48008653">
            <w:pPr>
              <w:topLinePunct/>
              <w:spacing w:line="440" w:lineRule="exact"/>
              <w:rPr>
                <w:rFonts w:hint="eastAsia" w:ascii="宋体" w:hAnsi="宋体" w:eastAsia="宋体" w:cs="宋体"/>
                <w:color w:val="auto"/>
                <w:sz w:val="24"/>
                <w:szCs w:val="24"/>
              </w:rPr>
            </w:pPr>
          </w:p>
        </w:tc>
      </w:tr>
    </w:tbl>
    <w:p w14:paraId="773EC4CA">
      <w:pPr>
        <w:rPr>
          <w:rFonts w:hint="eastAsia" w:ascii="宋体" w:hAnsi="宋体" w:eastAsia="宋体" w:cs="宋体"/>
          <w:color w:val="auto"/>
          <w:sz w:val="24"/>
          <w:szCs w:val="24"/>
        </w:rPr>
      </w:pPr>
      <w:bookmarkStart w:id="434" w:name="_Toc517280611"/>
      <w:r>
        <w:rPr>
          <w:rFonts w:hint="eastAsia" w:ascii="宋体" w:hAnsi="宋体" w:eastAsia="宋体" w:cs="宋体"/>
          <w:color w:val="auto"/>
          <w:sz w:val="24"/>
          <w:szCs w:val="24"/>
        </w:rPr>
        <w:br w:type="page"/>
      </w:r>
    </w:p>
    <w:p w14:paraId="1CE68503">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（三）拟委任的主要人员汇总表</w:t>
      </w:r>
      <w:bookmarkEnd w:id="434"/>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538"/>
        <w:gridCol w:w="1115"/>
        <w:gridCol w:w="810"/>
        <w:gridCol w:w="710"/>
        <w:gridCol w:w="1246"/>
        <w:gridCol w:w="856"/>
        <w:gridCol w:w="1051"/>
        <w:gridCol w:w="1369"/>
      </w:tblGrid>
      <w:tr w14:paraId="2DF1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vMerge w:val="restart"/>
            <w:noWrap/>
            <w:vAlign w:val="center"/>
          </w:tcPr>
          <w:p w14:paraId="1579115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38" w:type="dxa"/>
            <w:vMerge w:val="restart"/>
            <w:noWrap/>
            <w:vAlign w:val="center"/>
          </w:tcPr>
          <w:p w14:paraId="370828F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本项目任职</w:t>
            </w:r>
          </w:p>
        </w:tc>
        <w:tc>
          <w:tcPr>
            <w:tcW w:w="1115" w:type="dxa"/>
            <w:vMerge w:val="restart"/>
            <w:noWrap/>
            <w:vAlign w:val="center"/>
          </w:tcPr>
          <w:p w14:paraId="54CA92B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810" w:type="dxa"/>
            <w:vMerge w:val="restart"/>
            <w:noWrap/>
            <w:vAlign w:val="center"/>
          </w:tcPr>
          <w:p w14:paraId="59EC32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710" w:type="dxa"/>
            <w:vMerge w:val="restart"/>
            <w:noWrap/>
            <w:vAlign w:val="center"/>
          </w:tcPr>
          <w:p w14:paraId="7EB3F8C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3153" w:type="dxa"/>
            <w:gridSpan w:val="3"/>
            <w:noWrap/>
            <w:vAlign w:val="center"/>
          </w:tcPr>
          <w:p w14:paraId="315E2D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1369" w:type="dxa"/>
            <w:noWrap/>
            <w:vAlign w:val="center"/>
          </w:tcPr>
          <w:p w14:paraId="260D1EE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49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5" w:type="dxa"/>
            <w:vMerge w:val="continue"/>
            <w:noWrap/>
            <w:vAlign w:val="center"/>
          </w:tcPr>
          <w:p w14:paraId="511FB217">
            <w:pPr>
              <w:rPr>
                <w:rFonts w:hint="eastAsia" w:ascii="宋体" w:hAnsi="宋体" w:eastAsia="宋体" w:cs="宋体"/>
                <w:color w:val="auto"/>
              </w:rPr>
            </w:pPr>
          </w:p>
        </w:tc>
        <w:tc>
          <w:tcPr>
            <w:tcW w:w="1538" w:type="dxa"/>
            <w:vMerge w:val="continue"/>
            <w:tcBorders>
              <w:left w:val="single" w:color="auto" w:sz="4" w:space="0"/>
            </w:tcBorders>
            <w:noWrap/>
          </w:tcPr>
          <w:p w14:paraId="194D16EB">
            <w:pPr>
              <w:rPr>
                <w:rFonts w:hint="eastAsia" w:ascii="宋体" w:hAnsi="宋体" w:eastAsia="宋体" w:cs="宋体"/>
                <w:color w:val="auto"/>
              </w:rPr>
            </w:pPr>
          </w:p>
        </w:tc>
        <w:tc>
          <w:tcPr>
            <w:tcW w:w="1115" w:type="dxa"/>
            <w:vMerge w:val="continue"/>
            <w:tcBorders>
              <w:left w:val="single" w:color="auto" w:sz="4" w:space="0"/>
            </w:tcBorders>
            <w:noWrap/>
            <w:vAlign w:val="center"/>
          </w:tcPr>
          <w:p w14:paraId="2EDF6223">
            <w:pPr>
              <w:rPr>
                <w:rFonts w:hint="eastAsia" w:ascii="宋体" w:hAnsi="宋体" w:eastAsia="宋体" w:cs="宋体"/>
                <w:color w:val="auto"/>
              </w:rPr>
            </w:pPr>
          </w:p>
        </w:tc>
        <w:tc>
          <w:tcPr>
            <w:tcW w:w="810" w:type="dxa"/>
            <w:vMerge w:val="continue"/>
            <w:tcBorders>
              <w:left w:val="single" w:color="auto" w:sz="4" w:space="0"/>
            </w:tcBorders>
            <w:noWrap/>
            <w:vAlign w:val="center"/>
          </w:tcPr>
          <w:p w14:paraId="4F322532">
            <w:pPr>
              <w:rPr>
                <w:rFonts w:hint="eastAsia" w:ascii="宋体" w:hAnsi="宋体" w:eastAsia="宋体" w:cs="宋体"/>
                <w:color w:val="auto"/>
              </w:rPr>
            </w:pPr>
          </w:p>
        </w:tc>
        <w:tc>
          <w:tcPr>
            <w:tcW w:w="710" w:type="dxa"/>
            <w:vMerge w:val="continue"/>
            <w:tcBorders>
              <w:left w:val="single" w:color="auto" w:sz="4" w:space="0"/>
            </w:tcBorders>
            <w:noWrap/>
            <w:vAlign w:val="center"/>
          </w:tcPr>
          <w:p w14:paraId="018195B5">
            <w:pPr>
              <w:rPr>
                <w:rFonts w:hint="eastAsia" w:ascii="宋体" w:hAnsi="宋体" w:eastAsia="宋体" w:cs="宋体"/>
                <w:color w:val="auto"/>
              </w:rPr>
            </w:pPr>
          </w:p>
        </w:tc>
        <w:tc>
          <w:tcPr>
            <w:tcW w:w="1246" w:type="dxa"/>
            <w:tcBorders>
              <w:left w:val="single" w:color="auto" w:sz="4" w:space="0"/>
            </w:tcBorders>
            <w:noWrap/>
            <w:vAlign w:val="center"/>
          </w:tcPr>
          <w:p w14:paraId="5C7BD793">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6" w:type="dxa"/>
            <w:tcBorders>
              <w:left w:val="single" w:color="auto" w:sz="4" w:space="0"/>
            </w:tcBorders>
            <w:noWrap/>
            <w:vAlign w:val="center"/>
          </w:tcPr>
          <w:p w14:paraId="71817EF5">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51" w:type="dxa"/>
            <w:tcBorders>
              <w:left w:val="single" w:color="auto" w:sz="4" w:space="0"/>
            </w:tcBorders>
            <w:noWrap/>
            <w:vAlign w:val="center"/>
          </w:tcPr>
          <w:p w14:paraId="7CCAA17B">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369" w:type="dxa"/>
            <w:tcBorders>
              <w:left w:val="single" w:color="auto" w:sz="4" w:space="0"/>
            </w:tcBorders>
            <w:noWrap/>
            <w:vAlign w:val="center"/>
          </w:tcPr>
          <w:p w14:paraId="23DE63C1">
            <w:pPr>
              <w:spacing w:line="440" w:lineRule="exact"/>
              <w:jc w:val="center"/>
              <w:rPr>
                <w:rFonts w:hint="eastAsia" w:ascii="宋体" w:hAnsi="宋体" w:eastAsia="宋体" w:cs="宋体"/>
                <w:color w:val="auto"/>
                <w:sz w:val="24"/>
                <w:szCs w:val="24"/>
              </w:rPr>
            </w:pPr>
          </w:p>
        </w:tc>
      </w:tr>
      <w:tr w14:paraId="24F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vAlign w:val="center"/>
          </w:tcPr>
          <w:p w14:paraId="5A89A16B">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27785A38">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vAlign w:val="center"/>
          </w:tcPr>
          <w:p w14:paraId="17A53D83">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vAlign w:val="center"/>
          </w:tcPr>
          <w:p w14:paraId="29D97017">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vAlign w:val="center"/>
          </w:tcPr>
          <w:p w14:paraId="4877F6D2">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vAlign w:val="center"/>
          </w:tcPr>
          <w:p w14:paraId="2B0F8EDC">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vAlign w:val="center"/>
          </w:tcPr>
          <w:p w14:paraId="50D71E3A">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vAlign w:val="center"/>
          </w:tcPr>
          <w:p w14:paraId="7832E132">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vAlign w:val="center"/>
          </w:tcPr>
          <w:p w14:paraId="61FAC5F2">
            <w:pPr>
              <w:spacing w:line="440" w:lineRule="exact"/>
              <w:jc w:val="center"/>
              <w:rPr>
                <w:rFonts w:hint="eastAsia" w:ascii="宋体" w:hAnsi="宋体" w:eastAsia="宋体" w:cs="宋体"/>
                <w:color w:val="auto"/>
                <w:sz w:val="24"/>
                <w:szCs w:val="24"/>
              </w:rPr>
            </w:pPr>
          </w:p>
        </w:tc>
      </w:tr>
      <w:tr w14:paraId="06CA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4A1C1B8">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77342953">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51EBA496">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7DDD3826">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213457D0">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040E2E57">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0413CEE1">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768AE9D4">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5CD975A9">
            <w:pPr>
              <w:spacing w:line="440" w:lineRule="exact"/>
              <w:jc w:val="center"/>
              <w:rPr>
                <w:rFonts w:hint="eastAsia" w:ascii="宋体" w:hAnsi="宋体" w:eastAsia="宋体" w:cs="宋体"/>
                <w:color w:val="auto"/>
                <w:sz w:val="24"/>
                <w:szCs w:val="24"/>
              </w:rPr>
            </w:pPr>
          </w:p>
        </w:tc>
      </w:tr>
      <w:tr w14:paraId="0EAB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5084111E">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1E40E6D0">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4207BE3A">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71DBD240">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57C272A1">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7D3872DD">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1321CC7A">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30E9D3DA">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04D03A53">
            <w:pPr>
              <w:spacing w:line="440" w:lineRule="exact"/>
              <w:jc w:val="center"/>
              <w:rPr>
                <w:rFonts w:hint="eastAsia" w:ascii="宋体" w:hAnsi="宋体" w:eastAsia="宋体" w:cs="宋体"/>
                <w:color w:val="auto"/>
                <w:sz w:val="24"/>
                <w:szCs w:val="24"/>
              </w:rPr>
            </w:pPr>
          </w:p>
        </w:tc>
      </w:tr>
      <w:tr w14:paraId="7346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30B72EB9">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19D1842C">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2C930A6D">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000F7219">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18F3501C">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6BF5F759">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0C8EC7BD">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129E936C">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0E0B9885">
            <w:pPr>
              <w:spacing w:line="440" w:lineRule="exact"/>
              <w:jc w:val="center"/>
              <w:rPr>
                <w:rFonts w:hint="eastAsia" w:ascii="宋体" w:hAnsi="宋体" w:eastAsia="宋体" w:cs="宋体"/>
                <w:color w:val="auto"/>
                <w:sz w:val="24"/>
                <w:szCs w:val="24"/>
              </w:rPr>
            </w:pPr>
          </w:p>
        </w:tc>
      </w:tr>
      <w:tr w14:paraId="5E8E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857DFAD">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676E0BA3">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3AC775D0">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231A7AD7">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44CC0628">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0CB84395">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7856A5B7">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56F0B206">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64492BF8">
            <w:pPr>
              <w:spacing w:line="440" w:lineRule="exact"/>
              <w:jc w:val="center"/>
              <w:rPr>
                <w:rFonts w:hint="eastAsia" w:ascii="宋体" w:hAnsi="宋体" w:eastAsia="宋体" w:cs="宋体"/>
                <w:color w:val="auto"/>
                <w:sz w:val="24"/>
                <w:szCs w:val="24"/>
              </w:rPr>
            </w:pPr>
          </w:p>
        </w:tc>
      </w:tr>
      <w:tr w14:paraId="250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25FBD460">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25DF50C8">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1FCE2C5E">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1316BD4A">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0B86006B">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3E59A4F3">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14E8DAE9">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1CF220F8">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39151F4B">
            <w:pPr>
              <w:spacing w:line="440" w:lineRule="exact"/>
              <w:jc w:val="center"/>
              <w:rPr>
                <w:rFonts w:hint="eastAsia" w:ascii="宋体" w:hAnsi="宋体" w:eastAsia="宋体" w:cs="宋体"/>
                <w:color w:val="auto"/>
                <w:sz w:val="24"/>
                <w:szCs w:val="24"/>
              </w:rPr>
            </w:pPr>
          </w:p>
        </w:tc>
      </w:tr>
      <w:tr w14:paraId="1FF6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1F06BF27">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66BA6996">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76716C7F">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0B8E1910">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12ABDB01">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006F7F87">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0D0E65A7">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2BC5440B">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4B575D98">
            <w:pPr>
              <w:spacing w:line="440" w:lineRule="exact"/>
              <w:jc w:val="center"/>
              <w:rPr>
                <w:rFonts w:hint="eastAsia" w:ascii="宋体" w:hAnsi="宋体" w:eastAsia="宋体" w:cs="宋体"/>
                <w:color w:val="auto"/>
                <w:sz w:val="24"/>
                <w:szCs w:val="24"/>
              </w:rPr>
            </w:pPr>
          </w:p>
        </w:tc>
      </w:tr>
      <w:tr w14:paraId="52BD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5D805538">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5406146E">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7778E877">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3C453C24">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661555D3">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6EB547BA">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6246F4EF">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5A6D32EE">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5FDB0E60">
            <w:pPr>
              <w:spacing w:line="440" w:lineRule="exact"/>
              <w:jc w:val="center"/>
              <w:rPr>
                <w:rFonts w:hint="eastAsia" w:ascii="宋体" w:hAnsi="宋体" w:eastAsia="宋体" w:cs="宋体"/>
                <w:color w:val="auto"/>
                <w:sz w:val="24"/>
                <w:szCs w:val="24"/>
              </w:rPr>
            </w:pPr>
          </w:p>
        </w:tc>
      </w:tr>
      <w:tr w14:paraId="4F8E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1B493238">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3BF80E6E">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10306388">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105BD648">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2A2CF7A6">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3EEB10F6">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09CE5F01">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6BCD5C92">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3723B3A1">
            <w:pPr>
              <w:spacing w:line="440" w:lineRule="exact"/>
              <w:jc w:val="center"/>
              <w:rPr>
                <w:rFonts w:hint="eastAsia" w:ascii="宋体" w:hAnsi="宋体" w:eastAsia="宋体" w:cs="宋体"/>
                <w:color w:val="auto"/>
                <w:sz w:val="24"/>
                <w:szCs w:val="24"/>
              </w:rPr>
            </w:pPr>
          </w:p>
        </w:tc>
      </w:tr>
      <w:tr w14:paraId="02CA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720FA10">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00F51480">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2A018687">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03A420F3">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4D301259">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1F294337">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748C67A3">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09616187">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1C2C5260">
            <w:pPr>
              <w:spacing w:line="440" w:lineRule="exact"/>
              <w:jc w:val="center"/>
              <w:rPr>
                <w:rFonts w:hint="eastAsia" w:ascii="宋体" w:hAnsi="宋体" w:eastAsia="宋体" w:cs="宋体"/>
                <w:color w:val="auto"/>
                <w:sz w:val="24"/>
                <w:szCs w:val="24"/>
              </w:rPr>
            </w:pPr>
          </w:p>
        </w:tc>
      </w:tr>
      <w:tr w14:paraId="44C2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A103EBE">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6E72082D">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5C285CC0">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006FEC67">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0CBB5B5C">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4B865F7C">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38F473C8">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0F4F5099">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3C5A521C">
            <w:pPr>
              <w:spacing w:line="440" w:lineRule="exact"/>
              <w:jc w:val="center"/>
              <w:rPr>
                <w:rFonts w:hint="eastAsia" w:ascii="宋体" w:hAnsi="宋体" w:eastAsia="宋体" w:cs="宋体"/>
                <w:color w:val="auto"/>
                <w:sz w:val="24"/>
                <w:szCs w:val="24"/>
              </w:rPr>
            </w:pPr>
          </w:p>
        </w:tc>
      </w:tr>
      <w:tr w14:paraId="7258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254365D5">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252107D3">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423B9D52">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51EBC225">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755A4FC7">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0DE9873E">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04EFB8D9">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444095C0">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3C77550A">
            <w:pPr>
              <w:spacing w:line="440" w:lineRule="exact"/>
              <w:jc w:val="center"/>
              <w:rPr>
                <w:rFonts w:hint="eastAsia" w:ascii="宋体" w:hAnsi="宋体" w:eastAsia="宋体" w:cs="宋体"/>
                <w:color w:val="auto"/>
                <w:sz w:val="24"/>
                <w:szCs w:val="24"/>
              </w:rPr>
            </w:pPr>
          </w:p>
        </w:tc>
      </w:tr>
      <w:tr w14:paraId="5C3B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698F9186">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79F3D064">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1CF4FBE7">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096D6431">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25DE6F64">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42FE6143">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6CE2A6DC">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6ADBF5C8">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0AAFE5F8">
            <w:pPr>
              <w:spacing w:line="440" w:lineRule="exact"/>
              <w:jc w:val="center"/>
              <w:rPr>
                <w:rFonts w:hint="eastAsia" w:ascii="宋体" w:hAnsi="宋体" w:eastAsia="宋体" w:cs="宋体"/>
                <w:color w:val="auto"/>
                <w:sz w:val="24"/>
                <w:szCs w:val="24"/>
              </w:rPr>
            </w:pPr>
          </w:p>
        </w:tc>
      </w:tr>
      <w:tr w14:paraId="5342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02D0A05">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4949E9CB">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25AC4E48">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63D3E48D">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68FC322D">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537DCC6D">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4AEFF915">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54ACA981">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279095B8">
            <w:pPr>
              <w:spacing w:line="440" w:lineRule="exact"/>
              <w:jc w:val="center"/>
              <w:rPr>
                <w:rFonts w:hint="eastAsia" w:ascii="宋体" w:hAnsi="宋体" w:eastAsia="宋体" w:cs="宋体"/>
                <w:color w:val="auto"/>
                <w:sz w:val="24"/>
                <w:szCs w:val="24"/>
              </w:rPr>
            </w:pPr>
          </w:p>
        </w:tc>
      </w:tr>
      <w:tr w14:paraId="7A5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697E2F28">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271E26AE">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65F60CCA">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338173C7">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79B5F77E">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525B4CA5">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21D928C1">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48F0917B">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625FC252">
            <w:pPr>
              <w:spacing w:line="440" w:lineRule="exact"/>
              <w:jc w:val="center"/>
              <w:rPr>
                <w:rFonts w:hint="eastAsia" w:ascii="宋体" w:hAnsi="宋体" w:eastAsia="宋体" w:cs="宋体"/>
                <w:color w:val="auto"/>
                <w:sz w:val="24"/>
                <w:szCs w:val="24"/>
              </w:rPr>
            </w:pPr>
          </w:p>
        </w:tc>
      </w:tr>
      <w:tr w14:paraId="603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7B875ACF">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39637818">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274D75A4">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74F0869C">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429FD825">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03BD0BA6">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7345169D">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0E335418">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04AC6C7D">
            <w:pPr>
              <w:spacing w:line="440" w:lineRule="exact"/>
              <w:jc w:val="center"/>
              <w:rPr>
                <w:rFonts w:hint="eastAsia" w:ascii="宋体" w:hAnsi="宋体" w:eastAsia="宋体" w:cs="宋体"/>
                <w:color w:val="auto"/>
                <w:sz w:val="24"/>
                <w:szCs w:val="24"/>
              </w:rPr>
            </w:pPr>
          </w:p>
        </w:tc>
      </w:tr>
      <w:tr w14:paraId="5D56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54B7032D">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43E8651D">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0CC38F41">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032F697C">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5BB5A8CB">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72F1E832">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7AB60410">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17847C18">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15C95F2E">
            <w:pPr>
              <w:spacing w:line="440" w:lineRule="exact"/>
              <w:jc w:val="center"/>
              <w:rPr>
                <w:rFonts w:hint="eastAsia" w:ascii="宋体" w:hAnsi="宋体" w:eastAsia="宋体" w:cs="宋体"/>
                <w:color w:val="auto"/>
                <w:sz w:val="24"/>
                <w:szCs w:val="24"/>
              </w:rPr>
            </w:pPr>
          </w:p>
        </w:tc>
      </w:tr>
      <w:tr w14:paraId="0740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21D61C65">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2E346ABC">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14F5F409">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792616EB">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6189DB78">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365B41A2">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0D12CDF7">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01EFC393">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71A66D18">
            <w:pPr>
              <w:spacing w:line="440" w:lineRule="exact"/>
              <w:jc w:val="center"/>
              <w:rPr>
                <w:rFonts w:hint="eastAsia" w:ascii="宋体" w:hAnsi="宋体" w:eastAsia="宋体" w:cs="宋体"/>
                <w:color w:val="auto"/>
                <w:sz w:val="24"/>
                <w:szCs w:val="24"/>
              </w:rPr>
            </w:pPr>
          </w:p>
        </w:tc>
      </w:tr>
      <w:tr w14:paraId="20E0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4327CF1">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633A795C">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7502DB5B">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250F99E0">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4D76D1E9">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43DC56A7">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6B6F6ED6">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74281958">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1C9B606F">
            <w:pPr>
              <w:spacing w:line="440" w:lineRule="exact"/>
              <w:jc w:val="center"/>
              <w:rPr>
                <w:rFonts w:hint="eastAsia" w:ascii="宋体" w:hAnsi="宋体" w:eastAsia="宋体" w:cs="宋体"/>
                <w:color w:val="auto"/>
                <w:sz w:val="24"/>
                <w:szCs w:val="24"/>
              </w:rPr>
            </w:pPr>
          </w:p>
        </w:tc>
      </w:tr>
      <w:tr w14:paraId="64BF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14:paraId="46B7A936">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33F4A13B">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78EFC340">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5FA4DEBD">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7122D20E">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6C0669E7">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61CB55AE">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6EE25BB3">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6BE3CAEE">
            <w:pPr>
              <w:spacing w:line="440" w:lineRule="exact"/>
              <w:jc w:val="center"/>
              <w:rPr>
                <w:rFonts w:hint="eastAsia" w:ascii="宋体" w:hAnsi="宋体" w:eastAsia="宋体" w:cs="宋体"/>
                <w:color w:val="auto"/>
                <w:sz w:val="24"/>
                <w:szCs w:val="24"/>
              </w:rPr>
            </w:pPr>
          </w:p>
        </w:tc>
      </w:tr>
      <w:tr w14:paraId="0F86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5" w:type="dxa"/>
            <w:noWrap/>
          </w:tcPr>
          <w:p w14:paraId="0A3ADC38">
            <w:pPr>
              <w:spacing w:line="440" w:lineRule="exact"/>
              <w:jc w:val="center"/>
              <w:rPr>
                <w:rFonts w:hint="eastAsia" w:ascii="宋体" w:hAnsi="宋体" w:eastAsia="宋体" w:cs="宋体"/>
                <w:color w:val="auto"/>
                <w:sz w:val="24"/>
                <w:szCs w:val="24"/>
              </w:rPr>
            </w:pPr>
          </w:p>
        </w:tc>
        <w:tc>
          <w:tcPr>
            <w:tcW w:w="1538" w:type="dxa"/>
            <w:tcBorders>
              <w:left w:val="single" w:color="auto" w:sz="4" w:space="0"/>
            </w:tcBorders>
            <w:noWrap/>
          </w:tcPr>
          <w:p w14:paraId="034357E6">
            <w:pPr>
              <w:spacing w:line="440" w:lineRule="exact"/>
              <w:jc w:val="center"/>
              <w:rPr>
                <w:rFonts w:hint="eastAsia" w:ascii="宋体" w:hAnsi="宋体" w:eastAsia="宋体" w:cs="宋体"/>
                <w:color w:val="auto"/>
                <w:sz w:val="24"/>
                <w:szCs w:val="24"/>
              </w:rPr>
            </w:pPr>
          </w:p>
        </w:tc>
        <w:tc>
          <w:tcPr>
            <w:tcW w:w="1115" w:type="dxa"/>
            <w:tcBorders>
              <w:left w:val="single" w:color="auto" w:sz="4" w:space="0"/>
            </w:tcBorders>
            <w:noWrap/>
          </w:tcPr>
          <w:p w14:paraId="484D195D">
            <w:pPr>
              <w:spacing w:line="440" w:lineRule="exact"/>
              <w:jc w:val="center"/>
              <w:rPr>
                <w:rFonts w:hint="eastAsia" w:ascii="宋体" w:hAnsi="宋体" w:eastAsia="宋体" w:cs="宋体"/>
                <w:color w:val="auto"/>
                <w:sz w:val="24"/>
                <w:szCs w:val="24"/>
              </w:rPr>
            </w:pPr>
          </w:p>
        </w:tc>
        <w:tc>
          <w:tcPr>
            <w:tcW w:w="810" w:type="dxa"/>
            <w:tcBorders>
              <w:left w:val="single" w:color="auto" w:sz="4" w:space="0"/>
            </w:tcBorders>
            <w:noWrap/>
          </w:tcPr>
          <w:p w14:paraId="386FCFFE">
            <w:pPr>
              <w:spacing w:line="440" w:lineRule="exact"/>
              <w:jc w:val="center"/>
              <w:rPr>
                <w:rFonts w:hint="eastAsia" w:ascii="宋体" w:hAnsi="宋体" w:eastAsia="宋体" w:cs="宋体"/>
                <w:color w:val="auto"/>
                <w:sz w:val="24"/>
                <w:szCs w:val="24"/>
              </w:rPr>
            </w:pPr>
          </w:p>
        </w:tc>
        <w:tc>
          <w:tcPr>
            <w:tcW w:w="710" w:type="dxa"/>
            <w:tcBorders>
              <w:left w:val="single" w:color="auto" w:sz="4" w:space="0"/>
            </w:tcBorders>
            <w:noWrap/>
          </w:tcPr>
          <w:p w14:paraId="7F7FD8B2">
            <w:pPr>
              <w:spacing w:line="440" w:lineRule="exact"/>
              <w:jc w:val="center"/>
              <w:rPr>
                <w:rFonts w:hint="eastAsia" w:ascii="宋体" w:hAnsi="宋体" w:eastAsia="宋体" w:cs="宋体"/>
                <w:color w:val="auto"/>
                <w:sz w:val="24"/>
                <w:szCs w:val="24"/>
              </w:rPr>
            </w:pPr>
          </w:p>
        </w:tc>
        <w:tc>
          <w:tcPr>
            <w:tcW w:w="1246" w:type="dxa"/>
            <w:tcBorders>
              <w:left w:val="single" w:color="auto" w:sz="4" w:space="0"/>
            </w:tcBorders>
            <w:noWrap/>
          </w:tcPr>
          <w:p w14:paraId="5342A0EA">
            <w:pPr>
              <w:spacing w:line="440" w:lineRule="exact"/>
              <w:jc w:val="center"/>
              <w:rPr>
                <w:rFonts w:hint="eastAsia" w:ascii="宋体" w:hAnsi="宋体" w:eastAsia="宋体" w:cs="宋体"/>
                <w:color w:val="auto"/>
                <w:sz w:val="24"/>
                <w:szCs w:val="24"/>
              </w:rPr>
            </w:pPr>
          </w:p>
        </w:tc>
        <w:tc>
          <w:tcPr>
            <w:tcW w:w="856" w:type="dxa"/>
            <w:tcBorders>
              <w:left w:val="single" w:color="auto" w:sz="4" w:space="0"/>
            </w:tcBorders>
            <w:noWrap/>
          </w:tcPr>
          <w:p w14:paraId="5460ED2A">
            <w:pPr>
              <w:spacing w:line="440" w:lineRule="exact"/>
              <w:jc w:val="center"/>
              <w:rPr>
                <w:rFonts w:hint="eastAsia" w:ascii="宋体" w:hAnsi="宋体" w:eastAsia="宋体" w:cs="宋体"/>
                <w:color w:val="auto"/>
                <w:sz w:val="24"/>
                <w:szCs w:val="24"/>
              </w:rPr>
            </w:pPr>
          </w:p>
        </w:tc>
        <w:tc>
          <w:tcPr>
            <w:tcW w:w="1051" w:type="dxa"/>
            <w:tcBorders>
              <w:left w:val="single" w:color="auto" w:sz="4" w:space="0"/>
            </w:tcBorders>
            <w:noWrap/>
          </w:tcPr>
          <w:p w14:paraId="4165BC89">
            <w:pPr>
              <w:spacing w:line="440" w:lineRule="exact"/>
              <w:jc w:val="center"/>
              <w:rPr>
                <w:rFonts w:hint="eastAsia" w:ascii="宋体" w:hAnsi="宋体" w:eastAsia="宋体" w:cs="宋体"/>
                <w:color w:val="auto"/>
                <w:sz w:val="24"/>
                <w:szCs w:val="24"/>
              </w:rPr>
            </w:pPr>
          </w:p>
        </w:tc>
        <w:tc>
          <w:tcPr>
            <w:tcW w:w="1369" w:type="dxa"/>
            <w:tcBorders>
              <w:left w:val="single" w:color="auto" w:sz="4" w:space="0"/>
            </w:tcBorders>
            <w:noWrap/>
          </w:tcPr>
          <w:p w14:paraId="2D8ED172">
            <w:pPr>
              <w:spacing w:line="440" w:lineRule="exact"/>
              <w:jc w:val="center"/>
              <w:rPr>
                <w:rFonts w:hint="eastAsia" w:ascii="宋体" w:hAnsi="宋体" w:eastAsia="宋体" w:cs="宋体"/>
                <w:color w:val="auto"/>
                <w:sz w:val="24"/>
                <w:szCs w:val="24"/>
              </w:rPr>
            </w:pPr>
          </w:p>
        </w:tc>
      </w:tr>
    </w:tbl>
    <w:p w14:paraId="58B00090">
      <w:pPr>
        <w:spacing w:line="440" w:lineRule="exact"/>
        <w:rPr>
          <w:rFonts w:hint="eastAsia" w:ascii="宋体" w:hAnsi="宋体" w:eastAsia="宋体" w:cs="宋体"/>
          <w:color w:val="auto"/>
        </w:rPr>
      </w:pPr>
      <w:bookmarkStart w:id="435" w:name="_Toc517280612"/>
    </w:p>
    <w:p w14:paraId="46F18300">
      <w:pPr>
        <w:spacing w:line="440" w:lineRule="exact"/>
        <w:rPr>
          <w:rFonts w:hint="eastAsia" w:ascii="宋体" w:hAnsi="宋体" w:eastAsia="宋体" w:cs="宋体"/>
          <w:color w:val="auto"/>
        </w:rPr>
      </w:pPr>
    </w:p>
    <w:p w14:paraId="190C2CA4">
      <w:pPr>
        <w:pStyle w:val="4"/>
        <w:keepNext w:val="0"/>
        <w:keepLines w:val="0"/>
        <w:spacing w:line="240" w:lineRule="auto"/>
        <w:ind w:firstLine="137"/>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b/>
          <w:color w:val="auto"/>
          <w:sz w:val="32"/>
        </w:rPr>
        <w:t>（四）主要人员简历表</w:t>
      </w:r>
      <w:bookmarkEnd w:id="435"/>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06"/>
        <w:gridCol w:w="787"/>
        <w:gridCol w:w="1090"/>
        <w:gridCol w:w="1213"/>
        <w:gridCol w:w="803"/>
        <w:gridCol w:w="1435"/>
        <w:gridCol w:w="457"/>
        <w:gridCol w:w="2158"/>
      </w:tblGrid>
      <w:tr w14:paraId="2B8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51" w:type="dxa"/>
            <w:noWrap/>
            <w:vAlign w:val="center"/>
          </w:tcPr>
          <w:p w14:paraId="422CAAF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193" w:type="dxa"/>
            <w:gridSpan w:val="2"/>
            <w:noWrap/>
            <w:vAlign w:val="center"/>
          </w:tcPr>
          <w:p w14:paraId="6C775371">
            <w:pPr>
              <w:spacing w:line="440" w:lineRule="exact"/>
              <w:jc w:val="center"/>
              <w:rPr>
                <w:rFonts w:hint="eastAsia" w:ascii="宋体" w:hAnsi="宋体" w:eastAsia="宋体" w:cs="宋体"/>
                <w:color w:val="auto"/>
                <w:sz w:val="24"/>
                <w:szCs w:val="24"/>
              </w:rPr>
            </w:pPr>
          </w:p>
        </w:tc>
        <w:tc>
          <w:tcPr>
            <w:tcW w:w="1090" w:type="dxa"/>
            <w:noWrap/>
            <w:vAlign w:val="center"/>
          </w:tcPr>
          <w:p w14:paraId="0FA6E9A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noWrap/>
            <w:vAlign w:val="center"/>
          </w:tcPr>
          <w:p w14:paraId="43F071AC">
            <w:pPr>
              <w:spacing w:line="440" w:lineRule="exact"/>
              <w:jc w:val="center"/>
              <w:rPr>
                <w:rFonts w:hint="eastAsia" w:ascii="宋体" w:hAnsi="宋体" w:eastAsia="宋体" w:cs="宋体"/>
                <w:color w:val="auto"/>
                <w:sz w:val="24"/>
                <w:szCs w:val="24"/>
              </w:rPr>
            </w:pPr>
          </w:p>
        </w:tc>
        <w:tc>
          <w:tcPr>
            <w:tcW w:w="2695" w:type="dxa"/>
            <w:gridSpan w:val="3"/>
            <w:noWrap/>
            <w:vAlign w:val="center"/>
          </w:tcPr>
          <w:p w14:paraId="2814AD8C">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执业资格证书（或上岗证书）名称</w:t>
            </w:r>
          </w:p>
        </w:tc>
        <w:tc>
          <w:tcPr>
            <w:tcW w:w="2158" w:type="dxa"/>
            <w:noWrap/>
            <w:vAlign w:val="center"/>
          </w:tcPr>
          <w:p w14:paraId="6A6F018E">
            <w:pPr>
              <w:spacing w:line="440" w:lineRule="exact"/>
              <w:jc w:val="center"/>
              <w:rPr>
                <w:rFonts w:hint="eastAsia" w:ascii="宋体" w:hAnsi="宋体" w:eastAsia="宋体" w:cs="宋体"/>
                <w:color w:val="auto"/>
                <w:sz w:val="24"/>
                <w:szCs w:val="24"/>
              </w:rPr>
            </w:pPr>
          </w:p>
        </w:tc>
      </w:tr>
      <w:tr w14:paraId="03C4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noWrap/>
            <w:vAlign w:val="center"/>
          </w:tcPr>
          <w:p w14:paraId="436F4CF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193" w:type="dxa"/>
            <w:gridSpan w:val="2"/>
            <w:tcBorders>
              <w:left w:val="single" w:color="auto" w:sz="4" w:space="0"/>
            </w:tcBorders>
            <w:noWrap/>
            <w:vAlign w:val="center"/>
          </w:tcPr>
          <w:p w14:paraId="6C1EFF90">
            <w:pPr>
              <w:spacing w:line="440" w:lineRule="exact"/>
              <w:jc w:val="center"/>
              <w:rPr>
                <w:rFonts w:hint="eastAsia" w:ascii="宋体" w:hAnsi="宋体" w:eastAsia="宋体" w:cs="宋体"/>
                <w:color w:val="auto"/>
                <w:sz w:val="24"/>
                <w:szCs w:val="24"/>
              </w:rPr>
            </w:pPr>
          </w:p>
        </w:tc>
        <w:tc>
          <w:tcPr>
            <w:tcW w:w="1090" w:type="dxa"/>
            <w:tcBorders>
              <w:left w:val="single" w:color="auto" w:sz="4" w:space="0"/>
            </w:tcBorders>
            <w:noWrap/>
            <w:vAlign w:val="center"/>
          </w:tcPr>
          <w:p w14:paraId="0747256A">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13" w:type="dxa"/>
            <w:tcBorders>
              <w:left w:val="single" w:color="auto" w:sz="4" w:space="0"/>
            </w:tcBorders>
            <w:noWrap/>
            <w:vAlign w:val="center"/>
          </w:tcPr>
          <w:p w14:paraId="7730613C">
            <w:pPr>
              <w:spacing w:line="440" w:lineRule="exact"/>
              <w:jc w:val="center"/>
              <w:rPr>
                <w:rFonts w:hint="eastAsia" w:ascii="宋体" w:hAnsi="宋体" w:eastAsia="宋体" w:cs="宋体"/>
                <w:color w:val="auto"/>
                <w:sz w:val="24"/>
                <w:szCs w:val="24"/>
              </w:rPr>
            </w:pPr>
          </w:p>
        </w:tc>
        <w:tc>
          <w:tcPr>
            <w:tcW w:w="2695" w:type="dxa"/>
            <w:gridSpan w:val="3"/>
            <w:tcBorders>
              <w:left w:val="single" w:color="auto" w:sz="4" w:space="0"/>
            </w:tcBorders>
            <w:noWrap/>
            <w:vAlign w:val="center"/>
          </w:tcPr>
          <w:p w14:paraId="4375816B">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拟在本项目任职</w:t>
            </w:r>
          </w:p>
        </w:tc>
        <w:tc>
          <w:tcPr>
            <w:tcW w:w="2158" w:type="dxa"/>
            <w:tcBorders>
              <w:left w:val="single" w:color="auto" w:sz="4" w:space="0"/>
            </w:tcBorders>
            <w:noWrap/>
            <w:vAlign w:val="center"/>
          </w:tcPr>
          <w:p w14:paraId="119F2C29">
            <w:pPr>
              <w:spacing w:line="440" w:lineRule="exact"/>
              <w:jc w:val="center"/>
              <w:rPr>
                <w:rFonts w:hint="eastAsia" w:ascii="宋体" w:hAnsi="宋体" w:eastAsia="宋体" w:cs="宋体"/>
                <w:color w:val="auto"/>
                <w:sz w:val="24"/>
                <w:szCs w:val="24"/>
              </w:rPr>
            </w:pPr>
          </w:p>
        </w:tc>
      </w:tr>
      <w:tr w14:paraId="4ABA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noWrap/>
            <w:vAlign w:val="center"/>
          </w:tcPr>
          <w:p w14:paraId="0BBBBD83">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3496" w:type="dxa"/>
            <w:gridSpan w:val="4"/>
            <w:tcBorders>
              <w:left w:val="single" w:color="auto" w:sz="4" w:space="0"/>
            </w:tcBorders>
            <w:noWrap/>
            <w:vAlign w:val="center"/>
          </w:tcPr>
          <w:p w14:paraId="03A3FD34">
            <w:pPr>
              <w:spacing w:line="440" w:lineRule="exact"/>
              <w:jc w:val="center"/>
              <w:rPr>
                <w:rFonts w:hint="eastAsia" w:ascii="宋体" w:hAnsi="宋体" w:eastAsia="宋体" w:cs="宋体"/>
                <w:color w:val="auto"/>
                <w:sz w:val="24"/>
                <w:szCs w:val="24"/>
              </w:rPr>
            </w:pPr>
          </w:p>
        </w:tc>
        <w:tc>
          <w:tcPr>
            <w:tcW w:w="2695" w:type="dxa"/>
            <w:gridSpan w:val="3"/>
            <w:tcBorders>
              <w:left w:val="single" w:color="auto" w:sz="4" w:space="0"/>
            </w:tcBorders>
            <w:noWrap/>
            <w:vAlign w:val="center"/>
          </w:tcPr>
          <w:p w14:paraId="48CAB795">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从事监理工作年限</w:t>
            </w:r>
          </w:p>
        </w:tc>
        <w:tc>
          <w:tcPr>
            <w:tcW w:w="2158" w:type="dxa"/>
            <w:tcBorders>
              <w:left w:val="single" w:color="auto" w:sz="4" w:space="0"/>
            </w:tcBorders>
            <w:noWrap/>
            <w:vAlign w:val="center"/>
          </w:tcPr>
          <w:p w14:paraId="4B5A50B3">
            <w:pPr>
              <w:spacing w:line="440" w:lineRule="exact"/>
              <w:jc w:val="center"/>
              <w:rPr>
                <w:rFonts w:hint="eastAsia" w:ascii="宋体" w:hAnsi="宋体" w:eastAsia="宋体" w:cs="宋体"/>
                <w:color w:val="auto"/>
                <w:sz w:val="24"/>
                <w:szCs w:val="24"/>
              </w:rPr>
            </w:pPr>
          </w:p>
        </w:tc>
      </w:tr>
      <w:tr w14:paraId="6E44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1" w:type="dxa"/>
            <w:noWrap/>
            <w:vAlign w:val="center"/>
          </w:tcPr>
          <w:p w14:paraId="1BF9C8C8">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8349" w:type="dxa"/>
            <w:gridSpan w:val="8"/>
            <w:tcBorders>
              <w:left w:val="single" w:color="auto" w:sz="4" w:space="0"/>
            </w:tcBorders>
            <w:noWrap/>
            <w:vAlign w:val="center"/>
          </w:tcPr>
          <w:p w14:paraId="1EA40E82">
            <w:pPr>
              <w:spacing w:before="100" w:beforeAutospacing="1" w:after="100" w:afterAutospacing="1" w:line="440" w:lineRule="exact"/>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rPr>
              <w:t>年毕业于            学校        专业</w:t>
            </w:r>
          </w:p>
        </w:tc>
      </w:tr>
      <w:tr w14:paraId="741D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00" w:type="dxa"/>
            <w:gridSpan w:val="9"/>
            <w:noWrap/>
            <w:vAlign w:val="center"/>
          </w:tcPr>
          <w:p w14:paraId="36771D3E">
            <w:pPr>
              <w:spacing w:before="100" w:beforeAutospacing="1" w:after="100" w:afterAutospacing="1"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主要工作经历</w:t>
            </w:r>
          </w:p>
        </w:tc>
      </w:tr>
      <w:tr w14:paraId="1050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57" w:type="dxa"/>
            <w:gridSpan w:val="2"/>
            <w:noWrap/>
            <w:vAlign w:val="center"/>
          </w:tcPr>
          <w:p w14:paraId="2C9C5A0B">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893" w:type="dxa"/>
            <w:gridSpan w:val="4"/>
            <w:tcBorders>
              <w:left w:val="single" w:color="auto" w:sz="4" w:space="0"/>
            </w:tcBorders>
            <w:noWrap/>
            <w:vAlign w:val="center"/>
          </w:tcPr>
          <w:p w14:paraId="42C5ED6D">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w:t>
            </w:r>
          </w:p>
        </w:tc>
        <w:tc>
          <w:tcPr>
            <w:tcW w:w="1435" w:type="dxa"/>
            <w:tcBorders>
              <w:left w:val="single" w:color="auto" w:sz="4" w:space="0"/>
            </w:tcBorders>
            <w:noWrap/>
            <w:vAlign w:val="center"/>
          </w:tcPr>
          <w:p w14:paraId="1E864943">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担任职务</w:t>
            </w:r>
          </w:p>
        </w:tc>
        <w:tc>
          <w:tcPr>
            <w:tcW w:w="2615" w:type="dxa"/>
            <w:gridSpan w:val="2"/>
            <w:tcBorders>
              <w:left w:val="single" w:color="auto" w:sz="4" w:space="0"/>
            </w:tcBorders>
            <w:noWrap/>
            <w:vAlign w:val="center"/>
          </w:tcPr>
          <w:p w14:paraId="1B976F10">
            <w:pPr>
              <w:spacing w:before="100" w:beforeAutospacing="1" w:after="100" w:afterAutospacing="1"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委托人及联系电话</w:t>
            </w:r>
          </w:p>
        </w:tc>
      </w:tr>
      <w:tr w14:paraId="1C53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tcPr>
          <w:p w14:paraId="639F753B">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tcPr>
          <w:p w14:paraId="5E1DC013">
            <w:pPr>
              <w:spacing w:line="440" w:lineRule="exact"/>
              <w:rPr>
                <w:rFonts w:hint="eastAsia" w:ascii="宋体" w:hAnsi="宋体" w:eastAsia="宋体" w:cs="宋体"/>
                <w:color w:val="auto"/>
                <w:sz w:val="24"/>
                <w:szCs w:val="24"/>
              </w:rPr>
            </w:pPr>
          </w:p>
        </w:tc>
        <w:tc>
          <w:tcPr>
            <w:tcW w:w="1435" w:type="dxa"/>
            <w:tcBorders>
              <w:left w:val="single" w:color="auto" w:sz="4" w:space="0"/>
            </w:tcBorders>
            <w:noWrap/>
          </w:tcPr>
          <w:p w14:paraId="7B39EC42">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tcPr>
          <w:p w14:paraId="5763A528">
            <w:pPr>
              <w:spacing w:line="440" w:lineRule="exact"/>
              <w:rPr>
                <w:rFonts w:hint="eastAsia" w:ascii="宋体" w:hAnsi="宋体" w:eastAsia="宋体" w:cs="宋体"/>
                <w:color w:val="auto"/>
                <w:sz w:val="24"/>
                <w:szCs w:val="24"/>
              </w:rPr>
            </w:pPr>
          </w:p>
        </w:tc>
      </w:tr>
      <w:tr w14:paraId="3FDD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tcPr>
          <w:p w14:paraId="3EEE636A">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tcPr>
          <w:p w14:paraId="4EF81159">
            <w:pPr>
              <w:spacing w:line="440" w:lineRule="exact"/>
              <w:rPr>
                <w:rFonts w:hint="eastAsia" w:ascii="宋体" w:hAnsi="宋体" w:eastAsia="宋体" w:cs="宋体"/>
                <w:color w:val="auto"/>
                <w:sz w:val="24"/>
                <w:szCs w:val="24"/>
              </w:rPr>
            </w:pPr>
          </w:p>
        </w:tc>
        <w:tc>
          <w:tcPr>
            <w:tcW w:w="1435" w:type="dxa"/>
            <w:tcBorders>
              <w:left w:val="single" w:color="auto" w:sz="4" w:space="0"/>
            </w:tcBorders>
            <w:noWrap/>
          </w:tcPr>
          <w:p w14:paraId="633C9E78">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tcPr>
          <w:p w14:paraId="09DD08F4">
            <w:pPr>
              <w:spacing w:line="440" w:lineRule="exact"/>
              <w:rPr>
                <w:rFonts w:hint="eastAsia" w:ascii="宋体" w:hAnsi="宋体" w:eastAsia="宋体" w:cs="宋体"/>
                <w:color w:val="auto"/>
                <w:sz w:val="24"/>
                <w:szCs w:val="24"/>
              </w:rPr>
            </w:pPr>
          </w:p>
        </w:tc>
      </w:tr>
      <w:tr w14:paraId="0D72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tcPr>
          <w:p w14:paraId="6AD1A26F">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tcPr>
          <w:p w14:paraId="1ADC052C">
            <w:pPr>
              <w:spacing w:line="440" w:lineRule="exact"/>
              <w:rPr>
                <w:rFonts w:hint="eastAsia" w:ascii="宋体" w:hAnsi="宋体" w:eastAsia="宋体" w:cs="宋体"/>
                <w:color w:val="auto"/>
                <w:sz w:val="24"/>
                <w:szCs w:val="24"/>
              </w:rPr>
            </w:pPr>
          </w:p>
        </w:tc>
        <w:tc>
          <w:tcPr>
            <w:tcW w:w="1435" w:type="dxa"/>
            <w:tcBorders>
              <w:left w:val="single" w:color="auto" w:sz="4" w:space="0"/>
            </w:tcBorders>
            <w:noWrap/>
          </w:tcPr>
          <w:p w14:paraId="6047308E">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tcPr>
          <w:p w14:paraId="60AA2349">
            <w:pPr>
              <w:spacing w:line="440" w:lineRule="exact"/>
              <w:rPr>
                <w:rFonts w:hint="eastAsia" w:ascii="宋体" w:hAnsi="宋体" w:eastAsia="宋体" w:cs="宋体"/>
                <w:color w:val="auto"/>
                <w:sz w:val="24"/>
                <w:szCs w:val="24"/>
              </w:rPr>
            </w:pPr>
          </w:p>
        </w:tc>
      </w:tr>
      <w:tr w14:paraId="3D71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vAlign w:val="center"/>
          </w:tcPr>
          <w:p w14:paraId="76446E0D">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vAlign w:val="center"/>
          </w:tcPr>
          <w:p w14:paraId="0BDACFE6">
            <w:pPr>
              <w:spacing w:line="440" w:lineRule="exact"/>
              <w:rPr>
                <w:rFonts w:hint="eastAsia" w:ascii="宋体" w:hAnsi="宋体" w:eastAsia="宋体" w:cs="宋体"/>
                <w:color w:val="auto"/>
                <w:sz w:val="24"/>
                <w:szCs w:val="24"/>
              </w:rPr>
            </w:pPr>
          </w:p>
        </w:tc>
        <w:tc>
          <w:tcPr>
            <w:tcW w:w="1435" w:type="dxa"/>
            <w:tcBorders>
              <w:left w:val="single" w:color="auto" w:sz="4" w:space="0"/>
            </w:tcBorders>
            <w:noWrap/>
            <w:vAlign w:val="center"/>
          </w:tcPr>
          <w:p w14:paraId="717A9455">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vAlign w:val="center"/>
          </w:tcPr>
          <w:p w14:paraId="1066AB44">
            <w:pPr>
              <w:spacing w:line="440" w:lineRule="exact"/>
              <w:rPr>
                <w:rFonts w:hint="eastAsia" w:ascii="宋体" w:hAnsi="宋体" w:eastAsia="宋体" w:cs="宋体"/>
                <w:color w:val="auto"/>
                <w:sz w:val="24"/>
                <w:szCs w:val="24"/>
              </w:rPr>
            </w:pPr>
          </w:p>
        </w:tc>
      </w:tr>
      <w:tr w14:paraId="4273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vAlign w:val="center"/>
          </w:tcPr>
          <w:p w14:paraId="215AFD68">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vAlign w:val="center"/>
          </w:tcPr>
          <w:p w14:paraId="023A632A">
            <w:pPr>
              <w:spacing w:line="440" w:lineRule="exact"/>
              <w:rPr>
                <w:rFonts w:hint="eastAsia" w:ascii="宋体" w:hAnsi="宋体" w:eastAsia="宋体" w:cs="宋体"/>
                <w:color w:val="auto"/>
                <w:sz w:val="24"/>
                <w:szCs w:val="24"/>
              </w:rPr>
            </w:pPr>
          </w:p>
        </w:tc>
        <w:tc>
          <w:tcPr>
            <w:tcW w:w="1435" w:type="dxa"/>
            <w:tcBorders>
              <w:left w:val="single" w:color="auto" w:sz="4" w:space="0"/>
            </w:tcBorders>
            <w:noWrap/>
            <w:vAlign w:val="center"/>
          </w:tcPr>
          <w:p w14:paraId="0DC226A0">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vAlign w:val="center"/>
          </w:tcPr>
          <w:p w14:paraId="3BDD55BF">
            <w:pPr>
              <w:spacing w:line="440" w:lineRule="exact"/>
              <w:rPr>
                <w:rFonts w:hint="eastAsia" w:ascii="宋体" w:hAnsi="宋体" w:eastAsia="宋体" w:cs="宋体"/>
                <w:color w:val="auto"/>
                <w:sz w:val="24"/>
                <w:szCs w:val="24"/>
              </w:rPr>
            </w:pPr>
          </w:p>
        </w:tc>
      </w:tr>
      <w:tr w14:paraId="0C7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vAlign w:val="center"/>
          </w:tcPr>
          <w:p w14:paraId="025D94D6">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vAlign w:val="center"/>
          </w:tcPr>
          <w:p w14:paraId="37CD8EA5">
            <w:pPr>
              <w:spacing w:line="440" w:lineRule="exact"/>
              <w:rPr>
                <w:rFonts w:hint="eastAsia" w:ascii="宋体" w:hAnsi="宋体" w:eastAsia="宋体" w:cs="宋体"/>
                <w:color w:val="auto"/>
                <w:sz w:val="24"/>
                <w:szCs w:val="24"/>
              </w:rPr>
            </w:pPr>
          </w:p>
        </w:tc>
        <w:tc>
          <w:tcPr>
            <w:tcW w:w="1435" w:type="dxa"/>
            <w:tcBorders>
              <w:left w:val="single" w:color="auto" w:sz="4" w:space="0"/>
            </w:tcBorders>
            <w:noWrap/>
            <w:vAlign w:val="center"/>
          </w:tcPr>
          <w:p w14:paraId="24520157">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vAlign w:val="center"/>
          </w:tcPr>
          <w:p w14:paraId="5E2DC606">
            <w:pPr>
              <w:spacing w:line="440" w:lineRule="exact"/>
              <w:rPr>
                <w:rFonts w:hint="eastAsia" w:ascii="宋体" w:hAnsi="宋体" w:eastAsia="宋体" w:cs="宋体"/>
                <w:color w:val="auto"/>
                <w:sz w:val="24"/>
                <w:szCs w:val="24"/>
              </w:rPr>
            </w:pPr>
          </w:p>
        </w:tc>
      </w:tr>
      <w:tr w14:paraId="1E5E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57" w:type="dxa"/>
            <w:gridSpan w:val="2"/>
            <w:noWrap/>
            <w:vAlign w:val="center"/>
          </w:tcPr>
          <w:p w14:paraId="355CB71B">
            <w:pPr>
              <w:spacing w:line="440" w:lineRule="exact"/>
              <w:rPr>
                <w:rFonts w:hint="eastAsia" w:ascii="宋体" w:hAnsi="宋体" w:eastAsia="宋体" w:cs="宋体"/>
                <w:color w:val="auto"/>
                <w:sz w:val="24"/>
                <w:szCs w:val="24"/>
              </w:rPr>
            </w:pPr>
          </w:p>
        </w:tc>
        <w:tc>
          <w:tcPr>
            <w:tcW w:w="3893" w:type="dxa"/>
            <w:gridSpan w:val="4"/>
            <w:tcBorders>
              <w:left w:val="single" w:color="auto" w:sz="4" w:space="0"/>
            </w:tcBorders>
            <w:noWrap/>
            <w:vAlign w:val="center"/>
          </w:tcPr>
          <w:p w14:paraId="778323EC">
            <w:pPr>
              <w:spacing w:line="440" w:lineRule="exact"/>
              <w:rPr>
                <w:rFonts w:hint="eastAsia" w:ascii="宋体" w:hAnsi="宋体" w:eastAsia="宋体" w:cs="宋体"/>
                <w:color w:val="auto"/>
                <w:sz w:val="24"/>
                <w:szCs w:val="24"/>
              </w:rPr>
            </w:pPr>
          </w:p>
        </w:tc>
        <w:tc>
          <w:tcPr>
            <w:tcW w:w="1435" w:type="dxa"/>
            <w:tcBorders>
              <w:left w:val="single" w:color="auto" w:sz="4" w:space="0"/>
            </w:tcBorders>
            <w:noWrap/>
            <w:vAlign w:val="center"/>
          </w:tcPr>
          <w:p w14:paraId="35062B91">
            <w:pPr>
              <w:spacing w:line="440" w:lineRule="exact"/>
              <w:rPr>
                <w:rFonts w:hint="eastAsia" w:ascii="宋体" w:hAnsi="宋体" w:eastAsia="宋体" w:cs="宋体"/>
                <w:color w:val="auto"/>
                <w:sz w:val="24"/>
                <w:szCs w:val="24"/>
              </w:rPr>
            </w:pPr>
          </w:p>
        </w:tc>
        <w:tc>
          <w:tcPr>
            <w:tcW w:w="2615" w:type="dxa"/>
            <w:gridSpan w:val="2"/>
            <w:tcBorders>
              <w:left w:val="single" w:color="auto" w:sz="4" w:space="0"/>
            </w:tcBorders>
            <w:noWrap/>
            <w:vAlign w:val="center"/>
          </w:tcPr>
          <w:p w14:paraId="05AE6649">
            <w:pPr>
              <w:spacing w:line="440" w:lineRule="exact"/>
              <w:rPr>
                <w:rFonts w:hint="eastAsia" w:ascii="宋体" w:hAnsi="宋体" w:eastAsia="宋体" w:cs="宋体"/>
                <w:color w:val="auto"/>
                <w:sz w:val="24"/>
                <w:szCs w:val="24"/>
              </w:rPr>
            </w:pPr>
          </w:p>
        </w:tc>
      </w:tr>
    </w:tbl>
    <w:p w14:paraId="5995D71D">
      <w:pPr>
        <w:spacing w:line="440" w:lineRule="exact"/>
        <w:rPr>
          <w:rFonts w:hint="eastAsia" w:ascii="宋体" w:hAnsi="宋体" w:eastAsia="宋体" w:cs="宋体"/>
          <w:color w:val="auto"/>
        </w:rPr>
      </w:pPr>
      <w:bookmarkStart w:id="436" w:name="_Toc352703741"/>
      <w:bookmarkStart w:id="437" w:name="_Toc300835229"/>
    </w:p>
    <w:p w14:paraId="41632496">
      <w:pPr>
        <w:spacing w:line="440" w:lineRule="exact"/>
        <w:rPr>
          <w:rFonts w:hint="eastAsia" w:ascii="宋体" w:hAnsi="宋体" w:eastAsia="宋体" w:cs="宋体"/>
          <w:color w:val="auto"/>
        </w:rPr>
      </w:pPr>
    </w:p>
    <w:p w14:paraId="6B668B7E">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3850B5DD">
      <w:pPr>
        <w:pStyle w:val="24"/>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20"/>
        </w:rPr>
        <w:t>（五）投标人认为需提供的其他材料（格式自拟）</w:t>
      </w:r>
    </w:p>
    <w:p w14:paraId="29C3A47C">
      <w:pPr>
        <w:pStyle w:val="82"/>
        <w:spacing w:line="500" w:lineRule="exact"/>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（投标人根据《定标因素表》要求提供其他证明材料或投标人认为需要提供的其他材料）</w:t>
      </w:r>
    </w:p>
    <w:p w14:paraId="055858E6">
      <w:pPr>
        <w:pStyle w:val="24"/>
        <w:spacing w:line="360" w:lineRule="auto"/>
        <w:jc w:val="left"/>
        <w:outlineLvl w:val="1"/>
        <w:rPr>
          <w:rFonts w:hint="eastAsia" w:ascii="宋体" w:hAnsi="宋体" w:eastAsia="宋体" w:cs="宋体"/>
          <w:b/>
          <w:bCs/>
          <w:color w:val="auto"/>
          <w:sz w:val="28"/>
          <w:szCs w:val="28"/>
        </w:rPr>
      </w:pPr>
    </w:p>
    <w:bookmarkEnd w:id="436"/>
    <w:bookmarkEnd w:id="437"/>
    <w:p w14:paraId="6F4F0775">
      <w:pPr>
        <w:rPr>
          <w:rFonts w:hint="eastAsia" w:ascii="宋体" w:hAnsi="宋体" w:eastAsia="宋体" w:cs="宋体"/>
          <w:color w:val="auto"/>
        </w:rPr>
      </w:pPr>
    </w:p>
    <w:p w14:paraId="01BB4125">
      <w:pPr>
        <w:pStyle w:val="24"/>
        <w:spacing w:line="360" w:lineRule="auto"/>
        <w:rPr>
          <w:rFonts w:hint="eastAsia" w:ascii="宋体" w:hAnsi="宋体" w:eastAsia="宋体" w:cs="宋体"/>
          <w:color w:val="auto"/>
        </w:rPr>
      </w:pPr>
    </w:p>
    <w:p w14:paraId="572A38D0">
      <w:pPr>
        <w:rPr>
          <w:rFonts w:hint="eastAsia" w:ascii="宋体" w:hAnsi="宋体" w:eastAsia="宋体" w:cs="宋体"/>
          <w:color w:val="auto"/>
        </w:rPr>
      </w:pPr>
    </w:p>
    <w:bookmarkEnd w:id="428"/>
    <w:bookmarkEnd w:id="429"/>
    <w:bookmarkEnd w:id="430"/>
    <w:bookmarkEnd w:id="431"/>
    <w:p w14:paraId="125F340D">
      <w:pPr>
        <w:rPr>
          <w:rFonts w:hint="eastAsia" w:ascii="宋体" w:hAnsi="宋体" w:eastAsia="宋体" w:cs="宋体"/>
          <w:color w:val="auto"/>
        </w:rPr>
      </w:pPr>
      <w:r>
        <w:rPr>
          <w:rFonts w:hint="eastAsia" w:ascii="宋体" w:hAnsi="宋体" w:eastAsia="宋体" w:cs="宋体"/>
          <w:color w:val="auto"/>
        </w:rPr>
        <w:br w:type="page"/>
      </w:r>
    </w:p>
    <w:p w14:paraId="75723299">
      <w:pPr>
        <w:pStyle w:val="3"/>
        <w:spacing w:before="0" w:after="0" w:line="360" w:lineRule="auto"/>
        <w:jc w:val="center"/>
        <w:rPr>
          <w:rFonts w:hint="eastAsia" w:ascii="宋体" w:hAnsi="宋体" w:eastAsia="宋体" w:cs="宋体"/>
          <w:color w:val="auto"/>
          <w:szCs w:val="30"/>
        </w:rPr>
      </w:pPr>
      <w:bookmarkStart w:id="438" w:name="_Toc19391"/>
      <w:r>
        <w:rPr>
          <w:rFonts w:hint="eastAsia" w:ascii="宋体" w:hAnsi="宋体" w:eastAsia="宋体" w:cs="宋体"/>
          <w:color w:val="auto"/>
          <w:kern w:val="44"/>
          <w:sz w:val="44"/>
        </w:rPr>
        <w:t>第七章</w:t>
      </w:r>
      <w:bookmarkEnd w:id="438"/>
      <w:r>
        <w:rPr>
          <w:rFonts w:hint="eastAsia" w:ascii="宋体" w:hAnsi="宋体" w:eastAsia="宋体" w:cs="宋体"/>
          <w:color w:val="auto"/>
          <w:kern w:val="44"/>
          <w:sz w:val="44"/>
        </w:rPr>
        <w:t xml:space="preserve"> 否决性条款汇总</w:t>
      </w:r>
    </w:p>
    <w:p w14:paraId="56452CAB">
      <w:pPr>
        <w:wordWrap w:val="0"/>
        <w:spacing w:line="360" w:lineRule="auto"/>
        <w:ind w:firstLine="480" w:firstLineChars="200"/>
        <w:jc w:val="left"/>
        <w:rPr>
          <w:rFonts w:hint="eastAsia" w:ascii="宋体" w:hAnsi="宋体" w:eastAsia="宋体" w:cs="宋体"/>
          <w:color w:val="auto"/>
          <w:kern w:val="21"/>
          <w:sz w:val="24"/>
        </w:rPr>
      </w:pPr>
      <w:r>
        <w:rPr>
          <w:rFonts w:hint="eastAsia" w:ascii="宋体" w:hAnsi="宋体" w:eastAsia="宋体" w:cs="宋体"/>
          <w:color w:val="auto"/>
          <w:kern w:val="21"/>
          <w:sz w:val="24"/>
        </w:rPr>
        <w:t>招标人应当在招标文件中将投标文件的否决性条款单列，招标文件的其他条款与该单列的否决性条款不一致的，以单列的否决性条款为准。如招标文件澄清或修改的内容中增加否决性条款的，招标人应当重新单列完整的投标文件否决性条款，并依法发给所有投标人。否决性条款是指招标文件中规定的不予受理投标或者作无效标、废标以及不合格标处理等否定投标文件效力的条款。</w:t>
      </w:r>
    </w:p>
    <w:tbl>
      <w:tblPr>
        <w:tblStyle w:val="46"/>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867"/>
      </w:tblGrid>
      <w:tr w14:paraId="7604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0" w:type="dxa"/>
            <w:vAlign w:val="center"/>
          </w:tcPr>
          <w:p w14:paraId="2EE8DDFA">
            <w:pPr>
              <w:wordWrap w:val="0"/>
              <w:spacing w:before="100"/>
              <w:jc w:val="center"/>
              <w:rPr>
                <w:rFonts w:hint="eastAsia" w:ascii="宋体" w:hAnsi="宋体" w:eastAsia="宋体" w:cs="宋体"/>
                <w:b/>
                <w:bCs/>
                <w:color w:val="auto"/>
                <w:kern w:val="21"/>
                <w:sz w:val="24"/>
              </w:rPr>
            </w:pPr>
            <w:bookmarkStart w:id="439" w:name="_GoBack"/>
            <w:bookmarkEnd w:id="439"/>
            <w:r>
              <w:rPr>
                <w:rFonts w:hint="eastAsia" w:ascii="宋体" w:hAnsi="宋体" w:eastAsia="宋体" w:cs="宋体"/>
                <w:b/>
                <w:bCs/>
                <w:color w:val="auto"/>
                <w:kern w:val="21"/>
                <w:sz w:val="24"/>
              </w:rPr>
              <w:t>序号</w:t>
            </w:r>
          </w:p>
        </w:tc>
        <w:tc>
          <w:tcPr>
            <w:tcW w:w="8867" w:type="dxa"/>
            <w:vAlign w:val="center"/>
          </w:tcPr>
          <w:p w14:paraId="41A226D2">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条款内容</w:t>
            </w:r>
          </w:p>
        </w:tc>
      </w:tr>
      <w:tr w14:paraId="1A7E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87" w:type="dxa"/>
            <w:gridSpan w:val="2"/>
            <w:vAlign w:val="center"/>
          </w:tcPr>
          <w:p w14:paraId="7B86AA67">
            <w:pPr>
              <w:numPr>
                <w:ilvl w:val="0"/>
                <w:numId w:val="3"/>
              </w:numPr>
              <w:wordWrap w:val="0"/>
              <w:spacing w:line="360" w:lineRule="auto"/>
              <w:rPr>
                <w:rFonts w:hint="eastAsia" w:ascii="宋体" w:hAnsi="宋体" w:eastAsia="宋体" w:cs="宋体"/>
                <w:b/>
                <w:bCs/>
                <w:color w:val="auto"/>
                <w:kern w:val="21"/>
                <w:sz w:val="24"/>
              </w:rPr>
            </w:pPr>
            <w:r>
              <w:rPr>
                <w:rFonts w:hint="eastAsia" w:ascii="宋体" w:hAnsi="宋体" w:eastAsia="宋体" w:cs="宋体"/>
                <w:b/>
                <w:bCs/>
                <w:color w:val="auto"/>
                <w:sz w:val="24"/>
              </w:rPr>
              <w:t>投标文件、投标文件光盘或U盘（备用）出现下列情形之一的，拒绝受理：</w:t>
            </w:r>
          </w:p>
        </w:tc>
      </w:tr>
      <w:tr w14:paraId="288C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5702909C">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1</w:t>
            </w:r>
          </w:p>
        </w:tc>
        <w:tc>
          <w:tcPr>
            <w:tcW w:w="8867" w:type="dxa"/>
            <w:vAlign w:val="center"/>
          </w:tcPr>
          <w:p w14:paraId="3BB90173">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（1）逾期送达的投标文件，电子招标投标交易平台将予以拒收。</w:t>
            </w:r>
          </w:p>
          <w:p w14:paraId="338BC0F3">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（2）逾期未上传成功的电子投标文件，招标人拒绝接收。</w:t>
            </w:r>
          </w:p>
          <w:p w14:paraId="2C5D8B97">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（3）逾期或未在指定地点递交投标文件光盘（或U盘）的,招标人拒绝接收其投标文件光盘（或U盘）。</w:t>
            </w:r>
          </w:p>
          <w:p w14:paraId="06E3BD42">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（4）逾期送达的投标文件，电子招标投标交易平台将予以拒收。</w:t>
            </w:r>
          </w:p>
        </w:tc>
      </w:tr>
      <w:tr w14:paraId="2A3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656229F2">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2</w:t>
            </w:r>
          </w:p>
        </w:tc>
        <w:tc>
          <w:tcPr>
            <w:tcW w:w="8867" w:type="dxa"/>
            <w:vAlign w:val="center"/>
          </w:tcPr>
          <w:p w14:paraId="4BFB0D3F">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在投标截止时间后半小时内为投标人投标文件解密时间，投标人通过广州公共资源交易平台对已递交的电子投标文件进行解密，超过时间未解密的视为撤销其投标文件。因投标人原因造成投标文件未解密的或未在投标截止时间后一小时内解密的且未提交备用光盘（或U盘）的，视为撤销其投标文件。</w:t>
            </w:r>
          </w:p>
        </w:tc>
      </w:tr>
      <w:tr w14:paraId="6154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6959A1E4">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3</w:t>
            </w:r>
          </w:p>
        </w:tc>
        <w:tc>
          <w:tcPr>
            <w:tcW w:w="8867" w:type="dxa"/>
            <w:vAlign w:val="center"/>
          </w:tcPr>
          <w:p w14:paraId="4C8A44C8">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递交的投标文件光盘或U盘不得加密。投标文件光盘或U盘无法读取或导入的，则视为未提交备用投标文件光盘。如果投标人没有按规定通过交易平台网上递交电子投标文件的，不再接受提交的光盘。</w:t>
            </w:r>
          </w:p>
        </w:tc>
      </w:tr>
      <w:tr w14:paraId="0091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87" w:type="dxa"/>
            <w:gridSpan w:val="2"/>
            <w:vAlign w:val="center"/>
          </w:tcPr>
          <w:p w14:paraId="0F70BB25">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二、开标时，出现下列情形之一的，不参与资格审查和评标：</w:t>
            </w:r>
          </w:p>
        </w:tc>
      </w:tr>
      <w:tr w14:paraId="51D3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53B466C6">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4</w:t>
            </w:r>
          </w:p>
        </w:tc>
        <w:tc>
          <w:tcPr>
            <w:tcW w:w="8867" w:type="dxa"/>
            <w:vAlign w:val="center"/>
          </w:tcPr>
          <w:p w14:paraId="2F1FED1B">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（1）未成功递交投标文件的。</w:t>
            </w:r>
          </w:p>
          <w:p w14:paraId="14967C4F">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（2）因投标人原因造成投标文件未解密的。</w:t>
            </w:r>
          </w:p>
        </w:tc>
      </w:tr>
      <w:tr w14:paraId="2C0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7" w:type="dxa"/>
            <w:gridSpan w:val="2"/>
            <w:vAlign w:val="center"/>
          </w:tcPr>
          <w:p w14:paraId="27CC26BE">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三、投标文件（投标人）有下列情形之一的，由评标委员会否决其投标：</w:t>
            </w:r>
          </w:p>
        </w:tc>
      </w:tr>
      <w:tr w14:paraId="456A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610EC0AA">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5</w:t>
            </w:r>
          </w:p>
        </w:tc>
        <w:tc>
          <w:tcPr>
            <w:tcW w:w="8867" w:type="dxa"/>
            <w:vAlign w:val="center"/>
          </w:tcPr>
          <w:p w14:paraId="441096B7">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两个（含两个）以上的投标人加密打包的电子投标文件电脑机器码一致的；</w:t>
            </w:r>
          </w:p>
        </w:tc>
      </w:tr>
      <w:tr w14:paraId="03A5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385D0905">
            <w:pPr>
              <w:wordWrap w:val="0"/>
              <w:spacing w:before="100"/>
              <w:jc w:val="center"/>
              <w:rPr>
                <w:rFonts w:hint="eastAsia" w:ascii="宋体" w:hAnsi="宋体" w:eastAsia="宋体" w:cs="宋体"/>
                <w:b/>
                <w:bCs/>
                <w:color w:val="auto"/>
                <w:kern w:val="21"/>
                <w:sz w:val="24"/>
                <w:lang w:val="zh-CN"/>
              </w:rPr>
            </w:pPr>
            <w:r>
              <w:rPr>
                <w:rFonts w:hint="eastAsia" w:ascii="宋体" w:hAnsi="宋体" w:eastAsia="宋体" w:cs="宋体"/>
                <w:b/>
                <w:bCs/>
                <w:color w:val="auto"/>
                <w:kern w:val="21"/>
                <w:sz w:val="24"/>
              </w:rPr>
              <w:t>6</w:t>
            </w:r>
          </w:p>
        </w:tc>
        <w:tc>
          <w:tcPr>
            <w:tcW w:w="8867" w:type="dxa"/>
            <w:vAlign w:val="center"/>
          </w:tcPr>
          <w:p w14:paraId="4E961749">
            <w:pPr>
              <w:wordWrap w:val="0"/>
              <w:spacing w:before="100"/>
              <w:rPr>
                <w:rFonts w:hint="eastAsia" w:ascii="宋体" w:hAnsi="宋体" w:eastAsia="宋体" w:cs="宋体"/>
                <w:b/>
                <w:bCs/>
                <w:color w:val="auto"/>
                <w:kern w:val="21"/>
                <w:sz w:val="24"/>
                <w:lang w:val="zh-CN"/>
              </w:rPr>
            </w:pPr>
            <w:r>
              <w:rPr>
                <w:rFonts w:hint="eastAsia" w:ascii="宋体" w:hAnsi="宋体" w:eastAsia="宋体" w:cs="宋体"/>
                <w:b/>
                <w:bCs/>
                <w:color w:val="auto"/>
                <w:kern w:val="21"/>
                <w:sz w:val="24"/>
              </w:rPr>
              <w:t>投标文件（投标人）有不符合招标文件第三章第2.1款中规定的任何一项情形的。</w:t>
            </w:r>
          </w:p>
        </w:tc>
      </w:tr>
      <w:tr w14:paraId="48B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2EC228D0">
            <w:pPr>
              <w:wordWrap w:val="0"/>
              <w:spacing w:before="100"/>
              <w:jc w:val="center"/>
              <w:rPr>
                <w:rFonts w:hint="eastAsia" w:ascii="宋体" w:hAnsi="宋体" w:eastAsia="宋体" w:cs="宋体"/>
                <w:b/>
                <w:bCs/>
                <w:color w:val="auto"/>
                <w:kern w:val="21"/>
                <w:sz w:val="24"/>
              </w:rPr>
            </w:pPr>
            <w:r>
              <w:rPr>
                <w:rFonts w:hint="eastAsia" w:ascii="宋体" w:hAnsi="宋体" w:eastAsia="宋体" w:cs="宋体"/>
                <w:b/>
                <w:bCs/>
                <w:color w:val="auto"/>
                <w:kern w:val="21"/>
                <w:sz w:val="24"/>
              </w:rPr>
              <w:t>7</w:t>
            </w:r>
          </w:p>
        </w:tc>
        <w:tc>
          <w:tcPr>
            <w:tcW w:w="8867" w:type="dxa"/>
            <w:vAlign w:val="center"/>
          </w:tcPr>
          <w:p w14:paraId="7FBE8863">
            <w:pPr>
              <w:wordWrap w:val="0"/>
              <w:spacing w:before="100"/>
              <w:rPr>
                <w:rFonts w:hint="eastAsia" w:ascii="宋体" w:hAnsi="宋体" w:eastAsia="宋体" w:cs="宋体"/>
                <w:b/>
                <w:bCs/>
                <w:color w:val="auto"/>
                <w:kern w:val="21"/>
                <w:sz w:val="24"/>
              </w:rPr>
            </w:pPr>
            <w:r>
              <w:rPr>
                <w:rFonts w:hint="eastAsia" w:ascii="宋体" w:hAnsi="宋体" w:eastAsia="宋体" w:cs="宋体"/>
                <w:b/>
                <w:bCs/>
                <w:color w:val="auto"/>
                <w:kern w:val="21"/>
                <w:sz w:val="24"/>
              </w:rPr>
              <w:t>投标文件（投标人）符合招标文件第三章第3.1款中规定的否决投标任何一项情形的。</w:t>
            </w:r>
          </w:p>
        </w:tc>
      </w:tr>
    </w:tbl>
    <w:p w14:paraId="00A5E311">
      <w:pPr>
        <w:pStyle w:val="82"/>
        <w:spacing w:line="500" w:lineRule="exact"/>
        <w:outlineLvl w:val="0"/>
        <w:rPr>
          <w:rFonts w:hint="eastAsia" w:ascii="宋体" w:hAnsi="宋体" w:eastAsia="宋体" w:cs="宋体"/>
          <w:color w:val="auto"/>
          <w:sz w:val="28"/>
          <w:szCs w:val="28"/>
        </w:rPr>
      </w:pPr>
    </w:p>
    <w:sectPr>
      <w:headerReference r:id="rId3" w:type="default"/>
      <w:footerReference r:id="rId4" w:type="default"/>
      <w:pgSz w:w="12240" w:h="15840"/>
      <w:pgMar w:top="1417" w:right="1701" w:bottom="1134" w:left="1701" w:header="850" w:footer="85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5E04">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2720"/>
              <wp:effectExtent l="0" t="0" r="0" b="2540"/>
              <wp:wrapNone/>
              <wp:docPr id="1" name="文本框 1"/>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15875">
                        <a:noFill/>
                      </a:ln>
                      <a:effectLst/>
                    </wps:spPr>
                    <wps:txbx>
                      <w:txbxContent>
                        <w:p w14:paraId="5B291A0D">
                          <w:pPr>
                            <w:pStyle w:val="29"/>
                            <w:jc w:val="center"/>
                            <w:rPr>
                              <w:rFonts w:ascii="宋体" w:hAnsi="宋体" w:cs="宋体"/>
                              <w:sz w:val="21"/>
                              <w:szCs w:val="21"/>
                            </w:rPr>
                          </w:pPr>
                          <w:r>
                            <w:rPr>
                              <w:rFonts w:hint="eastAsia" w:ascii="宋体" w:hAnsi="宋体" w:cs="宋体"/>
                              <w:kern w:val="0"/>
                              <w:sz w:val="21"/>
                              <w:szCs w:val="21"/>
                            </w:rPr>
                            <w:fldChar w:fldCharType="begin"/>
                          </w:r>
                          <w:r>
                            <w:rPr>
                              <w:rFonts w:hint="eastAsia" w:ascii="宋体" w:hAnsi="宋体" w:cs="宋体"/>
                              <w:kern w:val="0"/>
                              <w:sz w:val="21"/>
                              <w:szCs w:val="21"/>
                            </w:rPr>
                            <w:instrText xml:space="preserve"> PAGE </w:instrText>
                          </w:r>
                          <w:r>
                            <w:rPr>
                              <w:rFonts w:hint="eastAsia" w:ascii="宋体" w:hAnsi="宋体" w:cs="宋体"/>
                              <w:kern w:val="0"/>
                              <w:sz w:val="21"/>
                              <w:szCs w:val="21"/>
                            </w:rPr>
                            <w:fldChar w:fldCharType="separate"/>
                          </w:r>
                          <w:r>
                            <w:rPr>
                              <w:rFonts w:ascii="宋体" w:hAnsi="宋体" w:cs="宋体"/>
                              <w:kern w:val="0"/>
                              <w:sz w:val="21"/>
                              <w:szCs w:val="21"/>
                            </w:rPr>
                            <w:t>41</w:t>
                          </w:r>
                          <w:r>
                            <w:rPr>
                              <w:rFonts w:hint="eastAsia" w:ascii="宋体" w:hAnsi="宋体" w:cs="宋体"/>
                              <w:kern w:val="0"/>
                              <w:sz w:val="21"/>
                              <w:szCs w:val="21"/>
                            </w:rPr>
                            <w:fldChar w:fldCharType="end"/>
                          </w:r>
                          <w:r>
                            <w:rPr>
                              <w:rFonts w:hint="eastAsia" w:ascii="宋体" w:hAnsi="宋体" w:cs="宋体"/>
                              <w:kern w:val="0"/>
                              <w:sz w:val="21"/>
                              <w:szCs w:val="21"/>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WRv21AAAAAMBAAAPAAAAAAAA&#10;AAEAIAAAACIAAABkcnMvZG93bnJldi54bWxQSwECFAAUAAAACACHTuJAqX2lqN0BAACvAwAADgAA&#10;AAAAAAABACAAAAAjAQAAZHJzL2Uyb0RvYy54bWxQSwUGAAAAAAYABgBZAQAAcgUAAAAA&#10;">
              <v:fill on="f" focussize="0,0"/>
              <v:stroke on="f" weight="1.25pt"/>
              <v:imagedata o:title=""/>
              <o:lock v:ext="edit" aspectratio="f"/>
              <v:textbox inset="0mm,0mm,0mm,0mm" style="mso-fit-shape-to-text:t;">
                <w:txbxContent>
                  <w:p w14:paraId="5B291A0D">
                    <w:pPr>
                      <w:pStyle w:val="29"/>
                      <w:jc w:val="center"/>
                      <w:rPr>
                        <w:rFonts w:ascii="宋体" w:hAnsi="宋体" w:cs="宋体"/>
                        <w:sz w:val="21"/>
                        <w:szCs w:val="21"/>
                      </w:rPr>
                    </w:pPr>
                    <w:r>
                      <w:rPr>
                        <w:rFonts w:hint="eastAsia" w:ascii="宋体" w:hAnsi="宋体" w:cs="宋体"/>
                        <w:kern w:val="0"/>
                        <w:sz w:val="21"/>
                        <w:szCs w:val="21"/>
                      </w:rPr>
                      <w:fldChar w:fldCharType="begin"/>
                    </w:r>
                    <w:r>
                      <w:rPr>
                        <w:rFonts w:hint="eastAsia" w:ascii="宋体" w:hAnsi="宋体" w:cs="宋体"/>
                        <w:kern w:val="0"/>
                        <w:sz w:val="21"/>
                        <w:szCs w:val="21"/>
                      </w:rPr>
                      <w:instrText xml:space="preserve"> PAGE </w:instrText>
                    </w:r>
                    <w:r>
                      <w:rPr>
                        <w:rFonts w:hint="eastAsia" w:ascii="宋体" w:hAnsi="宋体" w:cs="宋体"/>
                        <w:kern w:val="0"/>
                        <w:sz w:val="21"/>
                        <w:szCs w:val="21"/>
                      </w:rPr>
                      <w:fldChar w:fldCharType="separate"/>
                    </w:r>
                    <w:r>
                      <w:rPr>
                        <w:rFonts w:ascii="宋体" w:hAnsi="宋体" w:cs="宋体"/>
                        <w:kern w:val="0"/>
                        <w:sz w:val="21"/>
                        <w:szCs w:val="21"/>
                      </w:rPr>
                      <w:t>41</w:t>
                    </w:r>
                    <w:r>
                      <w:rPr>
                        <w:rFonts w:hint="eastAsia" w:ascii="宋体" w:hAnsi="宋体" w:cs="宋体"/>
                        <w:kern w:val="0"/>
                        <w:sz w:val="21"/>
                        <w:szCs w:val="21"/>
                      </w:rPr>
                      <w:fldChar w:fldCharType="end"/>
                    </w:r>
                    <w:r>
                      <w:rPr>
                        <w:rFonts w:hint="eastAsia" w:ascii="宋体" w:hAnsi="宋体" w:cs="宋体"/>
                        <w:kern w:val="0"/>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92C2">
    <w:pPr>
      <w:pStyle w:val="3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B1DC2"/>
    <w:multiLevelType w:val="singleLevel"/>
    <w:tmpl w:val="A6EB1DC2"/>
    <w:lvl w:ilvl="0" w:tentative="0">
      <w:start w:val="13"/>
      <w:numFmt w:val="chineseCounting"/>
      <w:suff w:val="nothing"/>
      <w:lvlText w:val="%1、"/>
      <w:lvlJc w:val="left"/>
      <w:rPr>
        <w:rFonts w:hint="eastAsia"/>
      </w:rPr>
    </w:lvl>
  </w:abstractNum>
  <w:abstractNum w:abstractNumId="1">
    <w:nsid w:val="0000001D"/>
    <w:multiLevelType w:val="multilevel"/>
    <w:tmpl w:val="0000001D"/>
    <w:lvl w:ilvl="0" w:tentative="0">
      <w:start w:val="1"/>
      <w:numFmt w:val="decimal"/>
      <w:pStyle w:val="122"/>
      <w:lvlText w:val="%1."/>
      <w:lvlJc w:val="left"/>
      <w:pPr>
        <w:tabs>
          <w:tab w:val="left" w:pos="420"/>
        </w:tabs>
        <w:ind w:left="420" w:hanging="42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4057F449"/>
    <w:multiLevelType w:val="singleLevel"/>
    <w:tmpl w:val="4057F44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ZTk4Mzc2ZWJmYWMwNDcxYTU1ZGI4MDkyZDg2ZDcifQ=="/>
  </w:docVars>
  <w:rsids>
    <w:rsidRoot w:val="00172A27"/>
    <w:rsid w:val="00000B56"/>
    <w:rsid w:val="0000261C"/>
    <w:rsid w:val="00002A60"/>
    <w:rsid w:val="00004603"/>
    <w:rsid w:val="00004DA7"/>
    <w:rsid w:val="000055E5"/>
    <w:rsid w:val="00006802"/>
    <w:rsid w:val="00007319"/>
    <w:rsid w:val="000106AE"/>
    <w:rsid w:val="000109BA"/>
    <w:rsid w:val="000113EC"/>
    <w:rsid w:val="00011560"/>
    <w:rsid w:val="00011684"/>
    <w:rsid w:val="00012703"/>
    <w:rsid w:val="0001485E"/>
    <w:rsid w:val="00014DB1"/>
    <w:rsid w:val="0001572D"/>
    <w:rsid w:val="00016D03"/>
    <w:rsid w:val="0001751A"/>
    <w:rsid w:val="00020140"/>
    <w:rsid w:val="00020F53"/>
    <w:rsid w:val="000214EF"/>
    <w:rsid w:val="00021763"/>
    <w:rsid w:val="00021BFE"/>
    <w:rsid w:val="000225C3"/>
    <w:rsid w:val="00022662"/>
    <w:rsid w:val="000240B5"/>
    <w:rsid w:val="00024206"/>
    <w:rsid w:val="00024685"/>
    <w:rsid w:val="00024D77"/>
    <w:rsid w:val="000250D6"/>
    <w:rsid w:val="00025ACC"/>
    <w:rsid w:val="00026171"/>
    <w:rsid w:val="00026AA0"/>
    <w:rsid w:val="00026B40"/>
    <w:rsid w:val="0002793E"/>
    <w:rsid w:val="00027FC6"/>
    <w:rsid w:val="00030469"/>
    <w:rsid w:val="00030736"/>
    <w:rsid w:val="00030804"/>
    <w:rsid w:val="00032288"/>
    <w:rsid w:val="00032762"/>
    <w:rsid w:val="000351AE"/>
    <w:rsid w:val="000351C2"/>
    <w:rsid w:val="00037128"/>
    <w:rsid w:val="00043778"/>
    <w:rsid w:val="00045007"/>
    <w:rsid w:val="00046C42"/>
    <w:rsid w:val="00047D8D"/>
    <w:rsid w:val="0005057A"/>
    <w:rsid w:val="000520CE"/>
    <w:rsid w:val="000527A6"/>
    <w:rsid w:val="000545CB"/>
    <w:rsid w:val="00055E20"/>
    <w:rsid w:val="00062431"/>
    <w:rsid w:val="00062AC6"/>
    <w:rsid w:val="00064EA9"/>
    <w:rsid w:val="00065A9E"/>
    <w:rsid w:val="000668F1"/>
    <w:rsid w:val="00067035"/>
    <w:rsid w:val="00070145"/>
    <w:rsid w:val="0007102F"/>
    <w:rsid w:val="00071945"/>
    <w:rsid w:val="0007298C"/>
    <w:rsid w:val="00072F2A"/>
    <w:rsid w:val="00073A9E"/>
    <w:rsid w:val="00075311"/>
    <w:rsid w:val="0007648C"/>
    <w:rsid w:val="0007798B"/>
    <w:rsid w:val="0008132B"/>
    <w:rsid w:val="00081360"/>
    <w:rsid w:val="00081482"/>
    <w:rsid w:val="0008187D"/>
    <w:rsid w:val="0008253E"/>
    <w:rsid w:val="00082A70"/>
    <w:rsid w:val="000838B3"/>
    <w:rsid w:val="00084FC3"/>
    <w:rsid w:val="00085690"/>
    <w:rsid w:val="00087558"/>
    <w:rsid w:val="000905EC"/>
    <w:rsid w:val="00090FED"/>
    <w:rsid w:val="0009240C"/>
    <w:rsid w:val="00093200"/>
    <w:rsid w:val="00094388"/>
    <w:rsid w:val="000943B0"/>
    <w:rsid w:val="00094C66"/>
    <w:rsid w:val="00095CBC"/>
    <w:rsid w:val="00097B3B"/>
    <w:rsid w:val="000A118B"/>
    <w:rsid w:val="000A1262"/>
    <w:rsid w:val="000A287B"/>
    <w:rsid w:val="000A2B6C"/>
    <w:rsid w:val="000A47E5"/>
    <w:rsid w:val="000A4AE1"/>
    <w:rsid w:val="000A5C81"/>
    <w:rsid w:val="000A5C92"/>
    <w:rsid w:val="000A76B3"/>
    <w:rsid w:val="000B09DF"/>
    <w:rsid w:val="000B119E"/>
    <w:rsid w:val="000B1A92"/>
    <w:rsid w:val="000B345A"/>
    <w:rsid w:val="000B6379"/>
    <w:rsid w:val="000B65E2"/>
    <w:rsid w:val="000B676B"/>
    <w:rsid w:val="000B69E2"/>
    <w:rsid w:val="000C0018"/>
    <w:rsid w:val="000C0AF1"/>
    <w:rsid w:val="000C1A9B"/>
    <w:rsid w:val="000C1AC9"/>
    <w:rsid w:val="000C2AB5"/>
    <w:rsid w:val="000C345B"/>
    <w:rsid w:val="000C3D51"/>
    <w:rsid w:val="000C4710"/>
    <w:rsid w:val="000C4924"/>
    <w:rsid w:val="000C6FFB"/>
    <w:rsid w:val="000C7720"/>
    <w:rsid w:val="000C7A74"/>
    <w:rsid w:val="000D204D"/>
    <w:rsid w:val="000D2C4B"/>
    <w:rsid w:val="000D3177"/>
    <w:rsid w:val="000D4336"/>
    <w:rsid w:val="000D49B4"/>
    <w:rsid w:val="000D50E2"/>
    <w:rsid w:val="000D75FB"/>
    <w:rsid w:val="000E08CB"/>
    <w:rsid w:val="000E10B1"/>
    <w:rsid w:val="000E1668"/>
    <w:rsid w:val="000E168C"/>
    <w:rsid w:val="000E205A"/>
    <w:rsid w:val="000E2EFB"/>
    <w:rsid w:val="000E54ED"/>
    <w:rsid w:val="000E5673"/>
    <w:rsid w:val="000E5F67"/>
    <w:rsid w:val="000E63A3"/>
    <w:rsid w:val="000E7256"/>
    <w:rsid w:val="000E7505"/>
    <w:rsid w:val="000E77D1"/>
    <w:rsid w:val="000E792F"/>
    <w:rsid w:val="000F021C"/>
    <w:rsid w:val="000F0A72"/>
    <w:rsid w:val="000F143B"/>
    <w:rsid w:val="000F2186"/>
    <w:rsid w:val="000F2A12"/>
    <w:rsid w:val="000F2ECC"/>
    <w:rsid w:val="000F4077"/>
    <w:rsid w:val="000F44D2"/>
    <w:rsid w:val="000F49F4"/>
    <w:rsid w:val="000F4A44"/>
    <w:rsid w:val="000F5E14"/>
    <w:rsid w:val="000F73BD"/>
    <w:rsid w:val="001011FC"/>
    <w:rsid w:val="00102618"/>
    <w:rsid w:val="00102BAF"/>
    <w:rsid w:val="00102F0B"/>
    <w:rsid w:val="00105423"/>
    <w:rsid w:val="001119B6"/>
    <w:rsid w:val="00111DA6"/>
    <w:rsid w:val="00112059"/>
    <w:rsid w:val="0011232A"/>
    <w:rsid w:val="001129F5"/>
    <w:rsid w:val="00114A34"/>
    <w:rsid w:val="00115124"/>
    <w:rsid w:val="0011582D"/>
    <w:rsid w:val="00117658"/>
    <w:rsid w:val="00117F0F"/>
    <w:rsid w:val="001209A9"/>
    <w:rsid w:val="001219F2"/>
    <w:rsid w:val="001223CF"/>
    <w:rsid w:val="00122852"/>
    <w:rsid w:val="001236C9"/>
    <w:rsid w:val="00123706"/>
    <w:rsid w:val="00123EDF"/>
    <w:rsid w:val="00124116"/>
    <w:rsid w:val="00124AED"/>
    <w:rsid w:val="00126510"/>
    <w:rsid w:val="0012660F"/>
    <w:rsid w:val="00126D88"/>
    <w:rsid w:val="00126E2B"/>
    <w:rsid w:val="001270CD"/>
    <w:rsid w:val="00127541"/>
    <w:rsid w:val="001276F8"/>
    <w:rsid w:val="00131FF3"/>
    <w:rsid w:val="001335BF"/>
    <w:rsid w:val="001335D9"/>
    <w:rsid w:val="00134701"/>
    <w:rsid w:val="00136D67"/>
    <w:rsid w:val="0013766F"/>
    <w:rsid w:val="0014098E"/>
    <w:rsid w:val="00140A44"/>
    <w:rsid w:val="00142058"/>
    <w:rsid w:val="00144947"/>
    <w:rsid w:val="00144EBD"/>
    <w:rsid w:val="00145049"/>
    <w:rsid w:val="001506DC"/>
    <w:rsid w:val="0015172C"/>
    <w:rsid w:val="00151C38"/>
    <w:rsid w:val="001530C6"/>
    <w:rsid w:val="00153218"/>
    <w:rsid w:val="00154706"/>
    <w:rsid w:val="00157753"/>
    <w:rsid w:val="001667FD"/>
    <w:rsid w:val="0016686C"/>
    <w:rsid w:val="00166A4E"/>
    <w:rsid w:val="00170389"/>
    <w:rsid w:val="0017159D"/>
    <w:rsid w:val="001728B0"/>
    <w:rsid w:val="00172A27"/>
    <w:rsid w:val="00172EB3"/>
    <w:rsid w:val="001735B4"/>
    <w:rsid w:val="00173B36"/>
    <w:rsid w:val="00174751"/>
    <w:rsid w:val="001748A3"/>
    <w:rsid w:val="00182822"/>
    <w:rsid w:val="00182B11"/>
    <w:rsid w:val="001831D5"/>
    <w:rsid w:val="001834D3"/>
    <w:rsid w:val="00183748"/>
    <w:rsid w:val="00183B4A"/>
    <w:rsid w:val="00184F11"/>
    <w:rsid w:val="00185D79"/>
    <w:rsid w:val="00186361"/>
    <w:rsid w:val="00186A85"/>
    <w:rsid w:val="0019161E"/>
    <w:rsid w:val="00193AC3"/>
    <w:rsid w:val="00193C1D"/>
    <w:rsid w:val="00193EF0"/>
    <w:rsid w:val="00194621"/>
    <w:rsid w:val="0019493C"/>
    <w:rsid w:val="00194BAE"/>
    <w:rsid w:val="0019551E"/>
    <w:rsid w:val="001964D6"/>
    <w:rsid w:val="001A067F"/>
    <w:rsid w:val="001A093D"/>
    <w:rsid w:val="001A0CCF"/>
    <w:rsid w:val="001A2E05"/>
    <w:rsid w:val="001A2E74"/>
    <w:rsid w:val="001A304A"/>
    <w:rsid w:val="001A341D"/>
    <w:rsid w:val="001A3AC6"/>
    <w:rsid w:val="001A4491"/>
    <w:rsid w:val="001A4684"/>
    <w:rsid w:val="001A713F"/>
    <w:rsid w:val="001A7435"/>
    <w:rsid w:val="001A7E77"/>
    <w:rsid w:val="001B1289"/>
    <w:rsid w:val="001B174D"/>
    <w:rsid w:val="001B2960"/>
    <w:rsid w:val="001B2DA3"/>
    <w:rsid w:val="001B2F79"/>
    <w:rsid w:val="001B4033"/>
    <w:rsid w:val="001B4065"/>
    <w:rsid w:val="001B5478"/>
    <w:rsid w:val="001B5D40"/>
    <w:rsid w:val="001B6CEE"/>
    <w:rsid w:val="001B7F5B"/>
    <w:rsid w:val="001B7FEF"/>
    <w:rsid w:val="001C122A"/>
    <w:rsid w:val="001C1D84"/>
    <w:rsid w:val="001C30C7"/>
    <w:rsid w:val="001C39A7"/>
    <w:rsid w:val="001C3B37"/>
    <w:rsid w:val="001C4420"/>
    <w:rsid w:val="001C4A74"/>
    <w:rsid w:val="001C540A"/>
    <w:rsid w:val="001C54F2"/>
    <w:rsid w:val="001D0AD8"/>
    <w:rsid w:val="001D1B41"/>
    <w:rsid w:val="001D1BB6"/>
    <w:rsid w:val="001D2126"/>
    <w:rsid w:val="001D398F"/>
    <w:rsid w:val="001D414D"/>
    <w:rsid w:val="001D5C14"/>
    <w:rsid w:val="001E1433"/>
    <w:rsid w:val="001E3FE9"/>
    <w:rsid w:val="001E55FC"/>
    <w:rsid w:val="001E6B93"/>
    <w:rsid w:val="001F0EB6"/>
    <w:rsid w:val="001F0FC2"/>
    <w:rsid w:val="001F1937"/>
    <w:rsid w:val="001F2208"/>
    <w:rsid w:val="001F25D1"/>
    <w:rsid w:val="001F285E"/>
    <w:rsid w:val="001F4134"/>
    <w:rsid w:val="001F415C"/>
    <w:rsid w:val="001F4547"/>
    <w:rsid w:val="001F45EE"/>
    <w:rsid w:val="001F4850"/>
    <w:rsid w:val="001F619D"/>
    <w:rsid w:val="00202BA8"/>
    <w:rsid w:val="00202E8C"/>
    <w:rsid w:val="00203ADF"/>
    <w:rsid w:val="002049E3"/>
    <w:rsid w:val="00204A5C"/>
    <w:rsid w:val="0020545D"/>
    <w:rsid w:val="002065DE"/>
    <w:rsid w:val="00206887"/>
    <w:rsid w:val="00206EDA"/>
    <w:rsid w:val="00207A0B"/>
    <w:rsid w:val="002102FD"/>
    <w:rsid w:val="0021226E"/>
    <w:rsid w:val="00212A53"/>
    <w:rsid w:val="00212E14"/>
    <w:rsid w:val="0021322F"/>
    <w:rsid w:val="00213B90"/>
    <w:rsid w:val="00215AF0"/>
    <w:rsid w:val="00217143"/>
    <w:rsid w:val="002207EA"/>
    <w:rsid w:val="00221119"/>
    <w:rsid w:val="00221F1E"/>
    <w:rsid w:val="00221FAC"/>
    <w:rsid w:val="002229E2"/>
    <w:rsid w:val="0022434B"/>
    <w:rsid w:val="00224E45"/>
    <w:rsid w:val="00226041"/>
    <w:rsid w:val="00226F89"/>
    <w:rsid w:val="00226F8B"/>
    <w:rsid w:val="0022793C"/>
    <w:rsid w:val="00230836"/>
    <w:rsid w:val="002337D9"/>
    <w:rsid w:val="0023398E"/>
    <w:rsid w:val="00234213"/>
    <w:rsid w:val="0023423F"/>
    <w:rsid w:val="0023563A"/>
    <w:rsid w:val="00236FA0"/>
    <w:rsid w:val="002379D4"/>
    <w:rsid w:val="00237A22"/>
    <w:rsid w:val="00237B0E"/>
    <w:rsid w:val="00237F75"/>
    <w:rsid w:val="002400D0"/>
    <w:rsid w:val="00241348"/>
    <w:rsid w:val="00242200"/>
    <w:rsid w:val="002430C2"/>
    <w:rsid w:val="0024369C"/>
    <w:rsid w:val="00244D06"/>
    <w:rsid w:val="0024530F"/>
    <w:rsid w:val="00246A0E"/>
    <w:rsid w:val="00246A31"/>
    <w:rsid w:val="00247B5E"/>
    <w:rsid w:val="002506CC"/>
    <w:rsid w:val="00250B0E"/>
    <w:rsid w:val="00250B40"/>
    <w:rsid w:val="00250B63"/>
    <w:rsid w:val="00250CB7"/>
    <w:rsid w:val="00251A49"/>
    <w:rsid w:val="002521B3"/>
    <w:rsid w:val="0025316D"/>
    <w:rsid w:val="00253832"/>
    <w:rsid w:val="00254609"/>
    <w:rsid w:val="0025460A"/>
    <w:rsid w:val="00254EDC"/>
    <w:rsid w:val="00255D0D"/>
    <w:rsid w:val="002562E4"/>
    <w:rsid w:val="0025646F"/>
    <w:rsid w:val="002564CE"/>
    <w:rsid w:val="00260197"/>
    <w:rsid w:val="00260C77"/>
    <w:rsid w:val="00261352"/>
    <w:rsid w:val="00261480"/>
    <w:rsid w:val="00262223"/>
    <w:rsid w:val="00263F0B"/>
    <w:rsid w:val="00264EB1"/>
    <w:rsid w:val="00265192"/>
    <w:rsid w:val="00270F04"/>
    <w:rsid w:val="00271923"/>
    <w:rsid w:val="00272808"/>
    <w:rsid w:val="0027292C"/>
    <w:rsid w:val="00272A39"/>
    <w:rsid w:val="002735AD"/>
    <w:rsid w:val="00275B6D"/>
    <w:rsid w:val="002762ED"/>
    <w:rsid w:val="00276832"/>
    <w:rsid w:val="00276C71"/>
    <w:rsid w:val="00280A4F"/>
    <w:rsid w:val="00281526"/>
    <w:rsid w:val="00282C8E"/>
    <w:rsid w:val="0028346F"/>
    <w:rsid w:val="002845A0"/>
    <w:rsid w:val="00285406"/>
    <w:rsid w:val="002855A0"/>
    <w:rsid w:val="00287C6E"/>
    <w:rsid w:val="00287CC2"/>
    <w:rsid w:val="00291CF3"/>
    <w:rsid w:val="00292881"/>
    <w:rsid w:val="002933B8"/>
    <w:rsid w:val="00294A20"/>
    <w:rsid w:val="0029511C"/>
    <w:rsid w:val="00296618"/>
    <w:rsid w:val="00297099"/>
    <w:rsid w:val="00297678"/>
    <w:rsid w:val="00297D4D"/>
    <w:rsid w:val="002A1546"/>
    <w:rsid w:val="002A4757"/>
    <w:rsid w:val="002A4926"/>
    <w:rsid w:val="002A521E"/>
    <w:rsid w:val="002A552C"/>
    <w:rsid w:val="002A65ED"/>
    <w:rsid w:val="002A6DC0"/>
    <w:rsid w:val="002A6EE4"/>
    <w:rsid w:val="002B30C2"/>
    <w:rsid w:val="002B3BF7"/>
    <w:rsid w:val="002B3EB9"/>
    <w:rsid w:val="002B4133"/>
    <w:rsid w:val="002B44A7"/>
    <w:rsid w:val="002B5216"/>
    <w:rsid w:val="002B591E"/>
    <w:rsid w:val="002B66ED"/>
    <w:rsid w:val="002B6722"/>
    <w:rsid w:val="002C0C29"/>
    <w:rsid w:val="002C0DD3"/>
    <w:rsid w:val="002C1772"/>
    <w:rsid w:val="002C1C1A"/>
    <w:rsid w:val="002C31DD"/>
    <w:rsid w:val="002C3CD8"/>
    <w:rsid w:val="002C4530"/>
    <w:rsid w:val="002C489A"/>
    <w:rsid w:val="002C636F"/>
    <w:rsid w:val="002C7229"/>
    <w:rsid w:val="002C7B9B"/>
    <w:rsid w:val="002D0877"/>
    <w:rsid w:val="002D13B2"/>
    <w:rsid w:val="002D2B90"/>
    <w:rsid w:val="002D4528"/>
    <w:rsid w:val="002D58F2"/>
    <w:rsid w:val="002D6292"/>
    <w:rsid w:val="002D6F32"/>
    <w:rsid w:val="002D7AA9"/>
    <w:rsid w:val="002D7B78"/>
    <w:rsid w:val="002E1DAC"/>
    <w:rsid w:val="002E6D05"/>
    <w:rsid w:val="002E70E1"/>
    <w:rsid w:val="002F4028"/>
    <w:rsid w:val="002F6CA3"/>
    <w:rsid w:val="002F6D21"/>
    <w:rsid w:val="002F72A0"/>
    <w:rsid w:val="003006A6"/>
    <w:rsid w:val="00300733"/>
    <w:rsid w:val="003008A4"/>
    <w:rsid w:val="00301A6C"/>
    <w:rsid w:val="00301BC6"/>
    <w:rsid w:val="00301EBE"/>
    <w:rsid w:val="0030224A"/>
    <w:rsid w:val="00302993"/>
    <w:rsid w:val="00303653"/>
    <w:rsid w:val="00303B93"/>
    <w:rsid w:val="00304733"/>
    <w:rsid w:val="00304976"/>
    <w:rsid w:val="0030589B"/>
    <w:rsid w:val="00305ECA"/>
    <w:rsid w:val="00305F3A"/>
    <w:rsid w:val="00306555"/>
    <w:rsid w:val="00307AA3"/>
    <w:rsid w:val="0031016B"/>
    <w:rsid w:val="00311256"/>
    <w:rsid w:val="00311324"/>
    <w:rsid w:val="00311BD5"/>
    <w:rsid w:val="003122C4"/>
    <w:rsid w:val="00313660"/>
    <w:rsid w:val="0031412C"/>
    <w:rsid w:val="00314419"/>
    <w:rsid w:val="00314AF6"/>
    <w:rsid w:val="003151A3"/>
    <w:rsid w:val="003160FD"/>
    <w:rsid w:val="0032031D"/>
    <w:rsid w:val="00320F01"/>
    <w:rsid w:val="003214BA"/>
    <w:rsid w:val="00321647"/>
    <w:rsid w:val="00321989"/>
    <w:rsid w:val="00323E45"/>
    <w:rsid w:val="00324178"/>
    <w:rsid w:val="003243EC"/>
    <w:rsid w:val="003244DA"/>
    <w:rsid w:val="003247CD"/>
    <w:rsid w:val="00330D54"/>
    <w:rsid w:val="003325A0"/>
    <w:rsid w:val="00332802"/>
    <w:rsid w:val="00332962"/>
    <w:rsid w:val="003340C8"/>
    <w:rsid w:val="003341B5"/>
    <w:rsid w:val="00334385"/>
    <w:rsid w:val="0033585F"/>
    <w:rsid w:val="00335FCB"/>
    <w:rsid w:val="003362AD"/>
    <w:rsid w:val="00337591"/>
    <w:rsid w:val="00337703"/>
    <w:rsid w:val="003419A7"/>
    <w:rsid w:val="00342011"/>
    <w:rsid w:val="00342688"/>
    <w:rsid w:val="00342B09"/>
    <w:rsid w:val="00343FDF"/>
    <w:rsid w:val="0034440E"/>
    <w:rsid w:val="00344D96"/>
    <w:rsid w:val="00344F5D"/>
    <w:rsid w:val="00345499"/>
    <w:rsid w:val="003470E1"/>
    <w:rsid w:val="003475BD"/>
    <w:rsid w:val="00347899"/>
    <w:rsid w:val="00350F3E"/>
    <w:rsid w:val="0035125A"/>
    <w:rsid w:val="003518D6"/>
    <w:rsid w:val="00352BE0"/>
    <w:rsid w:val="00352FC6"/>
    <w:rsid w:val="00354B7A"/>
    <w:rsid w:val="00355AC2"/>
    <w:rsid w:val="00356080"/>
    <w:rsid w:val="003576A2"/>
    <w:rsid w:val="00360007"/>
    <w:rsid w:val="00362CA2"/>
    <w:rsid w:val="00363072"/>
    <w:rsid w:val="00363965"/>
    <w:rsid w:val="00363966"/>
    <w:rsid w:val="00365359"/>
    <w:rsid w:val="00367F0C"/>
    <w:rsid w:val="0037294E"/>
    <w:rsid w:val="003741B0"/>
    <w:rsid w:val="00374FFA"/>
    <w:rsid w:val="00375481"/>
    <w:rsid w:val="00377513"/>
    <w:rsid w:val="00377894"/>
    <w:rsid w:val="00380B97"/>
    <w:rsid w:val="003819F2"/>
    <w:rsid w:val="0038240C"/>
    <w:rsid w:val="0038245C"/>
    <w:rsid w:val="00382D56"/>
    <w:rsid w:val="0038359A"/>
    <w:rsid w:val="003836B0"/>
    <w:rsid w:val="00386466"/>
    <w:rsid w:val="003865F8"/>
    <w:rsid w:val="00386AA0"/>
    <w:rsid w:val="0038742C"/>
    <w:rsid w:val="00387996"/>
    <w:rsid w:val="003879FB"/>
    <w:rsid w:val="0039048C"/>
    <w:rsid w:val="00391D39"/>
    <w:rsid w:val="00391F03"/>
    <w:rsid w:val="003925EA"/>
    <w:rsid w:val="003937D8"/>
    <w:rsid w:val="0039407B"/>
    <w:rsid w:val="0039566A"/>
    <w:rsid w:val="00396091"/>
    <w:rsid w:val="003979D4"/>
    <w:rsid w:val="003A11D0"/>
    <w:rsid w:val="003A18E7"/>
    <w:rsid w:val="003A2368"/>
    <w:rsid w:val="003A2E53"/>
    <w:rsid w:val="003A4F4E"/>
    <w:rsid w:val="003A593E"/>
    <w:rsid w:val="003A5E9B"/>
    <w:rsid w:val="003A6775"/>
    <w:rsid w:val="003A7C47"/>
    <w:rsid w:val="003B17B0"/>
    <w:rsid w:val="003B1B15"/>
    <w:rsid w:val="003B408F"/>
    <w:rsid w:val="003B62E6"/>
    <w:rsid w:val="003B74D2"/>
    <w:rsid w:val="003B7A5C"/>
    <w:rsid w:val="003C0203"/>
    <w:rsid w:val="003C0D7D"/>
    <w:rsid w:val="003C16E4"/>
    <w:rsid w:val="003C17B5"/>
    <w:rsid w:val="003C19E2"/>
    <w:rsid w:val="003C1B76"/>
    <w:rsid w:val="003C339D"/>
    <w:rsid w:val="003C4858"/>
    <w:rsid w:val="003C5BB3"/>
    <w:rsid w:val="003C69C9"/>
    <w:rsid w:val="003C7F8F"/>
    <w:rsid w:val="003D1170"/>
    <w:rsid w:val="003D1B8E"/>
    <w:rsid w:val="003D1D5F"/>
    <w:rsid w:val="003D2243"/>
    <w:rsid w:val="003D2D72"/>
    <w:rsid w:val="003D36EE"/>
    <w:rsid w:val="003D3F57"/>
    <w:rsid w:val="003D4394"/>
    <w:rsid w:val="003D4C29"/>
    <w:rsid w:val="003D50AB"/>
    <w:rsid w:val="003D5701"/>
    <w:rsid w:val="003D6348"/>
    <w:rsid w:val="003D6C7E"/>
    <w:rsid w:val="003D6E0A"/>
    <w:rsid w:val="003D72DA"/>
    <w:rsid w:val="003E078C"/>
    <w:rsid w:val="003E2DAB"/>
    <w:rsid w:val="003E361B"/>
    <w:rsid w:val="003E71BB"/>
    <w:rsid w:val="003E789E"/>
    <w:rsid w:val="003E7EF2"/>
    <w:rsid w:val="003F13A5"/>
    <w:rsid w:val="003F1823"/>
    <w:rsid w:val="003F29B4"/>
    <w:rsid w:val="003F3224"/>
    <w:rsid w:val="003F3518"/>
    <w:rsid w:val="003F3D30"/>
    <w:rsid w:val="003F4218"/>
    <w:rsid w:val="003F504F"/>
    <w:rsid w:val="003F58DC"/>
    <w:rsid w:val="003F5B69"/>
    <w:rsid w:val="003F760E"/>
    <w:rsid w:val="0040121D"/>
    <w:rsid w:val="0040276D"/>
    <w:rsid w:val="00402DA4"/>
    <w:rsid w:val="00402F34"/>
    <w:rsid w:val="0040361B"/>
    <w:rsid w:val="0040556C"/>
    <w:rsid w:val="004064F4"/>
    <w:rsid w:val="00407637"/>
    <w:rsid w:val="004105EF"/>
    <w:rsid w:val="00414074"/>
    <w:rsid w:val="0041516D"/>
    <w:rsid w:val="0041521C"/>
    <w:rsid w:val="0041528A"/>
    <w:rsid w:val="00415A1A"/>
    <w:rsid w:val="00421293"/>
    <w:rsid w:val="00421A9F"/>
    <w:rsid w:val="00422A52"/>
    <w:rsid w:val="004230D0"/>
    <w:rsid w:val="0042326A"/>
    <w:rsid w:val="00423F96"/>
    <w:rsid w:val="004249F9"/>
    <w:rsid w:val="00430056"/>
    <w:rsid w:val="004306FF"/>
    <w:rsid w:val="00431939"/>
    <w:rsid w:val="00431F4F"/>
    <w:rsid w:val="0043220E"/>
    <w:rsid w:val="004334AD"/>
    <w:rsid w:val="0043351E"/>
    <w:rsid w:val="00433676"/>
    <w:rsid w:val="004337DF"/>
    <w:rsid w:val="00436504"/>
    <w:rsid w:val="004366EB"/>
    <w:rsid w:val="00436A3B"/>
    <w:rsid w:val="00436BA8"/>
    <w:rsid w:val="004405C7"/>
    <w:rsid w:val="00441479"/>
    <w:rsid w:val="00441D39"/>
    <w:rsid w:val="00441DD5"/>
    <w:rsid w:val="00442AF8"/>
    <w:rsid w:val="00443D0A"/>
    <w:rsid w:val="00444F53"/>
    <w:rsid w:val="0044514A"/>
    <w:rsid w:val="00445BC7"/>
    <w:rsid w:val="00446D07"/>
    <w:rsid w:val="00447E59"/>
    <w:rsid w:val="004510BC"/>
    <w:rsid w:val="00451551"/>
    <w:rsid w:val="00453255"/>
    <w:rsid w:val="00455981"/>
    <w:rsid w:val="00457DC2"/>
    <w:rsid w:val="00460EF7"/>
    <w:rsid w:val="0046206A"/>
    <w:rsid w:val="00462299"/>
    <w:rsid w:val="00465E37"/>
    <w:rsid w:val="00466339"/>
    <w:rsid w:val="00466534"/>
    <w:rsid w:val="0046780A"/>
    <w:rsid w:val="00467F3C"/>
    <w:rsid w:val="004700AB"/>
    <w:rsid w:val="0047012B"/>
    <w:rsid w:val="004728C2"/>
    <w:rsid w:val="004733D3"/>
    <w:rsid w:val="00473945"/>
    <w:rsid w:val="00475AED"/>
    <w:rsid w:val="00477358"/>
    <w:rsid w:val="00477E47"/>
    <w:rsid w:val="004809EB"/>
    <w:rsid w:val="00481869"/>
    <w:rsid w:val="00481968"/>
    <w:rsid w:val="00482274"/>
    <w:rsid w:val="00482675"/>
    <w:rsid w:val="0048324D"/>
    <w:rsid w:val="004837BE"/>
    <w:rsid w:val="00483B34"/>
    <w:rsid w:val="00484166"/>
    <w:rsid w:val="00485F54"/>
    <w:rsid w:val="00487315"/>
    <w:rsid w:val="00491763"/>
    <w:rsid w:val="00491D96"/>
    <w:rsid w:val="00491E40"/>
    <w:rsid w:val="004922E5"/>
    <w:rsid w:val="00492A1E"/>
    <w:rsid w:val="00494530"/>
    <w:rsid w:val="00494624"/>
    <w:rsid w:val="00494A5F"/>
    <w:rsid w:val="00495001"/>
    <w:rsid w:val="004956D1"/>
    <w:rsid w:val="0049597A"/>
    <w:rsid w:val="004976F9"/>
    <w:rsid w:val="004977CA"/>
    <w:rsid w:val="004977FD"/>
    <w:rsid w:val="004A0267"/>
    <w:rsid w:val="004A112E"/>
    <w:rsid w:val="004A2B7D"/>
    <w:rsid w:val="004A37F9"/>
    <w:rsid w:val="004A549A"/>
    <w:rsid w:val="004A605D"/>
    <w:rsid w:val="004A69D8"/>
    <w:rsid w:val="004A76F2"/>
    <w:rsid w:val="004B1FD6"/>
    <w:rsid w:val="004B27A9"/>
    <w:rsid w:val="004B463C"/>
    <w:rsid w:val="004B488C"/>
    <w:rsid w:val="004B4C84"/>
    <w:rsid w:val="004B4DED"/>
    <w:rsid w:val="004B505E"/>
    <w:rsid w:val="004B51E3"/>
    <w:rsid w:val="004B5467"/>
    <w:rsid w:val="004B6736"/>
    <w:rsid w:val="004B6B56"/>
    <w:rsid w:val="004B6ED7"/>
    <w:rsid w:val="004B78CE"/>
    <w:rsid w:val="004B7E42"/>
    <w:rsid w:val="004C12F8"/>
    <w:rsid w:val="004C2BEE"/>
    <w:rsid w:val="004C351C"/>
    <w:rsid w:val="004C4753"/>
    <w:rsid w:val="004C509C"/>
    <w:rsid w:val="004D025B"/>
    <w:rsid w:val="004D0866"/>
    <w:rsid w:val="004D0DD7"/>
    <w:rsid w:val="004D0EAD"/>
    <w:rsid w:val="004D1209"/>
    <w:rsid w:val="004D2ABE"/>
    <w:rsid w:val="004D34EB"/>
    <w:rsid w:val="004D3B6A"/>
    <w:rsid w:val="004D4247"/>
    <w:rsid w:val="004D4BD6"/>
    <w:rsid w:val="004D540F"/>
    <w:rsid w:val="004D6328"/>
    <w:rsid w:val="004D7237"/>
    <w:rsid w:val="004D794D"/>
    <w:rsid w:val="004D7FCB"/>
    <w:rsid w:val="004E0C05"/>
    <w:rsid w:val="004E1098"/>
    <w:rsid w:val="004E2BAD"/>
    <w:rsid w:val="004E3473"/>
    <w:rsid w:val="004E4D4E"/>
    <w:rsid w:val="004E5F03"/>
    <w:rsid w:val="004E618D"/>
    <w:rsid w:val="004E752E"/>
    <w:rsid w:val="004F0052"/>
    <w:rsid w:val="004F0460"/>
    <w:rsid w:val="004F1425"/>
    <w:rsid w:val="004F2BD3"/>
    <w:rsid w:val="004F3309"/>
    <w:rsid w:val="004F3E6D"/>
    <w:rsid w:val="004F4F17"/>
    <w:rsid w:val="004F6169"/>
    <w:rsid w:val="005012F7"/>
    <w:rsid w:val="00501AEF"/>
    <w:rsid w:val="00501B4F"/>
    <w:rsid w:val="005029BC"/>
    <w:rsid w:val="00502CA1"/>
    <w:rsid w:val="005034E3"/>
    <w:rsid w:val="0050669A"/>
    <w:rsid w:val="00506A2D"/>
    <w:rsid w:val="0050739A"/>
    <w:rsid w:val="0050760D"/>
    <w:rsid w:val="005100DC"/>
    <w:rsid w:val="005101D2"/>
    <w:rsid w:val="00511660"/>
    <w:rsid w:val="00511FFD"/>
    <w:rsid w:val="00512A0D"/>
    <w:rsid w:val="00515CE9"/>
    <w:rsid w:val="00515E4E"/>
    <w:rsid w:val="00517CCE"/>
    <w:rsid w:val="00517D83"/>
    <w:rsid w:val="00520706"/>
    <w:rsid w:val="00520746"/>
    <w:rsid w:val="005216F1"/>
    <w:rsid w:val="00521F97"/>
    <w:rsid w:val="005229A0"/>
    <w:rsid w:val="00522D2E"/>
    <w:rsid w:val="00522D50"/>
    <w:rsid w:val="0052426A"/>
    <w:rsid w:val="0052712A"/>
    <w:rsid w:val="00527D92"/>
    <w:rsid w:val="005307FD"/>
    <w:rsid w:val="00530B0B"/>
    <w:rsid w:val="00530F83"/>
    <w:rsid w:val="00531BAF"/>
    <w:rsid w:val="00532FBE"/>
    <w:rsid w:val="005333BF"/>
    <w:rsid w:val="0053355D"/>
    <w:rsid w:val="00533AC9"/>
    <w:rsid w:val="00534E5A"/>
    <w:rsid w:val="0053689C"/>
    <w:rsid w:val="00537781"/>
    <w:rsid w:val="00537C89"/>
    <w:rsid w:val="005409DB"/>
    <w:rsid w:val="00540C70"/>
    <w:rsid w:val="005419F7"/>
    <w:rsid w:val="005426C1"/>
    <w:rsid w:val="00542C62"/>
    <w:rsid w:val="00543F5F"/>
    <w:rsid w:val="005442F3"/>
    <w:rsid w:val="0054553E"/>
    <w:rsid w:val="00545698"/>
    <w:rsid w:val="00545745"/>
    <w:rsid w:val="00546149"/>
    <w:rsid w:val="005461D8"/>
    <w:rsid w:val="0055163A"/>
    <w:rsid w:val="00551696"/>
    <w:rsid w:val="00551A9E"/>
    <w:rsid w:val="00551C64"/>
    <w:rsid w:val="00554347"/>
    <w:rsid w:val="00554840"/>
    <w:rsid w:val="00554AEC"/>
    <w:rsid w:val="00555089"/>
    <w:rsid w:val="00555976"/>
    <w:rsid w:val="005565F1"/>
    <w:rsid w:val="00557E58"/>
    <w:rsid w:val="0056091D"/>
    <w:rsid w:val="00562259"/>
    <w:rsid w:val="005622A9"/>
    <w:rsid w:val="005655BD"/>
    <w:rsid w:val="00565F3C"/>
    <w:rsid w:val="00566997"/>
    <w:rsid w:val="00566B4E"/>
    <w:rsid w:val="005725D3"/>
    <w:rsid w:val="00573B46"/>
    <w:rsid w:val="00573C8F"/>
    <w:rsid w:val="00574014"/>
    <w:rsid w:val="005749AB"/>
    <w:rsid w:val="00576243"/>
    <w:rsid w:val="00576C5E"/>
    <w:rsid w:val="00577C17"/>
    <w:rsid w:val="00580957"/>
    <w:rsid w:val="00581336"/>
    <w:rsid w:val="00581F42"/>
    <w:rsid w:val="0058248B"/>
    <w:rsid w:val="005824FB"/>
    <w:rsid w:val="005827A7"/>
    <w:rsid w:val="00582D85"/>
    <w:rsid w:val="00584876"/>
    <w:rsid w:val="00585B39"/>
    <w:rsid w:val="00586041"/>
    <w:rsid w:val="00586955"/>
    <w:rsid w:val="005872CE"/>
    <w:rsid w:val="0058730F"/>
    <w:rsid w:val="005875F6"/>
    <w:rsid w:val="0058769A"/>
    <w:rsid w:val="0058797C"/>
    <w:rsid w:val="005905E2"/>
    <w:rsid w:val="00591B1C"/>
    <w:rsid w:val="005937C9"/>
    <w:rsid w:val="005955BA"/>
    <w:rsid w:val="0059598D"/>
    <w:rsid w:val="00596536"/>
    <w:rsid w:val="005A0443"/>
    <w:rsid w:val="005A0B59"/>
    <w:rsid w:val="005A0CA3"/>
    <w:rsid w:val="005A230F"/>
    <w:rsid w:val="005A245A"/>
    <w:rsid w:val="005A29DB"/>
    <w:rsid w:val="005A2C7B"/>
    <w:rsid w:val="005A328C"/>
    <w:rsid w:val="005A3AFA"/>
    <w:rsid w:val="005A3DA6"/>
    <w:rsid w:val="005A689F"/>
    <w:rsid w:val="005A7987"/>
    <w:rsid w:val="005B0966"/>
    <w:rsid w:val="005B0F9A"/>
    <w:rsid w:val="005B1A42"/>
    <w:rsid w:val="005B1D03"/>
    <w:rsid w:val="005B1D42"/>
    <w:rsid w:val="005B1DC2"/>
    <w:rsid w:val="005B46BD"/>
    <w:rsid w:val="005B4D4D"/>
    <w:rsid w:val="005B4DB1"/>
    <w:rsid w:val="005B6024"/>
    <w:rsid w:val="005B6D33"/>
    <w:rsid w:val="005C162E"/>
    <w:rsid w:val="005C1B19"/>
    <w:rsid w:val="005C1B88"/>
    <w:rsid w:val="005C25C7"/>
    <w:rsid w:val="005C26F3"/>
    <w:rsid w:val="005C319D"/>
    <w:rsid w:val="005C3259"/>
    <w:rsid w:val="005C379E"/>
    <w:rsid w:val="005C417A"/>
    <w:rsid w:val="005C5E4B"/>
    <w:rsid w:val="005C658D"/>
    <w:rsid w:val="005C77A2"/>
    <w:rsid w:val="005C7FA2"/>
    <w:rsid w:val="005D0F9E"/>
    <w:rsid w:val="005D1B82"/>
    <w:rsid w:val="005D22FC"/>
    <w:rsid w:val="005D2829"/>
    <w:rsid w:val="005D32E0"/>
    <w:rsid w:val="005D3D41"/>
    <w:rsid w:val="005D53CA"/>
    <w:rsid w:val="005D586B"/>
    <w:rsid w:val="005D736F"/>
    <w:rsid w:val="005E209A"/>
    <w:rsid w:val="005E4F70"/>
    <w:rsid w:val="005E593B"/>
    <w:rsid w:val="005E5C95"/>
    <w:rsid w:val="005E6192"/>
    <w:rsid w:val="005E6267"/>
    <w:rsid w:val="005E7457"/>
    <w:rsid w:val="005E7CE8"/>
    <w:rsid w:val="005F1282"/>
    <w:rsid w:val="005F162E"/>
    <w:rsid w:val="005F16C3"/>
    <w:rsid w:val="005F19DE"/>
    <w:rsid w:val="005F204E"/>
    <w:rsid w:val="005F328B"/>
    <w:rsid w:val="005F4644"/>
    <w:rsid w:val="005F5410"/>
    <w:rsid w:val="005F601B"/>
    <w:rsid w:val="005F6547"/>
    <w:rsid w:val="005F74F3"/>
    <w:rsid w:val="006011C3"/>
    <w:rsid w:val="0060161F"/>
    <w:rsid w:val="00601D7A"/>
    <w:rsid w:val="00601E1E"/>
    <w:rsid w:val="00602907"/>
    <w:rsid w:val="00604551"/>
    <w:rsid w:val="00604B7D"/>
    <w:rsid w:val="006055E3"/>
    <w:rsid w:val="00605A28"/>
    <w:rsid w:val="00606510"/>
    <w:rsid w:val="006065D3"/>
    <w:rsid w:val="00610319"/>
    <w:rsid w:val="00610BA9"/>
    <w:rsid w:val="00610DD1"/>
    <w:rsid w:val="00613604"/>
    <w:rsid w:val="0061399D"/>
    <w:rsid w:val="00614E98"/>
    <w:rsid w:val="0061587D"/>
    <w:rsid w:val="00617712"/>
    <w:rsid w:val="00620A89"/>
    <w:rsid w:val="00621F2A"/>
    <w:rsid w:val="0062205A"/>
    <w:rsid w:val="00622822"/>
    <w:rsid w:val="0062295C"/>
    <w:rsid w:val="006234BC"/>
    <w:rsid w:val="00623AD2"/>
    <w:rsid w:val="0062425B"/>
    <w:rsid w:val="00624EBB"/>
    <w:rsid w:val="00625197"/>
    <w:rsid w:val="00625729"/>
    <w:rsid w:val="006259BD"/>
    <w:rsid w:val="00626BCD"/>
    <w:rsid w:val="0062717C"/>
    <w:rsid w:val="00627814"/>
    <w:rsid w:val="00627B16"/>
    <w:rsid w:val="00632B51"/>
    <w:rsid w:val="00633021"/>
    <w:rsid w:val="00633CD9"/>
    <w:rsid w:val="00636962"/>
    <w:rsid w:val="00636EDC"/>
    <w:rsid w:val="00636EE3"/>
    <w:rsid w:val="006410D9"/>
    <w:rsid w:val="00641AD3"/>
    <w:rsid w:val="00641EE5"/>
    <w:rsid w:val="00641FDC"/>
    <w:rsid w:val="00644420"/>
    <w:rsid w:val="0064474B"/>
    <w:rsid w:val="00644C71"/>
    <w:rsid w:val="00645E1A"/>
    <w:rsid w:val="0064622D"/>
    <w:rsid w:val="006462FA"/>
    <w:rsid w:val="00650C82"/>
    <w:rsid w:val="006520A5"/>
    <w:rsid w:val="00653DE0"/>
    <w:rsid w:val="00655172"/>
    <w:rsid w:val="00656C79"/>
    <w:rsid w:val="00657169"/>
    <w:rsid w:val="00657446"/>
    <w:rsid w:val="0065748A"/>
    <w:rsid w:val="006575E3"/>
    <w:rsid w:val="00660744"/>
    <w:rsid w:val="00660AFC"/>
    <w:rsid w:val="00660EBB"/>
    <w:rsid w:val="00661021"/>
    <w:rsid w:val="00661ACD"/>
    <w:rsid w:val="00662890"/>
    <w:rsid w:val="00663629"/>
    <w:rsid w:val="00663CC5"/>
    <w:rsid w:val="00663D25"/>
    <w:rsid w:val="0066472A"/>
    <w:rsid w:val="00665F7D"/>
    <w:rsid w:val="00666A14"/>
    <w:rsid w:val="00670660"/>
    <w:rsid w:val="00670F73"/>
    <w:rsid w:val="00672298"/>
    <w:rsid w:val="00673822"/>
    <w:rsid w:val="00674A6D"/>
    <w:rsid w:val="00674AFC"/>
    <w:rsid w:val="00675032"/>
    <w:rsid w:val="00675C9E"/>
    <w:rsid w:val="00675EAD"/>
    <w:rsid w:val="0067610D"/>
    <w:rsid w:val="00676963"/>
    <w:rsid w:val="00677359"/>
    <w:rsid w:val="00677666"/>
    <w:rsid w:val="00682125"/>
    <w:rsid w:val="006830CD"/>
    <w:rsid w:val="00683165"/>
    <w:rsid w:val="0068435A"/>
    <w:rsid w:val="00684D69"/>
    <w:rsid w:val="00684E55"/>
    <w:rsid w:val="00686AF3"/>
    <w:rsid w:val="006928F3"/>
    <w:rsid w:val="00693A6A"/>
    <w:rsid w:val="00693B0E"/>
    <w:rsid w:val="006952F5"/>
    <w:rsid w:val="00695857"/>
    <w:rsid w:val="00695D76"/>
    <w:rsid w:val="00695FAD"/>
    <w:rsid w:val="006973EE"/>
    <w:rsid w:val="00697CEE"/>
    <w:rsid w:val="006A047B"/>
    <w:rsid w:val="006A0DB3"/>
    <w:rsid w:val="006A350C"/>
    <w:rsid w:val="006A4312"/>
    <w:rsid w:val="006A4857"/>
    <w:rsid w:val="006A5596"/>
    <w:rsid w:val="006A68D0"/>
    <w:rsid w:val="006A73FD"/>
    <w:rsid w:val="006A7706"/>
    <w:rsid w:val="006A7F51"/>
    <w:rsid w:val="006B1BC0"/>
    <w:rsid w:val="006B2087"/>
    <w:rsid w:val="006B3827"/>
    <w:rsid w:val="006B4620"/>
    <w:rsid w:val="006B4ED2"/>
    <w:rsid w:val="006B5EB3"/>
    <w:rsid w:val="006B6285"/>
    <w:rsid w:val="006B6E3B"/>
    <w:rsid w:val="006B7A41"/>
    <w:rsid w:val="006C047A"/>
    <w:rsid w:val="006C0ADC"/>
    <w:rsid w:val="006C11CE"/>
    <w:rsid w:val="006C1246"/>
    <w:rsid w:val="006C1B42"/>
    <w:rsid w:val="006C285C"/>
    <w:rsid w:val="006C3A53"/>
    <w:rsid w:val="006C56C9"/>
    <w:rsid w:val="006C5DA4"/>
    <w:rsid w:val="006C67D7"/>
    <w:rsid w:val="006C7D9A"/>
    <w:rsid w:val="006C7E82"/>
    <w:rsid w:val="006D144F"/>
    <w:rsid w:val="006D567B"/>
    <w:rsid w:val="006D72C7"/>
    <w:rsid w:val="006D771E"/>
    <w:rsid w:val="006E06C6"/>
    <w:rsid w:val="006E0B76"/>
    <w:rsid w:val="006E1437"/>
    <w:rsid w:val="006E1537"/>
    <w:rsid w:val="006E18DB"/>
    <w:rsid w:val="006E1B7C"/>
    <w:rsid w:val="006E1CF0"/>
    <w:rsid w:val="006E2BDC"/>
    <w:rsid w:val="006E2EB3"/>
    <w:rsid w:val="006E3EAB"/>
    <w:rsid w:val="006E4343"/>
    <w:rsid w:val="006E44F8"/>
    <w:rsid w:val="006E4A7F"/>
    <w:rsid w:val="006E4F98"/>
    <w:rsid w:val="006E521B"/>
    <w:rsid w:val="006E5BDD"/>
    <w:rsid w:val="006E798E"/>
    <w:rsid w:val="006F110C"/>
    <w:rsid w:val="006F30B4"/>
    <w:rsid w:val="006F31C3"/>
    <w:rsid w:val="006F3F8C"/>
    <w:rsid w:val="006F46C3"/>
    <w:rsid w:val="006F5377"/>
    <w:rsid w:val="006F6E12"/>
    <w:rsid w:val="006F75DD"/>
    <w:rsid w:val="007009AA"/>
    <w:rsid w:val="00701A84"/>
    <w:rsid w:val="00701F31"/>
    <w:rsid w:val="007026E3"/>
    <w:rsid w:val="007030E8"/>
    <w:rsid w:val="007036C3"/>
    <w:rsid w:val="007045BD"/>
    <w:rsid w:val="007051D4"/>
    <w:rsid w:val="00705859"/>
    <w:rsid w:val="00706041"/>
    <w:rsid w:val="007112CD"/>
    <w:rsid w:val="00711375"/>
    <w:rsid w:val="0071219E"/>
    <w:rsid w:val="00712398"/>
    <w:rsid w:val="007123AF"/>
    <w:rsid w:val="00712A96"/>
    <w:rsid w:val="00713C77"/>
    <w:rsid w:val="0071474D"/>
    <w:rsid w:val="00716280"/>
    <w:rsid w:val="00721056"/>
    <w:rsid w:val="00721F2B"/>
    <w:rsid w:val="00723914"/>
    <w:rsid w:val="00725B88"/>
    <w:rsid w:val="00725C94"/>
    <w:rsid w:val="00726A6C"/>
    <w:rsid w:val="00726B23"/>
    <w:rsid w:val="00726DB7"/>
    <w:rsid w:val="00727E29"/>
    <w:rsid w:val="00730DA6"/>
    <w:rsid w:val="0073129B"/>
    <w:rsid w:val="00732126"/>
    <w:rsid w:val="00732304"/>
    <w:rsid w:val="00733083"/>
    <w:rsid w:val="00733388"/>
    <w:rsid w:val="007342E5"/>
    <w:rsid w:val="007343B9"/>
    <w:rsid w:val="00734B58"/>
    <w:rsid w:val="00734C1B"/>
    <w:rsid w:val="00736CE8"/>
    <w:rsid w:val="007377D1"/>
    <w:rsid w:val="00741F09"/>
    <w:rsid w:val="00742B21"/>
    <w:rsid w:val="00743283"/>
    <w:rsid w:val="007433FD"/>
    <w:rsid w:val="0074397E"/>
    <w:rsid w:val="00744517"/>
    <w:rsid w:val="00745942"/>
    <w:rsid w:val="00746C98"/>
    <w:rsid w:val="00746DE7"/>
    <w:rsid w:val="00746F1A"/>
    <w:rsid w:val="00750137"/>
    <w:rsid w:val="0075115C"/>
    <w:rsid w:val="007525B7"/>
    <w:rsid w:val="00752B19"/>
    <w:rsid w:val="00752BB4"/>
    <w:rsid w:val="007549A9"/>
    <w:rsid w:val="00755157"/>
    <w:rsid w:val="00755C94"/>
    <w:rsid w:val="0075605F"/>
    <w:rsid w:val="0075687C"/>
    <w:rsid w:val="00760472"/>
    <w:rsid w:val="00761E12"/>
    <w:rsid w:val="00766147"/>
    <w:rsid w:val="00766DD4"/>
    <w:rsid w:val="00767246"/>
    <w:rsid w:val="00770518"/>
    <w:rsid w:val="0077087F"/>
    <w:rsid w:val="0077088B"/>
    <w:rsid w:val="00770FF1"/>
    <w:rsid w:val="00771F84"/>
    <w:rsid w:val="007724D2"/>
    <w:rsid w:val="00772E30"/>
    <w:rsid w:val="00776765"/>
    <w:rsid w:val="0077695C"/>
    <w:rsid w:val="007769FC"/>
    <w:rsid w:val="00780304"/>
    <w:rsid w:val="00780470"/>
    <w:rsid w:val="00780A56"/>
    <w:rsid w:val="00785BF9"/>
    <w:rsid w:val="00787DE0"/>
    <w:rsid w:val="00787E4F"/>
    <w:rsid w:val="007908B5"/>
    <w:rsid w:val="00790A94"/>
    <w:rsid w:val="007911B2"/>
    <w:rsid w:val="00793DAE"/>
    <w:rsid w:val="007946C2"/>
    <w:rsid w:val="007951BA"/>
    <w:rsid w:val="007965C5"/>
    <w:rsid w:val="007972F1"/>
    <w:rsid w:val="0079798B"/>
    <w:rsid w:val="00797ACE"/>
    <w:rsid w:val="007A08F7"/>
    <w:rsid w:val="007A0A41"/>
    <w:rsid w:val="007A1416"/>
    <w:rsid w:val="007A159F"/>
    <w:rsid w:val="007A1E5B"/>
    <w:rsid w:val="007A203B"/>
    <w:rsid w:val="007A36C9"/>
    <w:rsid w:val="007A4461"/>
    <w:rsid w:val="007A4CF9"/>
    <w:rsid w:val="007A4E3F"/>
    <w:rsid w:val="007A5188"/>
    <w:rsid w:val="007A6512"/>
    <w:rsid w:val="007A67FD"/>
    <w:rsid w:val="007B0CB2"/>
    <w:rsid w:val="007B239D"/>
    <w:rsid w:val="007B29E3"/>
    <w:rsid w:val="007B2B09"/>
    <w:rsid w:val="007B3449"/>
    <w:rsid w:val="007B3D71"/>
    <w:rsid w:val="007B4108"/>
    <w:rsid w:val="007B435F"/>
    <w:rsid w:val="007B5213"/>
    <w:rsid w:val="007B5790"/>
    <w:rsid w:val="007B5FDA"/>
    <w:rsid w:val="007B7DDF"/>
    <w:rsid w:val="007C07CC"/>
    <w:rsid w:val="007C1C47"/>
    <w:rsid w:val="007C1ED9"/>
    <w:rsid w:val="007C292F"/>
    <w:rsid w:val="007C2D30"/>
    <w:rsid w:val="007C3EA8"/>
    <w:rsid w:val="007C447B"/>
    <w:rsid w:val="007C4B61"/>
    <w:rsid w:val="007C793D"/>
    <w:rsid w:val="007D06C7"/>
    <w:rsid w:val="007D07A2"/>
    <w:rsid w:val="007D16DC"/>
    <w:rsid w:val="007D41F4"/>
    <w:rsid w:val="007D4C26"/>
    <w:rsid w:val="007D4EF4"/>
    <w:rsid w:val="007D5CBB"/>
    <w:rsid w:val="007D60C5"/>
    <w:rsid w:val="007D6572"/>
    <w:rsid w:val="007D7CAA"/>
    <w:rsid w:val="007E0563"/>
    <w:rsid w:val="007E6590"/>
    <w:rsid w:val="007E6CFA"/>
    <w:rsid w:val="007E6FB5"/>
    <w:rsid w:val="007E76B5"/>
    <w:rsid w:val="007E78FD"/>
    <w:rsid w:val="007F33A5"/>
    <w:rsid w:val="007F34D2"/>
    <w:rsid w:val="007F363B"/>
    <w:rsid w:val="007F407D"/>
    <w:rsid w:val="007F50C5"/>
    <w:rsid w:val="007F568B"/>
    <w:rsid w:val="007F5864"/>
    <w:rsid w:val="007F675C"/>
    <w:rsid w:val="007F6A96"/>
    <w:rsid w:val="00800AF7"/>
    <w:rsid w:val="00800F31"/>
    <w:rsid w:val="00801640"/>
    <w:rsid w:val="008016DA"/>
    <w:rsid w:val="00803860"/>
    <w:rsid w:val="00803D1B"/>
    <w:rsid w:val="00804854"/>
    <w:rsid w:val="00804C75"/>
    <w:rsid w:val="00804F04"/>
    <w:rsid w:val="00805A87"/>
    <w:rsid w:val="00805D01"/>
    <w:rsid w:val="0080724A"/>
    <w:rsid w:val="0081155D"/>
    <w:rsid w:val="00811567"/>
    <w:rsid w:val="00814074"/>
    <w:rsid w:val="008141AC"/>
    <w:rsid w:val="00814ACE"/>
    <w:rsid w:val="008152A0"/>
    <w:rsid w:val="00815876"/>
    <w:rsid w:val="00815DE7"/>
    <w:rsid w:val="00816182"/>
    <w:rsid w:val="0081785A"/>
    <w:rsid w:val="008215A0"/>
    <w:rsid w:val="00822B05"/>
    <w:rsid w:val="00823971"/>
    <w:rsid w:val="00825170"/>
    <w:rsid w:val="00826534"/>
    <w:rsid w:val="00826784"/>
    <w:rsid w:val="00826C28"/>
    <w:rsid w:val="00827F93"/>
    <w:rsid w:val="0083003E"/>
    <w:rsid w:val="0083097F"/>
    <w:rsid w:val="008309E8"/>
    <w:rsid w:val="00830D14"/>
    <w:rsid w:val="008319EC"/>
    <w:rsid w:val="008321F0"/>
    <w:rsid w:val="00832B54"/>
    <w:rsid w:val="008331F8"/>
    <w:rsid w:val="00833E5B"/>
    <w:rsid w:val="00834D6E"/>
    <w:rsid w:val="0083513D"/>
    <w:rsid w:val="00835825"/>
    <w:rsid w:val="00836317"/>
    <w:rsid w:val="008376D6"/>
    <w:rsid w:val="00840D54"/>
    <w:rsid w:val="00840DB3"/>
    <w:rsid w:val="00840F0E"/>
    <w:rsid w:val="0084183E"/>
    <w:rsid w:val="00842D0A"/>
    <w:rsid w:val="0084316D"/>
    <w:rsid w:val="00844CF6"/>
    <w:rsid w:val="0084602F"/>
    <w:rsid w:val="00847378"/>
    <w:rsid w:val="00847755"/>
    <w:rsid w:val="00847E2F"/>
    <w:rsid w:val="008508EA"/>
    <w:rsid w:val="00851FB3"/>
    <w:rsid w:val="0085267C"/>
    <w:rsid w:val="008557AF"/>
    <w:rsid w:val="008567AE"/>
    <w:rsid w:val="00856C9B"/>
    <w:rsid w:val="008602E0"/>
    <w:rsid w:val="0086125C"/>
    <w:rsid w:val="008622F6"/>
    <w:rsid w:val="008625DD"/>
    <w:rsid w:val="008631FE"/>
    <w:rsid w:val="0086397B"/>
    <w:rsid w:val="008639BD"/>
    <w:rsid w:val="00863F1F"/>
    <w:rsid w:val="00863F6B"/>
    <w:rsid w:val="00865816"/>
    <w:rsid w:val="00865A18"/>
    <w:rsid w:val="00865A39"/>
    <w:rsid w:val="0086722C"/>
    <w:rsid w:val="008707EB"/>
    <w:rsid w:val="00871514"/>
    <w:rsid w:val="008719F7"/>
    <w:rsid w:val="00873DD8"/>
    <w:rsid w:val="00873E39"/>
    <w:rsid w:val="008748DD"/>
    <w:rsid w:val="0087661F"/>
    <w:rsid w:val="00877B50"/>
    <w:rsid w:val="008804FF"/>
    <w:rsid w:val="00880C01"/>
    <w:rsid w:val="00880C4E"/>
    <w:rsid w:val="0088112B"/>
    <w:rsid w:val="00881FBD"/>
    <w:rsid w:val="0088249A"/>
    <w:rsid w:val="00882933"/>
    <w:rsid w:val="00882A6E"/>
    <w:rsid w:val="00884568"/>
    <w:rsid w:val="008846D9"/>
    <w:rsid w:val="0088534C"/>
    <w:rsid w:val="00886D39"/>
    <w:rsid w:val="00891D32"/>
    <w:rsid w:val="00892B48"/>
    <w:rsid w:val="008932B4"/>
    <w:rsid w:val="008936E5"/>
    <w:rsid w:val="008940CB"/>
    <w:rsid w:val="008946EA"/>
    <w:rsid w:val="008948B6"/>
    <w:rsid w:val="008964D9"/>
    <w:rsid w:val="008A0C4A"/>
    <w:rsid w:val="008A215B"/>
    <w:rsid w:val="008A221E"/>
    <w:rsid w:val="008A3781"/>
    <w:rsid w:val="008A4584"/>
    <w:rsid w:val="008A4F8A"/>
    <w:rsid w:val="008A5600"/>
    <w:rsid w:val="008A6265"/>
    <w:rsid w:val="008A7791"/>
    <w:rsid w:val="008B128B"/>
    <w:rsid w:val="008B17F2"/>
    <w:rsid w:val="008B3246"/>
    <w:rsid w:val="008B3A0C"/>
    <w:rsid w:val="008B4958"/>
    <w:rsid w:val="008B6D1A"/>
    <w:rsid w:val="008B6D6F"/>
    <w:rsid w:val="008B779D"/>
    <w:rsid w:val="008B7B1E"/>
    <w:rsid w:val="008C11B1"/>
    <w:rsid w:val="008C42A4"/>
    <w:rsid w:val="008C451E"/>
    <w:rsid w:val="008C479F"/>
    <w:rsid w:val="008C4B94"/>
    <w:rsid w:val="008C4D93"/>
    <w:rsid w:val="008C4FBC"/>
    <w:rsid w:val="008C5D7B"/>
    <w:rsid w:val="008C5DE5"/>
    <w:rsid w:val="008C7832"/>
    <w:rsid w:val="008D03A1"/>
    <w:rsid w:val="008D0EA5"/>
    <w:rsid w:val="008D1879"/>
    <w:rsid w:val="008D2463"/>
    <w:rsid w:val="008D2B4F"/>
    <w:rsid w:val="008D41FB"/>
    <w:rsid w:val="008D43B6"/>
    <w:rsid w:val="008D4DCF"/>
    <w:rsid w:val="008D753E"/>
    <w:rsid w:val="008E0C18"/>
    <w:rsid w:val="008E1387"/>
    <w:rsid w:val="008E17F5"/>
    <w:rsid w:val="008E206A"/>
    <w:rsid w:val="008E2938"/>
    <w:rsid w:val="008E41E0"/>
    <w:rsid w:val="008E4AD8"/>
    <w:rsid w:val="008E5399"/>
    <w:rsid w:val="008E6632"/>
    <w:rsid w:val="008E6766"/>
    <w:rsid w:val="008F1370"/>
    <w:rsid w:val="008F20E6"/>
    <w:rsid w:val="008F28E8"/>
    <w:rsid w:val="008F2DB6"/>
    <w:rsid w:val="008F46B9"/>
    <w:rsid w:val="008F6AF6"/>
    <w:rsid w:val="008F6DF6"/>
    <w:rsid w:val="008F78BF"/>
    <w:rsid w:val="00900455"/>
    <w:rsid w:val="00900ABA"/>
    <w:rsid w:val="00900FA4"/>
    <w:rsid w:val="00900FFC"/>
    <w:rsid w:val="0090152F"/>
    <w:rsid w:val="00905AE6"/>
    <w:rsid w:val="00906163"/>
    <w:rsid w:val="009070F2"/>
    <w:rsid w:val="009102B1"/>
    <w:rsid w:val="009112D5"/>
    <w:rsid w:val="009117AF"/>
    <w:rsid w:val="00913A8F"/>
    <w:rsid w:val="00913BD8"/>
    <w:rsid w:val="00913DA9"/>
    <w:rsid w:val="00913FD1"/>
    <w:rsid w:val="0091476B"/>
    <w:rsid w:val="0091482E"/>
    <w:rsid w:val="00914D8C"/>
    <w:rsid w:val="009150E0"/>
    <w:rsid w:val="00915BD0"/>
    <w:rsid w:val="00916397"/>
    <w:rsid w:val="009165B6"/>
    <w:rsid w:val="00916BB9"/>
    <w:rsid w:val="00917280"/>
    <w:rsid w:val="0091764F"/>
    <w:rsid w:val="009218FD"/>
    <w:rsid w:val="00921EF2"/>
    <w:rsid w:val="00922D1D"/>
    <w:rsid w:val="00923A54"/>
    <w:rsid w:val="00924596"/>
    <w:rsid w:val="0092577B"/>
    <w:rsid w:val="00926831"/>
    <w:rsid w:val="00927B25"/>
    <w:rsid w:val="0093010D"/>
    <w:rsid w:val="00931126"/>
    <w:rsid w:val="009311B2"/>
    <w:rsid w:val="00931BBB"/>
    <w:rsid w:val="009336D5"/>
    <w:rsid w:val="009358E2"/>
    <w:rsid w:val="00936043"/>
    <w:rsid w:val="00936940"/>
    <w:rsid w:val="00936F8B"/>
    <w:rsid w:val="00937163"/>
    <w:rsid w:val="00940CBF"/>
    <w:rsid w:val="00940D5F"/>
    <w:rsid w:val="00940E75"/>
    <w:rsid w:val="00942BA3"/>
    <w:rsid w:val="00942FF5"/>
    <w:rsid w:val="00943B39"/>
    <w:rsid w:val="00943F58"/>
    <w:rsid w:val="0094443B"/>
    <w:rsid w:val="0094469F"/>
    <w:rsid w:val="0094561E"/>
    <w:rsid w:val="00946FE4"/>
    <w:rsid w:val="00947226"/>
    <w:rsid w:val="00947848"/>
    <w:rsid w:val="0094784E"/>
    <w:rsid w:val="009478B6"/>
    <w:rsid w:val="0094793B"/>
    <w:rsid w:val="00950795"/>
    <w:rsid w:val="00950A4D"/>
    <w:rsid w:val="009513DE"/>
    <w:rsid w:val="009522E0"/>
    <w:rsid w:val="009531D4"/>
    <w:rsid w:val="0095367A"/>
    <w:rsid w:val="00953D09"/>
    <w:rsid w:val="00954401"/>
    <w:rsid w:val="0095527C"/>
    <w:rsid w:val="00955FF7"/>
    <w:rsid w:val="00956336"/>
    <w:rsid w:val="00956DBA"/>
    <w:rsid w:val="00956DCC"/>
    <w:rsid w:val="0095717E"/>
    <w:rsid w:val="009571BE"/>
    <w:rsid w:val="00957D2A"/>
    <w:rsid w:val="0096197F"/>
    <w:rsid w:val="00964057"/>
    <w:rsid w:val="00964882"/>
    <w:rsid w:val="00964999"/>
    <w:rsid w:val="00964BFB"/>
    <w:rsid w:val="00965593"/>
    <w:rsid w:val="00967161"/>
    <w:rsid w:val="009678EF"/>
    <w:rsid w:val="00967A3B"/>
    <w:rsid w:val="009713A0"/>
    <w:rsid w:val="00972361"/>
    <w:rsid w:val="00972737"/>
    <w:rsid w:val="00972764"/>
    <w:rsid w:val="009727B4"/>
    <w:rsid w:val="00972D10"/>
    <w:rsid w:val="0097599B"/>
    <w:rsid w:val="009763A1"/>
    <w:rsid w:val="00976894"/>
    <w:rsid w:val="0098095B"/>
    <w:rsid w:val="00981293"/>
    <w:rsid w:val="009812B2"/>
    <w:rsid w:val="009816BB"/>
    <w:rsid w:val="0098332A"/>
    <w:rsid w:val="00983476"/>
    <w:rsid w:val="00984168"/>
    <w:rsid w:val="009841D2"/>
    <w:rsid w:val="009845A0"/>
    <w:rsid w:val="0098472D"/>
    <w:rsid w:val="0098473F"/>
    <w:rsid w:val="00984E29"/>
    <w:rsid w:val="0098548A"/>
    <w:rsid w:val="009857A5"/>
    <w:rsid w:val="00985B61"/>
    <w:rsid w:val="009864D2"/>
    <w:rsid w:val="00986EC3"/>
    <w:rsid w:val="009874CD"/>
    <w:rsid w:val="0098760F"/>
    <w:rsid w:val="00987946"/>
    <w:rsid w:val="00990D37"/>
    <w:rsid w:val="009914DB"/>
    <w:rsid w:val="00993DD3"/>
    <w:rsid w:val="00995C8F"/>
    <w:rsid w:val="0099765D"/>
    <w:rsid w:val="00997DBB"/>
    <w:rsid w:val="009A0419"/>
    <w:rsid w:val="009A21F7"/>
    <w:rsid w:val="009A24A1"/>
    <w:rsid w:val="009A6828"/>
    <w:rsid w:val="009A682E"/>
    <w:rsid w:val="009A77FB"/>
    <w:rsid w:val="009B005A"/>
    <w:rsid w:val="009B115E"/>
    <w:rsid w:val="009B29E3"/>
    <w:rsid w:val="009B46E3"/>
    <w:rsid w:val="009B53DD"/>
    <w:rsid w:val="009B54E6"/>
    <w:rsid w:val="009B57BD"/>
    <w:rsid w:val="009B5AC0"/>
    <w:rsid w:val="009B6A7A"/>
    <w:rsid w:val="009C0579"/>
    <w:rsid w:val="009C0DC1"/>
    <w:rsid w:val="009C2700"/>
    <w:rsid w:val="009C2F1C"/>
    <w:rsid w:val="009C390B"/>
    <w:rsid w:val="009C409D"/>
    <w:rsid w:val="009C42F0"/>
    <w:rsid w:val="009C54A4"/>
    <w:rsid w:val="009C5D2B"/>
    <w:rsid w:val="009C608D"/>
    <w:rsid w:val="009D0589"/>
    <w:rsid w:val="009D0A6C"/>
    <w:rsid w:val="009D0E76"/>
    <w:rsid w:val="009D0EB0"/>
    <w:rsid w:val="009D0F98"/>
    <w:rsid w:val="009D38D1"/>
    <w:rsid w:val="009D3F99"/>
    <w:rsid w:val="009E1407"/>
    <w:rsid w:val="009E20DB"/>
    <w:rsid w:val="009E280D"/>
    <w:rsid w:val="009E28DC"/>
    <w:rsid w:val="009E2C44"/>
    <w:rsid w:val="009E31DA"/>
    <w:rsid w:val="009E3CF4"/>
    <w:rsid w:val="009E3F4F"/>
    <w:rsid w:val="009E4354"/>
    <w:rsid w:val="009E4449"/>
    <w:rsid w:val="009E77CE"/>
    <w:rsid w:val="009F1AC6"/>
    <w:rsid w:val="009F39D9"/>
    <w:rsid w:val="009F3D52"/>
    <w:rsid w:val="009F46DE"/>
    <w:rsid w:val="009F58D6"/>
    <w:rsid w:val="009F5CFC"/>
    <w:rsid w:val="009F7053"/>
    <w:rsid w:val="00A00218"/>
    <w:rsid w:val="00A00586"/>
    <w:rsid w:val="00A00B02"/>
    <w:rsid w:val="00A01041"/>
    <w:rsid w:val="00A013E6"/>
    <w:rsid w:val="00A0204F"/>
    <w:rsid w:val="00A02DC3"/>
    <w:rsid w:val="00A03AF9"/>
    <w:rsid w:val="00A057B3"/>
    <w:rsid w:val="00A05978"/>
    <w:rsid w:val="00A059CF"/>
    <w:rsid w:val="00A064C0"/>
    <w:rsid w:val="00A067C0"/>
    <w:rsid w:val="00A07166"/>
    <w:rsid w:val="00A0759E"/>
    <w:rsid w:val="00A1079F"/>
    <w:rsid w:val="00A10A26"/>
    <w:rsid w:val="00A10D4C"/>
    <w:rsid w:val="00A12588"/>
    <w:rsid w:val="00A12E63"/>
    <w:rsid w:val="00A14067"/>
    <w:rsid w:val="00A14161"/>
    <w:rsid w:val="00A161A9"/>
    <w:rsid w:val="00A17C0C"/>
    <w:rsid w:val="00A20C87"/>
    <w:rsid w:val="00A214E6"/>
    <w:rsid w:val="00A21F26"/>
    <w:rsid w:val="00A236AA"/>
    <w:rsid w:val="00A239C4"/>
    <w:rsid w:val="00A24AE5"/>
    <w:rsid w:val="00A26987"/>
    <w:rsid w:val="00A27041"/>
    <w:rsid w:val="00A27544"/>
    <w:rsid w:val="00A27AD2"/>
    <w:rsid w:val="00A27FC5"/>
    <w:rsid w:val="00A31D81"/>
    <w:rsid w:val="00A31E31"/>
    <w:rsid w:val="00A31FBE"/>
    <w:rsid w:val="00A32FE4"/>
    <w:rsid w:val="00A33EF4"/>
    <w:rsid w:val="00A34367"/>
    <w:rsid w:val="00A355B3"/>
    <w:rsid w:val="00A3571C"/>
    <w:rsid w:val="00A37284"/>
    <w:rsid w:val="00A40975"/>
    <w:rsid w:val="00A40B09"/>
    <w:rsid w:val="00A40E53"/>
    <w:rsid w:val="00A41FD2"/>
    <w:rsid w:val="00A443E0"/>
    <w:rsid w:val="00A47F7A"/>
    <w:rsid w:val="00A51D94"/>
    <w:rsid w:val="00A51E2E"/>
    <w:rsid w:val="00A53C1E"/>
    <w:rsid w:val="00A53CEA"/>
    <w:rsid w:val="00A549E2"/>
    <w:rsid w:val="00A54A28"/>
    <w:rsid w:val="00A57970"/>
    <w:rsid w:val="00A57A63"/>
    <w:rsid w:val="00A6216F"/>
    <w:rsid w:val="00A62D74"/>
    <w:rsid w:val="00A6490E"/>
    <w:rsid w:val="00A64CF3"/>
    <w:rsid w:val="00A64CFB"/>
    <w:rsid w:val="00A660F9"/>
    <w:rsid w:val="00A7044F"/>
    <w:rsid w:val="00A7108D"/>
    <w:rsid w:val="00A710DF"/>
    <w:rsid w:val="00A71467"/>
    <w:rsid w:val="00A71821"/>
    <w:rsid w:val="00A71C6A"/>
    <w:rsid w:val="00A74B5E"/>
    <w:rsid w:val="00A752BC"/>
    <w:rsid w:val="00A75A0E"/>
    <w:rsid w:val="00A75AAB"/>
    <w:rsid w:val="00A76D8F"/>
    <w:rsid w:val="00A77068"/>
    <w:rsid w:val="00A77434"/>
    <w:rsid w:val="00A777D8"/>
    <w:rsid w:val="00A77C2A"/>
    <w:rsid w:val="00A802F6"/>
    <w:rsid w:val="00A80521"/>
    <w:rsid w:val="00A8150A"/>
    <w:rsid w:val="00A83315"/>
    <w:rsid w:val="00A83523"/>
    <w:rsid w:val="00A8366F"/>
    <w:rsid w:val="00A83DC5"/>
    <w:rsid w:val="00A83DE4"/>
    <w:rsid w:val="00A83FD8"/>
    <w:rsid w:val="00A8455C"/>
    <w:rsid w:val="00A84C2F"/>
    <w:rsid w:val="00A86BC1"/>
    <w:rsid w:val="00A909F4"/>
    <w:rsid w:val="00A90FFC"/>
    <w:rsid w:val="00A91A12"/>
    <w:rsid w:val="00A92362"/>
    <w:rsid w:val="00A92D0F"/>
    <w:rsid w:val="00A92DDF"/>
    <w:rsid w:val="00A93CEE"/>
    <w:rsid w:val="00A9490F"/>
    <w:rsid w:val="00A95DBF"/>
    <w:rsid w:val="00A97ECB"/>
    <w:rsid w:val="00AA0676"/>
    <w:rsid w:val="00AA273F"/>
    <w:rsid w:val="00AA5798"/>
    <w:rsid w:val="00AA6A61"/>
    <w:rsid w:val="00AA74C2"/>
    <w:rsid w:val="00AA77E6"/>
    <w:rsid w:val="00AA7D1C"/>
    <w:rsid w:val="00AB069B"/>
    <w:rsid w:val="00AB1247"/>
    <w:rsid w:val="00AB134A"/>
    <w:rsid w:val="00AB22FD"/>
    <w:rsid w:val="00AB249C"/>
    <w:rsid w:val="00AB2E17"/>
    <w:rsid w:val="00AB3141"/>
    <w:rsid w:val="00AB3F3C"/>
    <w:rsid w:val="00AB4DA8"/>
    <w:rsid w:val="00AB4FA9"/>
    <w:rsid w:val="00AB53F6"/>
    <w:rsid w:val="00AB5EF7"/>
    <w:rsid w:val="00AB609D"/>
    <w:rsid w:val="00AB66B8"/>
    <w:rsid w:val="00AB6EDE"/>
    <w:rsid w:val="00AB74F6"/>
    <w:rsid w:val="00AB7C45"/>
    <w:rsid w:val="00AC09B6"/>
    <w:rsid w:val="00AC12CA"/>
    <w:rsid w:val="00AC2268"/>
    <w:rsid w:val="00AC3363"/>
    <w:rsid w:val="00AC3B84"/>
    <w:rsid w:val="00AC3E69"/>
    <w:rsid w:val="00AC487F"/>
    <w:rsid w:val="00AC6253"/>
    <w:rsid w:val="00AC719F"/>
    <w:rsid w:val="00AD0E44"/>
    <w:rsid w:val="00AD4728"/>
    <w:rsid w:val="00AD4B19"/>
    <w:rsid w:val="00AD4C93"/>
    <w:rsid w:val="00AD5508"/>
    <w:rsid w:val="00AD746E"/>
    <w:rsid w:val="00AD75D8"/>
    <w:rsid w:val="00AD7CAC"/>
    <w:rsid w:val="00AD7DE4"/>
    <w:rsid w:val="00AE1A84"/>
    <w:rsid w:val="00AE2B32"/>
    <w:rsid w:val="00AE3D01"/>
    <w:rsid w:val="00AE4747"/>
    <w:rsid w:val="00AE4FC4"/>
    <w:rsid w:val="00AE5260"/>
    <w:rsid w:val="00AE5CF7"/>
    <w:rsid w:val="00AE5EAC"/>
    <w:rsid w:val="00AE67B6"/>
    <w:rsid w:val="00AE6861"/>
    <w:rsid w:val="00AE6902"/>
    <w:rsid w:val="00AE71CF"/>
    <w:rsid w:val="00AF0289"/>
    <w:rsid w:val="00AF08A4"/>
    <w:rsid w:val="00AF0D29"/>
    <w:rsid w:val="00AF17DC"/>
    <w:rsid w:val="00AF2F12"/>
    <w:rsid w:val="00AF3442"/>
    <w:rsid w:val="00AF3762"/>
    <w:rsid w:val="00AF49A0"/>
    <w:rsid w:val="00AF5D13"/>
    <w:rsid w:val="00AF6DD3"/>
    <w:rsid w:val="00AF7736"/>
    <w:rsid w:val="00AF782A"/>
    <w:rsid w:val="00AF7CFA"/>
    <w:rsid w:val="00B0104C"/>
    <w:rsid w:val="00B01A0B"/>
    <w:rsid w:val="00B01CD0"/>
    <w:rsid w:val="00B031A6"/>
    <w:rsid w:val="00B03B08"/>
    <w:rsid w:val="00B04B21"/>
    <w:rsid w:val="00B04DB9"/>
    <w:rsid w:val="00B05EB7"/>
    <w:rsid w:val="00B06086"/>
    <w:rsid w:val="00B0641E"/>
    <w:rsid w:val="00B07759"/>
    <w:rsid w:val="00B10AB8"/>
    <w:rsid w:val="00B128CB"/>
    <w:rsid w:val="00B12FB2"/>
    <w:rsid w:val="00B14A65"/>
    <w:rsid w:val="00B161CE"/>
    <w:rsid w:val="00B17226"/>
    <w:rsid w:val="00B1739F"/>
    <w:rsid w:val="00B2037B"/>
    <w:rsid w:val="00B20435"/>
    <w:rsid w:val="00B20689"/>
    <w:rsid w:val="00B216AE"/>
    <w:rsid w:val="00B2193F"/>
    <w:rsid w:val="00B22D70"/>
    <w:rsid w:val="00B253DD"/>
    <w:rsid w:val="00B258D8"/>
    <w:rsid w:val="00B25DE3"/>
    <w:rsid w:val="00B26048"/>
    <w:rsid w:val="00B27C5E"/>
    <w:rsid w:val="00B306D8"/>
    <w:rsid w:val="00B30F59"/>
    <w:rsid w:val="00B32120"/>
    <w:rsid w:val="00B3233C"/>
    <w:rsid w:val="00B34169"/>
    <w:rsid w:val="00B3442D"/>
    <w:rsid w:val="00B34D4C"/>
    <w:rsid w:val="00B34FC1"/>
    <w:rsid w:val="00B361FF"/>
    <w:rsid w:val="00B40AC5"/>
    <w:rsid w:val="00B40DB4"/>
    <w:rsid w:val="00B41E4A"/>
    <w:rsid w:val="00B41F6B"/>
    <w:rsid w:val="00B42C68"/>
    <w:rsid w:val="00B43529"/>
    <w:rsid w:val="00B45726"/>
    <w:rsid w:val="00B45828"/>
    <w:rsid w:val="00B46FEF"/>
    <w:rsid w:val="00B470E5"/>
    <w:rsid w:val="00B4722B"/>
    <w:rsid w:val="00B47646"/>
    <w:rsid w:val="00B47B86"/>
    <w:rsid w:val="00B50BCD"/>
    <w:rsid w:val="00B50E10"/>
    <w:rsid w:val="00B50E37"/>
    <w:rsid w:val="00B516BC"/>
    <w:rsid w:val="00B517BC"/>
    <w:rsid w:val="00B51807"/>
    <w:rsid w:val="00B51936"/>
    <w:rsid w:val="00B51D11"/>
    <w:rsid w:val="00B52066"/>
    <w:rsid w:val="00B52304"/>
    <w:rsid w:val="00B52358"/>
    <w:rsid w:val="00B53724"/>
    <w:rsid w:val="00B538C4"/>
    <w:rsid w:val="00B5565F"/>
    <w:rsid w:val="00B568D1"/>
    <w:rsid w:val="00B56F9E"/>
    <w:rsid w:val="00B57049"/>
    <w:rsid w:val="00B57DBB"/>
    <w:rsid w:val="00B6040F"/>
    <w:rsid w:val="00B60D18"/>
    <w:rsid w:val="00B60E79"/>
    <w:rsid w:val="00B6264C"/>
    <w:rsid w:val="00B63793"/>
    <w:rsid w:val="00B63C7B"/>
    <w:rsid w:val="00B65B8E"/>
    <w:rsid w:val="00B70939"/>
    <w:rsid w:val="00B70AB4"/>
    <w:rsid w:val="00B718FB"/>
    <w:rsid w:val="00B729FB"/>
    <w:rsid w:val="00B74242"/>
    <w:rsid w:val="00B752A8"/>
    <w:rsid w:val="00B754DD"/>
    <w:rsid w:val="00B756FD"/>
    <w:rsid w:val="00B759AD"/>
    <w:rsid w:val="00B76B0D"/>
    <w:rsid w:val="00B76EAC"/>
    <w:rsid w:val="00B77DCB"/>
    <w:rsid w:val="00B80B5A"/>
    <w:rsid w:val="00B82CF7"/>
    <w:rsid w:val="00B82E6C"/>
    <w:rsid w:val="00B8318E"/>
    <w:rsid w:val="00B83298"/>
    <w:rsid w:val="00B83E5B"/>
    <w:rsid w:val="00B840FF"/>
    <w:rsid w:val="00B84A8B"/>
    <w:rsid w:val="00B84AD5"/>
    <w:rsid w:val="00B84BA7"/>
    <w:rsid w:val="00B850F5"/>
    <w:rsid w:val="00B8570F"/>
    <w:rsid w:val="00B86E23"/>
    <w:rsid w:val="00B86F2F"/>
    <w:rsid w:val="00B87737"/>
    <w:rsid w:val="00B87855"/>
    <w:rsid w:val="00B8792A"/>
    <w:rsid w:val="00B87E24"/>
    <w:rsid w:val="00B916D6"/>
    <w:rsid w:val="00B91C97"/>
    <w:rsid w:val="00B923D8"/>
    <w:rsid w:val="00B924CB"/>
    <w:rsid w:val="00B92C19"/>
    <w:rsid w:val="00B94166"/>
    <w:rsid w:val="00B958DA"/>
    <w:rsid w:val="00B95D05"/>
    <w:rsid w:val="00B9606C"/>
    <w:rsid w:val="00B96D11"/>
    <w:rsid w:val="00B97AB6"/>
    <w:rsid w:val="00B97DF1"/>
    <w:rsid w:val="00B97E9D"/>
    <w:rsid w:val="00BA1742"/>
    <w:rsid w:val="00BA29E5"/>
    <w:rsid w:val="00BA2D2D"/>
    <w:rsid w:val="00BA35A1"/>
    <w:rsid w:val="00BA40DC"/>
    <w:rsid w:val="00BA4A15"/>
    <w:rsid w:val="00BA6A1E"/>
    <w:rsid w:val="00BA779B"/>
    <w:rsid w:val="00BB12EC"/>
    <w:rsid w:val="00BB14E3"/>
    <w:rsid w:val="00BB156E"/>
    <w:rsid w:val="00BB167E"/>
    <w:rsid w:val="00BB184C"/>
    <w:rsid w:val="00BB20AB"/>
    <w:rsid w:val="00BB4C07"/>
    <w:rsid w:val="00BB6955"/>
    <w:rsid w:val="00BC31D7"/>
    <w:rsid w:val="00BC475D"/>
    <w:rsid w:val="00BC5B66"/>
    <w:rsid w:val="00BC6182"/>
    <w:rsid w:val="00BC7BDB"/>
    <w:rsid w:val="00BD0888"/>
    <w:rsid w:val="00BD0E92"/>
    <w:rsid w:val="00BD16CC"/>
    <w:rsid w:val="00BD2382"/>
    <w:rsid w:val="00BD389F"/>
    <w:rsid w:val="00BD38A7"/>
    <w:rsid w:val="00BD3F81"/>
    <w:rsid w:val="00BD4251"/>
    <w:rsid w:val="00BD4CB1"/>
    <w:rsid w:val="00BD4D58"/>
    <w:rsid w:val="00BD4F10"/>
    <w:rsid w:val="00BD5130"/>
    <w:rsid w:val="00BD5685"/>
    <w:rsid w:val="00BD56F4"/>
    <w:rsid w:val="00BD58EC"/>
    <w:rsid w:val="00BD6AE4"/>
    <w:rsid w:val="00BD6C5E"/>
    <w:rsid w:val="00BD7122"/>
    <w:rsid w:val="00BD7527"/>
    <w:rsid w:val="00BD79C4"/>
    <w:rsid w:val="00BE0628"/>
    <w:rsid w:val="00BE11E1"/>
    <w:rsid w:val="00BE1564"/>
    <w:rsid w:val="00BE17E4"/>
    <w:rsid w:val="00BE1F3A"/>
    <w:rsid w:val="00BE1F7A"/>
    <w:rsid w:val="00BE40A3"/>
    <w:rsid w:val="00BE5002"/>
    <w:rsid w:val="00BE52C6"/>
    <w:rsid w:val="00BE6138"/>
    <w:rsid w:val="00BE6BE1"/>
    <w:rsid w:val="00BF1014"/>
    <w:rsid w:val="00BF1EA6"/>
    <w:rsid w:val="00BF1F32"/>
    <w:rsid w:val="00BF1F3E"/>
    <w:rsid w:val="00BF3487"/>
    <w:rsid w:val="00BF3C2B"/>
    <w:rsid w:val="00BF4EBD"/>
    <w:rsid w:val="00BF4F39"/>
    <w:rsid w:val="00BF5005"/>
    <w:rsid w:val="00BF6789"/>
    <w:rsid w:val="00BF71A8"/>
    <w:rsid w:val="00BF7CA8"/>
    <w:rsid w:val="00C000E6"/>
    <w:rsid w:val="00C007BC"/>
    <w:rsid w:val="00C018FE"/>
    <w:rsid w:val="00C02ECF"/>
    <w:rsid w:val="00C04D6B"/>
    <w:rsid w:val="00C04F57"/>
    <w:rsid w:val="00C06252"/>
    <w:rsid w:val="00C062CA"/>
    <w:rsid w:val="00C10A53"/>
    <w:rsid w:val="00C114E1"/>
    <w:rsid w:val="00C11B1A"/>
    <w:rsid w:val="00C12447"/>
    <w:rsid w:val="00C136A3"/>
    <w:rsid w:val="00C137B7"/>
    <w:rsid w:val="00C142D3"/>
    <w:rsid w:val="00C15196"/>
    <w:rsid w:val="00C1558A"/>
    <w:rsid w:val="00C15A17"/>
    <w:rsid w:val="00C16717"/>
    <w:rsid w:val="00C16E65"/>
    <w:rsid w:val="00C175E8"/>
    <w:rsid w:val="00C22324"/>
    <w:rsid w:val="00C23328"/>
    <w:rsid w:val="00C234AD"/>
    <w:rsid w:val="00C24458"/>
    <w:rsid w:val="00C2451E"/>
    <w:rsid w:val="00C24695"/>
    <w:rsid w:val="00C25167"/>
    <w:rsid w:val="00C26986"/>
    <w:rsid w:val="00C26BD7"/>
    <w:rsid w:val="00C273D4"/>
    <w:rsid w:val="00C27890"/>
    <w:rsid w:val="00C30FF5"/>
    <w:rsid w:val="00C33549"/>
    <w:rsid w:val="00C338AF"/>
    <w:rsid w:val="00C33ADF"/>
    <w:rsid w:val="00C36E71"/>
    <w:rsid w:val="00C36F9D"/>
    <w:rsid w:val="00C409F2"/>
    <w:rsid w:val="00C40EFF"/>
    <w:rsid w:val="00C426BD"/>
    <w:rsid w:val="00C427EF"/>
    <w:rsid w:val="00C4498C"/>
    <w:rsid w:val="00C455DC"/>
    <w:rsid w:val="00C46569"/>
    <w:rsid w:val="00C465CD"/>
    <w:rsid w:val="00C46AD6"/>
    <w:rsid w:val="00C473A5"/>
    <w:rsid w:val="00C47EFF"/>
    <w:rsid w:val="00C50F27"/>
    <w:rsid w:val="00C52432"/>
    <w:rsid w:val="00C53861"/>
    <w:rsid w:val="00C53AA6"/>
    <w:rsid w:val="00C53DCB"/>
    <w:rsid w:val="00C55458"/>
    <w:rsid w:val="00C55A31"/>
    <w:rsid w:val="00C55FDC"/>
    <w:rsid w:val="00C561A1"/>
    <w:rsid w:val="00C57185"/>
    <w:rsid w:val="00C575DC"/>
    <w:rsid w:val="00C60031"/>
    <w:rsid w:val="00C60374"/>
    <w:rsid w:val="00C60A20"/>
    <w:rsid w:val="00C61B39"/>
    <w:rsid w:val="00C650E2"/>
    <w:rsid w:val="00C656FD"/>
    <w:rsid w:val="00C65F10"/>
    <w:rsid w:val="00C66CD5"/>
    <w:rsid w:val="00C7157A"/>
    <w:rsid w:val="00C738A5"/>
    <w:rsid w:val="00C740CD"/>
    <w:rsid w:val="00C74CE6"/>
    <w:rsid w:val="00C750F1"/>
    <w:rsid w:val="00C75439"/>
    <w:rsid w:val="00C75CB4"/>
    <w:rsid w:val="00C75D0D"/>
    <w:rsid w:val="00C76152"/>
    <w:rsid w:val="00C77695"/>
    <w:rsid w:val="00C776FC"/>
    <w:rsid w:val="00C77D07"/>
    <w:rsid w:val="00C8014F"/>
    <w:rsid w:val="00C8145F"/>
    <w:rsid w:val="00C8182A"/>
    <w:rsid w:val="00C81ABC"/>
    <w:rsid w:val="00C8459E"/>
    <w:rsid w:val="00C85444"/>
    <w:rsid w:val="00C854C6"/>
    <w:rsid w:val="00C866E2"/>
    <w:rsid w:val="00C87499"/>
    <w:rsid w:val="00C87D83"/>
    <w:rsid w:val="00C913DA"/>
    <w:rsid w:val="00C91FE6"/>
    <w:rsid w:val="00C9312C"/>
    <w:rsid w:val="00C936C7"/>
    <w:rsid w:val="00C95151"/>
    <w:rsid w:val="00C97537"/>
    <w:rsid w:val="00C975F0"/>
    <w:rsid w:val="00C97B27"/>
    <w:rsid w:val="00C97FB4"/>
    <w:rsid w:val="00CA039A"/>
    <w:rsid w:val="00CA0A07"/>
    <w:rsid w:val="00CA1260"/>
    <w:rsid w:val="00CA2106"/>
    <w:rsid w:val="00CA4107"/>
    <w:rsid w:val="00CA4761"/>
    <w:rsid w:val="00CA54D2"/>
    <w:rsid w:val="00CA6029"/>
    <w:rsid w:val="00CB1CFE"/>
    <w:rsid w:val="00CB2000"/>
    <w:rsid w:val="00CB48A6"/>
    <w:rsid w:val="00CB621C"/>
    <w:rsid w:val="00CB6371"/>
    <w:rsid w:val="00CB684E"/>
    <w:rsid w:val="00CB74F5"/>
    <w:rsid w:val="00CC02F2"/>
    <w:rsid w:val="00CC10AF"/>
    <w:rsid w:val="00CC1569"/>
    <w:rsid w:val="00CC3289"/>
    <w:rsid w:val="00CC3746"/>
    <w:rsid w:val="00CC3C36"/>
    <w:rsid w:val="00CC4FF5"/>
    <w:rsid w:val="00CC5C32"/>
    <w:rsid w:val="00CC6621"/>
    <w:rsid w:val="00CC69FA"/>
    <w:rsid w:val="00CC6A46"/>
    <w:rsid w:val="00CC6B34"/>
    <w:rsid w:val="00CC7C07"/>
    <w:rsid w:val="00CD09B4"/>
    <w:rsid w:val="00CD0E2D"/>
    <w:rsid w:val="00CD14E9"/>
    <w:rsid w:val="00CD235A"/>
    <w:rsid w:val="00CD38C7"/>
    <w:rsid w:val="00CD4661"/>
    <w:rsid w:val="00CD5446"/>
    <w:rsid w:val="00CD6EE8"/>
    <w:rsid w:val="00CD737F"/>
    <w:rsid w:val="00CD7773"/>
    <w:rsid w:val="00CE211C"/>
    <w:rsid w:val="00CE2AE1"/>
    <w:rsid w:val="00CE363D"/>
    <w:rsid w:val="00CE3C51"/>
    <w:rsid w:val="00CE691B"/>
    <w:rsid w:val="00CE6C96"/>
    <w:rsid w:val="00CE78B9"/>
    <w:rsid w:val="00CE78DD"/>
    <w:rsid w:val="00CE78E4"/>
    <w:rsid w:val="00CE7E27"/>
    <w:rsid w:val="00CF0367"/>
    <w:rsid w:val="00CF0FFC"/>
    <w:rsid w:val="00CF1A27"/>
    <w:rsid w:val="00CF237E"/>
    <w:rsid w:val="00CF24BB"/>
    <w:rsid w:val="00CF48A1"/>
    <w:rsid w:val="00CF4CDC"/>
    <w:rsid w:val="00CF4D9F"/>
    <w:rsid w:val="00CF5CD9"/>
    <w:rsid w:val="00CF67F1"/>
    <w:rsid w:val="00CF73F2"/>
    <w:rsid w:val="00CF7486"/>
    <w:rsid w:val="00CF7772"/>
    <w:rsid w:val="00D00DAC"/>
    <w:rsid w:val="00D01E73"/>
    <w:rsid w:val="00D02EC1"/>
    <w:rsid w:val="00D0314D"/>
    <w:rsid w:val="00D03A85"/>
    <w:rsid w:val="00D04E4E"/>
    <w:rsid w:val="00D05D5C"/>
    <w:rsid w:val="00D05F0E"/>
    <w:rsid w:val="00D0693F"/>
    <w:rsid w:val="00D1028B"/>
    <w:rsid w:val="00D11074"/>
    <w:rsid w:val="00D12612"/>
    <w:rsid w:val="00D13DA8"/>
    <w:rsid w:val="00D13E49"/>
    <w:rsid w:val="00D14C32"/>
    <w:rsid w:val="00D164E8"/>
    <w:rsid w:val="00D17618"/>
    <w:rsid w:val="00D17F26"/>
    <w:rsid w:val="00D20931"/>
    <w:rsid w:val="00D2120A"/>
    <w:rsid w:val="00D21D38"/>
    <w:rsid w:val="00D24844"/>
    <w:rsid w:val="00D26006"/>
    <w:rsid w:val="00D2665C"/>
    <w:rsid w:val="00D30DE7"/>
    <w:rsid w:val="00D31A22"/>
    <w:rsid w:val="00D32320"/>
    <w:rsid w:val="00D32C1E"/>
    <w:rsid w:val="00D32CD6"/>
    <w:rsid w:val="00D355AF"/>
    <w:rsid w:val="00D367F7"/>
    <w:rsid w:val="00D37527"/>
    <w:rsid w:val="00D378B4"/>
    <w:rsid w:val="00D4185E"/>
    <w:rsid w:val="00D41BB6"/>
    <w:rsid w:val="00D4242F"/>
    <w:rsid w:val="00D424F4"/>
    <w:rsid w:val="00D42CA3"/>
    <w:rsid w:val="00D4316F"/>
    <w:rsid w:val="00D44563"/>
    <w:rsid w:val="00D461E1"/>
    <w:rsid w:val="00D5132E"/>
    <w:rsid w:val="00D532A0"/>
    <w:rsid w:val="00D5337D"/>
    <w:rsid w:val="00D53670"/>
    <w:rsid w:val="00D538D9"/>
    <w:rsid w:val="00D54455"/>
    <w:rsid w:val="00D55740"/>
    <w:rsid w:val="00D57DAA"/>
    <w:rsid w:val="00D57F85"/>
    <w:rsid w:val="00D613F7"/>
    <w:rsid w:val="00D6190A"/>
    <w:rsid w:val="00D61E00"/>
    <w:rsid w:val="00D61F1F"/>
    <w:rsid w:val="00D63500"/>
    <w:rsid w:val="00D63B31"/>
    <w:rsid w:val="00D640F5"/>
    <w:rsid w:val="00D6563F"/>
    <w:rsid w:val="00D661CF"/>
    <w:rsid w:val="00D66F5E"/>
    <w:rsid w:val="00D67254"/>
    <w:rsid w:val="00D6771B"/>
    <w:rsid w:val="00D67C13"/>
    <w:rsid w:val="00D67DC9"/>
    <w:rsid w:val="00D70137"/>
    <w:rsid w:val="00D70B9C"/>
    <w:rsid w:val="00D711AF"/>
    <w:rsid w:val="00D71664"/>
    <w:rsid w:val="00D7199F"/>
    <w:rsid w:val="00D71AF2"/>
    <w:rsid w:val="00D732FA"/>
    <w:rsid w:val="00D73671"/>
    <w:rsid w:val="00D74914"/>
    <w:rsid w:val="00D75633"/>
    <w:rsid w:val="00D75821"/>
    <w:rsid w:val="00D763A3"/>
    <w:rsid w:val="00D7651E"/>
    <w:rsid w:val="00D765FC"/>
    <w:rsid w:val="00D769A5"/>
    <w:rsid w:val="00D77DDB"/>
    <w:rsid w:val="00D80AC9"/>
    <w:rsid w:val="00D80CDC"/>
    <w:rsid w:val="00D821D1"/>
    <w:rsid w:val="00D8220D"/>
    <w:rsid w:val="00D8264B"/>
    <w:rsid w:val="00D827A7"/>
    <w:rsid w:val="00D82B53"/>
    <w:rsid w:val="00D83964"/>
    <w:rsid w:val="00D83D70"/>
    <w:rsid w:val="00D861CD"/>
    <w:rsid w:val="00D870B4"/>
    <w:rsid w:val="00D8763F"/>
    <w:rsid w:val="00D8767F"/>
    <w:rsid w:val="00D879E6"/>
    <w:rsid w:val="00D9028D"/>
    <w:rsid w:val="00D90DFF"/>
    <w:rsid w:val="00D90E2B"/>
    <w:rsid w:val="00D90E59"/>
    <w:rsid w:val="00D91990"/>
    <w:rsid w:val="00D91F21"/>
    <w:rsid w:val="00D92205"/>
    <w:rsid w:val="00D935CD"/>
    <w:rsid w:val="00D9377C"/>
    <w:rsid w:val="00D94273"/>
    <w:rsid w:val="00D944A0"/>
    <w:rsid w:val="00D946E9"/>
    <w:rsid w:val="00D9480A"/>
    <w:rsid w:val="00D95BB3"/>
    <w:rsid w:val="00D9680C"/>
    <w:rsid w:val="00D968A1"/>
    <w:rsid w:val="00D969B9"/>
    <w:rsid w:val="00D976DF"/>
    <w:rsid w:val="00DA1D6D"/>
    <w:rsid w:val="00DA3C2E"/>
    <w:rsid w:val="00DA3C81"/>
    <w:rsid w:val="00DA40A7"/>
    <w:rsid w:val="00DA47F3"/>
    <w:rsid w:val="00DA63B9"/>
    <w:rsid w:val="00DA7EB6"/>
    <w:rsid w:val="00DB1859"/>
    <w:rsid w:val="00DB2502"/>
    <w:rsid w:val="00DB3262"/>
    <w:rsid w:val="00DB442A"/>
    <w:rsid w:val="00DB45CC"/>
    <w:rsid w:val="00DB521C"/>
    <w:rsid w:val="00DB74BA"/>
    <w:rsid w:val="00DB7E05"/>
    <w:rsid w:val="00DB7E41"/>
    <w:rsid w:val="00DC01BD"/>
    <w:rsid w:val="00DC1BF6"/>
    <w:rsid w:val="00DC29ED"/>
    <w:rsid w:val="00DC3A4D"/>
    <w:rsid w:val="00DC4FA6"/>
    <w:rsid w:val="00DC500F"/>
    <w:rsid w:val="00DC76AE"/>
    <w:rsid w:val="00DD0B44"/>
    <w:rsid w:val="00DD1543"/>
    <w:rsid w:val="00DD230C"/>
    <w:rsid w:val="00DD2358"/>
    <w:rsid w:val="00DD3673"/>
    <w:rsid w:val="00DD48FD"/>
    <w:rsid w:val="00DD6663"/>
    <w:rsid w:val="00DD70E1"/>
    <w:rsid w:val="00DD7714"/>
    <w:rsid w:val="00DD7D1C"/>
    <w:rsid w:val="00DE0C34"/>
    <w:rsid w:val="00DE1006"/>
    <w:rsid w:val="00DE160D"/>
    <w:rsid w:val="00DE1B4B"/>
    <w:rsid w:val="00DE27A7"/>
    <w:rsid w:val="00DE2824"/>
    <w:rsid w:val="00DE2DF3"/>
    <w:rsid w:val="00DE2F53"/>
    <w:rsid w:val="00DE3A72"/>
    <w:rsid w:val="00DE3B31"/>
    <w:rsid w:val="00DE55B4"/>
    <w:rsid w:val="00DE6B22"/>
    <w:rsid w:val="00DE6EE9"/>
    <w:rsid w:val="00DE7014"/>
    <w:rsid w:val="00DE74C8"/>
    <w:rsid w:val="00DF02D8"/>
    <w:rsid w:val="00DF0541"/>
    <w:rsid w:val="00DF09BF"/>
    <w:rsid w:val="00DF291B"/>
    <w:rsid w:val="00DF3582"/>
    <w:rsid w:val="00DF736C"/>
    <w:rsid w:val="00DF7414"/>
    <w:rsid w:val="00E00B48"/>
    <w:rsid w:val="00E00C77"/>
    <w:rsid w:val="00E027DB"/>
    <w:rsid w:val="00E02DBA"/>
    <w:rsid w:val="00E030EE"/>
    <w:rsid w:val="00E03E8B"/>
    <w:rsid w:val="00E04FB3"/>
    <w:rsid w:val="00E05073"/>
    <w:rsid w:val="00E0723B"/>
    <w:rsid w:val="00E108C3"/>
    <w:rsid w:val="00E10B33"/>
    <w:rsid w:val="00E11C55"/>
    <w:rsid w:val="00E11F03"/>
    <w:rsid w:val="00E120B9"/>
    <w:rsid w:val="00E12705"/>
    <w:rsid w:val="00E12A19"/>
    <w:rsid w:val="00E1307E"/>
    <w:rsid w:val="00E133E9"/>
    <w:rsid w:val="00E13480"/>
    <w:rsid w:val="00E13758"/>
    <w:rsid w:val="00E13799"/>
    <w:rsid w:val="00E148F3"/>
    <w:rsid w:val="00E151DA"/>
    <w:rsid w:val="00E15382"/>
    <w:rsid w:val="00E16F7C"/>
    <w:rsid w:val="00E20944"/>
    <w:rsid w:val="00E21BC2"/>
    <w:rsid w:val="00E21E67"/>
    <w:rsid w:val="00E22239"/>
    <w:rsid w:val="00E223B0"/>
    <w:rsid w:val="00E224DE"/>
    <w:rsid w:val="00E238A2"/>
    <w:rsid w:val="00E23E12"/>
    <w:rsid w:val="00E24B7F"/>
    <w:rsid w:val="00E24E4A"/>
    <w:rsid w:val="00E25120"/>
    <w:rsid w:val="00E26A6B"/>
    <w:rsid w:val="00E27844"/>
    <w:rsid w:val="00E3243B"/>
    <w:rsid w:val="00E32E58"/>
    <w:rsid w:val="00E335D8"/>
    <w:rsid w:val="00E33707"/>
    <w:rsid w:val="00E33791"/>
    <w:rsid w:val="00E33837"/>
    <w:rsid w:val="00E338E0"/>
    <w:rsid w:val="00E33E35"/>
    <w:rsid w:val="00E34005"/>
    <w:rsid w:val="00E347FA"/>
    <w:rsid w:val="00E350D7"/>
    <w:rsid w:val="00E3512D"/>
    <w:rsid w:val="00E35B31"/>
    <w:rsid w:val="00E36C7B"/>
    <w:rsid w:val="00E36C84"/>
    <w:rsid w:val="00E413AB"/>
    <w:rsid w:val="00E4170E"/>
    <w:rsid w:val="00E41A9E"/>
    <w:rsid w:val="00E43274"/>
    <w:rsid w:val="00E4665E"/>
    <w:rsid w:val="00E46893"/>
    <w:rsid w:val="00E50AC1"/>
    <w:rsid w:val="00E516F4"/>
    <w:rsid w:val="00E52985"/>
    <w:rsid w:val="00E53F38"/>
    <w:rsid w:val="00E544D8"/>
    <w:rsid w:val="00E548E0"/>
    <w:rsid w:val="00E5508D"/>
    <w:rsid w:val="00E57028"/>
    <w:rsid w:val="00E60C82"/>
    <w:rsid w:val="00E61190"/>
    <w:rsid w:val="00E63282"/>
    <w:rsid w:val="00E63DBE"/>
    <w:rsid w:val="00E63FE9"/>
    <w:rsid w:val="00E64E71"/>
    <w:rsid w:val="00E65017"/>
    <w:rsid w:val="00E66EDF"/>
    <w:rsid w:val="00E6738C"/>
    <w:rsid w:val="00E673C4"/>
    <w:rsid w:val="00E678D3"/>
    <w:rsid w:val="00E70263"/>
    <w:rsid w:val="00E70644"/>
    <w:rsid w:val="00E7159D"/>
    <w:rsid w:val="00E72036"/>
    <w:rsid w:val="00E73E35"/>
    <w:rsid w:val="00E740D3"/>
    <w:rsid w:val="00E766BD"/>
    <w:rsid w:val="00E7776F"/>
    <w:rsid w:val="00E80553"/>
    <w:rsid w:val="00E807BA"/>
    <w:rsid w:val="00E80F7E"/>
    <w:rsid w:val="00E8164C"/>
    <w:rsid w:val="00E824B5"/>
    <w:rsid w:val="00E82B5F"/>
    <w:rsid w:val="00E82D3E"/>
    <w:rsid w:val="00E83210"/>
    <w:rsid w:val="00E83931"/>
    <w:rsid w:val="00E854D1"/>
    <w:rsid w:val="00E86C37"/>
    <w:rsid w:val="00E90D94"/>
    <w:rsid w:val="00E91219"/>
    <w:rsid w:val="00E91F69"/>
    <w:rsid w:val="00E92D69"/>
    <w:rsid w:val="00E92E2B"/>
    <w:rsid w:val="00E93B4E"/>
    <w:rsid w:val="00E945AD"/>
    <w:rsid w:val="00E95194"/>
    <w:rsid w:val="00E95A14"/>
    <w:rsid w:val="00E96F65"/>
    <w:rsid w:val="00E97C94"/>
    <w:rsid w:val="00EA099C"/>
    <w:rsid w:val="00EA10DE"/>
    <w:rsid w:val="00EA1FDA"/>
    <w:rsid w:val="00EA29E0"/>
    <w:rsid w:val="00EA3034"/>
    <w:rsid w:val="00EA49B8"/>
    <w:rsid w:val="00EA52D5"/>
    <w:rsid w:val="00EA5BBB"/>
    <w:rsid w:val="00EA5EC8"/>
    <w:rsid w:val="00EA6A83"/>
    <w:rsid w:val="00EB10A7"/>
    <w:rsid w:val="00EB2328"/>
    <w:rsid w:val="00EB2DE1"/>
    <w:rsid w:val="00EB33CE"/>
    <w:rsid w:val="00EB37FC"/>
    <w:rsid w:val="00EB4439"/>
    <w:rsid w:val="00EB48A2"/>
    <w:rsid w:val="00EB6634"/>
    <w:rsid w:val="00EB6DE7"/>
    <w:rsid w:val="00EB71F5"/>
    <w:rsid w:val="00EC0AE0"/>
    <w:rsid w:val="00EC0BB7"/>
    <w:rsid w:val="00EC3F00"/>
    <w:rsid w:val="00EC43AA"/>
    <w:rsid w:val="00EC6890"/>
    <w:rsid w:val="00EC72A4"/>
    <w:rsid w:val="00ED1D25"/>
    <w:rsid w:val="00ED694A"/>
    <w:rsid w:val="00ED6C13"/>
    <w:rsid w:val="00ED76D9"/>
    <w:rsid w:val="00ED7949"/>
    <w:rsid w:val="00EE0225"/>
    <w:rsid w:val="00EE0DDA"/>
    <w:rsid w:val="00EE2A51"/>
    <w:rsid w:val="00EE2F4D"/>
    <w:rsid w:val="00EE3F53"/>
    <w:rsid w:val="00EE4722"/>
    <w:rsid w:val="00EE4AD4"/>
    <w:rsid w:val="00EE5409"/>
    <w:rsid w:val="00EE5CAF"/>
    <w:rsid w:val="00EF4BA3"/>
    <w:rsid w:val="00EF590D"/>
    <w:rsid w:val="00EF6324"/>
    <w:rsid w:val="00EF71FF"/>
    <w:rsid w:val="00EF7CA9"/>
    <w:rsid w:val="00F00607"/>
    <w:rsid w:val="00F01F8C"/>
    <w:rsid w:val="00F02295"/>
    <w:rsid w:val="00F02850"/>
    <w:rsid w:val="00F02D08"/>
    <w:rsid w:val="00F046BE"/>
    <w:rsid w:val="00F060A4"/>
    <w:rsid w:val="00F060F2"/>
    <w:rsid w:val="00F06124"/>
    <w:rsid w:val="00F071F3"/>
    <w:rsid w:val="00F07523"/>
    <w:rsid w:val="00F07A75"/>
    <w:rsid w:val="00F10710"/>
    <w:rsid w:val="00F127F3"/>
    <w:rsid w:val="00F12BF7"/>
    <w:rsid w:val="00F12CBF"/>
    <w:rsid w:val="00F1326E"/>
    <w:rsid w:val="00F13626"/>
    <w:rsid w:val="00F155B4"/>
    <w:rsid w:val="00F15D39"/>
    <w:rsid w:val="00F16B10"/>
    <w:rsid w:val="00F2227B"/>
    <w:rsid w:val="00F22598"/>
    <w:rsid w:val="00F231AB"/>
    <w:rsid w:val="00F24BB1"/>
    <w:rsid w:val="00F27476"/>
    <w:rsid w:val="00F27C51"/>
    <w:rsid w:val="00F304EE"/>
    <w:rsid w:val="00F31887"/>
    <w:rsid w:val="00F31E20"/>
    <w:rsid w:val="00F331FA"/>
    <w:rsid w:val="00F341AE"/>
    <w:rsid w:val="00F34AA1"/>
    <w:rsid w:val="00F35671"/>
    <w:rsid w:val="00F35A86"/>
    <w:rsid w:val="00F35B7D"/>
    <w:rsid w:val="00F36FAB"/>
    <w:rsid w:val="00F370F1"/>
    <w:rsid w:val="00F3737E"/>
    <w:rsid w:val="00F37F90"/>
    <w:rsid w:val="00F400C4"/>
    <w:rsid w:val="00F40538"/>
    <w:rsid w:val="00F405D8"/>
    <w:rsid w:val="00F416BD"/>
    <w:rsid w:val="00F41CA3"/>
    <w:rsid w:val="00F41E90"/>
    <w:rsid w:val="00F43005"/>
    <w:rsid w:val="00F456C4"/>
    <w:rsid w:val="00F46B42"/>
    <w:rsid w:val="00F4710F"/>
    <w:rsid w:val="00F47F02"/>
    <w:rsid w:val="00F51932"/>
    <w:rsid w:val="00F52EF0"/>
    <w:rsid w:val="00F53A81"/>
    <w:rsid w:val="00F54426"/>
    <w:rsid w:val="00F54732"/>
    <w:rsid w:val="00F5644B"/>
    <w:rsid w:val="00F56D63"/>
    <w:rsid w:val="00F57D8D"/>
    <w:rsid w:val="00F60E88"/>
    <w:rsid w:val="00F60EA0"/>
    <w:rsid w:val="00F62568"/>
    <w:rsid w:val="00F63946"/>
    <w:rsid w:val="00F651D6"/>
    <w:rsid w:val="00F66AD8"/>
    <w:rsid w:val="00F725CC"/>
    <w:rsid w:val="00F72BA3"/>
    <w:rsid w:val="00F7329D"/>
    <w:rsid w:val="00F73AD7"/>
    <w:rsid w:val="00F73B29"/>
    <w:rsid w:val="00F73FB6"/>
    <w:rsid w:val="00F757F6"/>
    <w:rsid w:val="00F7595F"/>
    <w:rsid w:val="00F765D1"/>
    <w:rsid w:val="00F7741C"/>
    <w:rsid w:val="00F80B00"/>
    <w:rsid w:val="00F80C2E"/>
    <w:rsid w:val="00F80DB2"/>
    <w:rsid w:val="00F81097"/>
    <w:rsid w:val="00F8152D"/>
    <w:rsid w:val="00F823B7"/>
    <w:rsid w:val="00F82B69"/>
    <w:rsid w:val="00F84E09"/>
    <w:rsid w:val="00F85631"/>
    <w:rsid w:val="00F86321"/>
    <w:rsid w:val="00F86FC2"/>
    <w:rsid w:val="00F91188"/>
    <w:rsid w:val="00F914CB"/>
    <w:rsid w:val="00F91819"/>
    <w:rsid w:val="00F9546C"/>
    <w:rsid w:val="00F96CCD"/>
    <w:rsid w:val="00F96CF9"/>
    <w:rsid w:val="00F974A1"/>
    <w:rsid w:val="00F97B5E"/>
    <w:rsid w:val="00F97B72"/>
    <w:rsid w:val="00FA0C6D"/>
    <w:rsid w:val="00FA0CA0"/>
    <w:rsid w:val="00FA0F93"/>
    <w:rsid w:val="00FA10A8"/>
    <w:rsid w:val="00FA1111"/>
    <w:rsid w:val="00FA1427"/>
    <w:rsid w:val="00FA26C8"/>
    <w:rsid w:val="00FA2DB5"/>
    <w:rsid w:val="00FA32DD"/>
    <w:rsid w:val="00FA45BA"/>
    <w:rsid w:val="00FA4829"/>
    <w:rsid w:val="00FA4BED"/>
    <w:rsid w:val="00FA5296"/>
    <w:rsid w:val="00FA670E"/>
    <w:rsid w:val="00FA6C76"/>
    <w:rsid w:val="00FA7086"/>
    <w:rsid w:val="00FB0FB5"/>
    <w:rsid w:val="00FB184E"/>
    <w:rsid w:val="00FB1F93"/>
    <w:rsid w:val="00FB2A35"/>
    <w:rsid w:val="00FB324A"/>
    <w:rsid w:val="00FB3267"/>
    <w:rsid w:val="00FB48DF"/>
    <w:rsid w:val="00FB54DB"/>
    <w:rsid w:val="00FB5972"/>
    <w:rsid w:val="00FB632F"/>
    <w:rsid w:val="00FB748F"/>
    <w:rsid w:val="00FC0963"/>
    <w:rsid w:val="00FC2AB9"/>
    <w:rsid w:val="00FC369C"/>
    <w:rsid w:val="00FC3BAF"/>
    <w:rsid w:val="00FC5824"/>
    <w:rsid w:val="00FC5AFE"/>
    <w:rsid w:val="00FC5D22"/>
    <w:rsid w:val="00FC6002"/>
    <w:rsid w:val="00FD01BA"/>
    <w:rsid w:val="00FD0CA5"/>
    <w:rsid w:val="00FD17BA"/>
    <w:rsid w:val="00FD4012"/>
    <w:rsid w:val="00FD5A0C"/>
    <w:rsid w:val="00FD606E"/>
    <w:rsid w:val="00FD7B75"/>
    <w:rsid w:val="00FE1195"/>
    <w:rsid w:val="00FE1868"/>
    <w:rsid w:val="00FE1F9B"/>
    <w:rsid w:val="00FE20F3"/>
    <w:rsid w:val="00FE45E5"/>
    <w:rsid w:val="00FE4D45"/>
    <w:rsid w:val="00FE5279"/>
    <w:rsid w:val="00FE5412"/>
    <w:rsid w:val="00FE6874"/>
    <w:rsid w:val="00FE6ACC"/>
    <w:rsid w:val="00FE7064"/>
    <w:rsid w:val="00FE71EC"/>
    <w:rsid w:val="00FF0084"/>
    <w:rsid w:val="00FF05FE"/>
    <w:rsid w:val="00FF094D"/>
    <w:rsid w:val="00FF1F88"/>
    <w:rsid w:val="00FF3315"/>
    <w:rsid w:val="00FF3336"/>
    <w:rsid w:val="00FF4840"/>
    <w:rsid w:val="00FF4F25"/>
    <w:rsid w:val="00FF5A7C"/>
    <w:rsid w:val="00FF5F77"/>
    <w:rsid w:val="00FF6B57"/>
    <w:rsid w:val="00FF7F91"/>
    <w:rsid w:val="0107437C"/>
    <w:rsid w:val="01254ECA"/>
    <w:rsid w:val="013A1E5D"/>
    <w:rsid w:val="01B036EA"/>
    <w:rsid w:val="01DA2D06"/>
    <w:rsid w:val="027202AB"/>
    <w:rsid w:val="0293726D"/>
    <w:rsid w:val="02BA55A5"/>
    <w:rsid w:val="03130EE3"/>
    <w:rsid w:val="03187A90"/>
    <w:rsid w:val="032D2B4E"/>
    <w:rsid w:val="035B792A"/>
    <w:rsid w:val="03F2214E"/>
    <w:rsid w:val="042E5D0C"/>
    <w:rsid w:val="04C45905"/>
    <w:rsid w:val="04F55751"/>
    <w:rsid w:val="0573248A"/>
    <w:rsid w:val="06CE68DF"/>
    <w:rsid w:val="079C35FC"/>
    <w:rsid w:val="07DB0BF3"/>
    <w:rsid w:val="082171DA"/>
    <w:rsid w:val="08C53285"/>
    <w:rsid w:val="092A6705"/>
    <w:rsid w:val="09395F3E"/>
    <w:rsid w:val="0A694F0D"/>
    <w:rsid w:val="0B9A267C"/>
    <w:rsid w:val="0CA60FE3"/>
    <w:rsid w:val="0CF74215"/>
    <w:rsid w:val="0D2964EB"/>
    <w:rsid w:val="0D35413B"/>
    <w:rsid w:val="0D3F493B"/>
    <w:rsid w:val="0D510EE5"/>
    <w:rsid w:val="0D5D1C86"/>
    <w:rsid w:val="0E1135B8"/>
    <w:rsid w:val="0E8465F4"/>
    <w:rsid w:val="0E927B6D"/>
    <w:rsid w:val="0EB50EEF"/>
    <w:rsid w:val="0EDE4455"/>
    <w:rsid w:val="0EF22AE4"/>
    <w:rsid w:val="0F0F4736"/>
    <w:rsid w:val="107A50A7"/>
    <w:rsid w:val="10D82889"/>
    <w:rsid w:val="11313AFF"/>
    <w:rsid w:val="114E4E24"/>
    <w:rsid w:val="11567CCE"/>
    <w:rsid w:val="12515F59"/>
    <w:rsid w:val="12F42BCB"/>
    <w:rsid w:val="13332891"/>
    <w:rsid w:val="13BC6BE3"/>
    <w:rsid w:val="141C411B"/>
    <w:rsid w:val="148176FD"/>
    <w:rsid w:val="14E20C54"/>
    <w:rsid w:val="15B31457"/>
    <w:rsid w:val="16034057"/>
    <w:rsid w:val="16111176"/>
    <w:rsid w:val="16232E11"/>
    <w:rsid w:val="16D46F0E"/>
    <w:rsid w:val="17A54C03"/>
    <w:rsid w:val="17C94220"/>
    <w:rsid w:val="19A33895"/>
    <w:rsid w:val="1A006D57"/>
    <w:rsid w:val="1CC35FBB"/>
    <w:rsid w:val="1CFA57D4"/>
    <w:rsid w:val="1DF37C19"/>
    <w:rsid w:val="1E5B61CE"/>
    <w:rsid w:val="1E820121"/>
    <w:rsid w:val="1E8967F2"/>
    <w:rsid w:val="1F330C9F"/>
    <w:rsid w:val="200911CE"/>
    <w:rsid w:val="21843F56"/>
    <w:rsid w:val="2200200E"/>
    <w:rsid w:val="224A51CD"/>
    <w:rsid w:val="22BF327D"/>
    <w:rsid w:val="233B239E"/>
    <w:rsid w:val="23C768B6"/>
    <w:rsid w:val="24595AE5"/>
    <w:rsid w:val="24963A82"/>
    <w:rsid w:val="24D3646B"/>
    <w:rsid w:val="24D43B61"/>
    <w:rsid w:val="24D773EC"/>
    <w:rsid w:val="25453918"/>
    <w:rsid w:val="25DE3B0A"/>
    <w:rsid w:val="2660783A"/>
    <w:rsid w:val="26861129"/>
    <w:rsid w:val="28086284"/>
    <w:rsid w:val="282A2387"/>
    <w:rsid w:val="286F7C76"/>
    <w:rsid w:val="289059BF"/>
    <w:rsid w:val="28A24F1B"/>
    <w:rsid w:val="29E00C91"/>
    <w:rsid w:val="2AD95CCC"/>
    <w:rsid w:val="2B080EDD"/>
    <w:rsid w:val="2B204686"/>
    <w:rsid w:val="2B34492F"/>
    <w:rsid w:val="2C1B7E68"/>
    <w:rsid w:val="2C334600"/>
    <w:rsid w:val="2C7874B1"/>
    <w:rsid w:val="2D442B46"/>
    <w:rsid w:val="2E5F4781"/>
    <w:rsid w:val="2F741EBF"/>
    <w:rsid w:val="2FE858D3"/>
    <w:rsid w:val="302B06D5"/>
    <w:rsid w:val="30782B12"/>
    <w:rsid w:val="30FB318D"/>
    <w:rsid w:val="31241BDB"/>
    <w:rsid w:val="31472444"/>
    <w:rsid w:val="31542911"/>
    <w:rsid w:val="31942F80"/>
    <w:rsid w:val="31BF654C"/>
    <w:rsid w:val="31DC5421"/>
    <w:rsid w:val="32AD5A98"/>
    <w:rsid w:val="32B34905"/>
    <w:rsid w:val="32C16E98"/>
    <w:rsid w:val="32CF0E49"/>
    <w:rsid w:val="32F0499C"/>
    <w:rsid w:val="336A405C"/>
    <w:rsid w:val="342D1890"/>
    <w:rsid w:val="3509137F"/>
    <w:rsid w:val="35125609"/>
    <w:rsid w:val="35341D68"/>
    <w:rsid w:val="35D030A4"/>
    <w:rsid w:val="36016248"/>
    <w:rsid w:val="364C317E"/>
    <w:rsid w:val="36F7289A"/>
    <w:rsid w:val="37D1071F"/>
    <w:rsid w:val="380926DD"/>
    <w:rsid w:val="38172D49"/>
    <w:rsid w:val="386C75FF"/>
    <w:rsid w:val="390C013F"/>
    <w:rsid w:val="39A93E39"/>
    <w:rsid w:val="3A611754"/>
    <w:rsid w:val="3B5419A7"/>
    <w:rsid w:val="3C853F1C"/>
    <w:rsid w:val="3CBD5B44"/>
    <w:rsid w:val="3CCD6091"/>
    <w:rsid w:val="3CCD6E91"/>
    <w:rsid w:val="3CF27791"/>
    <w:rsid w:val="3CFA45ED"/>
    <w:rsid w:val="3D460A34"/>
    <w:rsid w:val="3DDF2859"/>
    <w:rsid w:val="40AE33B4"/>
    <w:rsid w:val="41A93EC6"/>
    <w:rsid w:val="425F11B5"/>
    <w:rsid w:val="42F67A0B"/>
    <w:rsid w:val="43000B49"/>
    <w:rsid w:val="43286A88"/>
    <w:rsid w:val="434B0908"/>
    <w:rsid w:val="43C16D36"/>
    <w:rsid w:val="44065E25"/>
    <w:rsid w:val="446A581C"/>
    <w:rsid w:val="4537197C"/>
    <w:rsid w:val="454D1E82"/>
    <w:rsid w:val="45856D49"/>
    <w:rsid w:val="45F52C70"/>
    <w:rsid w:val="46307AEF"/>
    <w:rsid w:val="46A634F2"/>
    <w:rsid w:val="48510BD3"/>
    <w:rsid w:val="48F607C2"/>
    <w:rsid w:val="4A0E55F8"/>
    <w:rsid w:val="4AE02F6B"/>
    <w:rsid w:val="4C091B3D"/>
    <w:rsid w:val="4C441290"/>
    <w:rsid w:val="4CF35C20"/>
    <w:rsid w:val="4D787807"/>
    <w:rsid w:val="4E3E4542"/>
    <w:rsid w:val="4E9F661C"/>
    <w:rsid w:val="4F4449E8"/>
    <w:rsid w:val="4FA75A56"/>
    <w:rsid w:val="50654544"/>
    <w:rsid w:val="5125254A"/>
    <w:rsid w:val="51C2188B"/>
    <w:rsid w:val="52FA6CC9"/>
    <w:rsid w:val="538D31E9"/>
    <w:rsid w:val="53BC3A52"/>
    <w:rsid w:val="55217F03"/>
    <w:rsid w:val="553045F8"/>
    <w:rsid w:val="55543D00"/>
    <w:rsid w:val="55CA71B9"/>
    <w:rsid w:val="561741E7"/>
    <w:rsid w:val="56EB59B9"/>
    <w:rsid w:val="58240BF2"/>
    <w:rsid w:val="582D7E30"/>
    <w:rsid w:val="583A1153"/>
    <w:rsid w:val="58D942C0"/>
    <w:rsid w:val="594453FD"/>
    <w:rsid w:val="5A322B4A"/>
    <w:rsid w:val="5A4F06DB"/>
    <w:rsid w:val="5A9B5FA0"/>
    <w:rsid w:val="5B1909C7"/>
    <w:rsid w:val="5B4F7D05"/>
    <w:rsid w:val="5C4C698F"/>
    <w:rsid w:val="5DAB5B74"/>
    <w:rsid w:val="5EAB13CA"/>
    <w:rsid w:val="5EB81FFB"/>
    <w:rsid w:val="5F7B6651"/>
    <w:rsid w:val="5F944039"/>
    <w:rsid w:val="5F9C3975"/>
    <w:rsid w:val="5FF81F73"/>
    <w:rsid w:val="607F1367"/>
    <w:rsid w:val="60ED7350"/>
    <w:rsid w:val="60F6452F"/>
    <w:rsid w:val="60FC5E3D"/>
    <w:rsid w:val="61305953"/>
    <w:rsid w:val="61F63CD3"/>
    <w:rsid w:val="61F72785"/>
    <w:rsid w:val="62406DE0"/>
    <w:rsid w:val="626F3413"/>
    <w:rsid w:val="64135E04"/>
    <w:rsid w:val="6477313A"/>
    <w:rsid w:val="648A69ED"/>
    <w:rsid w:val="64B67BE7"/>
    <w:rsid w:val="665D601E"/>
    <w:rsid w:val="669B4986"/>
    <w:rsid w:val="67717BBE"/>
    <w:rsid w:val="67E332A1"/>
    <w:rsid w:val="680C4BBE"/>
    <w:rsid w:val="685F3F6A"/>
    <w:rsid w:val="68717D68"/>
    <w:rsid w:val="68E563A4"/>
    <w:rsid w:val="693B4EA8"/>
    <w:rsid w:val="69CC731C"/>
    <w:rsid w:val="69F12B0F"/>
    <w:rsid w:val="6A851B00"/>
    <w:rsid w:val="6B937D00"/>
    <w:rsid w:val="6C2361B3"/>
    <w:rsid w:val="6CCB00A5"/>
    <w:rsid w:val="6D27495E"/>
    <w:rsid w:val="6DEB5A94"/>
    <w:rsid w:val="6EAD7848"/>
    <w:rsid w:val="6EC679C7"/>
    <w:rsid w:val="6FC8087F"/>
    <w:rsid w:val="70D00FBA"/>
    <w:rsid w:val="715B1235"/>
    <w:rsid w:val="720F4108"/>
    <w:rsid w:val="72290770"/>
    <w:rsid w:val="737A5C66"/>
    <w:rsid w:val="74ED140B"/>
    <w:rsid w:val="75F479B7"/>
    <w:rsid w:val="762D2658"/>
    <w:rsid w:val="76472C11"/>
    <w:rsid w:val="76EE3581"/>
    <w:rsid w:val="770E6AAE"/>
    <w:rsid w:val="77264AC1"/>
    <w:rsid w:val="77BC5572"/>
    <w:rsid w:val="78411E39"/>
    <w:rsid w:val="78E404CD"/>
    <w:rsid w:val="7AFB28FA"/>
    <w:rsid w:val="7B1562E1"/>
    <w:rsid w:val="7CD018B5"/>
    <w:rsid w:val="7CDE0391"/>
    <w:rsid w:val="7E18194B"/>
    <w:rsid w:val="7E9B3045"/>
    <w:rsid w:val="7EF46F04"/>
    <w:rsid w:val="7F63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57"/>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8"/>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0"/>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3">
    <w:name w:val="Normal Indent"/>
    <w:basedOn w:val="1"/>
    <w:next w:val="1"/>
    <w:link w:val="65"/>
    <w:qFormat/>
    <w:uiPriority w:val="0"/>
    <w:pPr>
      <w:ind w:firstLine="420"/>
    </w:pPr>
  </w:style>
  <w:style w:type="paragraph" w:styleId="14">
    <w:name w:val="index 5"/>
    <w:basedOn w:val="1"/>
    <w:next w:val="1"/>
    <w:qFormat/>
    <w:uiPriority w:val="0"/>
    <w:pPr>
      <w:ind w:left="1680"/>
    </w:pPr>
  </w:style>
  <w:style w:type="paragraph" w:styleId="15">
    <w:name w:val="Document Map"/>
    <w:basedOn w:val="1"/>
    <w:link w:val="66"/>
    <w:qFormat/>
    <w:uiPriority w:val="99"/>
    <w:rPr>
      <w:rFonts w:ascii="宋体"/>
      <w:sz w:val="18"/>
      <w:szCs w:val="18"/>
    </w:rPr>
  </w:style>
  <w:style w:type="paragraph" w:styleId="16">
    <w:name w:val="toa heading"/>
    <w:basedOn w:val="1"/>
    <w:next w:val="1"/>
    <w:qFormat/>
    <w:uiPriority w:val="0"/>
    <w:pPr>
      <w:spacing w:before="120"/>
    </w:pPr>
    <w:rPr>
      <w:rFonts w:ascii="Arial" w:hAnsi="Arial"/>
    </w:rPr>
  </w:style>
  <w:style w:type="paragraph" w:styleId="17">
    <w:name w:val="annotation text"/>
    <w:basedOn w:val="1"/>
    <w:link w:val="67"/>
    <w:qFormat/>
    <w:uiPriority w:val="0"/>
    <w:pPr>
      <w:jc w:val="left"/>
    </w:pPr>
    <w:rPr>
      <w:rFonts w:ascii="Times New Roman" w:hAnsi="Times New Roman"/>
      <w:szCs w:val="20"/>
    </w:rPr>
  </w:style>
  <w:style w:type="paragraph" w:styleId="18">
    <w:name w:val="Body Text 3"/>
    <w:basedOn w:val="1"/>
    <w:link w:val="68"/>
    <w:qFormat/>
    <w:uiPriority w:val="0"/>
    <w:rPr>
      <w:rFonts w:ascii="宋体"/>
      <w:sz w:val="24"/>
      <w:szCs w:val="20"/>
    </w:rPr>
  </w:style>
  <w:style w:type="paragraph" w:styleId="19">
    <w:name w:val="Body Text"/>
    <w:basedOn w:val="1"/>
    <w:next w:val="1"/>
    <w:link w:val="69"/>
    <w:unhideWhenUsed/>
    <w:qFormat/>
    <w:uiPriority w:val="0"/>
    <w:pPr>
      <w:spacing w:after="120"/>
    </w:pPr>
    <w:rPr>
      <w:rFonts w:ascii="Times New Roman" w:hAnsi="Times New Roman"/>
      <w:szCs w:val="20"/>
    </w:rPr>
  </w:style>
  <w:style w:type="paragraph" w:styleId="20">
    <w:name w:val="Body Text Indent"/>
    <w:basedOn w:val="1"/>
    <w:next w:val="21"/>
    <w:link w:val="55"/>
    <w:qFormat/>
    <w:uiPriority w:val="0"/>
    <w:pPr>
      <w:spacing w:after="120"/>
      <w:ind w:left="420" w:leftChars="200"/>
    </w:pPr>
    <w:rPr>
      <w:rFonts w:ascii="Times New Roman" w:hAnsi="Times New Roman"/>
      <w:szCs w:val="20"/>
    </w:rPr>
  </w:style>
  <w:style w:type="paragraph" w:styleId="21">
    <w:name w:val="envelope return"/>
    <w:basedOn w:val="1"/>
    <w:qFormat/>
    <w:uiPriority w:val="0"/>
    <w:pPr>
      <w:snapToGrid w:val="0"/>
    </w:pPr>
    <w:rPr>
      <w:rFonts w:ascii="Arial" w:hAnsi="Arial"/>
      <w:szCs w:val="24"/>
    </w:rPr>
  </w:style>
  <w:style w:type="paragraph" w:styleId="22">
    <w:name w:val="toc 5"/>
    <w:basedOn w:val="1"/>
    <w:next w:val="1"/>
    <w:qFormat/>
    <w:uiPriority w:val="39"/>
    <w:pPr>
      <w:ind w:left="800" w:leftChars="800"/>
    </w:pPr>
  </w:style>
  <w:style w:type="paragraph" w:styleId="23">
    <w:name w:val="toc 3"/>
    <w:basedOn w:val="1"/>
    <w:next w:val="1"/>
    <w:qFormat/>
    <w:uiPriority w:val="0"/>
    <w:pPr>
      <w:ind w:left="400" w:leftChars="400"/>
    </w:pPr>
  </w:style>
  <w:style w:type="paragraph" w:styleId="24">
    <w:name w:val="Plain Text"/>
    <w:basedOn w:val="1"/>
    <w:next w:val="1"/>
    <w:link w:val="70"/>
    <w:qFormat/>
    <w:uiPriority w:val="0"/>
    <w:rPr>
      <w:rFonts w:ascii="宋体"/>
    </w:rPr>
  </w:style>
  <w:style w:type="paragraph" w:styleId="25">
    <w:name w:val="toc 8"/>
    <w:basedOn w:val="1"/>
    <w:next w:val="1"/>
    <w:qFormat/>
    <w:uiPriority w:val="39"/>
    <w:pPr>
      <w:ind w:left="1400" w:leftChars="1400"/>
    </w:pPr>
  </w:style>
  <w:style w:type="paragraph" w:styleId="26">
    <w:name w:val="Date"/>
    <w:basedOn w:val="1"/>
    <w:next w:val="1"/>
    <w:link w:val="71"/>
    <w:qFormat/>
    <w:uiPriority w:val="0"/>
    <w:pPr>
      <w:ind w:left="2500" w:leftChars="2500"/>
    </w:pPr>
    <w:rPr>
      <w:rFonts w:ascii="Times New Roman" w:hAnsi="Times New Roman"/>
      <w:szCs w:val="20"/>
    </w:rPr>
  </w:style>
  <w:style w:type="paragraph" w:styleId="27">
    <w:name w:val="Body Text Indent 2"/>
    <w:basedOn w:val="1"/>
    <w:link w:val="72"/>
    <w:unhideWhenUsed/>
    <w:qFormat/>
    <w:uiPriority w:val="0"/>
    <w:pPr>
      <w:spacing w:after="120" w:line="480" w:lineRule="auto"/>
      <w:ind w:left="420" w:leftChars="200"/>
    </w:pPr>
  </w:style>
  <w:style w:type="paragraph" w:styleId="28">
    <w:name w:val="Balloon Text"/>
    <w:basedOn w:val="1"/>
    <w:link w:val="73"/>
    <w:qFormat/>
    <w:uiPriority w:val="0"/>
    <w:rPr>
      <w:rFonts w:ascii="Times New Roman" w:hAnsi="Times New Roman"/>
      <w:sz w:val="18"/>
      <w:szCs w:val="20"/>
    </w:rPr>
  </w:style>
  <w:style w:type="paragraph" w:styleId="29">
    <w:name w:val="footer"/>
    <w:basedOn w:val="1"/>
    <w:link w:val="74"/>
    <w:qFormat/>
    <w:uiPriority w:val="99"/>
    <w:pPr>
      <w:tabs>
        <w:tab w:val="center" w:pos="4153"/>
        <w:tab w:val="right" w:pos="8306"/>
      </w:tabs>
      <w:snapToGrid w:val="0"/>
      <w:jc w:val="left"/>
    </w:pPr>
    <w:rPr>
      <w:sz w:val="18"/>
    </w:rPr>
  </w:style>
  <w:style w:type="paragraph" w:styleId="30">
    <w:name w:val="header"/>
    <w:basedOn w:val="1"/>
    <w:link w:val="75"/>
    <w:qFormat/>
    <w:uiPriority w:val="99"/>
    <w:pPr>
      <w:tabs>
        <w:tab w:val="center" w:pos="4153"/>
        <w:tab w:val="right" w:pos="8306"/>
      </w:tabs>
      <w:snapToGrid w:val="0"/>
    </w:pPr>
    <w:rPr>
      <w:rFonts w:ascii="Times New Roman" w:hAnsi="Times New Roman"/>
      <w:sz w:val="18"/>
      <w:szCs w:val="20"/>
    </w:rPr>
  </w:style>
  <w:style w:type="paragraph" w:styleId="31">
    <w:name w:val="toc 1"/>
    <w:basedOn w:val="1"/>
    <w:next w:val="1"/>
    <w:qFormat/>
    <w:uiPriority w:val="0"/>
  </w:style>
  <w:style w:type="paragraph" w:styleId="32">
    <w:name w:val="toc 4"/>
    <w:basedOn w:val="1"/>
    <w:next w:val="1"/>
    <w:qFormat/>
    <w:uiPriority w:val="39"/>
    <w:pPr>
      <w:ind w:left="600" w:leftChars="600"/>
    </w:pPr>
  </w:style>
  <w:style w:type="paragraph" w:styleId="33">
    <w:name w:val="Subtitle"/>
    <w:basedOn w:val="1"/>
    <w:next w:val="1"/>
    <w:link w:val="76"/>
    <w:qFormat/>
    <w:uiPriority w:val="11"/>
    <w:pPr>
      <w:spacing w:before="240" w:after="60" w:line="312" w:lineRule="auto"/>
      <w:jc w:val="center"/>
      <w:outlineLvl w:val="1"/>
    </w:pPr>
    <w:rPr>
      <w:rFonts w:ascii="Calibri Light" w:hAnsi="Calibri Light"/>
      <w:b/>
      <w:bCs/>
      <w:kern w:val="28"/>
      <w:sz w:val="32"/>
      <w:szCs w:val="32"/>
    </w:rPr>
  </w:style>
  <w:style w:type="paragraph" w:styleId="34">
    <w:name w:val="toc 6"/>
    <w:basedOn w:val="1"/>
    <w:next w:val="1"/>
    <w:qFormat/>
    <w:uiPriority w:val="39"/>
    <w:pPr>
      <w:ind w:left="1000" w:leftChars="1000"/>
    </w:pPr>
  </w:style>
  <w:style w:type="paragraph" w:styleId="35">
    <w:name w:val="List 5"/>
    <w:basedOn w:val="1"/>
    <w:qFormat/>
    <w:uiPriority w:val="0"/>
    <w:pPr>
      <w:spacing w:line="360" w:lineRule="auto"/>
      <w:ind w:left="2100" w:hanging="420"/>
      <w:jc w:val="left"/>
    </w:pPr>
    <w:rPr>
      <w:rFonts w:ascii="Times New Roman" w:hAnsi="Times New Roman"/>
      <w:sz w:val="24"/>
      <w:szCs w:val="20"/>
    </w:rPr>
  </w:style>
  <w:style w:type="paragraph" w:styleId="36">
    <w:name w:val="Body Text Indent 3"/>
    <w:basedOn w:val="1"/>
    <w:link w:val="77"/>
    <w:qFormat/>
    <w:uiPriority w:val="0"/>
    <w:pPr>
      <w:spacing w:after="120"/>
      <w:ind w:left="200" w:leftChars="200"/>
    </w:pPr>
    <w:rPr>
      <w:sz w:val="16"/>
      <w:szCs w:val="16"/>
    </w:rPr>
  </w:style>
  <w:style w:type="paragraph" w:styleId="37">
    <w:name w:val="toc 2"/>
    <w:basedOn w:val="1"/>
    <w:next w:val="1"/>
    <w:qFormat/>
    <w:uiPriority w:val="0"/>
    <w:pPr>
      <w:ind w:left="200" w:leftChars="200"/>
    </w:pPr>
  </w:style>
  <w:style w:type="paragraph" w:styleId="38">
    <w:name w:val="toc 9"/>
    <w:basedOn w:val="1"/>
    <w:next w:val="1"/>
    <w:qFormat/>
    <w:uiPriority w:val="39"/>
    <w:pPr>
      <w:ind w:left="1600" w:leftChars="1600"/>
    </w:pPr>
  </w:style>
  <w:style w:type="paragraph" w:styleId="39">
    <w:name w:val="Body Text 2"/>
    <w:basedOn w:val="1"/>
    <w:link w:val="78"/>
    <w:qFormat/>
    <w:uiPriority w:val="0"/>
    <w:pPr>
      <w:spacing w:after="120" w:line="480" w:lineRule="auto"/>
      <w:jc w:val="left"/>
    </w:pPr>
    <w:rPr>
      <w:rFonts w:ascii="Times New Roman" w:hAnsi="Times New Roman"/>
      <w:sz w:val="24"/>
      <w:szCs w:val="24"/>
    </w:rPr>
  </w:style>
  <w:style w:type="paragraph" w:styleId="40">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41">
    <w:name w:val="index 1"/>
    <w:basedOn w:val="1"/>
    <w:next w:val="1"/>
    <w:qFormat/>
    <w:uiPriority w:val="0"/>
    <w:pPr>
      <w:spacing w:line="220" w:lineRule="exact"/>
      <w:jc w:val="center"/>
    </w:pPr>
    <w:rPr>
      <w:rFonts w:ascii="仿宋_GB2312" w:hAnsi="Times New Roman" w:eastAsia="仿宋_GB2312"/>
      <w:szCs w:val="21"/>
    </w:rPr>
  </w:style>
  <w:style w:type="paragraph" w:styleId="42">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7"/>
    <w:next w:val="17"/>
    <w:link w:val="80"/>
    <w:qFormat/>
    <w:uiPriority w:val="0"/>
  </w:style>
  <w:style w:type="paragraph" w:styleId="44">
    <w:name w:val="Body Text First Indent"/>
    <w:basedOn w:val="19"/>
    <w:link w:val="81"/>
    <w:qFormat/>
    <w:uiPriority w:val="99"/>
    <w:pPr>
      <w:spacing w:line="312" w:lineRule="auto"/>
      <w:ind w:firstLine="420"/>
    </w:pPr>
    <w:rPr>
      <w:szCs w:val="24"/>
    </w:rPr>
  </w:style>
  <w:style w:type="paragraph" w:styleId="45">
    <w:name w:val="Body Text First Indent 2"/>
    <w:basedOn w:val="20"/>
    <w:qFormat/>
    <w:uiPriority w:val="0"/>
    <w:pPr>
      <w:ind w:firstLine="420"/>
    </w:pPr>
    <w:rPr>
      <w:sz w:val="20"/>
    </w:rPr>
  </w:style>
  <w:style w:type="table" w:styleId="47">
    <w:name w:val="Table Grid"/>
    <w:basedOn w:val="4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Emphasis"/>
    <w:qFormat/>
    <w:uiPriority w:val="20"/>
    <w:rPr>
      <w:i/>
      <w:iCs/>
    </w:rPr>
  </w:style>
  <w:style w:type="character" w:styleId="52">
    <w:name w:val="Hyperlink"/>
    <w:qFormat/>
    <w:uiPriority w:val="0"/>
    <w:rPr>
      <w:color w:val="0000FF"/>
      <w:u w:val="single"/>
    </w:rPr>
  </w:style>
  <w:style w:type="character" w:styleId="53">
    <w:name w:val="annotation reference"/>
    <w:qFormat/>
    <w:uiPriority w:val="0"/>
    <w:rPr>
      <w:sz w:val="21"/>
    </w:rPr>
  </w:style>
  <w:style w:type="character" w:styleId="54">
    <w:name w:val="footnote reference"/>
    <w:qFormat/>
    <w:uiPriority w:val="0"/>
    <w:rPr>
      <w:vertAlign w:val="superscript"/>
    </w:rPr>
  </w:style>
  <w:style w:type="character" w:customStyle="1" w:styleId="55">
    <w:name w:val="正文文本缩进 Char"/>
    <w:link w:val="20"/>
    <w:qFormat/>
    <w:uiPriority w:val="0"/>
    <w:rPr>
      <w:rFonts w:eastAsia="宋体"/>
      <w:kern w:val="2"/>
      <w:sz w:val="21"/>
    </w:rPr>
  </w:style>
  <w:style w:type="character" w:customStyle="1" w:styleId="56">
    <w:name w:val="标题 1 Char"/>
    <w:link w:val="2"/>
    <w:qFormat/>
    <w:uiPriority w:val="0"/>
    <w:rPr>
      <w:rFonts w:eastAsia="宋体"/>
      <w:b/>
      <w:kern w:val="44"/>
      <w:sz w:val="44"/>
    </w:rPr>
  </w:style>
  <w:style w:type="character" w:customStyle="1" w:styleId="57">
    <w:name w:val="标题 2 Char"/>
    <w:link w:val="3"/>
    <w:qFormat/>
    <w:uiPriority w:val="0"/>
    <w:rPr>
      <w:rFonts w:ascii="Arial" w:hAnsi="Arial" w:eastAsia="黑体"/>
      <w:b/>
      <w:kern w:val="2"/>
      <w:sz w:val="32"/>
    </w:rPr>
  </w:style>
  <w:style w:type="character" w:customStyle="1" w:styleId="58">
    <w:name w:val="标题 3 Char"/>
    <w:link w:val="4"/>
    <w:qFormat/>
    <w:uiPriority w:val="0"/>
    <w:rPr>
      <w:rFonts w:ascii="黑体" w:hAnsi="Calibri" w:eastAsia="黑体"/>
      <w:kern w:val="2"/>
      <w:sz w:val="28"/>
    </w:rPr>
  </w:style>
  <w:style w:type="character" w:customStyle="1" w:styleId="59">
    <w:name w:val="标题 4 Char"/>
    <w:link w:val="5"/>
    <w:qFormat/>
    <w:uiPriority w:val="0"/>
    <w:rPr>
      <w:rFonts w:ascii="Arial" w:hAnsi="Arial" w:eastAsia="黑体"/>
      <w:b/>
      <w:bCs/>
      <w:kern w:val="2"/>
      <w:sz w:val="28"/>
      <w:szCs w:val="28"/>
    </w:rPr>
  </w:style>
  <w:style w:type="character" w:customStyle="1" w:styleId="60">
    <w:name w:val="标题 5 Char"/>
    <w:link w:val="6"/>
    <w:semiHidden/>
    <w:qFormat/>
    <w:uiPriority w:val="9"/>
    <w:rPr>
      <w:rFonts w:eastAsia="宋体"/>
      <w:b/>
      <w:bCs/>
      <w:kern w:val="2"/>
      <w:sz w:val="28"/>
      <w:szCs w:val="28"/>
    </w:rPr>
  </w:style>
  <w:style w:type="character" w:customStyle="1" w:styleId="61">
    <w:name w:val="标题 6 Char"/>
    <w:link w:val="7"/>
    <w:qFormat/>
    <w:uiPriority w:val="0"/>
    <w:rPr>
      <w:rFonts w:ascii="Arial" w:hAnsi="Arial" w:eastAsia="黑体"/>
      <w:b/>
      <w:bCs/>
      <w:sz w:val="24"/>
    </w:rPr>
  </w:style>
  <w:style w:type="character" w:customStyle="1" w:styleId="62">
    <w:name w:val="标题 7 Char"/>
    <w:link w:val="8"/>
    <w:qFormat/>
    <w:uiPriority w:val="0"/>
    <w:rPr>
      <w:rFonts w:eastAsia="宋体"/>
      <w:b/>
      <w:bCs/>
      <w:sz w:val="24"/>
    </w:rPr>
  </w:style>
  <w:style w:type="character" w:customStyle="1" w:styleId="63">
    <w:name w:val="标题 8 Char"/>
    <w:link w:val="9"/>
    <w:qFormat/>
    <w:uiPriority w:val="0"/>
    <w:rPr>
      <w:rFonts w:ascii="Arial" w:hAnsi="Arial" w:eastAsia="黑体"/>
      <w:sz w:val="24"/>
    </w:rPr>
  </w:style>
  <w:style w:type="character" w:customStyle="1" w:styleId="64">
    <w:name w:val="标题 9 Char"/>
    <w:link w:val="10"/>
    <w:qFormat/>
    <w:uiPriority w:val="0"/>
    <w:rPr>
      <w:rFonts w:ascii="Arial" w:hAnsi="Arial" w:eastAsia="黑体"/>
      <w:sz w:val="21"/>
      <w:szCs w:val="21"/>
    </w:rPr>
  </w:style>
  <w:style w:type="character" w:customStyle="1" w:styleId="65">
    <w:name w:val="正文缩进 Char"/>
    <w:link w:val="13"/>
    <w:qFormat/>
    <w:uiPriority w:val="0"/>
    <w:rPr>
      <w:rFonts w:ascii="Calibri" w:hAnsi="Calibri" w:eastAsia="宋体"/>
      <w:kern w:val="2"/>
      <w:sz w:val="21"/>
      <w:szCs w:val="22"/>
    </w:rPr>
  </w:style>
  <w:style w:type="character" w:customStyle="1" w:styleId="66">
    <w:name w:val="文档结构图 Char"/>
    <w:link w:val="15"/>
    <w:qFormat/>
    <w:uiPriority w:val="99"/>
    <w:rPr>
      <w:rFonts w:ascii="宋体" w:hAnsi="Calibri" w:eastAsia="宋体" w:cs="宋体"/>
      <w:kern w:val="2"/>
      <w:sz w:val="18"/>
      <w:szCs w:val="18"/>
    </w:rPr>
  </w:style>
  <w:style w:type="character" w:customStyle="1" w:styleId="67">
    <w:name w:val="批注文字 Char2"/>
    <w:link w:val="17"/>
    <w:qFormat/>
    <w:uiPriority w:val="0"/>
    <w:rPr>
      <w:rFonts w:eastAsia="宋体"/>
      <w:kern w:val="2"/>
      <w:sz w:val="21"/>
    </w:rPr>
  </w:style>
  <w:style w:type="character" w:customStyle="1" w:styleId="68">
    <w:name w:val="正文文本 3 Char"/>
    <w:link w:val="18"/>
    <w:qFormat/>
    <w:uiPriority w:val="0"/>
    <w:rPr>
      <w:rFonts w:ascii="宋体" w:hAnsi="Calibri" w:eastAsia="宋体"/>
      <w:kern w:val="2"/>
      <w:sz w:val="24"/>
    </w:rPr>
  </w:style>
  <w:style w:type="character" w:customStyle="1" w:styleId="69">
    <w:name w:val="正文文本 Char1"/>
    <w:link w:val="19"/>
    <w:qFormat/>
    <w:uiPriority w:val="0"/>
    <w:rPr>
      <w:rFonts w:eastAsia="宋体"/>
      <w:kern w:val="2"/>
      <w:sz w:val="21"/>
    </w:rPr>
  </w:style>
  <w:style w:type="character" w:customStyle="1" w:styleId="70">
    <w:name w:val="纯文本 Char"/>
    <w:link w:val="24"/>
    <w:qFormat/>
    <w:uiPriority w:val="0"/>
    <w:rPr>
      <w:rFonts w:ascii="宋体" w:hAnsi="Calibri" w:eastAsia="宋体"/>
      <w:kern w:val="2"/>
      <w:sz w:val="21"/>
      <w:szCs w:val="22"/>
    </w:rPr>
  </w:style>
  <w:style w:type="character" w:customStyle="1" w:styleId="71">
    <w:name w:val="日期 Char"/>
    <w:link w:val="26"/>
    <w:qFormat/>
    <w:uiPriority w:val="0"/>
    <w:rPr>
      <w:rFonts w:eastAsia="宋体"/>
      <w:kern w:val="2"/>
      <w:sz w:val="21"/>
    </w:rPr>
  </w:style>
  <w:style w:type="character" w:customStyle="1" w:styleId="72">
    <w:name w:val="正文文本缩进 2 Char"/>
    <w:link w:val="27"/>
    <w:qFormat/>
    <w:uiPriority w:val="0"/>
    <w:rPr>
      <w:rFonts w:ascii="Calibri" w:hAnsi="Calibri" w:eastAsia="宋体"/>
      <w:kern w:val="2"/>
      <w:sz w:val="21"/>
      <w:szCs w:val="22"/>
    </w:rPr>
  </w:style>
  <w:style w:type="character" w:customStyle="1" w:styleId="73">
    <w:name w:val="批注框文本 Char"/>
    <w:link w:val="28"/>
    <w:qFormat/>
    <w:uiPriority w:val="0"/>
    <w:rPr>
      <w:rFonts w:eastAsia="宋体"/>
      <w:kern w:val="2"/>
      <w:sz w:val="18"/>
    </w:rPr>
  </w:style>
  <w:style w:type="character" w:customStyle="1" w:styleId="74">
    <w:name w:val="页脚 Char"/>
    <w:link w:val="29"/>
    <w:qFormat/>
    <w:uiPriority w:val="99"/>
    <w:rPr>
      <w:rFonts w:ascii="Calibri" w:hAnsi="Calibri" w:eastAsia="宋体"/>
      <w:kern w:val="2"/>
      <w:sz w:val="18"/>
      <w:szCs w:val="22"/>
    </w:rPr>
  </w:style>
  <w:style w:type="character" w:customStyle="1" w:styleId="75">
    <w:name w:val="页眉 Char"/>
    <w:link w:val="30"/>
    <w:qFormat/>
    <w:uiPriority w:val="99"/>
    <w:rPr>
      <w:rFonts w:eastAsia="宋体"/>
      <w:kern w:val="2"/>
      <w:sz w:val="18"/>
    </w:rPr>
  </w:style>
  <w:style w:type="character" w:customStyle="1" w:styleId="76">
    <w:name w:val="副标题 Char"/>
    <w:link w:val="33"/>
    <w:qFormat/>
    <w:uiPriority w:val="11"/>
    <w:rPr>
      <w:rFonts w:ascii="Calibri Light" w:hAnsi="Calibri Light" w:eastAsia="宋体" w:cs="Times New Roman"/>
      <w:b/>
      <w:bCs/>
      <w:kern w:val="28"/>
      <w:sz w:val="32"/>
      <w:szCs w:val="32"/>
    </w:rPr>
  </w:style>
  <w:style w:type="character" w:customStyle="1" w:styleId="77">
    <w:name w:val="正文文本缩进 3 Char"/>
    <w:link w:val="36"/>
    <w:qFormat/>
    <w:uiPriority w:val="0"/>
    <w:rPr>
      <w:rFonts w:ascii="Calibri" w:hAnsi="Calibri" w:eastAsia="宋体"/>
      <w:kern w:val="2"/>
      <w:sz w:val="16"/>
      <w:szCs w:val="16"/>
    </w:rPr>
  </w:style>
  <w:style w:type="character" w:customStyle="1" w:styleId="78">
    <w:name w:val="正文文本 2 Char"/>
    <w:link w:val="39"/>
    <w:qFormat/>
    <w:uiPriority w:val="0"/>
    <w:rPr>
      <w:rFonts w:eastAsia="宋体"/>
      <w:kern w:val="2"/>
      <w:sz w:val="24"/>
      <w:szCs w:val="24"/>
    </w:rPr>
  </w:style>
  <w:style w:type="character" w:customStyle="1" w:styleId="79">
    <w:name w:val="标题 Char"/>
    <w:link w:val="42"/>
    <w:qFormat/>
    <w:uiPriority w:val="0"/>
    <w:rPr>
      <w:rFonts w:ascii="Arial" w:hAnsi="Arial" w:eastAsia="宋体"/>
      <w:b/>
      <w:sz w:val="32"/>
    </w:rPr>
  </w:style>
  <w:style w:type="character" w:customStyle="1" w:styleId="80">
    <w:name w:val="批注主题 Char"/>
    <w:link w:val="43"/>
    <w:qFormat/>
    <w:uiPriority w:val="0"/>
    <w:rPr>
      <w:rFonts w:eastAsia="宋体"/>
      <w:kern w:val="2"/>
      <w:sz w:val="21"/>
    </w:rPr>
  </w:style>
  <w:style w:type="character" w:customStyle="1" w:styleId="81">
    <w:name w:val="正文首行缩进 Char"/>
    <w:link w:val="44"/>
    <w:qFormat/>
    <w:uiPriority w:val="99"/>
    <w:rPr>
      <w:rFonts w:eastAsia="宋体"/>
      <w:kern w:val="2"/>
      <w:sz w:val="21"/>
      <w:szCs w:val="24"/>
      <w:lang w:val="en-US" w:eastAsia="zh-CN" w:bidi="ar-SA"/>
    </w:rPr>
  </w:style>
  <w:style w:type="paragraph" w:customStyle="1" w:styleId="82">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83">
    <w:name w:val="style_kwd"/>
    <w:qFormat/>
    <w:uiPriority w:val="0"/>
  </w:style>
  <w:style w:type="character" w:customStyle="1" w:styleId="84">
    <w:name w:val="批注文字 Char1"/>
    <w:qFormat/>
    <w:uiPriority w:val="0"/>
    <w:rPr>
      <w:rFonts w:ascii="Times New Roman" w:hAnsi="Times New Roman" w:eastAsia="宋体" w:cs="Times New Roman"/>
      <w:sz w:val="20"/>
      <w:szCs w:val="20"/>
      <w:lang w:bidi="ar-SA"/>
    </w:rPr>
  </w:style>
  <w:style w:type="character" w:customStyle="1" w:styleId="85">
    <w:name w:val="Comment Text Char"/>
    <w:qFormat/>
    <w:uiPriority w:val="0"/>
  </w:style>
  <w:style w:type="paragraph" w:customStyle="1" w:styleId="86">
    <w:name w:val="修订1"/>
    <w:qFormat/>
    <w:uiPriority w:val="99"/>
    <w:rPr>
      <w:rFonts w:ascii="Times New Roman" w:hAnsi="Times New Roman" w:eastAsia="宋体" w:cs="Times New Roman"/>
      <w:kern w:val="2"/>
      <w:sz w:val="21"/>
      <w:lang w:val="en-US" w:eastAsia="zh-CN" w:bidi="ar-SA"/>
    </w:rPr>
  </w:style>
  <w:style w:type="paragraph" w:customStyle="1" w:styleId="87">
    <w:name w:val="_Style 23"/>
    <w:basedOn w:val="1"/>
    <w:qFormat/>
    <w:uiPriority w:val="0"/>
    <w:pPr>
      <w:widowControl/>
      <w:spacing w:after="160" w:line="240" w:lineRule="exact"/>
      <w:jc w:val="left"/>
    </w:pPr>
  </w:style>
  <w:style w:type="paragraph" w:customStyle="1" w:styleId="88">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89">
    <w:name w:val="font161"/>
    <w:qFormat/>
    <w:uiPriority w:val="0"/>
    <w:rPr>
      <w:b/>
      <w:bCs/>
      <w:sz w:val="32"/>
      <w:szCs w:val="32"/>
    </w:rPr>
  </w:style>
  <w:style w:type="character" w:customStyle="1" w:styleId="90">
    <w:name w:val="正文文本 Char"/>
    <w:qFormat/>
    <w:uiPriority w:val="0"/>
    <w:rPr>
      <w:rFonts w:eastAsia="宋体"/>
      <w:kern w:val="2"/>
      <w:sz w:val="21"/>
      <w:szCs w:val="24"/>
      <w:lang w:val="en-US" w:eastAsia="zh-CN" w:bidi="ar-SA"/>
    </w:rPr>
  </w:style>
  <w:style w:type="paragraph" w:customStyle="1" w:styleId="91">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92">
    <w:name w:val="Char"/>
    <w:basedOn w:val="1"/>
    <w:qFormat/>
    <w:uiPriority w:val="0"/>
    <w:pPr>
      <w:widowControl/>
      <w:spacing w:after="160" w:line="240" w:lineRule="exact"/>
      <w:jc w:val="left"/>
    </w:pPr>
    <w:rPr>
      <w:rFonts w:ascii="Verdana" w:hAnsi="Verdana"/>
      <w:kern w:val="0"/>
      <w:sz w:val="20"/>
      <w:szCs w:val="20"/>
      <w:lang w:eastAsia="en-US"/>
    </w:rPr>
  </w:style>
  <w:style w:type="paragraph" w:styleId="93">
    <w:name w:val="List Paragraph"/>
    <w:basedOn w:val="1"/>
    <w:qFormat/>
    <w:uiPriority w:val="34"/>
    <w:pPr>
      <w:ind w:firstLine="420" w:firstLineChars="200"/>
    </w:pPr>
  </w:style>
  <w:style w:type="character" w:customStyle="1" w:styleId="94">
    <w:name w:val="正文首行缩进 Char1"/>
    <w:qFormat/>
    <w:uiPriority w:val="99"/>
    <w:rPr>
      <w:rFonts w:eastAsia="宋体"/>
      <w:kern w:val="2"/>
      <w:sz w:val="21"/>
    </w:rPr>
  </w:style>
  <w:style w:type="paragraph" w:customStyle="1" w:styleId="95">
    <w:name w:val="我的正文"/>
    <w:basedOn w:val="1"/>
    <w:qFormat/>
    <w:uiPriority w:val="0"/>
    <w:rPr>
      <w:rFonts w:ascii="宋体" w:hAnsi="宋体"/>
      <w:sz w:val="24"/>
      <w:szCs w:val="24"/>
    </w:r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97">
    <w:name w:val="样式2"/>
    <w:basedOn w:val="4"/>
    <w:qFormat/>
    <w:uiPriority w:val="0"/>
    <w:pPr>
      <w:spacing w:line="415" w:lineRule="auto"/>
      <w:ind w:firstLine="137"/>
    </w:pPr>
    <w:rPr>
      <w:rFonts w:hAnsi="Times New Roman"/>
      <w:bCs/>
      <w:i/>
      <w:szCs w:val="28"/>
    </w:rPr>
  </w:style>
  <w:style w:type="paragraph" w:customStyle="1" w:styleId="98">
    <w:name w:val="Char1"/>
    <w:basedOn w:val="1"/>
    <w:qFormat/>
    <w:uiPriority w:val="0"/>
    <w:pPr>
      <w:tabs>
        <w:tab w:val="left" w:pos="360"/>
      </w:tabs>
    </w:pPr>
    <w:rPr>
      <w:rFonts w:ascii="Times New Roman" w:hAnsi="Times New Roman"/>
      <w:sz w:val="24"/>
      <w:szCs w:val="20"/>
    </w:rPr>
  </w:style>
  <w:style w:type="paragraph" w:customStyle="1" w:styleId="99">
    <w:name w:val="修订11"/>
    <w:qFormat/>
    <w:uiPriority w:val="0"/>
    <w:rPr>
      <w:rFonts w:ascii="Times New Roman" w:hAnsi="Times New Roman" w:eastAsia="宋体" w:cs="Times New Roman"/>
      <w:kern w:val="2"/>
      <w:sz w:val="21"/>
      <w:szCs w:val="24"/>
      <w:lang w:val="en-US" w:eastAsia="zh-CN" w:bidi="ar-SA"/>
    </w:rPr>
  </w:style>
  <w:style w:type="paragraph" w:customStyle="1" w:styleId="100">
    <w:name w:val="样式1"/>
    <w:basedOn w:val="1"/>
    <w:next w:val="5"/>
    <w:link w:val="101"/>
    <w:qFormat/>
    <w:uiPriority w:val="0"/>
    <w:pPr>
      <w:spacing w:line="360" w:lineRule="auto"/>
      <w:ind w:firstLine="420" w:firstLineChars="200"/>
    </w:pPr>
    <w:rPr>
      <w:rFonts w:ascii="宋体" w:hAnsi="宋体"/>
      <w:szCs w:val="21"/>
    </w:rPr>
  </w:style>
  <w:style w:type="character" w:customStyle="1" w:styleId="101">
    <w:name w:val="样式1 Char"/>
    <w:link w:val="100"/>
    <w:qFormat/>
    <w:uiPriority w:val="0"/>
    <w:rPr>
      <w:rFonts w:ascii="宋体" w:hAnsi="宋体" w:eastAsia="宋体"/>
      <w:kern w:val="2"/>
      <w:sz w:val="21"/>
      <w:szCs w:val="21"/>
    </w:rPr>
  </w:style>
  <w:style w:type="paragraph" w:customStyle="1" w:styleId="10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04">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5">
    <w:name w:val="1"/>
    <w:basedOn w:val="1"/>
    <w:qFormat/>
    <w:uiPriority w:val="0"/>
    <w:rPr>
      <w:rFonts w:ascii="Times New Roman" w:hAnsi="Times New Roman"/>
      <w:szCs w:val="20"/>
    </w:rPr>
  </w:style>
  <w:style w:type="paragraph" w:customStyle="1" w:styleId="106">
    <w:name w:val="表格"/>
    <w:basedOn w:val="1"/>
    <w:qFormat/>
    <w:uiPriority w:val="0"/>
    <w:pPr>
      <w:jc w:val="center"/>
      <w:textAlignment w:val="center"/>
    </w:pPr>
    <w:rPr>
      <w:rFonts w:ascii="华文细黑" w:hAnsi="华文细黑"/>
      <w:kern w:val="0"/>
      <w:szCs w:val="20"/>
    </w:rPr>
  </w:style>
  <w:style w:type="paragraph" w:customStyle="1" w:styleId="107">
    <w:name w:val="修订2"/>
    <w:qFormat/>
    <w:uiPriority w:val="0"/>
    <w:rPr>
      <w:rFonts w:ascii="Times New Roman" w:hAnsi="Times New Roman" w:eastAsia="宋体" w:cs="Times New Roman"/>
      <w:kern w:val="2"/>
      <w:sz w:val="21"/>
      <w:szCs w:val="24"/>
      <w:lang w:val="en-US" w:eastAsia="zh-CN" w:bidi="ar-SA"/>
    </w:rPr>
  </w:style>
  <w:style w:type="paragraph" w:customStyle="1" w:styleId="10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9">
    <w:name w:val="Table Paragraph"/>
    <w:basedOn w:val="1"/>
    <w:unhideWhenUsed/>
    <w:qFormat/>
    <w:uiPriority w:val="99"/>
    <w:pPr>
      <w:widowControl/>
    </w:pPr>
    <w:rPr>
      <w:rFonts w:hint="eastAsia" w:ascii="Times New Roman" w:hAnsi="Times New Roman"/>
      <w:szCs w:val="20"/>
    </w:rPr>
  </w:style>
  <w:style w:type="paragraph" w:customStyle="1" w:styleId="110">
    <w:name w:val="表中"/>
    <w:basedOn w:val="1"/>
    <w:qFormat/>
    <w:uiPriority w:val="0"/>
    <w:pPr>
      <w:adjustRightInd w:val="0"/>
      <w:spacing w:line="360" w:lineRule="atLeast"/>
      <w:jc w:val="center"/>
      <w:textAlignment w:val="baseline"/>
    </w:pPr>
    <w:rPr>
      <w:rFonts w:ascii="Times New Roman" w:hAnsi="Times New Roman"/>
      <w:kern w:val="0"/>
      <w:szCs w:val="20"/>
    </w:rPr>
  </w:style>
  <w:style w:type="character" w:customStyle="1" w:styleId="111">
    <w:name w:val="文一 Char"/>
    <w:link w:val="112"/>
    <w:qFormat/>
    <w:locked/>
    <w:uiPriority w:val="0"/>
    <w:rPr>
      <w:spacing w:val="4"/>
      <w:sz w:val="24"/>
      <w:szCs w:val="24"/>
    </w:rPr>
  </w:style>
  <w:style w:type="paragraph" w:customStyle="1" w:styleId="112">
    <w:name w:val="文一"/>
    <w:basedOn w:val="1"/>
    <w:link w:val="11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13">
    <w:name w:val="文二"/>
    <w:basedOn w:val="1"/>
    <w:qFormat/>
    <w:uiPriority w:val="0"/>
    <w:pPr>
      <w:jc w:val="left"/>
    </w:pPr>
    <w:rPr>
      <w:rFonts w:ascii="宋体" w:hAnsi="宋体"/>
      <w:szCs w:val="21"/>
    </w:rPr>
  </w:style>
  <w:style w:type="paragraph" w:customStyle="1" w:styleId="114">
    <w:name w:val="TOC 标题1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115">
    <w:name w:val="文档结构图 字符"/>
    <w:qFormat/>
    <w:uiPriority w:val="99"/>
    <w:rPr>
      <w:kern w:val="2"/>
      <w:sz w:val="21"/>
      <w:szCs w:val="24"/>
      <w:shd w:val="clear" w:color="auto" w:fill="000080"/>
    </w:rPr>
  </w:style>
  <w:style w:type="character" w:customStyle="1" w:styleId="116">
    <w:name w:val="正文文本 3 字符"/>
    <w:qFormat/>
    <w:uiPriority w:val="0"/>
    <w:rPr>
      <w:kern w:val="2"/>
      <w:sz w:val="16"/>
      <w:szCs w:val="16"/>
    </w:rPr>
  </w:style>
  <w:style w:type="paragraph" w:customStyle="1" w:styleId="117">
    <w:name w:val="p0"/>
    <w:basedOn w:val="1"/>
    <w:qFormat/>
    <w:uiPriority w:val="0"/>
    <w:pPr>
      <w:widowControl/>
      <w:spacing w:line="360" w:lineRule="auto"/>
      <w:jc w:val="left"/>
    </w:pPr>
    <w:rPr>
      <w:rFonts w:ascii="Times New Roman" w:hAnsi="Times New Roman"/>
      <w:kern w:val="0"/>
      <w:sz w:val="24"/>
      <w:szCs w:val="21"/>
    </w:rPr>
  </w:style>
  <w:style w:type="paragraph" w:customStyle="1" w:styleId="118">
    <w:name w:val="目录文字"/>
    <w:basedOn w:val="1"/>
    <w:qFormat/>
    <w:uiPriority w:val="0"/>
    <w:pPr>
      <w:widowControl/>
      <w:spacing w:line="480" w:lineRule="auto"/>
      <w:jc w:val="left"/>
    </w:pPr>
    <w:rPr>
      <w:rFonts w:ascii="宋体" w:hAnsi="宋体"/>
      <w:kern w:val="0"/>
      <w:sz w:val="24"/>
      <w:szCs w:val="20"/>
    </w:rPr>
  </w:style>
  <w:style w:type="paragraph" w:customStyle="1" w:styleId="119">
    <w:name w:val="charchar20"/>
    <w:basedOn w:val="1"/>
    <w:qFormat/>
    <w:uiPriority w:val="0"/>
    <w:pPr>
      <w:widowControl/>
      <w:spacing w:after="160" w:line="240" w:lineRule="atLeast"/>
      <w:jc w:val="left"/>
    </w:pPr>
    <w:rPr>
      <w:rFonts w:ascii="Verdana" w:hAnsi="Verdana" w:cs="宋体"/>
      <w:kern w:val="0"/>
      <w:sz w:val="24"/>
      <w:szCs w:val="24"/>
    </w:rPr>
  </w:style>
  <w:style w:type="character" w:customStyle="1" w:styleId="120">
    <w:name w:val="纯文本 Char1"/>
    <w:semiHidden/>
    <w:qFormat/>
    <w:uiPriority w:val="99"/>
    <w:rPr>
      <w:rFonts w:ascii="宋体" w:hAnsi="Courier New" w:eastAsia="宋体" w:cs="Courier New"/>
      <w:szCs w:val="21"/>
    </w:rPr>
  </w:style>
  <w:style w:type="paragraph" w:customStyle="1" w:styleId="121">
    <w:name w:val="text"/>
    <w:basedOn w:val="1"/>
    <w:qFormat/>
    <w:uiPriority w:val="0"/>
    <w:pPr>
      <w:widowControl/>
      <w:spacing w:before="100" w:beforeAutospacing="1" w:after="100" w:afterAutospacing="1" w:line="312" w:lineRule="auto"/>
      <w:jc w:val="left"/>
    </w:pPr>
    <w:rPr>
      <w:rFonts w:ascii="ˎ̥" w:hAnsi="ˎ̥" w:cs="宋体"/>
      <w:color w:val="333333"/>
      <w:kern w:val="0"/>
      <w:sz w:val="18"/>
      <w:szCs w:val="18"/>
    </w:rPr>
  </w:style>
  <w:style w:type="paragraph" w:customStyle="1" w:styleId="122">
    <w:name w:val="自定义标题１"/>
    <w:basedOn w:val="4"/>
    <w:qFormat/>
    <w:uiPriority w:val="0"/>
    <w:pPr>
      <w:numPr>
        <w:ilvl w:val="0"/>
        <w:numId w:val="1"/>
      </w:numPr>
      <w:spacing w:before="100" w:beforeAutospacing="1" w:after="100" w:afterAutospacing="1" w:line="240" w:lineRule="auto"/>
      <w:ind w:firstLine="0" w:firstLineChars="0"/>
    </w:pPr>
    <w:rPr>
      <w:rFonts w:ascii="Times New Roman" w:hAnsi="Times New Roman" w:eastAsia="宋体"/>
      <w:bCs/>
      <w:sz w:val="24"/>
      <w:szCs w:val="32"/>
    </w:rPr>
  </w:style>
  <w:style w:type="paragraph" w:customStyle="1" w:styleId="123">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a"/>
    <w:basedOn w:val="1"/>
    <w:qFormat/>
    <w:uiPriority w:val="0"/>
    <w:pPr>
      <w:widowControl/>
      <w:spacing w:line="480" w:lineRule="auto"/>
      <w:jc w:val="left"/>
    </w:pPr>
    <w:rPr>
      <w:rFonts w:ascii="宋体" w:hAnsi="宋体" w:cs="宋体"/>
      <w:kern w:val="0"/>
      <w:sz w:val="24"/>
      <w:szCs w:val="24"/>
    </w:rPr>
  </w:style>
  <w:style w:type="paragraph" w:customStyle="1" w:styleId="125">
    <w:name w:val="charchar2"/>
    <w:basedOn w:val="1"/>
    <w:qFormat/>
    <w:uiPriority w:val="0"/>
    <w:pPr>
      <w:widowControl/>
      <w:spacing w:after="160" w:line="240" w:lineRule="atLeast"/>
      <w:jc w:val="left"/>
    </w:pPr>
    <w:rPr>
      <w:rFonts w:ascii="Verdana" w:hAnsi="Verdana" w:cs="宋体"/>
      <w:kern w:val="0"/>
      <w:sz w:val="24"/>
      <w:szCs w:val="24"/>
    </w:rPr>
  </w:style>
  <w:style w:type="paragraph" w:customStyle="1" w:styleId="126">
    <w:name w:val="副标题1"/>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customStyle="1" w:styleId="127">
    <w:name w:val="Char Char Char Char Char Char Char Char Char Char Char Char Char Char Char Char Char Char Char"/>
    <w:basedOn w:val="1"/>
    <w:qFormat/>
    <w:uiPriority w:val="0"/>
    <w:pPr>
      <w:widowControl/>
      <w:spacing w:after="160" w:line="240" w:lineRule="exact"/>
      <w:jc w:val="left"/>
    </w:pPr>
    <w:rPr>
      <w:rFonts w:ascii="宋体" w:hAnsi="宋体"/>
      <w:sz w:val="28"/>
      <w:szCs w:val="20"/>
    </w:rPr>
  </w:style>
  <w:style w:type="table" w:customStyle="1" w:styleId="128">
    <w:name w:val="网格型1"/>
    <w:basedOn w:val="4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副标题 Char1"/>
    <w:qFormat/>
    <w:uiPriority w:val="0"/>
    <w:rPr>
      <w:rFonts w:ascii="Cambria" w:hAnsi="Cambria" w:eastAsia="宋体" w:cs="Times New Roman"/>
      <w:b/>
      <w:bCs/>
      <w:kern w:val="28"/>
      <w:sz w:val="32"/>
      <w:szCs w:val="32"/>
    </w:rPr>
  </w:style>
  <w:style w:type="character" w:customStyle="1" w:styleId="130">
    <w:name w:val="批注文字 字符1"/>
    <w:qFormat/>
    <w:uiPriority w:val="0"/>
    <w:rPr>
      <w:kern w:val="2"/>
      <w:sz w:val="21"/>
      <w:szCs w:val="24"/>
    </w:rPr>
  </w:style>
  <w:style w:type="character" w:customStyle="1" w:styleId="131">
    <w:name w:val="批注文字 Char"/>
    <w:qFormat/>
    <w:uiPriority w:val="0"/>
    <w:rPr>
      <w:kern w:val="2"/>
      <w:sz w:val="21"/>
    </w:rPr>
  </w:style>
  <w:style w:type="paragraph" w:customStyle="1" w:styleId="132">
    <w:name w:val="字元 字元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133">
    <w:name w:val="章节二"/>
    <w:basedOn w:val="1"/>
    <w:next w:val="1"/>
    <w:qFormat/>
    <w:uiPriority w:val="0"/>
    <w:pPr>
      <w:topLinePunct/>
      <w:adjustRightInd w:val="0"/>
      <w:snapToGrid w:val="0"/>
      <w:spacing w:beforeLines="50" w:afterLines="50"/>
      <w:jc w:val="center"/>
      <w:outlineLvl w:val="1"/>
    </w:pPr>
    <w:rPr>
      <w:rFonts w:eastAsia="黑体" w:cs="Calibri"/>
      <w:b/>
      <w:spacing w:val="4"/>
      <w:kern w:val="0"/>
      <w:sz w:val="30"/>
      <w:szCs w:val="30"/>
    </w:r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正文文本 31"/>
    <w:basedOn w:val="1"/>
    <w:qFormat/>
    <w:uiPriority w:val="0"/>
    <w:rPr>
      <w:rFonts w:ascii="宋体"/>
      <w:sz w:val="24"/>
      <w:szCs w:val="20"/>
    </w:rPr>
  </w:style>
  <w:style w:type="paragraph" w:customStyle="1" w:styleId="136">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37">
    <w:name w:val="修订3"/>
    <w:unhideWhenUsed/>
    <w:qFormat/>
    <w:uiPriority w:val="99"/>
    <w:rPr>
      <w:rFonts w:ascii="Calibri" w:hAnsi="Calibri" w:eastAsia="宋体" w:cs="Times New Roman"/>
      <w:kern w:val="2"/>
      <w:sz w:val="21"/>
      <w:szCs w:val="22"/>
      <w:lang w:val="en-US" w:eastAsia="zh-CN" w:bidi="ar-SA"/>
    </w:rPr>
  </w:style>
  <w:style w:type="paragraph" w:customStyle="1" w:styleId="138">
    <w:name w:val="样式 宋体 行距: 1.5 倍行距"/>
    <w:basedOn w:val="1"/>
    <w:qFormat/>
    <w:uiPriority w:val="0"/>
    <w:pPr>
      <w:jc w:val="center"/>
    </w:pPr>
    <w:rPr>
      <w:b/>
    </w:rPr>
  </w:style>
  <w:style w:type="paragraph" w:styleId="139">
    <w:name w:val="No Spacing"/>
    <w:qFormat/>
    <w:uiPriority w:val="1"/>
    <w:pPr>
      <w:widowControl w:val="0"/>
      <w:jc w:val="both"/>
    </w:pPr>
    <w:rPr>
      <w:rFonts w:ascii="Times New Roman" w:hAnsi="Times New Roman"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62</Pages>
  <Words>4105</Words>
  <Characters>4439</Characters>
  <Lines>206</Lines>
  <Paragraphs>58</Paragraphs>
  <TotalTime>17</TotalTime>
  <ScaleCrop>false</ScaleCrop>
  <LinksUpToDate>false</LinksUpToDate>
  <CharactersWithSpaces>4537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2025-09-16T02:06:00Z</dcterms:created>
  <dc:creator>袁静</dc:creator>
  <cp:lastModifiedBy>温润如玉</cp:lastModifiedBy>
  <cp:lastPrinted>2025-01-16T09:10:00Z</cp:lastPrinted>
  <dcterms:modified xsi:type="dcterms:W3CDTF">2025-09-19T01:14:44Z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81D6A82662544A08B06B8D9A8FA520E3_13</vt:lpwstr>
  </property>
  <property fmtid="{D5CDD505-2E9C-101B-9397-08002B2CF9AE}" pid="4" name="KSOTemplateDocerSaveRecord">
    <vt:lpwstr>eyJoZGlkIjoiNWNhNDk2NTVmZDE4ZGJiYWU4NWY2ZmMxMjM3MTI1ZWIiLCJ1c2VySWQiOiI0Mzg0MTY3NTgifQ==</vt:lpwstr>
  </property>
</Properties>
</file>