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FC8E">
      <w:pPr>
        <w:jc w:val="right"/>
        <w:rPr>
          <w:color w:val="auto"/>
          <w:sz w:val="30"/>
          <w:highlight w:val="none"/>
        </w:rPr>
      </w:pPr>
      <w:bookmarkStart w:id="0" w:name="OLE_LINK6"/>
      <w:r>
        <w:rPr>
          <w:rFonts w:hint="eastAsia"/>
          <w:color w:val="auto"/>
          <w:sz w:val="24"/>
          <w:highlight w:val="none"/>
        </w:rPr>
        <w:t>合同编号：空港建设（工）字-（2025）第[   ]号</w:t>
      </w:r>
    </w:p>
    <w:p w14:paraId="6A81F30A">
      <w:pPr>
        <w:rPr>
          <w:color w:val="auto"/>
          <w:sz w:val="30"/>
          <w:highlight w:val="none"/>
        </w:rPr>
      </w:pPr>
    </w:p>
    <w:p w14:paraId="64BB1B06">
      <w:pPr>
        <w:rPr>
          <w:color w:val="auto"/>
          <w:sz w:val="30"/>
          <w:highlight w:val="none"/>
        </w:rPr>
      </w:pPr>
    </w:p>
    <w:p w14:paraId="524E22F5">
      <w:pPr>
        <w:rPr>
          <w:color w:val="auto"/>
          <w:sz w:val="30"/>
          <w:highlight w:val="none"/>
        </w:rPr>
      </w:pPr>
    </w:p>
    <w:p w14:paraId="7228CCF4">
      <w:pPr>
        <w:rPr>
          <w:color w:val="auto"/>
          <w:sz w:val="30"/>
          <w:highlight w:val="none"/>
        </w:rPr>
      </w:pPr>
    </w:p>
    <w:p w14:paraId="6B0CCF8C">
      <w:pPr>
        <w:spacing w:line="360" w:lineRule="auto"/>
        <w:jc w:val="center"/>
        <w:rPr>
          <w:rFonts w:hint="eastAsia" w:ascii="宋体" w:hAnsi="宋体" w:cs="华文中宋"/>
          <w:b/>
          <w:bCs/>
          <w:color w:val="auto"/>
          <w:sz w:val="52"/>
          <w:szCs w:val="52"/>
          <w:highlight w:val="none"/>
        </w:rPr>
      </w:pPr>
      <w:r>
        <w:rPr>
          <w:rFonts w:hint="eastAsia" w:ascii="宋体" w:hAnsi="宋体" w:cs="华文中宋"/>
          <w:b/>
          <w:bCs/>
          <w:color w:val="auto"/>
          <w:sz w:val="52"/>
          <w:szCs w:val="52"/>
          <w:highlight w:val="none"/>
        </w:rPr>
        <w:t>勘察设计合同</w:t>
      </w:r>
    </w:p>
    <w:p w14:paraId="0A20B1F1">
      <w:pPr>
        <w:rPr>
          <w:color w:val="auto"/>
          <w:sz w:val="30"/>
          <w:highlight w:val="none"/>
        </w:rPr>
      </w:pPr>
      <w:bookmarkStart w:id="3" w:name="_GoBack"/>
      <w:bookmarkEnd w:id="3"/>
    </w:p>
    <w:p w14:paraId="7AA5A01D">
      <w:pPr>
        <w:rPr>
          <w:color w:val="auto"/>
          <w:highlight w:val="none"/>
        </w:rPr>
      </w:pPr>
    </w:p>
    <w:p w14:paraId="0ABD5989">
      <w:pPr>
        <w:rPr>
          <w:b/>
          <w:bCs/>
          <w:color w:val="auto"/>
          <w:sz w:val="44"/>
          <w:highlight w:val="none"/>
        </w:rPr>
      </w:pPr>
    </w:p>
    <w:p w14:paraId="1EB8B79B">
      <w:pPr>
        <w:rPr>
          <w:b/>
          <w:bCs/>
          <w:color w:val="auto"/>
          <w:sz w:val="44"/>
          <w:highlight w:val="none"/>
        </w:rPr>
      </w:pPr>
    </w:p>
    <w:p w14:paraId="7640BAA1">
      <w:pPr>
        <w:ind w:left="1506" w:hanging="1506" w:hangingChars="500"/>
        <w:rPr>
          <w:b/>
          <w:bCs/>
          <w:color w:val="auto"/>
          <w:sz w:val="30"/>
          <w:highlight w:val="none"/>
        </w:rPr>
      </w:pPr>
    </w:p>
    <w:p w14:paraId="11AEB646">
      <w:pPr>
        <w:rPr>
          <w:b/>
          <w:bCs/>
          <w:color w:val="auto"/>
          <w:sz w:val="30"/>
          <w:highlight w:val="none"/>
          <w:u w:val="single"/>
        </w:rPr>
      </w:pPr>
      <w:r>
        <w:rPr>
          <w:rFonts w:hint="eastAsia"/>
          <w:b/>
          <w:bCs/>
          <w:color w:val="auto"/>
          <w:spacing w:val="82"/>
          <w:sz w:val="30"/>
          <w:highlight w:val="none"/>
        </w:rPr>
        <w:t>工程名称:</w:t>
      </w:r>
      <w:r>
        <w:rPr>
          <w:rFonts w:hint="eastAsia"/>
          <w:b/>
          <w:bCs/>
          <w:color w:val="auto"/>
          <w:sz w:val="30"/>
          <w:highlight w:val="none"/>
          <w:u w:val="single"/>
        </w:rPr>
        <w:t>XXX工程</w:t>
      </w:r>
    </w:p>
    <w:p w14:paraId="2ACA9C33">
      <w:pPr>
        <w:rPr>
          <w:b/>
          <w:bCs/>
          <w:color w:val="auto"/>
          <w:sz w:val="30"/>
          <w:highlight w:val="none"/>
        </w:rPr>
      </w:pPr>
      <w:r>
        <w:rPr>
          <w:rFonts w:hint="eastAsia"/>
          <w:b/>
          <w:bCs/>
          <w:color w:val="auto"/>
          <w:sz w:val="30"/>
          <w:highlight w:val="none"/>
        </w:rPr>
        <w:t>发   包   人：</w:t>
      </w:r>
      <w:r>
        <w:rPr>
          <w:rFonts w:hint="eastAsia"/>
          <w:b/>
          <w:bCs/>
          <w:color w:val="auto"/>
          <w:sz w:val="30"/>
          <w:highlight w:val="none"/>
          <w:u w:val="single"/>
        </w:rPr>
        <w:t>广州空港建设运营集团有限公司</w:t>
      </w:r>
    </w:p>
    <w:p w14:paraId="4F3FD624">
      <w:pPr>
        <w:rPr>
          <w:b/>
          <w:bCs/>
          <w:color w:val="auto"/>
          <w:sz w:val="30"/>
          <w:highlight w:val="none"/>
          <w:u w:val="thick"/>
        </w:rPr>
      </w:pPr>
      <w:r>
        <w:rPr>
          <w:rFonts w:hint="eastAsia"/>
          <w:b/>
          <w:bCs/>
          <w:color w:val="auto"/>
          <w:sz w:val="30"/>
          <w:highlight w:val="none"/>
        </w:rPr>
        <w:t>承   包   人：</w:t>
      </w:r>
      <w:r>
        <w:rPr>
          <w:rFonts w:hint="eastAsia"/>
          <w:b/>
          <w:bCs/>
          <w:color w:val="auto"/>
          <w:sz w:val="30"/>
          <w:highlight w:val="none"/>
          <w:u w:val="single"/>
        </w:rPr>
        <w:t xml:space="preserve">                            </w:t>
      </w:r>
    </w:p>
    <w:p w14:paraId="4B18AF5E">
      <w:pPr>
        <w:ind w:left="2061" w:hanging="2061" w:hangingChars="443"/>
        <w:rPr>
          <w:b/>
          <w:bCs/>
          <w:color w:val="auto"/>
          <w:sz w:val="30"/>
          <w:highlight w:val="none"/>
          <w:u w:val="single"/>
        </w:rPr>
      </w:pPr>
      <w:r>
        <w:rPr>
          <w:rFonts w:hint="eastAsia"/>
          <w:b/>
          <w:bCs/>
          <w:color w:val="auto"/>
          <w:spacing w:val="82"/>
          <w:sz w:val="30"/>
          <w:highlight w:val="none"/>
        </w:rPr>
        <w:t>签订地点</w:t>
      </w:r>
      <w:r>
        <w:rPr>
          <w:rFonts w:hint="eastAsia"/>
          <w:b/>
          <w:bCs/>
          <w:color w:val="auto"/>
          <w:sz w:val="30"/>
          <w:highlight w:val="none"/>
        </w:rPr>
        <w:t>：</w:t>
      </w:r>
      <w:r>
        <w:rPr>
          <w:rFonts w:hint="eastAsia"/>
          <w:b/>
          <w:bCs/>
          <w:color w:val="auto"/>
          <w:sz w:val="30"/>
          <w:szCs w:val="30"/>
          <w:highlight w:val="none"/>
          <w:u w:val="single"/>
        </w:rPr>
        <w:t>广州空港经济区</w:t>
      </w:r>
    </w:p>
    <w:p w14:paraId="48F2B13F">
      <w:pPr>
        <w:jc w:val="left"/>
        <w:rPr>
          <w:b/>
          <w:bCs/>
          <w:color w:val="auto"/>
          <w:sz w:val="32"/>
          <w:highlight w:val="none"/>
          <w:u w:val="single"/>
        </w:rPr>
      </w:pPr>
      <w:r>
        <w:rPr>
          <w:rFonts w:hint="eastAsia"/>
          <w:b/>
          <w:bCs/>
          <w:color w:val="auto"/>
          <w:spacing w:val="82"/>
          <w:sz w:val="30"/>
          <w:highlight w:val="none"/>
        </w:rPr>
        <w:t>签订日期</w:t>
      </w:r>
      <w:r>
        <w:rPr>
          <w:rFonts w:hint="eastAsia"/>
          <w:b/>
          <w:bCs/>
          <w:color w:val="auto"/>
          <w:sz w:val="30"/>
          <w:highlight w:val="none"/>
        </w:rPr>
        <w:t>：</w:t>
      </w:r>
      <w:r>
        <w:rPr>
          <w:rFonts w:hint="eastAsia"/>
          <w:b/>
          <w:bCs/>
          <w:color w:val="auto"/>
          <w:sz w:val="30"/>
          <w:highlight w:val="none"/>
          <w:u w:val="single"/>
        </w:rPr>
        <w:t>2025 年   月  日</w:t>
      </w:r>
    </w:p>
    <w:p w14:paraId="5D77758A">
      <w:pPr>
        <w:spacing w:line="240" w:lineRule="exact"/>
        <w:rPr>
          <w:b/>
          <w:bCs/>
          <w:color w:val="auto"/>
          <w:sz w:val="32"/>
          <w:highlight w:val="none"/>
          <w:u w:val="single"/>
        </w:rPr>
      </w:pPr>
    </w:p>
    <w:p w14:paraId="0A6519F2">
      <w:pPr>
        <w:spacing w:line="240" w:lineRule="exact"/>
        <w:rPr>
          <w:b/>
          <w:bCs/>
          <w:color w:val="auto"/>
          <w:sz w:val="32"/>
          <w:highlight w:val="none"/>
          <w:u w:val="single"/>
        </w:rPr>
      </w:pPr>
    </w:p>
    <w:p w14:paraId="7FD9B0D8">
      <w:pPr>
        <w:spacing w:line="240" w:lineRule="exact"/>
        <w:rPr>
          <w:b/>
          <w:bCs/>
          <w:color w:val="auto"/>
          <w:sz w:val="32"/>
          <w:highlight w:val="none"/>
          <w:u w:val="single"/>
        </w:rPr>
      </w:pPr>
    </w:p>
    <w:p w14:paraId="3646A2ED">
      <w:pPr>
        <w:spacing w:line="240" w:lineRule="exact"/>
        <w:rPr>
          <w:b/>
          <w:bCs/>
          <w:color w:val="auto"/>
          <w:sz w:val="32"/>
          <w:highlight w:val="none"/>
          <w:u w:val="single"/>
        </w:rPr>
      </w:pPr>
    </w:p>
    <w:p w14:paraId="6512129A">
      <w:pPr>
        <w:spacing w:line="240" w:lineRule="exact"/>
        <w:rPr>
          <w:b/>
          <w:bCs/>
          <w:color w:val="auto"/>
          <w:sz w:val="32"/>
          <w:highlight w:val="none"/>
          <w:u w:val="single"/>
        </w:rPr>
      </w:pPr>
    </w:p>
    <w:p w14:paraId="4FAF1779">
      <w:pPr>
        <w:spacing w:line="240" w:lineRule="exact"/>
        <w:rPr>
          <w:b/>
          <w:bCs/>
          <w:color w:val="auto"/>
          <w:sz w:val="32"/>
          <w:highlight w:val="none"/>
          <w:u w:val="single"/>
        </w:rPr>
      </w:pPr>
    </w:p>
    <w:p w14:paraId="47A261CB">
      <w:pPr>
        <w:spacing w:line="240" w:lineRule="exact"/>
        <w:rPr>
          <w:b/>
          <w:bCs/>
          <w:color w:val="auto"/>
          <w:sz w:val="32"/>
          <w:highlight w:val="none"/>
          <w:u w:val="single"/>
        </w:rPr>
      </w:pPr>
    </w:p>
    <w:p w14:paraId="4765628B">
      <w:pPr>
        <w:spacing w:line="240" w:lineRule="exact"/>
        <w:rPr>
          <w:b/>
          <w:bCs/>
          <w:color w:val="auto"/>
          <w:sz w:val="32"/>
          <w:highlight w:val="none"/>
          <w:u w:val="single"/>
        </w:rPr>
      </w:pPr>
    </w:p>
    <w:p w14:paraId="5A65ABF0">
      <w:pPr>
        <w:spacing w:line="240" w:lineRule="exact"/>
        <w:rPr>
          <w:b/>
          <w:bCs/>
          <w:color w:val="auto"/>
          <w:sz w:val="32"/>
          <w:highlight w:val="none"/>
          <w:u w:val="single"/>
        </w:rPr>
      </w:pPr>
    </w:p>
    <w:p w14:paraId="1309723F">
      <w:pPr>
        <w:jc w:val="center"/>
        <w:rPr>
          <w:b/>
          <w:bCs/>
          <w:color w:val="auto"/>
          <w:spacing w:val="20"/>
          <w:sz w:val="36"/>
          <w:highlight w:val="none"/>
        </w:rPr>
      </w:pPr>
      <w:r>
        <w:rPr>
          <w:rFonts w:hint="eastAsia"/>
          <w:b/>
          <w:bCs/>
          <w:color w:val="auto"/>
          <w:sz w:val="36"/>
          <w:highlight w:val="none"/>
        </w:rPr>
        <w:t xml:space="preserve">          </w:t>
      </w:r>
    </w:p>
    <w:p w14:paraId="5C59DD04">
      <w:pPr>
        <w:ind w:firstLine="1598" w:firstLineChars="398"/>
        <w:rPr>
          <w:b/>
          <w:bCs/>
          <w:color w:val="auto"/>
          <w:spacing w:val="20"/>
          <w:sz w:val="36"/>
          <w:highlight w:val="none"/>
        </w:rPr>
      </w:pPr>
    </w:p>
    <w:p w14:paraId="768A587A">
      <w:pPr>
        <w:spacing w:line="460" w:lineRule="exact"/>
        <w:ind w:firstLine="401" w:firstLineChars="100"/>
        <w:jc w:val="center"/>
        <w:rPr>
          <w:b/>
          <w:bCs/>
          <w:color w:val="auto"/>
          <w:spacing w:val="20"/>
          <w:sz w:val="36"/>
          <w:highlight w:val="none"/>
        </w:rPr>
      </w:pPr>
      <w:r>
        <w:rPr>
          <w:b/>
          <w:bCs/>
          <w:color w:val="auto"/>
          <w:spacing w:val="20"/>
          <w:sz w:val="36"/>
          <w:highlight w:val="none"/>
        </w:rPr>
        <w:br w:type="page"/>
      </w:r>
      <w:r>
        <w:rPr>
          <w:rFonts w:hint="eastAsia" w:ascii="华文中宋" w:hAnsi="华文中宋" w:eastAsia="华文中宋"/>
          <w:b/>
          <w:bCs/>
          <w:color w:val="auto"/>
          <w:sz w:val="44"/>
          <w:szCs w:val="44"/>
          <w:highlight w:val="none"/>
        </w:rPr>
        <w:t>合同协议书</w:t>
      </w:r>
    </w:p>
    <w:p w14:paraId="7BA8E7D6">
      <w:pPr>
        <w:spacing w:line="460" w:lineRule="exact"/>
        <w:ind w:firstLine="401" w:firstLineChars="100"/>
        <w:jc w:val="center"/>
        <w:rPr>
          <w:b/>
          <w:bCs/>
          <w:color w:val="auto"/>
          <w:spacing w:val="20"/>
          <w:sz w:val="36"/>
          <w:highlight w:val="none"/>
        </w:rPr>
      </w:pPr>
    </w:p>
    <w:p w14:paraId="7CE11683">
      <w:pPr>
        <w:spacing w:line="460" w:lineRule="exact"/>
        <w:ind w:firstLine="240" w:firstLineChars="100"/>
        <w:rPr>
          <w:color w:val="auto"/>
          <w:sz w:val="24"/>
          <w:highlight w:val="none"/>
        </w:rPr>
      </w:pPr>
      <w:r>
        <w:rPr>
          <w:rFonts w:hint="eastAsia"/>
          <w:color w:val="auto"/>
          <w:sz w:val="24"/>
          <w:highlight w:val="none"/>
        </w:rPr>
        <w:t>发包人：</w:t>
      </w:r>
      <w:r>
        <w:rPr>
          <w:rFonts w:hint="eastAsia"/>
          <w:b/>
          <w:bCs/>
          <w:color w:val="auto"/>
          <w:sz w:val="24"/>
          <w:highlight w:val="none"/>
          <w:u w:val="single"/>
        </w:rPr>
        <w:t>广州空港建设运营集团有限公司</w:t>
      </w:r>
    </w:p>
    <w:p w14:paraId="41C084AC">
      <w:pPr>
        <w:spacing w:line="460" w:lineRule="exact"/>
        <w:ind w:firstLine="240" w:firstLineChars="100"/>
        <w:rPr>
          <w:color w:val="auto"/>
          <w:sz w:val="24"/>
          <w:highlight w:val="none"/>
        </w:rPr>
      </w:pPr>
      <w:r>
        <w:rPr>
          <w:rFonts w:hint="eastAsia"/>
          <w:color w:val="auto"/>
          <w:sz w:val="24"/>
          <w:highlight w:val="none"/>
        </w:rPr>
        <w:t>承包人：</w:t>
      </w:r>
      <w:r>
        <w:rPr>
          <w:rFonts w:hint="eastAsia"/>
          <w:b/>
          <w:bCs/>
          <w:color w:val="auto"/>
          <w:sz w:val="24"/>
          <w:highlight w:val="none"/>
          <w:u w:val="single"/>
        </w:rPr>
        <w:t xml:space="preserve">                            </w:t>
      </w:r>
    </w:p>
    <w:p w14:paraId="1E8331FA">
      <w:pPr>
        <w:spacing w:line="460" w:lineRule="exact"/>
        <w:ind w:firstLine="480" w:firstLineChars="200"/>
        <w:rPr>
          <w:rFonts w:hint="eastAsia" w:ascii="宋体" w:hAnsi="宋体"/>
          <w:color w:val="auto"/>
          <w:sz w:val="24"/>
          <w:highlight w:val="none"/>
        </w:rPr>
      </w:pPr>
    </w:p>
    <w:p w14:paraId="310EC05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根据《中华人民共和国</w:t>
      </w:r>
      <w:r>
        <w:rPr>
          <w:rFonts w:hint="eastAsia" w:ascii="宋体" w:hAnsi="宋体"/>
          <w:color w:val="auto"/>
          <w:sz w:val="24"/>
          <w:highlight w:val="none"/>
        </w:rPr>
        <w:t>民</w:t>
      </w:r>
      <w:r>
        <w:rPr>
          <w:rFonts w:ascii="宋体" w:hAnsi="宋体"/>
          <w:color w:val="auto"/>
          <w:sz w:val="24"/>
          <w:highlight w:val="none"/>
        </w:rPr>
        <w:t>法典》《中华人民共和国建筑法》</w:t>
      </w:r>
      <w:r>
        <w:rPr>
          <w:rFonts w:hint="eastAsia" w:ascii="宋体" w:hAnsi="宋体"/>
          <w:color w:val="auto"/>
          <w:sz w:val="24"/>
          <w:highlight w:val="none"/>
        </w:rPr>
        <w:t>《建设工程勘察设计管理条例》《建设工程质量管理条例》国家及地方有关建设工程勘察设计管理法律法规和规章，</w:t>
      </w:r>
      <w:r>
        <w:rPr>
          <w:rFonts w:ascii="宋体" w:hAnsi="宋体"/>
          <w:color w:val="auto"/>
          <w:sz w:val="24"/>
          <w:highlight w:val="none"/>
        </w:rPr>
        <w:t>遵循平等、自愿、公平和诚实信用的原则，双方就</w:t>
      </w:r>
      <w:r>
        <w:rPr>
          <w:rFonts w:hint="eastAsia" w:ascii="宋体" w:hAnsi="宋体"/>
          <w:color w:val="auto"/>
          <w:sz w:val="24"/>
          <w:highlight w:val="none"/>
          <w:u w:val="single"/>
        </w:rPr>
        <w:t>XXX工程</w:t>
      </w:r>
      <w:r>
        <w:rPr>
          <w:rFonts w:ascii="宋体" w:hAnsi="宋体"/>
          <w:color w:val="auto"/>
          <w:sz w:val="24"/>
          <w:highlight w:val="none"/>
        </w:rPr>
        <w:t>勘察</w:t>
      </w:r>
      <w:r>
        <w:rPr>
          <w:rFonts w:hint="eastAsia" w:ascii="宋体" w:hAnsi="宋体"/>
          <w:color w:val="auto"/>
          <w:sz w:val="24"/>
          <w:highlight w:val="none"/>
        </w:rPr>
        <w:t>设计及</w:t>
      </w:r>
      <w:r>
        <w:rPr>
          <w:rFonts w:ascii="宋体" w:hAnsi="宋体"/>
          <w:color w:val="auto"/>
          <w:sz w:val="24"/>
          <w:highlight w:val="none"/>
        </w:rPr>
        <w:t>有关事项协商一致</w:t>
      </w:r>
      <w:r>
        <w:rPr>
          <w:rFonts w:hint="eastAsia" w:ascii="宋体" w:hAnsi="宋体"/>
          <w:color w:val="auto"/>
          <w:sz w:val="24"/>
          <w:highlight w:val="none"/>
        </w:rPr>
        <w:t>，签订本合同。</w:t>
      </w:r>
    </w:p>
    <w:p w14:paraId="603CDBEA">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第一条</w:t>
      </w:r>
      <w:r>
        <w:rPr>
          <w:rFonts w:hint="eastAsia"/>
          <w:b/>
          <w:bCs/>
          <w:color w:val="auto"/>
          <w:sz w:val="24"/>
          <w:highlight w:val="none"/>
        </w:rPr>
        <w:tab/>
      </w:r>
      <w:r>
        <w:rPr>
          <w:rFonts w:hint="eastAsia"/>
          <w:b/>
          <w:bCs/>
          <w:color w:val="auto"/>
          <w:sz w:val="24"/>
          <w:highlight w:val="none"/>
        </w:rPr>
        <w:t xml:space="preserve">   签订依据</w:t>
      </w:r>
    </w:p>
    <w:p w14:paraId="3E20F6A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1.1招标文件、投标文件及中标通知书。</w:t>
      </w:r>
    </w:p>
    <w:p w14:paraId="6536796C">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1.2《中华人民共和国民法典》《中华人民共和国建筑法》和《建设工程勘察设计管理条例》《建设工程质量管理条例》等。</w:t>
      </w:r>
    </w:p>
    <w:p w14:paraId="4E4EC25D">
      <w:pPr>
        <w:spacing w:line="460" w:lineRule="exact"/>
        <w:ind w:firstLine="570"/>
        <w:rPr>
          <w:rFonts w:hint="eastAsia" w:ascii="宋体" w:hAnsi="宋体"/>
          <w:color w:val="auto"/>
          <w:sz w:val="24"/>
          <w:highlight w:val="none"/>
        </w:rPr>
      </w:pPr>
      <w:r>
        <w:rPr>
          <w:rFonts w:hint="eastAsia" w:ascii="宋体" w:hAnsi="宋体"/>
          <w:color w:val="auto"/>
          <w:sz w:val="24"/>
          <w:highlight w:val="none"/>
        </w:rPr>
        <w:t>1.3国家及地方有关建设工程勘察设计管理法律法规和规章。</w:t>
      </w:r>
    </w:p>
    <w:p w14:paraId="49A3D242">
      <w:pPr>
        <w:spacing w:line="460" w:lineRule="exact"/>
        <w:ind w:firstLine="570"/>
        <w:rPr>
          <w:rFonts w:hint="eastAsia" w:ascii="宋体" w:hAnsi="宋体"/>
          <w:color w:val="auto"/>
          <w:sz w:val="24"/>
          <w:highlight w:val="none"/>
        </w:rPr>
      </w:pPr>
      <w:r>
        <w:rPr>
          <w:rFonts w:hint="eastAsia" w:ascii="宋体" w:hAnsi="宋体"/>
          <w:color w:val="auto"/>
          <w:sz w:val="24"/>
          <w:highlight w:val="none"/>
        </w:rPr>
        <w:t>1.4建设工程批准有关文件。</w:t>
      </w:r>
    </w:p>
    <w:p w14:paraId="14183F46">
      <w:pPr>
        <w:numPr>
          <w:ilvl w:val="0"/>
          <w:numId w:val="1"/>
        </w:numPr>
        <w:spacing w:line="460" w:lineRule="exact"/>
        <w:rPr>
          <w:rFonts w:hint="eastAsia"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勘察设计服务内容</w:t>
      </w:r>
    </w:p>
    <w:p w14:paraId="3730C82A">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勘察设计范围：</w:t>
      </w:r>
      <w:r>
        <w:rPr>
          <w:rFonts w:hint="eastAsia" w:ascii="宋体" w:hAnsi="宋体"/>
          <w:b/>
          <w:bCs/>
          <w:color w:val="auto"/>
          <w:sz w:val="24"/>
          <w:highlight w:val="none"/>
          <w:u w:val="single"/>
        </w:rPr>
        <w:t>本项目工程建设范围内的XX工程、XX工程、管线保护和（或）实物补偿类管线迁改等勘察设计（含本项目所涉及的外水外电等配套工程设计）具体以项目批复的建设内容为准。</w:t>
      </w:r>
    </w:p>
    <w:p w14:paraId="38695C78">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勘察服务内容：</w:t>
      </w:r>
      <w:r>
        <w:rPr>
          <w:rFonts w:hint="eastAsia" w:ascii="宋体" w:hAnsi="宋体"/>
          <w:b/>
          <w:bCs/>
          <w:color w:val="auto"/>
          <w:sz w:val="24"/>
          <w:highlight w:val="none"/>
          <w:u w:val="single"/>
        </w:rPr>
        <w:t>本项目所需的所有勘察工作，包括但不限于勘察大纲、岩土工程勘察[含初步勘察、详细勘察及施工阶段勘察超前钻(如有)]、工程物探、地形测绘及工程测量并提供移交满足项目测量精度的控制点（不含业主已委托的报批过程中各行政管理部门相关测绘技术工作）等工作。</w:t>
      </w:r>
    </w:p>
    <w:p w14:paraId="3394ED7B">
      <w:pPr>
        <w:spacing w:line="460" w:lineRule="exact"/>
        <w:ind w:firstLine="482" w:firstLineChars="200"/>
        <w:rPr>
          <w:color w:val="auto"/>
          <w:highlight w:val="none"/>
          <w:u w:val="single"/>
        </w:rPr>
      </w:pPr>
      <w:r>
        <w:rPr>
          <w:rFonts w:hint="eastAsia" w:ascii="宋体" w:hAnsi="宋体"/>
          <w:b/>
          <w:bCs/>
          <w:color w:val="auto"/>
          <w:sz w:val="24"/>
          <w:highlight w:val="none"/>
          <w:u w:val="single"/>
        </w:rPr>
        <w:t>注：所有勘察项目（含物探、检测、超前钻）均需报发包人根据现场实际情况确认同意后方可实施。</w:t>
      </w:r>
    </w:p>
    <w:p w14:paraId="135188D0">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设计服务内容：</w:t>
      </w:r>
      <w:r>
        <w:rPr>
          <w:rFonts w:hint="eastAsia" w:ascii="宋体" w:hAnsi="宋体"/>
          <w:b/>
          <w:bCs/>
          <w:color w:val="auto"/>
          <w:sz w:val="24"/>
          <w:highlight w:val="none"/>
          <w:u w:val="single"/>
        </w:rPr>
        <w:t>包括但不限于负责项目的设计大纲、联审决策材料编制及相关技术评审、方案设计及修改、报建图设计和报建通编制、初步设计（含方案深化等）、概算编制、施工图设计、管线保护和（或）实物补偿类管线迁改设计、文物（如有）和树木保护专章编制、技术文件编制、各类相关专题研究、现场服务及竣工图绘制等。</w:t>
      </w:r>
    </w:p>
    <w:p w14:paraId="124E39F6">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注：1.承包人应根据建设行政主管部门或其他相关部门审核通过的文件进行限额设计。</w:t>
      </w:r>
    </w:p>
    <w:p w14:paraId="46531C19">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2.承包人应按照发包人要求，主动对接和协调行政主管部门和相关单位，确保项目设计条件的有效落地。</w:t>
      </w:r>
    </w:p>
    <w:p w14:paraId="270BEC9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发包人根据工程实施情况，有权对承包人的承包范围及内容进行适当调整，经发包人以书面形式提前通知承包人后，承包人必须无条件服从。</w:t>
      </w:r>
    </w:p>
    <w:p w14:paraId="52B75233">
      <w:pPr>
        <w:spacing w:line="460" w:lineRule="exact"/>
        <w:ind w:firstLine="555"/>
        <w:rPr>
          <w:b/>
          <w:bCs/>
          <w:color w:val="auto"/>
          <w:sz w:val="24"/>
          <w:highlight w:val="none"/>
        </w:rPr>
      </w:pPr>
      <w:r>
        <w:rPr>
          <w:rFonts w:hint="eastAsia" w:eastAsia="黑体"/>
          <w:b/>
          <w:bCs/>
          <w:color w:val="auto"/>
          <w:sz w:val="24"/>
          <w:highlight w:val="none"/>
        </w:rPr>
        <w:t>第三条</w:t>
      </w:r>
      <w:r>
        <w:rPr>
          <w:rFonts w:hint="eastAsia" w:eastAsia="黑体"/>
          <w:b/>
          <w:bCs/>
          <w:color w:val="auto"/>
          <w:sz w:val="24"/>
          <w:highlight w:val="none"/>
        </w:rPr>
        <w:tab/>
      </w:r>
      <w:r>
        <w:rPr>
          <w:rFonts w:hint="eastAsia"/>
          <w:b/>
          <w:bCs/>
          <w:color w:val="auto"/>
          <w:sz w:val="24"/>
          <w:highlight w:val="none"/>
        </w:rPr>
        <w:t>设计依据</w:t>
      </w:r>
    </w:p>
    <w:p w14:paraId="0B4F6FCB">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3.1发包人给承包人的中标文件。</w:t>
      </w:r>
    </w:p>
    <w:p w14:paraId="119E6BBF">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3.2发包人提交的基础资料。</w:t>
      </w:r>
    </w:p>
    <w:p w14:paraId="72119F68">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3.3承包人采用的主要技术标准是：</w:t>
      </w:r>
      <w:r>
        <w:rPr>
          <w:rFonts w:hint="eastAsia" w:asciiTheme="minorEastAsia" w:hAnsiTheme="minorEastAsia" w:eastAsiaTheme="minorEastAsia"/>
          <w:color w:val="auto"/>
          <w:sz w:val="24"/>
          <w:highlight w:val="none"/>
          <w:u w:val="single"/>
        </w:rPr>
        <w:t>符合现行国家、省、市有关技术规范及标准要求。</w:t>
      </w:r>
    </w:p>
    <w:p w14:paraId="4EA0F3F5">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第四条</w:t>
      </w:r>
      <w:r>
        <w:rPr>
          <w:rFonts w:hint="eastAsia"/>
          <w:b/>
          <w:bCs/>
          <w:color w:val="auto"/>
          <w:sz w:val="24"/>
          <w:highlight w:val="none"/>
        </w:rPr>
        <w:tab/>
      </w:r>
      <w:r>
        <w:rPr>
          <w:rFonts w:hint="eastAsia"/>
          <w:b/>
          <w:bCs/>
          <w:color w:val="auto"/>
          <w:sz w:val="24"/>
          <w:highlight w:val="none"/>
        </w:rPr>
        <w:t xml:space="preserve"> 合同文件的优先次序</w:t>
      </w:r>
    </w:p>
    <w:p w14:paraId="712CF47B">
      <w:pPr>
        <w:spacing w:line="460" w:lineRule="exact"/>
        <w:ind w:firstLine="480"/>
        <w:rPr>
          <w:color w:val="auto"/>
          <w:sz w:val="24"/>
          <w:highlight w:val="none"/>
        </w:rPr>
      </w:pPr>
      <w:r>
        <w:rPr>
          <w:rFonts w:hint="eastAsia"/>
          <w:color w:val="auto"/>
          <w:sz w:val="24"/>
          <w:highlight w:val="none"/>
        </w:rPr>
        <w:t>构成本合同的文件可视为是能互相说明的，如果合同文件存在歧义或不一致，则根据如下优先次序来判断：</w:t>
      </w:r>
    </w:p>
    <w:p w14:paraId="6BC1F75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4.1本合同书</w:t>
      </w:r>
    </w:p>
    <w:p w14:paraId="2ADA45D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4.2发包人要求及中标通知书</w:t>
      </w:r>
    </w:p>
    <w:p w14:paraId="3BEE604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4.3招标文件及其附件</w:t>
      </w:r>
    </w:p>
    <w:p w14:paraId="7FCD2DD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4.4投标文件</w:t>
      </w:r>
    </w:p>
    <w:p w14:paraId="6439526F">
      <w:pPr>
        <w:spacing w:line="460" w:lineRule="exact"/>
        <w:ind w:firstLine="570"/>
        <w:rPr>
          <w:rFonts w:hint="eastAsia" w:ascii="宋体" w:hAnsi="宋体"/>
          <w:color w:val="auto"/>
          <w:sz w:val="24"/>
          <w:highlight w:val="none"/>
        </w:rPr>
      </w:pPr>
      <w:r>
        <w:rPr>
          <w:rFonts w:hint="eastAsia" w:ascii="宋体" w:hAnsi="宋体"/>
          <w:color w:val="auto"/>
          <w:sz w:val="24"/>
          <w:highlight w:val="none"/>
        </w:rPr>
        <w:t>上述合同文件包括合同当事人就该项合同文件所做出的补充和修改，属于同一类内容的文件，应以最新签署的为准。</w:t>
      </w:r>
    </w:p>
    <w:p w14:paraId="77254480">
      <w:pPr>
        <w:spacing w:line="460" w:lineRule="exact"/>
        <w:ind w:firstLine="570"/>
        <w:rPr>
          <w:b/>
          <w:bCs/>
          <w:color w:val="auto"/>
          <w:sz w:val="24"/>
          <w:highlight w:val="none"/>
        </w:rPr>
      </w:pPr>
      <w:r>
        <w:rPr>
          <w:rFonts w:hint="eastAsia" w:eastAsia="黑体"/>
          <w:b/>
          <w:bCs/>
          <w:color w:val="auto"/>
          <w:sz w:val="24"/>
          <w:highlight w:val="none"/>
        </w:rPr>
        <w:t>第五条</w:t>
      </w:r>
      <w:r>
        <w:rPr>
          <w:rFonts w:hint="eastAsia"/>
          <w:b/>
          <w:bCs/>
          <w:color w:val="auto"/>
          <w:sz w:val="24"/>
          <w:highlight w:val="none"/>
        </w:rPr>
        <w:tab/>
      </w:r>
      <w:r>
        <w:rPr>
          <w:rFonts w:hint="eastAsia"/>
          <w:b/>
          <w:bCs/>
          <w:color w:val="auto"/>
          <w:sz w:val="24"/>
          <w:highlight w:val="none"/>
        </w:rPr>
        <w:t>项目名称、规模、阶段、投资及内容</w:t>
      </w:r>
    </w:p>
    <w:tbl>
      <w:tblPr>
        <w:tblStyle w:val="12"/>
        <w:tblW w:w="88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5"/>
        <w:gridCol w:w="6168"/>
      </w:tblGrid>
      <w:tr w14:paraId="1BB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FF5B9AF">
            <w:pPr>
              <w:snapToGrid w:val="0"/>
              <w:spacing w:line="460" w:lineRule="exact"/>
              <w:rPr>
                <w:rFonts w:hint="eastAsia" w:ascii="宋体" w:hAnsi="宋体"/>
                <w:color w:val="auto"/>
                <w:sz w:val="24"/>
                <w:highlight w:val="none"/>
              </w:rPr>
            </w:pPr>
            <w:r>
              <w:rPr>
                <w:rFonts w:hint="eastAsia" w:ascii="宋体" w:hAnsi="宋体"/>
                <w:color w:val="auto"/>
                <w:sz w:val="24"/>
                <w:highlight w:val="none"/>
              </w:rPr>
              <w:t>序号</w:t>
            </w:r>
          </w:p>
        </w:tc>
        <w:tc>
          <w:tcPr>
            <w:tcW w:w="1785" w:type="dxa"/>
          </w:tcPr>
          <w:p w14:paraId="2FB57F21">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6168" w:type="dxa"/>
          </w:tcPr>
          <w:p w14:paraId="3D644518">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规模及投资</w:t>
            </w:r>
          </w:p>
        </w:tc>
      </w:tr>
      <w:tr w14:paraId="592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dxa"/>
            <w:vAlign w:val="center"/>
          </w:tcPr>
          <w:p w14:paraId="5C5485CA">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785" w:type="dxa"/>
            <w:vAlign w:val="center"/>
          </w:tcPr>
          <w:p w14:paraId="1BFB31F8">
            <w:pPr>
              <w:snapToGrid w:val="0"/>
              <w:rPr>
                <w:rFonts w:hint="eastAsia" w:ascii="宋体" w:hAnsi="宋体"/>
                <w:color w:val="auto"/>
                <w:sz w:val="24"/>
                <w:highlight w:val="none"/>
              </w:rPr>
            </w:pPr>
            <w:r>
              <w:rPr>
                <w:rFonts w:hint="eastAsia" w:ascii="宋体" w:hAnsi="宋体"/>
                <w:color w:val="auto"/>
                <w:sz w:val="24"/>
                <w:highlight w:val="none"/>
              </w:rPr>
              <w:t>XXX工程</w:t>
            </w:r>
          </w:p>
        </w:tc>
        <w:tc>
          <w:tcPr>
            <w:tcW w:w="6168" w:type="dxa"/>
            <w:vAlign w:val="center"/>
          </w:tcPr>
          <w:p w14:paraId="7EC7E23B">
            <w:pPr>
              <w:pStyle w:val="4"/>
              <w:rPr>
                <w:rFonts w:hint="eastAsia" w:ascii="宋体" w:hAnsi="宋体"/>
                <w:color w:val="auto"/>
                <w:sz w:val="24"/>
                <w:highlight w:val="none"/>
              </w:rPr>
            </w:pPr>
          </w:p>
        </w:tc>
      </w:tr>
    </w:tbl>
    <w:p w14:paraId="058522ED">
      <w:pPr>
        <w:spacing w:line="460" w:lineRule="exact"/>
        <w:ind w:firstLine="354" w:firstLineChars="147"/>
        <w:rPr>
          <w:b/>
          <w:bCs/>
          <w:color w:val="auto"/>
          <w:sz w:val="24"/>
          <w:highlight w:val="none"/>
        </w:rPr>
      </w:pPr>
      <w:r>
        <w:rPr>
          <w:rFonts w:hint="eastAsia" w:eastAsia="黑体"/>
          <w:b/>
          <w:bCs/>
          <w:color w:val="auto"/>
          <w:sz w:val="24"/>
          <w:highlight w:val="none"/>
        </w:rPr>
        <w:t>第六条</w:t>
      </w:r>
      <w:r>
        <w:rPr>
          <w:rFonts w:hint="eastAsia"/>
          <w:b/>
          <w:bCs/>
          <w:color w:val="auto"/>
          <w:sz w:val="24"/>
          <w:highlight w:val="none"/>
        </w:rPr>
        <w:tab/>
      </w:r>
      <w:r>
        <w:rPr>
          <w:rFonts w:hint="eastAsia"/>
          <w:b/>
          <w:bCs/>
          <w:color w:val="auto"/>
          <w:sz w:val="24"/>
          <w:highlight w:val="none"/>
        </w:rPr>
        <w:t xml:space="preserve"> 发包人向承包人提交的有关资料、文件及时间</w:t>
      </w:r>
    </w:p>
    <w:tbl>
      <w:tblPr>
        <w:tblStyle w:val="12"/>
        <w:tblW w:w="898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40"/>
        <w:gridCol w:w="3840"/>
        <w:gridCol w:w="1605"/>
        <w:gridCol w:w="2700"/>
      </w:tblGrid>
      <w:tr w14:paraId="54E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trPr>
        <w:tc>
          <w:tcPr>
            <w:tcW w:w="840" w:type="dxa"/>
            <w:vAlign w:val="center"/>
          </w:tcPr>
          <w:p w14:paraId="09FB4D5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序号</w:t>
            </w:r>
          </w:p>
        </w:tc>
        <w:tc>
          <w:tcPr>
            <w:tcW w:w="3840" w:type="dxa"/>
            <w:vAlign w:val="center"/>
          </w:tcPr>
          <w:p w14:paraId="753AA8D0">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资料及文件名称</w:t>
            </w:r>
          </w:p>
        </w:tc>
        <w:tc>
          <w:tcPr>
            <w:tcW w:w="1605" w:type="dxa"/>
            <w:vAlign w:val="center"/>
          </w:tcPr>
          <w:p w14:paraId="6FBFF042">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份数</w:t>
            </w:r>
          </w:p>
        </w:tc>
        <w:tc>
          <w:tcPr>
            <w:tcW w:w="2700" w:type="dxa"/>
            <w:vAlign w:val="center"/>
          </w:tcPr>
          <w:p w14:paraId="37CD6051">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提交日期</w:t>
            </w:r>
          </w:p>
        </w:tc>
      </w:tr>
      <w:tr w14:paraId="41D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3AFBD37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3840" w:type="dxa"/>
            <w:vAlign w:val="center"/>
          </w:tcPr>
          <w:p w14:paraId="7D9E3D87">
            <w:pPr>
              <w:snapToGrid w:val="0"/>
              <w:spacing w:before="100" w:after="100" w:line="460" w:lineRule="exact"/>
              <w:rPr>
                <w:rFonts w:hint="eastAsia" w:ascii="宋体" w:hAnsi="宋体"/>
                <w:color w:val="auto"/>
                <w:sz w:val="24"/>
                <w:highlight w:val="none"/>
              </w:rPr>
            </w:pPr>
            <w:r>
              <w:rPr>
                <w:rFonts w:hint="eastAsia" w:ascii="宋体" w:hAnsi="宋体"/>
                <w:color w:val="auto"/>
                <w:sz w:val="24"/>
                <w:highlight w:val="none"/>
              </w:rPr>
              <w:t>中标通知书</w:t>
            </w:r>
          </w:p>
        </w:tc>
        <w:tc>
          <w:tcPr>
            <w:tcW w:w="1605" w:type="dxa"/>
            <w:vAlign w:val="center"/>
          </w:tcPr>
          <w:p w14:paraId="1261723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Merge w:val="restart"/>
            <w:vAlign w:val="center"/>
          </w:tcPr>
          <w:p w14:paraId="20DC5417">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按发包人要求（若因发包人或经发包人同意的原因调整计划，则提交时间作相应调整）</w:t>
            </w:r>
          </w:p>
        </w:tc>
      </w:tr>
      <w:tr w14:paraId="4867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2DF9DBCD">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3840" w:type="dxa"/>
            <w:vAlign w:val="center"/>
          </w:tcPr>
          <w:p w14:paraId="4F452A8D">
            <w:pPr>
              <w:snapToGrid w:val="0"/>
              <w:spacing w:before="100" w:after="100" w:line="460" w:lineRule="exact"/>
              <w:rPr>
                <w:rFonts w:hint="eastAsia" w:ascii="宋体" w:hAnsi="宋体"/>
                <w:color w:val="auto"/>
                <w:sz w:val="24"/>
                <w:highlight w:val="none"/>
              </w:rPr>
            </w:pPr>
            <w:r>
              <w:rPr>
                <w:rFonts w:hint="eastAsia" w:ascii="宋体" w:hAnsi="宋体"/>
                <w:color w:val="auto"/>
                <w:sz w:val="24"/>
                <w:highlight w:val="none"/>
              </w:rPr>
              <w:t>其他相关资料</w:t>
            </w:r>
          </w:p>
        </w:tc>
        <w:tc>
          <w:tcPr>
            <w:tcW w:w="1605" w:type="dxa"/>
            <w:vAlign w:val="center"/>
          </w:tcPr>
          <w:p w14:paraId="6B41E487">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Merge w:val="continue"/>
            <w:vAlign w:val="center"/>
          </w:tcPr>
          <w:p w14:paraId="10A9DEFE">
            <w:pPr>
              <w:snapToGrid w:val="0"/>
              <w:spacing w:line="460" w:lineRule="exact"/>
              <w:jc w:val="center"/>
              <w:rPr>
                <w:rFonts w:hint="eastAsia" w:ascii="宋体" w:hAnsi="宋体"/>
                <w:color w:val="auto"/>
                <w:sz w:val="24"/>
                <w:highlight w:val="none"/>
              </w:rPr>
            </w:pPr>
          </w:p>
        </w:tc>
      </w:tr>
    </w:tbl>
    <w:p w14:paraId="22F7AA6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第七条</w:t>
      </w:r>
      <w:r>
        <w:rPr>
          <w:rFonts w:hint="eastAsia" w:eastAsia="黑体"/>
          <w:b/>
          <w:bCs/>
          <w:color w:val="auto"/>
          <w:sz w:val="24"/>
          <w:highlight w:val="none"/>
        </w:rPr>
        <w:tab/>
      </w:r>
      <w:r>
        <w:rPr>
          <w:rFonts w:hint="eastAsia" w:eastAsia="黑体"/>
          <w:b/>
          <w:bCs/>
          <w:color w:val="auto"/>
          <w:sz w:val="24"/>
          <w:highlight w:val="none"/>
        </w:rPr>
        <w:t xml:space="preserve"> </w:t>
      </w:r>
      <w:r>
        <w:rPr>
          <w:rFonts w:hint="eastAsia"/>
          <w:b/>
          <w:bCs/>
          <w:color w:val="auto"/>
          <w:sz w:val="24"/>
          <w:highlight w:val="none"/>
        </w:rPr>
        <w:t>承包人向发包人交付的设计文件及勘察成果文件份数、内容要求、时间</w:t>
      </w:r>
    </w:p>
    <w:tbl>
      <w:tblPr>
        <w:tblStyle w:val="12"/>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96"/>
        <w:gridCol w:w="2989"/>
        <w:gridCol w:w="1145"/>
        <w:gridCol w:w="1559"/>
        <w:gridCol w:w="2143"/>
      </w:tblGrid>
      <w:tr w14:paraId="485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44FE8E1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类别</w:t>
            </w:r>
          </w:p>
        </w:tc>
        <w:tc>
          <w:tcPr>
            <w:tcW w:w="496" w:type="dxa"/>
            <w:vAlign w:val="center"/>
          </w:tcPr>
          <w:p w14:paraId="0DC9535E">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989" w:type="dxa"/>
            <w:vAlign w:val="center"/>
          </w:tcPr>
          <w:p w14:paraId="02D4A98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资料及文件名称</w:t>
            </w:r>
          </w:p>
        </w:tc>
        <w:tc>
          <w:tcPr>
            <w:tcW w:w="1145" w:type="dxa"/>
            <w:vAlign w:val="center"/>
          </w:tcPr>
          <w:p w14:paraId="7A856914">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份数</w:t>
            </w:r>
          </w:p>
        </w:tc>
        <w:tc>
          <w:tcPr>
            <w:tcW w:w="1559" w:type="dxa"/>
            <w:vAlign w:val="center"/>
          </w:tcPr>
          <w:p w14:paraId="68ECA34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c>
          <w:tcPr>
            <w:tcW w:w="2143" w:type="dxa"/>
            <w:vAlign w:val="center"/>
          </w:tcPr>
          <w:p w14:paraId="06101A26">
            <w:pPr>
              <w:snapToGrid w:val="0"/>
              <w:spacing w:line="240" w:lineRule="exact"/>
              <w:jc w:val="center"/>
              <w:rPr>
                <w:rFonts w:hint="eastAsia" w:ascii="宋体" w:hAnsi="宋体"/>
                <w:color w:val="auto"/>
                <w:szCs w:val="21"/>
                <w:highlight w:val="none"/>
              </w:rPr>
            </w:pPr>
          </w:p>
          <w:p w14:paraId="4D5A86C7">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工期要求时间</w:t>
            </w:r>
          </w:p>
          <w:p w14:paraId="6211FA46">
            <w:pPr>
              <w:snapToGrid w:val="0"/>
              <w:spacing w:line="240" w:lineRule="exact"/>
              <w:jc w:val="center"/>
              <w:rPr>
                <w:rFonts w:hint="eastAsia" w:ascii="宋体" w:hAnsi="宋体"/>
                <w:color w:val="auto"/>
                <w:szCs w:val="21"/>
                <w:highlight w:val="none"/>
              </w:rPr>
            </w:pPr>
          </w:p>
        </w:tc>
      </w:tr>
      <w:tr w14:paraId="1CCD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5" w:type="dxa"/>
            <w:vMerge w:val="restart"/>
          </w:tcPr>
          <w:p w14:paraId="39CEDC0E">
            <w:pPr>
              <w:snapToGrid w:val="0"/>
              <w:spacing w:line="240" w:lineRule="exact"/>
              <w:rPr>
                <w:rFonts w:hint="eastAsia" w:ascii="宋体" w:hAnsi="宋体"/>
                <w:color w:val="auto"/>
                <w:szCs w:val="21"/>
                <w:highlight w:val="none"/>
              </w:rPr>
            </w:pPr>
          </w:p>
          <w:p w14:paraId="1F7F6435">
            <w:pPr>
              <w:snapToGrid w:val="0"/>
              <w:spacing w:line="240" w:lineRule="exact"/>
              <w:rPr>
                <w:rFonts w:hint="eastAsia" w:ascii="宋体" w:hAnsi="宋体"/>
                <w:color w:val="auto"/>
                <w:szCs w:val="21"/>
                <w:highlight w:val="none"/>
              </w:rPr>
            </w:pPr>
          </w:p>
          <w:p w14:paraId="23C7AA64">
            <w:pPr>
              <w:snapToGrid w:val="0"/>
              <w:spacing w:line="240" w:lineRule="exact"/>
              <w:rPr>
                <w:rFonts w:hint="eastAsia" w:ascii="宋体" w:hAnsi="宋体"/>
                <w:color w:val="auto"/>
                <w:szCs w:val="21"/>
                <w:highlight w:val="none"/>
              </w:rPr>
            </w:pPr>
          </w:p>
          <w:p w14:paraId="14472E5C">
            <w:pPr>
              <w:snapToGrid w:val="0"/>
              <w:spacing w:line="240" w:lineRule="exact"/>
              <w:rPr>
                <w:rFonts w:hint="eastAsia" w:ascii="宋体" w:hAnsi="宋体"/>
                <w:color w:val="auto"/>
                <w:szCs w:val="21"/>
                <w:highlight w:val="none"/>
              </w:rPr>
            </w:pPr>
          </w:p>
          <w:p w14:paraId="0509CCD6">
            <w:pPr>
              <w:snapToGrid w:val="0"/>
              <w:spacing w:line="240" w:lineRule="exact"/>
              <w:rPr>
                <w:rFonts w:hint="eastAsia" w:ascii="宋体" w:hAnsi="宋体"/>
                <w:color w:val="auto"/>
                <w:szCs w:val="21"/>
                <w:highlight w:val="none"/>
              </w:rPr>
            </w:pPr>
          </w:p>
          <w:p w14:paraId="0936C8AA">
            <w:pPr>
              <w:snapToGrid w:val="0"/>
              <w:spacing w:line="240" w:lineRule="exact"/>
              <w:rPr>
                <w:rFonts w:hint="eastAsia" w:ascii="宋体" w:hAnsi="宋体"/>
                <w:color w:val="auto"/>
                <w:szCs w:val="21"/>
                <w:highlight w:val="none"/>
              </w:rPr>
            </w:pPr>
          </w:p>
          <w:p w14:paraId="10634806">
            <w:pPr>
              <w:snapToGrid w:val="0"/>
              <w:spacing w:line="240" w:lineRule="exact"/>
              <w:rPr>
                <w:rFonts w:hint="eastAsia" w:ascii="宋体" w:hAnsi="宋体"/>
                <w:color w:val="auto"/>
                <w:szCs w:val="21"/>
                <w:highlight w:val="none"/>
              </w:rPr>
            </w:pPr>
          </w:p>
          <w:p w14:paraId="4B5D6AFC">
            <w:pPr>
              <w:snapToGrid w:val="0"/>
              <w:spacing w:line="240" w:lineRule="exact"/>
              <w:rPr>
                <w:rFonts w:hint="eastAsia" w:ascii="宋体" w:hAnsi="宋体"/>
                <w:color w:val="auto"/>
                <w:szCs w:val="21"/>
                <w:highlight w:val="none"/>
              </w:rPr>
            </w:pPr>
          </w:p>
          <w:p w14:paraId="6F81C55A">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设计</w:t>
            </w:r>
          </w:p>
          <w:p w14:paraId="1DC478E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协调</w:t>
            </w:r>
          </w:p>
          <w:p w14:paraId="42379C96">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服务</w:t>
            </w:r>
          </w:p>
          <w:p w14:paraId="606568EC">
            <w:pPr>
              <w:snapToGrid w:val="0"/>
              <w:spacing w:line="240" w:lineRule="exact"/>
              <w:rPr>
                <w:rFonts w:hint="eastAsia" w:ascii="宋体" w:hAnsi="宋体"/>
                <w:color w:val="auto"/>
                <w:szCs w:val="21"/>
                <w:highlight w:val="none"/>
              </w:rPr>
            </w:pPr>
          </w:p>
        </w:tc>
        <w:tc>
          <w:tcPr>
            <w:tcW w:w="496" w:type="dxa"/>
            <w:vAlign w:val="center"/>
          </w:tcPr>
          <w:p w14:paraId="61907112">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989" w:type="dxa"/>
            <w:vAlign w:val="center"/>
          </w:tcPr>
          <w:p w14:paraId="18860C6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联审决策相关材料及电子文档(含CAD图文档)</w:t>
            </w:r>
          </w:p>
        </w:tc>
        <w:tc>
          <w:tcPr>
            <w:tcW w:w="1145" w:type="dxa"/>
            <w:vAlign w:val="center"/>
          </w:tcPr>
          <w:p w14:paraId="5F2CFBE8">
            <w:pPr>
              <w:snapToGrid w:val="0"/>
              <w:spacing w:line="240" w:lineRule="exact"/>
              <w:jc w:val="left"/>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44758DA0">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方案设计深度要求，重要节点设计达到初步设计深度</w:t>
            </w:r>
          </w:p>
        </w:tc>
        <w:tc>
          <w:tcPr>
            <w:tcW w:w="2143" w:type="dxa"/>
            <w:vMerge w:val="restart"/>
            <w:vAlign w:val="center"/>
          </w:tcPr>
          <w:p w14:paraId="0410875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1.应在中标通知书发出后5个日历天提交勘察设计大纲（含工期计划），经发包人审核后实施。</w:t>
            </w:r>
          </w:p>
          <w:p w14:paraId="42D162F7">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2.设计工期：</w:t>
            </w:r>
          </w:p>
          <w:p w14:paraId="4444502D">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（1）应在中标通知书发出后30日历天内完成协同会审方案编制；</w:t>
            </w:r>
          </w:p>
          <w:p w14:paraId="35A623D5">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（2）联审决策通过后7个日历天内完成初步设计（含勘察、物探及概算编制等内容）；</w:t>
            </w:r>
          </w:p>
          <w:p w14:paraId="0B9834B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 xml:space="preserve">（3）初步设计及概算审批后14个日历天内完成施工图设计，施工图设计文件经审查发现问题后 </w:t>
            </w:r>
            <w:r>
              <w:rPr>
                <w:rFonts w:ascii="宋体" w:hAnsi="宋体"/>
                <w:color w:val="auto"/>
                <w:szCs w:val="21"/>
                <w:highlight w:val="none"/>
              </w:rPr>
              <w:t>10</w:t>
            </w:r>
            <w:r>
              <w:rPr>
                <w:rFonts w:hint="eastAsia" w:ascii="宋体" w:hAnsi="宋体"/>
                <w:color w:val="auto"/>
                <w:szCs w:val="21"/>
                <w:highlight w:val="none"/>
              </w:rPr>
              <w:t xml:space="preserve"> 日历天内完成补充、修改（具体以审核工期为准）。</w:t>
            </w:r>
          </w:p>
          <w:p w14:paraId="2CE1BC2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3.勘察工期</w:t>
            </w:r>
          </w:p>
          <w:p w14:paraId="266EAD4A">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（1）应在中标通知书发出并具备进场条件之日起计20）日历天内完成外业，外业完成后10个日历天提交勘察成果文件（具体以审核工期为准）。</w:t>
            </w:r>
          </w:p>
          <w:p w14:paraId="1C7639F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4.按发包人要求（若因发包人或经发包人同意的原因调整计划，则提交时间作相应调整）。</w:t>
            </w:r>
          </w:p>
        </w:tc>
      </w:tr>
      <w:tr w14:paraId="173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5" w:type="dxa"/>
            <w:vMerge w:val="continue"/>
          </w:tcPr>
          <w:p w14:paraId="5A313A20">
            <w:pPr>
              <w:snapToGrid w:val="0"/>
              <w:spacing w:line="240" w:lineRule="exact"/>
              <w:rPr>
                <w:rFonts w:hint="eastAsia" w:ascii="宋体" w:hAnsi="宋体"/>
                <w:color w:val="auto"/>
                <w:szCs w:val="21"/>
                <w:highlight w:val="none"/>
              </w:rPr>
            </w:pPr>
          </w:p>
        </w:tc>
        <w:tc>
          <w:tcPr>
            <w:tcW w:w="496" w:type="dxa"/>
            <w:vAlign w:val="center"/>
          </w:tcPr>
          <w:p w14:paraId="1136015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989" w:type="dxa"/>
            <w:vAlign w:val="center"/>
          </w:tcPr>
          <w:p w14:paraId="4C4813A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方案设计修改报告及电子文档（含CAD图文档）</w:t>
            </w:r>
          </w:p>
        </w:tc>
        <w:tc>
          <w:tcPr>
            <w:tcW w:w="1145" w:type="dxa"/>
            <w:vAlign w:val="center"/>
          </w:tcPr>
          <w:p w14:paraId="09AA8BB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1559" w:type="dxa"/>
            <w:vAlign w:val="center"/>
          </w:tcPr>
          <w:p w14:paraId="094B3482">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达到方案设计深度要求</w:t>
            </w:r>
          </w:p>
        </w:tc>
        <w:tc>
          <w:tcPr>
            <w:tcW w:w="2143" w:type="dxa"/>
            <w:vMerge w:val="continue"/>
            <w:vAlign w:val="center"/>
          </w:tcPr>
          <w:p w14:paraId="1A8F4CD0">
            <w:pPr>
              <w:snapToGrid w:val="0"/>
              <w:spacing w:line="240" w:lineRule="exact"/>
              <w:rPr>
                <w:rFonts w:hint="eastAsia" w:ascii="宋体" w:hAnsi="宋体"/>
                <w:color w:val="auto"/>
                <w:szCs w:val="21"/>
                <w:highlight w:val="none"/>
              </w:rPr>
            </w:pPr>
          </w:p>
        </w:tc>
      </w:tr>
      <w:tr w14:paraId="4FA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5" w:type="dxa"/>
            <w:vMerge w:val="continue"/>
          </w:tcPr>
          <w:p w14:paraId="382B23F2">
            <w:pPr>
              <w:snapToGrid w:val="0"/>
              <w:spacing w:line="240" w:lineRule="exact"/>
              <w:rPr>
                <w:rFonts w:hint="eastAsia" w:ascii="宋体" w:hAnsi="宋体"/>
                <w:color w:val="auto"/>
                <w:szCs w:val="21"/>
                <w:highlight w:val="none"/>
              </w:rPr>
            </w:pPr>
          </w:p>
        </w:tc>
        <w:tc>
          <w:tcPr>
            <w:tcW w:w="496" w:type="dxa"/>
            <w:vAlign w:val="center"/>
          </w:tcPr>
          <w:p w14:paraId="18D305A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989" w:type="dxa"/>
            <w:vAlign w:val="center"/>
          </w:tcPr>
          <w:p w14:paraId="63B3D18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初步设计报告、图册、概算及电子文档(含CAD图文档)、初步设计及概算与可行性研究报告对比分析报告</w:t>
            </w:r>
          </w:p>
        </w:tc>
        <w:tc>
          <w:tcPr>
            <w:tcW w:w="1145" w:type="dxa"/>
            <w:vAlign w:val="center"/>
          </w:tcPr>
          <w:p w14:paraId="6C2CDC5B">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F39A102">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达到初步设计深度要求</w:t>
            </w:r>
          </w:p>
        </w:tc>
        <w:tc>
          <w:tcPr>
            <w:tcW w:w="2143" w:type="dxa"/>
            <w:vMerge w:val="continue"/>
            <w:vAlign w:val="center"/>
          </w:tcPr>
          <w:p w14:paraId="4FFEE990">
            <w:pPr>
              <w:snapToGrid w:val="0"/>
              <w:spacing w:line="240" w:lineRule="exact"/>
              <w:rPr>
                <w:rFonts w:hint="eastAsia" w:ascii="宋体" w:hAnsi="宋体"/>
                <w:strike/>
                <w:color w:val="auto"/>
                <w:szCs w:val="21"/>
                <w:highlight w:val="none"/>
              </w:rPr>
            </w:pPr>
          </w:p>
        </w:tc>
      </w:tr>
      <w:tr w14:paraId="6AB9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75" w:type="dxa"/>
            <w:vMerge w:val="continue"/>
          </w:tcPr>
          <w:p w14:paraId="40B709C2">
            <w:pPr>
              <w:snapToGrid w:val="0"/>
              <w:spacing w:line="240" w:lineRule="exact"/>
              <w:rPr>
                <w:rFonts w:hint="eastAsia" w:ascii="宋体" w:hAnsi="宋体"/>
                <w:color w:val="auto"/>
                <w:szCs w:val="21"/>
                <w:highlight w:val="none"/>
              </w:rPr>
            </w:pPr>
          </w:p>
        </w:tc>
        <w:tc>
          <w:tcPr>
            <w:tcW w:w="496" w:type="dxa"/>
            <w:vAlign w:val="center"/>
          </w:tcPr>
          <w:p w14:paraId="6E5D992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989" w:type="dxa"/>
            <w:vAlign w:val="center"/>
          </w:tcPr>
          <w:p w14:paraId="6BD7184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施工图设计文件及电子文档(含CAD图文档)</w:t>
            </w:r>
          </w:p>
        </w:tc>
        <w:tc>
          <w:tcPr>
            <w:tcW w:w="1145" w:type="dxa"/>
            <w:vAlign w:val="center"/>
          </w:tcPr>
          <w:p w14:paraId="138CFC08">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20</w:t>
            </w:r>
          </w:p>
        </w:tc>
        <w:tc>
          <w:tcPr>
            <w:tcW w:w="1559" w:type="dxa"/>
            <w:vAlign w:val="center"/>
          </w:tcPr>
          <w:p w14:paraId="59850C8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符合施工图审查及报建要求</w:t>
            </w:r>
          </w:p>
        </w:tc>
        <w:tc>
          <w:tcPr>
            <w:tcW w:w="2143" w:type="dxa"/>
            <w:vMerge w:val="continue"/>
            <w:vAlign w:val="center"/>
          </w:tcPr>
          <w:p w14:paraId="1C937E29">
            <w:pPr>
              <w:snapToGrid w:val="0"/>
              <w:spacing w:line="240" w:lineRule="exact"/>
              <w:rPr>
                <w:rFonts w:hint="eastAsia" w:ascii="宋体" w:hAnsi="宋体"/>
                <w:strike/>
                <w:color w:val="auto"/>
                <w:szCs w:val="21"/>
                <w:highlight w:val="none"/>
              </w:rPr>
            </w:pPr>
          </w:p>
        </w:tc>
      </w:tr>
      <w:tr w14:paraId="5724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74C23DCE">
            <w:pPr>
              <w:snapToGrid w:val="0"/>
              <w:spacing w:line="240" w:lineRule="exact"/>
              <w:rPr>
                <w:rFonts w:hint="eastAsia" w:ascii="宋体" w:hAnsi="宋体"/>
                <w:color w:val="auto"/>
                <w:szCs w:val="21"/>
                <w:highlight w:val="none"/>
              </w:rPr>
            </w:pPr>
          </w:p>
        </w:tc>
        <w:tc>
          <w:tcPr>
            <w:tcW w:w="496" w:type="dxa"/>
            <w:vAlign w:val="center"/>
          </w:tcPr>
          <w:p w14:paraId="79D49D75">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989" w:type="dxa"/>
            <w:vAlign w:val="center"/>
          </w:tcPr>
          <w:p w14:paraId="5AB1CA17">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施工图设计文件补充、修改</w:t>
            </w:r>
          </w:p>
        </w:tc>
        <w:tc>
          <w:tcPr>
            <w:tcW w:w="1145" w:type="dxa"/>
            <w:vAlign w:val="center"/>
          </w:tcPr>
          <w:p w14:paraId="67E907C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1559" w:type="dxa"/>
            <w:vAlign w:val="center"/>
          </w:tcPr>
          <w:p w14:paraId="187FBF7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41A2460A">
            <w:pPr>
              <w:snapToGrid w:val="0"/>
              <w:spacing w:line="240" w:lineRule="exact"/>
              <w:rPr>
                <w:rFonts w:hint="eastAsia" w:ascii="宋体" w:hAnsi="宋体"/>
                <w:color w:val="auto"/>
                <w:szCs w:val="21"/>
                <w:highlight w:val="none"/>
              </w:rPr>
            </w:pPr>
          </w:p>
        </w:tc>
      </w:tr>
      <w:tr w14:paraId="255E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64E679D1">
            <w:pPr>
              <w:snapToGrid w:val="0"/>
              <w:spacing w:line="240" w:lineRule="exact"/>
              <w:rPr>
                <w:rFonts w:hint="eastAsia" w:ascii="宋体" w:hAnsi="宋体"/>
                <w:color w:val="auto"/>
                <w:szCs w:val="21"/>
                <w:highlight w:val="none"/>
              </w:rPr>
            </w:pPr>
          </w:p>
        </w:tc>
        <w:tc>
          <w:tcPr>
            <w:tcW w:w="496" w:type="dxa"/>
            <w:vAlign w:val="center"/>
          </w:tcPr>
          <w:p w14:paraId="75501EE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989" w:type="dxa"/>
            <w:vAlign w:val="center"/>
          </w:tcPr>
          <w:p w14:paraId="65BDE368">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现场服务工作（含施工中设计修改或变更）</w:t>
            </w:r>
          </w:p>
        </w:tc>
        <w:tc>
          <w:tcPr>
            <w:tcW w:w="1145" w:type="dxa"/>
            <w:vAlign w:val="center"/>
          </w:tcPr>
          <w:p w14:paraId="48BA239D">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根据现场需要和发包人要求</w:t>
            </w:r>
          </w:p>
        </w:tc>
        <w:tc>
          <w:tcPr>
            <w:tcW w:w="1559" w:type="dxa"/>
            <w:vAlign w:val="center"/>
          </w:tcPr>
          <w:p w14:paraId="6DDB236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6E0916D">
            <w:pPr>
              <w:snapToGrid w:val="0"/>
              <w:spacing w:line="240" w:lineRule="exact"/>
              <w:rPr>
                <w:rFonts w:hint="eastAsia" w:ascii="宋体" w:hAnsi="宋体"/>
                <w:strike/>
                <w:color w:val="auto"/>
                <w:szCs w:val="21"/>
                <w:highlight w:val="none"/>
              </w:rPr>
            </w:pPr>
          </w:p>
        </w:tc>
      </w:tr>
      <w:tr w14:paraId="18A9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75" w:type="dxa"/>
            <w:vMerge w:val="continue"/>
          </w:tcPr>
          <w:p w14:paraId="316DEA14">
            <w:pPr>
              <w:snapToGrid w:val="0"/>
              <w:spacing w:line="240" w:lineRule="exact"/>
              <w:rPr>
                <w:rFonts w:hint="eastAsia" w:ascii="宋体" w:hAnsi="宋体"/>
                <w:color w:val="auto"/>
                <w:szCs w:val="21"/>
                <w:highlight w:val="none"/>
              </w:rPr>
            </w:pPr>
          </w:p>
        </w:tc>
        <w:tc>
          <w:tcPr>
            <w:tcW w:w="496" w:type="dxa"/>
            <w:vAlign w:val="center"/>
          </w:tcPr>
          <w:p w14:paraId="4B9DD8D5">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989" w:type="dxa"/>
            <w:vAlign w:val="center"/>
          </w:tcPr>
          <w:p w14:paraId="76890CE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编制竣工图</w:t>
            </w:r>
          </w:p>
        </w:tc>
        <w:tc>
          <w:tcPr>
            <w:tcW w:w="1145" w:type="dxa"/>
            <w:vAlign w:val="center"/>
          </w:tcPr>
          <w:p w14:paraId="5F8EB622">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0C630E3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27FE95C">
            <w:pPr>
              <w:snapToGrid w:val="0"/>
              <w:spacing w:line="240" w:lineRule="exact"/>
              <w:rPr>
                <w:rFonts w:hint="eastAsia" w:ascii="宋体" w:hAnsi="宋体"/>
                <w:strike/>
                <w:color w:val="auto"/>
                <w:szCs w:val="21"/>
                <w:highlight w:val="none"/>
              </w:rPr>
            </w:pPr>
          </w:p>
        </w:tc>
      </w:tr>
      <w:tr w14:paraId="17C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75" w:type="dxa"/>
            <w:vMerge w:val="continue"/>
          </w:tcPr>
          <w:p w14:paraId="5DD8F4F6">
            <w:pPr>
              <w:snapToGrid w:val="0"/>
              <w:spacing w:line="240" w:lineRule="exact"/>
              <w:rPr>
                <w:rFonts w:hint="eastAsia" w:ascii="宋体" w:hAnsi="宋体"/>
                <w:color w:val="auto"/>
                <w:szCs w:val="21"/>
                <w:highlight w:val="none"/>
              </w:rPr>
            </w:pPr>
          </w:p>
        </w:tc>
        <w:tc>
          <w:tcPr>
            <w:tcW w:w="496" w:type="dxa"/>
            <w:vAlign w:val="center"/>
          </w:tcPr>
          <w:p w14:paraId="12F29BC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989" w:type="dxa"/>
            <w:vAlign w:val="center"/>
          </w:tcPr>
          <w:p w14:paraId="468F141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报批工作</w:t>
            </w:r>
          </w:p>
        </w:tc>
        <w:tc>
          <w:tcPr>
            <w:tcW w:w="1145" w:type="dxa"/>
            <w:vAlign w:val="center"/>
          </w:tcPr>
          <w:p w14:paraId="6431CF0E">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E8688B3">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5390EB1F">
            <w:pPr>
              <w:snapToGrid w:val="0"/>
              <w:spacing w:line="240" w:lineRule="exact"/>
              <w:rPr>
                <w:rFonts w:hint="eastAsia" w:ascii="宋体" w:hAnsi="宋体"/>
                <w:strike/>
                <w:color w:val="auto"/>
                <w:szCs w:val="21"/>
                <w:highlight w:val="none"/>
              </w:rPr>
            </w:pPr>
          </w:p>
        </w:tc>
      </w:tr>
      <w:tr w14:paraId="16A9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Merge w:val="continue"/>
          </w:tcPr>
          <w:p w14:paraId="7B544080">
            <w:pPr>
              <w:snapToGrid w:val="0"/>
              <w:spacing w:line="240" w:lineRule="exact"/>
              <w:rPr>
                <w:rFonts w:hint="eastAsia" w:ascii="宋体" w:hAnsi="宋体"/>
                <w:color w:val="auto"/>
                <w:szCs w:val="21"/>
                <w:highlight w:val="none"/>
              </w:rPr>
            </w:pPr>
          </w:p>
        </w:tc>
        <w:tc>
          <w:tcPr>
            <w:tcW w:w="496" w:type="dxa"/>
            <w:vAlign w:val="center"/>
          </w:tcPr>
          <w:p w14:paraId="343B6478">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2989" w:type="dxa"/>
            <w:vAlign w:val="center"/>
          </w:tcPr>
          <w:p w14:paraId="3DA66A85">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规划报建及其他专业报建需要的报建图纸和必须的设计文件</w:t>
            </w:r>
          </w:p>
        </w:tc>
        <w:tc>
          <w:tcPr>
            <w:tcW w:w="1145" w:type="dxa"/>
            <w:vAlign w:val="center"/>
          </w:tcPr>
          <w:p w14:paraId="709AD441">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58719DC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1BBCF0A6">
            <w:pPr>
              <w:snapToGrid w:val="0"/>
              <w:spacing w:line="240" w:lineRule="exact"/>
              <w:rPr>
                <w:rFonts w:hint="eastAsia" w:ascii="宋体" w:hAnsi="宋体"/>
                <w:strike/>
                <w:color w:val="auto"/>
                <w:szCs w:val="21"/>
                <w:highlight w:val="none"/>
              </w:rPr>
            </w:pPr>
          </w:p>
        </w:tc>
      </w:tr>
      <w:tr w14:paraId="04F7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5" w:type="dxa"/>
            <w:vAlign w:val="center"/>
          </w:tcPr>
          <w:p w14:paraId="780B9F04">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勘察服务</w:t>
            </w:r>
          </w:p>
        </w:tc>
        <w:tc>
          <w:tcPr>
            <w:tcW w:w="496" w:type="dxa"/>
            <w:vAlign w:val="center"/>
          </w:tcPr>
          <w:p w14:paraId="0262A1E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2989" w:type="dxa"/>
            <w:vAlign w:val="center"/>
          </w:tcPr>
          <w:p w14:paraId="58EC1DB6">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工程勘察（工程测量、工程物探&lt;</w:t>
            </w:r>
            <w:r>
              <w:rPr>
                <w:rFonts w:ascii="宋体" w:hAnsi="宋体"/>
                <w:color w:val="auto"/>
                <w:szCs w:val="21"/>
                <w:highlight w:val="none"/>
              </w:rPr>
              <w:t>地下管线探测</w:t>
            </w:r>
            <w:r>
              <w:rPr>
                <w:rFonts w:hint="eastAsia" w:ascii="宋体" w:hAnsi="宋体"/>
                <w:color w:val="auto"/>
                <w:szCs w:val="21"/>
                <w:highlight w:val="none"/>
              </w:rPr>
              <w:t>&gt;、超前钻（如有）等）成果资料</w:t>
            </w:r>
          </w:p>
        </w:tc>
        <w:tc>
          <w:tcPr>
            <w:tcW w:w="1145" w:type="dxa"/>
            <w:vAlign w:val="center"/>
          </w:tcPr>
          <w:p w14:paraId="14324B3E">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8</w:t>
            </w:r>
          </w:p>
        </w:tc>
        <w:tc>
          <w:tcPr>
            <w:tcW w:w="1559" w:type="dxa"/>
            <w:vAlign w:val="center"/>
          </w:tcPr>
          <w:p w14:paraId="225BE4D0">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按相关规范，达到施工图设计及报建需求</w:t>
            </w:r>
          </w:p>
        </w:tc>
        <w:tc>
          <w:tcPr>
            <w:tcW w:w="2143" w:type="dxa"/>
            <w:vMerge w:val="continue"/>
            <w:vAlign w:val="center"/>
          </w:tcPr>
          <w:p w14:paraId="5D7DF0EA">
            <w:pPr>
              <w:snapToGrid w:val="0"/>
              <w:spacing w:line="240" w:lineRule="exact"/>
              <w:rPr>
                <w:rFonts w:hint="eastAsia" w:ascii="宋体" w:hAnsi="宋体"/>
                <w:strike/>
                <w:color w:val="auto"/>
                <w:szCs w:val="21"/>
                <w:highlight w:val="none"/>
              </w:rPr>
            </w:pPr>
          </w:p>
        </w:tc>
      </w:tr>
      <w:tr w14:paraId="5DF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restart"/>
          </w:tcPr>
          <w:p w14:paraId="473E8CA9">
            <w:pPr>
              <w:snapToGrid w:val="0"/>
              <w:spacing w:line="240" w:lineRule="exact"/>
              <w:rPr>
                <w:rFonts w:hint="eastAsia" w:ascii="宋体" w:hAnsi="宋体"/>
                <w:color w:val="auto"/>
                <w:szCs w:val="21"/>
                <w:highlight w:val="none"/>
              </w:rPr>
            </w:pPr>
          </w:p>
          <w:p w14:paraId="3C3257CC">
            <w:pPr>
              <w:snapToGrid w:val="0"/>
              <w:spacing w:line="240" w:lineRule="exact"/>
              <w:rPr>
                <w:rFonts w:hint="eastAsia" w:ascii="宋体" w:hAnsi="宋体"/>
                <w:color w:val="auto"/>
                <w:szCs w:val="21"/>
                <w:highlight w:val="none"/>
              </w:rPr>
            </w:pPr>
          </w:p>
          <w:p w14:paraId="5BCA3AF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其他</w:t>
            </w:r>
          </w:p>
        </w:tc>
        <w:tc>
          <w:tcPr>
            <w:tcW w:w="496" w:type="dxa"/>
            <w:vAlign w:val="center"/>
          </w:tcPr>
          <w:p w14:paraId="554005FD">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2989" w:type="dxa"/>
            <w:vAlign w:val="center"/>
          </w:tcPr>
          <w:p w14:paraId="0A0F75D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报建通、验收通等其他工作内容</w:t>
            </w:r>
          </w:p>
        </w:tc>
        <w:tc>
          <w:tcPr>
            <w:tcW w:w="1145" w:type="dxa"/>
            <w:vAlign w:val="center"/>
          </w:tcPr>
          <w:p w14:paraId="3B09572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B1E12C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8E17092">
            <w:pPr>
              <w:snapToGrid w:val="0"/>
              <w:spacing w:line="240" w:lineRule="exact"/>
              <w:rPr>
                <w:rFonts w:hint="eastAsia" w:ascii="宋体" w:hAnsi="宋体"/>
                <w:strike/>
                <w:color w:val="auto"/>
                <w:szCs w:val="21"/>
                <w:highlight w:val="none"/>
              </w:rPr>
            </w:pPr>
          </w:p>
        </w:tc>
      </w:tr>
      <w:tr w14:paraId="0DC7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continue"/>
          </w:tcPr>
          <w:p w14:paraId="6DE2CB1E">
            <w:pPr>
              <w:snapToGrid w:val="0"/>
              <w:spacing w:line="240" w:lineRule="exact"/>
              <w:rPr>
                <w:rFonts w:hint="eastAsia" w:ascii="宋体" w:hAnsi="宋体"/>
                <w:color w:val="auto"/>
                <w:szCs w:val="21"/>
                <w:highlight w:val="none"/>
              </w:rPr>
            </w:pPr>
          </w:p>
        </w:tc>
        <w:tc>
          <w:tcPr>
            <w:tcW w:w="496" w:type="dxa"/>
            <w:vAlign w:val="center"/>
          </w:tcPr>
          <w:p w14:paraId="12AB3E77">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2989" w:type="dxa"/>
            <w:vAlign w:val="center"/>
          </w:tcPr>
          <w:p w14:paraId="1B5835C8">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方案报建及修改（含地形套图及打印）</w:t>
            </w:r>
          </w:p>
        </w:tc>
        <w:tc>
          <w:tcPr>
            <w:tcW w:w="1145" w:type="dxa"/>
            <w:vAlign w:val="center"/>
          </w:tcPr>
          <w:p w14:paraId="3CE144A7">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11A19C3">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2B0797CF">
            <w:pPr>
              <w:snapToGrid w:val="0"/>
              <w:spacing w:line="240" w:lineRule="exact"/>
              <w:rPr>
                <w:rFonts w:hint="eastAsia" w:ascii="宋体" w:hAnsi="宋体"/>
                <w:strike/>
                <w:color w:val="auto"/>
                <w:szCs w:val="21"/>
                <w:highlight w:val="none"/>
              </w:rPr>
            </w:pPr>
          </w:p>
        </w:tc>
      </w:tr>
      <w:tr w14:paraId="79A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5" w:type="dxa"/>
            <w:vMerge w:val="continue"/>
          </w:tcPr>
          <w:p w14:paraId="6CF11354">
            <w:pPr>
              <w:snapToGrid w:val="0"/>
              <w:spacing w:line="240" w:lineRule="exact"/>
              <w:rPr>
                <w:rFonts w:hint="eastAsia" w:ascii="宋体" w:hAnsi="宋体"/>
                <w:color w:val="auto"/>
                <w:szCs w:val="21"/>
                <w:highlight w:val="none"/>
              </w:rPr>
            </w:pPr>
          </w:p>
        </w:tc>
        <w:tc>
          <w:tcPr>
            <w:tcW w:w="496" w:type="dxa"/>
            <w:vAlign w:val="center"/>
          </w:tcPr>
          <w:p w14:paraId="11129C81">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2989" w:type="dxa"/>
            <w:vAlign w:val="center"/>
          </w:tcPr>
          <w:p w14:paraId="00252DC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基础资料和数据收集</w:t>
            </w:r>
          </w:p>
        </w:tc>
        <w:tc>
          <w:tcPr>
            <w:tcW w:w="1145" w:type="dxa"/>
            <w:vAlign w:val="center"/>
          </w:tcPr>
          <w:p w14:paraId="6A7D9FEB">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31817F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BA4B321">
            <w:pPr>
              <w:snapToGrid w:val="0"/>
              <w:spacing w:line="240" w:lineRule="exact"/>
              <w:rPr>
                <w:rFonts w:hint="eastAsia" w:ascii="宋体" w:hAnsi="宋体"/>
                <w:strike/>
                <w:color w:val="auto"/>
                <w:szCs w:val="21"/>
                <w:highlight w:val="none"/>
              </w:rPr>
            </w:pPr>
          </w:p>
        </w:tc>
      </w:tr>
    </w:tbl>
    <w:p w14:paraId="56609B53">
      <w:pPr>
        <w:spacing w:line="460" w:lineRule="exact"/>
        <w:ind w:firstLine="480"/>
        <w:rPr>
          <w:rFonts w:hint="eastAsia" w:ascii="宋体" w:hAnsi="宋体"/>
          <w:color w:val="auto"/>
          <w:sz w:val="24"/>
          <w:highlight w:val="none"/>
        </w:rPr>
      </w:pPr>
      <w:r>
        <w:rPr>
          <w:rFonts w:hint="eastAsia" w:ascii="宋体" w:hAnsi="宋体"/>
          <w:color w:val="auto"/>
          <w:sz w:val="24"/>
          <w:highlight w:val="none"/>
        </w:rPr>
        <w:t>注：1、上述文件份数，发包人有权根据实际需要增加或减少4份的范围内调整，承包人不得有异议或要求增加费用。</w:t>
      </w:r>
    </w:p>
    <w:p w14:paraId="0ED1B688">
      <w:pPr>
        <w:spacing w:line="460" w:lineRule="exact"/>
        <w:ind w:firstLine="480"/>
        <w:rPr>
          <w:rFonts w:hint="eastAsia" w:ascii="宋体" w:hAnsi="宋体"/>
          <w:color w:val="auto"/>
          <w:sz w:val="24"/>
          <w:highlight w:val="none"/>
        </w:rPr>
      </w:pPr>
      <w:r>
        <w:rPr>
          <w:rFonts w:hint="eastAsia" w:ascii="宋体" w:hAnsi="宋体"/>
          <w:color w:val="auto"/>
          <w:sz w:val="24"/>
          <w:highlight w:val="none"/>
        </w:rPr>
        <w:t>2、地形图的比例及提交时间、报建的所需资料及提交时间按发包人需求，另行通知。</w:t>
      </w:r>
    </w:p>
    <w:p w14:paraId="1D97C4D0">
      <w:pPr>
        <w:spacing w:line="460" w:lineRule="exact"/>
        <w:ind w:firstLine="480"/>
        <w:rPr>
          <w:rFonts w:hint="eastAsia" w:ascii="宋体" w:hAnsi="宋体"/>
          <w:color w:val="auto"/>
          <w:sz w:val="24"/>
          <w:highlight w:val="none"/>
        </w:rPr>
      </w:pPr>
      <w:r>
        <w:rPr>
          <w:rFonts w:hint="eastAsia" w:ascii="宋体" w:hAnsi="宋体"/>
          <w:color w:val="auto"/>
          <w:sz w:val="24"/>
          <w:highlight w:val="none"/>
        </w:rPr>
        <w:t xml:space="preserve">3、岩土工程勘察资料必须加盖“出图专用章”、“岩土工程师注册章”及“工程设计施工图审查章”，方为有效。 </w:t>
      </w:r>
    </w:p>
    <w:p w14:paraId="2226CD32">
      <w:pPr>
        <w:spacing w:line="460" w:lineRule="exact"/>
        <w:ind w:firstLine="480"/>
        <w:rPr>
          <w:rFonts w:hint="eastAsia" w:ascii="宋体" w:hAnsi="宋体"/>
          <w:color w:val="auto"/>
          <w:sz w:val="24"/>
          <w:highlight w:val="none"/>
        </w:rPr>
      </w:pPr>
      <w:r>
        <w:rPr>
          <w:rFonts w:hint="eastAsia" w:ascii="宋体" w:hAnsi="宋体"/>
          <w:color w:val="auto"/>
          <w:sz w:val="24"/>
          <w:highlight w:val="none"/>
        </w:rPr>
        <w:t>4、施工图设计图纸必须加盖“出图专用章”、“工程设计施工图审查章”，方为有效。</w:t>
      </w:r>
    </w:p>
    <w:p w14:paraId="50BCDB59">
      <w:pPr>
        <w:pStyle w:val="2"/>
        <w:tabs>
          <w:tab w:val="left" w:pos="1560"/>
          <w:tab w:val="left" w:pos="2410"/>
          <w:tab w:val="clear" w:pos="360"/>
          <w:tab w:val="clear" w:pos="576"/>
        </w:tabs>
        <w:spacing w:before="0" w:line="460" w:lineRule="exact"/>
        <w:ind w:left="0" w:firstLine="567"/>
        <w:rPr>
          <w:rFonts w:hint="eastAsia" w:hAnsi="宋体"/>
          <w:color w:val="auto"/>
          <w:kern w:val="2"/>
          <w:sz w:val="24"/>
          <w:szCs w:val="24"/>
          <w:highlight w:val="none"/>
        </w:rPr>
      </w:pPr>
      <w:r>
        <w:rPr>
          <w:rFonts w:hint="eastAsia" w:hAnsi="宋体"/>
          <w:color w:val="auto"/>
          <w:kern w:val="2"/>
          <w:sz w:val="24"/>
          <w:szCs w:val="24"/>
          <w:highlight w:val="none"/>
        </w:rPr>
        <w:t>5、根据</w:t>
      </w:r>
      <w:bookmarkStart w:id="1" w:name="_Hlk92873243"/>
      <w:r>
        <w:rPr>
          <w:rFonts w:hint="eastAsia" w:hAnsi="宋体"/>
          <w:color w:val="auto"/>
          <w:kern w:val="2"/>
          <w:sz w:val="24"/>
          <w:szCs w:val="24"/>
          <w:highlight w:val="none"/>
        </w:rPr>
        <w:t>《广州市林业和园林局关于印发&lt;广州市城市树木保护管理规定（试行）&gt;的通知》（穗林业园林规字〔2022〕1号）的要求</w:t>
      </w:r>
      <w:bookmarkEnd w:id="1"/>
      <w:r>
        <w:rPr>
          <w:rFonts w:hint="eastAsia" w:hAnsi="宋体"/>
          <w:color w:val="auto"/>
          <w:kern w:val="2"/>
          <w:sz w:val="24"/>
          <w:szCs w:val="24"/>
          <w:highlight w:val="none"/>
        </w:rPr>
        <w:t>，承包人应在控制性详细规划调整、立项文件、设计方案中编制树木保护专章，并在项目设计、实施、验收全过程落实树木保护专章的要求。</w:t>
      </w:r>
    </w:p>
    <w:p w14:paraId="2418AA2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 xml:space="preserve">第八条  </w:t>
      </w:r>
      <w:r>
        <w:rPr>
          <w:rFonts w:hint="eastAsia" w:ascii="宋体" w:hAnsi="宋体"/>
          <w:b/>
          <w:bCs/>
          <w:color w:val="auto"/>
          <w:sz w:val="24"/>
          <w:highlight w:val="none"/>
        </w:rPr>
        <w:t xml:space="preserve">合同金额及结算方式  </w:t>
      </w:r>
    </w:p>
    <w:p w14:paraId="1E6B1356">
      <w:pPr>
        <w:spacing w:line="460" w:lineRule="exact"/>
        <w:ind w:firstLine="480"/>
        <w:rPr>
          <w:rFonts w:hint="eastAsia" w:ascii="宋体" w:hAnsi="宋体"/>
          <w:color w:val="auto"/>
          <w:sz w:val="24"/>
          <w:highlight w:val="none"/>
        </w:rPr>
      </w:pPr>
      <w:r>
        <w:rPr>
          <w:rFonts w:hint="eastAsia" w:ascii="宋体" w:hAnsi="宋体"/>
          <w:color w:val="auto"/>
          <w:sz w:val="24"/>
          <w:highlight w:val="none"/>
        </w:rPr>
        <w:t>8.1合同金额</w:t>
      </w:r>
    </w:p>
    <w:p w14:paraId="1D02165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本合同勘察设计费（含税）暂定为</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元（大写：人民币</w:t>
      </w:r>
      <w:r>
        <w:rPr>
          <w:rFonts w:hint="eastAsia" w:ascii="宋体" w:hAnsi="宋体"/>
          <w:color w:val="auto"/>
          <w:sz w:val="24"/>
          <w:highlight w:val="none"/>
          <w:u w:val="single"/>
        </w:rPr>
        <w:t xml:space="preserve">    </w:t>
      </w:r>
      <w:r>
        <w:rPr>
          <w:rFonts w:hint="eastAsia" w:ascii="宋体" w:hAnsi="宋体"/>
          <w:color w:val="auto"/>
          <w:sz w:val="24"/>
          <w:highlight w:val="none"/>
        </w:rPr>
        <w:t>），不含税金额</w:t>
      </w:r>
      <w:r>
        <w:rPr>
          <w:rFonts w:hint="eastAsia" w:ascii="宋体" w:hAnsi="宋体"/>
          <w:color w:val="auto"/>
          <w:sz w:val="24"/>
          <w:highlight w:val="none"/>
          <w:u w:val="single"/>
        </w:rPr>
        <w:t xml:space="preserve">    </w:t>
      </w:r>
      <w:r>
        <w:rPr>
          <w:rFonts w:hint="eastAsia" w:ascii="宋体" w:hAnsi="宋体"/>
          <w:color w:val="auto"/>
          <w:sz w:val="24"/>
          <w:highlight w:val="none"/>
        </w:rPr>
        <w:t>元，税金</w:t>
      </w:r>
      <w:r>
        <w:rPr>
          <w:rFonts w:hint="eastAsia" w:ascii="宋体" w:hAnsi="宋体"/>
          <w:color w:val="auto"/>
          <w:sz w:val="24"/>
          <w:highlight w:val="none"/>
          <w:u w:val="single"/>
        </w:rPr>
        <w:t xml:space="preserve">    </w:t>
      </w:r>
      <w:r>
        <w:rPr>
          <w:rFonts w:hint="eastAsia" w:ascii="宋体" w:hAnsi="宋体"/>
          <w:color w:val="auto"/>
          <w:sz w:val="24"/>
          <w:highlight w:val="none"/>
        </w:rPr>
        <w:t>元，税率</w:t>
      </w:r>
      <w:r>
        <w:rPr>
          <w:rFonts w:hint="eastAsia" w:ascii="宋体" w:hAnsi="宋体"/>
          <w:color w:val="auto"/>
          <w:sz w:val="24"/>
          <w:highlight w:val="none"/>
          <w:u w:val="single"/>
        </w:rPr>
        <w:t xml:space="preserve">  </w:t>
      </w:r>
      <w:r>
        <w:rPr>
          <w:rFonts w:hint="eastAsia" w:ascii="宋体" w:hAnsi="宋体"/>
          <w:color w:val="auto"/>
          <w:sz w:val="24"/>
          <w:highlight w:val="none"/>
        </w:rPr>
        <w:t>%，如遇国家税率调整，不含税金额不变，税金按新的税率调整。</w:t>
      </w:r>
    </w:p>
    <w:p w14:paraId="5D6447A1">
      <w:pPr>
        <w:tabs>
          <w:tab w:val="left" w:pos="360"/>
          <w:tab w:val="left" w:pos="576"/>
        </w:tabs>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其中勘察费（含税）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元，设计费（含税）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元，竣工图编制费（含税）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w:t>
      </w:r>
    </w:p>
    <w:p w14:paraId="18222DAE">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8.1.1勘察设计费已包括完成该勘察设计项目的成本、利润、税金、赶工费、图纸资料文印费、技术措施费、技术考察调研费、评审和（或）论证时发生的会务费和专家费及交通费、地形套图及打印费、宣传、汇报（含影像、动画、效果图等资料）、风险费、保险、文物（如有）和树木保护专章编制等全部费用，发包人不再另行计量支付。</w:t>
      </w:r>
    </w:p>
    <w:p w14:paraId="318FC28C">
      <w:pPr>
        <w:spacing w:line="460" w:lineRule="exact"/>
        <w:ind w:firstLine="480"/>
        <w:rPr>
          <w:rFonts w:hint="eastAsia" w:ascii="宋体" w:hAnsi="宋体"/>
          <w:b/>
          <w:bCs/>
          <w:color w:val="auto"/>
          <w:sz w:val="24"/>
          <w:highlight w:val="none"/>
          <w:u w:val="single"/>
        </w:rPr>
      </w:pPr>
      <w:r>
        <w:rPr>
          <w:rFonts w:hint="eastAsia" w:ascii="宋体" w:hAnsi="宋体"/>
          <w:b/>
          <w:bCs/>
          <w:color w:val="auto"/>
          <w:sz w:val="24"/>
          <w:highlight w:val="none"/>
        </w:rPr>
        <w:t>8.2计算方式</w:t>
      </w:r>
    </w:p>
    <w:p w14:paraId="26F8D899">
      <w:pPr>
        <w:spacing w:line="460" w:lineRule="exact"/>
        <w:ind w:firstLine="480" w:firstLineChars="200"/>
        <w:rPr>
          <w:rFonts w:hint="eastAsia" w:ascii="宋体" w:hAnsi="宋体"/>
          <w:b/>
          <w:bCs/>
          <w:color w:val="auto"/>
          <w:sz w:val="24"/>
          <w:highlight w:val="none"/>
        </w:rPr>
      </w:pPr>
      <w:r>
        <w:rPr>
          <w:rFonts w:hint="eastAsia" w:ascii="宋体" w:hAnsi="宋体"/>
          <w:color w:val="auto"/>
          <w:sz w:val="24"/>
          <w:highlight w:val="none"/>
        </w:rPr>
        <w:t>8.2.1设计费，参照国家发展计划委员会、建设部发布的《工程勘察设计收费标准》(2002年修订本)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计算（若项目出现重大工程变更导致概算调整的，工程设计收费计费额按照批复的调整概算确定）。</w:t>
      </w:r>
    </w:p>
    <w:p w14:paraId="2BAE452C">
      <w:pPr>
        <w:pStyle w:val="9"/>
        <w:spacing w:line="560" w:lineRule="atLeast"/>
        <w:ind w:left="0" w:leftChars="0" w:firstLine="480" w:firstLineChars="200"/>
        <w:rPr>
          <w:rFonts w:hint="eastAsia" w:ascii="宋体" w:hAnsi="宋体"/>
          <w:color w:val="auto"/>
          <w:kern w:val="0"/>
          <w:sz w:val="24"/>
          <w:highlight w:val="none"/>
        </w:rPr>
      </w:pPr>
      <w:r>
        <w:rPr>
          <w:rFonts w:hint="eastAsia" w:ascii="宋体" w:hAnsi="宋体"/>
          <w:color w:val="auto"/>
          <w:kern w:val="0"/>
          <w:sz w:val="24"/>
          <w:highlight w:val="none"/>
        </w:rPr>
        <w:t>设计费=基本设计收费+其他设计收费</w:t>
      </w:r>
    </w:p>
    <w:p w14:paraId="5A2F096C">
      <w:pPr>
        <w:pStyle w:val="9"/>
        <w:spacing w:line="560" w:lineRule="atLeast"/>
        <w:ind w:left="0" w:leftChars="0" w:firstLine="480" w:firstLineChars="200"/>
        <w:rPr>
          <w:rFonts w:hint="eastAsia" w:ascii="宋体" w:hAnsi="宋体"/>
          <w:color w:val="auto"/>
          <w:kern w:val="0"/>
          <w:sz w:val="24"/>
          <w:highlight w:val="none"/>
        </w:rPr>
      </w:pPr>
      <w:r>
        <w:rPr>
          <w:rFonts w:hint="eastAsia" w:ascii="宋体" w:hAnsi="宋体"/>
          <w:color w:val="auto"/>
          <w:kern w:val="0"/>
          <w:sz w:val="24"/>
          <w:highlight w:val="none"/>
        </w:rPr>
        <w:t>1.1基本设计收费=工程设计收费基价×专业调整系数（0.9）×工程复杂程</w:t>
      </w:r>
    </w:p>
    <w:p w14:paraId="47CB468E">
      <w:pPr>
        <w:pStyle w:val="9"/>
        <w:spacing w:line="560" w:lineRule="atLeast"/>
        <w:ind w:left="0" w:leftChars="0"/>
        <w:rPr>
          <w:rFonts w:hint="eastAsia" w:ascii="宋体" w:hAnsi="宋体"/>
          <w:color w:val="auto"/>
          <w:kern w:val="0"/>
          <w:sz w:val="24"/>
          <w:highlight w:val="none"/>
        </w:rPr>
      </w:pPr>
      <w:r>
        <w:rPr>
          <w:rFonts w:hint="eastAsia" w:ascii="宋体" w:hAnsi="宋体"/>
          <w:color w:val="auto"/>
          <w:kern w:val="0"/>
          <w:sz w:val="24"/>
          <w:highlight w:val="none"/>
        </w:rPr>
        <w:t>度调整系数（1.0）×附加调整系数（1.0）。</w:t>
      </w:r>
    </w:p>
    <w:p w14:paraId="5AB44F95">
      <w:pPr>
        <w:pStyle w:val="9"/>
        <w:spacing w:line="560" w:lineRule="atLeast"/>
        <w:ind w:left="420" w:leftChars="200"/>
        <w:rPr>
          <w:color w:val="auto"/>
          <w:highlight w:val="none"/>
        </w:rPr>
      </w:pPr>
      <w:r>
        <w:rPr>
          <w:rFonts w:hint="eastAsia" w:ascii="宋体" w:hAnsi="宋体"/>
          <w:color w:val="auto"/>
          <w:kern w:val="0"/>
          <w:sz w:val="24"/>
          <w:highlight w:val="none"/>
        </w:rPr>
        <w:t>1.2其他设计收费=管线迁改设计费</w:t>
      </w:r>
      <w:r>
        <w:rPr>
          <w:rFonts w:hint="eastAsia" w:ascii="宋体" w:hAnsi="宋体"/>
          <w:b/>
          <w:bCs/>
          <w:color w:val="auto"/>
          <w:kern w:val="0"/>
          <w:sz w:val="24"/>
          <w:highlight w:val="none"/>
        </w:rPr>
        <w:t>（管线迁改</w:t>
      </w:r>
      <w:r>
        <w:rPr>
          <w:rFonts w:hint="eastAsia" w:ascii="宋体" w:hAnsi="宋体"/>
          <w:b/>
          <w:bCs/>
          <w:color w:val="auto"/>
          <w:sz w:val="24"/>
          <w:highlight w:val="none"/>
        </w:rPr>
        <w:t>工程设计收费计费额按照签订的</w:t>
      </w:r>
      <w:r>
        <w:rPr>
          <w:rFonts w:hint="eastAsia" w:ascii="宋体" w:hAnsi="宋体"/>
          <w:b/>
          <w:bCs/>
          <w:color w:val="auto"/>
          <w:kern w:val="0"/>
          <w:sz w:val="24"/>
          <w:highlight w:val="none"/>
        </w:rPr>
        <w:t>管线迁改</w:t>
      </w:r>
      <w:r>
        <w:rPr>
          <w:rFonts w:hint="eastAsia" w:ascii="宋体" w:hAnsi="宋体"/>
          <w:b/>
          <w:bCs/>
          <w:color w:val="auto"/>
          <w:sz w:val="24"/>
          <w:highlight w:val="none"/>
        </w:rPr>
        <w:t>工程施工合同总额确定</w:t>
      </w:r>
      <w:r>
        <w:rPr>
          <w:rFonts w:hint="eastAsia" w:ascii="宋体" w:hAnsi="宋体"/>
          <w:b/>
          <w:bCs/>
          <w:color w:val="auto"/>
          <w:kern w:val="0"/>
          <w:sz w:val="24"/>
          <w:highlight w:val="none"/>
        </w:rPr>
        <w:t>）</w:t>
      </w:r>
      <w:r>
        <w:rPr>
          <w:rFonts w:hint="eastAsia" w:ascii="宋体" w:hAnsi="宋体"/>
          <w:color w:val="auto"/>
          <w:kern w:val="0"/>
          <w:sz w:val="24"/>
          <w:highlight w:val="none"/>
        </w:rPr>
        <w:t>=管线迁改设计收费基价×专业调整系数（1.0）×工程复杂程度调整系数（0.85）×附加调整系数（1.0）。</w:t>
      </w:r>
    </w:p>
    <w:p w14:paraId="161AF56B">
      <w:pPr>
        <w:spacing w:line="4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8.2.2</w:t>
      </w:r>
      <w:r>
        <w:rPr>
          <w:rFonts w:hint="eastAsia" w:ascii="宋体" w:hAnsi="宋体"/>
          <w:color w:val="auto"/>
          <w:sz w:val="24"/>
          <w:highlight w:val="none"/>
        </w:rPr>
        <w:t>勘察费（含超前钻、测量及物探等）参照国家发展计划委员会、建设部发布的《工程勘察设计收费标准》(2002年修订本)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，其中岩土工程勘察费综合单价不超过185元/米，</w:t>
      </w:r>
      <w:r>
        <w:rPr>
          <w:rFonts w:hint="eastAsia" w:ascii="宋体" w:hAnsi="宋体"/>
          <w:color w:val="auto"/>
          <w:sz w:val="24"/>
          <w:highlight w:val="none"/>
        </w:rPr>
        <w:t>根据各方确认的实际完成工程量计算。</w:t>
      </w:r>
      <w:r>
        <w:rPr>
          <w:rFonts w:hint="eastAsia" w:ascii="宋体" w:hAnsi="宋体"/>
          <w:b/>
          <w:bCs/>
          <w:color w:val="auto"/>
          <w:sz w:val="24"/>
          <w:highlight w:val="none"/>
        </w:rPr>
        <w:t>其中超钻部分不予计量。</w:t>
      </w:r>
    </w:p>
    <w:p w14:paraId="177CC62D">
      <w:pPr>
        <w:spacing w:line="460" w:lineRule="exact"/>
        <w:ind w:firstLine="482" w:firstLineChars="200"/>
        <w:rPr>
          <w:color w:val="auto"/>
          <w:highlight w:val="none"/>
        </w:rPr>
      </w:pPr>
      <w:r>
        <w:rPr>
          <w:rFonts w:hint="eastAsia" w:ascii="宋体" w:hAnsi="宋体"/>
          <w:b/>
          <w:bCs/>
          <w:color w:val="auto"/>
          <w:sz w:val="24"/>
          <w:highlight w:val="none"/>
        </w:rPr>
        <w:t>8.2.3竣工图编制费按结算设计费的8%进行确定。</w:t>
      </w:r>
    </w:p>
    <w:p w14:paraId="170C050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8.2.</w:t>
      </w:r>
      <w:r>
        <w:rPr>
          <w:rFonts w:ascii="宋体" w:hAnsi="宋体"/>
          <w:color w:val="auto"/>
          <w:sz w:val="24"/>
          <w:highlight w:val="none"/>
        </w:rPr>
        <w:t>4</w:t>
      </w:r>
      <w:r>
        <w:rPr>
          <w:rFonts w:hint="eastAsia" w:ascii="宋体" w:hAnsi="宋体"/>
          <w:color w:val="auto"/>
          <w:sz w:val="24"/>
          <w:highlight w:val="none"/>
        </w:rPr>
        <w:t>在合同实施期间如有涉及增减（或变更）工作量，</w:t>
      </w:r>
      <w:r>
        <w:rPr>
          <w:rFonts w:hint="eastAsia" w:ascii="宋体" w:hAnsi="宋体"/>
          <w:b/>
          <w:bCs/>
          <w:color w:val="auto"/>
          <w:sz w:val="24"/>
          <w:highlight w:val="none"/>
        </w:rPr>
        <w:t>应经发包方同意后才能实施，</w:t>
      </w:r>
      <w:r>
        <w:rPr>
          <w:rFonts w:hint="eastAsia" w:ascii="宋体" w:hAnsi="宋体"/>
          <w:color w:val="auto"/>
          <w:sz w:val="24"/>
          <w:highlight w:val="none"/>
        </w:rPr>
        <w:t>最终按发包方确认的实际完成工作量结算。</w:t>
      </w:r>
    </w:p>
    <w:p w14:paraId="71AD07AC">
      <w:pPr>
        <w:spacing w:line="460" w:lineRule="exact"/>
        <w:ind w:firstLine="482" w:firstLineChars="200"/>
        <w:rPr>
          <w:color w:val="auto"/>
          <w:highlight w:val="none"/>
        </w:rPr>
      </w:pPr>
      <w:r>
        <w:rPr>
          <w:rFonts w:hint="eastAsia" w:ascii="宋体" w:hAnsi="宋体"/>
          <w:b/>
          <w:bCs/>
          <w:color w:val="auto"/>
          <w:sz w:val="24"/>
          <w:highlight w:val="none"/>
        </w:rPr>
        <w:t>8.2.</w:t>
      </w:r>
      <w:r>
        <w:rPr>
          <w:rFonts w:ascii="宋体" w:hAnsi="宋体"/>
          <w:b/>
          <w:bCs/>
          <w:color w:val="auto"/>
          <w:sz w:val="24"/>
          <w:highlight w:val="none"/>
        </w:rPr>
        <w:t>5本合同结算金额经审核后，按结算费用、</w:t>
      </w:r>
      <w:r>
        <w:rPr>
          <w:rFonts w:hint="eastAsia" w:ascii="宋体" w:hAnsi="宋体"/>
          <w:b/>
          <w:bCs/>
          <w:color w:val="auto"/>
          <w:sz w:val="24"/>
          <w:highlight w:val="none"/>
        </w:rPr>
        <w:t>合同价110%及</w:t>
      </w:r>
      <w:r>
        <w:rPr>
          <w:rFonts w:ascii="宋体" w:hAnsi="宋体"/>
          <w:b/>
          <w:bCs/>
          <w:color w:val="auto"/>
          <w:sz w:val="24"/>
          <w:highlight w:val="none"/>
        </w:rPr>
        <w:t>概算对应开项金额三者</w:t>
      </w:r>
      <w:r>
        <w:rPr>
          <w:rFonts w:hint="eastAsia" w:ascii="宋体" w:hAnsi="宋体"/>
          <w:b/>
          <w:bCs/>
          <w:color w:val="auto"/>
          <w:sz w:val="24"/>
          <w:highlight w:val="none"/>
        </w:rPr>
        <w:t>最</w:t>
      </w:r>
      <w:r>
        <w:rPr>
          <w:rFonts w:ascii="宋体" w:hAnsi="宋体"/>
          <w:b/>
          <w:bCs/>
          <w:color w:val="auto"/>
          <w:sz w:val="24"/>
          <w:highlight w:val="none"/>
        </w:rPr>
        <w:t>低者执行。</w:t>
      </w:r>
    </w:p>
    <w:p w14:paraId="14445E79">
      <w:pPr>
        <w:spacing w:line="460" w:lineRule="exact"/>
        <w:jc w:val="left"/>
        <w:outlineLvl w:val="0"/>
        <w:rPr>
          <w:rFonts w:hint="eastAsia" w:ascii="宋体" w:hAnsi="宋体"/>
          <w:color w:val="auto"/>
          <w:sz w:val="24"/>
          <w:highlight w:val="none"/>
        </w:rPr>
      </w:pPr>
      <w:r>
        <w:rPr>
          <w:rFonts w:hint="eastAsia" w:ascii="宋体" w:hAnsi="宋体"/>
          <w:color w:val="auto"/>
          <w:sz w:val="24"/>
          <w:highlight w:val="none"/>
        </w:rPr>
        <w:t xml:space="preserve">    </w:t>
      </w:r>
      <w:r>
        <w:rPr>
          <w:rFonts w:hint="eastAsia" w:eastAsia="黑体"/>
          <w:b/>
          <w:bCs/>
          <w:color w:val="auto"/>
          <w:sz w:val="24"/>
          <w:highlight w:val="none"/>
        </w:rPr>
        <w:t>第九条</w:t>
      </w:r>
      <w:r>
        <w:rPr>
          <w:rFonts w:hint="eastAsia"/>
          <w:b/>
          <w:bCs/>
          <w:color w:val="auto"/>
          <w:sz w:val="24"/>
          <w:highlight w:val="none"/>
        </w:rPr>
        <w:tab/>
      </w:r>
      <w:r>
        <w:rPr>
          <w:rFonts w:hint="eastAsia"/>
          <w:b/>
          <w:bCs/>
          <w:color w:val="auto"/>
          <w:sz w:val="24"/>
          <w:highlight w:val="none"/>
        </w:rPr>
        <w:t xml:space="preserve">  支付</w:t>
      </w:r>
    </w:p>
    <w:p w14:paraId="0B5E5B6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9.1设计费支付方式和时间如下：</w:t>
      </w:r>
    </w:p>
    <w:p w14:paraId="748836B6">
      <w:pPr>
        <w:numPr>
          <w:ilvl w:val="0"/>
          <w:numId w:val="2"/>
        </w:num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本合同生效后，承包人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向承包人支付本合同设计费的20％预付款；</w:t>
      </w:r>
    </w:p>
    <w:p w14:paraId="58E425C0">
      <w:pPr>
        <w:numPr>
          <w:ilvl w:val="255"/>
          <w:numId w:val="0"/>
        </w:numPr>
        <w:spacing w:line="460" w:lineRule="exact"/>
        <w:ind w:firstLine="480" w:firstLineChars="200"/>
        <w:rPr>
          <w:color w:val="auto"/>
          <w:highlight w:val="none"/>
        </w:rPr>
      </w:pPr>
      <w:r>
        <w:rPr>
          <w:rFonts w:hint="eastAsia" w:ascii="宋体" w:hAnsi="宋体"/>
          <w:color w:val="auto"/>
          <w:sz w:val="24"/>
          <w:highlight w:val="none"/>
        </w:rPr>
        <w:t>（2）承包人在本合同项目通过行政主管部门建设方案联审决策审批后，承包人</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可向承包人支付至合同设计费的30％；</w:t>
      </w:r>
    </w:p>
    <w:p w14:paraId="1E5D4AC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（3）承包人在本合同项目取得初步设计及概算批复后，提交初步设计及概算与可行性研究报告对比分析报告后，</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可向承包人支付至修正合同设计费的40％；</w:t>
      </w:r>
    </w:p>
    <w:p w14:paraId="5FBE267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（4）承包人在本合同通过施工图审查合格及修编完善的施工设计图纸后，承包人</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可向承包人支付至修正合同设计费的80%；</w:t>
      </w:r>
    </w:p>
    <w:p w14:paraId="0DE7BD5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（5）本工程竣工验收后，并完成了所承担设计的建设项目工作范围内的内容，经审核后支付至结算价的100%。</w:t>
      </w:r>
    </w:p>
    <w:p w14:paraId="285E185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9.2勘察费支付方式和时间如下：</w:t>
      </w:r>
    </w:p>
    <w:p w14:paraId="5C28ED27">
      <w:pPr>
        <w:spacing w:line="460" w:lineRule="exact"/>
        <w:ind w:firstLine="480" w:firstLineChars="200"/>
        <w:jc w:val="left"/>
        <w:outlineLvl w:val="0"/>
        <w:rPr>
          <w:color w:val="auto"/>
          <w:sz w:val="24"/>
          <w:highlight w:val="none"/>
        </w:rPr>
      </w:pPr>
      <w:r>
        <w:rPr>
          <w:rFonts w:hint="eastAsia"/>
          <w:color w:val="auto"/>
          <w:sz w:val="24"/>
          <w:highlight w:val="none"/>
        </w:rPr>
        <w:t>（1）本合同生效后，</w:t>
      </w:r>
      <w:r>
        <w:rPr>
          <w:rFonts w:hint="eastAsia" w:ascii="宋体" w:hAnsi="宋体"/>
          <w:color w:val="auto"/>
          <w:sz w:val="24"/>
          <w:highlight w:val="none"/>
        </w:rPr>
        <w:t>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w:t>
      </w:r>
      <w:r>
        <w:rPr>
          <w:rFonts w:hint="eastAsia"/>
          <w:color w:val="auto"/>
          <w:sz w:val="24"/>
          <w:highlight w:val="none"/>
        </w:rPr>
        <w:t>支付</w:t>
      </w:r>
      <w:r>
        <w:rPr>
          <w:rFonts w:hint="eastAsia" w:ascii="宋体" w:hAnsi="宋体"/>
          <w:color w:val="auto"/>
          <w:sz w:val="24"/>
          <w:highlight w:val="none"/>
        </w:rPr>
        <w:t>本合同</w:t>
      </w:r>
      <w:r>
        <w:rPr>
          <w:rFonts w:hint="eastAsia"/>
          <w:color w:val="auto"/>
          <w:sz w:val="24"/>
          <w:highlight w:val="none"/>
        </w:rPr>
        <w:t>勘察费的20％作为预付款；</w:t>
      </w:r>
    </w:p>
    <w:p w14:paraId="0F4387DA">
      <w:pPr>
        <w:spacing w:line="460" w:lineRule="exact"/>
        <w:ind w:firstLine="480" w:firstLineChars="200"/>
        <w:jc w:val="left"/>
        <w:outlineLvl w:val="0"/>
        <w:rPr>
          <w:color w:val="auto"/>
          <w:sz w:val="24"/>
          <w:highlight w:val="none"/>
        </w:rPr>
      </w:pPr>
      <w:r>
        <w:rPr>
          <w:rFonts w:hint="eastAsia" w:ascii="宋体" w:hAnsi="宋体"/>
          <w:color w:val="auto"/>
          <w:sz w:val="24"/>
          <w:highlight w:val="none"/>
        </w:rPr>
        <w:t>（2）</w:t>
      </w:r>
      <w:r>
        <w:rPr>
          <w:rFonts w:hint="eastAsia"/>
          <w:color w:val="auto"/>
          <w:sz w:val="24"/>
          <w:highlight w:val="none"/>
        </w:rPr>
        <w:t>承包人完成</w:t>
      </w:r>
      <w:r>
        <w:rPr>
          <w:rFonts w:hint="eastAsia" w:ascii="宋体" w:hAnsi="宋体"/>
          <w:color w:val="auto"/>
          <w:sz w:val="24"/>
          <w:highlight w:val="none"/>
        </w:rPr>
        <w:t>本合同</w:t>
      </w:r>
      <w:r>
        <w:rPr>
          <w:rFonts w:hint="eastAsia"/>
          <w:color w:val="auto"/>
          <w:sz w:val="24"/>
          <w:highlight w:val="none"/>
        </w:rPr>
        <w:t>外业后，</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提出支付申请并经发包人、业主审核同意后，可向承包人支付至</w:t>
      </w:r>
      <w:r>
        <w:rPr>
          <w:rFonts w:hint="eastAsia" w:ascii="宋体" w:hAnsi="宋体"/>
          <w:color w:val="auto"/>
          <w:sz w:val="24"/>
          <w:highlight w:val="none"/>
        </w:rPr>
        <w:t>合同</w:t>
      </w:r>
      <w:r>
        <w:rPr>
          <w:rFonts w:hint="eastAsia"/>
          <w:color w:val="auto"/>
          <w:sz w:val="24"/>
          <w:highlight w:val="none"/>
        </w:rPr>
        <w:t>勘察费的40%；</w:t>
      </w:r>
    </w:p>
    <w:p w14:paraId="12E1B63E">
      <w:pPr>
        <w:spacing w:line="460" w:lineRule="exact"/>
        <w:ind w:firstLine="480" w:firstLineChars="200"/>
        <w:jc w:val="left"/>
        <w:outlineLvl w:val="0"/>
        <w:rPr>
          <w:color w:val="auto"/>
          <w:sz w:val="24"/>
          <w:highlight w:val="none"/>
        </w:rPr>
      </w:pPr>
      <w:r>
        <w:rPr>
          <w:rFonts w:hint="eastAsia" w:ascii="宋体" w:hAnsi="宋体" w:cs="宋体"/>
          <w:color w:val="auto"/>
          <w:sz w:val="24"/>
          <w:highlight w:val="none"/>
        </w:rPr>
        <w:t>（3）发包人初步确认实际完成勘察工作量和勘察费用，承包人提出支付申请并经发包人、业主审核同意后，可向承包人支付至已完成工程量费用金额的60%，且不超过合同勘察费的60％；</w:t>
      </w:r>
    </w:p>
    <w:p w14:paraId="600224C4">
      <w:pPr>
        <w:spacing w:line="460" w:lineRule="exact"/>
        <w:ind w:firstLine="480" w:firstLineChars="200"/>
        <w:jc w:val="left"/>
        <w:outlineLvl w:val="0"/>
        <w:rPr>
          <w:rStyle w:val="15"/>
          <w:color w:val="auto"/>
          <w:highlight w:val="none"/>
        </w:rPr>
      </w:pPr>
      <w:r>
        <w:rPr>
          <w:rFonts w:hint="eastAsia"/>
          <w:color w:val="auto"/>
          <w:sz w:val="24"/>
          <w:highlight w:val="none"/>
        </w:rPr>
        <w:t>（4）在配合施工现场服务过程中，发包人视工程进度的情况，分期支付勘察费用，</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提出支付申请并经发包人、业主审核同意后，可向承包人累计支付至已完成工程量费用金额的80%且不超过</w:t>
      </w:r>
      <w:r>
        <w:rPr>
          <w:rFonts w:hint="eastAsia" w:ascii="宋体" w:hAnsi="宋体"/>
          <w:color w:val="auto"/>
          <w:sz w:val="24"/>
          <w:highlight w:val="none"/>
        </w:rPr>
        <w:t>合同</w:t>
      </w:r>
      <w:r>
        <w:rPr>
          <w:rFonts w:hint="eastAsia"/>
          <w:color w:val="auto"/>
          <w:sz w:val="24"/>
          <w:highlight w:val="none"/>
        </w:rPr>
        <w:t>勘察费的80％；</w:t>
      </w:r>
    </w:p>
    <w:p w14:paraId="1F07D332">
      <w:pPr>
        <w:spacing w:line="460" w:lineRule="exact"/>
        <w:ind w:firstLine="480" w:firstLineChars="200"/>
        <w:jc w:val="left"/>
        <w:outlineLvl w:val="0"/>
        <w:rPr>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color w:val="auto"/>
          <w:sz w:val="24"/>
          <w:highlight w:val="none"/>
        </w:rPr>
        <w:t>本工程</w:t>
      </w:r>
      <w:r>
        <w:rPr>
          <w:rFonts w:hint="eastAsia" w:ascii="宋体" w:hAnsi="宋体"/>
          <w:color w:val="auto"/>
          <w:sz w:val="24"/>
          <w:highlight w:val="none"/>
        </w:rPr>
        <w:t>竣工验收后</w:t>
      </w:r>
      <w:r>
        <w:rPr>
          <w:rFonts w:hint="eastAsia"/>
          <w:color w:val="auto"/>
          <w:sz w:val="24"/>
          <w:highlight w:val="none"/>
        </w:rPr>
        <w:t>，经审核后发包人可向承包人支付至结算价的100％。</w:t>
      </w:r>
    </w:p>
    <w:p w14:paraId="47C7FC65">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6</w:t>
      </w:r>
      <w:r>
        <w:rPr>
          <w:rFonts w:hint="eastAsia"/>
          <w:color w:val="auto"/>
          <w:sz w:val="24"/>
          <w:highlight w:val="none"/>
        </w:rPr>
        <w:t>）发包人有权根据现场情况要求承包人进行补钻（机械的进退场费不额外增加）。</w:t>
      </w:r>
    </w:p>
    <w:p w14:paraId="60FC110D">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7</w:t>
      </w:r>
      <w:r>
        <w:rPr>
          <w:rFonts w:hint="eastAsia"/>
          <w:color w:val="auto"/>
          <w:sz w:val="24"/>
          <w:highlight w:val="none"/>
        </w:rPr>
        <w:t>）项目的测量控制点由承包人负责，控制点精度应满足相关规范和规划使用要求。因纠正坐标资料中的错误，造成费用增加和（或）工期延误，由承包人承担。</w:t>
      </w:r>
    </w:p>
    <w:p w14:paraId="48035499">
      <w:pPr>
        <w:pStyle w:val="2"/>
        <w:ind w:left="0" w:firstLine="480" w:firstLineChars="200"/>
        <w:rPr>
          <w:rFonts w:hint="eastAsia" w:hAnsi="宋体"/>
          <w:color w:val="auto"/>
          <w:kern w:val="2"/>
          <w:sz w:val="24"/>
          <w:szCs w:val="24"/>
          <w:highlight w:val="none"/>
        </w:rPr>
      </w:pPr>
      <w:r>
        <w:rPr>
          <w:rFonts w:hint="eastAsia" w:hAnsi="宋体"/>
          <w:color w:val="auto"/>
          <w:kern w:val="2"/>
          <w:sz w:val="24"/>
          <w:szCs w:val="24"/>
          <w:highlight w:val="none"/>
        </w:rPr>
        <w:t>9.3完成竣工图编制后，支付至竣工图编制费审定结算价的100%。</w:t>
      </w:r>
    </w:p>
    <w:p w14:paraId="53DE7E7C">
      <w:pPr>
        <w:spacing w:line="460" w:lineRule="exact"/>
        <w:ind w:firstLine="480" w:firstLineChars="200"/>
        <w:jc w:val="left"/>
        <w:outlineLvl w:val="0"/>
        <w:rPr>
          <w:rFonts w:hint="eastAsia" w:ascii="宋体" w:hAnsi="宋体" w:cs="宋体"/>
          <w:color w:val="auto"/>
          <w:kern w:val="0"/>
          <w:sz w:val="24"/>
          <w:highlight w:val="none"/>
        </w:rPr>
      </w:pPr>
      <w:r>
        <w:rPr>
          <w:rFonts w:hint="eastAsia" w:ascii="宋体" w:hAnsi="宋体"/>
          <w:color w:val="auto"/>
          <w:sz w:val="24"/>
          <w:highlight w:val="none"/>
        </w:rPr>
        <w:t>9.4</w:t>
      </w:r>
      <w:r>
        <w:rPr>
          <w:rFonts w:hint="eastAsia" w:ascii="宋体" w:hAnsi="宋体" w:cs="宋体"/>
          <w:bCs/>
          <w:color w:val="auto"/>
          <w:sz w:val="24"/>
          <w:highlight w:val="none"/>
        </w:rPr>
        <w:t>本项目的项目业主为</w:t>
      </w:r>
      <w:r>
        <w:rPr>
          <w:rFonts w:hint="eastAsia" w:ascii="宋体" w:hAnsi="宋体" w:cs="宋体"/>
          <w:bCs/>
          <w:color w:val="auto"/>
          <w:sz w:val="24"/>
          <w:highlight w:val="none"/>
          <w:u w:val="single"/>
        </w:rPr>
        <w:t>广州空港经济区管理委员会</w:t>
      </w:r>
      <w:r>
        <w:rPr>
          <w:rFonts w:hint="eastAsia" w:ascii="宋体" w:hAnsi="宋体" w:cs="宋体"/>
          <w:bCs/>
          <w:color w:val="auto"/>
          <w:sz w:val="24"/>
          <w:highlight w:val="none"/>
        </w:rPr>
        <w:t>，</w:t>
      </w:r>
      <w:r>
        <w:rPr>
          <w:rFonts w:hint="eastAsia" w:ascii="宋体" w:hAnsi="宋体" w:cs="宋体"/>
          <w:color w:val="auto"/>
          <w:kern w:val="0"/>
          <w:sz w:val="24"/>
          <w:highlight w:val="none"/>
        </w:rPr>
        <w:t>承包人向发包人书面报送请款资料及提供相应的等额增值税发票，经发包人审核并提交业主审核通过后方可支付，支付款项前需签订补充合同。</w:t>
      </w:r>
      <w:r>
        <w:rPr>
          <w:rFonts w:hint="eastAsia" w:ascii="宋体" w:hAnsi="宋体" w:cs="宋体"/>
          <w:b/>
          <w:bCs/>
          <w:color w:val="auto"/>
          <w:kern w:val="0"/>
          <w:sz w:val="24"/>
          <w:highlight w:val="none"/>
        </w:rPr>
        <w:t>本协议约定全部款项由业主审核通过后向承包人支付。</w:t>
      </w:r>
      <w:r>
        <w:rPr>
          <w:rFonts w:hint="eastAsia" w:ascii="宋体" w:hAnsi="宋体" w:cs="宋体"/>
          <w:color w:val="auto"/>
          <w:kern w:val="0"/>
          <w:sz w:val="24"/>
          <w:highlight w:val="none"/>
        </w:rPr>
        <w:t>因承包人未及时提供发票等原因致使发包人逾期付款的不视为发包人违约，责任由承包人承担。</w:t>
      </w:r>
    </w:p>
    <w:p w14:paraId="21E6E45C">
      <w:pPr>
        <w:spacing w:line="460" w:lineRule="exact"/>
        <w:ind w:firstLine="480" w:firstLineChars="200"/>
        <w:rPr>
          <w:color w:val="auto"/>
          <w:highlight w:val="none"/>
        </w:rPr>
      </w:pPr>
      <w:r>
        <w:rPr>
          <w:rFonts w:hint="eastAsia" w:ascii="宋体" w:hAnsi="宋体"/>
          <w:color w:val="auto"/>
          <w:sz w:val="24"/>
          <w:highlight w:val="none"/>
        </w:rPr>
        <w:t>9.5项目资金支付按广州空港经济区相关规定执行。因建设业主使用的是财政资金，建设业主向相关财政部门提出支付申请之日，即视为履行了支付义务。因财政拨付手续导致延迟付款的，建设业主不承担任何违约责任。</w:t>
      </w:r>
    </w:p>
    <w:p w14:paraId="1EA0C064">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第十条</w:t>
      </w:r>
      <w:r>
        <w:rPr>
          <w:rFonts w:hint="eastAsia"/>
          <w:b/>
          <w:bCs/>
          <w:color w:val="auto"/>
          <w:sz w:val="24"/>
          <w:highlight w:val="none"/>
        </w:rPr>
        <w:tab/>
      </w:r>
      <w:r>
        <w:rPr>
          <w:rFonts w:hint="eastAsia"/>
          <w:b/>
          <w:bCs/>
          <w:color w:val="auto"/>
          <w:sz w:val="24"/>
          <w:highlight w:val="none"/>
        </w:rPr>
        <w:t xml:space="preserve">  双方责任</w:t>
      </w:r>
    </w:p>
    <w:p w14:paraId="22910120">
      <w:pPr>
        <w:spacing w:line="460" w:lineRule="exact"/>
        <w:outlineLvl w:val="0"/>
        <w:rPr>
          <w:rFonts w:hint="eastAsia"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 xml:space="preserve"> 10.1发包人责任</w:t>
      </w:r>
    </w:p>
    <w:p w14:paraId="03BFA11A">
      <w:pPr>
        <w:spacing w:line="460" w:lineRule="exact"/>
        <w:rPr>
          <w:rFonts w:hint="eastAsia" w:ascii="宋体" w:hAnsi="宋体"/>
          <w:color w:val="auto"/>
          <w:sz w:val="24"/>
          <w:highlight w:val="none"/>
        </w:rPr>
      </w:pPr>
      <w:r>
        <w:rPr>
          <w:rFonts w:hint="eastAsia" w:ascii="宋体" w:hAnsi="宋体"/>
          <w:color w:val="auto"/>
          <w:sz w:val="24"/>
          <w:highlight w:val="none"/>
        </w:rPr>
        <w:t xml:space="preserve">    10.1.1发包人按本合同第六条规定的内容，在规定的时间内向</w:t>
      </w:r>
      <w:r>
        <w:rPr>
          <w:rFonts w:hint="eastAsia"/>
          <w:color w:val="auto"/>
          <w:sz w:val="24"/>
          <w:highlight w:val="none"/>
        </w:rPr>
        <w:t>承包</w:t>
      </w:r>
      <w:r>
        <w:rPr>
          <w:rFonts w:hint="eastAsia" w:ascii="宋体" w:hAnsi="宋体"/>
          <w:color w:val="auto"/>
          <w:sz w:val="24"/>
          <w:highlight w:val="none"/>
        </w:rPr>
        <w:t>人提交基础资料及文件，并对其完整性、正确性及时限负责。发包人不得要求</w:t>
      </w:r>
      <w:r>
        <w:rPr>
          <w:rFonts w:hint="eastAsia"/>
          <w:color w:val="auto"/>
          <w:sz w:val="24"/>
          <w:highlight w:val="none"/>
        </w:rPr>
        <w:t>承包</w:t>
      </w:r>
      <w:r>
        <w:rPr>
          <w:rFonts w:hint="eastAsia" w:ascii="宋体" w:hAnsi="宋体"/>
          <w:color w:val="auto"/>
          <w:sz w:val="24"/>
          <w:highlight w:val="none"/>
        </w:rPr>
        <w:t>人违反国家有关标准进行设计。</w:t>
      </w:r>
    </w:p>
    <w:p w14:paraId="06765280">
      <w:pPr>
        <w:spacing w:line="460" w:lineRule="exact"/>
        <w:rPr>
          <w:rFonts w:hint="eastAsia" w:ascii="宋体" w:hAnsi="宋体"/>
          <w:color w:val="auto"/>
          <w:sz w:val="24"/>
          <w:highlight w:val="none"/>
        </w:rPr>
      </w:pPr>
      <w:r>
        <w:rPr>
          <w:rFonts w:hint="eastAsia" w:ascii="宋体" w:hAnsi="宋体"/>
          <w:color w:val="auto"/>
          <w:sz w:val="24"/>
          <w:highlight w:val="none"/>
        </w:rPr>
        <w:t xml:space="preserve">    发包人提交上述资料及文件超过规定期限，承包人按本合同第七条规定的交付设计文件时间顺延。</w:t>
      </w:r>
    </w:p>
    <w:p w14:paraId="4C2B0116">
      <w:pPr>
        <w:spacing w:line="460" w:lineRule="exact"/>
        <w:rPr>
          <w:color w:val="auto"/>
          <w:sz w:val="24"/>
          <w:highlight w:val="none"/>
        </w:rPr>
      </w:pPr>
      <w:r>
        <w:rPr>
          <w:rFonts w:hint="eastAsia" w:ascii="宋体" w:hAnsi="宋体"/>
          <w:color w:val="auto"/>
          <w:sz w:val="24"/>
          <w:highlight w:val="none"/>
        </w:rPr>
        <w:t xml:space="preserve">    10.1.2签订合同后，发包人变更委托设计项目、规模、条件或因提交的资料错误，</w:t>
      </w:r>
      <w:r>
        <w:rPr>
          <w:rFonts w:hint="eastAsia"/>
          <w:color w:val="auto"/>
          <w:sz w:val="24"/>
          <w:highlight w:val="none"/>
        </w:rPr>
        <w:t>或所提交资料作较大修改，以致造成承包人设计返工时，双方可另行协商签订补充协议（或另订合同）。</w:t>
      </w:r>
    </w:p>
    <w:p w14:paraId="33FE855B">
      <w:pPr>
        <w:spacing w:line="460" w:lineRule="exact"/>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10.1.3在合同履行期间，发包人要求终止或解除合同，</w:t>
      </w:r>
      <w:r>
        <w:rPr>
          <w:rFonts w:hint="eastAsia"/>
          <w:color w:val="auto"/>
          <w:sz w:val="24"/>
          <w:highlight w:val="none"/>
        </w:rPr>
        <w:t>承包</w:t>
      </w:r>
      <w:r>
        <w:rPr>
          <w:rFonts w:hint="eastAsia" w:ascii="宋体" w:hAnsi="宋体"/>
          <w:color w:val="auto"/>
          <w:sz w:val="24"/>
          <w:highlight w:val="none"/>
        </w:rPr>
        <w:t>人未开始设计工作的，承包人应退还发包人已付的预付款；已开始设计工作的，发包人应根据</w:t>
      </w:r>
      <w:r>
        <w:rPr>
          <w:rFonts w:hint="eastAsia"/>
          <w:color w:val="auto"/>
          <w:sz w:val="24"/>
          <w:highlight w:val="none"/>
        </w:rPr>
        <w:t>承包</w:t>
      </w:r>
      <w:r>
        <w:rPr>
          <w:rFonts w:hint="eastAsia" w:ascii="宋体" w:hAnsi="宋体"/>
          <w:color w:val="auto"/>
          <w:sz w:val="24"/>
          <w:highlight w:val="none"/>
        </w:rPr>
        <w:t>人已进行的实际工作量支付设计费。</w:t>
      </w:r>
    </w:p>
    <w:p w14:paraId="55DE5F94">
      <w:pPr>
        <w:spacing w:line="460" w:lineRule="exact"/>
        <w:rPr>
          <w:rFonts w:hint="eastAsia" w:ascii="宋体" w:hAnsi="宋体"/>
          <w:color w:val="auto"/>
          <w:sz w:val="24"/>
          <w:highlight w:val="none"/>
        </w:rPr>
      </w:pPr>
      <w:r>
        <w:rPr>
          <w:rFonts w:hint="eastAsia" w:ascii="宋体" w:hAnsi="宋体"/>
          <w:color w:val="auto"/>
          <w:sz w:val="24"/>
          <w:highlight w:val="none"/>
        </w:rPr>
        <w:t xml:space="preserve">    10.1.4发包人要求</w:t>
      </w:r>
      <w:r>
        <w:rPr>
          <w:rFonts w:hint="eastAsia"/>
          <w:color w:val="auto"/>
          <w:sz w:val="24"/>
          <w:highlight w:val="none"/>
        </w:rPr>
        <w:t>承包</w:t>
      </w:r>
      <w:r>
        <w:rPr>
          <w:rFonts w:hint="eastAsia" w:ascii="宋体" w:hAnsi="宋体"/>
          <w:color w:val="auto"/>
          <w:sz w:val="24"/>
          <w:highlight w:val="none"/>
        </w:rPr>
        <w:t>人比合同规定时间提前交付设计文件时，须征得</w:t>
      </w:r>
      <w:r>
        <w:rPr>
          <w:rFonts w:hint="eastAsia"/>
          <w:color w:val="auto"/>
          <w:sz w:val="24"/>
          <w:highlight w:val="none"/>
        </w:rPr>
        <w:t>承包</w:t>
      </w:r>
      <w:r>
        <w:rPr>
          <w:rFonts w:hint="eastAsia" w:ascii="宋体" w:hAnsi="宋体"/>
          <w:color w:val="auto"/>
          <w:sz w:val="24"/>
          <w:highlight w:val="none"/>
        </w:rPr>
        <w:t>人同意，不得严重背离合理设计周期。</w:t>
      </w:r>
    </w:p>
    <w:p w14:paraId="05B1C06B">
      <w:pPr>
        <w:spacing w:line="460" w:lineRule="exact"/>
        <w:outlineLvl w:val="0"/>
        <w:rPr>
          <w:rFonts w:hint="eastAsia" w:ascii="宋体" w:hAnsi="宋体"/>
          <w:b/>
          <w:bCs/>
          <w:color w:val="auto"/>
          <w:sz w:val="24"/>
          <w:highlight w:val="none"/>
        </w:rPr>
      </w:pPr>
      <w:r>
        <w:rPr>
          <w:rFonts w:hint="eastAsia" w:ascii="宋体" w:hAnsi="宋体"/>
          <w:b/>
          <w:bCs/>
          <w:color w:val="auto"/>
          <w:sz w:val="24"/>
          <w:highlight w:val="none"/>
        </w:rPr>
        <w:t xml:space="preserve">  </w:t>
      </w:r>
      <w:r>
        <w:rPr>
          <w:rFonts w:hint="eastAsia"/>
          <w:b/>
          <w:bCs/>
          <w:color w:val="auto"/>
          <w:sz w:val="24"/>
          <w:highlight w:val="none"/>
        </w:rPr>
        <w:t xml:space="preserve">  </w:t>
      </w:r>
      <w:r>
        <w:rPr>
          <w:rFonts w:hint="eastAsia" w:ascii="宋体" w:hAnsi="宋体"/>
          <w:b/>
          <w:bCs/>
          <w:color w:val="auto"/>
          <w:sz w:val="24"/>
          <w:highlight w:val="none"/>
        </w:rPr>
        <w:t>10.2</w:t>
      </w:r>
      <w:r>
        <w:rPr>
          <w:rFonts w:hint="eastAsia"/>
          <w:b/>
          <w:bCs/>
          <w:color w:val="auto"/>
          <w:sz w:val="24"/>
          <w:highlight w:val="none"/>
        </w:rPr>
        <w:t>承包</w:t>
      </w:r>
      <w:r>
        <w:rPr>
          <w:rFonts w:hint="eastAsia" w:ascii="宋体" w:hAnsi="宋体"/>
          <w:b/>
          <w:bCs/>
          <w:color w:val="auto"/>
          <w:sz w:val="24"/>
          <w:highlight w:val="none"/>
        </w:rPr>
        <w:t>人责任</w:t>
      </w:r>
    </w:p>
    <w:p w14:paraId="3DF1EE54">
      <w:pPr>
        <w:spacing w:line="460" w:lineRule="exact"/>
        <w:ind w:firstLine="482"/>
        <w:rPr>
          <w:rFonts w:hint="eastAsia" w:ascii="宋体" w:hAnsi="宋体"/>
          <w:color w:val="auto"/>
          <w:sz w:val="24"/>
          <w:highlight w:val="none"/>
        </w:rPr>
      </w:pPr>
      <w:r>
        <w:rPr>
          <w:rFonts w:hint="eastAsia" w:ascii="宋体" w:hAnsi="宋体"/>
          <w:color w:val="auto"/>
          <w:sz w:val="24"/>
          <w:highlight w:val="none"/>
        </w:rPr>
        <w:t xml:space="preserve">  10.2.1勘察设计组织和服务管理方面的责任</w:t>
      </w:r>
    </w:p>
    <w:p w14:paraId="1FE6FEEE">
      <w:pPr>
        <w:spacing w:line="460" w:lineRule="exact"/>
        <w:ind w:firstLine="482"/>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承包人须严格按本合同约定建立组织架构、确保人力投入。</w:t>
      </w:r>
      <w:r>
        <w:rPr>
          <w:rFonts w:hint="eastAsia" w:ascii="宋体" w:hAnsi="宋体"/>
          <w:color w:val="auto"/>
          <w:sz w:val="24"/>
          <w:highlight w:val="none"/>
        </w:rPr>
        <w:t>未经发包人或业主批准，承包人不得无故更换设计参与人员。承包人未能按投标时的约定投入人员或投入人员没有按时到位的(含分包单位人员及驻场设计人员)， 其中：为一般勘察、设计人员的，每出现1人/次承包人应向发包人支付1万元违约金；为勘察、设计专业负责人员的，每出现1人/次承包人应向发包人支付2万元违约金；为勘察、设计总负责人，勘察、设计总承包管理负责人的，每出现1人/次承包人应向发包人支付5万元违约金。</w:t>
      </w:r>
    </w:p>
    <w:p w14:paraId="69503D9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承包人未按发包人规定程序私自更换人员的，其中：更换一般勘察、设计人员的，每出现1人/次承包人应向发包人支付3万元违约金；更换专业勘察、设计负责人的，每出现1人/次承包人应向发包人支付6万元违约金；更换项目勘察、设计总负责人，勘察、设计总承包管理负责人或者驻场勘察、设计代表总负责人的，每出现1人/次承包人应向发包人支付9万元违约金。</w:t>
      </w:r>
      <w:r>
        <w:rPr>
          <w:rFonts w:ascii="宋体" w:hAnsi="宋体"/>
          <w:color w:val="auto"/>
          <w:sz w:val="24"/>
          <w:highlight w:val="none"/>
        </w:rPr>
        <w:t>且承包人须立</w:t>
      </w:r>
      <w:r>
        <w:rPr>
          <w:rFonts w:hint="eastAsia" w:ascii="宋体" w:hAnsi="宋体"/>
          <w:color w:val="auto"/>
          <w:sz w:val="24"/>
          <w:highlight w:val="none"/>
        </w:rPr>
        <w:t>即将本合同附件所列明的对应人员恢复到位，其擅自离岗期间，承包人须向发包人支付每人/次每天</w:t>
      </w:r>
      <w:r>
        <w:rPr>
          <w:rFonts w:ascii="宋体" w:hAnsi="宋体"/>
          <w:color w:val="auto"/>
          <w:sz w:val="24"/>
          <w:highlight w:val="none"/>
        </w:rPr>
        <w:t>5000元的违约金。</w:t>
      </w:r>
    </w:p>
    <w:p w14:paraId="576CF03A">
      <w:pPr>
        <w:spacing w:line="460" w:lineRule="exact"/>
        <w:ind w:firstLine="482"/>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承包人</w:t>
      </w:r>
      <w:r>
        <w:rPr>
          <w:rFonts w:hint="eastAsia" w:ascii="宋体" w:hAnsi="宋体"/>
          <w:color w:val="auto"/>
          <w:sz w:val="24"/>
          <w:highlight w:val="none"/>
        </w:rPr>
        <w:t>应按发包人要求及时更换</w:t>
      </w:r>
      <w:r>
        <w:rPr>
          <w:rFonts w:ascii="宋体" w:hAnsi="宋体"/>
          <w:color w:val="auto"/>
          <w:sz w:val="24"/>
          <w:highlight w:val="none"/>
        </w:rPr>
        <w:t>不称职的设计人员</w:t>
      </w:r>
      <w:r>
        <w:rPr>
          <w:rFonts w:hint="eastAsia" w:ascii="宋体" w:hAnsi="宋体"/>
          <w:color w:val="auto"/>
          <w:sz w:val="24"/>
          <w:highlight w:val="none"/>
        </w:rPr>
        <w:t>，并按合同约定</w:t>
      </w:r>
      <w:r>
        <w:rPr>
          <w:rFonts w:ascii="宋体" w:hAnsi="宋体"/>
          <w:color w:val="auto"/>
          <w:sz w:val="24"/>
          <w:highlight w:val="none"/>
        </w:rPr>
        <w:t>派出合适人员参与按有关规定须有承包人参加的</w:t>
      </w:r>
      <w:r>
        <w:rPr>
          <w:rFonts w:hint="eastAsia" w:ascii="宋体" w:hAnsi="宋体"/>
          <w:color w:val="auto"/>
          <w:sz w:val="24"/>
          <w:highlight w:val="none"/>
        </w:rPr>
        <w:t>会议，包括设计阶段的各项目方案评审、评估会以及施工阶段</w:t>
      </w:r>
      <w:r>
        <w:rPr>
          <w:rFonts w:ascii="宋体" w:hAnsi="宋体"/>
          <w:color w:val="auto"/>
          <w:sz w:val="24"/>
          <w:highlight w:val="none"/>
        </w:rPr>
        <w:t>各部位的验收</w:t>
      </w:r>
      <w:r>
        <w:rPr>
          <w:rFonts w:hint="eastAsia" w:ascii="宋体" w:hAnsi="宋体"/>
          <w:color w:val="auto"/>
          <w:sz w:val="24"/>
          <w:highlight w:val="none"/>
        </w:rPr>
        <w:t>等。若</w:t>
      </w:r>
      <w:r>
        <w:rPr>
          <w:rFonts w:ascii="宋体" w:hAnsi="宋体"/>
          <w:color w:val="auto"/>
          <w:sz w:val="24"/>
          <w:highlight w:val="none"/>
        </w:rPr>
        <w:t>承包人</w:t>
      </w:r>
      <w:r>
        <w:rPr>
          <w:rFonts w:hint="eastAsia" w:ascii="宋体" w:hAnsi="宋体"/>
          <w:color w:val="auto"/>
          <w:sz w:val="24"/>
          <w:highlight w:val="none"/>
        </w:rPr>
        <w:t>未按</w:t>
      </w:r>
      <w:r>
        <w:rPr>
          <w:rFonts w:hint="eastAsia" w:ascii="宋体" w:hAnsi="宋体"/>
          <w:color w:val="auto"/>
          <w:sz w:val="24"/>
          <w:highlight w:val="none"/>
          <w:lang w:val="en-US" w:eastAsia="zh-CN"/>
        </w:rPr>
        <w:t>发</w:t>
      </w:r>
      <w:r>
        <w:rPr>
          <w:rFonts w:hint="eastAsia" w:ascii="宋体" w:hAnsi="宋体"/>
          <w:color w:val="auto"/>
          <w:sz w:val="24"/>
          <w:highlight w:val="none"/>
        </w:rPr>
        <w:t>包人要求及时更换</w:t>
      </w:r>
      <w:r>
        <w:rPr>
          <w:rFonts w:ascii="宋体" w:hAnsi="宋体"/>
          <w:color w:val="auto"/>
          <w:sz w:val="24"/>
          <w:highlight w:val="none"/>
        </w:rPr>
        <w:t>不称职的设计人员</w:t>
      </w:r>
      <w:r>
        <w:rPr>
          <w:rFonts w:hint="eastAsia" w:ascii="宋体" w:hAnsi="宋体"/>
          <w:color w:val="auto"/>
          <w:sz w:val="24"/>
          <w:highlight w:val="none"/>
        </w:rPr>
        <w:t>，每出现1人/次应向发包人支付3万元违约金；若</w:t>
      </w:r>
      <w:r>
        <w:rPr>
          <w:rFonts w:ascii="宋体" w:hAnsi="宋体"/>
          <w:color w:val="auto"/>
          <w:sz w:val="24"/>
          <w:highlight w:val="none"/>
        </w:rPr>
        <w:t>承包人</w:t>
      </w:r>
      <w:r>
        <w:rPr>
          <w:rFonts w:hint="eastAsia" w:ascii="宋体" w:hAnsi="宋体"/>
          <w:color w:val="auto"/>
          <w:sz w:val="24"/>
          <w:highlight w:val="none"/>
        </w:rPr>
        <w:t>未派合适人员出席，</w:t>
      </w:r>
      <w:r>
        <w:rPr>
          <w:rFonts w:ascii="宋体" w:hAnsi="宋体"/>
          <w:color w:val="auto"/>
          <w:sz w:val="24"/>
          <w:highlight w:val="none"/>
        </w:rPr>
        <w:t>每次</w:t>
      </w:r>
      <w:r>
        <w:rPr>
          <w:rFonts w:hint="eastAsia" w:ascii="宋体" w:hAnsi="宋体"/>
          <w:color w:val="auto"/>
          <w:sz w:val="24"/>
          <w:highlight w:val="none"/>
        </w:rPr>
        <w:t>缺席承包人应向发包人支付1万元违约金。</w:t>
      </w:r>
    </w:p>
    <w:p w14:paraId="3871A68E">
      <w:pPr>
        <w:spacing w:line="460" w:lineRule="exact"/>
        <w:ind w:firstLine="482"/>
        <w:rPr>
          <w:rFonts w:hint="eastAsia" w:ascii="宋体" w:hAnsi="宋体"/>
          <w:color w:val="auto"/>
          <w:sz w:val="24"/>
          <w:highlight w:val="none"/>
        </w:rPr>
      </w:pPr>
      <w:r>
        <w:rPr>
          <w:rFonts w:hint="eastAsia" w:ascii="宋体" w:hAnsi="宋体"/>
          <w:color w:val="auto"/>
          <w:sz w:val="24"/>
          <w:highlight w:val="none"/>
        </w:rPr>
        <w:t>（4）报批报建（含概算评审）过程中，由承包人不配合、报建图纸质量、概算编制质量、设计错误、不符合报批报建提交要求、未按规定时间完善设计等原因导致报批报建超办理2次、或2次退案的，发包人有权按照勘察设计成果逾期情况要求承包人须向发包人支付3 万元/次的违约金。</w:t>
      </w:r>
    </w:p>
    <w:p w14:paraId="6282705F">
      <w:pPr>
        <w:spacing w:line="460" w:lineRule="exact"/>
        <w:ind w:firstLine="482"/>
        <w:rPr>
          <w:rFonts w:hint="eastAsia" w:ascii="宋体" w:hAnsi="宋体"/>
          <w:color w:val="auto"/>
          <w:sz w:val="24"/>
          <w:highlight w:val="none"/>
        </w:rPr>
      </w:pPr>
      <w:r>
        <w:rPr>
          <w:rFonts w:hint="eastAsia" w:ascii="宋体" w:hAnsi="宋体"/>
          <w:color w:val="auto"/>
          <w:sz w:val="24"/>
          <w:highlight w:val="none"/>
        </w:rPr>
        <w:t>（5）承包人未能有效履行合同约定或发包人要求的工作及安排，应限期整改。未在期限内完成改正或整改后再次出现类似情况的，视情节严重程度，承包人应向发包人支付1万元/次-5万元/次的违约金。</w:t>
      </w:r>
    </w:p>
    <w:p w14:paraId="71E9C1BA">
      <w:pPr>
        <w:spacing w:line="460" w:lineRule="exact"/>
        <w:ind w:firstLine="482"/>
        <w:rPr>
          <w:rFonts w:hint="eastAsia" w:ascii="宋体" w:hAnsi="宋体"/>
          <w:color w:val="auto"/>
          <w:sz w:val="24"/>
          <w:highlight w:val="none"/>
        </w:rPr>
      </w:pPr>
      <w:r>
        <w:rPr>
          <w:rFonts w:hint="eastAsia" w:ascii="宋体" w:hAnsi="宋体"/>
          <w:color w:val="auto"/>
          <w:sz w:val="24"/>
          <w:highlight w:val="none"/>
        </w:rPr>
        <w:t>（6）合同履行过程中，发包人可约谈承包人法定代表人的，要求法定代表人加强工作组织或驻场协调，确保工程保质、保量顺利推进。承包人的法定代表人无正当理由拒绝约谈的，每出现一次，承包人应向发包人支付勘察设计费合同价款10%且不超过5万元的违约金；承包人的法定代表人无正当理由拒绝约谈累计3次及以上的，发包人有权解除合同并将本工程另行发包。</w:t>
      </w:r>
    </w:p>
    <w:p w14:paraId="411007F5">
      <w:pPr>
        <w:spacing w:line="460" w:lineRule="exact"/>
        <w:ind w:firstLine="482"/>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无论是在工作现场之内或之外</w:t>
      </w:r>
      <w:r>
        <w:rPr>
          <w:rFonts w:hint="eastAsia" w:ascii="宋体" w:hAnsi="宋体"/>
          <w:color w:val="auto"/>
          <w:sz w:val="24"/>
          <w:highlight w:val="none"/>
        </w:rPr>
        <w:t>，</w:t>
      </w:r>
      <w:r>
        <w:rPr>
          <w:rFonts w:ascii="宋体" w:hAnsi="宋体"/>
          <w:color w:val="auto"/>
          <w:sz w:val="24"/>
          <w:highlight w:val="none"/>
        </w:rPr>
        <w:t>承包人都必须严格遵守国家</w:t>
      </w:r>
      <w:r>
        <w:rPr>
          <w:rFonts w:hint="eastAsia" w:ascii="宋体" w:hAnsi="宋体"/>
          <w:color w:val="auto"/>
          <w:sz w:val="24"/>
          <w:highlight w:val="none"/>
        </w:rPr>
        <w:t>、</w:t>
      </w:r>
      <w:r>
        <w:rPr>
          <w:rFonts w:ascii="宋体" w:hAnsi="宋体"/>
          <w:color w:val="auto"/>
          <w:sz w:val="24"/>
          <w:highlight w:val="none"/>
        </w:rPr>
        <w:t>各级政府及工作所在地有关部门制定的有关环境保护</w:t>
      </w:r>
      <w:r>
        <w:rPr>
          <w:rFonts w:hint="eastAsia" w:ascii="宋体" w:hAnsi="宋体"/>
          <w:color w:val="auto"/>
          <w:sz w:val="24"/>
          <w:highlight w:val="none"/>
        </w:rPr>
        <w:t>、</w:t>
      </w:r>
      <w:r>
        <w:rPr>
          <w:rFonts w:ascii="宋体" w:hAnsi="宋体"/>
          <w:color w:val="auto"/>
          <w:sz w:val="24"/>
          <w:highlight w:val="none"/>
        </w:rPr>
        <w:t>安全</w:t>
      </w:r>
      <w:r>
        <w:rPr>
          <w:rFonts w:hint="eastAsia" w:ascii="宋体" w:hAnsi="宋体"/>
          <w:color w:val="auto"/>
          <w:sz w:val="24"/>
          <w:highlight w:val="none"/>
        </w:rPr>
        <w:t>、</w:t>
      </w:r>
      <w:r>
        <w:rPr>
          <w:rFonts w:ascii="宋体" w:hAnsi="宋体"/>
          <w:color w:val="auto"/>
          <w:sz w:val="24"/>
          <w:highlight w:val="none"/>
        </w:rPr>
        <w:t>保卫工作等方面的</w:t>
      </w:r>
      <w:r>
        <w:rPr>
          <w:rFonts w:hint="eastAsia" w:ascii="宋体" w:hAnsi="宋体"/>
          <w:color w:val="auto"/>
          <w:sz w:val="24"/>
          <w:highlight w:val="none"/>
        </w:rPr>
        <w:t>规定，</w:t>
      </w:r>
      <w:r>
        <w:rPr>
          <w:rFonts w:ascii="宋体" w:hAnsi="宋体"/>
          <w:color w:val="auto"/>
          <w:sz w:val="24"/>
          <w:highlight w:val="none"/>
        </w:rPr>
        <w:t>并承担由此而引起的一切财务损失</w:t>
      </w:r>
      <w:r>
        <w:rPr>
          <w:rFonts w:hint="eastAsia" w:ascii="宋体" w:hAnsi="宋体"/>
          <w:color w:val="auto"/>
          <w:sz w:val="24"/>
          <w:highlight w:val="none"/>
        </w:rPr>
        <w:t>、</w:t>
      </w:r>
      <w:r>
        <w:rPr>
          <w:rFonts w:ascii="宋体" w:hAnsi="宋体"/>
          <w:color w:val="auto"/>
          <w:sz w:val="24"/>
          <w:highlight w:val="none"/>
        </w:rPr>
        <w:t>人身伤害的经济和法律责任</w:t>
      </w:r>
      <w:r>
        <w:rPr>
          <w:rFonts w:hint="eastAsia" w:ascii="宋体" w:hAnsi="宋体"/>
          <w:color w:val="auto"/>
          <w:sz w:val="24"/>
          <w:highlight w:val="none"/>
        </w:rPr>
        <w:t>。</w:t>
      </w:r>
    </w:p>
    <w:p w14:paraId="78C437A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（8）承包人应派专人长期驻施工现场进行配合与解决有关问题，并为其进出工作现场的人员提供必要的劳动保护装备及交通便利（相关费用已包括在合同价中，不另行计量支付）。</w:t>
      </w:r>
    </w:p>
    <w:p w14:paraId="271649C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（9）承包人需根据工程规模和各设计阶段要求，按照发包人要求提供相关效果图、展板成果等展示资料。</w:t>
      </w:r>
    </w:p>
    <w:p w14:paraId="7F54F730">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10.2.2勘察设计成果质量控制方面的责任</w:t>
      </w:r>
    </w:p>
    <w:p w14:paraId="137DE10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承包人应按国家规定和合同约定的技术规范、标准进行设计，按本合同第七条规定的内容、时间及份数向发包人交付设计文件（出现10.1.1、10.1.2、10.1.3规定有关交付设计文件顺延的情况除外）。并对提交的设计文件的质量负责。</w:t>
      </w:r>
    </w:p>
    <w:p w14:paraId="7334C81E">
      <w:pPr>
        <w:spacing w:line="460" w:lineRule="exact"/>
        <w:ind w:firstLine="482"/>
        <w:rPr>
          <w:rFonts w:hint="eastAsia" w:ascii="宋体" w:hAnsi="宋体"/>
          <w:color w:val="auto"/>
          <w:sz w:val="24"/>
          <w:highlight w:val="none"/>
        </w:rPr>
      </w:pPr>
      <w:r>
        <w:rPr>
          <w:rFonts w:hint="eastAsia" w:ascii="宋体" w:hAnsi="宋体"/>
          <w:color w:val="auto"/>
          <w:sz w:val="24"/>
          <w:highlight w:val="none"/>
        </w:rPr>
        <w:t>（2）设计合理使用年限按国家有关规定执行。</w:t>
      </w:r>
    </w:p>
    <w:p w14:paraId="274A5B2F">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由于承包人提供的勘察或设计文件质量不合格，承包人应无偿补充完善，以达到合格，工期不予顺延。如需另行委托其他单位的，承包人应承担全部费用。由于承包人过错造成工程质量事故损失，承包人除负责采取补救措施外，应免收受损失部分的勘察设计费，并对事故造成的损失按照责任比例向发包人支付赔偿金。由于承包人过错造成工程损失达到结算价的20%以上时，承包人除退还对应勘察设计费并赔偿全部损失外，还应向发包人支付本合同总价款30%的违约金。</w:t>
      </w:r>
    </w:p>
    <w:p w14:paraId="1275385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（4）承包人提交的勘察设计成果文件如有违反国家相关强制性规定的，经政府有关部门确认，每发生1例，承包人除按《建设工程质量管理条例》等管理规定接受处罚外，还须向发包人支付10 万元/次的违约金。</w:t>
      </w:r>
    </w:p>
    <w:p w14:paraId="60E77501">
      <w:pPr>
        <w:spacing w:line="460" w:lineRule="exact"/>
        <w:ind w:firstLine="482"/>
        <w:rPr>
          <w:rFonts w:hint="eastAsia" w:ascii="宋体" w:hAnsi="宋体"/>
          <w:color w:val="auto"/>
          <w:sz w:val="24"/>
          <w:highlight w:val="none"/>
        </w:rPr>
      </w:pPr>
      <w:r>
        <w:rPr>
          <w:rFonts w:hint="eastAsia" w:ascii="宋体" w:hAnsi="宋体"/>
          <w:color w:val="auto"/>
          <w:sz w:val="24"/>
          <w:highlight w:val="none"/>
        </w:rPr>
        <w:t>（5）</w:t>
      </w:r>
      <w:r>
        <w:rPr>
          <w:rFonts w:hint="eastAsia"/>
          <w:color w:val="auto"/>
          <w:sz w:val="24"/>
          <w:highlight w:val="none"/>
        </w:rPr>
        <w:t>承包</w:t>
      </w:r>
      <w:r>
        <w:rPr>
          <w:rFonts w:hint="eastAsia" w:ascii="宋体" w:hAnsi="宋体"/>
          <w:color w:val="auto"/>
          <w:sz w:val="24"/>
          <w:highlight w:val="none"/>
        </w:rPr>
        <w:t>人交付设计文件后，按规定参加设计审查，并根据审查结论，在</w:t>
      </w:r>
      <w:r>
        <w:rPr>
          <w:rFonts w:hint="eastAsia" w:ascii="宋体" w:hAnsi="宋体"/>
          <w:color w:val="auto"/>
          <w:sz w:val="24"/>
          <w:highlight w:val="none"/>
          <w:u w:val="single"/>
        </w:rPr>
        <w:t>5</w:t>
      </w:r>
      <w:r>
        <w:rPr>
          <w:rFonts w:hint="eastAsia" w:ascii="宋体" w:hAnsi="宋体"/>
          <w:color w:val="auto"/>
          <w:sz w:val="24"/>
          <w:highlight w:val="none"/>
        </w:rPr>
        <w:t>个自然日之内负责完成必要的调整补充或重新设计，直至通过审查。</w:t>
      </w:r>
    </w:p>
    <w:p w14:paraId="281562B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对于工程设计变更相关事宜</w:t>
      </w:r>
      <w:r>
        <w:rPr>
          <w:rFonts w:hint="eastAsia" w:ascii="宋体" w:hAnsi="宋体"/>
          <w:color w:val="auto"/>
          <w:sz w:val="24"/>
          <w:highlight w:val="none"/>
        </w:rPr>
        <w:t>，承包</w:t>
      </w:r>
      <w:r>
        <w:rPr>
          <w:rFonts w:ascii="宋体" w:hAnsi="宋体"/>
          <w:color w:val="auto"/>
          <w:sz w:val="24"/>
          <w:highlight w:val="none"/>
        </w:rPr>
        <w:t>人应严格按照合同以及发包人有关设计变更管理办法的规定执行</w:t>
      </w:r>
      <w:r>
        <w:rPr>
          <w:rFonts w:hint="eastAsia" w:ascii="宋体" w:hAnsi="宋体"/>
          <w:color w:val="auto"/>
          <w:sz w:val="24"/>
          <w:highlight w:val="none"/>
        </w:rPr>
        <w:t>。</w:t>
      </w:r>
      <w:r>
        <w:rPr>
          <w:rFonts w:ascii="宋体" w:hAnsi="宋体"/>
          <w:color w:val="auto"/>
          <w:sz w:val="24"/>
          <w:highlight w:val="none"/>
        </w:rPr>
        <w:t>承包人未经发包人同意擅自变更设计的，承包人除须向发包人支付5万元/次的违约金外，由此造成一切损失及责任均由承包人承担。</w:t>
      </w:r>
    </w:p>
    <w:p w14:paraId="170044DA">
      <w:pPr>
        <w:spacing w:line="460" w:lineRule="exact"/>
        <w:ind w:firstLine="482"/>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承包人必须对施工过程中涉及到的设计或设计变更问题及时予以解决</w:t>
      </w:r>
      <w:r>
        <w:rPr>
          <w:rFonts w:hint="eastAsia" w:ascii="宋体" w:hAnsi="宋体"/>
          <w:color w:val="auto"/>
          <w:sz w:val="24"/>
          <w:highlight w:val="none"/>
        </w:rPr>
        <w:t>；</w:t>
      </w:r>
      <w:r>
        <w:rPr>
          <w:rFonts w:ascii="宋体" w:hAnsi="宋体"/>
          <w:color w:val="auto"/>
          <w:sz w:val="24"/>
          <w:highlight w:val="none"/>
        </w:rPr>
        <w:t>一般情况下</w:t>
      </w:r>
      <w:r>
        <w:rPr>
          <w:rFonts w:hint="eastAsia" w:ascii="宋体" w:hAnsi="宋体"/>
          <w:color w:val="auto"/>
          <w:sz w:val="24"/>
          <w:highlight w:val="none"/>
        </w:rPr>
        <w:t>，</w:t>
      </w:r>
      <w:r>
        <w:rPr>
          <w:rFonts w:ascii="宋体" w:hAnsi="宋体"/>
          <w:color w:val="auto"/>
          <w:sz w:val="24"/>
          <w:highlight w:val="none"/>
        </w:rPr>
        <w:t>承包人在接到通知后</w:t>
      </w:r>
      <w:r>
        <w:rPr>
          <w:rFonts w:hint="eastAsia" w:ascii="宋体" w:hAnsi="宋体"/>
          <w:color w:val="auto"/>
          <w:sz w:val="24"/>
          <w:highlight w:val="none"/>
        </w:rPr>
        <w:t>24小时内须抵达工作现场，48小时内须对设计或设计变更问题做出初步方案并知会发包人，72小时内须向发包人提交正式书面变更设计。若因承包人原因而拖延，每次延期，承包人应向发包人支付违约金1万元。特殊情况下并经发包人同意，可予以顺延。</w:t>
      </w:r>
    </w:p>
    <w:p w14:paraId="005E1CF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因承包人设计文件错漏造成施工过程变更设计，由承包人根据承包人设计超过投资限额的金额或与变更设计相对应的施工图预算金额（均以发包人审定为准，下同），按以下规定承担违约责任：</w:t>
      </w:r>
    </w:p>
    <w:p w14:paraId="3588F07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承包人设计超过投资限额的金额或与变更设计相对应的施工图预算金额≤人民币50万元，则承包人须向发包人支付1万元违约金并按发包人要求在3天内免费完成修改；    </w:t>
      </w:r>
    </w:p>
    <w:p w14:paraId="617CDCF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人民币50万元＜承包人设计超过投资限额的金额或与变更设计相对应的施工图预算金额≤人民币150万元，则承包人须向发包人支付3万元违约金并按发包人要求在5天内免费完成修改；</w:t>
      </w:r>
    </w:p>
    <w:p w14:paraId="0E34F32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人民币150万元＜承包人设计超过投资限额的金额或与变更设计相对应的施工图预算金额≤人民币300万元，则承包人须向发包人支付8万元违约金并免费按发包人要求在8天内完成修改；</w:t>
      </w:r>
    </w:p>
    <w:p w14:paraId="205FE9D8">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承包人设计超过投资限额的金额或与变更设计相对应的施工图预算金额＞人民币300万元，则承包人须向发包人支付15万元违约金并免费按发包人要求在10天内完成修改。若由此造成整体设计或报建完成时间后延的，视为承包人未按本合同约定时限提交设计成果或报建报批成果，承包人同时应承担</w:t>
      </w:r>
      <w:r>
        <w:rPr>
          <w:rFonts w:hint="eastAsia" w:ascii="宋体" w:hAnsi="宋体"/>
          <w:color w:val="auto"/>
          <w:sz w:val="24"/>
          <w:highlight w:val="none"/>
        </w:rPr>
        <w:t>相应</w:t>
      </w:r>
      <w:r>
        <w:rPr>
          <w:rFonts w:ascii="宋体" w:hAnsi="宋体"/>
          <w:color w:val="auto"/>
          <w:sz w:val="24"/>
          <w:highlight w:val="none"/>
        </w:rPr>
        <w:t>违约责任。若超过本条规定时限仍未完成修改的，则发包人有权单方解除合同。</w:t>
      </w:r>
    </w:p>
    <w:p w14:paraId="0A565D8D">
      <w:pPr>
        <w:spacing w:line="460" w:lineRule="exact"/>
        <w:ind w:firstLine="482"/>
        <w:rPr>
          <w:rFonts w:hint="eastAsia" w:ascii="宋体" w:hAnsi="宋体"/>
          <w:color w:val="auto"/>
          <w:sz w:val="24"/>
          <w:highlight w:val="none"/>
        </w:rPr>
      </w:pPr>
      <w:r>
        <w:rPr>
          <w:rFonts w:hint="eastAsia" w:ascii="宋体" w:hAnsi="宋体"/>
          <w:color w:val="auto"/>
          <w:sz w:val="24"/>
          <w:highlight w:val="none"/>
        </w:rPr>
        <w:t>（9）</w:t>
      </w:r>
      <w:r>
        <w:rPr>
          <w:rFonts w:hint="eastAsia"/>
          <w:color w:val="auto"/>
          <w:sz w:val="24"/>
          <w:highlight w:val="none"/>
        </w:rPr>
        <w:t>发包人对设计变更进行审核，发现承包人违反规定对设计变更随意进行合并、分拆的，</w:t>
      </w:r>
      <w:r>
        <w:rPr>
          <w:rFonts w:ascii="宋体" w:hAnsi="宋体"/>
          <w:color w:val="auto"/>
          <w:sz w:val="24"/>
          <w:highlight w:val="none"/>
        </w:rPr>
        <w:t>承包人须向发包人支付</w:t>
      </w:r>
      <w:r>
        <w:rPr>
          <w:rFonts w:hint="eastAsia" w:ascii="宋体" w:hAnsi="宋体"/>
          <w:color w:val="auto"/>
          <w:sz w:val="24"/>
          <w:highlight w:val="none"/>
        </w:rPr>
        <w:t>1</w:t>
      </w:r>
      <w:r>
        <w:rPr>
          <w:rFonts w:ascii="宋体" w:hAnsi="宋体"/>
          <w:color w:val="auto"/>
          <w:sz w:val="24"/>
          <w:highlight w:val="none"/>
        </w:rPr>
        <w:t>万元违约金</w:t>
      </w:r>
      <w:r>
        <w:rPr>
          <w:rFonts w:hint="eastAsia" w:ascii="宋体" w:hAnsi="宋体"/>
          <w:color w:val="auto"/>
          <w:sz w:val="24"/>
          <w:highlight w:val="none"/>
        </w:rPr>
        <w:t>/次</w:t>
      </w:r>
      <w:r>
        <w:rPr>
          <w:rFonts w:hint="eastAsia"/>
          <w:color w:val="auto"/>
          <w:sz w:val="24"/>
          <w:highlight w:val="none"/>
        </w:rPr>
        <w:t>；此种情况出现第 2 次及以上的，</w:t>
      </w:r>
      <w:r>
        <w:rPr>
          <w:rFonts w:ascii="宋体" w:hAnsi="宋体"/>
          <w:color w:val="auto"/>
          <w:sz w:val="24"/>
          <w:highlight w:val="none"/>
        </w:rPr>
        <w:t>承包人须向发包人支付</w:t>
      </w:r>
      <w:r>
        <w:rPr>
          <w:rFonts w:hint="eastAsia" w:ascii="宋体" w:hAnsi="宋体"/>
          <w:color w:val="auto"/>
          <w:sz w:val="24"/>
          <w:highlight w:val="none"/>
        </w:rPr>
        <w:t>3</w:t>
      </w:r>
      <w:r>
        <w:rPr>
          <w:rFonts w:ascii="宋体" w:hAnsi="宋体"/>
          <w:color w:val="auto"/>
          <w:sz w:val="24"/>
          <w:highlight w:val="none"/>
        </w:rPr>
        <w:t>万元违约金</w:t>
      </w:r>
      <w:r>
        <w:rPr>
          <w:rFonts w:hint="eastAsia" w:ascii="宋体" w:hAnsi="宋体"/>
          <w:color w:val="auto"/>
          <w:sz w:val="24"/>
          <w:highlight w:val="none"/>
        </w:rPr>
        <w:t>/次</w:t>
      </w:r>
      <w:r>
        <w:rPr>
          <w:rFonts w:hint="eastAsia"/>
          <w:color w:val="auto"/>
          <w:sz w:val="24"/>
          <w:highlight w:val="none"/>
        </w:rPr>
        <w:t>。</w:t>
      </w:r>
    </w:p>
    <w:p w14:paraId="45D91011">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10.2.3勘察设计投资控制方面的责任</w:t>
      </w:r>
    </w:p>
    <w:p w14:paraId="6A13517B">
      <w:pPr>
        <w:spacing w:line="460" w:lineRule="exact"/>
        <w:ind w:firstLine="482"/>
        <w:rPr>
          <w:rFonts w:hint="eastAsia" w:ascii="宋体" w:hAnsi="宋体"/>
          <w:color w:val="auto"/>
          <w:sz w:val="24"/>
          <w:highlight w:val="none"/>
        </w:rPr>
      </w:pPr>
      <w:r>
        <w:rPr>
          <w:rFonts w:hint="eastAsia" w:ascii="宋体" w:hAnsi="宋体"/>
          <w:color w:val="auto"/>
          <w:sz w:val="24"/>
          <w:highlight w:val="none"/>
        </w:rPr>
        <w:t>（1）承包人的勘察工作必须以保证质量、节约投资为原则开展，勘察工程量经发包人审核批准后实施，未经批准实施的勘察工程量，不予支付勘察费 。</w:t>
      </w:r>
    </w:p>
    <w:p w14:paraId="6F399417">
      <w:pPr>
        <w:spacing w:line="460" w:lineRule="exact"/>
        <w:ind w:firstLine="482"/>
        <w:rPr>
          <w:color w:val="auto"/>
          <w:highlight w:val="none"/>
        </w:rPr>
      </w:pPr>
      <w:r>
        <w:rPr>
          <w:rFonts w:hint="eastAsia" w:ascii="宋体" w:hAnsi="宋体"/>
          <w:color w:val="auto"/>
          <w:sz w:val="24"/>
          <w:highlight w:val="none"/>
        </w:rPr>
        <w:t>（2）承包人</w:t>
      </w:r>
      <w:r>
        <w:rPr>
          <w:rFonts w:ascii="宋体" w:hAnsi="宋体"/>
          <w:color w:val="auto"/>
          <w:sz w:val="24"/>
          <w:highlight w:val="none"/>
        </w:rPr>
        <w:t>应对勘察设计项目受托人所出具有关数据的计算、技术经济资料等的科学性和准确性负责，因</w:t>
      </w:r>
      <w:r>
        <w:rPr>
          <w:rFonts w:hint="eastAsia" w:ascii="宋体" w:hAnsi="宋体"/>
          <w:color w:val="auto"/>
          <w:sz w:val="24"/>
          <w:highlight w:val="none"/>
        </w:rPr>
        <w:t>承包人</w:t>
      </w:r>
      <w:r>
        <w:rPr>
          <w:rFonts w:ascii="宋体" w:hAnsi="宋体"/>
          <w:color w:val="auto"/>
          <w:sz w:val="24"/>
          <w:highlight w:val="none"/>
        </w:rPr>
        <w:t>的概算出现错误及漏项，</w:t>
      </w:r>
      <w:r>
        <w:rPr>
          <w:rFonts w:hint="eastAsia" w:ascii="宋体" w:hAnsi="宋体"/>
          <w:color w:val="auto"/>
          <w:sz w:val="24"/>
          <w:highlight w:val="none"/>
        </w:rPr>
        <w:t>发包人</w:t>
      </w:r>
      <w:r>
        <w:rPr>
          <w:rFonts w:ascii="宋体" w:hAnsi="宋体"/>
          <w:color w:val="auto"/>
          <w:sz w:val="24"/>
          <w:highlight w:val="none"/>
        </w:rPr>
        <w:t>有权</w:t>
      </w:r>
      <w:r>
        <w:rPr>
          <w:rFonts w:hint="eastAsia" w:ascii="宋体" w:hAnsi="宋体"/>
          <w:color w:val="auto"/>
          <w:sz w:val="24"/>
          <w:highlight w:val="none"/>
        </w:rPr>
        <w:t>按</w:t>
      </w:r>
      <w:r>
        <w:rPr>
          <w:rFonts w:ascii="宋体" w:hAnsi="宋体"/>
          <w:color w:val="auto"/>
          <w:sz w:val="24"/>
          <w:highlight w:val="none"/>
        </w:rPr>
        <w:t>错漏</w:t>
      </w:r>
      <w:r>
        <w:rPr>
          <w:rFonts w:hint="eastAsia" w:ascii="宋体" w:hAnsi="宋体"/>
          <w:color w:val="auto"/>
          <w:sz w:val="24"/>
          <w:highlight w:val="none"/>
        </w:rPr>
        <w:t>部分金额的1%扣减设计费，造成概算调整的，发包人</w:t>
      </w:r>
      <w:r>
        <w:rPr>
          <w:rFonts w:ascii="宋体" w:hAnsi="宋体"/>
          <w:color w:val="auto"/>
          <w:sz w:val="24"/>
          <w:highlight w:val="none"/>
        </w:rPr>
        <w:t>有权</w:t>
      </w:r>
      <w:r>
        <w:rPr>
          <w:rFonts w:hint="eastAsia" w:ascii="宋体" w:hAnsi="宋体"/>
          <w:color w:val="auto"/>
          <w:sz w:val="24"/>
          <w:highlight w:val="none"/>
        </w:rPr>
        <w:t>按概算调整差额的1%追扣设计费，如</w:t>
      </w:r>
      <w:r>
        <w:rPr>
          <w:rFonts w:ascii="宋体" w:hAnsi="宋体"/>
          <w:color w:val="auto"/>
          <w:sz w:val="24"/>
          <w:highlight w:val="none"/>
        </w:rPr>
        <w:t>造成</w:t>
      </w:r>
      <w:r>
        <w:rPr>
          <w:rFonts w:hint="eastAsia" w:ascii="宋体" w:hAnsi="宋体"/>
          <w:color w:val="auto"/>
          <w:sz w:val="24"/>
          <w:highlight w:val="none"/>
        </w:rPr>
        <w:t>发包人</w:t>
      </w:r>
      <w:r>
        <w:rPr>
          <w:rFonts w:ascii="宋体" w:hAnsi="宋体"/>
          <w:color w:val="auto"/>
          <w:sz w:val="24"/>
          <w:highlight w:val="none"/>
        </w:rPr>
        <w:t>经济损失的，</w:t>
      </w:r>
      <w:r>
        <w:rPr>
          <w:rFonts w:hint="eastAsia" w:ascii="宋体" w:hAnsi="宋体"/>
          <w:color w:val="auto"/>
          <w:sz w:val="24"/>
          <w:highlight w:val="none"/>
        </w:rPr>
        <w:t>发包人</w:t>
      </w:r>
      <w:r>
        <w:rPr>
          <w:rFonts w:ascii="宋体" w:hAnsi="宋体"/>
          <w:color w:val="auto"/>
          <w:sz w:val="24"/>
          <w:highlight w:val="none"/>
        </w:rPr>
        <w:t>有权追究相应的经济责任</w:t>
      </w:r>
      <w:r>
        <w:rPr>
          <w:rFonts w:hint="eastAsia" w:ascii="宋体" w:hAnsi="宋体"/>
          <w:color w:val="auto"/>
          <w:sz w:val="24"/>
          <w:highlight w:val="none"/>
        </w:rPr>
        <w:t>。</w:t>
      </w:r>
    </w:p>
    <w:p w14:paraId="2EBD7B6C">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10.2.4勘察设计工期控制方面的责任</w:t>
      </w:r>
    </w:p>
    <w:p w14:paraId="0566CA4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若承包人未按本合同约定时限提交</w:t>
      </w:r>
      <w:r>
        <w:rPr>
          <w:rFonts w:hint="eastAsia" w:ascii="宋体" w:hAnsi="宋体"/>
          <w:color w:val="auto"/>
          <w:sz w:val="24"/>
          <w:highlight w:val="none"/>
        </w:rPr>
        <w:t>勘察</w:t>
      </w:r>
      <w:r>
        <w:rPr>
          <w:rFonts w:ascii="宋体" w:hAnsi="宋体"/>
          <w:color w:val="auto"/>
          <w:sz w:val="24"/>
          <w:highlight w:val="none"/>
        </w:rPr>
        <w:t xml:space="preserve">设计成果（含设计变更，包括但不限于设计文件、图纸、技术参数、计算书等）及报建报批成果（包括但不限于行政主管部门批复意见及图纸等），每逾期一天，承包人须向发包人支付5000元作为违约金；逾期超过15天，承包人除须向发包人支付违约金外，发包人有权单方解除合同。在非承包人设计质量问题或非承包人违约情况下，若因发包人自身资料不齐备或发包人审批确认延迟或建设行政主管部门审批时限超出法定周期造成报建报批进度后延的，工期顺延。 </w:t>
      </w:r>
    </w:p>
    <w:p w14:paraId="7320273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若承包人设计文件错漏造成工程返工并由此导致施工工期延误，每逾期1个日历天，承包人须向发包人交纳1万元违约金；因此造成工期延误累计超过15天，则承包人除须支付违约金外，发包人有权单方解除合同。</w:t>
      </w:r>
    </w:p>
    <w:p w14:paraId="0D48E7B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若承包人设计成果质量不合格或不能满足技术要求引起返工，工期不予顺延，且其返工所增加的一切相关费用及责任均由承包人承担。</w:t>
      </w:r>
    </w:p>
    <w:p w14:paraId="043D845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（4）最高误期损害赔偿费=给发包人造成的全部经济损失。</w:t>
      </w:r>
    </w:p>
    <w:p w14:paraId="4C9F999B">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10.2.4勘察设计其他方面的责任</w:t>
      </w:r>
    </w:p>
    <w:p w14:paraId="3E0AD6F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（1）合同生效后，承包人要求终止或解除合同，承包人应返还发包人已支付的预付款，并返还发包人已支付的所有款项，同时赔偿给发包人勘察设计费总额10%的违约金。</w:t>
      </w:r>
    </w:p>
    <w:p w14:paraId="11D714B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承包人不得将本单位勘察设计资质范围内勘察设计任务转包和私自分包，否则发包人有权单方解除合同。同时，发包人有权扣除转包分包部分的全额勘察设计费用，并要求承包人赔偿由此造成的损失。</w:t>
      </w:r>
    </w:p>
    <w:p w14:paraId="45FCB9C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承包人的设计不得有侵犯本合同以外第三方任何合法权益，违反约定产生的法律责任由责任方自行承担，并应赔偿因此给发包人造成的损失，赔偿范围包括但不限于向第三方的赔偿费用、支出的律师费、诉讼费、保全费、执行费、公告费、鉴定费、公证费、翻译费等一切损失。</w:t>
      </w:r>
    </w:p>
    <w:p w14:paraId="103298E3">
      <w:pPr>
        <w:spacing w:line="460" w:lineRule="exact"/>
        <w:ind w:firstLine="57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设计文件中选用的国家标准图、部标准图及地方标准图由</w:t>
      </w:r>
      <w:r>
        <w:rPr>
          <w:rFonts w:hint="eastAsia" w:ascii="宋体" w:hAnsi="宋体"/>
          <w:color w:val="auto"/>
          <w:sz w:val="24"/>
          <w:highlight w:val="none"/>
        </w:rPr>
        <w:t>承包</w:t>
      </w:r>
      <w:r>
        <w:rPr>
          <w:rFonts w:ascii="宋体" w:hAnsi="宋体"/>
          <w:color w:val="auto"/>
          <w:sz w:val="24"/>
          <w:highlight w:val="none"/>
        </w:rPr>
        <w:t>人负责解决。</w:t>
      </w:r>
    </w:p>
    <w:p w14:paraId="5C403C4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（5）承包人需全力配合发包人完成涉及本工程的审计工作。</w:t>
      </w:r>
    </w:p>
    <w:p w14:paraId="1AB5C3D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10.2.5</w:t>
      </w:r>
      <w:bookmarkStart w:id="2" w:name="_Hlk204076873"/>
      <w:r>
        <w:rPr>
          <w:rFonts w:hint="eastAsia" w:ascii="宋体" w:hAnsi="宋体"/>
          <w:color w:val="auto"/>
          <w:sz w:val="24"/>
          <w:highlight w:val="none"/>
        </w:rPr>
        <w:t xml:space="preserve"> 除合同有特别约定应优先适用特别约定外，承包人如违反本合同项下任何一项义务，每违反一次需向发包人支付合同总金额（</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且不超5万元/次</w:t>
      </w:r>
      <w:r>
        <w:rPr>
          <w:rFonts w:hint="eastAsia" w:ascii="宋体" w:hAnsi="宋体"/>
          <w:color w:val="auto"/>
          <w:sz w:val="24"/>
          <w:highlight w:val="none"/>
        </w:rPr>
        <w:t>的违约金且发包人有权要求承包人</w:t>
      </w:r>
      <w:r>
        <w:rPr>
          <w:rFonts w:hint="eastAsia" w:ascii="宋体" w:hAnsi="宋体"/>
          <w:color w:val="auto"/>
          <w:sz w:val="24"/>
          <w:highlight w:val="none"/>
          <w:lang w:val="en-US" w:eastAsia="zh-CN"/>
        </w:rPr>
        <w:t>限期</w:t>
      </w:r>
      <w:r>
        <w:rPr>
          <w:rFonts w:hint="eastAsia" w:ascii="宋体" w:hAnsi="宋体"/>
          <w:color w:val="auto"/>
          <w:sz w:val="24"/>
          <w:highlight w:val="none"/>
        </w:rPr>
        <w:t>完成补正，补正后仍无法达到合同约定标准的或承包人违反本合同项下任何一项义务超（</w:t>
      </w:r>
      <w:r>
        <w:rPr>
          <w:rFonts w:hint="eastAsia" w:ascii="宋体" w:hAnsi="宋体"/>
          <w:color w:val="auto"/>
          <w:sz w:val="24"/>
          <w:highlight w:val="none"/>
          <w:lang w:val="en-US" w:eastAsia="zh-CN"/>
        </w:rPr>
        <w:t>3</w:t>
      </w:r>
      <w:r>
        <w:rPr>
          <w:rFonts w:hint="eastAsia" w:ascii="宋体" w:hAnsi="宋体"/>
          <w:color w:val="auto"/>
          <w:sz w:val="24"/>
          <w:highlight w:val="none"/>
        </w:rPr>
        <w:t>）次（含（</w:t>
      </w:r>
      <w:r>
        <w:rPr>
          <w:rFonts w:hint="eastAsia" w:ascii="宋体" w:hAnsi="宋体"/>
          <w:color w:val="auto"/>
          <w:sz w:val="24"/>
          <w:highlight w:val="none"/>
          <w:lang w:val="en-US" w:eastAsia="zh-CN"/>
        </w:rPr>
        <w:t>3</w:t>
      </w:r>
      <w:r>
        <w:rPr>
          <w:rFonts w:hint="eastAsia" w:ascii="宋体" w:hAnsi="宋体"/>
          <w:color w:val="auto"/>
          <w:sz w:val="24"/>
          <w:highlight w:val="none"/>
        </w:rPr>
        <w:t>）次）的，发包人有权单方解除本合同。</w:t>
      </w:r>
    </w:p>
    <w:p w14:paraId="3D811CE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10.2.6除合同有特别约定应优先适用特别约定外，若发包人因承包人违约而单方解除本合同（含因承包人原因严重影响项目进行的），承包人需向发包人赔付合同总金额（</w:t>
      </w:r>
      <w:r>
        <w:rPr>
          <w:rFonts w:hint="eastAsia" w:ascii="宋体" w:hAnsi="宋体"/>
          <w:color w:val="auto"/>
          <w:sz w:val="24"/>
          <w:highlight w:val="none"/>
          <w:lang w:val="en-US" w:eastAsia="zh-CN"/>
        </w:rPr>
        <w:t>20</w:t>
      </w:r>
      <w:r>
        <w:rPr>
          <w:rFonts w:hint="eastAsia" w:ascii="宋体" w:hAnsi="宋体"/>
          <w:color w:val="auto"/>
          <w:sz w:val="24"/>
          <w:highlight w:val="none"/>
        </w:rPr>
        <w:t>）% 的违约金，本合同项下所约定的违约金不足以弥补给发包人造成的损失的，发包人有权继续追索。</w:t>
      </w:r>
    </w:p>
    <w:bookmarkEnd w:id="2"/>
    <w:p w14:paraId="16A9980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.2.</w:t>
      </w:r>
      <w:r>
        <w:rPr>
          <w:rFonts w:hint="eastAsia" w:ascii="宋体" w:hAnsi="宋体"/>
          <w:color w:val="auto"/>
          <w:sz w:val="24"/>
          <w:highlight w:val="none"/>
        </w:rPr>
        <w:t>7</w:t>
      </w:r>
      <w:r>
        <w:rPr>
          <w:rFonts w:ascii="宋体" w:hAnsi="宋体"/>
          <w:color w:val="auto"/>
          <w:sz w:val="24"/>
          <w:highlight w:val="none"/>
        </w:rPr>
        <w:t>上述违约金，发包人有权从应支付承包人的勘察设计进度款或结算价款</w:t>
      </w:r>
      <w:r>
        <w:rPr>
          <w:rFonts w:hint="eastAsia" w:ascii="宋体" w:hAnsi="宋体"/>
          <w:color w:val="auto"/>
          <w:sz w:val="24"/>
          <w:highlight w:val="none"/>
        </w:rPr>
        <w:t>中直接抵扣，承包人不得有异议。</w:t>
      </w:r>
    </w:p>
    <w:p w14:paraId="5F27124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10.2.8承包人应严格按照发包人相关管理制度开展工作。</w:t>
      </w:r>
    </w:p>
    <w:p w14:paraId="55830D8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10.2.9法律法规规定应由承包人应负责的其他事项。</w:t>
      </w:r>
    </w:p>
    <w:p w14:paraId="1D688F08">
      <w:pPr>
        <w:numPr>
          <w:ilvl w:val="0"/>
          <w:numId w:val="3"/>
        </w:num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 xml:space="preserve">其他约定的事项： </w:t>
      </w:r>
    </w:p>
    <w:p w14:paraId="2FEB10D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11.1勘察工作严格按照有关法律法规及相关文件规定进行。</w:t>
      </w:r>
    </w:p>
    <w:p w14:paraId="79D5156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11.1.1勘察工作应充分调研场地及附近的勘察、水文地质、地震及环境地质等资料和建筑经验，搜集场区的地面整平标高，建筑物的性质、规模、荷载、结构特点、基础形式、埋置深度、地基允许变形等资料；</w:t>
      </w:r>
    </w:p>
    <w:p w14:paraId="4874EAD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11.1.2</w:t>
      </w:r>
      <w:r>
        <w:rPr>
          <w:rFonts w:ascii="宋体" w:hAnsi="宋体"/>
          <w:color w:val="auto"/>
          <w:sz w:val="24"/>
          <w:highlight w:val="none"/>
        </w:rPr>
        <w:t xml:space="preserve"> </w:t>
      </w:r>
      <w:r>
        <w:rPr>
          <w:rFonts w:hint="eastAsia" w:ascii="宋体" w:hAnsi="宋体"/>
          <w:color w:val="auto"/>
          <w:sz w:val="24"/>
          <w:highlight w:val="none"/>
        </w:rPr>
        <w:t>查明有无影响场地稳定性的不良地质现象及其它不利影响。查明不良地质作用的类型、成因、分布范围、发展趋势和危害程度，提出整治方案的建议；</w:t>
      </w:r>
    </w:p>
    <w:p w14:paraId="0877BD5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11.1.3 查明荷载影响范围内各岩土的类型、分布、厚度、深度、均匀性及物理力学性质。评价地基的稳定性、均匀性并提供地基土承载力及变形计算参数；</w:t>
      </w:r>
    </w:p>
    <w:p w14:paraId="1440724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11.1.4</w:t>
      </w:r>
      <w:r>
        <w:rPr>
          <w:rFonts w:ascii="宋体" w:hAnsi="宋体"/>
          <w:color w:val="auto"/>
          <w:sz w:val="24"/>
          <w:highlight w:val="none"/>
        </w:rPr>
        <w:t xml:space="preserve"> </w:t>
      </w:r>
      <w:r>
        <w:rPr>
          <w:rFonts w:hint="eastAsia" w:ascii="宋体" w:hAnsi="宋体"/>
          <w:color w:val="auto"/>
          <w:sz w:val="24"/>
          <w:highlight w:val="none"/>
        </w:rPr>
        <w:t>对需进行沉降计算的建筑物，提供地基变形计算参数，预测建筑物的变形特征；</w:t>
      </w:r>
    </w:p>
    <w:p w14:paraId="5B0469F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w:t>
      </w:r>
      <w:r>
        <w:rPr>
          <w:rFonts w:ascii="宋体" w:hAnsi="宋体"/>
          <w:color w:val="auto"/>
          <w:sz w:val="24"/>
          <w:highlight w:val="none"/>
        </w:rPr>
        <w:t xml:space="preserve"> </w:t>
      </w:r>
      <w:r>
        <w:rPr>
          <w:rFonts w:hint="eastAsia" w:ascii="宋体" w:hAnsi="宋体"/>
          <w:color w:val="auto"/>
          <w:sz w:val="24"/>
          <w:highlight w:val="none"/>
        </w:rPr>
        <w:t>场地中如果存在古河道、塘堰、沟、坑、洞、墓穴、各种地下管网、防空洞、孤石、石灰岩等对工程不利的埋藏物或地下障碍物时，尚应查明其分布范围、深度、堆积及回填物；</w:t>
      </w:r>
    </w:p>
    <w:p w14:paraId="3D8DD6C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11.1.5.1在工程勘察期间遇到地下文物时，应及时向发包人和文物主管部门报告并妥善保护。</w:t>
      </w:r>
    </w:p>
    <w:p w14:paraId="25E12D4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11.1.5.2在燃气管道、热力管道动力设备、输水管道、输电线路、输油管道等地下管道；街交通要道和地下通道（地下隧道）；临地铁、城际等城市轨道交通范围等风险性较大的地点；易燃易爆地段及放射、有毒环境中进行工程勘察作业时，应编制安全防护方案并制定应急预案。</w:t>
      </w:r>
    </w:p>
    <w:p w14:paraId="27A9AA8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11.1.5.3承包人在工程勘察期间应采取有效措施保护地下管线、结构物、文物（如有）等的安全，若因勘察作业导致地下管线、结构物、文物（如有）等损坏的，由承包人自行承担赔偿损失责任。</w:t>
      </w:r>
    </w:p>
    <w:p w14:paraId="220D4A4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11.1.6</w:t>
      </w:r>
      <w:r>
        <w:rPr>
          <w:rFonts w:ascii="宋体" w:hAnsi="宋体"/>
          <w:color w:val="auto"/>
          <w:sz w:val="24"/>
          <w:highlight w:val="none"/>
        </w:rPr>
        <w:t xml:space="preserve"> </w:t>
      </w:r>
      <w:r>
        <w:rPr>
          <w:rFonts w:hint="eastAsia" w:ascii="宋体" w:hAnsi="宋体"/>
          <w:color w:val="auto"/>
          <w:sz w:val="24"/>
          <w:highlight w:val="none"/>
        </w:rPr>
        <w:t>场地中如果存在可液化地基，应进行地震液化评价，并提出处理措施的建议；</w:t>
      </w:r>
    </w:p>
    <w:p w14:paraId="25DB191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11.1.7</w:t>
      </w:r>
      <w:r>
        <w:rPr>
          <w:rFonts w:ascii="宋体" w:hAnsi="宋体"/>
          <w:color w:val="auto"/>
          <w:sz w:val="24"/>
          <w:highlight w:val="none"/>
        </w:rPr>
        <w:t xml:space="preserve"> </w:t>
      </w:r>
      <w:r>
        <w:rPr>
          <w:rFonts w:hint="eastAsia" w:ascii="宋体" w:hAnsi="宋体"/>
          <w:color w:val="auto"/>
          <w:sz w:val="24"/>
          <w:highlight w:val="none"/>
        </w:rPr>
        <w:t>确定岩石的风化等级，并划定其界限；</w:t>
      </w:r>
    </w:p>
    <w:p w14:paraId="441254A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11.1.8</w:t>
      </w:r>
      <w:r>
        <w:rPr>
          <w:rFonts w:ascii="宋体" w:hAnsi="宋体"/>
          <w:color w:val="auto"/>
          <w:sz w:val="24"/>
          <w:highlight w:val="none"/>
        </w:rPr>
        <w:t xml:space="preserve"> </w:t>
      </w:r>
      <w:r>
        <w:rPr>
          <w:rFonts w:hint="eastAsia" w:ascii="宋体" w:hAnsi="宋体"/>
          <w:color w:val="auto"/>
          <w:sz w:val="24"/>
          <w:highlight w:val="none"/>
        </w:rPr>
        <w:t>按当地设防烈度和重点设防类建筑标准，对场地与地基的地震效应评价，提供抗震设计相关参数；</w:t>
      </w:r>
    </w:p>
    <w:p w14:paraId="4963592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11.1.9</w:t>
      </w:r>
      <w:r>
        <w:rPr>
          <w:rFonts w:ascii="宋体" w:hAnsi="宋体"/>
          <w:color w:val="auto"/>
          <w:sz w:val="24"/>
          <w:highlight w:val="none"/>
        </w:rPr>
        <w:t xml:space="preserve"> </w:t>
      </w:r>
      <w:r>
        <w:rPr>
          <w:rFonts w:hint="eastAsia" w:ascii="宋体" w:hAnsi="宋体"/>
          <w:color w:val="auto"/>
          <w:sz w:val="24"/>
          <w:highlight w:val="none"/>
        </w:rPr>
        <w:t>查明地下水的埋藏条件、类型、水质。提出降低地下水位的方法，并提供含水层的主要水文地质参数;抗浮设计水位绝对标高；</w:t>
      </w:r>
    </w:p>
    <w:p w14:paraId="129A09A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11.1.10</w:t>
      </w:r>
      <w:r>
        <w:rPr>
          <w:rFonts w:ascii="宋体" w:hAnsi="宋体"/>
          <w:color w:val="auto"/>
          <w:sz w:val="24"/>
          <w:highlight w:val="none"/>
        </w:rPr>
        <w:t xml:space="preserve"> </w:t>
      </w:r>
      <w:r>
        <w:rPr>
          <w:rFonts w:hint="eastAsia" w:ascii="宋体" w:hAnsi="宋体"/>
          <w:color w:val="auto"/>
          <w:sz w:val="24"/>
          <w:highlight w:val="none"/>
        </w:rPr>
        <w:t>判定水和土对建筑材料的腐蚀性；</w:t>
      </w:r>
    </w:p>
    <w:p w14:paraId="45700B6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w:t>
      </w:r>
      <w:r>
        <w:rPr>
          <w:rFonts w:ascii="宋体" w:hAnsi="宋体"/>
          <w:color w:val="auto"/>
          <w:sz w:val="24"/>
          <w:highlight w:val="none"/>
        </w:rPr>
        <w:t xml:space="preserve"> </w:t>
      </w:r>
      <w:r>
        <w:rPr>
          <w:rFonts w:hint="eastAsia" w:ascii="宋体" w:hAnsi="宋体"/>
          <w:color w:val="auto"/>
          <w:sz w:val="24"/>
          <w:highlight w:val="none"/>
        </w:rPr>
        <w:t>当采用桩基时：</w:t>
      </w:r>
    </w:p>
    <w:p w14:paraId="568D53D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11.1.11.1基岩作为桩的持力层时，应查明基岩的岩性、构造、岩面变化、风化程度，确定其坚硬程度、完整程度和基本质量等级，判定有无洞穴、临空面、破碎岩体或软弱岩层；</w:t>
      </w:r>
    </w:p>
    <w:p w14:paraId="7146B9E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11.1.11.2评价成桩可能性，论证桩的施工条件及其对环境的影响。</w:t>
      </w:r>
    </w:p>
    <w:p w14:paraId="379D817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11.1.11.3满足1～11 条要求；</w:t>
      </w:r>
    </w:p>
    <w:p w14:paraId="2AD9DC6A">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11.1.12</w:t>
      </w:r>
      <w:r>
        <w:rPr>
          <w:rFonts w:ascii="宋体" w:hAnsi="宋体"/>
          <w:color w:val="auto"/>
          <w:sz w:val="24"/>
          <w:highlight w:val="none"/>
        </w:rPr>
        <w:t xml:space="preserve"> </w:t>
      </w:r>
      <w:r>
        <w:rPr>
          <w:rFonts w:hint="eastAsia" w:ascii="宋体" w:hAnsi="宋体"/>
          <w:color w:val="auto"/>
          <w:sz w:val="24"/>
          <w:highlight w:val="none"/>
        </w:rPr>
        <w:t>提出地基基础设计方案的建议。</w:t>
      </w:r>
    </w:p>
    <w:p w14:paraId="2A2A3562">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11.1.13</w:t>
      </w:r>
      <w:r>
        <w:rPr>
          <w:rFonts w:ascii="宋体" w:hAnsi="宋体"/>
          <w:color w:val="auto"/>
          <w:sz w:val="24"/>
          <w:highlight w:val="none"/>
        </w:rPr>
        <w:t xml:space="preserve"> </w:t>
      </w:r>
      <w:r>
        <w:rPr>
          <w:rFonts w:hint="eastAsia" w:ascii="宋体" w:hAnsi="宋体"/>
          <w:color w:val="auto"/>
          <w:sz w:val="24"/>
          <w:highlight w:val="none"/>
        </w:rPr>
        <w:t>提供边坡稳定及支护的设计计算参数；</w:t>
      </w:r>
    </w:p>
    <w:p w14:paraId="43841F56">
      <w:pPr>
        <w:spacing w:line="460" w:lineRule="exact"/>
        <w:ind w:firstLine="480" w:firstLineChars="200"/>
        <w:rPr>
          <w:rFonts w:hint="eastAsia" w:ascii="宋体" w:hAnsi="宋体"/>
          <w:b/>
          <w:bCs/>
          <w:color w:val="auto"/>
          <w:sz w:val="24"/>
          <w:highlight w:val="none"/>
        </w:rPr>
      </w:pPr>
      <w:r>
        <w:rPr>
          <w:rFonts w:hint="eastAsia" w:ascii="宋体" w:hAnsi="宋体"/>
          <w:color w:val="auto"/>
          <w:sz w:val="24"/>
          <w:highlight w:val="none"/>
        </w:rPr>
        <w:t>11.1.14</w:t>
      </w:r>
      <w:r>
        <w:rPr>
          <w:rFonts w:ascii="宋体" w:hAnsi="宋体"/>
          <w:color w:val="auto"/>
          <w:sz w:val="24"/>
          <w:highlight w:val="none"/>
        </w:rPr>
        <w:t xml:space="preserve"> </w:t>
      </w:r>
      <w:r>
        <w:rPr>
          <w:rFonts w:hint="eastAsia" w:ascii="宋体" w:hAnsi="宋体"/>
          <w:color w:val="auto"/>
          <w:sz w:val="24"/>
          <w:highlight w:val="none"/>
        </w:rPr>
        <w:t>勘探点的布置及勘探孔深度应符合有关规范的要求。</w:t>
      </w:r>
    </w:p>
    <w:p w14:paraId="41ADA7BD">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11.2 关于设计深度的要求</w:t>
      </w:r>
    </w:p>
    <w:p w14:paraId="0D98ECF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（1）按有关技术标准、设计规范（标准）要求。</w:t>
      </w:r>
    </w:p>
    <w:p w14:paraId="61EE03FE">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（2）各专业设计应同步进行，设计单位应指定总体设计负责人，统筹布局，做好各项设施的协调和衔接、位置预留，不得留待施工中临时变更。</w:t>
      </w:r>
    </w:p>
    <w:p w14:paraId="7F2D9361">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（3）对技术复杂或规模较大的主要分项工程应作方案比较。</w:t>
      </w:r>
    </w:p>
    <w:p w14:paraId="033A3D81">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（4）初步设计文件的深度，应当满足编制施工招标文件和编制施工图设计文件的需要。</w:t>
      </w:r>
    </w:p>
    <w:p w14:paraId="00B86458">
      <w:pPr>
        <w:spacing w:line="460" w:lineRule="exact"/>
        <w:ind w:firstLine="570"/>
        <w:rPr>
          <w:rFonts w:hint="eastAsia" w:ascii="宋体" w:hAnsi="宋体"/>
          <w:color w:val="auto"/>
          <w:sz w:val="24"/>
          <w:highlight w:val="none"/>
        </w:rPr>
      </w:pPr>
      <w:r>
        <w:rPr>
          <w:rFonts w:hint="eastAsia" w:ascii="宋体" w:hAnsi="宋体"/>
          <w:color w:val="auto"/>
          <w:sz w:val="24"/>
          <w:highlight w:val="none"/>
        </w:rPr>
        <w:t>（6）施工图设计文件的深度，应当满足施工的需要，并注明建设工程合理使用年限。</w:t>
      </w:r>
    </w:p>
    <w:p w14:paraId="5804B314">
      <w:pPr>
        <w:spacing w:line="460" w:lineRule="exact"/>
        <w:ind w:firstLine="570"/>
        <w:rPr>
          <w:rFonts w:hint="eastAsia" w:ascii="宋体" w:hAnsi="宋体"/>
          <w:color w:val="auto"/>
          <w:sz w:val="24"/>
          <w:highlight w:val="none"/>
        </w:rPr>
      </w:pPr>
      <w:r>
        <w:rPr>
          <w:rFonts w:hint="eastAsia" w:ascii="宋体" w:hAnsi="宋体"/>
          <w:color w:val="auto"/>
          <w:sz w:val="24"/>
          <w:highlight w:val="none"/>
        </w:rPr>
        <w:t>（7）相关的配套外部接口方案均需取得政府主管部门或规划部门认可。</w:t>
      </w:r>
    </w:p>
    <w:p w14:paraId="1225A817">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11.3设计后期工作</w:t>
      </w:r>
    </w:p>
    <w:p w14:paraId="0F8756E5">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1、配合施工</w:t>
      </w:r>
    </w:p>
    <w:p w14:paraId="7C789B1A">
      <w:pPr>
        <w:spacing w:line="460" w:lineRule="exact"/>
        <w:ind w:firstLine="570"/>
        <w:rPr>
          <w:rFonts w:hint="eastAsia" w:ascii="宋体" w:hAnsi="宋体"/>
          <w:color w:val="auto"/>
          <w:sz w:val="24"/>
          <w:highlight w:val="none"/>
        </w:rPr>
      </w:pPr>
      <w:r>
        <w:rPr>
          <w:rFonts w:hint="eastAsia" w:ascii="宋体" w:hAnsi="宋体"/>
          <w:color w:val="auto"/>
          <w:sz w:val="24"/>
          <w:highlight w:val="none"/>
        </w:rPr>
        <w:t>施工图设计完成并经有关单位审查后，进入施工阶段，设计单位必须按投标文件的承诺负责配合施工，发包人不另行支付配合施工的相关费用。设计单位配合施工的工作内容如下：</w:t>
      </w:r>
    </w:p>
    <w:p w14:paraId="48EDDF15">
      <w:pPr>
        <w:spacing w:line="460" w:lineRule="exact"/>
        <w:ind w:firstLine="570"/>
        <w:rPr>
          <w:rFonts w:hint="eastAsia" w:ascii="宋体" w:hAnsi="宋体"/>
          <w:color w:val="auto"/>
          <w:sz w:val="24"/>
          <w:highlight w:val="none"/>
        </w:rPr>
      </w:pPr>
      <w:r>
        <w:rPr>
          <w:rFonts w:hint="eastAsia" w:ascii="宋体" w:hAnsi="宋体"/>
          <w:color w:val="auto"/>
          <w:sz w:val="24"/>
          <w:highlight w:val="none"/>
        </w:rPr>
        <w:t>（1）施工图设计（技术）交底；</w:t>
      </w:r>
    </w:p>
    <w:p w14:paraId="3E52ED3D">
      <w:pPr>
        <w:spacing w:line="460" w:lineRule="exact"/>
        <w:ind w:firstLine="570"/>
        <w:rPr>
          <w:rFonts w:hint="eastAsia" w:ascii="宋体" w:hAnsi="宋体"/>
          <w:color w:val="auto"/>
          <w:sz w:val="24"/>
          <w:highlight w:val="none"/>
        </w:rPr>
      </w:pPr>
      <w:r>
        <w:rPr>
          <w:rFonts w:hint="eastAsia" w:ascii="宋体" w:hAnsi="宋体"/>
          <w:color w:val="auto"/>
          <w:sz w:val="24"/>
          <w:highlight w:val="none"/>
        </w:rPr>
        <w:t>（2）配合勘察单位现场交桩（适用于勘察单位与设计单位是分开的情况）；</w:t>
      </w:r>
    </w:p>
    <w:p w14:paraId="2D8B0EC6">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（3）变更设计和补充设计；</w:t>
      </w:r>
    </w:p>
    <w:p w14:paraId="456E1E29">
      <w:pPr>
        <w:spacing w:line="460" w:lineRule="exact"/>
        <w:ind w:firstLine="570"/>
        <w:rPr>
          <w:rFonts w:hint="eastAsia" w:ascii="宋体" w:hAnsi="宋体"/>
          <w:color w:val="auto"/>
          <w:sz w:val="24"/>
          <w:highlight w:val="none"/>
        </w:rPr>
      </w:pPr>
      <w:r>
        <w:rPr>
          <w:rFonts w:hint="eastAsia" w:ascii="宋体" w:hAnsi="宋体"/>
          <w:color w:val="auto"/>
          <w:sz w:val="24"/>
          <w:highlight w:val="none"/>
        </w:rPr>
        <w:t>（4）会签设计变更审批表；</w:t>
      </w:r>
    </w:p>
    <w:p w14:paraId="6592B0EE">
      <w:pPr>
        <w:spacing w:line="460" w:lineRule="exact"/>
        <w:ind w:firstLine="570"/>
        <w:rPr>
          <w:rFonts w:hint="eastAsia" w:ascii="宋体" w:hAnsi="宋体"/>
          <w:color w:val="auto"/>
          <w:sz w:val="24"/>
          <w:highlight w:val="none"/>
        </w:rPr>
      </w:pPr>
      <w:r>
        <w:rPr>
          <w:rFonts w:hint="eastAsia" w:ascii="宋体" w:hAnsi="宋体"/>
          <w:color w:val="auto"/>
          <w:sz w:val="24"/>
          <w:highlight w:val="none"/>
        </w:rPr>
        <w:t>（5）参加处理施工中发生的工程质量和安全事故；</w:t>
      </w:r>
    </w:p>
    <w:p w14:paraId="4B4C6EA4">
      <w:pPr>
        <w:spacing w:line="460" w:lineRule="exact"/>
        <w:ind w:firstLine="570"/>
        <w:rPr>
          <w:rFonts w:hint="eastAsia" w:ascii="宋体" w:hAnsi="宋体"/>
          <w:color w:val="auto"/>
          <w:sz w:val="24"/>
          <w:highlight w:val="none"/>
        </w:rPr>
      </w:pPr>
      <w:r>
        <w:rPr>
          <w:rFonts w:hint="eastAsia" w:ascii="宋体" w:hAnsi="宋体"/>
          <w:color w:val="auto"/>
          <w:sz w:val="24"/>
          <w:highlight w:val="none"/>
        </w:rPr>
        <w:t>（6）参加隐蔽工程及工程竣工验收；</w:t>
      </w:r>
    </w:p>
    <w:p w14:paraId="2560F7EE">
      <w:pPr>
        <w:spacing w:line="460" w:lineRule="exact"/>
        <w:ind w:firstLine="570"/>
        <w:rPr>
          <w:rFonts w:hint="eastAsia" w:ascii="宋体" w:hAnsi="宋体"/>
          <w:color w:val="auto"/>
          <w:sz w:val="24"/>
          <w:highlight w:val="none"/>
        </w:rPr>
      </w:pPr>
      <w:r>
        <w:rPr>
          <w:rFonts w:hint="eastAsia" w:ascii="宋体" w:hAnsi="宋体"/>
          <w:color w:val="auto"/>
          <w:sz w:val="24"/>
          <w:highlight w:val="none"/>
        </w:rPr>
        <w:t>（7）解决与设计有关的施工问题；</w:t>
      </w:r>
    </w:p>
    <w:p w14:paraId="5C13F267">
      <w:pPr>
        <w:spacing w:line="460" w:lineRule="exact"/>
        <w:ind w:firstLine="570"/>
        <w:rPr>
          <w:rFonts w:hint="eastAsia" w:ascii="宋体" w:hAnsi="宋体"/>
          <w:color w:val="auto"/>
          <w:sz w:val="24"/>
          <w:highlight w:val="none"/>
        </w:rPr>
      </w:pPr>
      <w:r>
        <w:rPr>
          <w:rFonts w:hint="eastAsia" w:ascii="宋体" w:hAnsi="宋体"/>
          <w:color w:val="auto"/>
          <w:sz w:val="24"/>
          <w:highlight w:val="none"/>
        </w:rPr>
        <w:t>（8）做好配合施工的设计方日志；</w:t>
      </w:r>
    </w:p>
    <w:p w14:paraId="301684D4">
      <w:pPr>
        <w:spacing w:line="460" w:lineRule="exact"/>
        <w:ind w:firstLine="570"/>
        <w:rPr>
          <w:rFonts w:hint="eastAsia" w:ascii="宋体" w:hAnsi="宋体"/>
          <w:color w:val="auto"/>
          <w:sz w:val="24"/>
          <w:highlight w:val="none"/>
        </w:rPr>
      </w:pPr>
      <w:r>
        <w:rPr>
          <w:rFonts w:hint="eastAsia" w:ascii="宋体" w:hAnsi="宋体"/>
          <w:color w:val="auto"/>
          <w:sz w:val="24"/>
          <w:highlight w:val="none"/>
        </w:rPr>
        <w:t>（9）配合质量检测；</w:t>
      </w:r>
    </w:p>
    <w:p w14:paraId="6820ADF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（10）参加审查施工单位的施工组织设计。</w:t>
      </w:r>
    </w:p>
    <w:p w14:paraId="30D6DD19">
      <w:pPr>
        <w:spacing w:line="460" w:lineRule="exact"/>
        <w:ind w:firstLine="570"/>
        <w:rPr>
          <w:rFonts w:hint="eastAsia" w:ascii="宋体" w:hAnsi="宋体"/>
          <w:color w:val="auto"/>
          <w:sz w:val="24"/>
          <w:highlight w:val="none"/>
        </w:rPr>
      </w:pPr>
      <w:r>
        <w:rPr>
          <w:rFonts w:hint="eastAsia" w:ascii="宋体" w:hAnsi="宋体"/>
          <w:color w:val="auto"/>
          <w:sz w:val="24"/>
          <w:highlight w:val="none"/>
        </w:rPr>
        <w:t>承包人应按合同要求安排各专业设计人员到现场配合施工，当必须要承包人提供技术支持时，设计单位需安排一名设计代表驻发包人地点作为处理现场问题及联络双方需协调事宜。根据施工进度情况和发包人的要求，每个专业各安排二名专职设计人员组成设计小组配合施工。其他专业为不定期到现场配合施工。配合施工的设计人员应服从施工需要，随时到现场配合施工。</w:t>
      </w:r>
    </w:p>
    <w:p w14:paraId="03F38C51">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2、设计技术总结</w:t>
      </w:r>
    </w:p>
    <w:p w14:paraId="1204604D">
      <w:pPr>
        <w:spacing w:line="460" w:lineRule="exact"/>
        <w:ind w:firstLine="570"/>
        <w:rPr>
          <w:rFonts w:hint="eastAsia" w:ascii="宋体" w:hAnsi="宋体"/>
          <w:color w:val="auto"/>
          <w:sz w:val="24"/>
          <w:highlight w:val="none"/>
        </w:rPr>
      </w:pPr>
      <w:r>
        <w:rPr>
          <w:rFonts w:hint="eastAsia" w:ascii="宋体" w:hAnsi="宋体"/>
          <w:color w:val="auto"/>
          <w:sz w:val="24"/>
          <w:highlight w:val="none"/>
        </w:rPr>
        <w:t>设计单位对设计文件及施工过程中由设计单位签署的设计变更通知书进行检查，并提出设计文件质量检查报告，交发包人备案。工程完工后，设计单位应组织设计人员在工程设计、配合施工和设计回访的基础上，撰写工程设计技术总结并交发包人备案。</w:t>
      </w:r>
    </w:p>
    <w:p w14:paraId="57766E75">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11.4设计质量监控</w:t>
      </w:r>
    </w:p>
    <w:p w14:paraId="30C11FC5">
      <w:pPr>
        <w:spacing w:line="460" w:lineRule="exact"/>
        <w:ind w:firstLine="570"/>
        <w:rPr>
          <w:rFonts w:hint="eastAsia" w:ascii="宋体" w:hAnsi="宋体"/>
          <w:color w:val="auto"/>
          <w:sz w:val="24"/>
          <w:highlight w:val="none"/>
        </w:rPr>
      </w:pPr>
      <w:r>
        <w:rPr>
          <w:rFonts w:hint="eastAsia" w:ascii="宋体" w:hAnsi="宋体"/>
          <w:color w:val="auto"/>
          <w:sz w:val="24"/>
          <w:highlight w:val="none"/>
        </w:rPr>
        <w:t>1、设计质量要求</w:t>
      </w:r>
    </w:p>
    <w:p w14:paraId="143D6794">
      <w:pPr>
        <w:spacing w:line="460" w:lineRule="exact"/>
        <w:ind w:firstLine="570"/>
        <w:rPr>
          <w:rFonts w:hint="eastAsia" w:ascii="宋体" w:hAnsi="宋体"/>
          <w:color w:val="auto"/>
          <w:sz w:val="24"/>
          <w:highlight w:val="none"/>
        </w:rPr>
      </w:pPr>
      <w:r>
        <w:rPr>
          <w:rFonts w:hint="eastAsia" w:ascii="宋体" w:hAnsi="宋体"/>
          <w:color w:val="auto"/>
          <w:sz w:val="24"/>
          <w:highlight w:val="none"/>
        </w:rPr>
        <w:t>（1） 设计应符合国家政策、现行设计规范、标准及有关规定。</w:t>
      </w:r>
    </w:p>
    <w:p w14:paraId="0CD60088">
      <w:pPr>
        <w:spacing w:line="460" w:lineRule="exact"/>
        <w:ind w:firstLine="570"/>
        <w:rPr>
          <w:rFonts w:hint="eastAsia" w:ascii="宋体" w:hAnsi="宋体"/>
          <w:color w:val="auto"/>
          <w:sz w:val="24"/>
          <w:highlight w:val="none"/>
        </w:rPr>
      </w:pPr>
      <w:r>
        <w:rPr>
          <w:rFonts w:hint="eastAsia" w:ascii="宋体" w:hAnsi="宋体"/>
          <w:color w:val="auto"/>
          <w:sz w:val="24"/>
          <w:highlight w:val="none"/>
        </w:rPr>
        <w:t>（2） 符合规划、合同和有关协议要求。</w:t>
      </w:r>
    </w:p>
    <w:p w14:paraId="5B0D909C">
      <w:pPr>
        <w:spacing w:line="460" w:lineRule="exact"/>
        <w:ind w:firstLine="570"/>
        <w:rPr>
          <w:rFonts w:hint="eastAsia" w:ascii="宋体" w:hAnsi="宋体"/>
          <w:color w:val="auto"/>
          <w:sz w:val="24"/>
          <w:highlight w:val="none"/>
        </w:rPr>
      </w:pPr>
      <w:r>
        <w:rPr>
          <w:rFonts w:hint="eastAsia" w:ascii="宋体" w:hAnsi="宋体"/>
          <w:color w:val="auto"/>
          <w:sz w:val="24"/>
          <w:highlight w:val="none"/>
        </w:rPr>
        <w:t>（3） 设计方案总体布置合理，技术先进，经济合理，项目齐全。</w:t>
      </w:r>
    </w:p>
    <w:p w14:paraId="49B1EDC2">
      <w:pPr>
        <w:spacing w:line="460" w:lineRule="exact"/>
        <w:ind w:firstLine="570"/>
        <w:rPr>
          <w:rFonts w:hint="eastAsia" w:ascii="宋体" w:hAnsi="宋体"/>
          <w:color w:val="auto"/>
          <w:sz w:val="24"/>
          <w:highlight w:val="none"/>
        </w:rPr>
      </w:pPr>
      <w:r>
        <w:rPr>
          <w:rFonts w:hint="eastAsia" w:ascii="宋体" w:hAnsi="宋体"/>
          <w:color w:val="auto"/>
          <w:sz w:val="24"/>
          <w:highlight w:val="none"/>
        </w:rPr>
        <w:t>（4） 设计按规定进行计算分析，计算依据和结果正确，书写齐全。</w:t>
      </w:r>
    </w:p>
    <w:p w14:paraId="6D006422">
      <w:pPr>
        <w:spacing w:line="460" w:lineRule="exact"/>
        <w:ind w:firstLine="570"/>
        <w:rPr>
          <w:rFonts w:hint="eastAsia" w:ascii="宋体" w:hAnsi="宋体"/>
          <w:color w:val="auto"/>
          <w:sz w:val="24"/>
          <w:highlight w:val="none"/>
        </w:rPr>
      </w:pPr>
      <w:r>
        <w:rPr>
          <w:rFonts w:hint="eastAsia" w:ascii="宋体" w:hAnsi="宋体"/>
          <w:color w:val="auto"/>
          <w:sz w:val="24"/>
          <w:highlight w:val="none"/>
        </w:rPr>
        <w:t>（5） 各相关专业协作配合周全。</w:t>
      </w:r>
    </w:p>
    <w:p w14:paraId="59536640">
      <w:pPr>
        <w:spacing w:line="460" w:lineRule="exact"/>
        <w:ind w:firstLine="570"/>
        <w:rPr>
          <w:rFonts w:hint="eastAsia" w:ascii="宋体" w:hAnsi="宋体"/>
          <w:color w:val="auto"/>
          <w:sz w:val="24"/>
          <w:highlight w:val="none"/>
        </w:rPr>
      </w:pPr>
      <w:r>
        <w:rPr>
          <w:rFonts w:hint="eastAsia" w:ascii="宋体" w:hAnsi="宋体"/>
          <w:color w:val="auto"/>
          <w:sz w:val="24"/>
          <w:highlight w:val="none"/>
        </w:rPr>
        <w:t>（6） 设计符合环保要求。</w:t>
      </w:r>
    </w:p>
    <w:p w14:paraId="5D4DEB2F">
      <w:pPr>
        <w:spacing w:line="460" w:lineRule="exact"/>
        <w:ind w:firstLine="570"/>
        <w:rPr>
          <w:rFonts w:hint="eastAsia" w:ascii="宋体" w:hAnsi="宋体"/>
          <w:color w:val="auto"/>
          <w:sz w:val="24"/>
          <w:highlight w:val="none"/>
        </w:rPr>
      </w:pPr>
      <w:r>
        <w:rPr>
          <w:rFonts w:hint="eastAsia" w:ascii="宋体" w:hAnsi="宋体"/>
          <w:color w:val="auto"/>
          <w:sz w:val="24"/>
          <w:highlight w:val="none"/>
        </w:rPr>
        <w:t>（7） 工程数量基本准确，无漏项。</w:t>
      </w:r>
    </w:p>
    <w:p w14:paraId="06AB09C7">
      <w:pPr>
        <w:spacing w:line="460" w:lineRule="exact"/>
        <w:ind w:firstLine="570"/>
        <w:rPr>
          <w:rFonts w:hint="eastAsia" w:ascii="宋体" w:hAnsi="宋体"/>
          <w:color w:val="auto"/>
          <w:sz w:val="24"/>
          <w:highlight w:val="none"/>
        </w:rPr>
      </w:pPr>
      <w:r>
        <w:rPr>
          <w:rFonts w:hint="eastAsia" w:ascii="宋体" w:hAnsi="宋体"/>
          <w:color w:val="auto"/>
          <w:sz w:val="24"/>
          <w:highlight w:val="none"/>
        </w:rPr>
        <w:t>（8） 不用通用图代替设计图。</w:t>
      </w:r>
    </w:p>
    <w:p w14:paraId="3D1E3A3E">
      <w:pPr>
        <w:spacing w:line="460" w:lineRule="exact"/>
        <w:ind w:firstLine="570"/>
        <w:rPr>
          <w:rFonts w:hint="eastAsia" w:ascii="宋体" w:hAnsi="宋体"/>
          <w:color w:val="auto"/>
          <w:sz w:val="24"/>
          <w:highlight w:val="none"/>
        </w:rPr>
      </w:pPr>
      <w:r>
        <w:rPr>
          <w:rFonts w:hint="eastAsia" w:ascii="宋体" w:hAnsi="宋体"/>
          <w:color w:val="auto"/>
          <w:sz w:val="24"/>
          <w:highlight w:val="none"/>
        </w:rPr>
        <w:t>（9） 初步设计应符合经批准的可行性研究报告要求。</w:t>
      </w:r>
    </w:p>
    <w:p w14:paraId="27D4A262">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（10）工程概算符合现行编制规定，计算正确无误，技术经济分析合理，评价正确。</w:t>
      </w:r>
    </w:p>
    <w:p w14:paraId="4FCC75B6">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（11）设计文件组成及深度符合第一项要求，各专业设计有完整的工程项目数量汇总资料，图面清晰，签署齐全,有涉及结构部分的图纸，其设计图封页必须有注册结构工程师章。</w:t>
      </w:r>
    </w:p>
    <w:p w14:paraId="43FC485F">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（12）施工图设计应符合建设行政主管部门或其授权单位组织专家评审及建设管理单位、设计咨询单位对初步设计的评审（审查）意见和批复意见。</w:t>
      </w:r>
    </w:p>
    <w:p w14:paraId="79280D83">
      <w:pPr>
        <w:spacing w:line="460" w:lineRule="exact"/>
        <w:ind w:firstLine="570"/>
        <w:rPr>
          <w:rFonts w:hint="eastAsia" w:ascii="宋体" w:hAnsi="宋体"/>
          <w:color w:val="auto"/>
          <w:sz w:val="24"/>
          <w:highlight w:val="none"/>
        </w:rPr>
      </w:pPr>
      <w:r>
        <w:rPr>
          <w:rFonts w:hint="eastAsia" w:ascii="宋体" w:hAnsi="宋体"/>
          <w:color w:val="auto"/>
          <w:sz w:val="24"/>
          <w:highlight w:val="none"/>
        </w:rPr>
        <w:t>2、设计质量审查和监督方式</w:t>
      </w:r>
    </w:p>
    <w:p w14:paraId="1DCBA487">
      <w:pPr>
        <w:spacing w:line="460" w:lineRule="exact"/>
        <w:ind w:firstLine="570"/>
        <w:rPr>
          <w:rFonts w:hint="eastAsia" w:ascii="宋体" w:hAnsi="宋体"/>
          <w:color w:val="auto"/>
          <w:sz w:val="24"/>
          <w:highlight w:val="none"/>
        </w:rPr>
      </w:pPr>
      <w:r>
        <w:rPr>
          <w:rFonts w:hint="eastAsia" w:ascii="宋体" w:hAnsi="宋体"/>
          <w:color w:val="auto"/>
          <w:sz w:val="24"/>
          <w:highlight w:val="none"/>
        </w:rPr>
        <w:t>（1）建设行政主管部门或其授权单位组织专家评审初步设计；</w:t>
      </w:r>
    </w:p>
    <w:p w14:paraId="12FDA093">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（2）发包人和（或）设计咨询单位审查初步设计；</w:t>
      </w:r>
    </w:p>
    <w:p w14:paraId="55B6AAAC">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（3）发包人和（或）设计咨询单位审查施工图设计；</w:t>
      </w:r>
    </w:p>
    <w:p w14:paraId="5912FB2A">
      <w:pPr>
        <w:spacing w:line="460" w:lineRule="exact"/>
        <w:ind w:firstLine="570"/>
        <w:rPr>
          <w:rFonts w:hint="eastAsia" w:ascii="宋体" w:hAnsi="宋体"/>
          <w:color w:val="auto"/>
          <w:sz w:val="24"/>
          <w:highlight w:val="none"/>
        </w:rPr>
      </w:pPr>
      <w:r>
        <w:rPr>
          <w:rFonts w:hint="eastAsia" w:ascii="宋体" w:hAnsi="宋体"/>
          <w:color w:val="auto"/>
          <w:sz w:val="24"/>
          <w:highlight w:val="none"/>
        </w:rPr>
        <w:t>（4）监理单位审查施工图；</w:t>
      </w:r>
    </w:p>
    <w:p w14:paraId="251C957C">
      <w:pPr>
        <w:spacing w:line="460" w:lineRule="exact"/>
        <w:ind w:firstLine="570"/>
        <w:rPr>
          <w:rFonts w:hint="eastAsia" w:ascii="宋体" w:hAnsi="宋体"/>
          <w:color w:val="auto"/>
          <w:sz w:val="24"/>
          <w:highlight w:val="none"/>
        </w:rPr>
      </w:pPr>
      <w:r>
        <w:rPr>
          <w:rFonts w:hint="eastAsia" w:ascii="宋体" w:hAnsi="宋体"/>
          <w:color w:val="auto"/>
          <w:sz w:val="24"/>
          <w:highlight w:val="none"/>
        </w:rPr>
        <w:t>（5）承包人、发包人、监理单位与施工单位会审施工图；</w:t>
      </w:r>
    </w:p>
    <w:p w14:paraId="7C0915D5">
      <w:pPr>
        <w:spacing w:line="460" w:lineRule="exact"/>
        <w:ind w:firstLine="570"/>
        <w:rPr>
          <w:rFonts w:hint="eastAsia" w:ascii="宋体" w:hAnsi="宋体"/>
          <w:color w:val="auto"/>
          <w:sz w:val="24"/>
          <w:highlight w:val="none"/>
        </w:rPr>
      </w:pPr>
      <w:r>
        <w:rPr>
          <w:rFonts w:hint="eastAsia" w:ascii="宋体" w:hAnsi="宋体"/>
          <w:color w:val="auto"/>
          <w:sz w:val="24"/>
          <w:highlight w:val="none"/>
        </w:rPr>
        <w:t>（6）施工全过程监理、设计咨询及发包人对设计文件考核。</w:t>
      </w:r>
    </w:p>
    <w:p w14:paraId="6029ECD8">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11.5设计工作管理及设计质量控制</w:t>
      </w:r>
    </w:p>
    <w:p w14:paraId="1705D3A8">
      <w:pPr>
        <w:spacing w:line="460" w:lineRule="exact"/>
        <w:ind w:firstLine="570"/>
        <w:rPr>
          <w:rFonts w:hint="eastAsia" w:ascii="宋体" w:hAnsi="宋体"/>
          <w:color w:val="auto"/>
          <w:sz w:val="24"/>
          <w:highlight w:val="none"/>
        </w:rPr>
      </w:pPr>
      <w:r>
        <w:rPr>
          <w:rFonts w:hint="eastAsia" w:ascii="宋体" w:hAnsi="宋体"/>
          <w:color w:val="auto"/>
          <w:sz w:val="24"/>
          <w:highlight w:val="none"/>
        </w:rPr>
        <w:t>1、编制设计文件，应以下规定为依据：</w:t>
      </w:r>
    </w:p>
    <w:p w14:paraId="700B35C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（1）项目批准书；</w:t>
      </w:r>
    </w:p>
    <w:p w14:paraId="320FF0D4">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（2）城市规划；</w:t>
      </w:r>
    </w:p>
    <w:p w14:paraId="508261F0">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（3）工程建设强制性标准；</w:t>
      </w:r>
    </w:p>
    <w:p w14:paraId="72093E2C">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（4）国家规定的建设工程设计深度要求及本合同第11.1条发包人对项目设计深度的补充要求；</w:t>
      </w:r>
    </w:p>
    <w:p w14:paraId="6615173A">
      <w:pPr>
        <w:spacing w:line="460" w:lineRule="exact"/>
        <w:ind w:firstLine="570"/>
        <w:rPr>
          <w:rFonts w:hint="eastAsia" w:ascii="宋体" w:hAnsi="宋体"/>
          <w:color w:val="auto"/>
          <w:sz w:val="24"/>
          <w:highlight w:val="none"/>
        </w:rPr>
      </w:pPr>
      <w:r>
        <w:rPr>
          <w:rFonts w:hint="eastAsia" w:ascii="宋体" w:hAnsi="宋体"/>
          <w:color w:val="auto"/>
          <w:sz w:val="24"/>
          <w:highlight w:val="none"/>
        </w:rPr>
        <w:t>（5）经审查确定后的勘察成果。</w:t>
      </w:r>
    </w:p>
    <w:p w14:paraId="5633C4C7">
      <w:pPr>
        <w:spacing w:line="460" w:lineRule="exact"/>
        <w:ind w:firstLine="570"/>
        <w:rPr>
          <w:rFonts w:hint="eastAsia" w:ascii="宋体" w:hAnsi="宋体"/>
          <w:color w:val="auto"/>
          <w:sz w:val="24"/>
          <w:highlight w:val="none"/>
        </w:rPr>
      </w:pPr>
      <w:r>
        <w:rPr>
          <w:rFonts w:hint="eastAsia" w:ascii="宋体" w:hAnsi="宋体"/>
          <w:color w:val="auto"/>
          <w:sz w:val="24"/>
          <w:highlight w:val="none"/>
        </w:rPr>
        <w:t>2、设计在审查考核过程，若审查单位与承包人之间对部分施工图设计出现不同意见时，应充分讨论研究解决，若仍不能统一意见时，由发包人裁决。承包人应按裁决意见办理。</w:t>
      </w:r>
    </w:p>
    <w:p w14:paraId="778D542E">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必须按发包人的既定设计工期目标，按质按量完成设计任务，若承包人由于设计质量问题引起工程返工量达工程总量的20%，或因自身原因延期提交设计文件超过一个月，则按本合同10.2.5条之规定办理外，发包人并有权采取调整设计队伍等措施以完成既定的设计目标，以保证整个工程的顺利实施。</w:t>
      </w:r>
    </w:p>
    <w:p w14:paraId="47D8573F">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各阶段设计文件经评审或审查，应达到国家、省、市规定的工程设计标准和工程设计应有的深度要求，并应是最合理、最优化的设计（按通过设计咨询单位审核确认为标准）。否则，承包人应无条件进行修正、改进，其费用发包人不再另行计量支付。如该修正或改进之影响程度达到前条所述，则按该条办理。</w:t>
      </w:r>
    </w:p>
    <w:p w14:paraId="2555138B">
      <w:pPr>
        <w:spacing w:line="460" w:lineRule="exact"/>
        <w:ind w:firstLine="570"/>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在保证设计质量的前提下，承包人须在本合同约定项目总投资限额下进行设计</w:t>
      </w:r>
      <w:r>
        <w:rPr>
          <w:rFonts w:hint="eastAsia" w:ascii="宋体" w:hAnsi="宋体"/>
          <w:color w:val="auto"/>
          <w:sz w:val="24"/>
          <w:highlight w:val="none"/>
        </w:rPr>
        <w:t>。承包人应按照批准的可行性研究及估算控制初步设计，按照批准的初步设计概算控制施工图设计。同时各专业在确保达到使用功能的前提下，原则上按照分配的投资限额控制设计，严格控制不合理的设计变更，确保总投资限额不突破。承包人应保证施工图按照概算批复进行限额设计，当发现施工图预算存在超出概算情况时，应及时配合发包人查找原因，必要时进行施工图变更或者修改。</w:t>
      </w:r>
    </w:p>
    <w:p w14:paraId="5B1EA58D">
      <w:pPr>
        <w:spacing w:line="460" w:lineRule="exact"/>
        <w:ind w:firstLine="570"/>
        <w:rPr>
          <w:rFonts w:hint="eastAsia" w:ascii="宋体" w:hAnsi="宋体"/>
          <w:color w:val="auto"/>
          <w:sz w:val="24"/>
          <w:highlight w:val="none"/>
        </w:rPr>
      </w:pPr>
      <w:r>
        <w:rPr>
          <w:rFonts w:hint="eastAsia" w:ascii="宋体" w:hAnsi="宋体"/>
          <w:color w:val="auto"/>
          <w:sz w:val="24"/>
          <w:highlight w:val="none"/>
        </w:rPr>
        <w:t>6、足够的措施保证及时提交发包人所需的招标资料（含按发包人要求对设计图纸及概算的拆分），以保证发包方招标工作的顺利进行。经审查通过的施工图设计文件应能满足发包人进行总价承包合同的要求。</w:t>
      </w:r>
    </w:p>
    <w:p w14:paraId="55853FF1">
      <w:pPr>
        <w:spacing w:line="460" w:lineRule="exact"/>
        <w:ind w:firstLine="570"/>
        <w:rPr>
          <w:rFonts w:hint="eastAsia" w:ascii="宋体" w:hAnsi="宋体"/>
          <w:color w:val="auto"/>
          <w:sz w:val="24"/>
          <w:highlight w:val="none"/>
        </w:rPr>
      </w:pPr>
      <w:r>
        <w:rPr>
          <w:rFonts w:hint="eastAsia" w:ascii="宋体" w:hAnsi="宋体"/>
          <w:color w:val="auto"/>
          <w:sz w:val="24"/>
          <w:highlight w:val="none"/>
        </w:rPr>
        <w:t>7、承包人对所承担设计的建设项目应配合施工进行设计技术交底，解决施工过程中有关设计问题，负责设计变更和变更估算并修改造价，因承包人原因变更设计的，发包人有权按设计变更增加费用的1%扣减设计费。</w:t>
      </w:r>
    </w:p>
    <w:p w14:paraId="44269739">
      <w:pPr>
        <w:spacing w:line="460" w:lineRule="exact"/>
        <w:ind w:firstLine="570"/>
        <w:rPr>
          <w:rFonts w:hint="eastAsia" w:ascii="宋体" w:hAnsi="宋体"/>
          <w:color w:val="auto"/>
          <w:sz w:val="24"/>
          <w:highlight w:val="none"/>
        </w:rPr>
      </w:pPr>
      <w:r>
        <w:rPr>
          <w:rFonts w:hint="eastAsia" w:ascii="宋体" w:hAnsi="宋体"/>
          <w:color w:val="auto"/>
          <w:sz w:val="24"/>
          <w:highlight w:val="none"/>
        </w:rPr>
        <w:t>8、承包人需按时参加工程质量检测及工程竣工验收。</w:t>
      </w:r>
    </w:p>
    <w:p w14:paraId="7B40416F">
      <w:pPr>
        <w:spacing w:line="460" w:lineRule="exact"/>
        <w:ind w:firstLine="570"/>
        <w:rPr>
          <w:rFonts w:hint="eastAsia" w:ascii="宋体" w:hAnsi="宋体"/>
          <w:color w:val="auto"/>
          <w:sz w:val="24"/>
          <w:highlight w:val="none"/>
        </w:rPr>
      </w:pPr>
      <w:r>
        <w:rPr>
          <w:rFonts w:hint="eastAsia" w:ascii="宋体" w:hAnsi="宋体"/>
          <w:color w:val="auto"/>
          <w:sz w:val="24"/>
          <w:highlight w:val="none"/>
        </w:rPr>
        <w:t>9、承包人须熟悉并执行发包人制定的设计变更管理办法及竣工档案管理办法等管理办法。</w:t>
      </w:r>
    </w:p>
    <w:p w14:paraId="0BDC235B">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10、承包人应配合发包人，向政府主管部门报审方案设计、初步设计及施工图设计文件等管理程序必须的技术文件，并按发包人要求准备汇报资料。</w:t>
      </w:r>
    </w:p>
    <w:p w14:paraId="4046C86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11、承包人应自行解决现场设计的办公、交通、通信、食宿等工作和生活条件。</w:t>
      </w:r>
    </w:p>
    <w:p w14:paraId="26B5CA64">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承包人必须遵守所提交的设计计划及设计工作人员分工表中的规定，其设计参与人员必须具备设计资质,承包人不得无故更换合同内的设计参与人员。发包人有权要求承包人更换不合格的项目负责人与专业负责人，有权根据工程实际需要，要求承包人增加设计人员。</w:t>
      </w:r>
    </w:p>
    <w:p w14:paraId="46D3D8D9">
      <w:pPr>
        <w:spacing w:line="460" w:lineRule="exact"/>
        <w:ind w:firstLine="570"/>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、成果文件有下列情况之一者无效：</w:t>
      </w:r>
    </w:p>
    <w:p w14:paraId="6588A5AF">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）提交的成果文件不符合本需求书规定的成果内容和格式；</w:t>
      </w:r>
    </w:p>
    <w:p w14:paraId="2B930BF9">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）未经组织单位同意而逾期送达；</w:t>
      </w:r>
    </w:p>
    <w:p w14:paraId="1F598DCC">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）有关经济技术指标严重不实；</w:t>
      </w:r>
    </w:p>
    <w:p w14:paraId="330E5295">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）图纸和文字辨认不清、内容不全、粗制滥造；</w:t>
      </w:r>
    </w:p>
    <w:p w14:paraId="7039EDD7">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）未盖有承接单位出图章。</w:t>
      </w:r>
    </w:p>
    <w:p w14:paraId="6D939797">
      <w:pPr>
        <w:spacing w:line="460" w:lineRule="exact"/>
        <w:ind w:firstLine="570"/>
        <w:rPr>
          <w:rFonts w:hint="eastAsia" w:ascii="宋体" w:hAnsi="宋体"/>
          <w:color w:val="auto"/>
          <w:sz w:val="24"/>
          <w:highlight w:val="none"/>
        </w:rPr>
      </w:pPr>
      <w:r>
        <w:rPr>
          <w:rFonts w:hint="eastAsia" w:ascii="宋体" w:hAnsi="宋体"/>
          <w:color w:val="auto"/>
          <w:sz w:val="24"/>
          <w:highlight w:val="none"/>
        </w:rPr>
        <w:t>按以上每项每出现一次扣减合同金额的</w:t>
      </w:r>
      <w:r>
        <w:rPr>
          <w:rFonts w:ascii="宋体" w:hAnsi="宋体"/>
          <w:color w:val="auto"/>
          <w:sz w:val="24"/>
          <w:highlight w:val="none"/>
        </w:rPr>
        <w:t>5%</w:t>
      </w:r>
      <w:r>
        <w:rPr>
          <w:rFonts w:hint="eastAsia" w:ascii="宋体" w:hAnsi="宋体"/>
          <w:color w:val="auto"/>
          <w:sz w:val="24"/>
          <w:highlight w:val="none"/>
        </w:rPr>
        <w:t>，扣减总额不超合同金额</w:t>
      </w:r>
      <w:r>
        <w:rPr>
          <w:rFonts w:ascii="宋体" w:hAnsi="宋体"/>
          <w:color w:val="auto"/>
          <w:sz w:val="24"/>
          <w:highlight w:val="none"/>
        </w:rPr>
        <w:t>30%</w:t>
      </w:r>
      <w:r>
        <w:rPr>
          <w:rFonts w:hint="eastAsia" w:ascii="宋体" w:hAnsi="宋体"/>
          <w:color w:val="auto"/>
          <w:sz w:val="24"/>
          <w:highlight w:val="none"/>
        </w:rPr>
        <w:t>；</w:t>
      </w:r>
    </w:p>
    <w:p w14:paraId="260BE2A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、承包人只能在本项目红线范围内进行布置、安排和组织勘察工作。承包人如需占用本项目红线范围以外的场地或破坏村委村民的绿化及农作物等，须自行办理有关手续、支付相关费用及协调村委村民的诉求。</w:t>
      </w:r>
    </w:p>
    <w:p w14:paraId="4642C2D1">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11.6设计分包管理</w:t>
      </w:r>
    </w:p>
    <w:p w14:paraId="4B932D65">
      <w:pPr>
        <w:spacing w:line="460" w:lineRule="exact"/>
        <w:ind w:firstLine="480"/>
        <w:rPr>
          <w:rFonts w:hint="eastAsia" w:ascii="宋体" w:hAnsi="宋体"/>
          <w:color w:val="auto"/>
          <w:sz w:val="24"/>
          <w:highlight w:val="none"/>
        </w:rPr>
      </w:pPr>
      <w:r>
        <w:rPr>
          <w:rFonts w:hint="eastAsia" w:ascii="宋体" w:hAnsi="宋体"/>
          <w:color w:val="auto"/>
          <w:sz w:val="24"/>
          <w:highlight w:val="none"/>
        </w:rPr>
        <w:t>本项目外电工程、外水工程</w:t>
      </w:r>
      <w:r>
        <w:rPr>
          <w:rFonts w:hint="eastAsia" w:ascii="宋体" w:hAnsi="宋体"/>
          <w:b/>
          <w:bCs/>
          <w:color w:val="auto"/>
          <w:sz w:val="24"/>
          <w:highlight w:val="none"/>
        </w:rPr>
        <w:t>及管线迁改</w:t>
      </w:r>
      <w:r>
        <w:rPr>
          <w:rFonts w:hint="eastAsia" w:ascii="宋体" w:hAnsi="宋体"/>
          <w:color w:val="auto"/>
          <w:sz w:val="24"/>
          <w:highlight w:val="none"/>
        </w:rPr>
        <w:t>等专业工程设计，</w:t>
      </w:r>
      <w:r>
        <w:rPr>
          <w:rFonts w:hint="eastAsia" w:ascii="宋体" w:hAnsi="宋体"/>
          <w:b/>
          <w:bCs/>
          <w:color w:val="auto"/>
          <w:sz w:val="24"/>
          <w:highlight w:val="none"/>
        </w:rPr>
        <w:t>可</w:t>
      </w:r>
      <w:r>
        <w:rPr>
          <w:rFonts w:hint="eastAsia" w:ascii="宋体" w:hAnsi="宋体"/>
          <w:color w:val="auto"/>
          <w:sz w:val="24"/>
          <w:highlight w:val="none"/>
        </w:rPr>
        <w:t>根据国家有关规定委托给具有相应资质、能力且获得发包人认可的专业单位实施。专项分包设计费已包含在本合同设计费总额中，发包人不另行支付。且承包人须全面负责管理和协调专业分包单位，对各专项设计的质量、进度负责，专项分包各阶段设计文件须承包人校核确认，并由承包人项目总负责人及专项分包方人员进行会签盖章（设计图要求含有两个单位的图签，双图签出图）。</w:t>
      </w:r>
    </w:p>
    <w:p w14:paraId="4345AE4A">
      <w:pPr>
        <w:spacing w:line="460" w:lineRule="exact"/>
        <w:ind w:firstLine="480"/>
        <w:rPr>
          <w:rFonts w:hint="eastAsia" w:ascii="宋体" w:hAnsi="宋体"/>
          <w:color w:val="auto"/>
          <w:sz w:val="24"/>
          <w:highlight w:val="none"/>
        </w:rPr>
      </w:pPr>
      <w:r>
        <w:rPr>
          <w:rFonts w:hint="eastAsia" w:ascii="宋体" w:hAnsi="宋体"/>
          <w:color w:val="auto"/>
          <w:sz w:val="24"/>
          <w:highlight w:val="none"/>
        </w:rPr>
        <w:t>应对分包单位的各专项设计的方案至施工图设计及优化提升设计进行预审把关，确保专项设计成果的完整性、有效性、正确性、可靠性及经济合理性。承包单位与分包单位就分包设计成果承担连带责任。</w:t>
      </w:r>
    </w:p>
    <w:p w14:paraId="031691C1">
      <w:pPr>
        <w:spacing w:line="460" w:lineRule="exact"/>
        <w:ind w:firstLine="480"/>
        <w:rPr>
          <w:rFonts w:hint="eastAsia" w:ascii="宋体" w:hAnsi="宋体"/>
          <w:color w:val="auto"/>
          <w:sz w:val="24"/>
          <w:highlight w:val="none"/>
        </w:rPr>
      </w:pPr>
      <w:r>
        <w:rPr>
          <w:rFonts w:hint="eastAsia" w:ascii="宋体" w:hAnsi="宋体"/>
          <w:color w:val="auto"/>
          <w:sz w:val="24"/>
          <w:highlight w:val="none"/>
        </w:rPr>
        <w:t>承包人不得将本单位设计资质范围内设计任务转包和私自分包，否则发包人有权单方解除合同。同时，发包人有权扣除转包分包部分的全额设计费用，并要求承包人赔偿由此造成的损失。</w:t>
      </w:r>
    </w:p>
    <w:p w14:paraId="24B37872">
      <w:pPr>
        <w:spacing w:line="460" w:lineRule="exact"/>
        <w:ind w:firstLine="570"/>
        <w:rPr>
          <w:color w:val="auto"/>
          <w:highlight w:val="none"/>
        </w:rPr>
      </w:pPr>
      <w:r>
        <w:rPr>
          <w:rFonts w:hint="eastAsia" w:ascii="宋体" w:hAnsi="宋体"/>
          <w:b/>
          <w:bCs/>
          <w:color w:val="auto"/>
          <w:sz w:val="24"/>
          <w:highlight w:val="none"/>
        </w:rPr>
        <w:t>11.7工程开工前，承包人应办理具有履行本合同所需要的工程设计责任保险并使其于合同责任期内保持有效。</w:t>
      </w:r>
    </w:p>
    <w:p w14:paraId="153D4094">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第十二条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保密</w:t>
      </w:r>
    </w:p>
    <w:p w14:paraId="3AC6FB99">
      <w:pPr>
        <w:spacing w:line="460" w:lineRule="exact"/>
        <w:ind w:firstLine="480"/>
        <w:rPr>
          <w:color w:val="auto"/>
          <w:sz w:val="24"/>
          <w:highlight w:val="none"/>
        </w:rPr>
      </w:pPr>
      <w:r>
        <w:rPr>
          <w:rFonts w:hint="eastAsia"/>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73E3F5A">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第十三条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 xml:space="preserve"> 知识产权</w:t>
      </w:r>
    </w:p>
    <w:p w14:paraId="0E71EF1C">
      <w:pPr>
        <w:spacing w:line="460" w:lineRule="exact"/>
        <w:ind w:firstLine="570"/>
        <w:rPr>
          <w:color w:val="auto"/>
          <w:sz w:val="24"/>
          <w:highlight w:val="none"/>
        </w:rPr>
      </w:pPr>
      <w:r>
        <w:rPr>
          <w:rFonts w:hint="eastAsia"/>
          <w:color w:val="auto"/>
          <w:sz w:val="24"/>
          <w:highlight w:val="none"/>
        </w:rPr>
        <w:t>发包人提供给承包人的图纸、发包人为实施工程自行编制或委托编制的技术规范以及反映发包人要求的或其他类似性质文件的知识产权（署名除外）属于</w:t>
      </w:r>
      <w:r>
        <w:rPr>
          <w:rFonts w:hint="eastAsia"/>
          <w:color w:val="auto"/>
          <w:sz w:val="24"/>
          <w:highlight w:val="none"/>
          <w:u w:val="single"/>
        </w:rPr>
        <w:t>发包人</w:t>
      </w:r>
      <w:r>
        <w:rPr>
          <w:rFonts w:hint="eastAsia"/>
          <w:color w:val="auto"/>
          <w:sz w:val="24"/>
          <w:highlight w:val="none"/>
        </w:rPr>
        <w:t>。</w:t>
      </w:r>
    </w:p>
    <w:p w14:paraId="3A118184">
      <w:pPr>
        <w:spacing w:line="460" w:lineRule="exact"/>
        <w:ind w:firstLine="570"/>
        <w:rPr>
          <w:color w:val="auto"/>
          <w:sz w:val="24"/>
          <w:highlight w:val="none"/>
        </w:rPr>
      </w:pPr>
      <w:r>
        <w:rPr>
          <w:rFonts w:hint="eastAsia"/>
          <w:color w:val="auto"/>
          <w:sz w:val="24"/>
          <w:highlight w:val="none"/>
        </w:rPr>
        <w:t>承包人为履行本合同约定而编制的成果文件，知识产权（署名除外）属于</w:t>
      </w:r>
      <w:r>
        <w:rPr>
          <w:rFonts w:hint="eastAsia"/>
          <w:color w:val="auto"/>
          <w:sz w:val="24"/>
          <w:highlight w:val="none"/>
          <w:u w:val="single"/>
        </w:rPr>
        <w:t>发包人</w:t>
      </w:r>
      <w:r>
        <w:rPr>
          <w:rFonts w:hint="eastAsia"/>
          <w:color w:val="auto"/>
          <w:sz w:val="24"/>
          <w:highlight w:val="none"/>
        </w:rPr>
        <w:t>，署名权属于</w:t>
      </w:r>
      <w:r>
        <w:rPr>
          <w:rFonts w:hint="eastAsia"/>
          <w:color w:val="auto"/>
          <w:sz w:val="24"/>
          <w:highlight w:val="none"/>
          <w:u w:val="single"/>
        </w:rPr>
        <w:t>承包人</w:t>
      </w:r>
      <w:r>
        <w:rPr>
          <w:rFonts w:hint="eastAsia"/>
          <w:color w:val="auto"/>
          <w:sz w:val="24"/>
          <w:highlight w:val="none"/>
        </w:rPr>
        <w:t>。</w:t>
      </w:r>
    </w:p>
    <w:p w14:paraId="5C334310">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第十四条</w:t>
      </w:r>
      <w:r>
        <w:rPr>
          <w:rFonts w:hint="eastAsia"/>
          <w:color w:val="auto"/>
          <w:sz w:val="24"/>
          <w:highlight w:val="none"/>
        </w:rPr>
        <w:tab/>
      </w:r>
      <w:r>
        <w:rPr>
          <w:rFonts w:hint="eastAsia" w:eastAsia="黑体"/>
          <w:b/>
          <w:bCs/>
          <w:color w:val="auto"/>
          <w:sz w:val="24"/>
          <w:highlight w:val="none"/>
        </w:rPr>
        <w:t>仲裁、起诉</w:t>
      </w:r>
    </w:p>
    <w:p w14:paraId="161796E2">
      <w:pPr>
        <w:spacing w:line="460" w:lineRule="exact"/>
        <w:ind w:firstLine="570"/>
        <w:rPr>
          <w:color w:val="auto"/>
          <w:sz w:val="24"/>
          <w:highlight w:val="none"/>
        </w:rPr>
      </w:pPr>
      <w:r>
        <w:rPr>
          <w:rFonts w:hint="eastAsia"/>
          <w:color w:val="auto"/>
          <w:sz w:val="24"/>
          <w:highlight w:val="none"/>
        </w:rPr>
        <w:t>本合同履行过程中发生争议，由双方当事人协商解决。协商不成的提交中国广州仲裁委员会仲裁。</w:t>
      </w:r>
    </w:p>
    <w:p w14:paraId="1168B90E">
      <w:pPr>
        <w:spacing w:line="460" w:lineRule="exact"/>
        <w:ind w:firstLine="570"/>
        <w:outlineLvl w:val="0"/>
        <w:rPr>
          <w:color w:val="auto"/>
          <w:sz w:val="24"/>
          <w:highlight w:val="none"/>
        </w:rPr>
      </w:pPr>
      <w:r>
        <w:rPr>
          <w:rFonts w:hint="eastAsia" w:eastAsia="黑体"/>
          <w:b/>
          <w:bCs/>
          <w:color w:val="auto"/>
          <w:sz w:val="24"/>
          <w:highlight w:val="none"/>
        </w:rPr>
        <w:t>第十五条</w:t>
      </w:r>
      <w:r>
        <w:rPr>
          <w:rFonts w:hint="eastAsia"/>
          <w:color w:val="auto"/>
          <w:sz w:val="24"/>
          <w:highlight w:val="none"/>
        </w:rPr>
        <w:tab/>
      </w:r>
      <w:r>
        <w:rPr>
          <w:rFonts w:hint="eastAsia" w:eastAsia="黑体"/>
          <w:b/>
          <w:bCs/>
          <w:color w:val="auto"/>
          <w:sz w:val="24"/>
          <w:highlight w:val="none"/>
        </w:rPr>
        <w:t>合同生效及其他</w:t>
      </w:r>
    </w:p>
    <w:p w14:paraId="546F19DF">
      <w:pPr>
        <w:spacing w:line="460" w:lineRule="exact"/>
        <w:ind w:firstLine="570"/>
        <w:rPr>
          <w:rFonts w:hint="eastAsia" w:ascii="宋体" w:hAnsi="宋体"/>
          <w:color w:val="auto"/>
          <w:sz w:val="24"/>
          <w:highlight w:val="none"/>
        </w:rPr>
      </w:pPr>
      <w:r>
        <w:rPr>
          <w:rFonts w:hint="eastAsia" w:ascii="宋体" w:hAnsi="宋体"/>
          <w:color w:val="auto"/>
          <w:sz w:val="24"/>
          <w:highlight w:val="none"/>
        </w:rPr>
        <w:t>15.1承包人为本合同项目的服务至竣工验收备案结束为止。</w:t>
      </w:r>
    </w:p>
    <w:p w14:paraId="266AF1CC">
      <w:pPr>
        <w:spacing w:line="460" w:lineRule="exact"/>
        <w:ind w:firstLine="570"/>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2</w:t>
      </w:r>
      <w:r>
        <w:rPr>
          <w:rFonts w:hint="eastAsia" w:ascii="宋体" w:hAnsi="宋体"/>
          <w:color w:val="auto"/>
          <w:sz w:val="24"/>
          <w:highlight w:val="none"/>
        </w:rPr>
        <w:t>本工程项目中，</w:t>
      </w:r>
      <w:r>
        <w:rPr>
          <w:rFonts w:hint="eastAsia"/>
          <w:color w:val="auto"/>
          <w:sz w:val="24"/>
          <w:highlight w:val="none"/>
        </w:rPr>
        <w:t>承包</w:t>
      </w:r>
      <w:r>
        <w:rPr>
          <w:rFonts w:hint="eastAsia" w:ascii="宋体" w:hAnsi="宋体"/>
          <w:color w:val="auto"/>
          <w:sz w:val="24"/>
          <w:highlight w:val="none"/>
        </w:rPr>
        <w:t>人不得指定建筑材料、设备的生产厂或供货商。发包人需要</w:t>
      </w:r>
      <w:r>
        <w:rPr>
          <w:rFonts w:hint="eastAsia"/>
          <w:color w:val="auto"/>
          <w:sz w:val="24"/>
          <w:highlight w:val="none"/>
        </w:rPr>
        <w:t>承包</w:t>
      </w:r>
      <w:r>
        <w:rPr>
          <w:rFonts w:hint="eastAsia" w:ascii="宋体" w:hAnsi="宋体"/>
          <w:color w:val="auto"/>
          <w:sz w:val="24"/>
          <w:highlight w:val="none"/>
        </w:rPr>
        <w:t>人配合建筑材料、设备的加工订货时，所需费用由发包人承担。</w:t>
      </w:r>
    </w:p>
    <w:p w14:paraId="7FC57BC4">
      <w:pPr>
        <w:spacing w:line="460" w:lineRule="exact"/>
        <w:rPr>
          <w:rFonts w:hint="eastAsia" w:ascii="宋体" w:hAnsi="宋体"/>
          <w:color w:val="auto"/>
          <w:sz w:val="24"/>
          <w:highlight w:val="none"/>
        </w:rPr>
      </w:pPr>
      <w:r>
        <w:rPr>
          <w:rFonts w:hint="eastAsia" w:ascii="宋体" w:hAnsi="宋体"/>
          <w:color w:val="auto"/>
          <w:sz w:val="24"/>
          <w:highlight w:val="none"/>
        </w:rPr>
        <w:t xml:space="preserve">    15.3发包人委托</w:t>
      </w:r>
      <w:r>
        <w:rPr>
          <w:rFonts w:hint="eastAsia"/>
          <w:color w:val="auto"/>
          <w:sz w:val="24"/>
          <w:highlight w:val="none"/>
        </w:rPr>
        <w:t>承包</w:t>
      </w:r>
      <w:r>
        <w:rPr>
          <w:rFonts w:hint="eastAsia" w:ascii="宋体" w:hAnsi="宋体"/>
          <w:color w:val="auto"/>
          <w:sz w:val="24"/>
          <w:highlight w:val="none"/>
        </w:rPr>
        <w:t>人承担本合同内容以外的工作服务，另行签订协议并支付费用。</w:t>
      </w:r>
    </w:p>
    <w:p w14:paraId="3E6256FE">
      <w:pPr>
        <w:spacing w:line="460" w:lineRule="exact"/>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15.4由于不可抗力因素致使合同无法履行时，双方应及时协商解决。</w:t>
      </w:r>
    </w:p>
    <w:p w14:paraId="567289FA">
      <w:pPr>
        <w:spacing w:line="460" w:lineRule="exact"/>
        <w:rPr>
          <w:rFonts w:hint="eastAsia" w:ascii="宋体" w:hAnsi="宋体"/>
          <w:color w:val="auto"/>
          <w:sz w:val="24"/>
          <w:highlight w:val="none"/>
        </w:rPr>
      </w:pPr>
      <w:r>
        <w:rPr>
          <w:rFonts w:hint="eastAsia" w:ascii="宋体" w:hAnsi="宋体"/>
          <w:color w:val="auto"/>
          <w:sz w:val="24"/>
          <w:highlight w:val="none"/>
        </w:rPr>
        <w:t xml:space="preserve">    15.5本合同双方法定代表人或授权代理人签字并盖公章即生效，共八份，发包人四份，承包人四份。</w:t>
      </w:r>
    </w:p>
    <w:p w14:paraId="5E4C765E">
      <w:pPr>
        <w:spacing w:line="460" w:lineRule="exact"/>
        <w:rPr>
          <w:rFonts w:hint="eastAsia" w:ascii="宋体" w:hAnsi="宋体"/>
          <w:color w:val="auto"/>
          <w:sz w:val="24"/>
          <w:highlight w:val="none"/>
        </w:rPr>
      </w:pPr>
      <w:r>
        <w:rPr>
          <w:rFonts w:hint="eastAsia" w:ascii="宋体" w:hAnsi="宋体"/>
          <w:color w:val="auto"/>
          <w:sz w:val="24"/>
          <w:highlight w:val="none"/>
        </w:rPr>
        <w:t xml:space="preserve">    15.6双方认可的来往电报、传真、会议纪要等，均为合同的组成部分，与本合同具有同等法律效力。</w:t>
      </w:r>
    </w:p>
    <w:p w14:paraId="2C1740E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15.7未尽事宜，经双方协商一致，签订补充协议，补充协议与本合同具有同等效力。</w:t>
      </w:r>
    </w:p>
    <w:p w14:paraId="05F99046">
      <w:pPr>
        <w:spacing w:line="560" w:lineRule="exact"/>
        <w:jc w:val="center"/>
        <w:rPr>
          <w:rFonts w:hint="eastAsia" w:ascii="宋体" w:hAnsi="宋体"/>
          <w:color w:val="auto"/>
          <w:sz w:val="24"/>
          <w:highlight w:val="none"/>
        </w:rPr>
      </w:pPr>
      <w:r>
        <w:rPr>
          <w:rFonts w:hint="eastAsia" w:ascii="宋体" w:hAnsi="宋体"/>
          <w:color w:val="auto"/>
          <w:sz w:val="24"/>
          <w:highlight w:val="none"/>
        </w:rPr>
        <w:t>（以下无正文）</w:t>
      </w:r>
    </w:p>
    <w:p w14:paraId="29750D61">
      <w:pPr>
        <w:rPr>
          <w:color w:val="auto"/>
          <w:sz w:val="24"/>
          <w:highlight w:val="none"/>
        </w:rPr>
      </w:pPr>
    </w:p>
    <w:p w14:paraId="2793641D">
      <w:pPr>
        <w:rPr>
          <w:color w:val="auto"/>
          <w:sz w:val="24"/>
          <w:highlight w:val="none"/>
        </w:rPr>
      </w:pPr>
    </w:p>
    <w:tbl>
      <w:tblPr>
        <w:tblStyle w:val="12"/>
        <w:tblpPr w:leftFromText="180" w:rightFromText="180" w:vertAnchor="text" w:horzAnchor="page" w:tblpX="1283" w:tblpY="301"/>
        <w:tblOverlap w:val="never"/>
        <w:tblW w:w="9581" w:type="dxa"/>
        <w:tblInd w:w="0" w:type="dxa"/>
        <w:tblLayout w:type="fixed"/>
        <w:tblCellMar>
          <w:top w:w="0" w:type="dxa"/>
          <w:left w:w="108" w:type="dxa"/>
          <w:bottom w:w="0" w:type="dxa"/>
          <w:right w:w="108" w:type="dxa"/>
        </w:tblCellMar>
      </w:tblPr>
      <w:tblGrid>
        <w:gridCol w:w="4629"/>
        <w:gridCol w:w="4952"/>
      </w:tblGrid>
      <w:tr w14:paraId="652F4B76">
        <w:tblPrEx>
          <w:tblCellMar>
            <w:top w:w="0" w:type="dxa"/>
            <w:left w:w="108" w:type="dxa"/>
            <w:bottom w:w="0" w:type="dxa"/>
            <w:right w:w="108" w:type="dxa"/>
          </w:tblCellMar>
        </w:tblPrEx>
        <w:trPr>
          <w:trHeight w:val="1440" w:hRule="atLeast"/>
        </w:trPr>
        <w:tc>
          <w:tcPr>
            <w:tcW w:w="4629" w:type="dxa"/>
          </w:tcPr>
          <w:p w14:paraId="6DFD142A">
            <w:pPr>
              <w:spacing w:line="600" w:lineRule="exact"/>
              <w:ind w:left="1320" w:hanging="1320" w:hangingChars="550"/>
              <w:rPr>
                <w:color w:val="auto"/>
                <w:sz w:val="24"/>
                <w:highlight w:val="none"/>
              </w:rPr>
            </w:pPr>
            <w:r>
              <w:rPr>
                <w:rFonts w:hint="eastAsia"/>
                <w:color w:val="auto"/>
                <w:sz w:val="24"/>
                <w:highlight w:val="none"/>
              </w:rPr>
              <w:t xml:space="preserve">发包人：广州空港建设运营集团有限公司 </w:t>
            </w:r>
          </w:p>
          <w:p w14:paraId="1DCCBF22">
            <w:pPr>
              <w:spacing w:line="600" w:lineRule="exact"/>
              <w:rPr>
                <w:color w:val="auto"/>
                <w:sz w:val="24"/>
                <w:highlight w:val="none"/>
              </w:rPr>
            </w:pPr>
            <w:r>
              <w:rPr>
                <w:color w:val="auto"/>
                <w:sz w:val="24"/>
                <w:highlight w:val="none"/>
              </w:rPr>
              <w:t>（盖章）</w:t>
            </w:r>
          </w:p>
        </w:tc>
        <w:tc>
          <w:tcPr>
            <w:tcW w:w="4952" w:type="dxa"/>
          </w:tcPr>
          <w:p w14:paraId="0EE41AE3">
            <w:pPr>
              <w:spacing w:line="600" w:lineRule="exact"/>
              <w:ind w:left="1080" w:hanging="1080" w:hangingChars="450"/>
              <w:rPr>
                <w:color w:val="auto"/>
                <w:sz w:val="24"/>
                <w:highlight w:val="none"/>
              </w:rPr>
            </w:pPr>
            <w:r>
              <w:rPr>
                <w:rFonts w:hint="eastAsia"/>
                <w:color w:val="auto"/>
                <w:sz w:val="24"/>
                <w:highlight w:val="none"/>
              </w:rPr>
              <w:t>承包人：</w:t>
            </w:r>
          </w:p>
          <w:p w14:paraId="249383FC">
            <w:pPr>
              <w:spacing w:line="600" w:lineRule="exact"/>
              <w:rPr>
                <w:color w:val="auto"/>
                <w:sz w:val="24"/>
                <w:highlight w:val="none"/>
              </w:rPr>
            </w:pPr>
            <w:r>
              <w:rPr>
                <w:color w:val="auto"/>
                <w:sz w:val="24"/>
                <w:highlight w:val="none"/>
              </w:rPr>
              <w:t>（盖章）</w:t>
            </w:r>
          </w:p>
        </w:tc>
      </w:tr>
      <w:tr w14:paraId="22EC46C1">
        <w:tblPrEx>
          <w:tblCellMar>
            <w:top w:w="0" w:type="dxa"/>
            <w:left w:w="108" w:type="dxa"/>
            <w:bottom w:w="0" w:type="dxa"/>
            <w:right w:w="108" w:type="dxa"/>
          </w:tblCellMar>
        </w:tblPrEx>
        <w:trPr>
          <w:trHeight w:val="1037" w:hRule="atLeast"/>
        </w:trPr>
        <w:tc>
          <w:tcPr>
            <w:tcW w:w="4629" w:type="dxa"/>
          </w:tcPr>
          <w:p w14:paraId="692C9B88">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 xml:space="preserve">： </w:t>
            </w:r>
          </w:p>
        </w:tc>
        <w:tc>
          <w:tcPr>
            <w:tcW w:w="4952" w:type="dxa"/>
          </w:tcPr>
          <w:p w14:paraId="77A22E7F">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w:t>
            </w:r>
          </w:p>
          <w:p w14:paraId="18410EE5">
            <w:pPr>
              <w:spacing w:line="600" w:lineRule="exact"/>
              <w:rPr>
                <w:color w:val="auto"/>
                <w:sz w:val="24"/>
                <w:highlight w:val="none"/>
              </w:rPr>
            </w:pPr>
          </w:p>
        </w:tc>
      </w:tr>
      <w:tr w14:paraId="575F2081">
        <w:tblPrEx>
          <w:tblCellMar>
            <w:top w:w="0" w:type="dxa"/>
            <w:left w:w="108" w:type="dxa"/>
            <w:bottom w:w="0" w:type="dxa"/>
            <w:right w:w="108" w:type="dxa"/>
          </w:tblCellMar>
        </w:tblPrEx>
        <w:tc>
          <w:tcPr>
            <w:tcW w:w="4629" w:type="dxa"/>
          </w:tcPr>
          <w:p w14:paraId="4D844D46">
            <w:pPr>
              <w:spacing w:line="600" w:lineRule="exact"/>
              <w:ind w:left="960" w:hanging="960" w:hangingChars="400"/>
              <w:rPr>
                <w:rFonts w:hint="eastAsia" w:ascii="宋体" w:hAnsi="宋体" w:cs="宋体"/>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广州市清塘路广州空港中心 A 栋 3 楼</w:t>
            </w:r>
          </w:p>
        </w:tc>
        <w:tc>
          <w:tcPr>
            <w:tcW w:w="4952" w:type="dxa"/>
          </w:tcPr>
          <w:p w14:paraId="54088D9D">
            <w:pPr>
              <w:spacing w:line="600" w:lineRule="exact"/>
              <w:ind w:left="840" w:hanging="840" w:hangingChars="35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 xml:space="preserve"> </w:t>
            </w:r>
          </w:p>
          <w:p w14:paraId="19FECDDB">
            <w:pPr>
              <w:spacing w:line="600" w:lineRule="exact"/>
              <w:ind w:left="840" w:hanging="840" w:hangingChars="350"/>
              <w:rPr>
                <w:color w:val="auto"/>
                <w:sz w:val="24"/>
                <w:highlight w:val="none"/>
              </w:rPr>
            </w:pPr>
          </w:p>
        </w:tc>
      </w:tr>
      <w:tr w14:paraId="6133CE98">
        <w:tblPrEx>
          <w:tblCellMar>
            <w:top w:w="0" w:type="dxa"/>
            <w:left w:w="108" w:type="dxa"/>
            <w:bottom w:w="0" w:type="dxa"/>
            <w:right w:w="108" w:type="dxa"/>
          </w:tblCellMar>
        </w:tblPrEx>
        <w:tc>
          <w:tcPr>
            <w:tcW w:w="4629" w:type="dxa"/>
          </w:tcPr>
          <w:p w14:paraId="05AA2D40">
            <w:pPr>
              <w:spacing w:line="600" w:lineRule="exact"/>
              <w:rPr>
                <w:rFonts w:hint="eastAsia" w:ascii="宋体" w:hAnsi="宋体" w:cs="宋体"/>
                <w:color w:val="auto"/>
                <w:sz w:val="24"/>
                <w:highlight w:val="none"/>
              </w:rPr>
            </w:pPr>
            <w:r>
              <w:rPr>
                <w:color w:val="auto"/>
                <w:sz w:val="24"/>
                <w:highlight w:val="none"/>
              </w:rPr>
              <w:t>电  话：</w:t>
            </w:r>
          </w:p>
        </w:tc>
        <w:tc>
          <w:tcPr>
            <w:tcW w:w="4952" w:type="dxa"/>
          </w:tcPr>
          <w:p w14:paraId="40F8D1A7">
            <w:pPr>
              <w:spacing w:line="600" w:lineRule="exact"/>
              <w:rPr>
                <w:color w:val="auto"/>
                <w:sz w:val="24"/>
                <w:highlight w:val="none"/>
              </w:rPr>
            </w:pPr>
            <w:r>
              <w:rPr>
                <w:color w:val="auto"/>
                <w:sz w:val="24"/>
                <w:highlight w:val="none"/>
              </w:rPr>
              <w:t>电  话：</w:t>
            </w:r>
            <w:r>
              <w:rPr>
                <w:rFonts w:hint="eastAsia"/>
                <w:color w:val="auto"/>
                <w:sz w:val="24"/>
                <w:highlight w:val="none"/>
              </w:rPr>
              <w:t xml:space="preserve"> </w:t>
            </w:r>
          </w:p>
        </w:tc>
      </w:tr>
      <w:tr w14:paraId="1DA77E16">
        <w:tblPrEx>
          <w:tblCellMar>
            <w:top w:w="0" w:type="dxa"/>
            <w:left w:w="108" w:type="dxa"/>
            <w:bottom w:w="0" w:type="dxa"/>
            <w:right w:w="108" w:type="dxa"/>
          </w:tblCellMar>
        </w:tblPrEx>
        <w:tc>
          <w:tcPr>
            <w:tcW w:w="4629" w:type="dxa"/>
          </w:tcPr>
          <w:p w14:paraId="53026938">
            <w:pPr>
              <w:spacing w:line="600" w:lineRule="exact"/>
              <w:rPr>
                <w:rFonts w:hint="eastAsia" w:ascii="宋体" w:hAnsi="宋体" w:cs="宋体"/>
                <w:color w:val="auto"/>
                <w:sz w:val="24"/>
                <w:highlight w:val="none"/>
              </w:rPr>
            </w:pPr>
            <w:r>
              <w:rPr>
                <w:color w:val="auto"/>
                <w:sz w:val="24"/>
                <w:highlight w:val="none"/>
              </w:rPr>
              <w:t>传  真：</w:t>
            </w:r>
          </w:p>
        </w:tc>
        <w:tc>
          <w:tcPr>
            <w:tcW w:w="4952" w:type="dxa"/>
          </w:tcPr>
          <w:p w14:paraId="51223501">
            <w:pPr>
              <w:spacing w:line="600" w:lineRule="exact"/>
              <w:rPr>
                <w:color w:val="auto"/>
                <w:sz w:val="24"/>
                <w:highlight w:val="none"/>
              </w:rPr>
            </w:pPr>
            <w:r>
              <w:rPr>
                <w:color w:val="auto"/>
                <w:sz w:val="24"/>
                <w:highlight w:val="none"/>
              </w:rPr>
              <w:t>传  真：</w:t>
            </w:r>
            <w:r>
              <w:rPr>
                <w:rFonts w:hint="eastAsia"/>
                <w:color w:val="auto"/>
                <w:sz w:val="24"/>
                <w:highlight w:val="none"/>
              </w:rPr>
              <w:t xml:space="preserve"> </w:t>
            </w:r>
          </w:p>
        </w:tc>
      </w:tr>
      <w:tr w14:paraId="18B417E9">
        <w:tblPrEx>
          <w:tblCellMar>
            <w:top w:w="0" w:type="dxa"/>
            <w:left w:w="108" w:type="dxa"/>
            <w:bottom w:w="0" w:type="dxa"/>
            <w:right w:w="108" w:type="dxa"/>
          </w:tblCellMar>
        </w:tblPrEx>
        <w:tc>
          <w:tcPr>
            <w:tcW w:w="4629" w:type="dxa"/>
          </w:tcPr>
          <w:p w14:paraId="694F4442">
            <w:pPr>
              <w:spacing w:line="600" w:lineRule="exact"/>
              <w:rPr>
                <w:rFonts w:hint="eastAsia" w:ascii="宋体" w:hAnsi="宋体" w:cs="宋体"/>
                <w:color w:val="auto"/>
                <w:sz w:val="24"/>
                <w:highlight w:val="none"/>
              </w:rPr>
            </w:pPr>
            <w:r>
              <w:rPr>
                <w:rFonts w:hint="eastAsia"/>
                <w:color w:val="auto"/>
                <w:sz w:val="24"/>
                <w:highlight w:val="none"/>
              </w:rPr>
              <w:t xml:space="preserve"> </w:t>
            </w:r>
            <w:r>
              <w:rPr>
                <w:rFonts w:ascii="宋体" w:hAnsi="宋体" w:cs="宋体"/>
                <w:color w:val="auto"/>
                <w:sz w:val="24"/>
                <w:highlight w:val="none"/>
              </w:rPr>
              <w:t xml:space="preserve"> </w:t>
            </w:r>
          </w:p>
        </w:tc>
        <w:tc>
          <w:tcPr>
            <w:tcW w:w="4952" w:type="dxa"/>
          </w:tcPr>
          <w:p w14:paraId="235BD445">
            <w:pPr>
              <w:spacing w:line="600" w:lineRule="exact"/>
              <w:rPr>
                <w:color w:val="auto"/>
                <w:sz w:val="24"/>
                <w:highlight w:val="none"/>
              </w:rPr>
            </w:pPr>
            <w:r>
              <w:rPr>
                <w:color w:val="auto"/>
                <w:sz w:val="24"/>
                <w:highlight w:val="none"/>
              </w:rPr>
              <w:t>开户银行：</w:t>
            </w:r>
            <w:r>
              <w:rPr>
                <w:rFonts w:hint="eastAsia"/>
                <w:color w:val="auto"/>
                <w:sz w:val="24"/>
                <w:highlight w:val="none"/>
              </w:rPr>
              <w:t xml:space="preserve"> </w:t>
            </w:r>
          </w:p>
        </w:tc>
      </w:tr>
      <w:tr w14:paraId="24AA65A5">
        <w:tblPrEx>
          <w:tblCellMar>
            <w:top w:w="0" w:type="dxa"/>
            <w:left w:w="108" w:type="dxa"/>
            <w:bottom w:w="0" w:type="dxa"/>
            <w:right w:w="108" w:type="dxa"/>
          </w:tblCellMar>
        </w:tblPrEx>
        <w:tc>
          <w:tcPr>
            <w:tcW w:w="4629" w:type="dxa"/>
          </w:tcPr>
          <w:p w14:paraId="670AAB92">
            <w:pPr>
              <w:spacing w:line="600" w:lineRule="exact"/>
              <w:rPr>
                <w:rFonts w:hint="eastAsia" w:ascii="宋体" w:hAnsi="宋体" w:cs="宋体"/>
                <w:color w:val="auto"/>
                <w:sz w:val="24"/>
                <w:highlight w:val="none"/>
              </w:rPr>
            </w:pPr>
            <w:r>
              <w:rPr>
                <w:rFonts w:hint="eastAsia" w:ascii="宋体" w:hAnsi="宋体"/>
                <w:color w:val="auto"/>
                <w:sz w:val="24"/>
                <w:highlight w:val="none"/>
              </w:rPr>
              <w:t xml:space="preserve"> </w:t>
            </w:r>
          </w:p>
        </w:tc>
        <w:tc>
          <w:tcPr>
            <w:tcW w:w="4952" w:type="dxa"/>
          </w:tcPr>
          <w:p w14:paraId="566CA8D3">
            <w:pPr>
              <w:spacing w:line="600" w:lineRule="exact"/>
              <w:rPr>
                <w:color w:val="auto"/>
                <w:sz w:val="24"/>
                <w:highlight w:val="none"/>
              </w:rPr>
            </w:pPr>
            <w:r>
              <w:rPr>
                <w:rFonts w:hint="eastAsia"/>
                <w:color w:val="auto"/>
                <w:sz w:val="24"/>
                <w:highlight w:val="none"/>
              </w:rPr>
              <w:t>银行帐号</w:t>
            </w:r>
            <w:r>
              <w:rPr>
                <w:color w:val="auto"/>
                <w:sz w:val="24"/>
                <w:highlight w:val="none"/>
              </w:rPr>
              <w:t>：</w:t>
            </w:r>
            <w:r>
              <w:rPr>
                <w:rFonts w:hint="eastAsia"/>
                <w:color w:val="auto"/>
                <w:sz w:val="24"/>
                <w:highlight w:val="none"/>
              </w:rPr>
              <w:t xml:space="preserve"> </w:t>
            </w:r>
          </w:p>
        </w:tc>
      </w:tr>
    </w:tbl>
    <w:p w14:paraId="6ABC2C67">
      <w:pPr>
        <w:ind w:firstLine="560" w:firstLineChars="200"/>
        <w:jc w:val="center"/>
        <w:rPr>
          <w:color w:val="auto"/>
          <w:sz w:val="28"/>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type="lines" w:linePitch="312" w:charSpace="0"/>
        </w:sectPr>
      </w:pPr>
    </w:p>
    <w:p w14:paraId="2CC97C6B">
      <w:pPr>
        <w:spacing w:line="500" w:lineRule="exact"/>
        <w:rPr>
          <w:b/>
          <w:color w:val="auto"/>
          <w:sz w:val="28"/>
          <w:szCs w:val="28"/>
          <w:highlight w:val="none"/>
        </w:rPr>
      </w:pPr>
      <w:r>
        <w:rPr>
          <w:rFonts w:hint="eastAsia" w:ascii="宋体" w:hAnsi="宋体"/>
          <w:b/>
          <w:bCs/>
          <w:color w:val="auto"/>
          <w:sz w:val="32"/>
          <w:highlight w:val="none"/>
        </w:rPr>
        <w:t xml:space="preserve">附件1： 中标通知书 </w:t>
      </w:r>
      <w:r>
        <w:rPr>
          <w:rFonts w:hint="eastAsia"/>
          <w:b/>
          <w:color w:val="auto"/>
          <w:sz w:val="28"/>
          <w:szCs w:val="28"/>
          <w:highlight w:val="none"/>
        </w:rPr>
        <w:t xml:space="preserve"> </w:t>
      </w:r>
    </w:p>
    <w:p w14:paraId="3E60E4EC">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64D699EC">
      <w:pPr>
        <w:spacing w:line="276" w:lineRule="auto"/>
        <w:rPr>
          <w:rFonts w:hint="eastAsia" w:ascii="宋体" w:hAnsi="宋体"/>
          <w:b/>
          <w:color w:val="auto"/>
          <w:kern w:val="0"/>
          <w:sz w:val="32"/>
          <w:szCs w:val="32"/>
          <w:highlight w:val="none"/>
        </w:rPr>
      </w:pPr>
      <w:r>
        <w:rPr>
          <w:rFonts w:hint="eastAsia" w:ascii="宋体" w:hAnsi="宋体"/>
          <w:b/>
          <w:color w:val="auto"/>
          <w:kern w:val="0"/>
          <w:sz w:val="32"/>
          <w:szCs w:val="32"/>
          <w:highlight w:val="none"/>
        </w:rPr>
        <w:t>附件2： 投标文件中的投标报价汇总表</w:t>
      </w:r>
    </w:p>
    <w:p w14:paraId="128B199C">
      <w:pPr>
        <w:rPr>
          <w:color w:val="auto"/>
          <w:highlight w:val="none"/>
        </w:rPr>
      </w:pPr>
    </w:p>
    <w:p w14:paraId="651B9645">
      <w:pPr>
        <w:rPr>
          <w:rFonts w:hint="eastAsia" w:ascii="宋体" w:hAnsi="宋体"/>
          <w:b/>
          <w:color w:val="auto"/>
          <w:kern w:val="0"/>
          <w:sz w:val="32"/>
          <w:szCs w:val="32"/>
          <w:highlight w:val="none"/>
        </w:rPr>
      </w:pPr>
    </w:p>
    <w:p w14:paraId="11A2AA02">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3F69D254">
      <w:pPr>
        <w:spacing w:line="276" w:lineRule="auto"/>
        <w:rPr>
          <w:rFonts w:hint="eastAsia" w:ascii="宋体" w:hAnsi="宋体"/>
          <w:b/>
          <w:bCs/>
          <w:color w:val="auto"/>
          <w:sz w:val="32"/>
          <w:highlight w:val="none"/>
        </w:rPr>
      </w:pPr>
      <w:r>
        <w:rPr>
          <w:rFonts w:hint="eastAsia" w:ascii="宋体" w:hAnsi="宋体"/>
          <w:b/>
          <w:color w:val="auto"/>
          <w:kern w:val="0"/>
          <w:sz w:val="32"/>
          <w:szCs w:val="32"/>
          <w:highlight w:val="none"/>
        </w:rPr>
        <w:t>附件3： 投标文件中的</w:t>
      </w:r>
      <w:r>
        <w:rPr>
          <w:rFonts w:hint="eastAsia" w:ascii="宋体" w:hAnsi="宋体"/>
          <w:b/>
          <w:bCs/>
          <w:color w:val="auto"/>
          <w:sz w:val="32"/>
          <w:highlight w:val="none"/>
        </w:rPr>
        <w:t>勘察设计费用计算表</w:t>
      </w:r>
    </w:p>
    <w:p w14:paraId="1420B954">
      <w:pPr>
        <w:rPr>
          <w:color w:val="auto"/>
          <w:highlight w:val="none"/>
        </w:rPr>
      </w:pPr>
    </w:p>
    <w:p w14:paraId="02A3F9CE">
      <w:pPr>
        <w:rPr>
          <w:rFonts w:hint="eastAsia" w:ascii="宋体" w:hAnsi="宋体"/>
          <w:b/>
          <w:color w:val="auto"/>
          <w:kern w:val="0"/>
          <w:sz w:val="32"/>
          <w:szCs w:val="32"/>
          <w:highlight w:val="none"/>
        </w:rPr>
      </w:pPr>
    </w:p>
    <w:p w14:paraId="5461AEF1">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5E58D1E1">
      <w:pPr>
        <w:spacing w:line="276" w:lineRule="auto"/>
        <w:rPr>
          <w:rFonts w:hint="eastAsia" w:ascii="宋体" w:hAnsi="宋体"/>
          <w:b/>
          <w:bCs/>
          <w:color w:val="auto"/>
          <w:sz w:val="32"/>
          <w:highlight w:val="none"/>
        </w:rPr>
      </w:pPr>
      <w:r>
        <w:rPr>
          <w:rFonts w:hint="eastAsia" w:ascii="宋体" w:hAnsi="宋体"/>
          <w:b/>
          <w:color w:val="auto"/>
          <w:kern w:val="0"/>
          <w:sz w:val="32"/>
          <w:szCs w:val="32"/>
          <w:highlight w:val="none"/>
        </w:rPr>
        <w:t>附件4：</w:t>
      </w:r>
      <w:r>
        <w:rPr>
          <w:rFonts w:hint="eastAsia" w:ascii="宋体" w:hAnsi="宋体"/>
          <w:b/>
          <w:bCs/>
          <w:color w:val="auto"/>
          <w:sz w:val="32"/>
          <w:highlight w:val="none"/>
        </w:rPr>
        <w:t>投标文件中的人员架构</w:t>
      </w:r>
    </w:p>
    <w:p w14:paraId="53946C6C">
      <w:pPr>
        <w:rPr>
          <w:rFonts w:hint="eastAsia" w:ascii="宋体" w:hAnsi="宋体"/>
          <w:b/>
          <w:bCs/>
          <w:color w:val="auto"/>
          <w:sz w:val="32"/>
          <w:highlight w:val="none"/>
        </w:rPr>
      </w:pPr>
      <w:r>
        <w:rPr>
          <w:rFonts w:hint="eastAsia" w:ascii="宋体" w:hAnsi="宋体"/>
          <w:b/>
          <w:bCs/>
          <w:color w:val="auto"/>
          <w:sz w:val="32"/>
          <w:highlight w:val="none"/>
        </w:rPr>
        <w:br w:type="page"/>
      </w:r>
    </w:p>
    <w:p w14:paraId="598A0D11">
      <w:pPr>
        <w:spacing w:line="500" w:lineRule="exact"/>
        <w:rPr>
          <w:rFonts w:hint="eastAsia" w:ascii="宋体" w:hAnsi="宋体"/>
          <w:b/>
          <w:bCs/>
          <w:color w:val="auto"/>
          <w:sz w:val="32"/>
          <w:highlight w:val="none"/>
        </w:rPr>
      </w:pPr>
      <w:r>
        <w:rPr>
          <w:rFonts w:hint="eastAsia" w:ascii="宋体" w:hAnsi="宋体"/>
          <w:b/>
          <w:bCs/>
          <w:color w:val="auto"/>
          <w:sz w:val="32"/>
          <w:highlight w:val="none"/>
        </w:rPr>
        <w:t>附件5：</w:t>
      </w:r>
    </w:p>
    <w:p w14:paraId="3B8C5037">
      <w:pPr>
        <w:snapToGrid w:val="0"/>
        <w:spacing w:line="360" w:lineRule="auto"/>
        <w:jc w:val="center"/>
        <w:rPr>
          <w:b/>
          <w:color w:val="auto"/>
          <w:sz w:val="28"/>
          <w:szCs w:val="28"/>
          <w:highlight w:val="none"/>
        </w:rPr>
      </w:pPr>
      <w:r>
        <w:rPr>
          <w:rFonts w:hint="eastAsia"/>
          <w:b/>
          <w:color w:val="auto"/>
          <w:sz w:val="28"/>
          <w:szCs w:val="28"/>
          <w:highlight w:val="none"/>
        </w:rPr>
        <w:t>廉政协议书</w:t>
      </w:r>
    </w:p>
    <w:p w14:paraId="3D0FBBE3">
      <w:pPr>
        <w:spacing w:line="440" w:lineRule="exact"/>
        <w:ind w:firstLine="496" w:firstLineChars="200"/>
        <w:rPr>
          <w:rFonts w:hint="eastAsia" w:ascii="宋体" w:hAnsi="宋体"/>
          <w:b/>
          <w:bCs/>
          <w:color w:val="auto"/>
          <w:kern w:val="0"/>
          <w:sz w:val="24"/>
          <w:highlight w:val="none"/>
        </w:rPr>
      </w:pPr>
      <w:r>
        <w:rPr>
          <w:rFonts w:hint="eastAsia" w:ascii="宋体" w:hAnsi="宋体"/>
          <w:color w:val="auto"/>
          <w:spacing w:val="4"/>
          <w:kern w:val="0"/>
          <w:sz w:val="24"/>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color w:val="auto"/>
          <w:sz w:val="24"/>
          <w:highlight w:val="none"/>
          <w:u w:val="single"/>
        </w:rPr>
        <w:t xml:space="preserve"> 广州空港建设运营集团有限公司 </w:t>
      </w:r>
      <w:r>
        <w:rPr>
          <w:rFonts w:hint="eastAsia" w:ascii="宋体" w:hAnsi="宋体"/>
          <w:color w:val="auto"/>
          <w:spacing w:val="4"/>
          <w:kern w:val="0"/>
          <w:sz w:val="24"/>
          <w:highlight w:val="none"/>
        </w:rPr>
        <w:t>（以下简称“委托单位”）与服务单位</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pacing w:val="4"/>
          <w:kern w:val="0"/>
          <w:sz w:val="24"/>
          <w:highlight w:val="none"/>
        </w:rPr>
        <w:t>以下称“受托单位”）就</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XXX工程</w:t>
      </w:r>
      <w:r>
        <w:rPr>
          <w:rFonts w:hint="eastAsia" w:ascii="宋体" w:hAnsi="宋体"/>
          <w:color w:val="auto"/>
          <w:sz w:val="24"/>
          <w:highlight w:val="none"/>
          <w:u w:val="single"/>
        </w:rPr>
        <w:t xml:space="preserve"> </w:t>
      </w:r>
      <w:r>
        <w:rPr>
          <w:rFonts w:hint="eastAsia" w:ascii="宋体" w:hAnsi="宋体"/>
          <w:color w:val="auto"/>
          <w:sz w:val="24"/>
          <w:highlight w:val="none"/>
        </w:rPr>
        <w:t>勘察设计</w:t>
      </w:r>
      <w:r>
        <w:rPr>
          <w:rFonts w:hint="eastAsia" w:ascii="宋体" w:hAnsi="宋体"/>
          <w:color w:val="auto"/>
          <w:spacing w:val="4"/>
          <w:kern w:val="0"/>
          <w:sz w:val="24"/>
          <w:highlight w:val="none"/>
        </w:rPr>
        <w:t>特订立如下廉政协议书：</w:t>
      </w:r>
    </w:p>
    <w:p w14:paraId="5C17A335">
      <w:pPr>
        <w:tabs>
          <w:tab w:val="left" w:pos="3465"/>
        </w:tabs>
        <w:spacing w:line="440" w:lineRule="exact"/>
        <w:ind w:left="-90" w:firstLine="581" w:firstLineChars="241"/>
        <w:outlineLvl w:val="0"/>
        <w:rPr>
          <w:rFonts w:hint="eastAsia" w:ascii="宋体" w:hAnsi="宋体"/>
          <w:color w:val="auto"/>
          <w:kern w:val="0"/>
          <w:sz w:val="24"/>
          <w:highlight w:val="none"/>
        </w:rPr>
      </w:pPr>
      <w:r>
        <w:rPr>
          <w:rFonts w:hint="eastAsia" w:ascii="宋体" w:hAnsi="宋体"/>
          <w:b/>
          <w:bCs/>
          <w:color w:val="auto"/>
          <w:kern w:val="0"/>
          <w:sz w:val="24"/>
          <w:highlight w:val="none"/>
        </w:rPr>
        <w:t>一、双方的权利和义务</w:t>
      </w:r>
      <w:r>
        <w:rPr>
          <w:rFonts w:hint="eastAsia" w:ascii="宋体" w:hAnsi="宋体"/>
          <w:b/>
          <w:bCs/>
          <w:color w:val="auto"/>
          <w:kern w:val="0"/>
          <w:sz w:val="24"/>
          <w:highlight w:val="none"/>
        </w:rPr>
        <w:tab/>
      </w:r>
    </w:p>
    <w:p w14:paraId="7E1E3A05">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（一）严格遵守党的政策规定和国家有关法律法规的有关规定。</w:t>
      </w:r>
    </w:p>
    <w:p w14:paraId="04FD24D5">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（二）严格执行本项目的合同文件，自觉按合同办事。</w:t>
      </w:r>
    </w:p>
    <w:p w14:paraId="3C5B3C81">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（三）双方的业务活动坚持公开、公正、诚信、透明的原则（法律认定的商业秘密和合同文件另有规定除外），不得损害国家和集体利益，违反勘察设计工作管理规章制度。</w:t>
      </w:r>
    </w:p>
    <w:p w14:paraId="50D2E230">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（四）建立健全廉政制度，开展廉政教育，设立廉政告示牌，公布举报电话，监督并认真查处违法违纪行为。</w:t>
      </w:r>
    </w:p>
    <w:p w14:paraId="07DC1556">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（五）发现对方在业务活动中有违反廉政规定的行为，有及时提醒对方纠正的权利和义务。</w:t>
      </w:r>
    </w:p>
    <w:p w14:paraId="7C2844F6">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（六）发现对方严重违反本合同义务条款的行为，有向其上级有关部门举报、建议给予处理并要求告知处理结果的权利。</w:t>
      </w:r>
    </w:p>
    <w:p w14:paraId="66C497B9">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二、委托单位的义务</w:t>
      </w:r>
    </w:p>
    <w:p w14:paraId="2B902DCC">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（一）委托单位及其工作人员不得索要或接受受托单位的礼金、有价证券和贵重物品，不得在受托单位报销任何应由委托单位或委托单位工作人员个人支付的费用等。</w:t>
      </w:r>
    </w:p>
    <w:p w14:paraId="0314832F">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（二）委托单位工作人员不得参加受托单位安排的超标准宴请和娱乐活动；不得接受受托单位提供的通讯工具、交通工具和高档办公用品等。</w:t>
      </w:r>
    </w:p>
    <w:p w14:paraId="4FCBD2D4">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（三）委托单位及其工作人员不得要求或者接受受托单位为其住房装修、婚丧嫁娶活动、配偶子女的工作安排以及出国出境、旅游等提供方便等。</w:t>
      </w:r>
    </w:p>
    <w:p w14:paraId="12B038CF">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（四）委托单位工作人员的配偶、子女不得从事与委托单位工程有关的材料设备供应、工程分包、劳务等经济活动。</w:t>
      </w:r>
    </w:p>
    <w:p w14:paraId="59CE24C3">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（五）委托单位及其工作人员不得以任何理由向受托单位推荐分包单位或推销材料，不得要求受托单位购买合同规定外的材料和设备。</w:t>
      </w:r>
    </w:p>
    <w:p w14:paraId="06B823F8">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（六）委托单位工作人员要秉公办事，不准徇私舞弊，不准利用职权从事各种个人有偿中介活动和安排个人施工队伍。</w:t>
      </w:r>
    </w:p>
    <w:p w14:paraId="0AE88BCD">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三、受托单位义务</w:t>
      </w:r>
    </w:p>
    <w:p w14:paraId="644A4396">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（一）受托单位不得以任何理由向委托单位及其工作人员行贿或馈赠礼金、有价证券、贵重物品。</w:t>
      </w:r>
    </w:p>
    <w:p w14:paraId="04E3C92B">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（二）受托单位不得以任何名义为委托单位及其工作人员报销应由委托单位单位或个人支付的任何费用。</w:t>
      </w:r>
    </w:p>
    <w:p w14:paraId="09367898">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（三）受托单位不得以任何理由安排委托单位工作人员参加超标准宴请及娱乐活动。</w:t>
      </w:r>
    </w:p>
    <w:p w14:paraId="139E6C01">
      <w:pPr>
        <w:spacing w:line="440" w:lineRule="exact"/>
        <w:ind w:left="-90" w:firstLine="580" w:firstLineChars="242"/>
        <w:rPr>
          <w:rFonts w:hint="eastAsia" w:ascii="宋体" w:hAnsi="宋体"/>
          <w:bCs/>
          <w:color w:val="auto"/>
          <w:kern w:val="0"/>
          <w:sz w:val="24"/>
          <w:highlight w:val="none"/>
        </w:rPr>
      </w:pPr>
      <w:r>
        <w:rPr>
          <w:rFonts w:hint="eastAsia" w:ascii="宋体" w:hAnsi="宋体"/>
          <w:bCs/>
          <w:color w:val="auto"/>
          <w:kern w:val="0"/>
          <w:sz w:val="24"/>
          <w:highlight w:val="none"/>
        </w:rPr>
        <w:t>（四）</w:t>
      </w:r>
      <w:r>
        <w:rPr>
          <w:rFonts w:hint="eastAsia" w:ascii="宋体" w:hAnsi="宋体"/>
          <w:color w:val="auto"/>
          <w:kern w:val="0"/>
          <w:sz w:val="24"/>
          <w:highlight w:val="none"/>
        </w:rPr>
        <w:t>受托单位</w:t>
      </w:r>
      <w:r>
        <w:rPr>
          <w:rFonts w:hint="eastAsia" w:ascii="宋体" w:hAnsi="宋体"/>
          <w:bCs/>
          <w:color w:val="auto"/>
          <w:kern w:val="0"/>
          <w:sz w:val="24"/>
          <w:highlight w:val="none"/>
        </w:rPr>
        <w:t>不得为委托单位和个人购置或提供通讯工具、交通工具和高档办公用品等。</w:t>
      </w:r>
    </w:p>
    <w:p w14:paraId="2E1538DE">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四、违约责任</w:t>
      </w:r>
    </w:p>
    <w:p w14:paraId="2EC4D8AD">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（一）委托单位及其工作人员违反本合同第一、二条，按管理权限，依据有关规定给予党纪、政纪或组织处理；涉嫌犯罪的，移交司法机关追究刑事责任；给受托单位造成经济损失的，应予以赔偿。</w:t>
      </w:r>
    </w:p>
    <w:p w14:paraId="250BCF3A">
      <w:pPr>
        <w:spacing w:line="440" w:lineRule="exact"/>
        <w:ind w:left="-90" w:firstLine="580" w:firstLineChars="242"/>
        <w:rPr>
          <w:rFonts w:hint="eastAsia" w:ascii="宋体" w:hAnsi="宋体"/>
          <w:color w:val="auto"/>
          <w:kern w:val="10"/>
          <w:sz w:val="24"/>
          <w:highlight w:val="none"/>
        </w:rPr>
      </w:pPr>
      <w:r>
        <w:rPr>
          <w:rFonts w:hint="eastAsia" w:ascii="宋体" w:hAnsi="宋体"/>
          <w:color w:val="auto"/>
          <w:kern w:val="0"/>
          <w:sz w:val="24"/>
          <w:highlight w:val="none"/>
        </w:rPr>
        <w:t>（二）受托单位及其工作人员违反本合同第一、三条，按管理权限，依据有关规定给予党纪、政纪或组织处理；给委托单位造成经济损失的，应予以赔偿；情节严重的，委托单位建议工程建设主管部门给予受托单位一至三年内不得进入其主管的工程建设市场的处罚。</w:t>
      </w:r>
    </w:p>
    <w:p w14:paraId="34F3265D">
      <w:pPr>
        <w:spacing w:line="440" w:lineRule="exact"/>
        <w:ind w:left="-90" w:firstLine="583" w:firstLineChars="242"/>
        <w:outlineLvl w:val="0"/>
        <w:rPr>
          <w:rFonts w:hint="eastAsia" w:ascii="宋体" w:hAnsi="宋体"/>
          <w:b/>
          <w:color w:val="auto"/>
          <w:kern w:val="10"/>
          <w:sz w:val="24"/>
          <w:highlight w:val="none"/>
        </w:rPr>
      </w:pPr>
      <w:r>
        <w:rPr>
          <w:rFonts w:hint="eastAsia" w:ascii="宋体" w:hAnsi="宋体"/>
          <w:b/>
          <w:color w:val="auto"/>
          <w:kern w:val="10"/>
          <w:sz w:val="24"/>
          <w:highlight w:val="none"/>
        </w:rPr>
        <w:t>五、双方约定：</w:t>
      </w:r>
    </w:p>
    <w:p w14:paraId="7415487E">
      <w:pPr>
        <w:spacing w:line="440" w:lineRule="exact"/>
        <w:ind w:firstLine="480" w:firstLineChars="200"/>
        <w:rPr>
          <w:rFonts w:hint="eastAsia" w:ascii="宋体" w:hAnsi="宋体"/>
          <w:color w:val="auto"/>
          <w:kern w:val="10"/>
          <w:sz w:val="24"/>
          <w:highlight w:val="none"/>
        </w:rPr>
      </w:pPr>
      <w:r>
        <w:rPr>
          <w:rFonts w:hint="eastAsia" w:ascii="宋体" w:hAnsi="宋体"/>
          <w:color w:val="auto"/>
          <w:kern w:val="0"/>
          <w:sz w:val="24"/>
          <w:highlight w:val="none"/>
        </w:rPr>
        <w:t>本合同由双方或双方上级单位的纪检监察机关负责监督执行。由委托单位或委托单位上级单位的纪检监察机关约请受托单位或受托单位上级单位纪检监察机关对本合同执行情况进行检查，提出在本合同规定范围内的裁定意见。</w:t>
      </w:r>
    </w:p>
    <w:p w14:paraId="12640D13">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六、</w:t>
      </w:r>
      <w:r>
        <w:rPr>
          <w:rFonts w:hint="eastAsia" w:ascii="宋体" w:hAnsi="宋体"/>
          <w:color w:val="auto"/>
          <w:kern w:val="10"/>
          <w:sz w:val="24"/>
          <w:highlight w:val="none"/>
        </w:rPr>
        <w:t>本合同有效期为双方签署之日起至该工程项目竣工验收后止。</w:t>
      </w:r>
    </w:p>
    <w:p w14:paraId="21A6E637">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七、</w:t>
      </w:r>
      <w:r>
        <w:rPr>
          <w:rFonts w:hint="eastAsia" w:ascii="宋体" w:hAnsi="宋体"/>
          <w:color w:val="auto"/>
          <w:kern w:val="10"/>
          <w:sz w:val="24"/>
          <w:highlight w:val="none"/>
        </w:rPr>
        <w:t>本合同作为本项目招标</w:t>
      </w:r>
      <w:r>
        <w:rPr>
          <w:rFonts w:hint="eastAsia" w:ascii="宋体" w:hAnsi="宋体"/>
          <w:color w:val="auto"/>
          <w:kern w:val="0"/>
          <w:sz w:val="24"/>
          <w:highlight w:val="none"/>
        </w:rPr>
        <w:t>服务</w:t>
      </w:r>
      <w:r>
        <w:rPr>
          <w:rFonts w:hint="eastAsia" w:ascii="宋体" w:hAnsi="宋体"/>
          <w:color w:val="auto"/>
          <w:kern w:val="10"/>
          <w:sz w:val="24"/>
          <w:highlight w:val="none"/>
        </w:rPr>
        <w:t>合同的附件，与主合同具有同等的法律效力，经合同双方签署立即生效。</w:t>
      </w:r>
    </w:p>
    <w:p w14:paraId="47F0EB59">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八、</w:t>
      </w:r>
      <w:r>
        <w:rPr>
          <w:rFonts w:hint="eastAsia" w:ascii="宋体" w:hAnsi="宋体"/>
          <w:color w:val="auto"/>
          <w:kern w:val="10"/>
          <w:sz w:val="24"/>
          <w:highlight w:val="none"/>
        </w:rPr>
        <w:t>由双方法定代表人或其授权的代理人签署与加盖公章后生效，全部工程竣工验收后失效。</w:t>
      </w:r>
    </w:p>
    <w:p w14:paraId="2F188D67">
      <w:pPr>
        <w:spacing w:line="440" w:lineRule="exact"/>
        <w:ind w:left="5880" w:right="480" w:hanging="5880" w:hangingChars="2450"/>
        <w:rPr>
          <w:rFonts w:hint="eastAsia" w:ascii="宋体" w:hAnsi="宋体"/>
          <w:color w:val="auto"/>
          <w:sz w:val="24"/>
          <w:highlight w:val="none"/>
        </w:rPr>
      </w:pPr>
      <w:r>
        <w:rPr>
          <w:rFonts w:hint="eastAsia" w:ascii="宋体" w:hAnsi="宋体"/>
          <w:color w:val="auto"/>
          <w:sz w:val="24"/>
          <w:highlight w:val="none"/>
        </w:rPr>
        <w:t xml:space="preserve">委托单位：广州空港建设运营集团有限公司 </w:t>
      </w:r>
      <w:r>
        <w:rPr>
          <w:rFonts w:hint="eastAsia"/>
          <w:color w:val="auto"/>
          <w:sz w:val="24"/>
          <w:highlight w:val="none"/>
        </w:rPr>
        <w:t xml:space="preserve">受托单位： </w:t>
      </w:r>
    </w:p>
    <w:p w14:paraId="6404CB66">
      <w:pPr>
        <w:spacing w:line="440" w:lineRule="exact"/>
        <w:ind w:right="480" w:firstLine="960" w:firstLineChars="400"/>
        <w:rPr>
          <w:rFonts w:hint="eastAsia" w:ascii="宋体" w:hAnsi="宋体"/>
          <w:color w:val="auto"/>
          <w:sz w:val="24"/>
          <w:highlight w:val="none"/>
        </w:rPr>
      </w:pPr>
      <w:r>
        <w:rPr>
          <w:rFonts w:hint="eastAsia" w:ascii="宋体" w:hAnsi="宋体"/>
          <w:color w:val="auto"/>
          <w:sz w:val="24"/>
          <w:highlight w:val="none"/>
        </w:rPr>
        <w:t>（盖章）                                 （盖章）</w:t>
      </w:r>
    </w:p>
    <w:p w14:paraId="032A3970">
      <w:pPr>
        <w:pStyle w:val="10"/>
        <w:spacing w:before="0" w:beforeAutospacing="0" w:after="0" w:afterAutospacing="0" w:line="440" w:lineRule="exact"/>
        <w:rPr>
          <w:rFonts w:hint="eastAsia"/>
          <w:color w:val="auto"/>
          <w:highlight w:val="none"/>
        </w:rPr>
      </w:pPr>
      <w:r>
        <w:rPr>
          <w:rFonts w:hint="eastAsia"/>
          <w:color w:val="auto"/>
          <w:highlight w:val="none"/>
        </w:rPr>
        <w:t>法定代表人                             法定代表人</w:t>
      </w:r>
    </w:p>
    <w:p w14:paraId="72BCFB48">
      <w:pPr>
        <w:rPr>
          <w:color w:val="auto"/>
          <w:sz w:val="24"/>
          <w:highlight w:val="none"/>
        </w:rPr>
      </w:pPr>
      <w:r>
        <w:rPr>
          <w:rFonts w:hint="eastAsia"/>
          <w:color w:val="auto"/>
          <w:kern w:val="10"/>
          <w:sz w:val="24"/>
          <w:highlight w:val="none"/>
        </w:rPr>
        <w:t>或其授权的代理人</w:t>
      </w:r>
      <w:r>
        <w:rPr>
          <w:rFonts w:hint="eastAsia"/>
          <w:color w:val="auto"/>
          <w:sz w:val="24"/>
          <w:highlight w:val="none"/>
        </w:rPr>
        <w:t xml:space="preserve">（签字或签章）：            </w:t>
      </w:r>
      <w:r>
        <w:rPr>
          <w:rFonts w:hint="eastAsia" w:ascii="宋体" w:hAnsi="宋体"/>
          <w:color w:val="auto"/>
          <w:sz w:val="24"/>
          <w:highlight w:val="none"/>
        </w:rPr>
        <w:t>或其授权的代理人（签字或签章）：</w:t>
      </w:r>
      <w:bookmarkEnd w:id="0"/>
    </w:p>
    <w:sectPr>
      <w:pgSz w:w="11906" w:h="16838"/>
      <w:pgMar w:top="1304" w:right="1418"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6F38">
    <w:pPr>
      <w:pStyle w:val="7"/>
      <w:jc w:val="center"/>
    </w:pPr>
    <w:r>
      <w:fldChar w:fldCharType="begin"/>
    </w:r>
    <w:r>
      <w:instrText xml:space="preserve">PAGE   \* MERGEFORMAT</w:instrText>
    </w:r>
    <w:r>
      <w:fldChar w:fldCharType="separate"/>
    </w:r>
    <w:r>
      <w:rPr>
        <w:lang w:val="zh-CN"/>
      </w:rPr>
      <w:t>1</w:t>
    </w:r>
    <w:r>
      <w:rPr>
        <w:lang w:val="zh-CN"/>
      </w:rPr>
      <w:fldChar w:fldCharType="end"/>
    </w:r>
  </w:p>
  <w:p w14:paraId="204B6F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CB6A">
    <w:pPr>
      <w:pStyle w:val="7"/>
      <w:framePr w:wrap="around" w:vAnchor="text" w:hAnchor="margin" w:xAlign="center" w:y="1"/>
      <w:rPr>
        <w:rStyle w:val="14"/>
      </w:rPr>
    </w:pPr>
    <w:r>
      <w:fldChar w:fldCharType="begin"/>
    </w:r>
    <w:r>
      <w:rPr>
        <w:rStyle w:val="14"/>
      </w:rPr>
      <w:instrText xml:space="preserve">PAGE  </w:instrText>
    </w:r>
    <w:r>
      <w:fldChar w:fldCharType="end"/>
    </w:r>
  </w:p>
  <w:p w14:paraId="4727FEA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CB7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6C7B1"/>
    <w:multiLevelType w:val="singleLevel"/>
    <w:tmpl w:val="ACC6C7B1"/>
    <w:lvl w:ilvl="0" w:tentative="0">
      <w:start w:val="11"/>
      <w:numFmt w:val="chineseCounting"/>
      <w:lvlText w:val="第%1条"/>
      <w:lvlJc w:val="left"/>
      <w:rPr>
        <w:rFonts w:hint="eastAsia"/>
      </w:rPr>
    </w:lvl>
  </w:abstractNum>
  <w:abstractNum w:abstractNumId="1">
    <w:nsid w:val="14349E9B"/>
    <w:multiLevelType w:val="singleLevel"/>
    <w:tmpl w:val="14349E9B"/>
    <w:lvl w:ilvl="0" w:tentative="0">
      <w:start w:val="1"/>
      <w:numFmt w:val="decimal"/>
      <w:suff w:val="nothing"/>
      <w:lvlText w:val="（%1）"/>
      <w:lvlJc w:val="left"/>
    </w:lvl>
  </w:abstractNum>
  <w:abstractNum w:abstractNumId="2">
    <w:nsid w:val="6E0C67E6"/>
    <w:multiLevelType w:val="singleLevel"/>
    <w:tmpl w:val="6E0C67E6"/>
    <w:lvl w:ilvl="0" w:tentative="0">
      <w:start w:val="2"/>
      <w:numFmt w:val="chineseCounting"/>
      <w:lvlText w:val="第%1条"/>
      <w:lvlJc w:val="left"/>
      <w:pPr>
        <w:ind w:left="48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ZDQ5ZmI5MWM5MDllMDkzODFkNmVkNDU3NjQwZjEifQ=="/>
  </w:docVars>
  <w:rsids>
    <w:rsidRoot w:val="000017AB"/>
    <w:rsid w:val="000017AB"/>
    <w:rsid w:val="00006161"/>
    <w:rsid w:val="00027A38"/>
    <w:rsid w:val="000F0E1B"/>
    <w:rsid w:val="00177DF4"/>
    <w:rsid w:val="001D0D37"/>
    <w:rsid w:val="001F5F96"/>
    <w:rsid w:val="001F64FB"/>
    <w:rsid w:val="00202FE8"/>
    <w:rsid w:val="0023001A"/>
    <w:rsid w:val="00242F39"/>
    <w:rsid w:val="00276CC8"/>
    <w:rsid w:val="002F4110"/>
    <w:rsid w:val="00326BC7"/>
    <w:rsid w:val="00391223"/>
    <w:rsid w:val="003A16F2"/>
    <w:rsid w:val="003A1EFE"/>
    <w:rsid w:val="00402427"/>
    <w:rsid w:val="00451EBC"/>
    <w:rsid w:val="00465578"/>
    <w:rsid w:val="004746CB"/>
    <w:rsid w:val="004C3B97"/>
    <w:rsid w:val="00546FD5"/>
    <w:rsid w:val="005754F2"/>
    <w:rsid w:val="00585797"/>
    <w:rsid w:val="005D30F4"/>
    <w:rsid w:val="005F12D2"/>
    <w:rsid w:val="00615C20"/>
    <w:rsid w:val="006C64D8"/>
    <w:rsid w:val="00701E51"/>
    <w:rsid w:val="007261B1"/>
    <w:rsid w:val="007365FD"/>
    <w:rsid w:val="00754844"/>
    <w:rsid w:val="008F4011"/>
    <w:rsid w:val="00926BE7"/>
    <w:rsid w:val="00950D9E"/>
    <w:rsid w:val="009E42A7"/>
    <w:rsid w:val="00B326AF"/>
    <w:rsid w:val="00C35CC2"/>
    <w:rsid w:val="00C8578F"/>
    <w:rsid w:val="00CD341D"/>
    <w:rsid w:val="00D72105"/>
    <w:rsid w:val="00D75583"/>
    <w:rsid w:val="00D82C98"/>
    <w:rsid w:val="00DA383F"/>
    <w:rsid w:val="00DF17B0"/>
    <w:rsid w:val="00E35CB0"/>
    <w:rsid w:val="00E37C2F"/>
    <w:rsid w:val="00F24783"/>
    <w:rsid w:val="00F46C6D"/>
    <w:rsid w:val="00FC1E5B"/>
    <w:rsid w:val="018522CA"/>
    <w:rsid w:val="02BB22E3"/>
    <w:rsid w:val="05D214E9"/>
    <w:rsid w:val="07BD5030"/>
    <w:rsid w:val="08643DF1"/>
    <w:rsid w:val="087E3E25"/>
    <w:rsid w:val="08EF5DF9"/>
    <w:rsid w:val="0A595105"/>
    <w:rsid w:val="0A621193"/>
    <w:rsid w:val="0B012148"/>
    <w:rsid w:val="0B2B7889"/>
    <w:rsid w:val="0C3A4317"/>
    <w:rsid w:val="0F9965BA"/>
    <w:rsid w:val="10F65A5C"/>
    <w:rsid w:val="13F30D74"/>
    <w:rsid w:val="15BC3EED"/>
    <w:rsid w:val="19446DC5"/>
    <w:rsid w:val="1A807225"/>
    <w:rsid w:val="1AB11078"/>
    <w:rsid w:val="1BB94E99"/>
    <w:rsid w:val="1FA41A98"/>
    <w:rsid w:val="21BC1FE4"/>
    <w:rsid w:val="224A0AFD"/>
    <w:rsid w:val="22B15790"/>
    <w:rsid w:val="23577227"/>
    <w:rsid w:val="23D121CD"/>
    <w:rsid w:val="25064DD5"/>
    <w:rsid w:val="250C0222"/>
    <w:rsid w:val="256E75EA"/>
    <w:rsid w:val="259D12A8"/>
    <w:rsid w:val="25AE1404"/>
    <w:rsid w:val="25B11194"/>
    <w:rsid w:val="262D0DA8"/>
    <w:rsid w:val="26EB4BDF"/>
    <w:rsid w:val="272008FB"/>
    <w:rsid w:val="27E37289"/>
    <w:rsid w:val="281E2746"/>
    <w:rsid w:val="29B37336"/>
    <w:rsid w:val="29C67F0D"/>
    <w:rsid w:val="29E60A65"/>
    <w:rsid w:val="2A171686"/>
    <w:rsid w:val="2A2B7900"/>
    <w:rsid w:val="2C7B2F12"/>
    <w:rsid w:val="2EC612F7"/>
    <w:rsid w:val="2FB9033D"/>
    <w:rsid w:val="338571AC"/>
    <w:rsid w:val="34607C42"/>
    <w:rsid w:val="346E6803"/>
    <w:rsid w:val="34C64AB8"/>
    <w:rsid w:val="35214422"/>
    <w:rsid w:val="3575787F"/>
    <w:rsid w:val="3764113E"/>
    <w:rsid w:val="39C44F07"/>
    <w:rsid w:val="39CD6C2B"/>
    <w:rsid w:val="3AC41DE4"/>
    <w:rsid w:val="3B131EA3"/>
    <w:rsid w:val="3C9A0B46"/>
    <w:rsid w:val="3FED608A"/>
    <w:rsid w:val="4025362A"/>
    <w:rsid w:val="405C0798"/>
    <w:rsid w:val="40717A45"/>
    <w:rsid w:val="41EA0A2A"/>
    <w:rsid w:val="4507692B"/>
    <w:rsid w:val="45CC36C1"/>
    <w:rsid w:val="45DB3D89"/>
    <w:rsid w:val="4649073A"/>
    <w:rsid w:val="47125718"/>
    <w:rsid w:val="47403F3D"/>
    <w:rsid w:val="48706674"/>
    <w:rsid w:val="48795718"/>
    <w:rsid w:val="49B51C60"/>
    <w:rsid w:val="4C2C4921"/>
    <w:rsid w:val="4D0A3033"/>
    <w:rsid w:val="4E9A4993"/>
    <w:rsid w:val="4ECA0682"/>
    <w:rsid w:val="50CF5ED4"/>
    <w:rsid w:val="51DD5811"/>
    <w:rsid w:val="5266446A"/>
    <w:rsid w:val="52866F65"/>
    <w:rsid w:val="5495703C"/>
    <w:rsid w:val="553C489D"/>
    <w:rsid w:val="57904C71"/>
    <w:rsid w:val="57C3671D"/>
    <w:rsid w:val="59082464"/>
    <w:rsid w:val="5A2E0732"/>
    <w:rsid w:val="5E014CC6"/>
    <w:rsid w:val="5E0B489A"/>
    <w:rsid w:val="5F09683D"/>
    <w:rsid w:val="60A647BD"/>
    <w:rsid w:val="62061579"/>
    <w:rsid w:val="62171F38"/>
    <w:rsid w:val="621A1A5F"/>
    <w:rsid w:val="621E6645"/>
    <w:rsid w:val="627B3332"/>
    <w:rsid w:val="63213082"/>
    <w:rsid w:val="632A3691"/>
    <w:rsid w:val="636D4BB7"/>
    <w:rsid w:val="6372203D"/>
    <w:rsid w:val="64CC3368"/>
    <w:rsid w:val="66056384"/>
    <w:rsid w:val="66D95B21"/>
    <w:rsid w:val="68AA77A5"/>
    <w:rsid w:val="68D41CA4"/>
    <w:rsid w:val="69790D68"/>
    <w:rsid w:val="6AAC6B63"/>
    <w:rsid w:val="6AD71D05"/>
    <w:rsid w:val="6D604C59"/>
    <w:rsid w:val="6D8F4B19"/>
    <w:rsid w:val="6D8F7723"/>
    <w:rsid w:val="6EB16F6E"/>
    <w:rsid w:val="6EDE7B06"/>
    <w:rsid w:val="6F5233A7"/>
    <w:rsid w:val="718D2089"/>
    <w:rsid w:val="71F42195"/>
    <w:rsid w:val="73802D6F"/>
    <w:rsid w:val="75B253A2"/>
    <w:rsid w:val="7A0F0110"/>
    <w:rsid w:val="7A4616E2"/>
    <w:rsid w:val="7C96092F"/>
    <w:rsid w:val="7DDF6A31"/>
    <w:rsid w:val="7E983E4A"/>
    <w:rsid w:val="7F133B82"/>
    <w:rsid w:val="7F7D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tabs>
        <w:tab w:val="left" w:pos="360"/>
        <w:tab w:val="left" w:pos="576"/>
      </w:tabs>
      <w:spacing w:before="260"/>
      <w:ind w:left="576" w:hanging="576"/>
      <w:jc w:val="left"/>
      <w:outlineLvl w:val="1"/>
    </w:pPr>
    <w:rPr>
      <w:rFonts w:ascii="宋体" w:hAnsi="Arial"/>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ody Text"/>
    <w:basedOn w:val="1"/>
    <w:next w:val="1"/>
    <w:autoRedefine/>
    <w:qFormat/>
    <w:uiPriority w:val="0"/>
    <w:pPr>
      <w:spacing w:after="120"/>
    </w:pPr>
  </w:style>
  <w:style w:type="paragraph" w:styleId="5">
    <w:name w:val="Date"/>
    <w:basedOn w:val="1"/>
    <w:next w:val="1"/>
    <w:link w:val="20"/>
    <w:qFormat/>
    <w:uiPriority w:val="0"/>
    <w:pPr>
      <w:ind w:left="100" w:leftChars="2500"/>
    </w:pPr>
  </w:style>
  <w:style w:type="paragraph" w:styleId="6">
    <w:name w:val="Balloon Text"/>
    <w:basedOn w:val="1"/>
    <w:link w:val="16"/>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3"/>
    <w:next w:val="3"/>
    <w:link w:val="19"/>
    <w:qFormat/>
    <w:uiPriority w:val="0"/>
    <w:rPr>
      <w:b/>
      <w:bCs/>
    </w:rPr>
  </w:style>
  <w:style w:type="character" w:styleId="14">
    <w:name w:val="page number"/>
    <w:autoRedefine/>
    <w:qFormat/>
    <w:uiPriority w:val="0"/>
  </w:style>
  <w:style w:type="character" w:styleId="15">
    <w:name w:val="annotation reference"/>
    <w:basedOn w:val="13"/>
    <w:qFormat/>
    <w:uiPriority w:val="0"/>
    <w:rPr>
      <w:sz w:val="21"/>
      <w:szCs w:val="21"/>
    </w:rPr>
  </w:style>
  <w:style w:type="character" w:customStyle="1" w:styleId="16">
    <w:name w:val="批注框文本 字符"/>
    <w:basedOn w:val="13"/>
    <w:link w:val="6"/>
    <w:autoRedefine/>
    <w:qFormat/>
    <w:uiPriority w:val="0"/>
    <w:rPr>
      <w:kern w:val="2"/>
      <w:sz w:val="18"/>
      <w:szCs w:val="18"/>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3"/>
    <w:link w:val="3"/>
    <w:qFormat/>
    <w:uiPriority w:val="0"/>
    <w:rPr>
      <w:kern w:val="2"/>
      <w:sz w:val="21"/>
      <w:szCs w:val="24"/>
    </w:rPr>
  </w:style>
  <w:style w:type="character" w:customStyle="1" w:styleId="19">
    <w:name w:val="批注主题 字符"/>
    <w:basedOn w:val="18"/>
    <w:link w:val="11"/>
    <w:qFormat/>
    <w:uiPriority w:val="0"/>
    <w:rPr>
      <w:b/>
      <w:bCs/>
      <w:kern w:val="2"/>
      <w:sz w:val="21"/>
      <w:szCs w:val="24"/>
    </w:rPr>
  </w:style>
  <w:style w:type="character" w:customStyle="1" w:styleId="20">
    <w:name w:val="日期 字符"/>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25</Pages>
  <Words>14841</Words>
  <Characters>15320</Characters>
  <Lines>125</Lines>
  <Paragraphs>35</Paragraphs>
  <TotalTime>2</TotalTime>
  <ScaleCrop>false</ScaleCrop>
  <LinksUpToDate>false</LinksUpToDate>
  <CharactersWithSpaces>15704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2025-07-14T06:37:00Z</dcterms:created>
  <dc:creator>Administrator</dc:creator>
  <cp:lastModifiedBy>lx</cp:lastModifiedBy>
  <cp:lastPrinted>2024-03-15T02:53:00Z</cp:lastPrinted>
  <dcterms:modified xsi:type="dcterms:W3CDTF">2025-09-17T06:21:53Z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7F8CC0E3B50B4B6399729D4B8CA47487</vt:lpwstr>
  </property>
  <property fmtid="{D5CDD505-2E9C-101B-9397-08002B2CF9AE}" pid="4" name="KSOTemplateDocerSaveRecord">
    <vt:lpwstr>eyJoZGlkIjoiM2Y4ZDQ5ZmI5MWM5MDllMDkzODFkNmVkNDU3NjQwZjEiLCJ1c2VySWQiOiI1MzI5NDMzMjIifQ==</vt:lpwstr>
  </property>
</Properties>
</file>