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209B90">
      <w:pPr>
        <w:spacing w:line="360" w:lineRule="auto"/>
        <w:rPr>
          <w:rFonts w:ascii="Times New Roman" w:eastAsia="华文中宋"/>
          <w:b/>
          <w:sz w:val="44"/>
          <w:szCs w:val="44"/>
          <w:lang w:eastAsia="zh-CN"/>
        </w:rPr>
      </w:pPr>
      <w:bookmarkStart w:id="0" w:name="_Toc80863210"/>
      <w:bookmarkStart w:id="1" w:name="_Toc41574006"/>
      <w:bookmarkStart w:id="2" w:name="_Toc41499744"/>
      <w:bookmarkStart w:id="3" w:name="_Toc14488"/>
      <w:r>
        <w:rPr>
          <w:rFonts w:ascii="Times New Roman" w:eastAsia="华文中宋"/>
          <w:b/>
          <w:bCs/>
          <w:sz w:val="28"/>
          <w:szCs w:val="28"/>
          <w:lang w:eastAsia="zh-CN"/>
        </w:rPr>
        <w:t>合同编号：</w:t>
      </w:r>
      <w:bookmarkEnd w:id="0"/>
    </w:p>
    <w:p w14:paraId="12FCA46E">
      <w:pPr>
        <w:spacing w:line="560" w:lineRule="exact"/>
        <w:jc w:val="center"/>
        <w:rPr>
          <w:rFonts w:ascii="Times New Roman" w:eastAsia="华文中宋"/>
          <w:b/>
          <w:sz w:val="44"/>
          <w:szCs w:val="44"/>
          <w:lang w:eastAsia="zh-CN"/>
        </w:rPr>
      </w:pPr>
    </w:p>
    <w:p w14:paraId="013CBD86">
      <w:pPr>
        <w:spacing w:line="560" w:lineRule="exact"/>
        <w:jc w:val="center"/>
        <w:rPr>
          <w:rFonts w:ascii="Times New Roman" w:eastAsia="方正小标宋简体"/>
          <w:b/>
          <w:sz w:val="52"/>
          <w:szCs w:val="52"/>
          <w:lang w:eastAsia="zh-CN"/>
        </w:rPr>
      </w:pPr>
    </w:p>
    <w:p w14:paraId="123F5B94">
      <w:pPr>
        <w:pStyle w:val="2"/>
        <w:rPr>
          <w:rFonts w:ascii="Times New Roman" w:hAnsi="Times New Roman" w:eastAsiaTheme="minorEastAsia"/>
          <w:lang w:eastAsia="zh-CN"/>
        </w:rPr>
      </w:pPr>
    </w:p>
    <w:p w14:paraId="23A90274">
      <w:pPr>
        <w:rPr>
          <w:rFonts w:ascii="Times New Roman" w:eastAsiaTheme="minorEastAsia"/>
          <w:lang w:eastAsia="zh-CN"/>
        </w:rPr>
      </w:pPr>
    </w:p>
    <w:p w14:paraId="31A8B322">
      <w:pPr>
        <w:pStyle w:val="39"/>
        <w:ind w:firstLine="0" w:firstLineChars="0"/>
        <w:jc w:val="left"/>
        <w:rPr>
          <w:rFonts w:hint="eastAsia" w:asciiTheme="majorEastAsia" w:hAnsiTheme="majorEastAsia" w:eastAsiaTheme="majorEastAsia"/>
          <w:b/>
          <w:bCs/>
          <w:sz w:val="44"/>
          <w:szCs w:val="44"/>
        </w:rPr>
      </w:pPr>
      <w:r>
        <w:rPr>
          <w:rFonts w:hint="eastAsia" w:asciiTheme="majorEastAsia" w:hAnsiTheme="majorEastAsia" w:eastAsiaTheme="majorEastAsia"/>
          <w:b/>
          <w:color w:val="auto"/>
          <w:sz w:val="44"/>
          <w:szCs w:val="44"/>
        </w:rPr>
        <w:t>广州市天河区天河路188号改造项目融寓广州体育西路店长租公寓项目施工总承包</w:t>
      </w:r>
      <w:r>
        <w:rPr>
          <w:rFonts w:asciiTheme="majorEastAsia" w:hAnsiTheme="majorEastAsia" w:eastAsiaTheme="majorEastAsia"/>
          <w:b/>
          <w:bCs/>
          <w:sz w:val="44"/>
          <w:szCs w:val="44"/>
        </w:rPr>
        <w:t>合同</w:t>
      </w:r>
    </w:p>
    <w:p w14:paraId="2FECFC4D">
      <w:pPr>
        <w:pStyle w:val="39"/>
        <w:rPr>
          <w:rFonts w:ascii="Times New Roman" w:hAnsi="Times New Roman" w:eastAsia="仿宋_GB2312" w:cs="Times New Roman"/>
          <w:b/>
          <w:color w:val="auto"/>
          <w:sz w:val="32"/>
          <w:szCs w:val="32"/>
        </w:rPr>
      </w:pPr>
    </w:p>
    <w:p w14:paraId="3197E91B">
      <w:pPr>
        <w:pStyle w:val="39"/>
        <w:rPr>
          <w:rFonts w:ascii="Times New Roman" w:hAnsi="Times New Roman" w:eastAsia="仿宋_GB2312" w:cs="Times New Roman"/>
          <w:b/>
          <w:color w:val="auto"/>
          <w:sz w:val="32"/>
          <w:szCs w:val="32"/>
        </w:rPr>
      </w:pPr>
    </w:p>
    <w:p w14:paraId="2BD68BD0">
      <w:pPr>
        <w:rPr>
          <w:rFonts w:eastAsiaTheme="minorEastAsia"/>
          <w:lang w:eastAsia="zh-CN"/>
        </w:rPr>
      </w:pPr>
    </w:p>
    <w:p w14:paraId="60BE61F8">
      <w:pPr>
        <w:pStyle w:val="2"/>
        <w:rPr>
          <w:rFonts w:eastAsiaTheme="minorEastAsia"/>
          <w:lang w:eastAsia="zh-CN"/>
        </w:rPr>
      </w:pPr>
    </w:p>
    <w:p w14:paraId="02C16085">
      <w:pPr>
        <w:rPr>
          <w:rFonts w:eastAsiaTheme="minorEastAsia"/>
          <w:lang w:eastAsia="zh-CN"/>
        </w:rPr>
      </w:pPr>
    </w:p>
    <w:p w14:paraId="4FA07C06">
      <w:pPr>
        <w:pStyle w:val="2"/>
        <w:rPr>
          <w:rFonts w:eastAsiaTheme="minorEastAsia"/>
          <w:lang w:eastAsia="zh-CN"/>
        </w:rPr>
      </w:pPr>
    </w:p>
    <w:p w14:paraId="5AC2C461">
      <w:pPr>
        <w:spacing w:line="360" w:lineRule="auto"/>
        <w:ind w:firstLine="960" w:firstLineChars="300"/>
        <w:rPr>
          <w:rFonts w:ascii="Times New Roman" w:eastAsia="仿宋_GB2312"/>
          <w:b/>
          <w:sz w:val="32"/>
          <w:szCs w:val="32"/>
          <w:u w:val="single"/>
          <w:lang w:eastAsia="zh-CN"/>
        </w:rPr>
      </w:pPr>
      <w:r>
        <w:rPr>
          <w:rFonts w:hint="eastAsia" w:ascii="Times New Roman" w:eastAsia="仿宋_GB2312"/>
          <w:b/>
          <w:sz w:val="32"/>
          <w:szCs w:val="32"/>
          <w:lang w:eastAsia="zh-CN"/>
        </w:rPr>
        <w:t>发包人（甲方）：</w:t>
      </w:r>
      <w:r>
        <w:rPr>
          <w:rFonts w:hint="eastAsia" w:ascii="Times New Roman" w:eastAsia="仿宋_GB2312"/>
          <w:b/>
          <w:sz w:val="32"/>
          <w:szCs w:val="32"/>
          <w:u w:val="single"/>
          <w:lang w:eastAsia="zh-CN"/>
        </w:rPr>
        <w:t>融通地产（广东）有限责任公司</w:t>
      </w:r>
    </w:p>
    <w:p w14:paraId="7CF491AE">
      <w:pPr>
        <w:spacing w:line="360" w:lineRule="auto"/>
        <w:ind w:firstLine="960" w:firstLineChars="300"/>
        <w:rPr>
          <w:rFonts w:ascii="Times New Roman" w:eastAsia="仿宋_GB2312"/>
          <w:b/>
          <w:sz w:val="32"/>
          <w:szCs w:val="32"/>
          <w:u w:val="single"/>
          <w:lang w:eastAsia="zh-CN"/>
        </w:rPr>
      </w:pPr>
      <w:r>
        <w:rPr>
          <w:rFonts w:hint="eastAsia" w:ascii="Times New Roman" w:eastAsia="仿宋_GB2312"/>
          <w:b/>
          <w:sz w:val="32"/>
          <w:szCs w:val="32"/>
          <w:lang w:eastAsia="zh-CN"/>
        </w:rPr>
        <w:t>总承包人（乙方）：</w:t>
      </w:r>
      <w:r>
        <w:rPr>
          <w:rFonts w:hint="eastAsia" w:ascii="Times New Roman" w:eastAsia="仿宋_GB2312"/>
          <w:b/>
          <w:sz w:val="32"/>
          <w:szCs w:val="32"/>
          <w:u w:val="single"/>
          <w:lang w:eastAsia="zh-CN"/>
        </w:rPr>
        <w:t xml:space="preserve">                          </w:t>
      </w:r>
    </w:p>
    <w:p w14:paraId="4D85B540">
      <w:pPr>
        <w:spacing w:line="360" w:lineRule="auto"/>
        <w:ind w:firstLine="960" w:firstLineChars="300"/>
        <w:rPr>
          <w:rFonts w:ascii="Times New Roman" w:eastAsia="仿宋_GB2312"/>
          <w:b/>
          <w:sz w:val="32"/>
          <w:szCs w:val="32"/>
          <w:u w:val="single"/>
          <w:lang w:eastAsia="zh-CN"/>
        </w:rPr>
      </w:pPr>
      <w:bookmarkStart w:id="4" w:name="_Hlk85534012"/>
      <w:r>
        <w:rPr>
          <w:rFonts w:hint="eastAsia" w:ascii="Times New Roman" w:eastAsia="仿宋_GB2312"/>
          <w:b/>
          <w:sz w:val="32"/>
          <w:szCs w:val="32"/>
          <w:lang w:eastAsia="zh-CN"/>
        </w:rPr>
        <w:t>合同订立地点：</w:t>
      </w:r>
      <w:r>
        <w:rPr>
          <w:rFonts w:hint="eastAsia" w:ascii="Times New Roman" w:eastAsia="仿宋_GB2312"/>
          <w:b/>
          <w:sz w:val="32"/>
          <w:szCs w:val="32"/>
          <w:u w:val="single"/>
          <w:lang w:eastAsia="zh-CN"/>
        </w:rPr>
        <w:t>中国</w:t>
      </w:r>
      <w:r>
        <w:rPr>
          <w:rFonts w:ascii="Times New Roman" w:eastAsia="仿宋_GB2312"/>
          <w:b/>
          <w:sz w:val="32"/>
          <w:szCs w:val="32"/>
          <w:u w:val="single"/>
          <w:lang w:eastAsia="zh-CN"/>
        </w:rPr>
        <w:t>.</w:t>
      </w:r>
      <w:r>
        <w:rPr>
          <w:rFonts w:hint="eastAsia" w:ascii="Times New Roman" w:eastAsia="仿宋_GB2312"/>
          <w:b/>
          <w:sz w:val="32"/>
          <w:szCs w:val="32"/>
          <w:u w:val="single"/>
          <w:lang w:eastAsia="zh-CN"/>
        </w:rPr>
        <w:t>广州</w:t>
      </w:r>
    </w:p>
    <w:bookmarkEnd w:id="4"/>
    <w:p w14:paraId="1D87279A">
      <w:pPr>
        <w:ind w:firstLine="944" w:firstLineChars="295"/>
        <w:rPr>
          <w:rFonts w:eastAsiaTheme="minorEastAsia"/>
          <w:lang w:eastAsia="zh-CN"/>
        </w:rPr>
        <w:sectPr>
          <w:headerReference r:id="rId4" w:type="first"/>
          <w:headerReference r:id="rId3" w:type="default"/>
          <w:footerReference r:id="rId5" w:type="default"/>
          <w:pgSz w:w="11905" w:h="16838"/>
          <w:pgMar w:top="2098" w:right="1531" w:bottom="2098" w:left="1531" w:header="851" w:footer="454" w:gutter="0"/>
          <w:cols w:space="0" w:num="1"/>
          <w:docGrid w:type="linesAndChars" w:linePitch="332" w:charSpace="0"/>
        </w:sectPr>
      </w:pPr>
      <w:r>
        <w:rPr>
          <w:rFonts w:hint="eastAsia" w:ascii="Times New Roman" w:eastAsia="仿宋_GB2312"/>
          <w:b/>
          <w:sz w:val="32"/>
          <w:szCs w:val="32"/>
          <w:lang w:eastAsia="zh-CN"/>
        </w:rPr>
        <w:t>合同订立时间</w:t>
      </w:r>
      <w:r>
        <w:rPr>
          <w:rFonts w:hint="eastAsia" w:ascii="宋体" w:hAnsi="宋体" w:eastAsia="宋体" w:cs="宋体"/>
          <w:b/>
          <w:sz w:val="32"/>
          <w:szCs w:val="32"/>
          <w:lang w:eastAsia="zh-CN"/>
        </w:rPr>
        <w:t>：</w:t>
      </w:r>
    </w:p>
    <w:p w14:paraId="65070022">
      <w:pPr>
        <w:rPr>
          <w:rFonts w:ascii="Times New Roman"/>
        </w:rPr>
      </w:pPr>
    </w:p>
    <w:sdt>
      <w:sdtPr>
        <w:rPr>
          <w:rFonts w:ascii="Times New Roman" w:hAnsi="Times New Roman" w:eastAsia="MingLiU" w:cs="Times New Roman"/>
          <w:color w:val="auto"/>
          <w:sz w:val="24"/>
          <w:szCs w:val="20"/>
          <w:lang w:val="zh-CN" w:eastAsia="zh-TW"/>
        </w:rPr>
        <w:id w:val="1642465270"/>
        <w:docPartObj>
          <w:docPartGallery w:val="Table of Contents"/>
          <w:docPartUnique/>
        </w:docPartObj>
      </w:sdtPr>
      <w:sdtEndPr>
        <w:rPr>
          <w:rFonts w:hint="eastAsia" w:ascii="仿宋_GB2312" w:hAnsi="Times New Roman" w:eastAsia="仿宋_GB2312" w:cs="Times New Roman"/>
          <w:b/>
          <w:bCs/>
          <w:color w:val="auto"/>
          <w:sz w:val="24"/>
          <w:szCs w:val="20"/>
          <w:lang w:val="zh-CN" w:eastAsia="zh-TW"/>
        </w:rPr>
      </w:sdtEndPr>
      <w:sdtContent>
        <w:p w14:paraId="589CF33D">
          <w:pPr>
            <w:pStyle w:val="49"/>
            <w:jc w:val="center"/>
            <w:rPr>
              <w:rFonts w:ascii="Times New Roman" w:hAnsi="Times New Roman" w:cs="Times New Roman"/>
              <w:color w:val="000000" w:themeColor="text1"/>
              <w14:textFill>
                <w14:solidFill>
                  <w14:schemeClr w14:val="tx1"/>
                </w14:solidFill>
              </w14:textFill>
            </w:rPr>
          </w:pPr>
          <w:permStart w:id="0" w:edGrp="everyone"/>
          <w:r>
            <w:rPr>
              <w:rFonts w:ascii="Times New Roman" w:hAnsi="Times New Roman" w:cs="Times New Roman"/>
              <w:color w:val="000000" w:themeColor="text1"/>
              <w:lang w:val="zh-CN"/>
              <w14:textFill>
                <w14:solidFill>
                  <w14:schemeClr w14:val="tx1"/>
                </w14:solidFill>
              </w14:textFill>
            </w:rPr>
            <w:t>目录</w:t>
          </w:r>
        </w:p>
        <w:p w14:paraId="182C51AA">
          <w:pPr>
            <w:pStyle w:val="15"/>
            <w:tabs>
              <w:tab w:val="right" w:leader="dot" w:pos="8833"/>
            </w:tabs>
            <w:rPr>
              <w:rFonts w:eastAsiaTheme="minorEastAsia" w:cstheme="minorBidi"/>
              <w:b w:val="0"/>
              <w:bCs w:val="0"/>
              <w:caps w:val="0"/>
              <w:kern w:val="2"/>
              <w:sz w:val="21"/>
              <w:szCs w:val="22"/>
              <w:lang w:eastAsia="zh-CN"/>
            </w:rPr>
          </w:pPr>
          <w:r>
            <w:rPr>
              <w:rFonts w:hint="eastAsia" w:ascii="仿宋_GB2312" w:hAnsi="Times New Roman" w:eastAsia="仿宋_GB2312" w:cs="Times New Roman"/>
            </w:rPr>
            <w:fldChar w:fldCharType="begin"/>
          </w:r>
          <w:r>
            <w:rPr>
              <w:rFonts w:hint="eastAsia" w:ascii="仿宋_GB2312" w:hAnsi="Times New Roman" w:eastAsia="仿宋_GB2312" w:cs="Times New Roman"/>
            </w:rPr>
            <w:instrText xml:space="preserve"> TOC \o "1-3" \h \z \u </w:instrText>
          </w:r>
          <w:r>
            <w:rPr>
              <w:rFonts w:hint="eastAsia" w:ascii="仿宋_GB2312" w:hAnsi="Times New Roman" w:eastAsia="仿宋_GB2312" w:cs="Times New Roman"/>
            </w:rPr>
            <w:fldChar w:fldCharType="separate"/>
          </w:r>
          <w:r>
            <w:fldChar w:fldCharType="begin"/>
          </w:r>
          <w:r>
            <w:instrText xml:space="preserve"> HYPERLINK \l "_Toc144742714" </w:instrText>
          </w:r>
          <w:r>
            <w:fldChar w:fldCharType="separate"/>
          </w:r>
          <w:r>
            <w:rPr>
              <w:rStyle w:val="26"/>
              <w:rFonts w:hint="eastAsia" w:ascii="Times New Roman" w:eastAsia="黑体"/>
              <w:lang w:eastAsia="zh-CN"/>
            </w:rPr>
            <w:t>第一章合同协议书</w:t>
          </w:r>
          <w:r>
            <w:tab/>
          </w:r>
          <w:r>
            <w:fldChar w:fldCharType="begin"/>
          </w:r>
          <w:r>
            <w:instrText xml:space="preserve"> PAGEREF _Toc144742714 \h </w:instrText>
          </w:r>
          <w:r>
            <w:fldChar w:fldCharType="separate"/>
          </w:r>
          <w:r>
            <w:t>5</w:t>
          </w:r>
          <w:r>
            <w:fldChar w:fldCharType="end"/>
          </w:r>
          <w:r>
            <w:fldChar w:fldCharType="end"/>
          </w:r>
        </w:p>
        <w:p w14:paraId="7745ACD0">
          <w:pPr>
            <w:pStyle w:val="15"/>
            <w:tabs>
              <w:tab w:val="right" w:leader="dot" w:pos="8833"/>
            </w:tabs>
            <w:rPr>
              <w:rFonts w:eastAsiaTheme="minorEastAsia" w:cstheme="minorBidi"/>
              <w:b w:val="0"/>
              <w:bCs w:val="0"/>
              <w:caps w:val="0"/>
              <w:kern w:val="2"/>
              <w:sz w:val="21"/>
              <w:szCs w:val="22"/>
              <w:lang w:eastAsia="zh-CN"/>
            </w:rPr>
          </w:pPr>
          <w:r>
            <w:fldChar w:fldCharType="begin"/>
          </w:r>
          <w:r>
            <w:instrText xml:space="preserve"> HYPERLINK \l "_Toc144742715" </w:instrText>
          </w:r>
          <w:r>
            <w:fldChar w:fldCharType="separate"/>
          </w:r>
          <w:r>
            <w:rPr>
              <w:rStyle w:val="26"/>
              <w:rFonts w:hint="eastAsia" w:ascii="Times New Roman" w:eastAsia="黑体"/>
              <w:lang w:eastAsia="zh-CN"/>
            </w:rPr>
            <w:t>第二章通用合同条款</w:t>
          </w:r>
          <w:r>
            <w:tab/>
          </w:r>
          <w:r>
            <w:fldChar w:fldCharType="begin"/>
          </w:r>
          <w:r>
            <w:instrText xml:space="preserve"> PAGEREF _Toc144742715 \h </w:instrText>
          </w:r>
          <w:r>
            <w:fldChar w:fldCharType="separate"/>
          </w:r>
          <w:r>
            <w:t>12</w:t>
          </w:r>
          <w:r>
            <w:fldChar w:fldCharType="end"/>
          </w:r>
          <w:r>
            <w:fldChar w:fldCharType="end"/>
          </w:r>
        </w:p>
        <w:p w14:paraId="4703A165">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"_Toc144742716" </w:instrText>
          </w:r>
          <w:r>
            <w:fldChar w:fldCharType="separate"/>
          </w:r>
          <w:r>
            <w:rPr>
              <w:rStyle w:val="26"/>
              <w:rFonts w:ascii="Times New Roman"/>
              <w:lang w:eastAsia="zh-CN"/>
            </w:rPr>
            <w:t xml:space="preserve">1. </w:t>
          </w:r>
          <w:r>
            <w:rPr>
              <w:rStyle w:val="26"/>
              <w:rFonts w:hint="eastAsia" w:ascii="Times New Roman"/>
              <w:lang w:eastAsia="zh-CN"/>
            </w:rPr>
            <w:t>一般约定</w:t>
          </w:r>
          <w:r>
            <w:tab/>
          </w:r>
          <w:r>
            <w:fldChar w:fldCharType="begin"/>
          </w:r>
          <w:r>
            <w:instrText xml:space="preserve"> PAGEREF _Toc144742716 \h </w:instrText>
          </w:r>
          <w:r>
            <w:fldChar w:fldCharType="separate"/>
          </w:r>
          <w:r>
            <w:t>12</w:t>
          </w:r>
          <w:r>
            <w:fldChar w:fldCharType="end"/>
          </w:r>
          <w:r>
            <w:fldChar w:fldCharType="end"/>
          </w:r>
        </w:p>
        <w:p w14:paraId="71538704">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"_Toc144742717" </w:instrText>
          </w:r>
          <w:r>
            <w:fldChar w:fldCharType="separate"/>
          </w:r>
          <w:r>
            <w:rPr>
              <w:rStyle w:val="26"/>
              <w:rFonts w:ascii="Times New Roman"/>
              <w:lang w:eastAsia="zh-CN"/>
            </w:rPr>
            <w:t xml:space="preserve">2. </w:t>
          </w:r>
          <w:r>
            <w:rPr>
              <w:rStyle w:val="26"/>
              <w:rFonts w:hint="eastAsia" w:ascii="Times New Roman"/>
            </w:rPr>
            <w:t>发包人</w:t>
          </w:r>
          <w:r>
            <w:tab/>
          </w:r>
          <w:r>
            <w:fldChar w:fldCharType="begin"/>
          </w:r>
          <w:r>
            <w:instrText xml:space="preserve"> PAGEREF _Toc144742717 \h </w:instrText>
          </w:r>
          <w:r>
            <w:fldChar w:fldCharType="separate"/>
          </w:r>
          <w:r>
            <w:t>25</w:t>
          </w:r>
          <w:r>
            <w:fldChar w:fldCharType="end"/>
          </w:r>
          <w:r>
            <w:fldChar w:fldCharType="end"/>
          </w:r>
        </w:p>
        <w:p w14:paraId="2C6F90CD">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"_Toc144742718" </w:instrText>
          </w:r>
          <w:r>
            <w:fldChar w:fldCharType="separate"/>
          </w:r>
          <w:r>
            <w:rPr>
              <w:rStyle w:val="26"/>
              <w:rFonts w:ascii="Times New Roman"/>
              <w:lang w:eastAsia="zh-CN"/>
            </w:rPr>
            <w:t xml:space="preserve">3. </w:t>
          </w:r>
          <w:r>
            <w:rPr>
              <w:rStyle w:val="26"/>
              <w:rFonts w:hint="eastAsia" w:ascii="Times New Roman"/>
              <w:lang w:eastAsia="zh-CN"/>
            </w:rPr>
            <w:t>总承包人</w:t>
          </w:r>
          <w:r>
            <w:tab/>
          </w:r>
          <w:r>
            <w:fldChar w:fldCharType="begin"/>
          </w:r>
          <w:r>
            <w:instrText xml:space="preserve"> PAGEREF _Toc144742718 \h </w:instrText>
          </w:r>
          <w:r>
            <w:fldChar w:fldCharType="separate"/>
          </w:r>
          <w:r>
            <w:t>27</w:t>
          </w:r>
          <w:r>
            <w:fldChar w:fldCharType="end"/>
          </w:r>
          <w:r>
            <w:fldChar w:fldCharType="end"/>
          </w:r>
        </w:p>
        <w:p w14:paraId="4F12D520">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"_Toc144742719" </w:instrText>
          </w:r>
          <w:r>
            <w:fldChar w:fldCharType="separate"/>
          </w:r>
          <w:r>
            <w:rPr>
              <w:rStyle w:val="26"/>
              <w:rFonts w:ascii="Times New Roman"/>
              <w:lang w:eastAsia="zh-CN"/>
            </w:rPr>
            <w:t xml:space="preserve">4. </w:t>
          </w:r>
          <w:r>
            <w:rPr>
              <w:rStyle w:val="26"/>
              <w:rFonts w:hint="eastAsia" w:ascii="Times New Roman"/>
              <w:lang w:eastAsia="zh-CN"/>
            </w:rPr>
            <w:t>监理人</w:t>
          </w:r>
          <w:r>
            <w:tab/>
          </w:r>
          <w:r>
            <w:fldChar w:fldCharType="begin"/>
          </w:r>
          <w:r>
            <w:instrText xml:space="preserve"> PAGEREF _Toc144742719 \h </w:instrText>
          </w:r>
          <w:r>
            <w:fldChar w:fldCharType="separate"/>
          </w:r>
          <w:r>
            <w:t>45</w:t>
          </w:r>
          <w:r>
            <w:fldChar w:fldCharType="end"/>
          </w:r>
          <w:r>
            <w:fldChar w:fldCharType="end"/>
          </w:r>
        </w:p>
        <w:p w14:paraId="2086FF7F">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"_Toc144742720" </w:instrText>
          </w:r>
          <w:r>
            <w:fldChar w:fldCharType="separate"/>
          </w:r>
          <w:r>
            <w:rPr>
              <w:rStyle w:val="26"/>
              <w:rFonts w:ascii="Times New Roman"/>
              <w:lang w:eastAsia="zh-CN"/>
            </w:rPr>
            <w:t xml:space="preserve">5. </w:t>
          </w:r>
          <w:r>
            <w:rPr>
              <w:rStyle w:val="26"/>
              <w:rFonts w:hint="eastAsia" w:ascii="Times New Roman"/>
              <w:lang w:eastAsia="zh-CN"/>
            </w:rPr>
            <w:t>工程质量</w:t>
          </w:r>
          <w:r>
            <w:tab/>
          </w:r>
          <w:r>
            <w:fldChar w:fldCharType="begin"/>
          </w:r>
          <w:r>
            <w:instrText xml:space="preserve"> PAGEREF _Toc144742720 \h </w:instrText>
          </w:r>
          <w:r>
            <w:fldChar w:fldCharType="separate"/>
          </w:r>
          <w:r>
            <w:t>46</w:t>
          </w:r>
          <w:r>
            <w:fldChar w:fldCharType="end"/>
          </w:r>
          <w:r>
            <w:fldChar w:fldCharType="end"/>
          </w:r>
        </w:p>
        <w:p w14:paraId="760480ED">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"_Toc144742721" </w:instrText>
          </w:r>
          <w:r>
            <w:fldChar w:fldCharType="separate"/>
          </w:r>
          <w:r>
            <w:rPr>
              <w:rStyle w:val="26"/>
              <w:rFonts w:ascii="Times New Roman"/>
              <w:lang w:eastAsia="zh-CN"/>
            </w:rPr>
            <w:t xml:space="preserve">6. </w:t>
          </w:r>
          <w:r>
            <w:rPr>
              <w:rStyle w:val="26"/>
              <w:rFonts w:hint="eastAsia" w:ascii="Times New Roman"/>
              <w:lang w:eastAsia="zh-CN"/>
            </w:rPr>
            <w:t>安全文明施工与环境保护</w:t>
          </w:r>
          <w:r>
            <w:tab/>
          </w:r>
          <w:r>
            <w:fldChar w:fldCharType="begin"/>
          </w:r>
          <w:r>
            <w:instrText xml:space="preserve"> PAGEREF _Toc144742721 \h </w:instrText>
          </w:r>
          <w:r>
            <w:fldChar w:fldCharType="separate"/>
          </w:r>
          <w:r>
            <w:t>50</w:t>
          </w:r>
          <w:r>
            <w:fldChar w:fldCharType="end"/>
          </w:r>
          <w:r>
            <w:fldChar w:fldCharType="end"/>
          </w:r>
        </w:p>
        <w:p w14:paraId="25D3037A">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"_Toc144742722" </w:instrText>
          </w:r>
          <w:r>
            <w:fldChar w:fldCharType="separate"/>
          </w:r>
          <w:r>
            <w:rPr>
              <w:rStyle w:val="26"/>
              <w:rFonts w:ascii="Times New Roman"/>
              <w:lang w:eastAsia="zh-CN"/>
            </w:rPr>
            <w:t xml:space="preserve">7. </w:t>
          </w:r>
          <w:r>
            <w:rPr>
              <w:rStyle w:val="26"/>
              <w:rFonts w:hint="eastAsia" w:ascii="Times New Roman"/>
              <w:lang w:eastAsia="zh-CN"/>
            </w:rPr>
            <w:t>工期和进度</w:t>
          </w:r>
          <w:r>
            <w:tab/>
          </w:r>
          <w:r>
            <w:fldChar w:fldCharType="begin"/>
          </w:r>
          <w:r>
            <w:instrText xml:space="preserve"> PAGEREF _Toc144742722 \h </w:instrText>
          </w:r>
          <w:r>
            <w:fldChar w:fldCharType="separate"/>
          </w:r>
          <w:r>
            <w:t>55</w:t>
          </w:r>
          <w:r>
            <w:fldChar w:fldCharType="end"/>
          </w:r>
          <w:r>
            <w:fldChar w:fldCharType="end"/>
          </w:r>
        </w:p>
        <w:p w14:paraId="2B393112">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"_Toc144742723" </w:instrText>
          </w:r>
          <w:r>
            <w:fldChar w:fldCharType="separate"/>
          </w:r>
          <w:r>
            <w:rPr>
              <w:rStyle w:val="26"/>
              <w:rFonts w:ascii="Times New Roman"/>
              <w:lang w:eastAsia="zh-CN"/>
            </w:rPr>
            <w:t xml:space="preserve">8. </w:t>
          </w:r>
          <w:r>
            <w:rPr>
              <w:rStyle w:val="26"/>
              <w:rFonts w:hint="eastAsia" w:ascii="Times New Roman"/>
              <w:lang w:eastAsia="zh-CN"/>
            </w:rPr>
            <w:t>材料与设备</w:t>
          </w:r>
          <w:r>
            <w:tab/>
          </w:r>
          <w:r>
            <w:fldChar w:fldCharType="begin"/>
          </w:r>
          <w:r>
            <w:instrText xml:space="preserve"> PAGEREF _Toc144742723 \h </w:instrText>
          </w:r>
          <w:r>
            <w:fldChar w:fldCharType="separate"/>
          </w:r>
          <w:r>
            <w:t>62</w:t>
          </w:r>
          <w:r>
            <w:fldChar w:fldCharType="end"/>
          </w:r>
          <w:r>
            <w:fldChar w:fldCharType="end"/>
          </w:r>
        </w:p>
        <w:p w14:paraId="4C1C3988">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"_Toc144742724" </w:instrText>
          </w:r>
          <w:r>
            <w:fldChar w:fldCharType="separate"/>
          </w:r>
          <w:r>
            <w:rPr>
              <w:rStyle w:val="26"/>
              <w:rFonts w:ascii="Times New Roman"/>
              <w:lang w:eastAsia="zh-CN"/>
            </w:rPr>
            <w:t xml:space="preserve">9. </w:t>
          </w:r>
          <w:r>
            <w:rPr>
              <w:rStyle w:val="26"/>
              <w:rFonts w:hint="eastAsia" w:ascii="Times New Roman"/>
              <w:lang w:eastAsia="zh-CN"/>
            </w:rPr>
            <w:t>试验与检验</w:t>
          </w:r>
          <w:r>
            <w:tab/>
          </w:r>
          <w:r>
            <w:fldChar w:fldCharType="begin"/>
          </w:r>
          <w:r>
            <w:instrText xml:space="preserve"> PAGEREF _Toc144742724 \h </w:instrText>
          </w:r>
          <w:r>
            <w:fldChar w:fldCharType="separate"/>
          </w:r>
          <w:r>
            <w:t>71</w:t>
          </w:r>
          <w:r>
            <w:fldChar w:fldCharType="end"/>
          </w:r>
          <w:r>
            <w:fldChar w:fldCharType="end"/>
          </w:r>
        </w:p>
        <w:p w14:paraId="71D806DF">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"_Toc144742725" </w:instrText>
          </w:r>
          <w:r>
            <w:fldChar w:fldCharType="separate"/>
          </w:r>
          <w:r>
            <w:rPr>
              <w:rStyle w:val="26"/>
              <w:rFonts w:ascii="Times New Roman"/>
              <w:lang w:eastAsia="zh-CN"/>
            </w:rPr>
            <w:t xml:space="preserve">10. </w:t>
          </w:r>
          <w:r>
            <w:rPr>
              <w:rStyle w:val="26"/>
              <w:rFonts w:hint="eastAsia" w:ascii="Times New Roman"/>
              <w:lang w:eastAsia="zh-CN"/>
            </w:rPr>
            <w:t>变更</w:t>
          </w:r>
          <w:r>
            <w:tab/>
          </w:r>
          <w:r>
            <w:fldChar w:fldCharType="begin"/>
          </w:r>
          <w:r>
            <w:instrText xml:space="preserve"> PAGEREF _Toc144742725 \h </w:instrText>
          </w:r>
          <w:r>
            <w:fldChar w:fldCharType="separate"/>
          </w:r>
          <w:r>
            <w:t>73</w:t>
          </w:r>
          <w:r>
            <w:fldChar w:fldCharType="end"/>
          </w:r>
          <w:r>
            <w:fldChar w:fldCharType="end"/>
          </w:r>
        </w:p>
        <w:p w14:paraId="078C8B82">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"_Toc144742726" </w:instrText>
          </w:r>
          <w:r>
            <w:fldChar w:fldCharType="separate"/>
          </w:r>
          <w:r>
            <w:rPr>
              <w:rStyle w:val="26"/>
              <w:rFonts w:ascii="Times New Roman"/>
              <w:lang w:eastAsia="zh-CN"/>
            </w:rPr>
            <w:t xml:space="preserve">11. </w:t>
          </w:r>
          <w:r>
            <w:rPr>
              <w:rStyle w:val="26"/>
              <w:rFonts w:hint="eastAsia" w:ascii="Times New Roman"/>
              <w:lang w:eastAsia="zh-CN"/>
            </w:rPr>
            <w:t>价格调整</w:t>
          </w:r>
          <w:r>
            <w:tab/>
          </w:r>
          <w:r>
            <w:fldChar w:fldCharType="begin"/>
          </w:r>
          <w:r>
            <w:instrText xml:space="preserve"> PAGEREF _Toc144742726 \h </w:instrText>
          </w:r>
          <w:r>
            <w:fldChar w:fldCharType="separate"/>
          </w:r>
          <w:r>
            <w:t>79</w:t>
          </w:r>
          <w:r>
            <w:fldChar w:fldCharType="end"/>
          </w:r>
          <w:r>
            <w:fldChar w:fldCharType="end"/>
          </w:r>
        </w:p>
        <w:p w14:paraId="35D09C52">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"_Toc144742727" </w:instrText>
          </w:r>
          <w:r>
            <w:fldChar w:fldCharType="separate"/>
          </w:r>
          <w:r>
            <w:rPr>
              <w:rStyle w:val="26"/>
              <w:rFonts w:ascii="Times New Roman"/>
              <w:lang w:eastAsia="zh-CN"/>
            </w:rPr>
            <w:t xml:space="preserve">12. </w:t>
          </w:r>
          <w:r>
            <w:rPr>
              <w:rStyle w:val="26"/>
              <w:rFonts w:hint="eastAsia" w:ascii="Times New Roman"/>
              <w:lang w:eastAsia="zh-CN"/>
            </w:rPr>
            <w:t>合同价款、计量与支付</w:t>
          </w:r>
          <w:r>
            <w:tab/>
          </w:r>
          <w:r>
            <w:fldChar w:fldCharType="begin"/>
          </w:r>
          <w:r>
            <w:instrText xml:space="preserve"> PAGEREF _Toc144742727 \h </w:instrText>
          </w:r>
          <w:r>
            <w:fldChar w:fldCharType="separate"/>
          </w:r>
          <w:r>
            <w:t>80</w:t>
          </w:r>
          <w:r>
            <w:fldChar w:fldCharType="end"/>
          </w:r>
          <w:r>
            <w:fldChar w:fldCharType="end"/>
          </w:r>
        </w:p>
        <w:p w14:paraId="1F09C212">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"_Toc144742728" </w:instrText>
          </w:r>
          <w:r>
            <w:fldChar w:fldCharType="separate"/>
          </w:r>
          <w:r>
            <w:rPr>
              <w:rStyle w:val="26"/>
              <w:rFonts w:ascii="Times New Roman"/>
              <w:lang w:eastAsia="zh-CN"/>
            </w:rPr>
            <w:t xml:space="preserve">13. </w:t>
          </w:r>
          <w:r>
            <w:rPr>
              <w:rStyle w:val="26"/>
              <w:rFonts w:hint="eastAsia" w:ascii="Times New Roman"/>
              <w:lang w:eastAsia="zh-CN"/>
            </w:rPr>
            <w:t>验收</w:t>
          </w:r>
          <w:r>
            <w:tab/>
          </w:r>
          <w:r>
            <w:fldChar w:fldCharType="begin"/>
          </w:r>
          <w:r>
            <w:instrText xml:space="preserve"> PAGEREF _Toc144742728 \h </w:instrText>
          </w:r>
          <w:r>
            <w:fldChar w:fldCharType="separate"/>
          </w:r>
          <w:r>
            <w:t>83</w:t>
          </w:r>
          <w:r>
            <w:fldChar w:fldCharType="end"/>
          </w:r>
          <w:r>
            <w:fldChar w:fldCharType="end"/>
          </w:r>
        </w:p>
        <w:p w14:paraId="5466DC91">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"_Toc144742729" </w:instrText>
          </w:r>
          <w:r>
            <w:fldChar w:fldCharType="separate"/>
          </w:r>
          <w:r>
            <w:rPr>
              <w:rStyle w:val="26"/>
              <w:rFonts w:ascii="Times New Roman"/>
              <w:lang w:eastAsia="zh-CN"/>
            </w:rPr>
            <w:t xml:space="preserve">14. </w:t>
          </w:r>
          <w:r>
            <w:rPr>
              <w:rStyle w:val="26"/>
              <w:rFonts w:hint="eastAsia" w:ascii="Times New Roman"/>
              <w:lang w:eastAsia="zh-CN"/>
            </w:rPr>
            <w:t>竣工结算</w:t>
          </w:r>
          <w:r>
            <w:tab/>
          </w:r>
          <w:r>
            <w:fldChar w:fldCharType="begin"/>
          </w:r>
          <w:r>
            <w:instrText xml:space="preserve"> PAGEREF _Toc144742729 \h </w:instrText>
          </w:r>
          <w:r>
            <w:fldChar w:fldCharType="separate"/>
          </w:r>
          <w:r>
            <w:t>87</w:t>
          </w:r>
          <w:r>
            <w:fldChar w:fldCharType="end"/>
          </w:r>
          <w:r>
            <w:fldChar w:fldCharType="end"/>
          </w:r>
        </w:p>
        <w:p w14:paraId="09289114">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"_Toc144742730" </w:instrText>
          </w:r>
          <w:r>
            <w:fldChar w:fldCharType="separate"/>
          </w:r>
          <w:r>
            <w:rPr>
              <w:rStyle w:val="26"/>
              <w:rFonts w:ascii="Times New Roman"/>
              <w:lang w:eastAsia="zh-CN"/>
            </w:rPr>
            <w:t xml:space="preserve">15. </w:t>
          </w:r>
          <w:r>
            <w:rPr>
              <w:rStyle w:val="26"/>
              <w:rFonts w:hint="eastAsia" w:ascii="Times New Roman"/>
              <w:lang w:eastAsia="zh-CN"/>
            </w:rPr>
            <w:t>保修</w:t>
          </w:r>
          <w:r>
            <w:tab/>
          </w:r>
          <w:r>
            <w:fldChar w:fldCharType="begin"/>
          </w:r>
          <w:r>
            <w:instrText xml:space="preserve"> PAGEREF _Toc144742730 \h </w:instrText>
          </w:r>
          <w:r>
            <w:fldChar w:fldCharType="separate"/>
          </w:r>
          <w:r>
            <w:t>89</w:t>
          </w:r>
          <w:r>
            <w:fldChar w:fldCharType="end"/>
          </w:r>
          <w:r>
            <w:fldChar w:fldCharType="end"/>
          </w:r>
        </w:p>
        <w:p w14:paraId="74525D0B">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"_Toc144742731" </w:instrText>
          </w:r>
          <w:r>
            <w:fldChar w:fldCharType="separate"/>
          </w:r>
          <w:r>
            <w:rPr>
              <w:rStyle w:val="26"/>
              <w:rFonts w:ascii="Times New Roman"/>
              <w:lang w:eastAsia="zh-CN"/>
            </w:rPr>
            <w:t xml:space="preserve">16. </w:t>
          </w:r>
          <w:r>
            <w:rPr>
              <w:rStyle w:val="26"/>
              <w:rFonts w:hint="eastAsia" w:ascii="Times New Roman"/>
              <w:lang w:eastAsia="zh-CN"/>
            </w:rPr>
            <w:t>违约</w:t>
          </w:r>
          <w:r>
            <w:tab/>
          </w:r>
          <w:r>
            <w:fldChar w:fldCharType="begin"/>
          </w:r>
          <w:r>
            <w:instrText xml:space="preserve"> PAGEREF _Toc144742731 \h </w:instrText>
          </w:r>
          <w:r>
            <w:fldChar w:fldCharType="separate"/>
          </w:r>
          <w:r>
            <w:t>93</w:t>
          </w:r>
          <w:r>
            <w:fldChar w:fldCharType="end"/>
          </w:r>
          <w:r>
            <w:fldChar w:fldCharType="end"/>
          </w:r>
        </w:p>
        <w:p w14:paraId="16C8525B">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"_Toc144742732" </w:instrText>
          </w:r>
          <w:r>
            <w:fldChar w:fldCharType="separate"/>
          </w:r>
          <w:r>
            <w:rPr>
              <w:rStyle w:val="26"/>
              <w:rFonts w:ascii="Times New Roman"/>
              <w:lang w:eastAsia="zh-CN"/>
            </w:rPr>
            <w:t xml:space="preserve">17. </w:t>
          </w:r>
          <w:r>
            <w:rPr>
              <w:rStyle w:val="26"/>
              <w:rFonts w:hint="eastAsia" w:ascii="Times New Roman"/>
              <w:lang w:eastAsia="zh-CN"/>
            </w:rPr>
            <w:t>不可抗力</w:t>
          </w:r>
          <w:r>
            <w:tab/>
          </w:r>
          <w:r>
            <w:fldChar w:fldCharType="begin"/>
          </w:r>
          <w:r>
            <w:instrText xml:space="preserve"> PAGEREF _Toc144742732 \h </w:instrText>
          </w:r>
          <w:r>
            <w:fldChar w:fldCharType="separate"/>
          </w:r>
          <w:r>
            <w:t>98</w:t>
          </w:r>
          <w:r>
            <w:fldChar w:fldCharType="end"/>
          </w:r>
          <w:r>
            <w:fldChar w:fldCharType="end"/>
          </w:r>
        </w:p>
        <w:p w14:paraId="1E0C1B24">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"_Toc144742733" </w:instrText>
          </w:r>
          <w:r>
            <w:fldChar w:fldCharType="separate"/>
          </w:r>
          <w:r>
            <w:rPr>
              <w:rStyle w:val="26"/>
              <w:rFonts w:ascii="Times New Roman"/>
              <w:lang w:eastAsia="zh-CN"/>
            </w:rPr>
            <w:t xml:space="preserve">18. </w:t>
          </w:r>
          <w:r>
            <w:rPr>
              <w:rStyle w:val="26"/>
              <w:rFonts w:hint="eastAsia" w:ascii="Times New Roman"/>
              <w:lang w:eastAsia="zh-CN"/>
            </w:rPr>
            <w:t>保险</w:t>
          </w:r>
          <w:r>
            <w:tab/>
          </w:r>
          <w:r>
            <w:fldChar w:fldCharType="begin"/>
          </w:r>
          <w:r>
            <w:instrText xml:space="preserve"> PAGEREF _Toc144742733 \h </w:instrText>
          </w:r>
          <w:r>
            <w:fldChar w:fldCharType="separate"/>
          </w:r>
          <w:r>
            <w:t>101</w:t>
          </w:r>
          <w:r>
            <w:fldChar w:fldCharType="end"/>
          </w:r>
          <w:r>
            <w:fldChar w:fldCharType="end"/>
          </w:r>
        </w:p>
        <w:p w14:paraId="517A02C1">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"_Toc144742734" </w:instrText>
          </w:r>
          <w:r>
            <w:fldChar w:fldCharType="separate"/>
          </w:r>
          <w:r>
            <w:rPr>
              <w:rStyle w:val="26"/>
              <w:rFonts w:ascii="Times New Roman"/>
              <w:lang w:eastAsia="zh-CN"/>
            </w:rPr>
            <w:t xml:space="preserve">19. </w:t>
          </w:r>
          <w:r>
            <w:rPr>
              <w:rStyle w:val="26"/>
              <w:rFonts w:hint="eastAsia" w:ascii="Times New Roman"/>
              <w:lang w:eastAsia="zh-CN"/>
            </w:rPr>
            <w:t>索赔</w:t>
          </w:r>
          <w:r>
            <w:tab/>
          </w:r>
          <w:r>
            <w:fldChar w:fldCharType="begin"/>
          </w:r>
          <w:r>
            <w:instrText xml:space="preserve"> PAGEREF _Toc144742734 \h </w:instrText>
          </w:r>
          <w:r>
            <w:fldChar w:fldCharType="separate"/>
          </w:r>
          <w:r>
            <w:t>103</w:t>
          </w:r>
          <w:r>
            <w:fldChar w:fldCharType="end"/>
          </w:r>
          <w:r>
            <w:fldChar w:fldCharType="end"/>
          </w:r>
        </w:p>
        <w:p w14:paraId="50C87550">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"_Toc144742735" </w:instrText>
          </w:r>
          <w:r>
            <w:fldChar w:fldCharType="separate"/>
          </w:r>
          <w:r>
            <w:rPr>
              <w:rStyle w:val="26"/>
              <w:rFonts w:ascii="Times New Roman"/>
              <w:lang w:eastAsia="zh-CN"/>
            </w:rPr>
            <w:t xml:space="preserve">20. </w:t>
          </w:r>
          <w:r>
            <w:rPr>
              <w:rStyle w:val="26"/>
              <w:rFonts w:hint="eastAsia" w:ascii="Times New Roman"/>
              <w:lang w:eastAsia="zh-CN"/>
            </w:rPr>
            <w:t>争议解决</w:t>
          </w:r>
          <w:r>
            <w:tab/>
          </w:r>
          <w:r>
            <w:fldChar w:fldCharType="begin"/>
          </w:r>
          <w:r>
            <w:instrText xml:space="preserve"> PAGEREF _Toc144742735 \h </w:instrText>
          </w:r>
          <w:r>
            <w:fldChar w:fldCharType="separate"/>
          </w:r>
          <w:r>
            <w:t>105</w:t>
          </w:r>
          <w:r>
            <w:fldChar w:fldCharType="end"/>
          </w:r>
          <w:r>
            <w:fldChar w:fldCharType="end"/>
          </w:r>
        </w:p>
        <w:p w14:paraId="354957AD">
          <w:pPr>
            <w:pStyle w:val="15"/>
            <w:tabs>
              <w:tab w:val="right" w:leader="dot" w:pos="8833"/>
            </w:tabs>
            <w:rPr>
              <w:rFonts w:eastAsiaTheme="minorEastAsia" w:cstheme="minorBidi"/>
              <w:b w:val="0"/>
              <w:bCs w:val="0"/>
              <w:caps w:val="0"/>
              <w:kern w:val="2"/>
              <w:sz w:val="21"/>
              <w:szCs w:val="22"/>
              <w:lang w:eastAsia="zh-CN"/>
            </w:rPr>
          </w:pPr>
          <w:r>
            <w:fldChar w:fldCharType="begin"/>
          </w:r>
          <w:r>
            <w:instrText xml:space="preserve"> HYPERLINK \l "_Toc144742736" </w:instrText>
          </w:r>
          <w:r>
            <w:fldChar w:fldCharType="separate"/>
          </w:r>
          <w:r>
            <w:rPr>
              <w:rStyle w:val="26"/>
              <w:rFonts w:hint="eastAsia" w:ascii="Times New Roman" w:eastAsia="黑体"/>
              <w:lang w:eastAsia="zh-CN"/>
            </w:rPr>
            <w:t>第三章专用合同条款</w:t>
          </w:r>
          <w:r>
            <w:tab/>
          </w:r>
          <w:r>
            <w:fldChar w:fldCharType="begin"/>
          </w:r>
          <w:r>
            <w:instrText xml:space="preserve"> PAGEREF _Toc144742736 \h </w:instrText>
          </w:r>
          <w:r>
            <w:fldChar w:fldCharType="separate"/>
          </w:r>
          <w:r>
            <w:t>107</w:t>
          </w:r>
          <w:r>
            <w:fldChar w:fldCharType="end"/>
          </w:r>
          <w:r>
            <w:fldChar w:fldCharType="end"/>
          </w:r>
        </w:p>
        <w:p w14:paraId="59B56AFA">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"_Toc144742737" </w:instrText>
          </w:r>
          <w:r>
            <w:fldChar w:fldCharType="separate"/>
          </w:r>
          <w:r>
            <w:rPr>
              <w:rStyle w:val="26"/>
              <w:rFonts w:ascii="Times New Roman"/>
              <w:lang w:eastAsia="zh-CN"/>
            </w:rPr>
            <w:t xml:space="preserve">1. </w:t>
          </w:r>
          <w:r>
            <w:rPr>
              <w:rStyle w:val="26"/>
              <w:rFonts w:hint="eastAsia" w:ascii="Times New Roman"/>
              <w:lang w:eastAsia="zh-CN"/>
            </w:rPr>
            <w:t>一般约定</w:t>
          </w:r>
          <w:r>
            <w:tab/>
          </w:r>
          <w:r>
            <w:fldChar w:fldCharType="begin"/>
          </w:r>
          <w:r>
            <w:instrText xml:space="preserve"> PAGEREF _Toc144742737 \h </w:instrText>
          </w:r>
          <w:r>
            <w:fldChar w:fldCharType="separate"/>
          </w:r>
          <w:r>
            <w:t>107</w:t>
          </w:r>
          <w:r>
            <w:fldChar w:fldCharType="end"/>
          </w:r>
          <w:r>
            <w:fldChar w:fldCharType="end"/>
          </w:r>
        </w:p>
        <w:p w14:paraId="1FD5DE93">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"_Toc144742738" </w:instrText>
          </w:r>
          <w:r>
            <w:fldChar w:fldCharType="separate"/>
          </w:r>
          <w:r>
            <w:rPr>
              <w:rStyle w:val="26"/>
              <w:rFonts w:ascii="Times New Roman"/>
              <w:lang w:eastAsia="zh-CN"/>
            </w:rPr>
            <w:t xml:space="preserve">2. </w:t>
          </w:r>
          <w:r>
            <w:rPr>
              <w:rStyle w:val="26"/>
              <w:rFonts w:hint="eastAsia" w:ascii="Times New Roman"/>
              <w:lang w:eastAsia="zh-CN"/>
            </w:rPr>
            <w:t>发包人</w:t>
          </w:r>
          <w:r>
            <w:tab/>
          </w:r>
          <w:r>
            <w:fldChar w:fldCharType="begin"/>
          </w:r>
          <w:r>
            <w:instrText xml:space="preserve"> PAGEREF _Toc144742738 \h </w:instrText>
          </w:r>
          <w:r>
            <w:fldChar w:fldCharType="separate"/>
          </w:r>
          <w:r>
            <w:t>109</w:t>
          </w:r>
          <w:r>
            <w:fldChar w:fldCharType="end"/>
          </w:r>
          <w:r>
            <w:fldChar w:fldCharType="end"/>
          </w:r>
        </w:p>
        <w:p w14:paraId="6AC87A80">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"_Toc144742739" </w:instrText>
          </w:r>
          <w:r>
            <w:fldChar w:fldCharType="separate"/>
          </w:r>
          <w:r>
            <w:rPr>
              <w:rStyle w:val="26"/>
              <w:rFonts w:ascii="Times New Roman"/>
              <w:lang w:eastAsia="zh-CN"/>
            </w:rPr>
            <w:t xml:space="preserve">3. </w:t>
          </w:r>
          <w:r>
            <w:rPr>
              <w:rStyle w:val="26"/>
              <w:rFonts w:hint="eastAsia" w:ascii="Times New Roman"/>
              <w:lang w:eastAsia="zh-CN"/>
            </w:rPr>
            <w:t>总承包人</w:t>
          </w:r>
          <w:r>
            <w:tab/>
          </w:r>
          <w:r>
            <w:fldChar w:fldCharType="begin"/>
          </w:r>
          <w:r>
            <w:instrText xml:space="preserve"> PAGEREF _Toc144742739 \h </w:instrText>
          </w:r>
          <w:r>
            <w:fldChar w:fldCharType="separate"/>
          </w:r>
          <w:r>
            <w:t>109</w:t>
          </w:r>
          <w:r>
            <w:fldChar w:fldCharType="end"/>
          </w:r>
          <w:r>
            <w:fldChar w:fldCharType="end"/>
          </w:r>
        </w:p>
        <w:p w14:paraId="28107D2F">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"_Toc144742740" </w:instrText>
          </w:r>
          <w:r>
            <w:fldChar w:fldCharType="separate"/>
          </w:r>
          <w:r>
            <w:rPr>
              <w:rStyle w:val="26"/>
              <w:rFonts w:ascii="Times New Roman"/>
              <w:lang w:eastAsia="zh-CN"/>
            </w:rPr>
            <w:t xml:space="preserve">4. </w:t>
          </w:r>
          <w:r>
            <w:rPr>
              <w:rStyle w:val="26"/>
              <w:rFonts w:hint="eastAsia" w:ascii="Times New Roman"/>
              <w:lang w:eastAsia="zh-CN"/>
            </w:rPr>
            <w:t>监理人</w:t>
          </w:r>
          <w:r>
            <w:tab/>
          </w:r>
          <w:r>
            <w:fldChar w:fldCharType="begin"/>
          </w:r>
          <w:r>
            <w:instrText xml:space="preserve"> PAGEREF _Toc144742740 \h </w:instrText>
          </w:r>
          <w:r>
            <w:fldChar w:fldCharType="separate"/>
          </w:r>
          <w:r>
            <w:t>128</w:t>
          </w:r>
          <w:r>
            <w:fldChar w:fldCharType="end"/>
          </w:r>
          <w:r>
            <w:fldChar w:fldCharType="end"/>
          </w:r>
        </w:p>
        <w:p w14:paraId="1B9F3125">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"_Toc144742741" </w:instrText>
          </w:r>
          <w:r>
            <w:fldChar w:fldCharType="separate"/>
          </w:r>
          <w:r>
            <w:rPr>
              <w:rStyle w:val="26"/>
              <w:rFonts w:ascii="Times New Roman"/>
              <w:lang w:eastAsia="zh-CN"/>
            </w:rPr>
            <w:t xml:space="preserve">5. </w:t>
          </w:r>
          <w:r>
            <w:rPr>
              <w:rStyle w:val="26"/>
              <w:rFonts w:hint="eastAsia" w:ascii="Times New Roman"/>
              <w:lang w:eastAsia="zh-CN"/>
            </w:rPr>
            <w:t>工期和进度</w:t>
          </w:r>
          <w:r>
            <w:tab/>
          </w:r>
          <w:r>
            <w:fldChar w:fldCharType="begin"/>
          </w:r>
          <w:r>
            <w:instrText xml:space="preserve"> PAGEREF _Toc144742741 \h </w:instrText>
          </w:r>
          <w:r>
            <w:fldChar w:fldCharType="separate"/>
          </w:r>
          <w:r>
            <w:t>129</w:t>
          </w:r>
          <w:r>
            <w:fldChar w:fldCharType="end"/>
          </w:r>
          <w:r>
            <w:fldChar w:fldCharType="end"/>
          </w:r>
        </w:p>
        <w:p w14:paraId="6C65A595">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"_Toc144742743" </w:instrText>
          </w:r>
          <w:r>
            <w:fldChar w:fldCharType="separate"/>
          </w:r>
          <w:r>
            <w:rPr>
              <w:rStyle w:val="26"/>
              <w:rFonts w:ascii="Times New Roman"/>
              <w:lang w:eastAsia="zh-CN"/>
            </w:rPr>
            <w:t xml:space="preserve">6. </w:t>
          </w:r>
          <w:r>
            <w:rPr>
              <w:rStyle w:val="26"/>
              <w:rFonts w:hint="eastAsia" w:ascii="Times New Roman"/>
              <w:lang w:eastAsia="zh-CN"/>
            </w:rPr>
            <w:t>材料与设备</w:t>
          </w:r>
          <w:r>
            <w:tab/>
          </w:r>
          <w:r>
            <w:fldChar w:fldCharType="begin"/>
          </w:r>
          <w:r>
            <w:instrText xml:space="preserve"> PAGEREF _Toc144742743 \h </w:instrText>
          </w:r>
          <w:r>
            <w:fldChar w:fldCharType="separate"/>
          </w:r>
          <w:r>
            <w:t>130</w:t>
          </w:r>
          <w:r>
            <w:fldChar w:fldCharType="end"/>
          </w:r>
          <w:r>
            <w:fldChar w:fldCharType="end"/>
          </w:r>
        </w:p>
        <w:p w14:paraId="128E4350">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"_Toc144742744" </w:instrText>
          </w:r>
          <w:r>
            <w:fldChar w:fldCharType="separate"/>
          </w:r>
          <w:r>
            <w:rPr>
              <w:rStyle w:val="26"/>
              <w:rFonts w:ascii="Times New Roman"/>
              <w:lang w:eastAsia="zh-CN"/>
            </w:rPr>
            <w:t xml:space="preserve">7. </w:t>
          </w:r>
          <w:r>
            <w:rPr>
              <w:rStyle w:val="26"/>
              <w:rFonts w:hint="eastAsia" w:ascii="Times New Roman"/>
              <w:lang w:eastAsia="zh-CN"/>
            </w:rPr>
            <w:t>变更</w:t>
          </w:r>
          <w:r>
            <w:tab/>
          </w:r>
          <w:r>
            <w:fldChar w:fldCharType="begin"/>
          </w:r>
          <w:r>
            <w:instrText xml:space="preserve"> PAGEREF _Toc144742744 \h </w:instrText>
          </w:r>
          <w:r>
            <w:fldChar w:fldCharType="separate"/>
          </w:r>
          <w:r>
            <w:t>132</w:t>
          </w:r>
          <w:r>
            <w:fldChar w:fldCharType="end"/>
          </w:r>
          <w:r>
            <w:fldChar w:fldCharType="end"/>
          </w:r>
        </w:p>
        <w:p w14:paraId="76B9030A">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"_Toc144742745" </w:instrText>
          </w:r>
          <w:r>
            <w:fldChar w:fldCharType="separate"/>
          </w:r>
          <w:r>
            <w:rPr>
              <w:rStyle w:val="26"/>
              <w:rFonts w:ascii="Times New Roman"/>
              <w:lang w:eastAsia="zh-CN"/>
            </w:rPr>
            <w:t xml:space="preserve">8. </w:t>
          </w:r>
          <w:r>
            <w:rPr>
              <w:rStyle w:val="26"/>
              <w:rFonts w:hint="eastAsia" w:ascii="Times New Roman"/>
              <w:lang w:eastAsia="zh-CN"/>
            </w:rPr>
            <w:t>价格调整</w:t>
          </w:r>
          <w:r>
            <w:tab/>
          </w:r>
          <w:r>
            <w:fldChar w:fldCharType="begin"/>
          </w:r>
          <w:r>
            <w:instrText xml:space="preserve"> PAGEREF _Toc144742745 \h </w:instrText>
          </w:r>
          <w:r>
            <w:fldChar w:fldCharType="separate"/>
          </w:r>
          <w:r>
            <w:t>133</w:t>
          </w:r>
          <w:r>
            <w:fldChar w:fldCharType="end"/>
          </w:r>
          <w:r>
            <w:fldChar w:fldCharType="end"/>
          </w:r>
        </w:p>
        <w:p w14:paraId="32B69291">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"_Toc144742746" </w:instrText>
          </w:r>
          <w:r>
            <w:fldChar w:fldCharType="separate"/>
          </w:r>
          <w:r>
            <w:rPr>
              <w:rStyle w:val="26"/>
              <w:rFonts w:ascii="Times New Roman"/>
              <w:lang w:eastAsia="zh-CN"/>
            </w:rPr>
            <w:t xml:space="preserve">9. </w:t>
          </w:r>
          <w:r>
            <w:rPr>
              <w:rStyle w:val="26"/>
              <w:rFonts w:hint="eastAsia" w:ascii="Times New Roman"/>
              <w:lang w:eastAsia="zh-CN"/>
            </w:rPr>
            <w:t>合同价格、计量与支付</w:t>
          </w:r>
          <w:r>
            <w:tab/>
          </w:r>
          <w:r>
            <w:fldChar w:fldCharType="begin"/>
          </w:r>
          <w:r>
            <w:instrText xml:space="preserve"> PAGEREF _Toc144742746 \h </w:instrText>
          </w:r>
          <w:r>
            <w:fldChar w:fldCharType="separate"/>
          </w:r>
          <w:r>
            <w:t>134</w:t>
          </w:r>
          <w:r>
            <w:fldChar w:fldCharType="end"/>
          </w:r>
          <w:r>
            <w:fldChar w:fldCharType="end"/>
          </w:r>
        </w:p>
        <w:p w14:paraId="212188F0">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"_Toc144742747" </w:instrText>
          </w:r>
          <w:r>
            <w:fldChar w:fldCharType="separate"/>
          </w:r>
          <w:r>
            <w:rPr>
              <w:rStyle w:val="26"/>
              <w:rFonts w:ascii="Times New Roman"/>
              <w:lang w:eastAsia="zh-CN"/>
            </w:rPr>
            <w:t>10.</w:t>
          </w:r>
          <w:r>
            <w:rPr>
              <w:rStyle w:val="26"/>
              <w:rFonts w:hint="eastAsia" w:ascii="Times New Roman"/>
              <w:lang w:eastAsia="zh-CN"/>
            </w:rPr>
            <w:t>竣工结算</w:t>
          </w:r>
          <w:r>
            <w:tab/>
          </w:r>
          <w:r>
            <w:fldChar w:fldCharType="begin"/>
          </w:r>
          <w:r>
            <w:instrText xml:space="preserve"> PAGEREF _Toc144742747 \h </w:instrText>
          </w:r>
          <w:r>
            <w:fldChar w:fldCharType="separate"/>
          </w:r>
          <w:r>
            <w:t>136</w:t>
          </w:r>
          <w:r>
            <w:fldChar w:fldCharType="end"/>
          </w:r>
          <w:r>
            <w:fldChar w:fldCharType="end"/>
          </w:r>
        </w:p>
        <w:p w14:paraId="1E8F24E0">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"_Toc144742748" </w:instrText>
          </w:r>
          <w:r>
            <w:fldChar w:fldCharType="separate"/>
          </w:r>
          <w:r>
            <w:rPr>
              <w:rStyle w:val="26"/>
              <w:rFonts w:ascii="Times New Roman"/>
              <w:lang w:eastAsia="zh-CN"/>
            </w:rPr>
            <w:t xml:space="preserve">11. </w:t>
          </w:r>
          <w:r>
            <w:rPr>
              <w:rStyle w:val="26"/>
              <w:rFonts w:hint="eastAsia" w:ascii="Times New Roman"/>
              <w:lang w:eastAsia="zh-CN"/>
            </w:rPr>
            <w:t>保修</w:t>
          </w:r>
          <w:r>
            <w:tab/>
          </w:r>
          <w:r>
            <w:fldChar w:fldCharType="begin"/>
          </w:r>
          <w:r>
            <w:instrText xml:space="preserve"> PAGEREF _Toc144742748 \h </w:instrText>
          </w:r>
          <w:r>
            <w:fldChar w:fldCharType="separate"/>
          </w:r>
          <w:r>
            <w:t>137</w:t>
          </w:r>
          <w:r>
            <w:fldChar w:fldCharType="end"/>
          </w:r>
          <w:r>
            <w:fldChar w:fldCharType="end"/>
          </w:r>
        </w:p>
        <w:p w14:paraId="74865600">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"_Toc144742749" </w:instrText>
          </w:r>
          <w:r>
            <w:fldChar w:fldCharType="separate"/>
          </w:r>
          <w:r>
            <w:rPr>
              <w:rStyle w:val="26"/>
              <w:rFonts w:ascii="Times New Roman"/>
              <w:lang w:eastAsia="zh-CN"/>
            </w:rPr>
            <w:t xml:space="preserve">12. </w:t>
          </w:r>
          <w:r>
            <w:rPr>
              <w:rStyle w:val="26"/>
              <w:rFonts w:hint="eastAsia" w:ascii="Times New Roman"/>
              <w:lang w:eastAsia="zh-CN"/>
            </w:rPr>
            <w:t>保险</w:t>
          </w:r>
          <w:r>
            <w:tab/>
          </w:r>
          <w:r>
            <w:fldChar w:fldCharType="begin"/>
          </w:r>
          <w:r>
            <w:instrText xml:space="preserve"> PAGEREF _Toc144742749 \h </w:instrText>
          </w:r>
          <w:r>
            <w:fldChar w:fldCharType="separate"/>
          </w:r>
          <w:r>
            <w:t>138</w:t>
          </w:r>
          <w:r>
            <w:fldChar w:fldCharType="end"/>
          </w:r>
          <w:r>
            <w:fldChar w:fldCharType="end"/>
          </w:r>
        </w:p>
        <w:p w14:paraId="609E39C8">
          <w:pPr>
            <w:pStyle w:val="18"/>
            <w:tabs>
              <w:tab w:val="right" w:leader="dot" w:pos="8833"/>
            </w:tabs>
            <w:rPr>
              <w:rFonts w:eastAsiaTheme="minorEastAsia" w:cstheme="minorBidi"/>
              <w:smallCaps w:val="0"/>
              <w:kern w:val="2"/>
              <w:sz w:val="21"/>
              <w:szCs w:val="22"/>
              <w:lang w:eastAsia="zh-CN"/>
            </w:rPr>
          </w:pPr>
          <w:r>
            <w:fldChar w:fldCharType="begin"/>
          </w:r>
          <w:r>
            <w:instrText xml:space="preserve"> HYPERLINK \l "_Toc144742750" </w:instrText>
          </w:r>
          <w:r>
            <w:fldChar w:fldCharType="separate"/>
          </w:r>
          <w:r>
            <w:rPr>
              <w:rStyle w:val="26"/>
              <w:rFonts w:ascii="Times New Roman"/>
              <w:lang w:eastAsia="zh-CN"/>
            </w:rPr>
            <w:t xml:space="preserve">13. </w:t>
          </w:r>
          <w:r>
            <w:rPr>
              <w:rStyle w:val="26"/>
              <w:rFonts w:hint="eastAsia" w:ascii="Times New Roman"/>
              <w:lang w:eastAsia="zh-CN"/>
            </w:rPr>
            <w:t>附件</w:t>
          </w:r>
          <w:r>
            <w:tab/>
          </w:r>
          <w:r>
            <w:fldChar w:fldCharType="begin"/>
          </w:r>
          <w:r>
            <w:instrText xml:space="preserve"> PAGEREF _Toc144742750 \h </w:instrText>
          </w:r>
          <w:r>
            <w:fldChar w:fldCharType="separate"/>
          </w:r>
          <w:r>
            <w:t>138</w:t>
          </w:r>
          <w:r>
            <w:fldChar w:fldCharType="end"/>
          </w:r>
          <w:r>
            <w:fldChar w:fldCharType="end"/>
          </w:r>
        </w:p>
        <w:p w14:paraId="311B8A32">
          <w:pPr>
            <w:pStyle w:val="15"/>
            <w:tabs>
              <w:tab w:val="right" w:leader="dot" w:pos="8833"/>
            </w:tabs>
            <w:rPr>
              <w:rFonts w:eastAsiaTheme="minorEastAsia" w:cstheme="minorBidi"/>
              <w:b w:val="0"/>
              <w:bCs w:val="0"/>
              <w:caps w:val="0"/>
              <w:kern w:val="2"/>
              <w:sz w:val="21"/>
              <w:szCs w:val="22"/>
              <w:lang w:eastAsia="zh-CN"/>
            </w:rPr>
          </w:pPr>
          <w:r>
            <w:fldChar w:fldCharType="begin"/>
          </w:r>
          <w:r>
            <w:instrText xml:space="preserve"> HYPERLINK \l "_Toc144742751" </w:instrText>
          </w:r>
          <w:r>
            <w:fldChar w:fldCharType="separate"/>
          </w:r>
          <w:r>
            <w:rPr>
              <w:rStyle w:val="26"/>
              <w:rFonts w:hint="eastAsia" w:ascii="Times New Roman" w:eastAsia="黑体"/>
              <w:lang w:eastAsia="zh-CN"/>
            </w:rPr>
            <w:t>第四章工程量清单</w:t>
          </w:r>
          <w:r>
            <w:tab/>
          </w:r>
          <w:r>
            <w:fldChar w:fldCharType="begin"/>
          </w:r>
          <w:r>
            <w:instrText xml:space="preserve"> PAGEREF _Toc144742751 \h </w:instrText>
          </w:r>
          <w:r>
            <w:fldChar w:fldCharType="separate"/>
          </w:r>
          <w:r>
            <w:t>140</w:t>
          </w:r>
          <w:r>
            <w:fldChar w:fldCharType="end"/>
          </w:r>
          <w:r>
            <w:fldChar w:fldCharType="end"/>
          </w:r>
        </w:p>
        <w:p w14:paraId="08916028">
          <w:pPr>
            <w:pStyle w:val="15"/>
            <w:tabs>
              <w:tab w:val="right" w:leader="dot" w:pos="8833"/>
            </w:tabs>
            <w:rPr>
              <w:rFonts w:eastAsiaTheme="minorEastAsia" w:cstheme="minorBidi"/>
              <w:b w:val="0"/>
              <w:bCs w:val="0"/>
              <w:caps w:val="0"/>
              <w:kern w:val="2"/>
              <w:sz w:val="21"/>
              <w:szCs w:val="22"/>
              <w:lang w:eastAsia="zh-CN"/>
            </w:rPr>
          </w:pPr>
          <w:r>
            <w:fldChar w:fldCharType="begin"/>
          </w:r>
          <w:r>
            <w:instrText xml:space="preserve"> HYPERLINK \l "_Toc144742752" </w:instrText>
          </w:r>
          <w:r>
            <w:fldChar w:fldCharType="separate"/>
          </w:r>
          <w:r>
            <w:rPr>
              <w:rStyle w:val="26"/>
              <w:rFonts w:hint="eastAsia" w:ascii="Times New Roman" w:eastAsia="黑体"/>
              <w:lang w:eastAsia="zh-CN"/>
            </w:rPr>
            <w:t>第五章图纸目录</w:t>
          </w:r>
          <w:r>
            <w:tab/>
          </w:r>
          <w:r>
            <w:fldChar w:fldCharType="begin"/>
          </w:r>
          <w:r>
            <w:instrText xml:space="preserve"> PAGEREF _Toc144742752 \h </w:instrText>
          </w:r>
          <w:r>
            <w:fldChar w:fldCharType="separate"/>
          </w:r>
          <w:r>
            <w:t>141</w:t>
          </w:r>
          <w:r>
            <w:fldChar w:fldCharType="end"/>
          </w:r>
          <w:r>
            <w:fldChar w:fldCharType="end"/>
          </w:r>
        </w:p>
        <w:p w14:paraId="4C2296A7">
          <w:pPr>
            <w:pStyle w:val="15"/>
            <w:tabs>
              <w:tab w:val="right" w:leader="dot" w:pos="8833"/>
            </w:tabs>
            <w:rPr>
              <w:rFonts w:eastAsiaTheme="minorEastAsia" w:cstheme="minorBidi"/>
              <w:b w:val="0"/>
              <w:bCs w:val="0"/>
              <w:caps w:val="0"/>
              <w:kern w:val="2"/>
              <w:sz w:val="21"/>
              <w:szCs w:val="22"/>
              <w:lang w:eastAsia="zh-CN"/>
            </w:rPr>
          </w:pPr>
          <w:r>
            <w:fldChar w:fldCharType="begin"/>
          </w:r>
          <w:r>
            <w:instrText xml:space="preserve"> HYPERLINK \l "_Toc144742753" </w:instrText>
          </w:r>
          <w:r>
            <w:fldChar w:fldCharType="separate"/>
          </w:r>
          <w:r>
            <w:rPr>
              <w:rStyle w:val="26"/>
              <w:rFonts w:hint="eastAsia" w:ascii="Times New Roman" w:eastAsia="黑体"/>
              <w:lang w:eastAsia="zh-CN"/>
            </w:rPr>
            <w:t>第六章</w:t>
          </w:r>
          <w:r>
            <w:rPr>
              <w:rStyle w:val="26"/>
              <w:rFonts w:ascii="Times New Roman" w:eastAsia="黑体"/>
              <w:lang w:eastAsia="zh-CN"/>
            </w:rPr>
            <w:t xml:space="preserve"> </w:t>
          </w:r>
          <w:r>
            <w:rPr>
              <w:rStyle w:val="26"/>
              <w:rFonts w:hint="eastAsia" w:ascii="Times New Roman" w:eastAsia="黑体"/>
              <w:lang w:eastAsia="zh-CN"/>
            </w:rPr>
            <w:t>技术标准和要求</w:t>
          </w:r>
          <w:r>
            <w:tab/>
          </w:r>
          <w:r>
            <w:fldChar w:fldCharType="begin"/>
          </w:r>
          <w:r>
            <w:instrText xml:space="preserve"> PAGEREF _Toc144742753 \h </w:instrText>
          </w:r>
          <w:r>
            <w:fldChar w:fldCharType="separate"/>
          </w:r>
          <w:r>
            <w:t>141</w:t>
          </w:r>
          <w:r>
            <w:fldChar w:fldCharType="end"/>
          </w:r>
          <w:r>
            <w:fldChar w:fldCharType="end"/>
          </w:r>
        </w:p>
        <w:p w14:paraId="65FA6061">
          <w:pPr>
            <w:rPr>
              <w:rFonts w:ascii="仿宋_GB2312" w:eastAsia="仿宋_GB2312"/>
            </w:rPr>
          </w:pPr>
          <w:r>
            <w:rPr>
              <w:rFonts w:hint="eastAsia" w:ascii="仿宋_GB2312" w:eastAsia="仿宋_GB2312"/>
              <w:b/>
              <w:bCs/>
              <w:lang w:val="zh-CN"/>
            </w:rPr>
            <w:fldChar w:fldCharType="end"/>
          </w:r>
        </w:p>
      </w:sdtContent>
    </w:sdt>
    <w:permEnd w:id="0"/>
    <w:p w14:paraId="51504FAA">
      <w:pPr>
        <w:tabs>
          <w:tab w:val="left" w:pos="7680"/>
        </w:tabs>
        <w:rPr>
          <w:lang w:eastAsia="zh-CN"/>
        </w:rPr>
      </w:pPr>
      <w:r>
        <w:rPr>
          <w:lang w:eastAsia="zh-CN"/>
        </w:rPr>
        <w:tab/>
      </w:r>
    </w:p>
    <w:p w14:paraId="110D1237">
      <w:pPr>
        <w:tabs>
          <w:tab w:val="left" w:pos="7680"/>
        </w:tabs>
        <w:rPr>
          <w:lang w:eastAsia="zh-CN"/>
        </w:rPr>
        <w:sectPr>
          <w:pgSz w:w="11905" w:h="16838"/>
          <w:pgMar w:top="2098" w:right="1531" w:bottom="2098" w:left="1531" w:header="851" w:footer="454" w:gutter="0"/>
          <w:cols w:space="0" w:num="1"/>
          <w:docGrid w:type="linesAndChars" w:linePitch="332" w:charSpace="0"/>
        </w:sectPr>
      </w:pPr>
      <w:r>
        <w:rPr>
          <w:lang w:eastAsia="zh-CN"/>
        </w:rPr>
        <w:tab/>
      </w:r>
    </w:p>
    <w:p w14:paraId="3D807935">
      <w:pPr>
        <w:pStyle w:val="3"/>
        <w:rPr>
          <w:rFonts w:ascii="Times New Roman" w:eastAsia="黑体"/>
          <w:b w:val="0"/>
          <w:bCs/>
          <w:sz w:val="32"/>
          <w:szCs w:val="32"/>
          <w:lang w:eastAsia="zh-CN"/>
        </w:rPr>
      </w:pPr>
      <w:bookmarkStart w:id="5" w:name="_Toc80863212"/>
      <w:bookmarkStart w:id="6" w:name="_Toc82531182"/>
      <w:bookmarkStart w:id="7" w:name="_Toc144742714"/>
      <w:r>
        <w:rPr>
          <w:rFonts w:ascii="Times New Roman" w:eastAsia="黑体"/>
          <w:b w:val="0"/>
          <w:bCs/>
          <w:sz w:val="32"/>
          <w:szCs w:val="32"/>
          <w:lang w:eastAsia="zh-CN"/>
        </w:rPr>
        <w:t>第一章合同协议书</w:t>
      </w:r>
      <w:bookmarkEnd w:id="1"/>
      <w:bookmarkEnd w:id="2"/>
      <w:bookmarkEnd w:id="3"/>
      <w:bookmarkEnd w:id="5"/>
      <w:bookmarkEnd w:id="6"/>
      <w:bookmarkEnd w:id="7"/>
    </w:p>
    <w:p w14:paraId="04B6CD0F">
      <w:pPr>
        <w:widowControl/>
        <w:tabs>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由</w:t>
      </w:r>
    </w:p>
    <w:p w14:paraId="73E57404">
      <w:pPr>
        <w:widowControl/>
        <w:tabs>
          <w:tab w:val="left" w:pos="6240"/>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发包人：融</w:t>
      </w:r>
      <w:r>
        <w:rPr>
          <w:rFonts w:hint="eastAsia" w:ascii="Times New Roman" w:eastAsia="仿宋"/>
          <w:kern w:val="2"/>
          <w:sz w:val="30"/>
          <w:szCs w:val="30"/>
          <w:lang w:eastAsia="zh-CN"/>
        </w:rPr>
        <w:t>通地产（广东）有限责任公司</w:t>
      </w:r>
    </w:p>
    <w:p w14:paraId="44A0A6CD">
      <w:pPr>
        <w:widowControl/>
        <w:tabs>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注册地址：广</w:t>
      </w:r>
      <w:r>
        <w:rPr>
          <w:rFonts w:hint="eastAsia" w:ascii="仿宋" w:hAnsi="仿宋" w:eastAsia="仿宋" w:cs="仿宋"/>
          <w:kern w:val="2"/>
          <w:sz w:val="30"/>
          <w:szCs w:val="30"/>
          <w:lang w:eastAsia="zh-CN"/>
        </w:rPr>
        <w:t>州市越秀区东风中路</w:t>
      </w:r>
      <w:r>
        <w:rPr>
          <w:rFonts w:ascii="仿宋" w:hAnsi="仿宋" w:eastAsia="仿宋" w:cs="仿宋"/>
          <w:kern w:val="2"/>
          <w:sz w:val="30"/>
          <w:szCs w:val="30"/>
          <w:lang w:eastAsia="zh-CN"/>
        </w:rPr>
        <w:t>389</w:t>
      </w:r>
      <w:r>
        <w:rPr>
          <w:rFonts w:hint="eastAsia" w:ascii="仿宋" w:hAnsi="仿宋" w:eastAsia="仿宋" w:cs="仿宋"/>
          <w:kern w:val="2"/>
          <w:sz w:val="30"/>
          <w:szCs w:val="30"/>
          <w:lang w:eastAsia="zh-CN"/>
        </w:rPr>
        <w:t>号壬丰商务大厦</w:t>
      </w:r>
      <w:r>
        <w:rPr>
          <w:rFonts w:ascii="仿宋" w:hAnsi="仿宋" w:eastAsia="仿宋" w:cs="仿宋"/>
          <w:kern w:val="2"/>
          <w:sz w:val="30"/>
          <w:szCs w:val="30"/>
          <w:lang w:eastAsia="zh-CN"/>
        </w:rPr>
        <w:t>21</w:t>
      </w:r>
      <w:r>
        <w:rPr>
          <w:rFonts w:hint="eastAsia" w:ascii="仿宋" w:hAnsi="仿宋" w:eastAsia="仿宋" w:cs="仿宋"/>
          <w:kern w:val="2"/>
          <w:sz w:val="30"/>
          <w:szCs w:val="30"/>
          <w:lang w:eastAsia="zh-CN"/>
        </w:rPr>
        <w:t>层</w:t>
      </w:r>
      <w:r>
        <w:rPr>
          <w:rFonts w:ascii="仿宋" w:hAnsi="仿宋" w:eastAsia="仿宋" w:cs="仿宋"/>
          <w:kern w:val="2"/>
          <w:sz w:val="30"/>
          <w:szCs w:val="30"/>
          <w:lang w:eastAsia="zh-CN"/>
        </w:rPr>
        <w:t>01-08</w:t>
      </w:r>
      <w:r>
        <w:rPr>
          <w:rFonts w:hint="eastAsia" w:ascii="仿宋" w:hAnsi="仿宋" w:eastAsia="仿宋" w:cs="仿宋"/>
          <w:kern w:val="2"/>
          <w:sz w:val="30"/>
          <w:szCs w:val="30"/>
          <w:lang w:eastAsia="zh-CN"/>
        </w:rPr>
        <w:t>号房</w:t>
      </w:r>
    </w:p>
    <w:p w14:paraId="622BEF4C">
      <w:pPr>
        <w:widowControl/>
        <w:tabs>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和</w:t>
      </w:r>
    </w:p>
    <w:p w14:paraId="4A8814DE">
      <w:pPr>
        <w:widowControl/>
        <w:tabs>
          <w:tab w:val="left" w:pos="8789"/>
        </w:tabs>
        <w:spacing w:line="560" w:lineRule="exact"/>
        <w:ind w:firstLine="600" w:firstLineChars="200"/>
        <w:rPr>
          <w:rFonts w:ascii="Times New Roman" w:eastAsia="仿宋"/>
          <w:kern w:val="2"/>
          <w:sz w:val="30"/>
          <w:szCs w:val="30"/>
          <w:u w:val="single"/>
          <w:lang w:eastAsia="zh-CN"/>
        </w:rPr>
      </w:pPr>
      <w:r>
        <w:rPr>
          <w:rFonts w:ascii="Times New Roman" w:eastAsia="仿宋"/>
          <w:kern w:val="2"/>
          <w:sz w:val="30"/>
          <w:szCs w:val="30"/>
          <w:lang w:eastAsia="zh-CN"/>
        </w:rPr>
        <w:t>总承包人：</w:t>
      </w:r>
      <w:r>
        <w:rPr>
          <w:rFonts w:hint="eastAsia" w:ascii="Times New Roman" w:eastAsia="仿宋"/>
          <w:kern w:val="2"/>
          <w:sz w:val="30"/>
          <w:szCs w:val="30"/>
          <w:u w:val="single"/>
          <w:lang w:eastAsia="zh-CN"/>
        </w:rPr>
        <w:t xml:space="preserve">                        </w:t>
      </w:r>
    </w:p>
    <w:p w14:paraId="619575D1">
      <w:pPr>
        <w:widowControl/>
        <w:tabs>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注册地址：</w:t>
      </w:r>
      <w:r>
        <w:rPr>
          <w:rFonts w:hint="eastAsia" w:ascii="Times New Roman" w:eastAsia="仿宋"/>
          <w:kern w:val="2"/>
          <w:sz w:val="30"/>
          <w:szCs w:val="30"/>
          <w:u w:val="single"/>
          <w:lang w:eastAsia="zh-CN"/>
        </w:rPr>
        <w:t xml:space="preserve">                        </w:t>
      </w:r>
    </w:p>
    <w:p w14:paraId="3DD5C5B7">
      <w:pPr>
        <w:widowControl/>
        <w:tabs>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所订立。</w:t>
      </w:r>
    </w:p>
    <w:p w14:paraId="4D0EE1CF">
      <w:pPr>
        <w:widowControl/>
        <w:tabs>
          <w:tab w:val="left" w:pos="8280"/>
        </w:tabs>
        <w:snapToGrid w:val="0"/>
        <w:spacing w:line="560" w:lineRule="exact"/>
        <w:ind w:firstLine="600" w:firstLineChars="200"/>
        <w:jc w:val="both"/>
        <w:textAlignment w:val="bottom"/>
        <w:rPr>
          <w:rFonts w:ascii="Times New Roman" w:eastAsia="仿宋"/>
          <w:kern w:val="2"/>
          <w:sz w:val="30"/>
          <w:szCs w:val="30"/>
          <w:lang w:eastAsia="zh-CN"/>
        </w:rPr>
      </w:pPr>
    </w:p>
    <w:p w14:paraId="4EF9A45B">
      <w:pPr>
        <w:widowControl/>
        <w:tabs>
          <w:tab w:val="left" w:pos="8280"/>
        </w:tabs>
        <w:snapToGrid w:val="0"/>
        <w:spacing w:line="560" w:lineRule="exact"/>
        <w:ind w:firstLine="600" w:firstLineChars="200"/>
        <w:jc w:val="both"/>
        <w:textAlignment w:val="bottom"/>
        <w:rPr>
          <w:rFonts w:ascii="Times New Roman" w:eastAsia="仿宋"/>
          <w:kern w:val="2"/>
          <w:sz w:val="30"/>
          <w:szCs w:val="30"/>
          <w:lang w:eastAsia="zh-CN"/>
        </w:rPr>
      </w:pPr>
      <w:r>
        <w:rPr>
          <w:rFonts w:ascii="Times New Roman" w:eastAsia="仿宋"/>
          <w:kern w:val="2"/>
          <w:sz w:val="30"/>
          <w:szCs w:val="30"/>
          <w:lang w:eastAsia="zh-CN"/>
        </w:rPr>
        <w:t>本工程位于</w:t>
      </w:r>
      <w:r>
        <w:rPr>
          <w:rFonts w:ascii="Times New Roman" w:eastAsia="仿宋"/>
          <w:kern w:val="2"/>
          <w:sz w:val="30"/>
          <w:szCs w:val="30"/>
          <w:u w:val="single"/>
          <w:lang w:eastAsia="zh-CN"/>
        </w:rPr>
        <w:t>广</w:t>
      </w:r>
      <w:r>
        <w:rPr>
          <w:rFonts w:hint="eastAsia" w:ascii="Times New Roman" w:eastAsia="仿宋"/>
          <w:kern w:val="2"/>
          <w:sz w:val="30"/>
          <w:szCs w:val="30"/>
          <w:u w:val="single"/>
          <w:lang w:eastAsia="zh-CN"/>
        </w:rPr>
        <w:t>州市天河区天河路188号</w:t>
      </w:r>
      <w:r>
        <w:rPr>
          <w:rFonts w:hint="eastAsia" w:ascii="Times New Roman" w:eastAsia="仿宋"/>
          <w:kern w:val="2"/>
          <w:sz w:val="30"/>
          <w:szCs w:val="30"/>
          <w:lang w:eastAsia="zh-CN"/>
        </w:rPr>
        <w:t>。</w:t>
      </w:r>
      <w:r>
        <w:rPr>
          <w:rFonts w:ascii="Times New Roman" w:eastAsia="仿宋"/>
          <w:kern w:val="2"/>
          <w:sz w:val="30"/>
          <w:szCs w:val="30"/>
          <w:lang w:eastAsia="zh-CN"/>
        </w:rPr>
        <w:t>发包人已向总承包人提供了上述工程的招标文件</w:t>
      </w:r>
      <w:r>
        <w:rPr>
          <w:rFonts w:hint="eastAsia" w:ascii="Times New Roman" w:eastAsia="仿宋"/>
          <w:kern w:val="2"/>
          <w:sz w:val="30"/>
          <w:szCs w:val="30"/>
          <w:lang w:eastAsia="zh-CN"/>
        </w:rPr>
        <w:t>，</w:t>
      </w:r>
      <w:r>
        <w:rPr>
          <w:rFonts w:ascii="Times New Roman" w:eastAsia="仿宋"/>
          <w:kern w:val="2"/>
          <w:sz w:val="30"/>
          <w:szCs w:val="30"/>
          <w:lang w:eastAsia="zh-CN"/>
        </w:rPr>
        <w:t>总承包人亦已按上述招标文件进行了投标。</w:t>
      </w:r>
    </w:p>
    <w:p w14:paraId="5A230EF3">
      <w:pPr>
        <w:widowControl/>
        <w:snapToGrid w:val="0"/>
        <w:spacing w:line="560" w:lineRule="exact"/>
        <w:ind w:firstLine="600" w:firstLineChars="200"/>
        <w:jc w:val="both"/>
        <w:textAlignment w:val="bottom"/>
        <w:rPr>
          <w:rFonts w:ascii="Times New Roman" w:eastAsia="仿宋"/>
          <w:kern w:val="2"/>
          <w:sz w:val="30"/>
          <w:szCs w:val="30"/>
          <w:lang w:eastAsia="zh-CN"/>
        </w:rPr>
      </w:pPr>
      <w:r>
        <w:rPr>
          <w:rFonts w:ascii="Times New Roman" w:eastAsia="仿宋"/>
          <w:kern w:val="2"/>
          <w:sz w:val="30"/>
          <w:szCs w:val="30"/>
          <w:lang w:eastAsia="zh-CN"/>
        </w:rPr>
        <w:t>依照《中华人民共和国招标投标法》、《中华人民共和国民法典》、《中华人民共和国建筑法》及其他有关法律、行政法规，遵循平等、自愿、公平和诚实信用的原则，双方共同达成并订立如下协议。</w:t>
      </w:r>
    </w:p>
    <w:p w14:paraId="0E015C98">
      <w:pPr>
        <w:widowControl/>
        <w:tabs>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双方现在同意如下：</w:t>
      </w:r>
    </w:p>
    <w:p w14:paraId="6549DE4D">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合同标的</w:t>
      </w:r>
    </w:p>
    <w:p w14:paraId="5DE21AD2">
      <w:pPr>
        <w:widowControl/>
        <w:tabs>
          <w:tab w:val="left" w:pos="426"/>
        </w:tabs>
        <w:spacing w:line="560" w:lineRule="exact"/>
        <w:ind w:firstLine="600" w:firstLineChars="200"/>
        <w:rPr>
          <w:rFonts w:hint="eastAsia" w:ascii="Times New Roman" w:eastAsia="仿宋"/>
          <w:kern w:val="2"/>
          <w:sz w:val="30"/>
          <w:szCs w:val="30"/>
          <w:lang w:eastAsia="zh-CN"/>
        </w:rPr>
      </w:pPr>
      <w:r>
        <w:rPr>
          <w:rFonts w:ascii="Times New Roman" w:eastAsia="仿宋"/>
          <w:kern w:val="2"/>
          <w:sz w:val="30"/>
          <w:szCs w:val="30"/>
          <w:lang w:eastAsia="zh-CN"/>
        </w:rPr>
        <w:t>总承包人接受发包人委托执行并完成合同图纸所示、技术标准和要求、工程量清单所说明及合同条件所绘述的本工程。工程概况详见技术标准和要求。</w:t>
      </w:r>
      <w:r>
        <w:rPr>
          <w:rFonts w:hint="eastAsia" w:ascii="Times New Roman" w:eastAsia="仿宋"/>
          <w:kern w:val="2"/>
          <w:sz w:val="30"/>
          <w:szCs w:val="30"/>
          <w:u w:val="single"/>
          <w:lang w:eastAsia="zh-CN"/>
        </w:rPr>
        <w:t>本项目不允许分包。</w:t>
      </w:r>
    </w:p>
    <w:p w14:paraId="462BC4E1">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合同价款</w:t>
      </w:r>
    </w:p>
    <w:p w14:paraId="182CB65F">
      <w:pPr>
        <w:widowControl/>
        <w:tabs>
          <w:tab w:val="left" w:pos="426"/>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本工程为总价包干合同，合同总价（含增值税）为小写：</w:t>
      </w:r>
      <w:r>
        <w:rPr>
          <w:rFonts w:hint="eastAsia" w:ascii="Times New Roman" w:eastAsia="仿宋"/>
          <w:kern w:val="2"/>
          <w:sz w:val="30"/>
          <w:szCs w:val="30"/>
          <w:u w:val="single"/>
          <w:lang w:eastAsia="zh-CN"/>
        </w:rPr>
        <w:t xml:space="preserve">   元</w:t>
      </w:r>
      <w:r>
        <w:rPr>
          <w:rFonts w:hint="eastAsia" w:ascii="Times New Roman" w:eastAsia="仿宋"/>
          <w:kern w:val="2"/>
          <w:sz w:val="30"/>
          <w:szCs w:val="30"/>
          <w:lang w:eastAsia="zh-CN"/>
        </w:rPr>
        <w:t>；</w:t>
      </w:r>
      <w:r>
        <w:rPr>
          <w:rFonts w:ascii="Times New Roman" w:eastAsia="仿宋"/>
          <w:kern w:val="2"/>
          <w:sz w:val="30"/>
          <w:szCs w:val="30"/>
          <w:lang w:eastAsia="zh-CN"/>
        </w:rPr>
        <w:t>大写：</w:t>
      </w:r>
      <w:r>
        <w:rPr>
          <w:rFonts w:hint="eastAsia" w:ascii="Times New Roman" w:eastAsia="仿宋"/>
          <w:kern w:val="2"/>
          <w:sz w:val="30"/>
          <w:szCs w:val="30"/>
          <w:u w:val="single"/>
          <w:lang w:eastAsia="zh-CN"/>
        </w:rPr>
        <w:t xml:space="preserve">         </w:t>
      </w:r>
      <w:r>
        <w:rPr>
          <w:rFonts w:hint="eastAsia" w:ascii="Times New Roman" w:eastAsia="仿宋"/>
          <w:kern w:val="2"/>
          <w:sz w:val="30"/>
          <w:szCs w:val="30"/>
          <w:lang w:eastAsia="zh-CN"/>
        </w:rPr>
        <w:t>。</w:t>
      </w:r>
      <w:r>
        <w:rPr>
          <w:rFonts w:ascii="Times New Roman" w:eastAsia="仿宋"/>
          <w:kern w:val="2"/>
          <w:sz w:val="30"/>
          <w:szCs w:val="30"/>
          <w:lang w:eastAsia="zh-CN"/>
        </w:rPr>
        <w:t>其中合同金额（不含增值税）为小写：</w:t>
      </w:r>
      <w:r>
        <w:rPr>
          <w:rFonts w:hint="eastAsia" w:ascii="Times New Roman" w:eastAsia="仿宋"/>
          <w:kern w:val="2"/>
          <w:sz w:val="30"/>
          <w:szCs w:val="30"/>
          <w:u w:val="single"/>
          <w:lang w:eastAsia="zh-CN"/>
        </w:rPr>
        <w:t xml:space="preserve">     元</w:t>
      </w:r>
      <w:r>
        <w:rPr>
          <w:rFonts w:hint="eastAsia" w:ascii="Times New Roman" w:eastAsia="仿宋"/>
          <w:kern w:val="2"/>
          <w:sz w:val="30"/>
          <w:szCs w:val="30"/>
          <w:lang w:eastAsia="zh-CN"/>
        </w:rPr>
        <w:t>；</w:t>
      </w:r>
      <w:r>
        <w:rPr>
          <w:rFonts w:ascii="Times New Roman" w:eastAsia="仿宋"/>
          <w:kern w:val="2"/>
          <w:sz w:val="30"/>
          <w:szCs w:val="30"/>
          <w:lang w:eastAsia="zh-CN"/>
        </w:rPr>
        <w:t>大写：</w:t>
      </w:r>
      <w:r>
        <w:rPr>
          <w:rFonts w:hint="eastAsia" w:ascii="Times New Roman" w:eastAsia="仿宋"/>
          <w:kern w:val="2"/>
          <w:sz w:val="30"/>
          <w:szCs w:val="30"/>
          <w:u w:val="single"/>
          <w:lang w:eastAsia="zh-CN"/>
        </w:rPr>
        <w:t xml:space="preserve">       </w:t>
      </w:r>
      <w:r>
        <w:rPr>
          <w:rFonts w:hint="eastAsia" w:ascii="Times New Roman" w:eastAsia="仿宋"/>
          <w:kern w:val="2"/>
          <w:sz w:val="30"/>
          <w:szCs w:val="30"/>
          <w:lang w:eastAsia="zh-CN"/>
        </w:rPr>
        <w:t>。按税率</w:t>
      </w:r>
      <w:r>
        <w:rPr>
          <w:rFonts w:ascii="Times New Roman" w:eastAsia="仿宋"/>
          <w:kern w:val="2"/>
          <w:sz w:val="30"/>
          <w:szCs w:val="30"/>
          <w:lang w:eastAsia="zh-CN"/>
        </w:rPr>
        <w:t>计算的增值税税金总额为小写：</w:t>
      </w:r>
      <w:r>
        <w:rPr>
          <w:rFonts w:hint="eastAsia" w:ascii="Times New Roman" w:eastAsia="仿宋"/>
          <w:kern w:val="2"/>
          <w:sz w:val="30"/>
          <w:szCs w:val="30"/>
          <w:u w:val="single"/>
          <w:lang w:eastAsia="zh-CN"/>
        </w:rPr>
        <w:t xml:space="preserve">     元</w:t>
      </w:r>
      <w:r>
        <w:rPr>
          <w:rFonts w:hint="eastAsia" w:ascii="Times New Roman" w:eastAsia="仿宋"/>
          <w:kern w:val="2"/>
          <w:sz w:val="30"/>
          <w:szCs w:val="30"/>
          <w:lang w:eastAsia="zh-CN"/>
        </w:rPr>
        <w:t>；</w:t>
      </w:r>
      <w:r>
        <w:rPr>
          <w:rFonts w:ascii="Times New Roman" w:eastAsia="仿宋"/>
          <w:kern w:val="2"/>
          <w:sz w:val="30"/>
          <w:szCs w:val="30"/>
          <w:lang w:eastAsia="zh-CN"/>
        </w:rPr>
        <w:t>大写：</w:t>
      </w:r>
      <w:r>
        <w:rPr>
          <w:rFonts w:hint="eastAsia" w:ascii="Times New Roman" w:eastAsia="仿宋"/>
          <w:kern w:val="2"/>
          <w:sz w:val="30"/>
          <w:szCs w:val="30"/>
          <w:u w:val="single"/>
          <w:lang w:eastAsia="zh-CN"/>
        </w:rPr>
        <w:t xml:space="preserve">     </w:t>
      </w:r>
      <w:r>
        <w:rPr>
          <w:rFonts w:hint="eastAsia" w:ascii="Times New Roman" w:eastAsia="仿宋"/>
          <w:kern w:val="2"/>
          <w:sz w:val="30"/>
          <w:szCs w:val="30"/>
          <w:lang w:eastAsia="zh-CN"/>
        </w:rPr>
        <w:t>。</w:t>
      </w:r>
    </w:p>
    <w:p w14:paraId="065D0AB2">
      <w:pPr>
        <w:widowControl/>
        <w:tabs>
          <w:tab w:val="left" w:pos="426"/>
        </w:tabs>
        <w:spacing w:line="560" w:lineRule="exact"/>
        <w:ind w:firstLine="600" w:firstLineChars="200"/>
        <w:rPr>
          <w:rFonts w:ascii="Times New Roman" w:eastAsia="仿宋"/>
          <w:color w:val="auto"/>
          <w:kern w:val="2"/>
          <w:sz w:val="30"/>
          <w:szCs w:val="30"/>
          <w:lang w:eastAsia="zh-CN"/>
        </w:rPr>
      </w:pPr>
      <w:r>
        <w:rPr>
          <w:rFonts w:ascii="Times New Roman" w:eastAsia="仿宋"/>
          <w:kern w:val="2"/>
          <w:sz w:val="30"/>
          <w:szCs w:val="30"/>
          <w:lang w:eastAsia="zh-CN"/>
        </w:rPr>
        <w:t>本工程为固定</w:t>
      </w:r>
      <w:r>
        <w:rPr>
          <w:rFonts w:hint="eastAsia" w:ascii="Times New Roman" w:eastAsia="仿宋"/>
          <w:kern w:val="2"/>
          <w:sz w:val="30"/>
          <w:szCs w:val="30"/>
          <w:lang w:eastAsia="zh-CN"/>
        </w:rPr>
        <w:t>总价</w:t>
      </w:r>
      <w:r>
        <w:rPr>
          <w:rFonts w:ascii="Times New Roman" w:eastAsia="仿宋"/>
          <w:kern w:val="2"/>
          <w:sz w:val="30"/>
          <w:szCs w:val="30"/>
          <w:lang w:eastAsia="zh-CN"/>
        </w:rPr>
        <w:t>合同。凡为完成本工程所需的一切工作及费用均已包含在合同单价/价款内，包括不能或缺的所有附带工作及费用，不论它们是否在合同文件中有所说明，亦不论它们是否在签订合同时可以预料到。除本合同约定可调整的情形外，合同单价/价款不会因人工、物价、费率或汇率之变</w:t>
      </w:r>
      <w:r>
        <w:rPr>
          <w:rFonts w:ascii="Times New Roman" w:eastAsia="仿宋"/>
          <w:color w:val="auto"/>
          <w:kern w:val="2"/>
          <w:sz w:val="30"/>
          <w:szCs w:val="30"/>
          <w:lang w:eastAsia="zh-CN"/>
        </w:rPr>
        <w:t>动而调整。</w:t>
      </w:r>
      <w:r>
        <w:rPr>
          <w:rFonts w:hint="eastAsia" w:ascii="Times New Roman" w:eastAsia="仿宋"/>
          <w:color w:val="auto"/>
          <w:sz w:val="30"/>
          <w:szCs w:val="30"/>
          <w:lang w:eastAsia="zh-CN"/>
        </w:rPr>
        <w:t>该费用包含</w:t>
      </w:r>
      <w:r>
        <w:rPr>
          <w:rFonts w:ascii="Times New Roman" w:eastAsia="仿宋"/>
          <w:color w:val="auto"/>
          <w:sz w:val="30"/>
          <w:szCs w:val="30"/>
          <w:lang w:eastAsia="zh-CN"/>
        </w:rPr>
        <w:t>办理施工所需临时用水、临时用电、中断道路交通、临时占用土地、破路证、道路渣土准运证、道路垃圾准运证、排污许可证、夜间施工许可证、建设工程施工许可证、</w:t>
      </w:r>
      <w:r>
        <w:rPr>
          <w:rFonts w:hint="eastAsia" w:ascii="Times New Roman" w:eastAsia="仿宋"/>
          <w:color w:val="auto"/>
          <w:sz w:val="30"/>
          <w:szCs w:val="30"/>
          <w:lang w:eastAsia="zh-CN"/>
        </w:rPr>
        <w:t>消防验收、</w:t>
      </w:r>
      <w:r>
        <w:rPr>
          <w:rFonts w:ascii="Times New Roman" w:eastAsia="仿宋"/>
          <w:color w:val="auto"/>
          <w:sz w:val="30"/>
          <w:szCs w:val="30"/>
          <w:lang w:eastAsia="zh-CN"/>
        </w:rPr>
        <w:t>街道</w:t>
      </w:r>
      <w:r>
        <w:rPr>
          <w:rFonts w:hint="eastAsia" w:ascii="Times New Roman" w:eastAsia="仿宋"/>
          <w:color w:val="auto"/>
          <w:sz w:val="30"/>
          <w:szCs w:val="30"/>
          <w:lang w:eastAsia="zh-CN"/>
        </w:rPr>
        <w:t>及</w:t>
      </w:r>
      <w:r>
        <w:rPr>
          <w:rFonts w:ascii="Times New Roman" w:eastAsia="仿宋"/>
          <w:color w:val="auto"/>
          <w:sz w:val="30"/>
          <w:szCs w:val="30"/>
          <w:lang w:eastAsia="zh-CN"/>
        </w:rPr>
        <w:t>居委会施工备案等许可和批准及其他法律规定施工证件和批件。</w:t>
      </w:r>
    </w:p>
    <w:p w14:paraId="3A6FFA46">
      <w:pPr>
        <w:pStyle w:val="2"/>
        <w:ind w:firstLine="600" w:firstLineChars="200"/>
        <w:rPr>
          <w:rFonts w:ascii="Times New Roman" w:hAnsi="Times New Roman" w:eastAsia="仿宋"/>
          <w:kern w:val="2"/>
          <w:sz w:val="30"/>
          <w:szCs w:val="30"/>
          <w:lang w:eastAsia="zh-CN"/>
        </w:rPr>
      </w:pPr>
      <w:r>
        <w:rPr>
          <w:rFonts w:hint="eastAsia" w:ascii="Times New Roman" w:hAnsi="Times New Roman" w:eastAsia="仿宋"/>
          <w:color w:val="auto"/>
          <w:kern w:val="2"/>
          <w:sz w:val="30"/>
          <w:szCs w:val="30"/>
          <w:lang w:eastAsia="zh-CN"/>
        </w:rPr>
        <w:t>除甲方发出的变更及确认的签证外，包干总</w:t>
      </w:r>
      <w:r>
        <w:rPr>
          <w:rFonts w:hint="eastAsia" w:ascii="Times New Roman" w:hAnsi="Times New Roman" w:eastAsia="仿宋"/>
          <w:kern w:val="2"/>
          <w:sz w:val="30"/>
          <w:szCs w:val="30"/>
          <w:lang w:eastAsia="zh-CN"/>
        </w:rPr>
        <w:t>价均不予调整（暂列金</w:t>
      </w:r>
      <w:r>
        <w:rPr>
          <w:rFonts w:ascii="Times New Roman" w:hAnsi="Times New Roman" w:eastAsia="仿宋"/>
          <w:kern w:val="2"/>
          <w:sz w:val="30"/>
          <w:szCs w:val="30"/>
          <w:lang w:eastAsia="zh-CN"/>
        </w:rPr>
        <w:t>、专业工程暂估价</w:t>
      </w:r>
      <w:r>
        <w:rPr>
          <w:rFonts w:hint="eastAsia" w:ascii="Times New Roman" w:hAnsi="Times New Roman" w:eastAsia="仿宋"/>
          <w:kern w:val="2"/>
          <w:sz w:val="30"/>
          <w:szCs w:val="30"/>
          <w:lang w:eastAsia="zh-CN"/>
        </w:rPr>
        <w:t>不参与总价包干，结算以签证变更形式调整）。无论工程量清单是否漏项或数量计算有误，包干总价均不予调整。除非另有说明，无论市场人工、材料、机械价格及汇率如何变动，包干总价均不予调整。本工程结算总价=合同金额-原合同中暂定项目金额+按实调整后的项目金额+未包括于上述暂定项目中的、经发包人确认的变更签证金额。</w:t>
      </w:r>
    </w:p>
    <w:p w14:paraId="74E11E54">
      <w:pPr>
        <w:widowControl/>
        <w:tabs>
          <w:tab w:val="left" w:pos="426"/>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如果合同执行过程中本工程适用的增值税税率按国家政策作出调整的，无论如何，本工程不含税的总价及单价/价款维持不变，但执行新的增值税税率后未开票的不含税价，需按新的增值税税率开具增值税专用发票，并相应调整含税价。最终合同价款结算的原则如下：</w:t>
      </w:r>
    </w:p>
    <w:tbl>
      <w:tblPr>
        <w:tblStyle w:val="21"/>
        <w:tblW w:w="8076" w:type="dxa"/>
        <w:jc w:val="center"/>
        <w:tblLayout w:type="fixed"/>
        <w:tblCellMar>
          <w:top w:w="0" w:type="dxa"/>
          <w:left w:w="108" w:type="dxa"/>
          <w:bottom w:w="0" w:type="dxa"/>
          <w:right w:w="108" w:type="dxa"/>
        </w:tblCellMar>
      </w:tblPr>
      <w:tblGrid>
        <w:gridCol w:w="847"/>
        <w:gridCol w:w="850"/>
        <w:gridCol w:w="3166"/>
        <w:gridCol w:w="3213"/>
      </w:tblGrid>
      <w:tr w14:paraId="21F81770">
        <w:tblPrEx>
          <w:tblCellMar>
            <w:top w:w="0" w:type="dxa"/>
            <w:left w:w="108" w:type="dxa"/>
            <w:bottom w:w="0" w:type="dxa"/>
            <w:right w:w="108" w:type="dxa"/>
          </w:tblCellMar>
        </w:tblPrEx>
        <w:trPr>
          <w:trHeight w:val="239" w:hRule="atLeast"/>
          <w:jc w:val="center"/>
        </w:trPr>
        <w:tc>
          <w:tcPr>
            <w:tcW w:w="847" w:type="dxa"/>
            <w:vMerge w:val="restart"/>
            <w:vAlign w:val="center"/>
          </w:tcPr>
          <w:p w14:paraId="7B55609E">
            <w:pPr>
              <w:tabs>
                <w:tab w:val="left" w:pos="343"/>
              </w:tabs>
              <w:spacing w:line="560" w:lineRule="exact"/>
              <w:rPr>
                <w:rFonts w:ascii="Times New Roman" w:eastAsia="仿宋"/>
                <w:kern w:val="2"/>
                <w:sz w:val="30"/>
                <w:szCs w:val="30"/>
              </w:rPr>
            </w:pPr>
            <w:r>
              <w:rPr>
                <w:rFonts w:ascii="Times New Roman" w:eastAsia="仿宋"/>
                <w:kern w:val="2"/>
                <w:sz w:val="30"/>
                <w:szCs w:val="30"/>
              </w:rPr>
              <w:t>Y1 =</w:t>
            </w:r>
          </w:p>
        </w:tc>
        <w:tc>
          <w:tcPr>
            <w:tcW w:w="850" w:type="dxa"/>
            <w:vMerge w:val="restart"/>
            <w:vAlign w:val="center"/>
          </w:tcPr>
          <w:p w14:paraId="15688104">
            <w:pPr>
              <w:spacing w:line="560" w:lineRule="exact"/>
              <w:rPr>
                <w:rFonts w:ascii="Times New Roman" w:eastAsia="仿宋"/>
                <w:kern w:val="2"/>
                <w:sz w:val="30"/>
                <w:szCs w:val="30"/>
              </w:rPr>
            </w:pPr>
            <w:r>
              <w:rPr>
                <w:rFonts w:ascii="Times New Roman" w:eastAsia="仿宋"/>
                <w:kern w:val="2"/>
                <w:sz w:val="30"/>
                <w:szCs w:val="30"/>
              </w:rPr>
              <w:t>X1 +</w:t>
            </w:r>
          </w:p>
        </w:tc>
        <w:tc>
          <w:tcPr>
            <w:tcW w:w="3166" w:type="dxa"/>
            <w:tcBorders>
              <w:bottom w:val="single" w:color="auto" w:sz="4" w:space="0"/>
            </w:tcBorders>
            <w:vAlign w:val="center"/>
          </w:tcPr>
          <w:p w14:paraId="652A346B">
            <w:pPr>
              <w:spacing w:line="560" w:lineRule="exact"/>
              <w:jc w:val="center"/>
              <w:rPr>
                <w:rFonts w:ascii="Times New Roman" w:eastAsia="仿宋"/>
                <w:kern w:val="2"/>
                <w:sz w:val="30"/>
                <w:szCs w:val="30"/>
              </w:rPr>
            </w:pPr>
            <w:r>
              <w:rPr>
                <w:rFonts w:ascii="Times New Roman" w:eastAsia="仿宋"/>
                <w:kern w:val="2"/>
                <w:sz w:val="30"/>
                <w:szCs w:val="30"/>
              </w:rPr>
              <w:t>(Y - X1)</w:t>
            </w:r>
          </w:p>
        </w:tc>
        <w:tc>
          <w:tcPr>
            <w:tcW w:w="3213" w:type="dxa"/>
            <w:vMerge w:val="restart"/>
            <w:vAlign w:val="center"/>
          </w:tcPr>
          <w:p w14:paraId="1F29CF08">
            <w:pPr>
              <w:spacing w:line="560" w:lineRule="exact"/>
              <w:rPr>
                <w:rFonts w:ascii="Times New Roman" w:eastAsia="仿宋"/>
                <w:kern w:val="2"/>
                <w:sz w:val="30"/>
                <w:szCs w:val="30"/>
              </w:rPr>
            </w:pPr>
            <w:r>
              <w:rPr>
                <w:rFonts w:hint="eastAsia" w:ascii="仿宋" w:hAnsi="仿宋" w:eastAsia="仿宋"/>
                <w:kern w:val="2"/>
                <w:sz w:val="30"/>
                <w:szCs w:val="30"/>
              </w:rPr>
              <w:t>╳</w:t>
            </w:r>
            <w:r>
              <w:rPr>
                <w:rFonts w:ascii="Times New Roman" w:eastAsia="仿宋"/>
                <w:kern w:val="2"/>
                <w:sz w:val="30"/>
                <w:szCs w:val="30"/>
              </w:rPr>
              <w:t>(1 + 新适用税率)</w:t>
            </w:r>
          </w:p>
        </w:tc>
      </w:tr>
      <w:tr w14:paraId="4AE8A12A">
        <w:tblPrEx>
          <w:tblCellMar>
            <w:top w:w="0" w:type="dxa"/>
            <w:left w:w="108" w:type="dxa"/>
            <w:bottom w:w="0" w:type="dxa"/>
            <w:right w:w="108" w:type="dxa"/>
          </w:tblCellMar>
        </w:tblPrEx>
        <w:trPr>
          <w:trHeight w:val="282" w:hRule="atLeast"/>
          <w:jc w:val="center"/>
        </w:trPr>
        <w:tc>
          <w:tcPr>
            <w:tcW w:w="847" w:type="dxa"/>
            <w:vMerge w:val="continue"/>
            <w:vAlign w:val="center"/>
          </w:tcPr>
          <w:p w14:paraId="45A7D9A3">
            <w:pPr>
              <w:spacing w:line="560" w:lineRule="exact"/>
              <w:ind w:firstLine="600" w:firstLineChars="200"/>
              <w:jc w:val="center"/>
              <w:rPr>
                <w:rFonts w:ascii="Times New Roman" w:eastAsia="仿宋"/>
                <w:kern w:val="2"/>
                <w:sz w:val="30"/>
                <w:szCs w:val="30"/>
              </w:rPr>
            </w:pPr>
          </w:p>
        </w:tc>
        <w:tc>
          <w:tcPr>
            <w:tcW w:w="850" w:type="dxa"/>
            <w:vMerge w:val="continue"/>
            <w:vAlign w:val="center"/>
          </w:tcPr>
          <w:p w14:paraId="535513A9">
            <w:pPr>
              <w:spacing w:line="560" w:lineRule="exact"/>
              <w:ind w:firstLine="600" w:firstLineChars="200"/>
              <w:jc w:val="center"/>
              <w:rPr>
                <w:rFonts w:ascii="Times New Roman" w:eastAsia="仿宋"/>
                <w:kern w:val="2"/>
                <w:sz w:val="30"/>
                <w:szCs w:val="30"/>
              </w:rPr>
            </w:pPr>
          </w:p>
        </w:tc>
        <w:tc>
          <w:tcPr>
            <w:tcW w:w="3166" w:type="dxa"/>
            <w:tcBorders>
              <w:top w:val="single" w:color="auto" w:sz="4" w:space="0"/>
            </w:tcBorders>
            <w:vAlign w:val="center"/>
          </w:tcPr>
          <w:p w14:paraId="01E0253F">
            <w:pPr>
              <w:spacing w:line="560" w:lineRule="exact"/>
              <w:jc w:val="center"/>
              <w:rPr>
                <w:rFonts w:ascii="Times New Roman" w:eastAsia="仿宋"/>
                <w:kern w:val="2"/>
                <w:sz w:val="30"/>
                <w:szCs w:val="30"/>
              </w:rPr>
            </w:pPr>
            <w:r>
              <w:rPr>
                <w:rFonts w:ascii="Times New Roman" w:eastAsia="仿宋"/>
                <w:kern w:val="2"/>
                <w:sz w:val="30"/>
                <w:szCs w:val="30"/>
              </w:rPr>
              <w:t>(1 + 原适用税率)</w:t>
            </w:r>
          </w:p>
        </w:tc>
        <w:tc>
          <w:tcPr>
            <w:tcW w:w="3213" w:type="dxa"/>
            <w:vMerge w:val="continue"/>
            <w:vAlign w:val="center"/>
          </w:tcPr>
          <w:p w14:paraId="0F01961D">
            <w:pPr>
              <w:spacing w:line="560" w:lineRule="exact"/>
              <w:ind w:firstLine="600" w:firstLineChars="200"/>
              <w:jc w:val="center"/>
              <w:rPr>
                <w:rFonts w:ascii="Times New Roman" w:eastAsia="仿宋"/>
                <w:kern w:val="2"/>
                <w:sz w:val="30"/>
                <w:szCs w:val="30"/>
              </w:rPr>
            </w:pPr>
          </w:p>
        </w:tc>
      </w:tr>
    </w:tbl>
    <w:p w14:paraId="597BB5CD">
      <w:pPr>
        <w:tabs>
          <w:tab w:val="left" w:pos="709"/>
          <w:tab w:val="left" w:pos="993"/>
        </w:tabs>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ab/>
      </w:r>
      <w:r>
        <w:rPr>
          <w:rFonts w:ascii="Times New Roman" w:eastAsia="仿宋"/>
          <w:sz w:val="30"/>
          <w:szCs w:val="30"/>
          <w:lang w:eastAsia="zh-CN"/>
        </w:rPr>
        <w:t>Y1</w:t>
      </w:r>
      <w:r>
        <w:rPr>
          <w:rFonts w:ascii="Times New Roman" w:eastAsia="仿宋"/>
          <w:sz w:val="30"/>
          <w:szCs w:val="30"/>
          <w:lang w:eastAsia="zh-CN"/>
        </w:rPr>
        <w:tab/>
      </w:r>
      <w:r>
        <w:rPr>
          <w:rFonts w:ascii="Times New Roman" w:eastAsia="仿宋"/>
          <w:sz w:val="30"/>
          <w:szCs w:val="30"/>
          <w:lang w:eastAsia="zh-CN"/>
        </w:rPr>
        <w:t>=</w:t>
      </w:r>
      <w:r>
        <w:rPr>
          <w:rFonts w:ascii="Times New Roman" w:eastAsia="仿宋"/>
          <w:sz w:val="30"/>
          <w:szCs w:val="30"/>
          <w:lang w:eastAsia="zh-CN"/>
        </w:rPr>
        <w:tab/>
      </w:r>
      <w:r>
        <w:rPr>
          <w:rFonts w:ascii="Times New Roman" w:eastAsia="仿宋"/>
          <w:sz w:val="30"/>
          <w:szCs w:val="30"/>
          <w:lang w:eastAsia="zh-CN"/>
        </w:rPr>
        <w:t>新税率下合同结算含税金额；</w:t>
      </w:r>
    </w:p>
    <w:p w14:paraId="79FA68BD">
      <w:pPr>
        <w:tabs>
          <w:tab w:val="left" w:pos="709"/>
          <w:tab w:val="left" w:pos="993"/>
        </w:tabs>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ab/>
      </w:r>
      <w:r>
        <w:rPr>
          <w:rFonts w:ascii="Times New Roman" w:eastAsia="仿宋"/>
          <w:sz w:val="30"/>
          <w:szCs w:val="30"/>
          <w:lang w:eastAsia="zh-CN"/>
        </w:rPr>
        <w:t>X1</w:t>
      </w:r>
      <w:r>
        <w:rPr>
          <w:rFonts w:ascii="Times New Roman" w:eastAsia="仿宋"/>
          <w:sz w:val="30"/>
          <w:szCs w:val="30"/>
          <w:lang w:eastAsia="zh-CN"/>
        </w:rPr>
        <w:tab/>
      </w:r>
      <w:r>
        <w:rPr>
          <w:rFonts w:ascii="Times New Roman" w:eastAsia="仿宋"/>
          <w:sz w:val="30"/>
          <w:szCs w:val="30"/>
          <w:lang w:eastAsia="zh-CN"/>
        </w:rPr>
        <w:t>=</w:t>
      </w:r>
      <w:r>
        <w:rPr>
          <w:rFonts w:ascii="Times New Roman" w:eastAsia="仿宋"/>
          <w:sz w:val="30"/>
          <w:szCs w:val="30"/>
          <w:lang w:eastAsia="zh-CN"/>
        </w:rPr>
        <w:tab/>
      </w:r>
      <w:r>
        <w:rPr>
          <w:rFonts w:ascii="Times New Roman" w:eastAsia="仿宋"/>
          <w:sz w:val="30"/>
          <w:szCs w:val="30"/>
          <w:lang w:eastAsia="zh-CN"/>
        </w:rPr>
        <w:t>新税率前已开票含税金额；</w:t>
      </w:r>
    </w:p>
    <w:p w14:paraId="169110C0">
      <w:pPr>
        <w:tabs>
          <w:tab w:val="left" w:pos="709"/>
          <w:tab w:val="left" w:pos="993"/>
        </w:tabs>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ab/>
      </w:r>
      <w:r>
        <w:rPr>
          <w:rFonts w:ascii="Times New Roman" w:eastAsia="仿宋"/>
          <w:sz w:val="30"/>
          <w:szCs w:val="30"/>
          <w:lang w:eastAsia="zh-CN"/>
        </w:rPr>
        <w:t>Y</w:t>
      </w:r>
      <w:r>
        <w:rPr>
          <w:rFonts w:ascii="Times New Roman" w:eastAsia="仿宋"/>
          <w:sz w:val="30"/>
          <w:szCs w:val="30"/>
          <w:lang w:eastAsia="zh-CN"/>
        </w:rPr>
        <w:tab/>
      </w:r>
      <w:r>
        <w:rPr>
          <w:rFonts w:ascii="Times New Roman" w:eastAsia="仿宋"/>
          <w:sz w:val="30"/>
          <w:szCs w:val="30"/>
          <w:lang w:eastAsia="zh-CN"/>
        </w:rPr>
        <w:t>=</w:t>
      </w:r>
      <w:r>
        <w:rPr>
          <w:rFonts w:ascii="Times New Roman" w:eastAsia="仿宋"/>
          <w:sz w:val="30"/>
          <w:szCs w:val="30"/>
          <w:lang w:eastAsia="zh-CN"/>
        </w:rPr>
        <w:tab/>
      </w:r>
      <w:r>
        <w:rPr>
          <w:rFonts w:ascii="Times New Roman" w:eastAsia="仿宋"/>
          <w:sz w:val="30"/>
          <w:szCs w:val="30"/>
          <w:lang w:eastAsia="zh-CN"/>
        </w:rPr>
        <w:t>原税率下合同结算含税金额</w:t>
      </w:r>
      <w:r>
        <w:rPr>
          <w:rFonts w:hint="eastAsia" w:ascii="Times New Roman" w:eastAsia="仿宋"/>
          <w:sz w:val="30"/>
          <w:szCs w:val="30"/>
          <w:lang w:eastAsia="zh-CN"/>
        </w:rPr>
        <w:t>。</w:t>
      </w:r>
    </w:p>
    <w:p w14:paraId="563C536A">
      <w:pPr>
        <w:widowControl/>
        <w:tabs>
          <w:tab w:val="left" w:pos="426"/>
        </w:tabs>
        <w:spacing w:line="560" w:lineRule="exact"/>
        <w:ind w:firstLine="600" w:firstLineChars="200"/>
        <w:rPr>
          <w:rFonts w:ascii="Times New Roman" w:eastAsia="仿宋"/>
          <w:spacing w:val="30"/>
          <w:sz w:val="30"/>
          <w:szCs w:val="30"/>
          <w:lang w:eastAsia="zh-CN"/>
        </w:rPr>
      </w:pPr>
      <w:r>
        <w:rPr>
          <w:rFonts w:ascii="Times New Roman" w:eastAsia="仿宋"/>
          <w:kern w:val="2"/>
          <w:sz w:val="30"/>
          <w:szCs w:val="30"/>
          <w:lang w:eastAsia="zh-CN"/>
        </w:rPr>
        <w:t>合同中约定的发包人需向总承包人支付的任何违约金/赔偿金等，均已包含增值税(适用新税率的，自动适用新税率)，总承包人按合同总价内所列的增值税税率(适用新税率的，按新税率)向发包人提供增值税专用发票后，发包人相应支付违约金/赔偿金等；而总承包人须向发包人支付的任何罚款/违约金/赔偿金等，亦均已包含增值税(适用新税率的，自动适用新税率)，直接从含税合同总价中扣减，而此部分金额无需再向发包人开具增值税发票。</w:t>
      </w:r>
    </w:p>
    <w:p w14:paraId="6358F627">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hint="eastAsia" w:ascii="Times New Roman" w:eastAsia="仿宋"/>
          <w:kern w:val="2"/>
          <w:sz w:val="30"/>
          <w:szCs w:val="30"/>
          <w:lang w:eastAsia="zh-CN"/>
        </w:rPr>
        <w:t>合同工期</w:t>
      </w:r>
    </w:p>
    <w:p w14:paraId="66E81E8B">
      <w:pPr>
        <w:widowControl/>
        <w:tabs>
          <w:tab w:val="left" w:pos="426"/>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ab/>
      </w:r>
      <w:r>
        <w:rPr>
          <w:rFonts w:hint="eastAsia" w:ascii="Times New Roman" w:eastAsia="仿宋"/>
          <w:kern w:val="2"/>
          <w:sz w:val="30"/>
          <w:szCs w:val="30"/>
          <w:lang w:eastAsia="zh-CN"/>
        </w:rPr>
        <w:t>本工程合同工期为</w:t>
      </w:r>
      <w:r>
        <w:rPr>
          <w:rFonts w:hint="eastAsia" w:ascii="Times New Roman" w:eastAsia="仿宋"/>
          <w:kern w:val="2"/>
          <w:sz w:val="30"/>
          <w:szCs w:val="30"/>
          <w:u w:val="single"/>
          <w:lang w:eastAsia="zh-CN"/>
        </w:rPr>
        <w:t>193</w:t>
      </w:r>
      <w:r>
        <w:rPr>
          <w:rFonts w:hint="eastAsia" w:ascii="Times New Roman" w:eastAsia="仿宋"/>
          <w:kern w:val="2"/>
          <w:sz w:val="30"/>
          <w:szCs w:val="30"/>
          <w:lang w:eastAsia="zh-CN"/>
        </w:rPr>
        <w:t>个日历天，暂定开工日期为</w:t>
      </w:r>
      <w:r>
        <w:rPr>
          <w:rFonts w:hint="eastAsia" w:ascii="Times New Roman" w:eastAsia="仿宋"/>
          <w:kern w:val="2"/>
          <w:sz w:val="30"/>
          <w:szCs w:val="30"/>
          <w:u w:val="single"/>
          <w:lang w:eastAsia="zh-CN"/>
        </w:rPr>
        <w:t>2025年9月30日</w:t>
      </w:r>
      <w:r>
        <w:rPr>
          <w:rFonts w:hint="eastAsia" w:ascii="Times New Roman" w:eastAsia="仿宋"/>
          <w:kern w:val="2"/>
          <w:sz w:val="30"/>
          <w:szCs w:val="30"/>
          <w:lang w:eastAsia="zh-CN"/>
        </w:rPr>
        <w:t>（以发包人或发包人委托监理方发出的开工指令为准），总承包人须根据发包人进度要求进行施工。</w:t>
      </w:r>
      <w:r>
        <w:rPr>
          <w:rFonts w:ascii="Times New Roman" w:eastAsia="仿宋"/>
          <w:kern w:val="2"/>
          <w:sz w:val="30"/>
          <w:szCs w:val="30"/>
          <w:lang w:eastAsia="zh-CN"/>
        </w:rPr>
        <w:t>(</w:t>
      </w:r>
      <w:r>
        <w:rPr>
          <w:rFonts w:hint="eastAsia" w:ascii="Times New Roman" w:eastAsia="仿宋"/>
          <w:kern w:val="2"/>
          <w:sz w:val="30"/>
          <w:szCs w:val="30"/>
          <w:lang w:eastAsia="zh-CN"/>
        </w:rPr>
        <w:t>具体工期详见专用条款5.1</w:t>
      </w:r>
      <w:r>
        <w:rPr>
          <w:rFonts w:ascii="Times New Roman" w:eastAsia="仿宋"/>
          <w:kern w:val="2"/>
          <w:sz w:val="30"/>
          <w:szCs w:val="30"/>
          <w:lang w:eastAsia="zh-CN"/>
        </w:rPr>
        <w:t>)</w:t>
      </w:r>
    </w:p>
    <w:p w14:paraId="71E8954E">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质量标准</w:t>
      </w:r>
    </w:p>
    <w:p w14:paraId="02B4D73D">
      <w:pPr>
        <w:widowControl/>
        <w:tabs>
          <w:tab w:val="left" w:pos="426"/>
        </w:tabs>
        <w:spacing w:line="560" w:lineRule="exact"/>
        <w:ind w:firstLine="600" w:firstLineChars="200"/>
        <w:rPr>
          <w:rFonts w:ascii="Times New Roman" w:eastAsia="仿宋"/>
          <w:sz w:val="30"/>
          <w:szCs w:val="30"/>
          <w:lang w:eastAsia="zh-CN"/>
        </w:rPr>
      </w:pPr>
      <w:r>
        <w:rPr>
          <w:rFonts w:ascii="Times New Roman" w:eastAsia="仿宋"/>
          <w:kern w:val="2"/>
          <w:sz w:val="30"/>
          <w:szCs w:val="30"/>
          <w:lang w:eastAsia="zh-CN"/>
        </w:rPr>
        <w:t>本工程要求质量详见技术标准和要求。</w:t>
      </w:r>
    </w:p>
    <w:p w14:paraId="6EB1E30C">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质量保证金保留期</w:t>
      </w:r>
    </w:p>
    <w:p w14:paraId="396043CA">
      <w:pPr>
        <w:widowControl/>
        <w:tabs>
          <w:tab w:val="left" w:pos="1559"/>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本工程质量保证金保留期为</w:t>
      </w:r>
      <w:r>
        <w:rPr>
          <w:rFonts w:hint="eastAsia" w:ascii="Times New Roman" w:eastAsia="仿宋"/>
          <w:kern w:val="2"/>
          <w:sz w:val="30"/>
          <w:szCs w:val="30"/>
          <w:lang w:eastAsia="zh-CN"/>
        </w:rPr>
        <w:t>2年</w:t>
      </w:r>
      <w:r>
        <w:rPr>
          <w:rFonts w:ascii="Times New Roman" w:eastAsia="仿宋"/>
          <w:kern w:val="2"/>
          <w:sz w:val="30"/>
          <w:szCs w:val="30"/>
          <w:lang w:eastAsia="zh-CN"/>
        </w:rPr>
        <w:t>。(具体要求详见通用合同条款第15条)</w:t>
      </w:r>
    </w:p>
    <w:p w14:paraId="3D1573AD">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履约保函金额(详见通用合同条款第3.8条)</w:t>
      </w:r>
      <w:r>
        <w:rPr>
          <w:rFonts w:hint="eastAsia" w:ascii="Times New Roman" w:eastAsia="仿宋"/>
          <w:kern w:val="2"/>
          <w:sz w:val="30"/>
          <w:szCs w:val="30"/>
          <w:lang w:eastAsia="zh-CN"/>
        </w:rPr>
        <w:t xml:space="preserve"> 履约保证金为合同金额的</w:t>
      </w:r>
      <w:r>
        <w:rPr>
          <w:rFonts w:ascii="Times New Roman" w:eastAsia="仿宋"/>
          <w:kern w:val="2"/>
          <w:sz w:val="30"/>
          <w:szCs w:val="30"/>
          <w:lang w:eastAsia="zh-CN"/>
        </w:rPr>
        <w:t>10%。</w:t>
      </w:r>
    </w:p>
    <w:p w14:paraId="7B037EC6">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延误赔偿率详见专用合同条款第5.2</w:t>
      </w:r>
      <w:r>
        <w:rPr>
          <w:rFonts w:hint="eastAsia" w:ascii="Times New Roman" w:eastAsia="仿宋"/>
          <w:kern w:val="2"/>
          <w:sz w:val="30"/>
          <w:szCs w:val="30"/>
          <w:lang w:eastAsia="zh-CN"/>
        </w:rPr>
        <w:t>及5</w:t>
      </w:r>
      <w:r>
        <w:rPr>
          <w:rFonts w:ascii="Times New Roman" w:eastAsia="仿宋"/>
          <w:kern w:val="2"/>
          <w:sz w:val="30"/>
          <w:szCs w:val="30"/>
          <w:lang w:eastAsia="zh-CN"/>
        </w:rPr>
        <w:t>.3条。</w:t>
      </w:r>
    </w:p>
    <w:p w14:paraId="50236458">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付款详见专用合同条款第9.2条。</w:t>
      </w:r>
    </w:p>
    <w:p w14:paraId="78CD6BE4">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合同文件构成及解释</w:t>
      </w:r>
    </w:p>
    <w:p w14:paraId="7BB1078E">
      <w:pPr>
        <w:widowControl/>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9.1 下列各文件(以下简称“合同文件”)应被视为组成并理解和解释合同文件的一部分：</w:t>
      </w:r>
    </w:p>
    <w:p w14:paraId="517BCAFF">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合同协议书</w:t>
      </w:r>
    </w:p>
    <w:p w14:paraId="15276E95">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中标通知书</w:t>
      </w:r>
    </w:p>
    <w:p w14:paraId="24CA0AB8">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合同签署前的往来函件</w:t>
      </w:r>
    </w:p>
    <w:p w14:paraId="7609FE58">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专用合同条款</w:t>
      </w:r>
    </w:p>
    <w:p w14:paraId="786F7D70">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通用合同条款</w:t>
      </w:r>
    </w:p>
    <w:p w14:paraId="682C1B1C">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技术标准和要求</w:t>
      </w:r>
    </w:p>
    <w:p w14:paraId="7F18F0E3">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图纸目录及其所列合同图纸</w:t>
      </w:r>
    </w:p>
    <w:p w14:paraId="7ADE2DFF">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工程量清单</w:t>
      </w:r>
    </w:p>
    <w:p w14:paraId="38978174">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其他合同文件（工程质量保修协议、变更签证作业指引、合同结算作业指引、工程款支付作业指引、廉洁协议、阳光宣言、诚信承诺书、专业分包合同条款、建筑工程一切险及第三者责任险保单复印件）</w:t>
      </w:r>
    </w:p>
    <w:p w14:paraId="274E15AF">
      <w:pPr>
        <w:widowControl/>
        <w:numPr>
          <w:ilvl w:val="0"/>
          <w:numId w:val="2"/>
        </w:numPr>
        <w:tabs>
          <w:tab w:val="left" w:pos="1700"/>
          <w:tab w:val="clear" w:pos="425"/>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投标文件（包括投标函、投标须知及技术标；其中技术标投标文件仅供参考，另行装订）</w:t>
      </w:r>
    </w:p>
    <w:p w14:paraId="79A2AC8B">
      <w:pPr>
        <w:widowControl/>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 xml:space="preserve">9.2 </w:t>
      </w:r>
      <w:r>
        <w:rPr>
          <w:rFonts w:ascii="Times New Roman" w:eastAsia="仿宋"/>
          <w:kern w:val="2"/>
          <w:sz w:val="30"/>
          <w:szCs w:val="30"/>
          <w:lang w:eastAsia="zh-CN"/>
        </w:rPr>
        <w:tab/>
      </w:r>
      <w:r>
        <w:rPr>
          <w:rFonts w:ascii="Times New Roman" w:eastAsia="仿宋"/>
          <w:kern w:val="2"/>
          <w:sz w:val="30"/>
          <w:szCs w:val="30"/>
          <w:lang w:eastAsia="zh-CN"/>
        </w:rPr>
        <w:t>若合同文件之间有任何矛盾，以上述解释顺序为准。任何不列在上的其他文件皆不成为合同文件的一部份，其内容不能影响合同文件的含意，除非双方同意签认作为本合同的补充。</w:t>
      </w:r>
    </w:p>
    <w:p w14:paraId="70C245C2">
      <w:pPr>
        <w:widowControl/>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9.3</w:t>
      </w:r>
      <w:r>
        <w:rPr>
          <w:rFonts w:ascii="Times New Roman" w:eastAsia="仿宋"/>
          <w:kern w:val="2"/>
          <w:sz w:val="30"/>
          <w:szCs w:val="30"/>
          <w:lang w:eastAsia="zh-CN"/>
        </w:rPr>
        <w:tab/>
      </w:r>
      <w:r>
        <w:rPr>
          <w:rFonts w:ascii="Times New Roman" w:eastAsia="仿宋"/>
          <w:kern w:val="2"/>
          <w:sz w:val="30"/>
          <w:szCs w:val="30"/>
          <w:lang w:eastAsia="zh-CN"/>
        </w:rPr>
        <w:t>上述第6项技术标准和要求和（或）第7项合同图纸内不一致的，以</w:t>
      </w:r>
      <w:r>
        <w:rPr>
          <w:rFonts w:hint="eastAsia" w:ascii="Times New Roman" w:eastAsia="仿宋"/>
          <w:kern w:val="2"/>
          <w:sz w:val="30"/>
          <w:szCs w:val="30"/>
          <w:lang w:eastAsia="zh-CN"/>
        </w:rPr>
        <w:t>最高标准</w:t>
      </w:r>
      <w:r>
        <w:rPr>
          <w:rFonts w:ascii="Times New Roman" w:eastAsia="仿宋"/>
          <w:kern w:val="2"/>
          <w:sz w:val="30"/>
          <w:szCs w:val="30"/>
          <w:lang w:eastAsia="zh-CN"/>
        </w:rPr>
        <w:t>者为准。</w:t>
      </w:r>
    </w:p>
    <w:p w14:paraId="67FB07A7">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总承包人认可下列银行账户信息为收款账户：</w:t>
      </w:r>
    </w:p>
    <w:p w14:paraId="24618C54">
      <w:pPr>
        <w:widowControl/>
        <w:tabs>
          <w:tab w:val="left" w:pos="1559"/>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开户银行：</w:t>
      </w:r>
      <w:r>
        <w:rPr>
          <w:rFonts w:hint="eastAsia" w:ascii="Times New Roman" w:eastAsia="仿宋"/>
          <w:kern w:val="2"/>
          <w:sz w:val="30"/>
          <w:szCs w:val="30"/>
          <w:u w:val="single"/>
          <w:lang w:eastAsia="zh-CN"/>
        </w:rPr>
        <w:t xml:space="preserve">                   </w:t>
      </w:r>
      <w:r>
        <w:rPr>
          <w:rFonts w:hint="eastAsia" w:ascii="Times New Roman" w:eastAsia="仿宋"/>
          <w:kern w:val="2"/>
          <w:sz w:val="30"/>
          <w:szCs w:val="30"/>
          <w:lang w:eastAsia="zh-CN"/>
        </w:rPr>
        <w:t>；</w:t>
      </w:r>
    </w:p>
    <w:p w14:paraId="4D513341">
      <w:pPr>
        <w:widowControl/>
        <w:tabs>
          <w:tab w:val="left" w:pos="1559"/>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户名：</w:t>
      </w:r>
      <w:r>
        <w:rPr>
          <w:rFonts w:hint="eastAsia" w:ascii="Times New Roman" w:eastAsia="仿宋"/>
          <w:kern w:val="2"/>
          <w:sz w:val="30"/>
          <w:szCs w:val="30"/>
          <w:u w:val="single"/>
          <w:lang w:eastAsia="zh-CN"/>
        </w:rPr>
        <w:t xml:space="preserve">                 </w:t>
      </w:r>
      <w:r>
        <w:rPr>
          <w:rFonts w:hint="eastAsia" w:ascii="Times New Roman" w:eastAsia="仿宋"/>
          <w:kern w:val="2"/>
          <w:sz w:val="30"/>
          <w:szCs w:val="30"/>
          <w:lang w:eastAsia="zh-CN"/>
        </w:rPr>
        <w:t>；</w:t>
      </w:r>
    </w:p>
    <w:p w14:paraId="3F281C0E">
      <w:pPr>
        <w:widowControl/>
        <w:tabs>
          <w:tab w:val="left" w:pos="1559"/>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开户账号：</w:t>
      </w:r>
      <w:r>
        <w:rPr>
          <w:rFonts w:hint="eastAsia" w:ascii="Times New Roman" w:eastAsia="仿宋"/>
          <w:kern w:val="2"/>
          <w:sz w:val="30"/>
          <w:szCs w:val="30"/>
          <w:u w:val="single"/>
          <w:lang w:eastAsia="zh-CN"/>
        </w:rPr>
        <w:t xml:space="preserve">        </w:t>
      </w:r>
      <w:r>
        <w:rPr>
          <w:rFonts w:hint="eastAsia" w:ascii="Times New Roman" w:eastAsia="仿宋"/>
          <w:kern w:val="2"/>
          <w:sz w:val="30"/>
          <w:szCs w:val="30"/>
          <w:lang w:eastAsia="zh-CN"/>
        </w:rPr>
        <w:t>；</w:t>
      </w:r>
    </w:p>
    <w:p w14:paraId="00C91DF4">
      <w:pPr>
        <w:widowControl/>
        <w:tabs>
          <w:tab w:val="left" w:pos="567"/>
          <w:tab w:val="left" w:pos="8789"/>
        </w:tabs>
        <w:spacing w:line="560" w:lineRule="exact"/>
        <w:ind w:firstLine="600" w:firstLineChars="200"/>
        <w:rPr>
          <w:rFonts w:ascii="Times New Roman" w:eastAsia="仿宋"/>
          <w:kern w:val="2"/>
          <w:sz w:val="30"/>
          <w:szCs w:val="30"/>
          <w:lang w:eastAsia="zh-CN"/>
        </w:rPr>
      </w:pPr>
      <w:r>
        <w:rPr>
          <w:rFonts w:hint="eastAsia" w:ascii="Times New Roman" w:eastAsia="仿宋"/>
          <w:kern w:val="2"/>
          <w:sz w:val="30"/>
          <w:szCs w:val="30"/>
          <w:lang w:eastAsia="zh-CN"/>
        </w:rPr>
        <w:t>银行地址：</w:t>
      </w:r>
      <w:r>
        <w:rPr>
          <w:rFonts w:hint="eastAsia" w:ascii="Times New Roman" w:eastAsia="仿宋"/>
          <w:kern w:val="2"/>
          <w:sz w:val="30"/>
          <w:szCs w:val="30"/>
          <w:u w:val="single"/>
          <w:lang w:eastAsia="zh-CN"/>
        </w:rPr>
        <w:t xml:space="preserve">        </w:t>
      </w:r>
      <w:r>
        <w:rPr>
          <w:rFonts w:hint="eastAsia" w:ascii="Times New Roman" w:eastAsia="仿宋"/>
          <w:kern w:val="2"/>
          <w:sz w:val="30"/>
          <w:szCs w:val="30"/>
          <w:lang w:eastAsia="zh-CN"/>
        </w:rPr>
        <w:t>。</w:t>
      </w:r>
    </w:p>
    <w:p w14:paraId="3E8EDD73">
      <w:pPr>
        <w:widowControl/>
        <w:tabs>
          <w:tab w:val="left" w:pos="567"/>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总承包人确认，其对账户信息的管理及准确性负有完全责任，发包人无义务进行审核，账户信息错误的责任由总承包人负责，导致的任何损失均由总承包人自行承担。如总承包人变更账户的，应在下一付款节点前尽早书面通知发包人，并由双方签署账户变更的补充协议，在此补充协议完成签署前，发包人有权暂不付款。</w:t>
      </w:r>
    </w:p>
    <w:p w14:paraId="09D26D62">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合同份数</w:t>
      </w:r>
    </w:p>
    <w:p w14:paraId="68BAF70E">
      <w:pPr>
        <w:widowControl/>
        <w:tabs>
          <w:tab w:val="left" w:pos="510"/>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本协议及其附件用中文书写。一</w:t>
      </w:r>
      <w:r>
        <w:rPr>
          <w:rFonts w:hint="eastAsia" w:ascii="Times New Roman" w:eastAsia="仿宋"/>
          <w:kern w:val="2"/>
          <w:sz w:val="30"/>
          <w:szCs w:val="30"/>
          <w:lang w:eastAsia="zh-CN"/>
        </w:rPr>
        <w:t>式陆份，</w:t>
      </w:r>
      <w:r>
        <w:rPr>
          <w:rFonts w:hint="eastAsia" w:ascii="Times New Roman" w:eastAsia="仿宋"/>
          <w:kern w:val="2"/>
          <w:sz w:val="30"/>
          <w:szCs w:val="30"/>
          <w:u w:val="single"/>
          <w:lang w:eastAsia="zh-CN"/>
        </w:rPr>
        <w:t>4</w:t>
      </w:r>
      <w:r>
        <w:rPr>
          <w:rFonts w:ascii="Times New Roman" w:eastAsia="仿宋"/>
          <w:kern w:val="2"/>
          <w:sz w:val="30"/>
          <w:szCs w:val="30"/>
          <w:lang w:eastAsia="zh-CN"/>
        </w:rPr>
        <w:t>正</w:t>
      </w:r>
      <w:r>
        <w:rPr>
          <w:rFonts w:hint="eastAsia" w:ascii="Times New Roman" w:eastAsia="仿宋"/>
          <w:kern w:val="2"/>
          <w:sz w:val="30"/>
          <w:szCs w:val="30"/>
          <w:u w:val="single"/>
          <w:lang w:eastAsia="zh-CN"/>
        </w:rPr>
        <w:t>2</w:t>
      </w:r>
      <w:r>
        <w:rPr>
          <w:rFonts w:ascii="Times New Roman" w:eastAsia="仿宋"/>
          <w:kern w:val="2"/>
          <w:sz w:val="30"/>
          <w:szCs w:val="30"/>
          <w:lang w:eastAsia="zh-CN"/>
        </w:rPr>
        <w:t>副，发包人执</w:t>
      </w:r>
      <w:r>
        <w:rPr>
          <w:rFonts w:hint="eastAsia" w:ascii="Times New Roman" w:eastAsia="仿宋"/>
          <w:kern w:val="2"/>
          <w:sz w:val="30"/>
          <w:szCs w:val="30"/>
          <w:u w:val="single"/>
          <w:lang w:eastAsia="zh-CN"/>
        </w:rPr>
        <w:t>3</w:t>
      </w:r>
      <w:r>
        <w:rPr>
          <w:rFonts w:ascii="Times New Roman" w:eastAsia="仿宋"/>
          <w:kern w:val="2"/>
          <w:sz w:val="30"/>
          <w:szCs w:val="30"/>
          <w:lang w:eastAsia="zh-CN"/>
        </w:rPr>
        <w:t>正</w:t>
      </w:r>
      <w:r>
        <w:rPr>
          <w:rFonts w:hint="eastAsia" w:ascii="Times New Roman" w:eastAsia="仿宋"/>
          <w:kern w:val="2"/>
          <w:sz w:val="30"/>
          <w:szCs w:val="30"/>
          <w:u w:val="single"/>
          <w:lang w:eastAsia="zh-CN"/>
        </w:rPr>
        <w:t>1</w:t>
      </w:r>
      <w:r>
        <w:rPr>
          <w:rFonts w:hint="eastAsia" w:ascii="Times New Roman" w:eastAsia="仿宋"/>
          <w:kern w:val="2"/>
          <w:sz w:val="30"/>
          <w:szCs w:val="30"/>
          <w:lang w:eastAsia="zh-CN"/>
        </w:rPr>
        <w:t>副</w:t>
      </w:r>
      <w:r>
        <w:rPr>
          <w:rFonts w:ascii="Times New Roman" w:eastAsia="仿宋"/>
          <w:kern w:val="2"/>
          <w:sz w:val="30"/>
          <w:szCs w:val="30"/>
          <w:lang w:eastAsia="zh-CN"/>
        </w:rPr>
        <w:t>，总承包人执</w:t>
      </w:r>
      <w:r>
        <w:rPr>
          <w:rFonts w:hint="eastAsia" w:ascii="Times New Roman" w:eastAsia="仿宋"/>
          <w:kern w:val="2"/>
          <w:sz w:val="30"/>
          <w:szCs w:val="30"/>
          <w:u w:val="single"/>
          <w:lang w:eastAsia="zh-CN"/>
        </w:rPr>
        <w:t>1</w:t>
      </w:r>
      <w:r>
        <w:rPr>
          <w:rFonts w:hint="eastAsia" w:ascii="Times New Roman" w:eastAsia="仿宋"/>
          <w:kern w:val="2"/>
          <w:sz w:val="30"/>
          <w:szCs w:val="30"/>
          <w:lang w:eastAsia="zh-CN"/>
        </w:rPr>
        <w:t>正</w:t>
      </w:r>
      <w:r>
        <w:rPr>
          <w:rFonts w:hint="eastAsia" w:ascii="Times New Roman" w:eastAsia="仿宋"/>
          <w:kern w:val="2"/>
          <w:sz w:val="30"/>
          <w:szCs w:val="30"/>
          <w:u w:val="single"/>
          <w:lang w:eastAsia="zh-CN"/>
        </w:rPr>
        <w:t>1</w:t>
      </w:r>
      <w:r>
        <w:rPr>
          <w:rFonts w:hint="eastAsia" w:ascii="Times New Roman" w:eastAsia="仿宋"/>
          <w:kern w:val="2"/>
          <w:sz w:val="30"/>
          <w:szCs w:val="30"/>
          <w:lang w:eastAsia="zh-CN"/>
        </w:rPr>
        <w:t>副</w:t>
      </w:r>
      <w:r>
        <w:rPr>
          <w:rFonts w:ascii="Times New Roman" w:eastAsia="仿宋"/>
          <w:kern w:val="2"/>
          <w:sz w:val="30"/>
          <w:szCs w:val="30"/>
          <w:lang w:eastAsia="zh-CN"/>
        </w:rPr>
        <w:t>，正副本不一致的，以正本为准。</w:t>
      </w:r>
      <w:r>
        <w:rPr>
          <w:rFonts w:ascii="Times New Roman" w:eastAsia="仿宋"/>
          <w:kern w:val="2"/>
          <w:sz w:val="30"/>
          <w:szCs w:val="30"/>
          <w:lang w:eastAsia="zh-CN"/>
        </w:rPr>
        <w:tab/>
      </w:r>
    </w:p>
    <w:p w14:paraId="67A4C59A">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其他条款</w:t>
      </w:r>
    </w:p>
    <w:p w14:paraId="373D85E7">
      <w:pPr>
        <w:widowControl/>
        <w:numPr>
          <w:ilvl w:val="0"/>
          <w:numId w:val="1"/>
        </w:numPr>
        <w:tabs>
          <w:tab w:val="left" w:pos="426"/>
        </w:tabs>
        <w:spacing w:line="560" w:lineRule="exact"/>
        <w:ind w:left="0" w:firstLine="600" w:firstLineChars="200"/>
        <w:rPr>
          <w:rFonts w:ascii="Times New Roman" w:eastAsia="仿宋"/>
          <w:kern w:val="2"/>
          <w:sz w:val="30"/>
          <w:szCs w:val="30"/>
          <w:lang w:eastAsia="zh-CN"/>
        </w:rPr>
      </w:pPr>
      <w:r>
        <w:rPr>
          <w:rFonts w:ascii="Times New Roman" w:eastAsia="仿宋"/>
          <w:kern w:val="2"/>
          <w:sz w:val="30"/>
          <w:szCs w:val="30"/>
          <w:lang w:eastAsia="zh-CN"/>
        </w:rPr>
        <w:t>本合同自双方盖章之日起生效，对双方均有约束力。</w:t>
      </w:r>
    </w:p>
    <w:p w14:paraId="4E46CA68">
      <w:pPr>
        <w:widowControl/>
        <w:tabs>
          <w:tab w:val="left" w:pos="8789"/>
        </w:tabs>
        <w:spacing w:line="560" w:lineRule="exact"/>
        <w:rPr>
          <w:rFonts w:ascii="Times New Roman" w:eastAsia="仿宋"/>
          <w:kern w:val="2"/>
          <w:sz w:val="30"/>
          <w:szCs w:val="30"/>
          <w:lang w:eastAsia="zh-CN"/>
        </w:rPr>
      </w:pPr>
      <w:r>
        <w:rPr>
          <w:rFonts w:ascii="Times New Roman" w:eastAsia="仿宋"/>
          <w:kern w:val="2"/>
          <w:sz w:val="30"/>
          <w:szCs w:val="30"/>
          <w:lang w:eastAsia="zh-CN"/>
        </w:rPr>
        <w:t>（以下无正文）</w:t>
      </w:r>
    </w:p>
    <w:p w14:paraId="0CCFC94F">
      <w:pPr>
        <w:pStyle w:val="2"/>
        <w:rPr>
          <w:rFonts w:ascii="Times New Roman" w:hAnsi="Times New Roman" w:eastAsiaTheme="minorEastAsia"/>
          <w:lang w:eastAsia="zh-CN"/>
        </w:rPr>
      </w:pPr>
    </w:p>
    <w:p w14:paraId="1A6A80CB">
      <w:pPr>
        <w:rPr>
          <w:rFonts w:ascii="Times New Roman" w:eastAsiaTheme="minorEastAsia"/>
          <w:lang w:eastAsia="zh-CN"/>
        </w:rPr>
      </w:pPr>
    </w:p>
    <w:p w14:paraId="02DB9BDB">
      <w:pPr>
        <w:widowControl/>
        <w:tabs>
          <w:tab w:val="left" w:pos="4820"/>
          <w:tab w:val="left" w:pos="5104"/>
          <w:tab w:val="left" w:pos="6804"/>
          <w:tab w:val="left" w:pos="8789"/>
        </w:tabs>
        <w:spacing w:line="560" w:lineRule="exact"/>
        <w:ind w:firstLine="600" w:firstLineChars="200"/>
        <w:rPr>
          <w:rFonts w:ascii="Times New Roman" w:eastAsia="仿宋"/>
          <w:kern w:val="2"/>
          <w:sz w:val="30"/>
          <w:szCs w:val="30"/>
          <w:lang w:eastAsia="zh-CN"/>
        </w:rPr>
      </w:pPr>
    </w:p>
    <w:p w14:paraId="3DF6C533">
      <w:pPr>
        <w:rPr>
          <w:rFonts w:eastAsiaTheme="minorEastAsia"/>
          <w:lang w:eastAsia="zh-CN"/>
        </w:rPr>
      </w:pPr>
    </w:p>
    <w:p w14:paraId="3EF8088D">
      <w:pPr>
        <w:widowControl/>
        <w:tabs>
          <w:tab w:val="left" w:pos="4820"/>
          <w:tab w:val="left" w:pos="5104"/>
          <w:tab w:val="left" w:pos="6804"/>
          <w:tab w:val="left" w:pos="8789"/>
        </w:tabs>
        <w:spacing w:line="560" w:lineRule="exact"/>
        <w:rPr>
          <w:rFonts w:ascii="Times New Roman" w:eastAsia="仿宋"/>
          <w:b/>
          <w:kern w:val="2"/>
          <w:sz w:val="30"/>
          <w:szCs w:val="30"/>
          <w:lang w:eastAsia="zh-CN"/>
        </w:rPr>
      </w:pPr>
      <w:r>
        <w:rPr>
          <w:rFonts w:ascii="Times New Roman" w:eastAsia="仿宋"/>
          <w:kern w:val="2"/>
          <w:sz w:val="30"/>
          <w:szCs w:val="30"/>
          <w:lang w:eastAsia="zh-CN"/>
        </w:rPr>
        <w:t>发包人：</w:t>
      </w:r>
      <w:r>
        <w:rPr>
          <w:rFonts w:hint="eastAsia" w:ascii="Times New Roman" w:eastAsia="仿宋"/>
          <w:kern w:val="2"/>
          <w:sz w:val="30"/>
          <w:szCs w:val="30"/>
          <w:lang w:eastAsia="zh-CN"/>
        </w:rPr>
        <w:t xml:space="preserve">（盖章）                </w:t>
      </w:r>
      <w:r>
        <w:rPr>
          <w:rFonts w:ascii="Times New Roman" w:eastAsia="仿宋"/>
          <w:kern w:val="2"/>
          <w:sz w:val="30"/>
          <w:szCs w:val="30"/>
          <w:lang w:eastAsia="zh-CN"/>
        </w:rPr>
        <w:t>总承包人：</w:t>
      </w:r>
      <w:r>
        <w:rPr>
          <w:rFonts w:hint="eastAsia" w:ascii="Times New Roman" w:eastAsia="仿宋"/>
          <w:kern w:val="2"/>
          <w:sz w:val="30"/>
          <w:szCs w:val="30"/>
          <w:lang w:eastAsia="zh-CN"/>
        </w:rPr>
        <w:t>（盖章）</w:t>
      </w:r>
    </w:p>
    <w:p w14:paraId="4C6CDD97">
      <w:pPr>
        <w:widowControl/>
        <w:tabs>
          <w:tab w:val="left" w:pos="4820"/>
          <w:tab w:val="left" w:pos="5104"/>
          <w:tab w:val="left" w:pos="6804"/>
          <w:tab w:val="left" w:pos="8789"/>
        </w:tabs>
        <w:spacing w:line="560" w:lineRule="exact"/>
        <w:ind w:firstLine="600" w:firstLineChars="200"/>
        <w:rPr>
          <w:rFonts w:ascii="Times New Roman" w:eastAsia="仿宋"/>
          <w:kern w:val="2"/>
          <w:sz w:val="30"/>
          <w:szCs w:val="30"/>
          <w:lang w:eastAsia="zh-CN"/>
        </w:rPr>
      </w:pPr>
    </w:p>
    <w:p w14:paraId="077DD7EE">
      <w:pPr>
        <w:pStyle w:val="2"/>
        <w:rPr>
          <w:rFonts w:eastAsiaTheme="minorEastAsia"/>
          <w:lang w:eastAsia="zh-CN"/>
        </w:rPr>
      </w:pPr>
    </w:p>
    <w:p w14:paraId="01D1726C">
      <w:pPr>
        <w:rPr>
          <w:rFonts w:eastAsiaTheme="minorEastAsia"/>
          <w:lang w:eastAsia="zh-CN"/>
        </w:rPr>
      </w:pPr>
    </w:p>
    <w:p w14:paraId="5B1F4C1C">
      <w:pPr>
        <w:pStyle w:val="2"/>
        <w:rPr>
          <w:rFonts w:eastAsiaTheme="minorEastAsia"/>
          <w:lang w:eastAsia="zh-CN"/>
        </w:rPr>
      </w:pPr>
    </w:p>
    <w:p w14:paraId="5AB7B4D3">
      <w:pPr>
        <w:pStyle w:val="2"/>
        <w:rPr>
          <w:rFonts w:eastAsiaTheme="minorEastAsia"/>
          <w:lang w:eastAsia="zh-CN"/>
        </w:rPr>
      </w:pPr>
    </w:p>
    <w:p w14:paraId="54A0EDA6">
      <w:pPr>
        <w:widowControl/>
        <w:tabs>
          <w:tab w:val="left" w:pos="4820"/>
          <w:tab w:val="left" w:pos="5104"/>
          <w:tab w:val="left" w:pos="6804"/>
          <w:tab w:val="left" w:pos="8789"/>
        </w:tabs>
        <w:spacing w:line="560" w:lineRule="exact"/>
        <w:rPr>
          <w:rFonts w:ascii="Times New Roman" w:eastAsia="仿宋"/>
          <w:kern w:val="2"/>
          <w:sz w:val="30"/>
          <w:szCs w:val="30"/>
          <w:lang w:eastAsia="zh-CN"/>
        </w:rPr>
      </w:pPr>
      <w:r>
        <w:rPr>
          <w:rFonts w:hint="eastAsia" w:ascii="Times New Roman" w:eastAsia="仿宋"/>
          <w:kern w:val="2"/>
          <w:sz w:val="30"/>
          <w:szCs w:val="30"/>
          <w:lang w:eastAsia="zh-CN"/>
        </w:rPr>
        <w:t>法定代表人或                     法定代表人或</w:t>
      </w:r>
    </w:p>
    <w:p w14:paraId="3CC9E1D5">
      <w:pPr>
        <w:pStyle w:val="2"/>
        <w:rPr>
          <w:rFonts w:ascii="Times New Roman" w:hAnsi="Times New Roman" w:eastAsia="仿宋"/>
          <w:kern w:val="2"/>
          <w:sz w:val="30"/>
          <w:szCs w:val="30"/>
          <w:lang w:eastAsia="zh-CN"/>
        </w:rPr>
      </w:pPr>
      <w:r>
        <w:rPr>
          <w:rFonts w:hint="eastAsia" w:ascii="Times New Roman" w:hAnsi="Times New Roman" w:eastAsia="仿宋"/>
          <w:kern w:val="2"/>
          <w:sz w:val="30"/>
          <w:szCs w:val="30"/>
          <w:lang w:eastAsia="zh-CN"/>
        </w:rPr>
        <w:t>委托代理人：                     委托代理人：</w:t>
      </w:r>
    </w:p>
    <w:p w14:paraId="27E96AC4">
      <w:pPr>
        <w:widowControl/>
        <w:tabs>
          <w:tab w:val="left" w:pos="4820"/>
          <w:tab w:val="left" w:pos="5104"/>
          <w:tab w:val="left" w:pos="6804"/>
          <w:tab w:val="left" w:pos="8789"/>
        </w:tabs>
        <w:spacing w:line="560" w:lineRule="exact"/>
        <w:ind w:firstLine="600" w:firstLineChars="200"/>
        <w:rPr>
          <w:rFonts w:ascii="Times New Roman" w:eastAsia="仿宋"/>
          <w:kern w:val="2"/>
          <w:sz w:val="30"/>
          <w:szCs w:val="30"/>
          <w:lang w:eastAsia="zh-CN"/>
        </w:rPr>
      </w:pPr>
    </w:p>
    <w:p w14:paraId="40B1B87F">
      <w:pPr>
        <w:widowControl/>
        <w:tabs>
          <w:tab w:val="left" w:pos="4820"/>
          <w:tab w:val="left" w:pos="5104"/>
          <w:tab w:val="left" w:pos="6804"/>
          <w:tab w:val="left" w:pos="8789"/>
        </w:tabs>
        <w:spacing w:line="560" w:lineRule="exact"/>
        <w:ind w:firstLine="600" w:firstLineChars="200"/>
        <w:rPr>
          <w:rFonts w:ascii="Times New Roman" w:eastAsia="仿宋"/>
          <w:kern w:val="2"/>
          <w:sz w:val="30"/>
          <w:szCs w:val="30"/>
          <w:lang w:eastAsia="zh-CN"/>
        </w:rPr>
      </w:pPr>
    </w:p>
    <w:p w14:paraId="7CFFAB10">
      <w:pPr>
        <w:widowControl/>
        <w:tabs>
          <w:tab w:val="left" w:pos="4820"/>
          <w:tab w:val="left" w:pos="5104"/>
          <w:tab w:val="left" w:pos="6804"/>
          <w:tab w:val="left" w:pos="8789"/>
        </w:tabs>
        <w:spacing w:line="560" w:lineRule="exact"/>
        <w:ind w:firstLine="600" w:firstLineChars="200"/>
        <w:rPr>
          <w:rFonts w:ascii="Times New Roman" w:eastAsia="仿宋"/>
          <w:kern w:val="2"/>
          <w:sz w:val="30"/>
          <w:szCs w:val="30"/>
          <w:lang w:eastAsia="zh-CN"/>
        </w:rPr>
      </w:pPr>
    </w:p>
    <w:p w14:paraId="7752773A">
      <w:pPr>
        <w:widowControl/>
        <w:tabs>
          <w:tab w:val="left" w:pos="4820"/>
          <w:tab w:val="left" w:pos="5104"/>
          <w:tab w:val="left" w:pos="6804"/>
          <w:tab w:val="left" w:pos="8789"/>
        </w:tabs>
        <w:spacing w:line="560" w:lineRule="exact"/>
        <w:ind w:firstLine="600" w:firstLineChars="200"/>
        <w:rPr>
          <w:rFonts w:ascii="Times New Roman" w:eastAsia="仿宋"/>
          <w:kern w:val="2"/>
          <w:sz w:val="30"/>
          <w:szCs w:val="30"/>
          <w:lang w:eastAsia="zh-CN"/>
        </w:rPr>
      </w:pPr>
      <w:r>
        <w:rPr>
          <w:rFonts w:ascii="Times New Roman" w:eastAsia="仿宋"/>
          <w:kern w:val="2"/>
          <w:sz w:val="30"/>
          <w:szCs w:val="30"/>
          <w:lang w:eastAsia="zh-CN"/>
        </w:rPr>
        <w:tab/>
      </w:r>
      <w:r>
        <w:rPr>
          <w:rFonts w:ascii="Times New Roman" w:eastAsia="仿宋"/>
          <w:kern w:val="2"/>
          <w:sz w:val="30"/>
          <w:szCs w:val="30"/>
          <w:lang w:eastAsia="zh-CN"/>
        </w:rPr>
        <w:tab/>
      </w:r>
      <w:r>
        <w:rPr>
          <w:rFonts w:ascii="Times New Roman" w:eastAsia="仿宋"/>
          <w:kern w:val="2"/>
          <w:sz w:val="30"/>
          <w:szCs w:val="30"/>
          <w:lang w:eastAsia="zh-CN"/>
        </w:rPr>
        <w:tab/>
      </w:r>
    </w:p>
    <w:p w14:paraId="31B4D3FF">
      <w:pPr>
        <w:spacing w:line="560" w:lineRule="exact"/>
        <w:rPr>
          <w:rFonts w:ascii="Times New Roman" w:eastAsia="仿宋"/>
          <w:color w:val="000000"/>
          <w:sz w:val="30"/>
          <w:szCs w:val="30"/>
          <w:lang w:eastAsia="zh-CN"/>
        </w:rPr>
      </w:pPr>
      <w:r>
        <w:rPr>
          <w:rFonts w:ascii="Times New Roman" w:eastAsia="仿宋"/>
          <w:color w:val="000000"/>
          <w:sz w:val="30"/>
          <w:szCs w:val="30"/>
          <w:lang w:eastAsia="zh-CN"/>
        </w:rPr>
        <w:t>日期：</w:t>
      </w:r>
      <w:r>
        <w:rPr>
          <w:rFonts w:hint="eastAsia" w:ascii="Times New Roman" w:eastAsia="仿宋"/>
          <w:color w:val="000000"/>
          <w:sz w:val="30"/>
          <w:szCs w:val="30"/>
          <w:lang w:eastAsia="zh-CN"/>
        </w:rPr>
        <w:t xml:space="preserve">                            日期：</w:t>
      </w:r>
    </w:p>
    <w:p w14:paraId="0135B515">
      <w:pPr>
        <w:pStyle w:val="2"/>
        <w:rPr>
          <w:rFonts w:eastAsiaTheme="minorEastAsia"/>
          <w:lang w:eastAsia="zh-CN"/>
        </w:rPr>
      </w:pPr>
    </w:p>
    <w:p w14:paraId="04709922">
      <w:pPr>
        <w:rPr>
          <w:rFonts w:eastAsiaTheme="minorEastAsia"/>
          <w:lang w:eastAsia="zh-CN"/>
        </w:rPr>
      </w:pPr>
    </w:p>
    <w:p w14:paraId="6EAF7129">
      <w:pPr>
        <w:pStyle w:val="2"/>
        <w:rPr>
          <w:rFonts w:eastAsiaTheme="minorEastAsia"/>
          <w:lang w:eastAsia="zh-CN"/>
        </w:rPr>
      </w:pPr>
    </w:p>
    <w:p w14:paraId="5B9525FD">
      <w:pPr>
        <w:rPr>
          <w:rFonts w:eastAsiaTheme="minorEastAsia"/>
          <w:lang w:eastAsia="zh-CN"/>
        </w:rPr>
      </w:pPr>
    </w:p>
    <w:p w14:paraId="03DF51AD">
      <w:pPr>
        <w:pStyle w:val="2"/>
        <w:rPr>
          <w:lang w:eastAsia="zh-CN"/>
        </w:rPr>
      </w:pPr>
    </w:p>
    <w:p w14:paraId="294D0981">
      <w:pPr>
        <w:pStyle w:val="2"/>
        <w:rPr>
          <w:rFonts w:eastAsiaTheme="minorEastAsia"/>
          <w:lang w:eastAsia="zh-CN"/>
        </w:rPr>
      </w:pPr>
    </w:p>
    <w:p w14:paraId="0B72616C">
      <w:pPr>
        <w:rPr>
          <w:rFonts w:eastAsiaTheme="minorEastAsia"/>
          <w:lang w:eastAsia="zh-CN"/>
        </w:rPr>
      </w:pPr>
    </w:p>
    <w:p w14:paraId="3E10319E">
      <w:pPr>
        <w:pStyle w:val="3"/>
        <w:rPr>
          <w:rFonts w:ascii="Times New Roman" w:eastAsia="黑体"/>
          <w:b w:val="0"/>
          <w:bCs/>
          <w:sz w:val="32"/>
          <w:szCs w:val="32"/>
          <w:lang w:eastAsia="zh-CN"/>
        </w:rPr>
      </w:pPr>
      <w:bookmarkStart w:id="8" w:name="_Toc82531183"/>
      <w:bookmarkStart w:id="9" w:name="_Toc144742715"/>
      <w:bookmarkStart w:id="10" w:name="_Toc41574007"/>
      <w:bookmarkStart w:id="11" w:name="_Toc80863213"/>
      <w:bookmarkStart w:id="12" w:name="_Toc4262"/>
      <w:bookmarkStart w:id="13" w:name="_Toc41499745"/>
      <w:r>
        <w:rPr>
          <w:rFonts w:ascii="Times New Roman" w:eastAsia="黑体"/>
          <w:b w:val="0"/>
          <w:bCs/>
          <w:sz w:val="32"/>
          <w:szCs w:val="32"/>
          <w:lang w:eastAsia="zh-CN"/>
        </w:rPr>
        <w:t>第二章</w:t>
      </w:r>
      <w:bookmarkStart w:id="14" w:name="_Hlk80863518"/>
      <w:r>
        <w:rPr>
          <w:rFonts w:ascii="Times New Roman" w:eastAsia="黑体"/>
          <w:b w:val="0"/>
          <w:bCs/>
          <w:sz w:val="32"/>
          <w:szCs w:val="32"/>
          <w:lang w:eastAsia="zh-CN"/>
        </w:rPr>
        <w:t>通用合同条款</w:t>
      </w:r>
      <w:bookmarkEnd w:id="8"/>
      <w:bookmarkEnd w:id="9"/>
      <w:bookmarkEnd w:id="10"/>
      <w:bookmarkEnd w:id="11"/>
      <w:bookmarkEnd w:id="12"/>
      <w:bookmarkEnd w:id="13"/>
      <w:bookmarkEnd w:id="14"/>
      <w:bookmarkStart w:id="15" w:name="_Toc351203480"/>
      <w:bookmarkStart w:id="16" w:name="_Toc296503025"/>
      <w:bookmarkStart w:id="17" w:name="_Toc296890982"/>
    </w:p>
    <w:bookmarkEnd w:id="15"/>
    <w:bookmarkEnd w:id="16"/>
    <w:bookmarkEnd w:id="17"/>
    <w:p w14:paraId="0E4C5BE2">
      <w:pPr>
        <w:pStyle w:val="4"/>
        <w:jc w:val="left"/>
        <w:rPr>
          <w:rFonts w:ascii="Times New Roman" w:eastAsia="仿宋"/>
          <w:szCs w:val="30"/>
          <w:lang w:eastAsia="zh-CN"/>
        </w:rPr>
      </w:pPr>
      <w:bookmarkStart w:id="18" w:name="_Toc144742716"/>
      <w:bookmarkStart w:id="19" w:name="_Toc82531184"/>
      <w:r>
        <w:rPr>
          <w:rFonts w:ascii="Times New Roman"/>
          <w:szCs w:val="30"/>
          <w:lang w:eastAsia="zh-CN"/>
        </w:rPr>
        <w:t xml:space="preserve">1. </w:t>
      </w:r>
      <w:bookmarkStart w:id="20" w:name="_Toc41499746"/>
      <w:bookmarkStart w:id="21" w:name="_Toc337558727"/>
      <w:bookmarkStart w:id="22" w:name="_Toc16216"/>
      <w:bookmarkStart w:id="23" w:name="_Toc41574008"/>
      <w:bookmarkStart w:id="24" w:name="_Toc27208"/>
      <w:bookmarkStart w:id="25" w:name="_Toc296503027"/>
      <w:bookmarkStart w:id="26" w:name="_Toc29708"/>
      <w:bookmarkStart w:id="27" w:name="_Toc23157"/>
      <w:bookmarkStart w:id="28" w:name="_Toc351203495"/>
      <w:bookmarkStart w:id="29" w:name="_Toc410035623"/>
      <w:bookmarkStart w:id="30" w:name="_Toc524351752"/>
      <w:bookmarkStart w:id="31" w:name="_Toc296346528"/>
      <w:bookmarkStart w:id="32" w:name="_Toc8901"/>
      <w:bookmarkStart w:id="33" w:name="_Toc29637"/>
      <w:bookmarkStart w:id="34" w:name="_Toc22359"/>
      <w:bookmarkStart w:id="35" w:name="_Toc80863214"/>
      <w:r>
        <w:rPr>
          <w:rFonts w:ascii="Times New Roman"/>
          <w:szCs w:val="30"/>
          <w:lang w:eastAsia="zh-CN"/>
        </w:rPr>
        <w:t>一般约定</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Times New Roman" w:eastAsia="仿宋"/>
          <w:szCs w:val="30"/>
          <w:lang w:eastAsia="zh-CN"/>
        </w:rPr>
        <w:tab/>
      </w:r>
    </w:p>
    <w:p w14:paraId="226DACA5">
      <w:pPr>
        <w:numPr>
          <w:ilvl w:val="1"/>
          <w:numId w:val="3"/>
        </w:numPr>
        <w:snapToGrid w:val="0"/>
        <w:spacing w:line="560" w:lineRule="exact"/>
        <w:ind w:left="0" w:firstLine="600" w:firstLineChars="200"/>
        <w:rPr>
          <w:rFonts w:ascii="Times New Roman" w:eastAsia="仿宋"/>
          <w:b/>
          <w:sz w:val="30"/>
          <w:szCs w:val="30"/>
        </w:rPr>
      </w:pPr>
      <w:bookmarkStart w:id="36" w:name="_Toc2823"/>
      <w:bookmarkStart w:id="37" w:name="_Toc410035624"/>
      <w:bookmarkStart w:id="38" w:name="_Toc80863215"/>
      <w:bookmarkStart w:id="39" w:name="_Toc524351753"/>
      <w:bookmarkStart w:id="40" w:name="_Toc12012"/>
      <w:bookmarkStart w:id="41" w:name="_Toc25223"/>
      <w:bookmarkStart w:id="42" w:name="_Toc31216"/>
      <w:bookmarkStart w:id="43" w:name="_Toc9532"/>
      <w:bookmarkStart w:id="44" w:name="_Toc2593"/>
      <w:r>
        <w:rPr>
          <w:rFonts w:ascii="Times New Roman" w:eastAsia="仿宋"/>
          <w:b/>
          <w:sz w:val="30"/>
          <w:szCs w:val="30"/>
        </w:rPr>
        <w:t>词语定义与解释</w:t>
      </w:r>
      <w:bookmarkEnd w:id="36"/>
      <w:bookmarkEnd w:id="37"/>
      <w:bookmarkEnd w:id="38"/>
      <w:bookmarkEnd w:id="39"/>
      <w:bookmarkEnd w:id="40"/>
      <w:bookmarkEnd w:id="41"/>
      <w:bookmarkEnd w:id="42"/>
      <w:bookmarkEnd w:id="43"/>
      <w:bookmarkEnd w:id="44"/>
    </w:p>
    <w:p w14:paraId="6484EA9D">
      <w:pPr>
        <w:numPr>
          <w:ilvl w:val="2"/>
          <w:numId w:val="4"/>
        </w:numPr>
        <w:snapToGrid w:val="0"/>
        <w:spacing w:line="560" w:lineRule="exact"/>
        <w:ind w:left="0" w:firstLine="600" w:firstLineChars="200"/>
        <w:rPr>
          <w:rFonts w:ascii="Times New Roman" w:eastAsia="仿宋"/>
          <w:sz w:val="30"/>
          <w:szCs w:val="30"/>
        </w:rPr>
      </w:pPr>
      <w:r>
        <w:rPr>
          <w:rFonts w:ascii="Times New Roman" w:eastAsia="仿宋"/>
          <w:sz w:val="30"/>
          <w:szCs w:val="30"/>
        </w:rPr>
        <w:t>合同</w:t>
      </w:r>
      <w:r>
        <w:rPr>
          <w:rFonts w:ascii="Times New Roman" w:eastAsia="仿宋"/>
          <w:sz w:val="30"/>
          <w:szCs w:val="30"/>
        </w:rPr>
        <w:tab/>
      </w:r>
    </w:p>
    <w:p w14:paraId="5A297D79">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合同：是指根据法律规定和合同当事人约定具有约束力的文件，构成合同的文件详见合同协议书第9.1条。</w:t>
      </w:r>
    </w:p>
    <w:p w14:paraId="04BF6F24">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合同协议书：是指构成合同的由发包人和总承包人共同签署的称为“合同协议书”的书面文件。</w:t>
      </w:r>
    </w:p>
    <w:p w14:paraId="3F1765EF">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中标通知书：是指构成合同的由发包人通知总承包人中标的书面文件。</w:t>
      </w:r>
    </w:p>
    <w:p w14:paraId="7FAE61F4">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合同签署前的往来函件：发包人与总承包人在发标后的往来函件，总承包人函件应加盖公章和法定代表人名章(或法定代表人、获授权代表签署)，包括中标通知书发出前函件和中标通知书发出后函件。</w:t>
      </w:r>
    </w:p>
    <w:p w14:paraId="5FF0CF91">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通用合同条款：是指合同当事人根据《中华人民共和国建筑法》、《中华人民共和国民法典》等法律法规的规定，就工程建设的实施及相关事项，对合同当事人的权利义务作出的原则性约定。</w:t>
      </w:r>
    </w:p>
    <w:p w14:paraId="3457C651">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专用合同条款：是发包人与总承包人根据法律、行政法规规定，结合具体工程实际，经协商达成一致意见的条款，是对通用合同条款的具体化、补充或修改。</w:t>
      </w:r>
    </w:p>
    <w:p w14:paraId="265FE6B2">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技术标准和要求：包含承包范围及界面划分、措施项目及总包照管责任、技术要求。</w:t>
      </w:r>
    </w:p>
    <w:p w14:paraId="48220943">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图纸：是指构成合同的图纸，包括由发包人按照合同约定提供或经发包人批准的设计文件、施工图</w:t>
      </w:r>
      <w:r>
        <w:rPr>
          <w:rFonts w:hint="eastAsia" w:ascii="Times New Roman" w:eastAsia="仿宋"/>
          <w:sz w:val="30"/>
          <w:szCs w:val="30"/>
        </w:rPr>
        <w:t>。</w:t>
      </w:r>
      <w:r>
        <w:rPr>
          <w:rFonts w:ascii="Times New Roman" w:eastAsia="仿宋"/>
          <w:sz w:val="30"/>
          <w:szCs w:val="30"/>
          <w:lang w:eastAsia="zh-CN"/>
        </w:rPr>
        <w:t>施工图纸应当按照法律规定审查合格。</w:t>
      </w:r>
    </w:p>
    <w:p w14:paraId="5CCA3DEF">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工程量清单：是指经双方确认已标明价格的工程量清单，包含相关表格。</w:t>
      </w:r>
    </w:p>
    <w:p w14:paraId="55B6D78F">
      <w:pPr>
        <w:numPr>
          <w:ilvl w:val="3"/>
          <w:numId w:val="5"/>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其他合同文件：是指与工程施工有关且具有合同约束力的文件或书面协议。</w:t>
      </w:r>
    </w:p>
    <w:p w14:paraId="62786BB4">
      <w:pPr>
        <w:numPr>
          <w:ilvl w:val="2"/>
          <w:numId w:val="4"/>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合同当事人及其他相关方</w:t>
      </w:r>
    </w:p>
    <w:p w14:paraId="40C8C1AA">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合同当事人：是指发包人和（或）总承包人。</w:t>
      </w:r>
    </w:p>
    <w:p w14:paraId="70BA7876">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发包人：是指合同指明的执行本工程投资计划并与总承包人签订合同的民事主体，或由发包人指定的负责管理本合同项下建设工程的民事主体或者根据法律规定受让发包人权利并承担发包人义务的民事主体。</w:t>
      </w:r>
    </w:p>
    <w:p w14:paraId="3CAC41AD">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总承包人：是指与发包人签订合同、具有相应工程施工承包资质的民事主体及根据法律规定受让总承包人权利并承担总承包人义务的民事主体。</w:t>
      </w:r>
    </w:p>
    <w:p w14:paraId="37605899">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监理人：是指在专用合同条款中指明的，受发包人委托按照法律规定进行工程监督管理并具备相应工程监理资质的法人或非法人组织。</w:t>
      </w:r>
    </w:p>
    <w:p w14:paraId="0633BBC1">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设计人：是指在专用合同条款中指明的，受发包人委托负责工程设计并具备相应工程设计资质的法人或非法人组织。</w:t>
      </w:r>
    </w:p>
    <w:p w14:paraId="09B68A3F">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专业分包人：</w:t>
      </w:r>
      <w:bookmarkStart w:id="45" w:name="#go5"/>
      <w:bookmarkEnd w:id="45"/>
      <w:r>
        <w:rPr>
          <w:rFonts w:ascii="Times New Roman" w:eastAsia="仿宋"/>
          <w:sz w:val="30"/>
          <w:szCs w:val="30"/>
          <w:lang w:eastAsia="zh-CN"/>
        </w:rPr>
        <w:t>是指由发包人委托执行本合同内约定的专业分包工程并与总承包人及发包人签订分包合同的具有相应资质的法人。</w:t>
      </w:r>
    </w:p>
    <w:p w14:paraId="3AE25007">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独立承包人：指由发包人直接订立合同执行其他独立工程具有相应资质的法人。</w:t>
      </w:r>
    </w:p>
    <w:p w14:paraId="1724FEC7">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独立供货人：指由发包人直接订立合同负责向总承包人供应材料/设备的法人。</w:t>
      </w:r>
    </w:p>
    <w:p w14:paraId="014ED0CB">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发包人代表：是指由发包人任命并派驻施工现场在发包人授权范围内代表发包人行使相应权利的发包人的员工。</w:t>
      </w:r>
    </w:p>
    <w:p w14:paraId="47ACAD93">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项目经理：是指按照法律规定具有相应资格，由总承包人任命并派驻施工现场，在总承包人授权范围内负责合同履行施工现场负责人。项目经理应是总承包人正式聘用的员工，总承包人应向发包人提交项目经理与总承包人之间的劳动合同，以及总承包人为项目经理缴纳社会保险的有效证明。总承包人不提交上述文件的，项目经理无权履行职责，发包人有权要求更换项目经理，由此增加的费用和/或工期延误的责任由总承包人承担。</w:t>
      </w:r>
    </w:p>
    <w:p w14:paraId="468BB23A">
      <w:pPr>
        <w:numPr>
          <w:ilvl w:val="3"/>
          <w:numId w:val="4"/>
        </w:numPr>
        <w:tabs>
          <w:tab w:val="left" w:pos="2127"/>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总监理工程师：是指由监理人任命并派驻施工现场进行工程监理的总负责人。</w:t>
      </w:r>
    </w:p>
    <w:p w14:paraId="7841277E">
      <w:pPr>
        <w:numPr>
          <w:ilvl w:val="2"/>
          <w:numId w:val="4"/>
        </w:numPr>
        <w:snapToGrid w:val="0"/>
        <w:spacing w:line="560" w:lineRule="exact"/>
        <w:ind w:left="0" w:firstLine="600" w:firstLineChars="200"/>
        <w:rPr>
          <w:rFonts w:ascii="Times New Roman" w:eastAsia="仿宋"/>
          <w:sz w:val="30"/>
          <w:szCs w:val="30"/>
        </w:rPr>
      </w:pPr>
      <w:r>
        <w:rPr>
          <w:rFonts w:ascii="Times New Roman" w:eastAsia="仿宋"/>
          <w:sz w:val="30"/>
          <w:szCs w:val="30"/>
        </w:rPr>
        <w:t>工程和设备</w:t>
      </w:r>
    </w:p>
    <w:p w14:paraId="76951776">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工程：是指与合同中工程承包范围对应的永久工程和（或）临时工程。</w:t>
      </w:r>
    </w:p>
    <w:p w14:paraId="50B21276">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永久工程：是指按合同约定建造并移交给发包人的工程，包括工程设备。</w:t>
      </w:r>
    </w:p>
    <w:p w14:paraId="5A7B17CD">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临时工程：是指为完成合同约定的永久工程所修建的各类临时性工程，不包括施工设备。</w:t>
      </w:r>
    </w:p>
    <w:p w14:paraId="3F4CF2A2">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单位工程：是指具备独立施工条件并能形成独立使用功能的永久工程。</w:t>
      </w:r>
    </w:p>
    <w:p w14:paraId="0604FE8E">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工程设备：是指构成永久工程的机电设备、金属结构设备、仪器及其他类似的设备和装置。</w:t>
      </w:r>
    </w:p>
    <w:p w14:paraId="08A64EED">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施工设备：是指为完成合同约定的各项工作所需的设备、器具和其他物品，但不包括工程设备、临时工程和材料。</w:t>
      </w:r>
    </w:p>
    <w:p w14:paraId="6F2E9C8E">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施工现场：是指用于工程施工的场所，以及作为施工场所组成部分的其他场所，包括永久占地和临时占地。</w:t>
      </w:r>
    </w:p>
    <w:p w14:paraId="6A38F835">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临时设施：是指为完成合同约定的各项工作所服务的临时性生产和生活设施。</w:t>
      </w:r>
    </w:p>
    <w:p w14:paraId="2696F693">
      <w:pPr>
        <w:numPr>
          <w:ilvl w:val="2"/>
          <w:numId w:val="4"/>
        </w:numPr>
        <w:snapToGrid w:val="0"/>
        <w:spacing w:line="560" w:lineRule="exact"/>
        <w:ind w:left="0" w:firstLine="600" w:firstLineChars="200"/>
        <w:rPr>
          <w:rFonts w:ascii="Times New Roman" w:eastAsia="仿宋"/>
          <w:sz w:val="30"/>
          <w:szCs w:val="30"/>
        </w:rPr>
      </w:pPr>
      <w:r>
        <w:rPr>
          <w:rFonts w:ascii="Times New Roman" w:eastAsia="仿宋"/>
          <w:sz w:val="30"/>
          <w:szCs w:val="30"/>
        </w:rPr>
        <w:t>日期和期限</w:t>
      </w:r>
    </w:p>
    <w:p w14:paraId="087E3FC5">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开工日期：包括计划开工日期和实际开工日期。计划开工日期是指合同协议书约定的开工日期；实际开工日期是指发包人按照第7.3.2条款〔开工通知〕约定发出的开工通知中载明的开工日期。</w:t>
      </w:r>
    </w:p>
    <w:p w14:paraId="6E611E4A">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竣工日期：包括计划竣工日期和实际竣工日期。计划竣工日期是指合同协议书约定的竣工日期；实际竣工日期按照第13.2.3条款〔竣工日期〕的约定确定。</w:t>
      </w:r>
    </w:p>
    <w:p w14:paraId="1ED3DFCA">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工期：是指在合同协议书约定的总承包人完成工程所需的期限，包括按照合同约定所作的期限变更。下列时间均应计入工期之内：星期六、星期日及法定假期；中考、高考等总承包人可预计因素所影响的时间；政府有关部门对总承包人提交的任何申请进行审批、处理及等候时间；组织及通过竣工备案验收所需的时间(包括审批、处理及等候时间)；恶劣天气、雾霾及高温天气；冬雨季施工；进退场时间；其他施工单位交叉施工造成的作业降效；提交足够的竣工资料及记录至发包人满意所需时间；政府有关部门现场检查及现场整改时间。</w:t>
      </w:r>
    </w:p>
    <w:p w14:paraId="413D193B">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质量保证金保留期：是指总承包人按照合同约定承担缺陷修复义务，且发包人预留质量保证金的期限，自工程经竣工验收合格之日起计算。</w:t>
      </w:r>
    </w:p>
    <w:p w14:paraId="5FFDC5E5">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保修期：是指总承包人按照合同约定对工程承担保修责任的期限，自工程经政府竣工验收合格之日起计算。</w:t>
      </w:r>
      <w:r>
        <w:rPr>
          <w:rFonts w:hint="eastAsia" w:ascii="Times New Roman" w:eastAsia="仿宋"/>
          <w:sz w:val="30"/>
          <w:szCs w:val="30"/>
          <w:lang w:eastAsia="zh-CN"/>
        </w:rPr>
        <w:t>对于无法走政府竣备程序的工程的保修期，自发包人验收合格之日起计算。</w:t>
      </w:r>
    </w:p>
    <w:p w14:paraId="259DDDC0">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基准日期：招标发包的工程以投标截止日前28天的日期为基准日期，直接发包的工程以合同签订日前28天的日期为基准日期。</w:t>
      </w:r>
    </w:p>
    <w:p w14:paraId="3450D662">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天：除特别指明外，均指日历天。合同中按天计算时间的，开始当天不计入，从次日开始计算，期限最后一天的截止时间为当天24时。</w:t>
      </w:r>
    </w:p>
    <w:p w14:paraId="1C3D39F5">
      <w:pPr>
        <w:numPr>
          <w:ilvl w:val="2"/>
          <w:numId w:val="4"/>
        </w:numPr>
        <w:snapToGrid w:val="0"/>
        <w:spacing w:line="560" w:lineRule="exact"/>
        <w:ind w:left="0" w:firstLine="600" w:firstLineChars="200"/>
        <w:rPr>
          <w:rFonts w:ascii="Times New Roman" w:eastAsia="仿宋"/>
          <w:sz w:val="30"/>
          <w:szCs w:val="30"/>
        </w:rPr>
      </w:pPr>
      <w:r>
        <w:rPr>
          <w:rFonts w:ascii="Times New Roman" w:eastAsia="仿宋"/>
          <w:sz w:val="30"/>
          <w:szCs w:val="30"/>
        </w:rPr>
        <w:t>合同价款和费用</w:t>
      </w:r>
    </w:p>
    <w:p w14:paraId="73E52300">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合同价款：是指发包人和总承包人在合同协议书中确定的含增值税的总金额。增值税金额是指国家税法规定应计入建筑安装工程造价内的增值税销项税额。组成合同价款的所有内容均不包含总承包人的进项税额。</w:t>
      </w:r>
    </w:p>
    <w:p w14:paraId="387C9D47">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结算价格：是指发包人用于支付总承包人按照合同约定完成承包范围内全部工作的含增值税的金额，包括合同履行过程中发生之变更及按合同约定作出之调整。</w:t>
      </w:r>
    </w:p>
    <w:p w14:paraId="1FAA8463">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暂估价：是指发包人在工程量清单中提供的用于支付必然发生但暂时不能确定价格的材料、工程设备的单价、分包工程以及服务工作的含增值税的金额。</w:t>
      </w:r>
    </w:p>
    <w:p w14:paraId="6BA58A67">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暂列金额：是指发包人在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8BB7359">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计日工：是指合同履行过程中，总承包人完成发包人提出的施工图纸以外的零星工作或需要采用计日工计价的变更工作时，按合同中约定的计日工清单计价的作为合同价款组成部分的费用。</w:t>
      </w:r>
    </w:p>
    <w:p w14:paraId="5A4506C1">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bookmarkStart w:id="46" w:name="#go2"/>
      <w:bookmarkEnd w:id="46"/>
      <w:r>
        <w:rPr>
          <w:rFonts w:ascii="Times New Roman" w:eastAsia="仿宋"/>
          <w:sz w:val="30"/>
          <w:szCs w:val="30"/>
          <w:lang w:eastAsia="zh-CN"/>
        </w:rPr>
        <w:t>质量保证金：是指按照第15.3条〔质量保证金〕约定总承包人用于保证其在质量保证金保留期内履行缺陷修补义务的担保。</w:t>
      </w:r>
    </w:p>
    <w:p w14:paraId="252109C2">
      <w:pPr>
        <w:numPr>
          <w:ilvl w:val="2"/>
          <w:numId w:val="4"/>
        </w:numPr>
        <w:snapToGrid w:val="0"/>
        <w:spacing w:line="560" w:lineRule="exact"/>
        <w:ind w:left="0" w:firstLine="600" w:firstLineChars="200"/>
        <w:rPr>
          <w:rFonts w:ascii="Times New Roman" w:eastAsia="仿宋"/>
          <w:sz w:val="30"/>
          <w:szCs w:val="30"/>
        </w:rPr>
      </w:pPr>
      <w:r>
        <w:rPr>
          <w:rFonts w:ascii="Times New Roman" w:eastAsia="仿宋"/>
          <w:sz w:val="30"/>
          <w:szCs w:val="30"/>
        </w:rPr>
        <w:t>其他</w:t>
      </w:r>
    </w:p>
    <w:p w14:paraId="7F8023AD">
      <w:pPr>
        <w:numPr>
          <w:ilvl w:val="3"/>
          <w:numId w:val="4"/>
        </w:numPr>
        <w:tabs>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书面形式：是指合同文件、信函、电报、传真、电子邮件等可以有形地表现所载内容的形式。</w:t>
      </w:r>
    </w:p>
    <w:p w14:paraId="71E599A2">
      <w:pPr>
        <w:numPr>
          <w:ilvl w:val="3"/>
          <w:numId w:val="4"/>
        </w:numPr>
        <w:spacing w:line="360" w:lineRule="auto"/>
        <w:ind w:left="0" w:firstLine="600" w:firstLineChars="200"/>
        <w:jc w:val="both"/>
        <w:rPr>
          <w:rFonts w:ascii="Times New Roman" w:eastAsia="仿宋"/>
          <w:sz w:val="30"/>
          <w:szCs w:val="30"/>
          <w:lang w:eastAsia="zh-CN"/>
        </w:rPr>
      </w:pPr>
      <w:r>
        <w:rPr>
          <w:rFonts w:hint="eastAsia" w:ascii="Times New Roman" w:eastAsia="仿宋"/>
          <w:sz w:val="30"/>
          <w:szCs w:val="30"/>
          <w:lang w:eastAsia="zh-CN"/>
        </w:rPr>
        <w:t>第三方评估：第三方评估为中国融通地产集团有限公司聘请的外部公正的第三方评估单位对各区域子公司项目做的过程评估和交付评估。评估范围涉及整个项目，其中过程评估内容包括但不限于实测实量、质量风险、进度、安全文明、监理单位资料、甲方单位资料、总包单位资料、图纸审查、施工许可及备案手续、人员配备、工序样板验收清单等；交付评估内容包括但不限于项目证照及相关资料、主控功能（消防系统、户内水电门窗、公区电梯门禁安防）、装修实测实量、户内观感、公区观感、外立面观感、园林观感等。</w:t>
      </w:r>
    </w:p>
    <w:p w14:paraId="1043CA60">
      <w:pPr>
        <w:numPr>
          <w:ilvl w:val="3"/>
          <w:numId w:val="4"/>
        </w:numPr>
        <w:spacing w:line="360" w:lineRule="auto"/>
        <w:ind w:left="0" w:firstLine="600" w:firstLineChars="200"/>
        <w:jc w:val="both"/>
        <w:rPr>
          <w:rFonts w:ascii="Times New Roman" w:eastAsia="仿宋"/>
          <w:sz w:val="30"/>
          <w:szCs w:val="30"/>
          <w:lang w:eastAsia="zh-CN"/>
        </w:rPr>
      </w:pPr>
      <w:r>
        <w:rPr>
          <w:rFonts w:hint="eastAsia" w:ascii="Times New Roman" w:eastAsia="仿宋"/>
          <w:sz w:val="30"/>
          <w:szCs w:val="30"/>
          <w:lang w:eastAsia="zh-CN"/>
        </w:rPr>
        <w:t>中国融通房地产集团有限公司工程管理体系文件：《中国融通房地产集团有限公司工程管理体系文件（试行）》为融通地产集团对融通地产区域子公司项目制度要求的各项工程管理文件。承包人的项目管理应严格遵守《中国融通房地产集团有限公司工程管理体系文件（试行）》相关制度内容，尤其是涉及到工程进度管理办法、图纸会审管理办法、材料设备封样及进场验收管理办法、施工样板管理办法、工程现场成品保护做法、工程验收管理办法、工程交付移交管理办法和总包单位管理办法等项目管理内容。</w:t>
      </w:r>
    </w:p>
    <w:p w14:paraId="13B7755B">
      <w:pPr>
        <w:pStyle w:val="2"/>
        <w:rPr>
          <w:lang w:eastAsia="zh-CN"/>
        </w:rPr>
      </w:pPr>
    </w:p>
    <w:p w14:paraId="001DEB8B">
      <w:pPr>
        <w:numPr>
          <w:ilvl w:val="1"/>
          <w:numId w:val="3"/>
        </w:numPr>
        <w:snapToGrid w:val="0"/>
        <w:spacing w:line="560" w:lineRule="exact"/>
        <w:ind w:left="0" w:firstLine="600" w:firstLineChars="200"/>
        <w:rPr>
          <w:rFonts w:ascii="Times New Roman" w:eastAsia="仿宋"/>
          <w:b/>
          <w:sz w:val="30"/>
          <w:szCs w:val="30"/>
        </w:rPr>
      </w:pPr>
      <w:bookmarkStart w:id="47" w:name="_Toc24258"/>
      <w:bookmarkStart w:id="48" w:name="_Toc26123"/>
      <w:bookmarkStart w:id="49" w:name="_Toc80863216"/>
      <w:bookmarkStart w:id="50" w:name="_Toc28546"/>
      <w:bookmarkStart w:id="51" w:name="_Toc12969"/>
      <w:bookmarkStart w:id="52" w:name="_Toc351203497"/>
      <w:bookmarkStart w:id="53" w:name="_Toc524351754"/>
      <w:bookmarkStart w:id="54" w:name="_Toc258"/>
      <w:bookmarkStart w:id="55" w:name="_Toc296346530"/>
      <w:bookmarkStart w:id="56" w:name="_Toc14032"/>
      <w:bookmarkStart w:id="57" w:name="_Toc410035625"/>
      <w:bookmarkStart w:id="58" w:name="_Toc337558729"/>
      <w:bookmarkStart w:id="59" w:name="_Toc296503029"/>
      <w:r>
        <w:rPr>
          <w:rFonts w:ascii="Times New Roman" w:eastAsia="仿宋"/>
          <w:b/>
          <w:sz w:val="30"/>
          <w:szCs w:val="30"/>
        </w:rPr>
        <w:t>语言文字</w:t>
      </w:r>
      <w:bookmarkEnd w:id="47"/>
      <w:bookmarkEnd w:id="48"/>
      <w:bookmarkEnd w:id="49"/>
      <w:bookmarkEnd w:id="50"/>
      <w:bookmarkEnd w:id="51"/>
      <w:bookmarkEnd w:id="52"/>
      <w:bookmarkEnd w:id="53"/>
      <w:bookmarkEnd w:id="54"/>
      <w:bookmarkEnd w:id="55"/>
      <w:bookmarkEnd w:id="56"/>
      <w:bookmarkEnd w:id="57"/>
      <w:bookmarkEnd w:id="58"/>
      <w:bookmarkEnd w:id="59"/>
    </w:p>
    <w:p w14:paraId="16E1F1E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合同以中国的汉语简体文字编写、解释和说明。合同当事人在专用合同条款中约定使用两种以上语言时，汉语为优先解释和说明合同的语言。</w:t>
      </w:r>
    </w:p>
    <w:p w14:paraId="750A5D3F">
      <w:pPr>
        <w:numPr>
          <w:ilvl w:val="1"/>
          <w:numId w:val="3"/>
        </w:numPr>
        <w:snapToGrid w:val="0"/>
        <w:spacing w:line="560" w:lineRule="exact"/>
        <w:ind w:left="0" w:firstLine="600" w:firstLineChars="200"/>
        <w:rPr>
          <w:rFonts w:ascii="Times New Roman" w:eastAsia="仿宋"/>
          <w:b/>
          <w:sz w:val="30"/>
          <w:szCs w:val="30"/>
        </w:rPr>
      </w:pPr>
      <w:bookmarkStart w:id="60" w:name="_Toc80863217"/>
      <w:bookmarkStart w:id="61" w:name="_Toc6045"/>
      <w:bookmarkStart w:id="62" w:name="_Toc15357"/>
      <w:bookmarkStart w:id="63" w:name="_Toc296346531"/>
      <w:bookmarkStart w:id="64" w:name="_Toc18652"/>
      <w:bookmarkStart w:id="65" w:name="_Toc31994"/>
      <w:bookmarkStart w:id="66" w:name="_Toc19423"/>
      <w:bookmarkStart w:id="67" w:name="_Toc296503030"/>
      <w:bookmarkStart w:id="68" w:name="_Toc351203498"/>
      <w:bookmarkStart w:id="69" w:name="_Toc19054"/>
      <w:bookmarkStart w:id="70" w:name="_Toc337558730"/>
      <w:bookmarkStart w:id="71" w:name="_Toc410035626"/>
      <w:bookmarkStart w:id="72" w:name="_Toc524351755"/>
      <w:r>
        <w:rPr>
          <w:rFonts w:ascii="Times New Roman" w:eastAsia="仿宋"/>
          <w:b/>
          <w:sz w:val="30"/>
          <w:szCs w:val="30"/>
        </w:rPr>
        <w:t>法律</w:t>
      </w:r>
      <w:bookmarkEnd w:id="60"/>
      <w:bookmarkEnd w:id="61"/>
      <w:bookmarkEnd w:id="62"/>
      <w:bookmarkEnd w:id="63"/>
      <w:bookmarkEnd w:id="64"/>
      <w:bookmarkEnd w:id="65"/>
      <w:bookmarkEnd w:id="66"/>
      <w:bookmarkEnd w:id="67"/>
      <w:bookmarkEnd w:id="68"/>
      <w:bookmarkEnd w:id="69"/>
      <w:bookmarkEnd w:id="70"/>
      <w:bookmarkEnd w:id="71"/>
      <w:bookmarkEnd w:id="72"/>
    </w:p>
    <w:p w14:paraId="29A82DC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合同所称法律是指中华人民共和国法律、行政法规、部门规章，以及工程所在地的地方性法规、自治条例、单行条例和地方政府规章等。</w:t>
      </w:r>
    </w:p>
    <w:p w14:paraId="33F1334A">
      <w:pPr>
        <w:numPr>
          <w:ilvl w:val="1"/>
          <w:numId w:val="3"/>
        </w:numPr>
        <w:snapToGrid w:val="0"/>
        <w:spacing w:line="560" w:lineRule="exact"/>
        <w:ind w:left="0" w:firstLine="600" w:firstLineChars="200"/>
        <w:rPr>
          <w:rFonts w:ascii="Times New Roman" w:eastAsia="仿宋"/>
          <w:b/>
          <w:sz w:val="30"/>
          <w:szCs w:val="30"/>
        </w:rPr>
      </w:pPr>
      <w:bookmarkStart w:id="73" w:name="_Toc22860"/>
      <w:bookmarkStart w:id="74" w:name="_Toc524351756"/>
      <w:bookmarkStart w:id="75" w:name="_Toc492"/>
      <w:bookmarkStart w:id="76" w:name="_Toc80863218"/>
      <w:bookmarkStart w:id="77" w:name="_Toc31814"/>
      <w:bookmarkStart w:id="78" w:name="_Toc351203499"/>
      <w:bookmarkStart w:id="79" w:name="_Toc410035627"/>
      <w:bookmarkStart w:id="80" w:name="_Toc7255"/>
      <w:bookmarkStart w:id="81" w:name="_Toc30353"/>
      <w:bookmarkStart w:id="82" w:name="_Toc1862"/>
      <w:r>
        <w:rPr>
          <w:rFonts w:ascii="Times New Roman" w:eastAsia="仿宋"/>
          <w:b/>
          <w:sz w:val="30"/>
          <w:szCs w:val="30"/>
        </w:rPr>
        <w:t>标准和规范</w:t>
      </w:r>
      <w:bookmarkEnd w:id="73"/>
      <w:bookmarkEnd w:id="74"/>
      <w:bookmarkEnd w:id="75"/>
      <w:bookmarkEnd w:id="76"/>
      <w:bookmarkEnd w:id="77"/>
      <w:bookmarkEnd w:id="78"/>
      <w:bookmarkEnd w:id="79"/>
      <w:bookmarkEnd w:id="80"/>
      <w:bookmarkEnd w:id="81"/>
      <w:bookmarkEnd w:id="82"/>
    </w:p>
    <w:p w14:paraId="47496B5C">
      <w:pPr>
        <w:numPr>
          <w:ilvl w:val="2"/>
          <w:numId w:val="3"/>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满足工程的国家标准、行业标准、工程所在地的地方性标准，以及相应的规范、规程、技术标准和要求等。</w:t>
      </w:r>
    </w:p>
    <w:p w14:paraId="66A87B37">
      <w:pPr>
        <w:numPr>
          <w:ilvl w:val="2"/>
          <w:numId w:val="3"/>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对工程的技术标准、功能要求高于或严于现行国家、行业或地方标准的，在合同技术标准和要求技术要求中已予以明确。视总承包人在签订合同前已充分预见前述技术标准和功能要求的复杂程度，签约合同价中已包含由此产生的费用。</w:t>
      </w:r>
    </w:p>
    <w:p w14:paraId="688BE22B">
      <w:pPr>
        <w:numPr>
          <w:ilvl w:val="1"/>
          <w:numId w:val="3"/>
        </w:numPr>
        <w:snapToGrid w:val="0"/>
        <w:spacing w:line="560" w:lineRule="exact"/>
        <w:ind w:left="0" w:firstLine="600" w:firstLineChars="200"/>
        <w:rPr>
          <w:rFonts w:ascii="Times New Roman" w:eastAsia="仿宋"/>
          <w:b/>
          <w:sz w:val="30"/>
          <w:szCs w:val="30"/>
        </w:rPr>
      </w:pPr>
      <w:bookmarkStart w:id="83" w:name="_Toc522294067"/>
      <w:bookmarkEnd w:id="83"/>
      <w:bookmarkStart w:id="84" w:name="_Toc522294063"/>
      <w:bookmarkEnd w:id="84"/>
      <w:bookmarkStart w:id="85" w:name="_Toc522294061"/>
      <w:bookmarkEnd w:id="85"/>
      <w:bookmarkStart w:id="86" w:name="_Toc522294068"/>
      <w:bookmarkEnd w:id="86"/>
      <w:bookmarkStart w:id="87" w:name="_Toc522294062"/>
      <w:bookmarkEnd w:id="87"/>
      <w:bookmarkStart w:id="88" w:name="_Toc522294060"/>
      <w:bookmarkEnd w:id="88"/>
      <w:bookmarkStart w:id="89" w:name="_Toc522294064"/>
      <w:bookmarkEnd w:id="89"/>
      <w:bookmarkStart w:id="90" w:name="_Toc522294056"/>
      <w:bookmarkEnd w:id="90"/>
      <w:bookmarkStart w:id="91" w:name="_Toc522294069"/>
      <w:bookmarkEnd w:id="91"/>
      <w:bookmarkStart w:id="92" w:name="_Toc522294057"/>
      <w:bookmarkEnd w:id="92"/>
      <w:bookmarkStart w:id="93" w:name="_Toc522294058"/>
      <w:bookmarkEnd w:id="93"/>
      <w:bookmarkStart w:id="94" w:name="_Toc522294059"/>
      <w:bookmarkEnd w:id="94"/>
      <w:bookmarkStart w:id="95" w:name="_Toc522294065"/>
      <w:bookmarkEnd w:id="95"/>
      <w:bookmarkStart w:id="96" w:name="_Toc522294066"/>
      <w:bookmarkEnd w:id="96"/>
      <w:bookmarkStart w:id="97" w:name="_Toc351203501"/>
      <w:bookmarkStart w:id="98" w:name="_Toc28091"/>
      <w:bookmarkStart w:id="99" w:name="_Toc524351757"/>
      <w:bookmarkStart w:id="100" w:name="_Toc410035629"/>
      <w:bookmarkStart w:id="101" w:name="_Toc19298"/>
      <w:bookmarkStart w:id="102" w:name="_Toc22252"/>
      <w:bookmarkStart w:id="103" w:name="_Toc23479"/>
      <w:bookmarkStart w:id="104" w:name="_Toc80863219"/>
      <w:bookmarkStart w:id="105" w:name="_Toc18536"/>
      <w:bookmarkStart w:id="106" w:name="_Toc12712"/>
      <w:bookmarkStart w:id="107" w:name="_Toc337558732"/>
      <w:bookmarkStart w:id="108" w:name="_Toc296503032"/>
      <w:bookmarkStart w:id="109" w:name="_Toc296346533"/>
      <w:r>
        <w:rPr>
          <w:rFonts w:ascii="Times New Roman" w:eastAsia="仿宋"/>
          <w:b/>
          <w:sz w:val="30"/>
          <w:szCs w:val="30"/>
        </w:rPr>
        <w:t>图纸和总承包人文件</w:t>
      </w:r>
      <w:bookmarkEnd w:id="97"/>
      <w:bookmarkEnd w:id="98"/>
      <w:bookmarkEnd w:id="99"/>
      <w:bookmarkEnd w:id="100"/>
      <w:bookmarkEnd w:id="101"/>
      <w:bookmarkEnd w:id="102"/>
      <w:bookmarkEnd w:id="103"/>
      <w:bookmarkEnd w:id="104"/>
      <w:bookmarkEnd w:id="105"/>
      <w:bookmarkEnd w:id="106"/>
    </w:p>
    <w:p w14:paraId="597068C1">
      <w:pPr>
        <w:numPr>
          <w:ilvl w:val="2"/>
          <w:numId w:val="3"/>
        </w:numPr>
        <w:snapToGrid w:val="0"/>
        <w:spacing w:line="560" w:lineRule="exact"/>
        <w:ind w:left="0" w:firstLine="600" w:firstLineChars="200"/>
        <w:rPr>
          <w:rFonts w:ascii="Times New Roman" w:eastAsia="仿宋"/>
          <w:sz w:val="30"/>
          <w:szCs w:val="30"/>
          <w:lang w:eastAsia="zh-CN"/>
        </w:rPr>
      </w:pPr>
      <w:r>
        <w:rPr>
          <w:rFonts w:hint="eastAsia" w:ascii="Times New Roman" w:eastAsia="仿宋"/>
          <w:sz w:val="30"/>
          <w:szCs w:val="30"/>
          <w:lang w:eastAsia="zh-CN"/>
        </w:rPr>
        <w:t>【图纸的提供和交底】</w:t>
      </w:r>
      <w:bookmarkEnd w:id="107"/>
      <w:bookmarkEnd w:id="108"/>
      <w:bookmarkEnd w:id="109"/>
      <w:r>
        <w:rPr>
          <w:rFonts w:hint="eastAsia" w:ascii="Times New Roman" w:eastAsia="仿宋"/>
          <w:sz w:val="30"/>
          <w:szCs w:val="30"/>
          <w:lang w:eastAsia="zh-CN"/>
        </w:rPr>
        <w:t>发包人至迟不得晚于第</w:t>
      </w:r>
      <w:r>
        <w:rPr>
          <w:rFonts w:ascii="Times New Roman" w:eastAsia="仿宋"/>
          <w:sz w:val="30"/>
          <w:szCs w:val="30"/>
          <w:lang w:eastAsia="zh-CN"/>
        </w:rPr>
        <w:t>7.3.2</w:t>
      </w:r>
      <w:r>
        <w:rPr>
          <w:rFonts w:hint="eastAsia" w:ascii="Times New Roman" w:eastAsia="仿宋"/>
          <w:sz w:val="30"/>
          <w:szCs w:val="30"/>
          <w:lang w:eastAsia="zh-CN"/>
        </w:rPr>
        <w:t>条款〔开工通知〕载明的开工日期前7天按专用合同条款约定的套数向总承包人免费提供图纸。发包人应及时组织总承包人、监理人和设计人进行图纸会审和设计交底。</w:t>
      </w:r>
    </w:p>
    <w:p w14:paraId="486FABD9">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【图纸的错误】总承包人在收到发包人提供的图纸后，需复核图纸的错误、遗漏、矛盾和缺陷，</w:t>
      </w:r>
      <w:r>
        <w:rPr>
          <w:rFonts w:hint="eastAsia" w:ascii="Times New Roman" w:eastAsia="仿宋"/>
          <w:sz w:val="30"/>
          <w:szCs w:val="30"/>
          <w:lang w:eastAsia="zh-CN"/>
        </w:rPr>
        <w:t>并在收到图纸之后</w:t>
      </w:r>
      <w:r>
        <w:rPr>
          <w:rFonts w:ascii="Times New Roman" w:eastAsia="仿宋"/>
          <w:sz w:val="30"/>
          <w:szCs w:val="30"/>
          <w:lang w:eastAsia="zh-CN"/>
        </w:rPr>
        <w:t xml:space="preserve">  5 </w:t>
      </w:r>
      <w:r>
        <w:rPr>
          <w:rFonts w:hint="eastAsia" w:ascii="Times New Roman" w:eastAsia="仿宋"/>
          <w:sz w:val="30"/>
          <w:szCs w:val="30"/>
          <w:lang w:eastAsia="zh-CN"/>
        </w:rPr>
        <w:t>天内，向监理人提出图纸的错误、遗漏、矛盾和缺陷的书面报告。</w:t>
      </w:r>
      <w:r>
        <w:rPr>
          <w:rFonts w:ascii="Times New Roman" w:eastAsia="仿宋"/>
          <w:sz w:val="30"/>
          <w:szCs w:val="30"/>
          <w:lang w:eastAsia="zh-CN"/>
        </w:rPr>
        <w:t>监理人接到该报告后，应附具相关意见并在 3 天内报送发包人，发包人应在收到监理人报送的通知后的合理时间内作出决定。合理时间是指发包人在收到监理人的报送通知后，尽其努力且不懈怠地完成图纸修改补充所需的时间。本工程图纸间交叉的错误、遗漏、矛盾和缺陷以发包人、总承包人、设计人三方确定的正确的为准，因总承包人未复核出图纸的错误继而施工造成返工的，此等错误施工及返工所增加的费用由总承包人承担，且工期不予顺延。</w:t>
      </w:r>
    </w:p>
    <w:p w14:paraId="7F2087B5">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【图纸的修改和补充】图纸需要修改和补充的，由发包人在工程或工程相应部位施工前将修改后的图纸或补充图纸提交给总承包人，总承包人应按修改或补充后的图纸施工。</w:t>
      </w:r>
    </w:p>
    <w:p w14:paraId="1E032FD4">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文件】总承包人应不迟于开工通知书载明的开工日期前7天，提供2套纸质及1套电子版应当由其编制的与工程施工有关的文件给发包人，具体提供文件包括施工组织设计、施工专项方案、施工进度计划表及发包人要求的其他文件等。</w:t>
      </w:r>
    </w:p>
    <w:p w14:paraId="7B4EA24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和监理人应在收到总承包人文件后28天内审查完毕，发包人和监理人对总承包人文件有异议的，总承包人应在5天内予以修改，并重新报送发包人和监理人。发包人和监理人的审查并不减轻或免除总承包人根据合同约定应当承担的责任。</w:t>
      </w:r>
    </w:p>
    <w:p w14:paraId="12B40B22">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【图纸和总承包人文件的保管】总承包人应在施工现场另外保存一套完整的图纸和总承包人文件，供发包人、监理人及有关人员进行工程检查时使用。</w:t>
      </w:r>
    </w:p>
    <w:p w14:paraId="201BD7B8">
      <w:pPr>
        <w:numPr>
          <w:ilvl w:val="1"/>
          <w:numId w:val="3"/>
        </w:numPr>
        <w:snapToGrid w:val="0"/>
        <w:spacing w:line="560" w:lineRule="exact"/>
        <w:ind w:left="0" w:firstLine="600" w:firstLineChars="200"/>
        <w:rPr>
          <w:rFonts w:ascii="Times New Roman" w:eastAsia="仿宋"/>
          <w:b/>
          <w:sz w:val="30"/>
          <w:szCs w:val="30"/>
        </w:rPr>
      </w:pPr>
      <w:bookmarkStart w:id="110" w:name="_Toc20230"/>
      <w:bookmarkStart w:id="111" w:name="_Toc21540"/>
      <w:bookmarkStart w:id="112" w:name="_Toc351203502"/>
      <w:bookmarkStart w:id="113" w:name="_Toc7115"/>
      <w:bookmarkStart w:id="114" w:name="_Toc8717"/>
      <w:bookmarkStart w:id="115" w:name="_Toc410035630"/>
      <w:bookmarkStart w:id="116" w:name="_Toc524351758"/>
      <w:bookmarkStart w:id="117" w:name="_Toc9308"/>
      <w:bookmarkStart w:id="118" w:name="_Toc80863220"/>
      <w:bookmarkStart w:id="119" w:name="_Toc21468"/>
      <w:bookmarkStart w:id="120" w:name="_Toc337558733"/>
      <w:bookmarkStart w:id="121" w:name="_Toc296346534"/>
      <w:bookmarkStart w:id="122" w:name="_Toc296503033"/>
      <w:r>
        <w:rPr>
          <w:rFonts w:ascii="Times New Roman" w:eastAsia="仿宋"/>
          <w:b/>
          <w:sz w:val="30"/>
          <w:szCs w:val="30"/>
        </w:rPr>
        <w:t>联络</w:t>
      </w:r>
      <w:bookmarkEnd w:id="110"/>
      <w:bookmarkEnd w:id="111"/>
      <w:bookmarkEnd w:id="112"/>
      <w:bookmarkEnd w:id="113"/>
      <w:bookmarkEnd w:id="114"/>
      <w:bookmarkEnd w:id="115"/>
      <w:bookmarkEnd w:id="116"/>
      <w:bookmarkEnd w:id="117"/>
      <w:bookmarkEnd w:id="118"/>
      <w:bookmarkEnd w:id="119"/>
    </w:p>
    <w:p w14:paraId="672F6271">
      <w:pPr>
        <w:snapToGrid w:val="0"/>
        <w:spacing w:line="560" w:lineRule="exact"/>
        <w:ind w:firstLine="600" w:firstLineChars="200"/>
        <w:rPr>
          <w:rFonts w:ascii="Times New Roman" w:eastAsia="仿宋"/>
          <w:sz w:val="30"/>
          <w:szCs w:val="30"/>
          <w:lang w:eastAsia="zh-CN"/>
        </w:rPr>
      </w:pPr>
      <w:bookmarkStart w:id="123" w:name="_Toc1054"/>
      <w:r>
        <w:rPr>
          <w:rFonts w:ascii="Times New Roman" w:eastAsia="仿宋"/>
          <w:sz w:val="30"/>
          <w:szCs w:val="30"/>
          <w:lang w:eastAsia="zh-CN"/>
        </w:rPr>
        <w:t>与合同有关的通知、批准、证明、证书、指示、指令、要求、请求、同意、意见、确定和决定等，均应采用书面形式，并应在3个工作日内送达合同当事人，如以邮寄的方式，在寄出后第3个工作日将被视为已送达，邮政局或快递公司出具的挂号投送收据，将作为有效证明；如以电子邮件的方式，则以电子邮件进入对方指定电子邮箱时视作已送达，发送电子邮件一方的电脑终端显示的电子邮件进入指定电子邮箱的收件将作为有效证明；如以手递的方式，则于对方签收时视作已送达，收条将作为有效证明。</w:t>
      </w:r>
      <w:bookmarkEnd w:id="123"/>
    </w:p>
    <w:p w14:paraId="1FE07686">
      <w:pPr>
        <w:snapToGrid w:val="0"/>
        <w:spacing w:line="560" w:lineRule="exact"/>
        <w:ind w:firstLine="600" w:firstLineChars="200"/>
        <w:rPr>
          <w:rFonts w:ascii="Times New Roman" w:eastAsia="仿宋"/>
          <w:sz w:val="30"/>
          <w:szCs w:val="30"/>
          <w:lang w:eastAsia="zh-CN"/>
        </w:rPr>
      </w:pPr>
      <w:bookmarkStart w:id="124" w:name="_Toc10080"/>
      <w:r>
        <w:rPr>
          <w:rFonts w:ascii="Times New Roman" w:eastAsia="仿宋"/>
          <w:sz w:val="30"/>
          <w:szCs w:val="30"/>
          <w:lang w:eastAsia="zh-CN"/>
        </w:rPr>
        <w:t>一方当事人拒收或因变更地址却未通知到对方当事人导致邮件等书面文件无法送达的，该书面文件视为已送达，由此增加的费用和（或）延误的工期由该方当事人承担</w:t>
      </w:r>
      <w:bookmarkEnd w:id="124"/>
      <w:r>
        <w:rPr>
          <w:rFonts w:ascii="Times New Roman" w:eastAsia="仿宋"/>
          <w:sz w:val="30"/>
          <w:szCs w:val="30"/>
          <w:lang w:eastAsia="zh-CN"/>
        </w:rPr>
        <w:t>，合同当事人的联系方式见合同专用合同条款。</w:t>
      </w:r>
      <w:bookmarkEnd w:id="120"/>
      <w:bookmarkEnd w:id="121"/>
      <w:bookmarkEnd w:id="122"/>
    </w:p>
    <w:p w14:paraId="012FB49F">
      <w:pPr>
        <w:numPr>
          <w:ilvl w:val="1"/>
          <w:numId w:val="3"/>
        </w:numPr>
        <w:snapToGrid w:val="0"/>
        <w:spacing w:line="560" w:lineRule="exact"/>
        <w:ind w:left="0" w:firstLine="600" w:firstLineChars="200"/>
        <w:rPr>
          <w:rFonts w:ascii="Times New Roman" w:eastAsia="仿宋"/>
          <w:b/>
          <w:sz w:val="30"/>
          <w:szCs w:val="30"/>
        </w:rPr>
      </w:pPr>
      <w:bookmarkStart w:id="125" w:name="_Toc80863221"/>
      <w:bookmarkStart w:id="126" w:name="_Toc831"/>
      <w:bookmarkStart w:id="127" w:name="_Toc26216"/>
      <w:bookmarkStart w:id="128" w:name="_Toc24693"/>
      <w:bookmarkStart w:id="129" w:name="_Toc351203503"/>
      <w:bookmarkStart w:id="130" w:name="_Toc26534"/>
      <w:bookmarkStart w:id="131" w:name="_Toc524351759"/>
      <w:bookmarkStart w:id="132" w:name="_Toc296503035"/>
      <w:bookmarkStart w:id="133" w:name="_Toc337558734"/>
      <w:bookmarkStart w:id="134" w:name="_Toc296346536"/>
      <w:bookmarkStart w:id="135" w:name="_Toc4595"/>
      <w:bookmarkStart w:id="136" w:name="_Toc410035631"/>
      <w:bookmarkStart w:id="137" w:name="_Toc10543"/>
      <w:r>
        <w:rPr>
          <w:rFonts w:ascii="Times New Roman" w:eastAsia="仿宋"/>
          <w:b/>
          <w:sz w:val="30"/>
          <w:szCs w:val="30"/>
        </w:rPr>
        <w:t>严禁贿赂</w:t>
      </w:r>
      <w:bookmarkEnd w:id="125"/>
      <w:bookmarkEnd w:id="126"/>
      <w:bookmarkEnd w:id="127"/>
      <w:bookmarkEnd w:id="128"/>
      <w:bookmarkEnd w:id="129"/>
      <w:bookmarkEnd w:id="130"/>
      <w:bookmarkEnd w:id="131"/>
      <w:bookmarkEnd w:id="132"/>
      <w:bookmarkEnd w:id="133"/>
      <w:bookmarkEnd w:id="134"/>
      <w:bookmarkEnd w:id="135"/>
      <w:bookmarkEnd w:id="136"/>
      <w:bookmarkEnd w:id="137"/>
    </w:p>
    <w:p w14:paraId="1E30E53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合同当事人不得以贿赂或变相贿赂的方式，谋取非法利益或损害对方权益。因一方合同当事人的贿赂造成对方损失的，应赔偿损失，并承担相应的法律责任。</w:t>
      </w:r>
    </w:p>
    <w:p w14:paraId="54D75F2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总承包人不得与监理人或发包人聘请的第三方串通损害发包人利益。未经发包人书面同意，总承包人不得为监理人提供合同约定以外的通讯设备、交通工具及其他任何形式的利益，不得向监理人支付报酬。</w:t>
      </w:r>
    </w:p>
    <w:p w14:paraId="656B3D0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总承包人应与发包人签署并严格遵守其他合同文件中的廉洁从业准则。</w:t>
      </w:r>
    </w:p>
    <w:p w14:paraId="5E10A7C1">
      <w:pPr>
        <w:numPr>
          <w:ilvl w:val="1"/>
          <w:numId w:val="3"/>
        </w:numPr>
        <w:snapToGrid w:val="0"/>
        <w:spacing w:line="560" w:lineRule="exact"/>
        <w:ind w:left="0" w:firstLine="600" w:firstLineChars="200"/>
        <w:rPr>
          <w:rFonts w:ascii="Times New Roman" w:eastAsia="仿宋"/>
          <w:b/>
          <w:sz w:val="30"/>
          <w:szCs w:val="30"/>
        </w:rPr>
      </w:pPr>
      <w:bookmarkStart w:id="138" w:name="_Toc296503036"/>
      <w:bookmarkStart w:id="139" w:name="_Toc14118"/>
      <w:bookmarkStart w:id="140" w:name="_Toc10116"/>
      <w:bookmarkStart w:id="141" w:name="_Toc296346537"/>
      <w:bookmarkStart w:id="142" w:name="_Toc20153"/>
      <w:bookmarkStart w:id="143" w:name="_Toc351203504"/>
      <w:bookmarkStart w:id="144" w:name="_Toc23666"/>
      <w:bookmarkStart w:id="145" w:name="_Toc27785"/>
      <w:bookmarkStart w:id="146" w:name="_Toc80863222"/>
      <w:bookmarkStart w:id="147" w:name="_Toc524351760"/>
      <w:bookmarkStart w:id="148" w:name="_Toc410035632"/>
      <w:bookmarkStart w:id="149" w:name="_Toc26835"/>
      <w:bookmarkStart w:id="150" w:name="_Toc337558735"/>
      <w:r>
        <w:rPr>
          <w:rFonts w:ascii="Times New Roman" w:eastAsia="仿宋"/>
          <w:b/>
          <w:sz w:val="30"/>
          <w:szCs w:val="30"/>
        </w:rPr>
        <w:t>化石、文物</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4000872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施工现场发掘的所有文物、古迹以及具有地质研究或考古价值的其他遗迹、化石、钱币或物品属于国家所有。一旦发现上述文物，总承包人应采取合理有效的保护措施，防止任何人员移动或损坏上述物品，并立即报告有关政府行政管理部门，同时通知监理人和发包人。</w:t>
      </w:r>
    </w:p>
    <w:p w14:paraId="6F4CEC0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发包人、监理人和总承包人应按有关政府行政管理部门要求采取妥善的保护措施，保护措施所需的费用和（或）延误的工期由发包人承担。</w:t>
      </w:r>
    </w:p>
    <w:p w14:paraId="7507D01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总承包人发现文物后不及时报告或隐瞒不报，致使文物丢失或损坏的，应赔偿损失，并承担相应的法律责任。</w:t>
      </w:r>
    </w:p>
    <w:p w14:paraId="47C6CC76">
      <w:pPr>
        <w:numPr>
          <w:ilvl w:val="1"/>
          <w:numId w:val="3"/>
        </w:numPr>
        <w:snapToGrid w:val="0"/>
        <w:spacing w:line="560" w:lineRule="exact"/>
        <w:ind w:left="0" w:firstLine="600" w:firstLineChars="200"/>
        <w:rPr>
          <w:rFonts w:ascii="Times New Roman" w:eastAsia="仿宋"/>
          <w:b/>
          <w:sz w:val="30"/>
          <w:szCs w:val="30"/>
        </w:rPr>
      </w:pPr>
      <w:bookmarkStart w:id="151" w:name="_Toc410035633"/>
      <w:bookmarkStart w:id="152" w:name="_Toc20174"/>
      <w:bookmarkStart w:id="153" w:name="_Toc80863223"/>
      <w:bookmarkStart w:id="154" w:name="_Toc19157"/>
      <w:bookmarkStart w:id="155" w:name="_Toc23570"/>
      <w:bookmarkStart w:id="156" w:name="_Toc351203505"/>
      <w:bookmarkStart w:id="157" w:name="_Toc16857"/>
      <w:bookmarkStart w:id="158" w:name="_Toc524351761"/>
      <w:bookmarkStart w:id="159" w:name="_Toc11284"/>
      <w:bookmarkStart w:id="160" w:name="_Toc12999"/>
      <w:bookmarkStart w:id="161" w:name="_Toc337558736"/>
      <w:r>
        <w:rPr>
          <w:rFonts w:ascii="Times New Roman" w:eastAsia="仿宋"/>
          <w:b/>
          <w:sz w:val="30"/>
          <w:szCs w:val="30"/>
        </w:rPr>
        <w:t>交通运输</w:t>
      </w:r>
      <w:bookmarkEnd w:id="151"/>
      <w:bookmarkEnd w:id="152"/>
      <w:bookmarkEnd w:id="153"/>
      <w:bookmarkEnd w:id="154"/>
      <w:bookmarkEnd w:id="155"/>
      <w:bookmarkEnd w:id="156"/>
      <w:bookmarkEnd w:id="157"/>
      <w:bookmarkEnd w:id="158"/>
      <w:bookmarkEnd w:id="159"/>
      <w:bookmarkEnd w:id="160"/>
    </w:p>
    <w:p w14:paraId="309E9712">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【出入现场的权利】</w:t>
      </w:r>
      <w:bookmarkEnd w:id="161"/>
      <w:r>
        <w:rPr>
          <w:rFonts w:ascii="Times New Roman" w:eastAsia="仿宋"/>
          <w:sz w:val="30"/>
          <w:szCs w:val="30"/>
          <w:lang w:eastAsia="zh-CN"/>
        </w:rPr>
        <w:t>发包人应根据施工需要，协助总承包人办理取得出入施工现场所需的批准手续，以及取得因施工所需修建道路、桥梁以及其他基础设施的手续，总承包人承担相关手续费用和建设费用。</w:t>
      </w:r>
    </w:p>
    <w:p w14:paraId="4F165CF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总承包人应在订立合同前查勘施工现场，并根据工程规模及相关资料，合理预见工程施工所需的进出施工现场的方式、手段、路径等。因总承包人未合理预见所增加的费用和（或）延误的工期由总承包人承担。</w:t>
      </w:r>
    </w:p>
    <w:p w14:paraId="27F937E3">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场外交通】发包人应协助提供场外交通设施的技术参数和具体条件，总承包人应遵守有关交通法规，严格按照道路和桥梁的限制荷载行驶，执行有关道路限速、限行、禁止超载的规定，并配合交通管理部门的监督和检查。场外交通设施无法满足工程施工需要的，由总承包人负责完善并承担相关费用。</w:t>
      </w:r>
    </w:p>
    <w:p w14:paraId="1EE1D63C">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场内交通】发包人应协助提供场内交通设施的技术参数和具体条件，总承包人根据发包人要求及自身施工安排设置场内道路和交通设施，并负责工地大门向政府部门办理相关手续。因总承包人原因造成上述道路或交通设施损坏的，总承包人负责修复并承担由此增加的费用。</w:t>
      </w:r>
    </w:p>
    <w:p w14:paraId="58E47C4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除发包人按照合同约定提供的场内道路和交通设施外，总承包人负责修建、维修、养护和管理施工所需的其他场内临时道路和交通设施，相关费用已包括在合同价款中。发包人、监理人、独立承包人和专业分包人可以为实现合同目的使用总承包人修建的场内临时道路和交通设施。</w:t>
      </w:r>
    </w:p>
    <w:p w14:paraId="5081CB99">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超大件和超重件的运输】由总承包人负责运输的超大件或超重件，应由总承包人负责向交通管理部门办理申请手续，发包人给予协助。运输超大件或超重件所需的道路和桥梁临时加固改造费用和其他有关费用，由总承包人承担。</w:t>
      </w:r>
    </w:p>
    <w:p w14:paraId="1E6C91D0">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【道路和桥梁的损坏责任】因总承包人运输造成施工场地内外公共道路和桥梁损坏的，由总承包人承担修复损坏的全部费用和可能引起的赔偿。</w:t>
      </w:r>
    </w:p>
    <w:p w14:paraId="46229B40">
      <w:pPr>
        <w:numPr>
          <w:ilvl w:val="2"/>
          <w:numId w:val="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【水路和航空运输】本款前述各项的内容适用于水路运输和航空运输，其中“道路”一词的涵义包括河道、航线、船闸、机场、码头、堤防以及水路或航空运输中的相似结构物。</w:t>
      </w:r>
    </w:p>
    <w:p w14:paraId="38AAB30D">
      <w:pPr>
        <w:numPr>
          <w:ilvl w:val="1"/>
          <w:numId w:val="3"/>
        </w:numPr>
        <w:snapToGrid w:val="0"/>
        <w:spacing w:line="560" w:lineRule="exact"/>
        <w:ind w:left="0" w:firstLine="600" w:firstLineChars="200"/>
        <w:rPr>
          <w:rFonts w:ascii="Times New Roman" w:eastAsia="仿宋"/>
          <w:b/>
          <w:sz w:val="30"/>
          <w:szCs w:val="30"/>
        </w:rPr>
      </w:pPr>
      <w:bookmarkStart w:id="162" w:name="_Toc337558737"/>
      <w:bookmarkStart w:id="163" w:name="_Toc37"/>
      <w:bookmarkStart w:id="164" w:name="_Toc13568"/>
      <w:bookmarkStart w:id="165" w:name="_Toc80863224"/>
      <w:bookmarkStart w:id="166" w:name="_Toc28412"/>
      <w:bookmarkStart w:id="167" w:name="_Toc524351762"/>
      <w:bookmarkStart w:id="168" w:name="_Toc351203506"/>
      <w:bookmarkStart w:id="169" w:name="_Toc487"/>
      <w:bookmarkStart w:id="170" w:name="_Toc410035634"/>
      <w:bookmarkStart w:id="171" w:name="_Toc14360"/>
      <w:bookmarkStart w:id="172" w:name="_Toc30638"/>
      <w:bookmarkStart w:id="173" w:name="_Toc296503037"/>
      <w:bookmarkStart w:id="174" w:name="_Toc296346538"/>
      <w:r>
        <w:rPr>
          <w:rFonts w:ascii="Times New Roman" w:eastAsia="仿宋"/>
          <w:b/>
          <w:sz w:val="30"/>
          <w:szCs w:val="30"/>
        </w:rPr>
        <w:t>知识产权</w:t>
      </w:r>
      <w:bookmarkEnd w:id="162"/>
      <w:bookmarkEnd w:id="163"/>
      <w:bookmarkEnd w:id="164"/>
      <w:bookmarkEnd w:id="165"/>
      <w:bookmarkEnd w:id="166"/>
      <w:bookmarkEnd w:id="167"/>
      <w:bookmarkEnd w:id="168"/>
      <w:bookmarkEnd w:id="169"/>
      <w:bookmarkEnd w:id="170"/>
      <w:bookmarkEnd w:id="171"/>
      <w:bookmarkEnd w:id="172"/>
    </w:p>
    <w:p w14:paraId="07A3DA89">
      <w:pPr>
        <w:numPr>
          <w:ilvl w:val="2"/>
          <w:numId w:val="3"/>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提供给总承包人的图纸、发包人为实施工程自行编制或委托编制的技术要求以及反映发包人要求的或其他类似性质的文件的著作权属于发包人，总承包人可以为实现合同目的而复制、使用此类文件，但不能用于与合同无关的其他事项。未经发包人书面同意，总承包人不得为了合同以外的目的而复制、使用上述文件或将之提供给任何第三方。</w:t>
      </w:r>
      <w:bookmarkEnd w:id="173"/>
      <w:bookmarkEnd w:id="174"/>
    </w:p>
    <w:p w14:paraId="340360F5">
      <w:pPr>
        <w:numPr>
          <w:ilvl w:val="2"/>
          <w:numId w:val="3"/>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为实施工程所编制的文件，除署名权以外的著作权属于发包人，总承包人可因实施工程的运行、调试、维修、改造等目的而复制、使用此类文件，但不能用于与合同无关的其他事项。未经发包人书面同意，总承包人不得为了合同以外的目的而复制、使用上述文件或将之提供给任何第三方。</w:t>
      </w:r>
    </w:p>
    <w:p w14:paraId="00AB70C6">
      <w:pPr>
        <w:numPr>
          <w:ilvl w:val="2"/>
          <w:numId w:val="3"/>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合同当事人保证在履行合同过程中不侵犯对方及第三方的知识产权。总承包人在使用材料、施工设备、工程设备或采用施工工艺时，因侵犯他人的专利权或其他知识产权所引起的责任，由总承包人承担，若因侵犯他人知识产权对发包人造成损失，还应向发包人承担赔偿责任。</w:t>
      </w:r>
    </w:p>
    <w:p w14:paraId="4C120045">
      <w:pPr>
        <w:numPr>
          <w:ilvl w:val="2"/>
          <w:numId w:val="3"/>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总承包人在合同签订前和签订时已确定采用的专利、专有技术、技术秘密的使用费已包含在签约合同价款中。</w:t>
      </w:r>
    </w:p>
    <w:p w14:paraId="69A13493">
      <w:pPr>
        <w:numPr>
          <w:ilvl w:val="1"/>
          <w:numId w:val="3"/>
        </w:numPr>
        <w:snapToGrid w:val="0"/>
        <w:spacing w:line="560" w:lineRule="exact"/>
        <w:ind w:left="0" w:firstLine="600" w:firstLineChars="200"/>
        <w:rPr>
          <w:rFonts w:ascii="Times New Roman" w:eastAsia="仿宋"/>
          <w:b/>
          <w:sz w:val="30"/>
          <w:szCs w:val="30"/>
        </w:rPr>
      </w:pPr>
      <w:bookmarkStart w:id="175" w:name="_Toc17640"/>
      <w:bookmarkStart w:id="176" w:name="_Toc11861"/>
      <w:bookmarkStart w:id="177" w:name="_Toc8925"/>
      <w:bookmarkStart w:id="178" w:name="_Toc80863225"/>
      <w:bookmarkStart w:id="179" w:name="_Toc25399"/>
      <w:bookmarkStart w:id="180" w:name="_Toc31548"/>
      <w:bookmarkStart w:id="181" w:name="_Toc17873"/>
      <w:bookmarkStart w:id="182" w:name="_Toc524351763"/>
      <w:bookmarkStart w:id="183" w:name="_Toc351203507"/>
      <w:bookmarkStart w:id="184" w:name="_Toc410035635"/>
      <w:bookmarkStart w:id="185" w:name="_Toc337558738"/>
      <w:r>
        <w:rPr>
          <w:rFonts w:ascii="Times New Roman" w:eastAsia="仿宋"/>
          <w:b/>
          <w:sz w:val="30"/>
          <w:szCs w:val="30"/>
        </w:rPr>
        <w:t>保密</w:t>
      </w:r>
      <w:bookmarkEnd w:id="175"/>
      <w:bookmarkEnd w:id="176"/>
      <w:bookmarkEnd w:id="177"/>
      <w:bookmarkEnd w:id="178"/>
      <w:bookmarkEnd w:id="179"/>
      <w:bookmarkEnd w:id="180"/>
      <w:bookmarkEnd w:id="181"/>
      <w:bookmarkEnd w:id="182"/>
      <w:bookmarkEnd w:id="183"/>
      <w:bookmarkEnd w:id="184"/>
      <w:r>
        <w:rPr>
          <w:rFonts w:hint="eastAsia" w:ascii="Times New Roman" w:eastAsia="仿宋"/>
          <w:b/>
          <w:sz w:val="30"/>
          <w:szCs w:val="30"/>
          <w:lang w:eastAsia="zh-CN"/>
        </w:rPr>
        <w:tab/>
      </w:r>
    </w:p>
    <w:p w14:paraId="686AEB14">
      <w:pPr>
        <w:snapToGrid w:val="0"/>
        <w:spacing w:line="560" w:lineRule="exact"/>
        <w:ind w:firstLine="600" w:firstLineChars="200"/>
        <w:rPr>
          <w:rFonts w:ascii="Times New Roman" w:eastAsia="仿宋"/>
          <w:sz w:val="30"/>
          <w:szCs w:val="30"/>
          <w:lang w:eastAsia="zh-CN"/>
        </w:rPr>
      </w:pPr>
      <w:bookmarkStart w:id="186" w:name="_Toc13340"/>
      <w:r>
        <w:rPr>
          <w:rFonts w:ascii="Times New Roman" w:eastAsia="仿宋"/>
          <w:sz w:val="30"/>
          <w:szCs w:val="30"/>
          <w:lang w:eastAsia="zh-CN"/>
        </w:rPr>
        <w:t>除法律规定或合同另有约定外，未经发包人同意，总承包人不得将发包人提供的图纸、其他合同文件、声明的资料信息以及从发包人处获取的任何信息和资料等商业秘密泄露给第三方。工程竣工验收合格并颁发竣工验收报告后，除总承包人存档需要的图纸、文件，应将其他全部图纸、文件等，包括书面文件和存放前述图纸、文件电子版的载体退还发包人，所需费用已包含在合同价款中。</w:t>
      </w:r>
      <w:bookmarkEnd w:id="185"/>
      <w:bookmarkEnd w:id="186"/>
    </w:p>
    <w:p w14:paraId="68C94BE2">
      <w:pPr>
        <w:pStyle w:val="4"/>
        <w:jc w:val="left"/>
        <w:rPr>
          <w:rFonts w:ascii="Times New Roman"/>
        </w:rPr>
      </w:pPr>
      <w:bookmarkStart w:id="187" w:name="_Toc522294077"/>
      <w:bookmarkEnd w:id="187"/>
      <w:bookmarkStart w:id="188" w:name="_Toc410035636"/>
      <w:bookmarkEnd w:id="188"/>
      <w:bookmarkStart w:id="189" w:name="_Toc522294078"/>
      <w:bookmarkEnd w:id="189"/>
      <w:bookmarkStart w:id="190" w:name="_Toc410035637"/>
      <w:bookmarkEnd w:id="190"/>
      <w:bookmarkStart w:id="191" w:name="_Toc410035638"/>
      <w:bookmarkEnd w:id="191"/>
      <w:bookmarkStart w:id="192" w:name="_Toc410035639"/>
      <w:bookmarkEnd w:id="192"/>
      <w:bookmarkStart w:id="193" w:name="_Toc144742717"/>
      <w:bookmarkStart w:id="194" w:name="_Toc82531185"/>
      <w:r>
        <w:rPr>
          <w:rFonts w:ascii="Times New Roman"/>
          <w:lang w:eastAsia="zh-CN"/>
        </w:rPr>
        <w:t xml:space="preserve">2. </w:t>
      </w:r>
      <w:bookmarkStart w:id="195" w:name="_Toc41574009"/>
      <w:bookmarkStart w:id="196" w:name="_Toc21705"/>
      <w:bookmarkStart w:id="197" w:name="_Toc15689"/>
      <w:bookmarkStart w:id="198" w:name="_Toc351203509"/>
      <w:bookmarkStart w:id="199" w:name="_Toc80863226"/>
      <w:bookmarkStart w:id="200" w:name="_Toc14749"/>
      <w:bookmarkStart w:id="201" w:name="_Toc41499747"/>
      <w:bookmarkStart w:id="202" w:name="_Toc2499"/>
      <w:bookmarkStart w:id="203" w:name="_Toc410035640"/>
      <w:bookmarkStart w:id="204" w:name="_Toc27307"/>
      <w:bookmarkStart w:id="205" w:name="_Toc7565"/>
      <w:bookmarkStart w:id="206" w:name="_Toc524351764"/>
      <w:bookmarkStart w:id="207" w:name="_Toc5659"/>
      <w:bookmarkStart w:id="208" w:name="_Toc337558739"/>
      <w:bookmarkStart w:id="209" w:name="_Toc296503038"/>
      <w:bookmarkStart w:id="210" w:name="_Toc296346539"/>
      <w:r>
        <w:rPr>
          <w:rFonts w:ascii="Times New Roman"/>
        </w:rPr>
        <w:t>发包人</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D711358">
      <w:pPr>
        <w:numPr>
          <w:ilvl w:val="1"/>
          <w:numId w:val="6"/>
        </w:numPr>
        <w:snapToGrid w:val="0"/>
        <w:spacing w:line="560" w:lineRule="exact"/>
        <w:ind w:left="0" w:firstLine="600" w:firstLineChars="200"/>
        <w:rPr>
          <w:rFonts w:ascii="Times New Roman" w:eastAsia="仿宋"/>
          <w:sz w:val="30"/>
          <w:szCs w:val="30"/>
          <w:lang w:eastAsia="zh-CN"/>
        </w:rPr>
      </w:pPr>
      <w:bookmarkStart w:id="211" w:name="_Toc27491"/>
      <w:bookmarkStart w:id="212" w:name="_Toc410035641"/>
      <w:bookmarkStart w:id="213" w:name="_Toc23807"/>
      <w:bookmarkStart w:id="214" w:name="_Toc2655"/>
      <w:bookmarkStart w:id="215" w:name="_Toc10876"/>
      <w:bookmarkStart w:id="216" w:name="_Toc2855"/>
      <w:bookmarkStart w:id="217" w:name="_Toc524351765"/>
      <w:bookmarkStart w:id="218" w:name="_Toc18305"/>
      <w:bookmarkStart w:id="219" w:name="_Toc80863227"/>
      <w:r>
        <w:rPr>
          <w:rFonts w:ascii="Times New Roman" w:eastAsia="仿宋"/>
          <w:b/>
          <w:sz w:val="30"/>
          <w:szCs w:val="30"/>
          <w:lang w:eastAsia="zh-CN"/>
        </w:rPr>
        <w:t>【许可或批准】</w:t>
      </w:r>
      <w:bookmarkEnd w:id="208"/>
      <w:bookmarkEnd w:id="209"/>
      <w:bookmarkEnd w:id="210"/>
      <w:bookmarkEnd w:id="211"/>
      <w:bookmarkEnd w:id="212"/>
      <w:bookmarkEnd w:id="213"/>
      <w:bookmarkEnd w:id="214"/>
      <w:bookmarkEnd w:id="215"/>
      <w:bookmarkEnd w:id="216"/>
      <w:bookmarkEnd w:id="217"/>
      <w:bookmarkEnd w:id="218"/>
      <w:bookmarkStart w:id="220" w:name="_Toc337558740"/>
      <w:bookmarkStart w:id="221" w:name="_Toc296346540"/>
      <w:bookmarkStart w:id="222" w:name="_Toc296503039"/>
      <w:r>
        <w:rPr>
          <w:rFonts w:ascii="Times New Roman" w:eastAsia="仿宋"/>
          <w:sz w:val="30"/>
          <w:szCs w:val="30"/>
          <w:lang w:eastAsia="zh-CN"/>
        </w:rPr>
        <w:t>发包人应遵守法律，</w:t>
      </w:r>
      <w:r>
        <w:rPr>
          <w:rFonts w:hint="eastAsia" w:ascii="Times New Roman" w:eastAsia="仿宋"/>
          <w:sz w:val="30"/>
          <w:szCs w:val="30"/>
          <w:lang w:eastAsia="zh-CN"/>
        </w:rPr>
        <w:t>与总承包人签订总承包合同后由总承包人</w:t>
      </w:r>
      <w:r>
        <w:rPr>
          <w:rFonts w:ascii="Times New Roman" w:eastAsia="仿宋"/>
          <w:sz w:val="30"/>
          <w:szCs w:val="30"/>
          <w:lang w:eastAsia="zh-CN"/>
        </w:rPr>
        <w:t>办理法律规定由其办理的许可、批准或备案。总承包人</w:t>
      </w:r>
      <w:r>
        <w:rPr>
          <w:rFonts w:hint="eastAsia" w:ascii="Times New Roman" w:eastAsia="仿宋"/>
          <w:sz w:val="30"/>
          <w:szCs w:val="30"/>
          <w:lang w:eastAsia="zh-CN"/>
        </w:rPr>
        <w:t>还应</w:t>
      </w:r>
      <w:r>
        <w:rPr>
          <w:rFonts w:ascii="Times New Roman" w:eastAsia="仿宋"/>
          <w:sz w:val="30"/>
          <w:szCs w:val="30"/>
          <w:lang w:eastAsia="zh-CN"/>
        </w:rPr>
        <w:t>办理施工所需临时用水、临时用电、中断道路交通、临时占用土地、破路证、道路渣土准运证、道路垃圾准运证、排污许可证、夜间施工许可证、建设工程施工许可证、</w:t>
      </w:r>
      <w:r>
        <w:rPr>
          <w:rFonts w:hint="eastAsia" w:ascii="Times New Roman" w:eastAsia="仿宋"/>
          <w:sz w:val="30"/>
          <w:szCs w:val="30"/>
          <w:lang w:eastAsia="zh-CN"/>
        </w:rPr>
        <w:t>消防验收、</w:t>
      </w:r>
      <w:r>
        <w:rPr>
          <w:rFonts w:ascii="Times New Roman" w:eastAsia="仿宋"/>
          <w:sz w:val="30"/>
          <w:szCs w:val="30"/>
          <w:lang w:eastAsia="zh-CN"/>
        </w:rPr>
        <w:t>街道</w:t>
      </w:r>
      <w:r>
        <w:rPr>
          <w:rFonts w:hint="eastAsia" w:ascii="Times New Roman" w:eastAsia="仿宋"/>
          <w:sz w:val="30"/>
          <w:szCs w:val="30"/>
          <w:lang w:eastAsia="zh-CN"/>
        </w:rPr>
        <w:t>及</w:t>
      </w:r>
      <w:r>
        <w:rPr>
          <w:rFonts w:ascii="Times New Roman" w:eastAsia="仿宋"/>
          <w:sz w:val="30"/>
          <w:szCs w:val="30"/>
          <w:lang w:eastAsia="zh-CN"/>
        </w:rPr>
        <w:t>居委会施工备案等许可和批准及其他法律规定的有关施工证件和批件。</w:t>
      </w:r>
      <w:bookmarkEnd w:id="219"/>
    </w:p>
    <w:p w14:paraId="45FFBC35">
      <w:pPr>
        <w:numPr>
          <w:ilvl w:val="1"/>
          <w:numId w:val="6"/>
        </w:numPr>
        <w:snapToGrid w:val="0"/>
        <w:spacing w:line="560" w:lineRule="exact"/>
        <w:ind w:left="0" w:firstLine="600" w:firstLineChars="200"/>
        <w:rPr>
          <w:rFonts w:ascii="Times New Roman" w:eastAsia="仿宋"/>
          <w:sz w:val="30"/>
          <w:szCs w:val="30"/>
          <w:lang w:eastAsia="zh-CN"/>
        </w:rPr>
      </w:pPr>
      <w:bookmarkStart w:id="223" w:name="_Toc24809"/>
      <w:bookmarkStart w:id="224" w:name="_Toc22565"/>
      <w:bookmarkStart w:id="225" w:name="_Toc7166"/>
      <w:bookmarkStart w:id="226" w:name="_Toc3887"/>
      <w:bookmarkStart w:id="227" w:name="_Toc351203511"/>
      <w:bookmarkStart w:id="228" w:name="_Toc11258"/>
      <w:bookmarkStart w:id="229" w:name="_Toc410035642"/>
      <w:bookmarkStart w:id="230" w:name="_Toc524351766"/>
      <w:bookmarkStart w:id="231" w:name="_Toc7558"/>
      <w:bookmarkStart w:id="232" w:name="_Toc80863228"/>
      <w:r>
        <w:rPr>
          <w:rFonts w:ascii="Times New Roman" w:eastAsia="仿宋"/>
          <w:b/>
          <w:sz w:val="30"/>
          <w:szCs w:val="30"/>
          <w:lang w:eastAsia="zh-CN"/>
        </w:rPr>
        <w:t>【发包人代表】</w:t>
      </w:r>
      <w:bookmarkEnd w:id="223"/>
      <w:bookmarkEnd w:id="224"/>
      <w:bookmarkEnd w:id="225"/>
      <w:bookmarkEnd w:id="226"/>
      <w:bookmarkEnd w:id="227"/>
      <w:bookmarkEnd w:id="228"/>
      <w:bookmarkEnd w:id="229"/>
      <w:bookmarkEnd w:id="230"/>
      <w:bookmarkEnd w:id="231"/>
      <w:r>
        <w:rPr>
          <w:rFonts w:ascii="Times New Roman" w:eastAsia="仿宋"/>
          <w:sz w:val="30"/>
          <w:szCs w:val="30"/>
          <w:lang w:eastAsia="zh-CN"/>
        </w:rPr>
        <w:t>发包人代表在发包人的授权范围内，负责处理合同履行过程中与发包人有关的具体事宜。</w:t>
      </w:r>
      <w:bookmarkEnd w:id="232"/>
    </w:p>
    <w:p w14:paraId="7EE421A8">
      <w:pPr>
        <w:snapToGrid w:val="0"/>
        <w:spacing w:line="560" w:lineRule="exact"/>
        <w:ind w:left="600" w:firstLine="600" w:firstLineChars="200"/>
        <w:rPr>
          <w:rFonts w:ascii="Times New Roman" w:eastAsia="仿宋"/>
          <w:sz w:val="30"/>
          <w:szCs w:val="30"/>
          <w:lang w:eastAsia="zh-CN"/>
        </w:rPr>
      </w:pPr>
      <w:bookmarkStart w:id="233" w:name="_Toc80863229"/>
      <w:r>
        <w:rPr>
          <w:rFonts w:ascii="Times New Roman" w:eastAsia="仿宋"/>
          <w:sz w:val="30"/>
          <w:szCs w:val="30"/>
          <w:lang w:eastAsia="zh-CN"/>
        </w:rPr>
        <w:t>2.2.1发包人代表在授权范围内的行为由发包人承担法律责任。发包人更换发包人代表的，应提前书面通知总承包人。发包人的代表的授权范围如下：</w:t>
      </w:r>
      <w:bookmarkEnd w:id="233"/>
    </w:p>
    <w:p w14:paraId="10EC1329">
      <w:pPr>
        <w:tabs>
          <w:tab w:val="left" w:pos="1560"/>
        </w:tabs>
        <w:snapToGrid w:val="0"/>
        <w:spacing w:line="560" w:lineRule="exact"/>
        <w:ind w:firstLine="1200" w:firstLineChars="400"/>
        <w:rPr>
          <w:rFonts w:ascii="Times New Roman" w:eastAsia="仿宋"/>
          <w:sz w:val="30"/>
          <w:szCs w:val="30"/>
          <w:lang w:eastAsia="zh-CN"/>
        </w:rPr>
      </w:pPr>
      <w:r>
        <w:rPr>
          <w:rFonts w:ascii="Times New Roman" w:eastAsia="仿宋"/>
          <w:sz w:val="30"/>
          <w:szCs w:val="30"/>
          <w:lang w:eastAsia="zh-CN"/>
        </w:rPr>
        <w:t>（1）</w:t>
      </w:r>
      <w:r>
        <w:rPr>
          <w:rFonts w:ascii="Times New Roman" w:eastAsia="仿宋"/>
          <w:sz w:val="30"/>
          <w:szCs w:val="30"/>
          <w:lang w:eastAsia="zh-CN"/>
        </w:rPr>
        <w:tab/>
      </w:r>
      <w:r>
        <w:rPr>
          <w:rFonts w:ascii="Times New Roman" w:eastAsia="仿宋"/>
          <w:sz w:val="30"/>
          <w:szCs w:val="30"/>
          <w:lang w:eastAsia="zh-CN"/>
        </w:rPr>
        <w:t>督促监理人按照合同履行职责；</w:t>
      </w:r>
    </w:p>
    <w:p w14:paraId="4BA7B960">
      <w:pPr>
        <w:tabs>
          <w:tab w:val="left" w:pos="1560"/>
        </w:tabs>
        <w:snapToGrid w:val="0"/>
        <w:spacing w:line="560" w:lineRule="exact"/>
        <w:ind w:firstLine="1200" w:firstLineChars="400"/>
        <w:rPr>
          <w:rFonts w:ascii="Times New Roman" w:eastAsia="仿宋"/>
          <w:sz w:val="30"/>
          <w:szCs w:val="30"/>
          <w:lang w:eastAsia="zh-CN"/>
        </w:rPr>
      </w:pPr>
      <w:r>
        <w:rPr>
          <w:rFonts w:ascii="Times New Roman" w:eastAsia="仿宋"/>
          <w:sz w:val="30"/>
          <w:szCs w:val="30"/>
          <w:lang w:eastAsia="zh-CN"/>
        </w:rPr>
        <w:t>（2）</w:t>
      </w:r>
      <w:r>
        <w:rPr>
          <w:rFonts w:ascii="Times New Roman" w:eastAsia="仿宋"/>
          <w:sz w:val="30"/>
          <w:szCs w:val="30"/>
          <w:lang w:eastAsia="zh-CN"/>
        </w:rPr>
        <w:tab/>
      </w:r>
      <w:r>
        <w:rPr>
          <w:rFonts w:ascii="Times New Roman" w:eastAsia="仿宋"/>
          <w:sz w:val="30"/>
          <w:szCs w:val="30"/>
          <w:lang w:eastAsia="zh-CN"/>
        </w:rPr>
        <w:t>协调各有关单位工作及关系；</w:t>
      </w:r>
    </w:p>
    <w:p w14:paraId="7C7F7B87">
      <w:pPr>
        <w:tabs>
          <w:tab w:val="left" w:pos="1560"/>
        </w:tabs>
        <w:snapToGrid w:val="0"/>
        <w:spacing w:line="560" w:lineRule="exact"/>
        <w:ind w:firstLine="1200" w:firstLineChars="400"/>
        <w:rPr>
          <w:rFonts w:ascii="Times New Roman" w:eastAsia="仿宋"/>
          <w:sz w:val="30"/>
          <w:szCs w:val="30"/>
          <w:lang w:eastAsia="zh-CN"/>
        </w:rPr>
      </w:pPr>
      <w:r>
        <w:rPr>
          <w:rFonts w:ascii="Times New Roman" w:eastAsia="仿宋"/>
          <w:sz w:val="30"/>
          <w:szCs w:val="30"/>
          <w:lang w:eastAsia="zh-CN"/>
        </w:rPr>
        <w:t>（3）</w:t>
      </w:r>
      <w:r>
        <w:rPr>
          <w:rFonts w:ascii="Times New Roman" w:eastAsia="仿宋"/>
          <w:sz w:val="30"/>
          <w:szCs w:val="30"/>
          <w:lang w:eastAsia="zh-CN"/>
        </w:rPr>
        <w:tab/>
      </w:r>
      <w:r>
        <w:rPr>
          <w:rFonts w:ascii="Times New Roman" w:eastAsia="仿宋"/>
          <w:sz w:val="30"/>
          <w:szCs w:val="30"/>
          <w:lang w:eastAsia="zh-CN"/>
        </w:rPr>
        <w:t>督促并控制工程安全、进度、质量及成本；</w:t>
      </w:r>
    </w:p>
    <w:p w14:paraId="41B2DA36">
      <w:pPr>
        <w:tabs>
          <w:tab w:val="left" w:pos="1560"/>
        </w:tabs>
        <w:snapToGrid w:val="0"/>
        <w:spacing w:line="560" w:lineRule="exact"/>
        <w:ind w:firstLine="1200" w:firstLineChars="400"/>
        <w:rPr>
          <w:rFonts w:ascii="Times New Roman" w:eastAsia="仿宋"/>
          <w:sz w:val="30"/>
          <w:szCs w:val="30"/>
          <w:lang w:eastAsia="zh-CN"/>
        </w:rPr>
      </w:pPr>
      <w:r>
        <w:rPr>
          <w:rFonts w:ascii="Times New Roman" w:eastAsia="仿宋"/>
          <w:sz w:val="30"/>
          <w:szCs w:val="30"/>
          <w:lang w:eastAsia="zh-CN"/>
        </w:rPr>
        <w:t>（4）</w:t>
      </w:r>
      <w:r>
        <w:rPr>
          <w:rFonts w:ascii="Times New Roman" w:eastAsia="仿宋"/>
          <w:sz w:val="30"/>
          <w:szCs w:val="30"/>
          <w:lang w:eastAsia="zh-CN"/>
        </w:rPr>
        <w:tab/>
      </w:r>
      <w:r>
        <w:rPr>
          <w:rFonts w:ascii="Times New Roman" w:eastAsia="仿宋"/>
          <w:sz w:val="30"/>
          <w:szCs w:val="30"/>
          <w:lang w:eastAsia="zh-CN"/>
        </w:rPr>
        <w:t>审批施工方案、变更、现场签证，审核工程进度报表。</w:t>
      </w:r>
    </w:p>
    <w:p w14:paraId="056A2050">
      <w:pPr>
        <w:tabs>
          <w:tab w:val="left" w:pos="1560"/>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2.2.2 发包人代表无权减轻合同中约定的总承包人的责任或义务且下列事项须经发包人盖公司公章进行确认方为有效：变更价款、工程结算、涉及经济条款、工程造价的谈判。</w:t>
      </w:r>
    </w:p>
    <w:p w14:paraId="5366569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2.2.3不属于法定必须监理的工程，监理人的职权可以由发包人代表或发包人指定的其他人员行使。</w:t>
      </w:r>
    </w:p>
    <w:p w14:paraId="18156555">
      <w:pPr>
        <w:numPr>
          <w:ilvl w:val="1"/>
          <w:numId w:val="6"/>
        </w:numPr>
        <w:snapToGrid w:val="0"/>
        <w:spacing w:line="560" w:lineRule="exact"/>
        <w:ind w:left="0" w:firstLine="600" w:firstLineChars="200"/>
        <w:rPr>
          <w:rFonts w:ascii="Times New Roman" w:eastAsia="仿宋"/>
          <w:sz w:val="30"/>
          <w:szCs w:val="30"/>
          <w:lang w:eastAsia="zh-CN"/>
        </w:rPr>
      </w:pPr>
      <w:bookmarkStart w:id="234" w:name="_Toc410035643"/>
      <w:bookmarkStart w:id="235" w:name="_Toc26283"/>
      <w:bookmarkStart w:id="236" w:name="_Toc32644"/>
      <w:bookmarkStart w:id="237" w:name="_Toc351203512"/>
      <w:bookmarkStart w:id="238" w:name="_Toc23958"/>
      <w:bookmarkStart w:id="239" w:name="_Toc524351767"/>
      <w:bookmarkStart w:id="240" w:name="_Toc29544"/>
      <w:bookmarkStart w:id="241" w:name="_Toc19191"/>
      <w:bookmarkStart w:id="242" w:name="_Toc14484"/>
      <w:bookmarkStart w:id="243" w:name="_Toc80863230"/>
      <w:r>
        <w:rPr>
          <w:rFonts w:ascii="Times New Roman" w:eastAsia="仿宋"/>
          <w:b/>
          <w:sz w:val="30"/>
          <w:szCs w:val="30"/>
          <w:lang w:eastAsia="zh-CN"/>
        </w:rPr>
        <w:t>【发包人人员】</w:t>
      </w:r>
      <w:bookmarkEnd w:id="234"/>
      <w:bookmarkEnd w:id="235"/>
      <w:bookmarkEnd w:id="236"/>
      <w:bookmarkEnd w:id="237"/>
      <w:bookmarkEnd w:id="238"/>
      <w:bookmarkEnd w:id="239"/>
      <w:bookmarkEnd w:id="240"/>
      <w:bookmarkEnd w:id="241"/>
      <w:bookmarkEnd w:id="242"/>
      <w:r>
        <w:rPr>
          <w:rFonts w:ascii="Times New Roman" w:eastAsia="仿宋"/>
          <w:sz w:val="30"/>
          <w:szCs w:val="30"/>
          <w:lang w:eastAsia="zh-CN"/>
        </w:rPr>
        <w:t>发包人应要求在施工现场的发包人人员遵守法律及有关安全、质量、环境保护、文明施工等规定。发包人人员包括发包人代表及其他由发包人派驻施工现场的人员。</w:t>
      </w:r>
      <w:bookmarkEnd w:id="220"/>
      <w:bookmarkEnd w:id="221"/>
      <w:bookmarkEnd w:id="222"/>
      <w:bookmarkEnd w:id="243"/>
      <w:bookmarkStart w:id="244" w:name="OLE_LINK1"/>
      <w:bookmarkStart w:id="245" w:name="OLE_LINK2"/>
    </w:p>
    <w:p w14:paraId="07DD2C5F">
      <w:pPr>
        <w:numPr>
          <w:ilvl w:val="1"/>
          <w:numId w:val="6"/>
        </w:numPr>
        <w:snapToGrid w:val="0"/>
        <w:spacing w:line="560" w:lineRule="exact"/>
        <w:ind w:left="0" w:firstLine="600" w:firstLineChars="200"/>
        <w:rPr>
          <w:rFonts w:ascii="Times New Roman" w:eastAsia="仿宋"/>
          <w:b/>
          <w:sz w:val="30"/>
          <w:szCs w:val="30"/>
          <w:lang w:eastAsia="zh-CN"/>
        </w:rPr>
      </w:pPr>
      <w:bookmarkStart w:id="246" w:name="_Toc2704"/>
      <w:bookmarkStart w:id="247" w:name="_Toc5242"/>
      <w:bookmarkStart w:id="248" w:name="_Toc5410"/>
      <w:bookmarkStart w:id="249" w:name="_Toc80863231"/>
      <w:bookmarkStart w:id="250" w:name="_Toc13287"/>
      <w:bookmarkStart w:id="251" w:name="_Toc296346541"/>
      <w:bookmarkStart w:id="252" w:name="_Toc351203513"/>
      <w:bookmarkStart w:id="253" w:name="_Toc13099"/>
      <w:bookmarkStart w:id="254" w:name="_Toc524351768"/>
      <w:bookmarkStart w:id="255" w:name="_Toc337558741"/>
      <w:bookmarkStart w:id="256" w:name="_Toc410035644"/>
      <w:bookmarkStart w:id="257" w:name="_Toc31282"/>
      <w:bookmarkStart w:id="258" w:name="_Toc296503040"/>
      <w:r>
        <w:rPr>
          <w:rFonts w:ascii="Times New Roman" w:eastAsia="仿宋"/>
          <w:b/>
          <w:sz w:val="30"/>
          <w:szCs w:val="30"/>
          <w:lang w:eastAsia="zh-CN"/>
        </w:rPr>
        <w:t>施工现场、施工条件和基础资料的提供</w:t>
      </w:r>
      <w:bookmarkEnd w:id="246"/>
      <w:bookmarkEnd w:id="247"/>
      <w:bookmarkEnd w:id="248"/>
      <w:bookmarkEnd w:id="249"/>
      <w:bookmarkEnd w:id="250"/>
      <w:bookmarkEnd w:id="251"/>
      <w:bookmarkEnd w:id="252"/>
      <w:bookmarkEnd w:id="253"/>
      <w:bookmarkEnd w:id="254"/>
      <w:bookmarkEnd w:id="255"/>
      <w:bookmarkEnd w:id="256"/>
      <w:bookmarkEnd w:id="257"/>
      <w:bookmarkEnd w:id="258"/>
    </w:p>
    <w:p w14:paraId="4AFBFEB8">
      <w:pPr>
        <w:numPr>
          <w:ilvl w:val="2"/>
          <w:numId w:val="6"/>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【提供施工现场】</w:t>
      </w:r>
      <w:bookmarkEnd w:id="244"/>
      <w:bookmarkEnd w:id="245"/>
      <w:r>
        <w:rPr>
          <w:rFonts w:ascii="Times New Roman" w:eastAsia="仿宋"/>
          <w:sz w:val="30"/>
          <w:szCs w:val="30"/>
          <w:lang w:eastAsia="zh-CN"/>
        </w:rPr>
        <w:t>发包人应于实际开工日期前7日向总承包人移交施工现场。</w:t>
      </w:r>
    </w:p>
    <w:p w14:paraId="4067BA40">
      <w:pPr>
        <w:numPr>
          <w:ilvl w:val="2"/>
          <w:numId w:val="6"/>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【提供施工条件】发包人会按技术标准和要求约定的内容提供或协助提供总承包人施工所需要的条件，包括：</w:t>
      </w:r>
    </w:p>
    <w:p w14:paraId="6661082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（1）将施工用水、电力等施工所必需的条件接至施工现场内；</w:t>
      </w:r>
    </w:p>
    <w:p w14:paraId="3383D23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（2）协助提供总承包人正常施工所需要的进入施工现场的交通条件。</w:t>
      </w:r>
    </w:p>
    <w:p w14:paraId="6325157F">
      <w:pPr>
        <w:numPr>
          <w:ilvl w:val="2"/>
          <w:numId w:val="6"/>
        </w:numPr>
        <w:snapToGrid w:val="0"/>
        <w:spacing w:line="560" w:lineRule="exact"/>
        <w:ind w:left="0" w:firstLine="600" w:firstLineChars="200"/>
        <w:rPr>
          <w:rFonts w:ascii="Times New Roman" w:eastAsia="仿宋"/>
          <w:sz w:val="30"/>
          <w:szCs w:val="30"/>
        </w:rPr>
      </w:pPr>
      <w:r>
        <w:rPr>
          <w:rFonts w:ascii="Times New Roman" w:eastAsia="仿宋"/>
          <w:sz w:val="30"/>
          <w:szCs w:val="30"/>
        </w:rPr>
        <w:t>【提供基础资料】</w:t>
      </w:r>
    </w:p>
    <w:p w14:paraId="20B690D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在移交施工现场前会按技术标准和要求约定的内容向总承包人提供施工现场及工程施工有关的基础资料，但该等资料仅供参考，其准确性和完整性发包人不予保证，应由总承包人至现场进行查勘、调查及核实。</w:t>
      </w:r>
    </w:p>
    <w:p w14:paraId="16DF4A9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按照法律规定确需在开工后方能提供的基础资料，发包人应尽其努力及时地在相应工程施工前的合理期限内提供，合理期限应以不影响总承包人的正常施工为限。</w:t>
      </w:r>
    </w:p>
    <w:p w14:paraId="0F3C7AF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发包人应向总承包人提供工程施工所需的原始基准点、基准线和基准标高，并对其真实准确性负责。</w:t>
      </w:r>
    </w:p>
    <w:p w14:paraId="1E450FFF">
      <w:pPr>
        <w:numPr>
          <w:ilvl w:val="1"/>
          <w:numId w:val="6"/>
        </w:numPr>
        <w:snapToGrid w:val="0"/>
        <w:spacing w:line="560" w:lineRule="exact"/>
        <w:ind w:left="0" w:firstLine="600" w:firstLineChars="200"/>
        <w:rPr>
          <w:rFonts w:ascii="Times New Roman" w:eastAsia="仿宋"/>
          <w:sz w:val="30"/>
          <w:szCs w:val="30"/>
          <w:lang w:eastAsia="zh-CN"/>
        </w:rPr>
      </w:pPr>
      <w:bookmarkStart w:id="259" w:name="_Toc522294084"/>
      <w:bookmarkEnd w:id="259"/>
      <w:bookmarkStart w:id="260" w:name="_Toc522294085"/>
      <w:bookmarkEnd w:id="260"/>
      <w:bookmarkStart w:id="261" w:name="_Toc13205"/>
      <w:bookmarkStart w:id="262" w:name="_Toc8960"/>
      <w:bookmarkStart w:id="263" w:name="_Toc351203515"/>
      <w:bookmarkStart w:id="264" w:name="_Toc14552"/>
      <w:bookmarkStart w:id="265" w:name="_Toc15318"/>
      <w:bookmarkStart w:id="266" w:name="_Toc524351769"/>
      <w:bookmarkStart w:id="267" w:name="_Toc10471"/>
      <w:bookmarkStart w:id="268" w:name="_Toc410035645"/>
      <w:bookmarkStart w:id="269" w:name="_Toc21986"/>
      <w:bookmarkStart w:id="270" w:name="_Toc80863232"/>
      <w:r>
        <w:rPr>
          <w:rFonts w:ascii="Times New Roman" w:eastAsia="仿宋"/>
          <w:b/>
          <w:sz w:val="30"/>
          <w:szCs w:val="30"/>
          <w:lang w:eastAsia="zh-CN"/>
        </w:rPr>
        <w:t>【支付合同价款】</w:t>
      </w:r>
      <w:bookmarkEnd w:id="261"/>
      <w:bookmarkEnd w:id="262"/>
      <w:bookmarkEnd w:id="263"/>
      <w:bookmarkEnd w:id="264"/>
      <w:bookmarkEnd w:id="265"/>
      <w:bookmarkEnd w:id="266"/>
      <w:bookmarkEnd w:id="267"/>
      <w:bookmarkEnd w:id="268"/>
      <w:bookmarkEnd w:id="269"/>
      <w:r>
        <w:rPr>
          <w:rFonts w:ascii="Times New Roman" w:eastAsia="仿宋"/>
          <w:sz w:val="30"/>
          <w:szCs w:val="30"/>
          <w:lang w:eastAsia="zh-CN"/>
        </w:rPr>
        <w:t>发包人应按合同约定向总承包人及时支付合同价款。</w:t>
      </w:r>
      <w:bookmarkEnd w:id="270"/>
    </w:p>
    <w:p w14:paraId="5A837610">
      <w:pPr>
        <w:numPr>
          <w:ilvl w:val="1"/>
          <w:numId w:val="6"/>
        </w:numPr>
        <w:snapToGrid w:val="0"/>
        <w:spacing w:line="560" w:lineRule="exact"/>
        <w:ind w:left="0" w:firstLine="600" w:firstLineChars="200"/>
        <w:rPr>
          <w:rFonts w:ascii="Times New Roman" w:eastAsia="PMingLiU"/>
          <w:sz w:val="30"/>
          <w:szCs w:val="30"/>
          <w:lang w:eastAsia="zh-CN"/>
        </w:rPr>
      </w:pPr>
      <w:bookmarkStart w:id="271" w:name="_Toc25093"/>
      <w:bookmarkStart w:id="272" w:name="_Toc1446"/>
      <w:bookmarkStart w:id="273" w:name="_Toc524351770"/>
      <w:bookmarkStart w:id="274" w:name="_Toc8413"/>
      <w:bookmarkStart w:id="275" w:name="_Toc351203516"/>
      <w:bookmarkStart w:id="276" w:name="_Toc410035646"/>
      <w:bookmarkStart w:id="277" w:name="_Toc12418"/>
      <w:bookmarkStart w:id="278" w:name="_Toc15278"/>
      <w:bookmarkStart w:id="279" w:name="_Toc20157"/>
      <w:bookmarkStart w:id="280" w:name="_Toc80863233"/>
      <w:r>
        <w:rPr>
          <w:rFonts w:ascii="Times New Roman" w:eastAsia="仿宋"/>
          <w:b/>
          <w:sz w:val="30"/>
          <w:szCs w:val="30"/>
          <w:lang w:eastAsia="zh-CN"/>
        </w:rPr>
        <w:t>【组织竣工验收】</w:t>
      </w:r>
      <w:bookmarkEnd w:id="271"/>
      <w:bookmarkEnd w:id="272"/>
      <w:bookmarkEnd w:id="273"/>
      <w:bookmarkEnd w:id="274"/>
      <w:bookmarkEnd w:id="275"/>
      <w:bookmarkEnd w:id="276"/>
      <w:bookmarkEnd w:id="277"/>
      <w:bookmarkEnd w:id="278"/>
      <w:bookmarkEnd w:id="279"/>
      <w:bookmarkStart w:id="281" w:name="_Toc20993"/>
      <w:bookmarkStart w:id="282" w:name="_Toc31002"/>
      <w:bookmarkStart w:id="283" w:name="_Toc29748"/>
      <w:bookmarkStart w:id="284" w:name="_Toc14184"/>
      <w:bookmarkStart w:id="285" w:name="_Toc9140"/>
      <w:r>
        <w:rPr>
          <w:rFonts w:ascii="Times New Roman" w:eastAsia="仿宋"/>
          <w:sz w:val="30"/>
          <w:szCs w:val="30"/>
          <w:lang w:eastAsia="zh-CN"/>
        </w:rPr>
        <w:t>发包人应按合同约定及时组织竣工验收。</w:t>
      </w:r>
      <w:bookmarkEnd w:id="280"/>
      <w:bookmarkEnd w:id="281"/>
      <w:bookmarkEnd w:id="282"/>
      <w:bookmarkEnd w:id="283"/>
      <w:bookmarkEnd w:id="284"/>
      <w:bookmarkEnd w:id="285"/>
    </w:p>
    <w:p w14:paraId="00552825">
      <w:pPr>
        <w:numPr>
          <w:ilvl w:val="1"/>
          <w:numId w:val="6"/>
        </w:numPr>
        <w:snapToGrid w:val="0"/>
        <w:spacing w:line="560" w:lineRule="exact"/>
        <w:ind w:left="0" w:firstLine="600" w:firstLineChars="200"/>
        <w:rPr>
          <w:rFonts w:ascii="Times New Roman" w:eastAsia="仿宋"/>
          <w:sz w:val="30"/>
          <w:szCs w:val="30"/>
          <w:lang w:eastAsia="zh-CN"/>
        </w:rPr>
      </w:pPr>
      <w:bookmarkStart w:id="286" w:name="_Toc80863234"/>
      <w:r>
        <w:rPr>
          <w:rFonts w:ascii="Times New Roman" w:eastAsia="仿宋"/>
          <w:b/>
          <w:sz w:val="30"/>
          <w:szCs w:val="30"/>
          <w:lang w:eastAsia="zh-CN"/>
        </w:rPr>
        <w:t>【提议、修改和变更】</w:t>
      </w:r>
      <w:r>
        <w:rPr>
          <w:rFonts w:ascii="Times New Roman" w:eastAsia="仿宋"/>
          <w:sz w:val="30"/>
          <w:szCs w:val="30"/>
          <w:lang w:eastAsia="zh-CN"/>
        </w:rPr>
        <w:t>有权按照合同约定和适用法律关于安全、质量、环境保护和职业健康等强制性标准、规范的规定，对总承包人的设计、采购、施工、竣工试验等实施工作提议、修改和变更，但不得违反国家强制性标准、规范的规定。</w:t>
      </w:r>
      <w:bookmarkEnd w:id="286"/>
    </w:p>
    <w:p w14:paraId="5DF1CF3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发包人认为必要时，有权以书面形式发出暂停通知。</w:t>
      </w:r>
    </w:p>
    <w:p w14:paraId="20A808B1">
      <w:pPr>
        <w:pStyle w:val="4"/>
        <w:jc w:val="left"/>
        <w:rPr>
          <w:rFonts w:ascii="Times New Roman"/>
          <w:lang w:eastAsia="zh-CN"/>
        </w:rPr>
      </w:pPr>
      <w:bookmarkStart w:id="287" w:name="_Toc82531186"/>
      <w:bookmarkStart w:id="288" w:name="_Toc144742718"/>
      <w:r>
        <w:rPr>
          <w:rFonts w:ascii="Times New Roman"/>
          <w:lang w:eastAsia="zh-CN"/>
        </w:rPr>
        <w:t xml:space="preserve">3. </w:t>
      </w:r>
      <w:bookmarkStart w:id="289" w:name="_Toc80863235"/>
      <w:bookmarkStart w:id="290" w:name="_Toc23820"/>
      <w:bookmarkStart w:id="291" w:name="_Toc41574010"/>
      <w:bookmarkStart w:id="292" w:name="_Toc41499748"/>
      <w:bookmarkStart w:id="293" w:name="_Toc524351771"/>
      <w:bookmarkStart w:id="294" w:name="_Toc337558746"/>
      <w:bookmarkStart w:id="295" w:name="_Toc296346546"/>
      <w:bookmarkStart w:id="296" w:name="_Toc296503045"/>
      <w:r>
        <w:rPr>
          <w:rFonts w:ascii="Times New Roman"/>
          <w:lang w:eastAsia="zh-CN"/>
        </w:rPr>
        <w:t>总承包人</w:t>
      </w:r>
      <w:bookmarkEnd w:id="287"/>
      <w:bookmarkEnd w:id="288"/>
      <w:bookmarkEnd w:id="289"/>
      <w:bookmarkEnd w:id="290"/>
      <w:bookmarkEnd w:id="291"/>
      <w:bookmarkEnd w:id="292"/>
      <w:bookmarkEnd w:id="293"/>
    </w:p>
    <w:p w14:paraId="696232A2">
      <w:pPr>
        <w:pStyle w:val="50"/>
        <w:numPr>
          <w:ilvl w:val="1"/>
          <w:numId w:val="7"/>
        </w:numPr>
        <w:snapToGrid w:val="0"/>
        <w:spacing w:line="560" w:lineRule="exact"/>
        <w:ind w:firstLineChars="0"/>
        <w:rPr>
          <w:rFonts w:ascii="Times New Roman" w:eastAsia="仿宋"/>
          <w:b/>
          <w:sz w:val="30"/>
          <w:szCs w:val="30"/>
        </w:rPr>
      </w:pPr>
      <w:bookmarkStart w:id="297" w:name="_Toc80863236"/>
      <w:bookmarkStart w:id="298" w:name="_Toc410035648"/>
      <w:bookmarkStart w:id="299" w:name="_Toc26147"/>
      <w:bookmarkStart w:id="300" w:name="_Toc14887"/>
      <w:bookmarkStart w:id="301" w:name="_Toc23143"/>
      <w:bookmarkStart w:id="302" w:name="_Toc5564"/>
      <w:bookmarkStart w:id="303" w:name="_Toc21626"/>
      <w:bookmarkStart w:id="304" w:name="_Toc21080"/>
      <w:bookmarkStart w:id="305" w:name="_Toc524351772"/>
      <w:r>
        <w:rPr>
          <w:rFonts w:ascii="Times New Roman" w:eastAsia="仿宋"/>
          <w:b/>
          <w:sz w:val="30"/>
          <w:szCs w:val="30"/>
        </w:rPr>
        <w:t>总承包人的一般义务</w:t>
      </w:r>
      <w:bookmarkEnd w:id="294"/>
      <w:bookmarkEnd w:id="295"/>
      <w:bookmarkEnd w:id="296"/>
      <w:bookmarkEnd w:id="297"/>
      <w:bookmarkEnd w:id="298"/>
      <w:bookmarkEnd w:id="299"/>
      <w:bookmarkEnd w:id="300"/>
      <w:bookmarkEnd w:id="301"/>
      <w:bookmarkEnd w:id="302"/>
      <w:bookmarkEnd w:id="303"/>
      <w:bookmarkEnd w:id="304"/>
      <w:bookmarkEnd w:id="305"/>
    </w:p>
    <w:p w14:paraId="773D63DD">
      <w:pPr>
        <w:snapToGrid w:val="0"/>
        <w:spacing w:line="560" w:lineRule="exact"/>
        <w:ind w:firstLine="600" w:firstLineChars="200"/>
        <w:rPr>
          <w:rFonts w:ascii="Times New Roman" w:eastAsia="仿宋"/>
          <w:sz w:val="30"/>
          <w:szCs w:val="30"/>
          <w:lang w:eastAsia="zh-CN"/>
        </w:rPr>
      </w:pPr>
      <w:bookmarkStart w:id="306" w:name="_Toc10316"/>
      <w:r>
        <w:rPr>
          <w:rFonts w:ascii="Times New Roman" w:eastAsia="仿宋"/>
          <w:sz w:val="30"/>
          <w:szCs w:val="30"/>
          <w:lang w:eastAsia="zh-CN"/>
        </w:rPr>
        <w:t>总承包人在履行合同过程中应遵守法律和工程建设标准规范，并履行以下义务：</w:t>
      </w:r>
      <w:bookmarkEnd w:id="306"/>
    </w:p>
    <w:p w14:paraId="092D0E86">
      <w:pPr>
        <w:snapToGrid w:val="0"/>
        <w:spacing w:line="560" w:lineRule="exact"/>
        <w:ind w:firstLine="600" w:firstLineChars="200"/>
        <w:rPr>
          <w:rFonts w:ascii="Times New Roman" w:eastAsia="仿宋"/>
          <w:sz w:val="30"/>
          <w:szCs w:val="30"/>
          <w:lang w:eastAsia="zh-CN"/>
        </w:rPr>
      </w:pPr>
      <w:bookmarkStart w:id="307" w:name="_Toc10003"/>
      <w:r>
        <w:rPr>
          <w:rFonts w:ascii="Times New Roman" w:eastAsia="仿宋"/>
          <w:sz w:val="30"/>
          <w:szCs w:val="30"/>
          <w:lang w:eastAsia="zh-CN"/>
        </w:rPr>
        <w:t>（1）办理</w:t>
      </w:r>
      <w:r>
        <w:rPr>
          <w:rFonts w:hint="eastAsia" w:ascii="Times New Roman" w:eastAsia="仿宋"/>
          <w:sz w:val="30"/>
          <w:szCs w:val="30"/>
          <w:lang w:eastAsia="zh-CN"/>
        </w:rPr>
        <w:t>施工</w:t>
      </w:r>
      <w:r>
        <w:rPr>
          <w:rFonts w:ascii="Times New Roman" w:eastAsia="仿宋"/>
          <w:sz w:val="30"/>
          <w:szCs w:val="30"/>
          <w:lang w:eastAsia="zh-CN"/>
        </w:rPr>
        <w:t>许可证和从</w:t>
      </w:r>
      <w:r>
        <w:rPr>
          <w:rFonts w:hint="eastAsia" w:ascii="Times New Roman" w:eastAsia="仿宋"/>
          <w:sz w:val="30"/>
          <w:szCs w:val="30"/>
          <w:lang w:eastAsia="zh-CN"/>
        </w:rPr>
        <w:t>进场</w:t>
      </w:r>
      <w:r>
        <w:rPr>
          <w:rFonts w:ascii="Times New Roman" w:eastAsia="仿宋"/>
          <w:sz w:val="30"/>
          <w:szCs w:val="30"/>
          <w:lang w:eastAsia="zh-CN"/>
        </w:rPr>
        <w:t>至竣工期间为满足施工需求所涉及到的一切证件、批准或手续文件，并将办理结果书面报送发包人留存；</w:t>
      </w:r>
      <w:bookmarkEnd w:id="307"/>
      <w:r>
        <w:rPr>
          <w:rFonts w:ascii="Times New Roman" w:eastAsia="仿宋"/>
          <w:sz w:val="30"/>
          <w:szCs w:val="30"/>
          <w:highlight w:val="yellow"/>
          <w:lang w:eastAsia="zh-CN"/>
        </w:rPr>
        <w:t>总承包人</w:t>
      </w:r>
      <w:r>
        <w:rPr>
          <w:rFonts w:hint="eastAsia" w:ascii="Times New Roman" w:eastAsia="仿宋"/>
          <w:sz w:val="30"/>
          <w:szCs w:val="30"/>
          <w:highlight w:val="yellow"/>
          <w:lang w:eastAsia="zh-CN"/>
        </w:rPr>
        <w:t>还应</w:t>
      </w:r>
      <w:r>
        <w:rPr>
          <w:rFonts w:ascii="Times New Roman" w:eastAsia="仿宋"/>
          <w:sz w:val="30"/>
          <w:szCs w:val="30"/>
          <w:highlight w:val="yellow"/>
          <w:lang w:eastAsia="zh-CN"/>
        </w:rPr>
        <w:t>办理施工所需临时用水、临时用电、中断道路交通、临时占用土地、破路证、道路渣土准运证、道路垃圾准运证、排污许可证、夜间施工许可证、建设工程施工许可证、</w:t>
      </w:r>
      <w:r>
        <w:rPr>
          <w:rFonts w:hint="eastAsia" w:ascii="Times New Roman" w:eastAsia="仿宋"/>
          <w:sz w:val="30"/>
          <w:szCs w:val="30"/>
          <w:highlight w:val="yellow"/>
          <w:lang w:eastAsia="zh-CN"/>
        </w:rPr>
        <w:t>消防验收、</w:t>
      </w:r>
      <w:r>
        <w:rPr>
          <w:rFonts w:ascii="Times New Roman" w:eastAsia="仿宋"/>
          <w:sz w:val="30"/>
          <w:szCs w:val="30"/>
          <w:highlight w:val="yellow"/>
          <w:lang w:eastAsia="zh-CN"/>
        </w:rPr>
        <w:t>街道</w:t>
      </w:r>
      <w:r>
        <w:rPr>
          <w:rFonts w:hint="eastAsia" w:ascii="Times New Roman" w:eastAsia="仿宋"/>
          <w:sz w:val="30"/>
          <w:szCs w:val="30"/>
          <w:highlight w:val="yellow"/>
          <w:lang w:eastAsia="zh-CN"/>
        </w:rPr>
        <w:t>及</w:t>
      </w:r>
      <w:r>
        <w:rPr>
          <w:rFonts w:ascii="Times New Roman" w:eastAsia="仿宋"/>
          <w:sz w:val="30"/>
          <w:szCs w:val="30"/>
          <w:highlight w:val="yellow"/>
          <w:lang w:eastAsia="zh-CN"/>
        </w:rPr>
        <w:t>居委会施工备案等许可和批准及其他法律规定的有关施工证件和批件。</w:t>
      </w:r>
    </w:p>
    <w:p w14:paraId="2092DA43">
      <w:pPr>
        <w:snapToGrid w:val="0"/>
        <w:spacing w:line="560" w:lineRule="exact"/>
        <w:ind w:firstLine="600" w:firstLineChars="200"/>
        <w:rPr>
          <w:rFonts w:ascii="Times New Roman" w:eastAsia="仿宋"/>
          <w:sz w:val="30"/>
          <w:szCs w:val="30"/>
          <w:lang w:eastAsia="zh-CN"/>
        </w:rPr>
      </w:pPr>
      <w:bookmarkStart w:id="308" w:name="_Toc16619"/>
      <w:r>
        <w:rPr>
          <w:rFonts w:ascii="Times New Roman" w:eastAsia="仿宋"/>
          <w:sz w:val="30"/>
          <w:szCs w:val="30"/>
          <w:lang w:eastAsia="zh-CN"/>
        </w:rPr>
        <w:t>（2）总承包人须遵守政府、对本工程有管辖权或本工程需与其系统接驳的地方管理机关或公用事业单位的法律、规章、条例和通知，并向其提交所需的报告、申请和支付因承包本工程而须缴纳的有关法定费用、税项等的费用包含在合同价款中</w:t>
      </w:r>
      <w:bookmarkEnd w:id="308"/>
      <w:r>
        <w:rPr>
          <w:rFonts w:ascii="Times New Roman" w:eastAsia="仿宋"/>
          <w:sz w:val="30"/>
          <w:szCs w:val="30"/>
          <w:lang w:eastAsia="zh-CN"/>
        </w:rPr>
        <w:t>；</w:t>
      </w:r>
    </w:p>
    <w:p w14:paraId="3CCBFCE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社会保障费（或称为建安劳保费或社会保险费或社会保障金或养老保险金等）、失业保险费等费用，均包含在合同价款内，若是当地政府规定由发包人名义缴纳的，在发包人代缴后，按专用合同条款约定的方式从应当支付给总承包人的合同价款中扣除。如专用合同条款对社会保障费另有约定的，以专用合同的约定为准。</w:t>
      </w:r>
    </w:p>
    <w:p w14:paraId="78B2FFF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农民工工资保证金若是规定由发包人名义缴纳，在发包人代缴后，按专用合同条款约定的方式从应当支付给总承包人的合同价款中扣除。待获取政府返还后，发包人应当将返还金额于最近一次付款中支付给总承包人。不能返还的风险及费用由总承包人承担，且已包含在合同价款内。</w:t>
      </w:r>
    </w:p>
    <w:p w14:paraId="061287D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总承包人须承担按政府有关部门规定需缴纳的申请施工许可、招投标管理、交易、报监、合同备案登记(含分包合同备案)、档案归档费用、竣工备案验收等费用，并已包含在合同价款内</w:t>
      </w:r>
      <w:r>
        <w:rPr>
          <w:rFonts w:hint="eastAsia" w:ascii="Times New Roman" w:eastAsia="仿宋"/>
          <w:sz w:val="30"/>
          <w:szCs w:val="30"/>
          <w:lang w:eastAsia="zh-CN"/>
        </w:rPr>
        <w:t>（总价包干、工程量清单不另列项）</w:t>
      </w:r>
      <w:r>
        <w:rPr>
          <w:rFonts w:ascii="Times New Roman" w:eastAsia="仿宋"/>
          <w:sz w:val="30"/>
          <w:szCs w:val="30"/>
          <w:lang w:eastAsia="zh-CN"/>
        </w:rPr>
        <w:t>。</w:t>
      </w:r>
    </w:p>
    <w:p w14:paraId="0FF2062B">
      <w:pPr>
        <w:snapToGrid w:val="0"/>
        <w:spacing w:line="560" w:lineRule="exact"/>
        <w:ind w:firstLine="600" w:firstLineChars="200"/>
        <w:rPr>
          <w:rFonts w:ascii="Times New Roman" w:eastAsia="仿宋"/>
          <w:sz w:val="30"/>
          <w:szCs w:val="30"/>
          <w:lang w:eastAsia="zh-CN"/>
        </w:rPr>
      </w:pPr>
      <w:bookmarkStart w:id="309" w:name="_Toc16137"/>
      <w:r>
        <w:rPr>
          <w:rFonts w:ascii="Times New Roman" w:eastAsia="仿宋"/>
          <w:sz w:val="30"/>
          <w:szCs w:val="30"/>
          <w:lang w:eastAsia="zh-CN"/>
        </w:rPr>
        <w:t>（3）按法律规定和合同约定完成工程，并在保修期内承担保修义务；</w:t>
      </w:r>
      <w:bookmarkEnd w:id="309"/>
    </w:p>
    <w:p w14:paraId="52E368E6">
      <w:pPr>
        <w:snapToGrid w:val="0"/>
        <w:spacing w:line="560" w:lineRule="exact"/>
        <w:ind w:firstLine="600" w:firstLineChars="200"/>
        <w:rPr>
          <w:rFonts w:ascii="Times New Roman" w:eastAsia="仿宋"/>
          <w:sz w:val="30"/>
          <w:szCs w:val="30"/>
          <w:lang w:eastAsia="zh-CN"/>
        </w:rPr>
      </w:pPr>
      <w:bookmarkStart w:id="310" w:name="_Toc30507"/>
      <w:r>
        <w:rPr>
          <w:rFonts w:ascii="Times New Roman" w:eastAsia="仿宋"/>
          <w:sz w:val="30"/>
          <w:szCs w:val="30"/>
          <w:lang w:eastAsia="zh-CN"/>
        </w:rPr>
        <w:t>（4）按法律规定和合同约定采取施工安全和环境保护措施，办理工伤保险，确保工程及人员、材料、设备和设施的安全；</w:t>
      </w:r>
      <w:bookmarkEnd w:id="310"/>
    </w:p>
    <w:p w14:paraId="793C321E">
      <w:pPr>
        <w:snapToGrid w:val="0"/>
        <w:spacing w:line="560" w:lineRule="exact"/>
        <w:ind w:firstLine="600" w:firstLineChars="200"/>
        <w:rPr>
          <w:rFonts w:ascii="Times New Roman" w:eastAsia="仿宋"/>
          <w:sz w:val="30"/>
          <w:szCs w:val="30"/>
          <w:lang w:eastAsia="zh-CN"/>
        </w:rPr>
      </w:pPr>
      <w:bookmarkStart w:id="311" w:name="_Toc14082"/>
      <w:r>
        <w:rPr>
          <w:rFonts w:ascii="Times New Roman" w:eastAsia="仿宋"/>
          <w:sz w:val="30"/>
          <w:szCs w:val="30"/>
          <w:lang w:eastAsia="zh-CN"/>
        </w:rPr>
        <w:t>（5）按合同约定的工作内容和施工进度要求，编制施工组织设计、施工措施计划和专项施工方案并组织评审及承担专家评审费用，并对所有施工作业和施工方法的完备性和安全可靠性负责；</w:t>
      </w:r>
      <w:bookmarkEnd w:id="311"/>
    </w:p>
    <w:p w14:paraId="155B9EB0">
      <w:pPr>
        <w:snapToGrid w:val="0"/>
        <w:spacing w:line="560" w:lineRule="exact"/>
        <w:ind w:firstLine="600" w:firstLineChars="200"/>
        <w:rPr>
          <w:rFonts w:ascii="Times New Roman" w:eastAsia="仿宋"/>
          <w:sz w:val="30"/>
          <w:szCs w:val="30"/>
          <w:lang w:eastAsia="zh-CN"/>
        </w:rPr>
      </w:pPr>
      <w:bookmarkStart w:id="312" w:name="_Toc32698"/>
      <w:r>
        <w:rPr>
          <w:rFonts w:ascii="Times New Roman" w:eastAsia="仿宋"/>
          <w:sz w:val="30"/>
          <w:szCs w:val="30"/>
          <w:lang w:eastAsia="zh-CN"/>
        </w:rPr>
        <w:t>（6）在进行合同约定的各项工作时，不得侵害发包人与他人使用公用道路、水源、市政管网等公共设施的权利，避免对邻近的公共设施产生干扰。总承包人占用或使用他人的施工场地，影响他人作业或生活的，应承担相应责任；</w:t>
      </w:r>
      <w:bookmarkEnd w:id="312"/>
    </w:p>
    <w:p w14:paraId="76E38E17">
      <w:pPr>
        <w:snapToGrid w:val="0"/>
        <w:spacing w:line="560" w:lineRule="exact"/>
        <w:ind w:firstLine="600" w:firstLineChars="200"/>
        <w:rPr>
          <w:rFonts w:ascii="Times New Roman" w:eastAsia="仿宋"/>
          <w:sz w:val="30"/>
          <w:szCs w:val="30"/>
          <w:lang w:eastAsia="zh-CN"/>
        </w:rPr>
      </w:pPr>
      <w:bookmarkStart w:id="313" w:name="_Toc2568"/>
      <w:r>
        <w:rPr>
          <w:rFonts w:ascii="Times New Roman" w:eastAsia="仿宋"/>
          <w:sz w:val="30"/>
          <w:szCs w:val="30"/>
          <w:lang w:eastAsia="zh-CN"/>
        </w:rPr>
        <w:t>（7）按照第6.3条〔环境保护〕约定负责施工场地及其周边环境与生态的保护工作；</w:t>
      </w:r>
      <w:bookmarkEnd w:id="313"/>
    </w:p>
    <w:p w14:paraId="12CF057D">
      <w:pPr>
        <w:snapToGrid w:val="0"/>
        <w:spacing w:line="560" w:lineRule="exact"/>
        <w:ind w:firstLine="600" w:firstLineChars="200"/>
        <w:rPr>
          <w:rFonts w:ascii="Times New Roman" w:eastAsia="仿宋"/>
          <w:sz w:val="30"/>
          <w:szCs w:val="30"/>
          <w:lang w:eastAsia="zh-CN"/>
        </w:rPr>
      </w:pPr>
      <w:bookmarkStart w:id="314" w:name="_Toc1577"/>
      <w:r>
        <w:rPr>
          <w:rFonts w:ascii="Times New Roman" w:eastAsia="仿宋"/>
          <w:sz w:val="30"/>
          <w:szCs w:val="30"/>
          <w:lang w:eastAsia="zh-CN"/>
        </w:rPr>
        <w:t>（8）按第6.1条〔安全文明施工〕约定采取施工安全措施，确保工程及其人员、材料、设备和设施的安全，防止因工程施工造成的人身伤害和财产损失；</w:t>
      </w:r>
      <w:bookmarkEnd w:id="314"/>
    </w:p>
    <w:p w14:paraId="2B124D13">
      <w:pPr>
        <w:snapToGrid w:val="0"/>
        <w:spacing w:line="560" w:lineRule="exact"/>
        <w:ind w:firstLine="600" w:firstLineChars="200"/>
        <w:rPr>
          <w:rFonts w:ascii="Times New Roman" w:eastAsia="仿宋"/>
          <w:sz w:val="30"/>
          <w:szCs w:val="30"/>
        </w:rPr>
      </w:pPr>
      <w:r>
        <w:rPr>
          <w:rFonts w:ascii="Times New Roman" w:eastAsia="仿宋"/>
          <w:sz w:val="30"/>
          <w:szCs w:val="30"/>
        </w:rPr>
        <w:t>（9）发票开具要求</w:t>
      </w:r>
    </w:p>
    <w:p w14:paraId="7823A25F">
      <w:pPr>
        <w:numPr>
          <w:ilvl w:val="4"/>
          <w:numId w:val="8"/>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需要在发包人要求的时间期限内提供满足发包人要求的一般纳税人认定书以及税种核定通知书。发包人在本协议约定的期限内收到了货物/服务的交付物，且该交付物经验收合格后，总承包人向发包人按照以下信息开具增值税专用发票：</w:t>
      </w:r>
    </w:p>
    <w:p w14:paraId="0A1919DD">
      <w:pPr>
        <w:numPr>
          <w:ilvl w:val="1"/>
          <w:numId w:val="9"/>
        </w:numPr>
        <w:tabs>
          <w:tab w:val="left" w:pos="2127"/>
          <w:tab w:val="left" w:pos="2268"/>
        </w:tabs>
        <w:snapToGrid w:val="0"/>
        <w:spacing w:line="560" w:lineRule="exact"/>
        <w:ind w:left="0" w:firstLine="600" w:firstLineChars="200"/>
        <w:rPr>
          <w:rFonts w:ascii="Times New Roman" w:eastAsia="仿宋"/>
          <w:sz w:val="30"/>
          <w:szCs w:val="30"/>
        </w:rPr>
      </w:pPr>
      <w:r>
        <w:rPr>
          <w:rFonts w:ascii="Times New Roman" w:eastAsia="仿宋"/>
          <w:sz w:val="30"/>
          <w:szCs w:val="30"/>
        </w:rPr>
        <w:t>公司名称：</w:t>
      </w:r>
      <w:r>
        <w:rPr>
          <w:rFonts w:hint="eastAsia" w:ascii="Times New Roman" w:eastAsia="仿宋"/>
          <w:sz w:val="30"/>
          <w:szCs w:val="30"/>
          <w:lang w:eastAsia="zh-CN"/>
        </w:rPr>
        <w:t>融通地产（广东）有限责任公司</w:t>
      </w:r>
    </w:p>
    <w:p w14:paraId="0001F6CD">
      <w:pPr>
        <w:numPr>
          <w:ilvl w:val="1"/>
          <w:numId w:val="9"/>
        </w:numPr>
        <w:tabs>
          <w:tab w:val="left" w:pos="2127"/>
          <w:tab w:val="left" w:pos="2268"/>
        </w:tabs>
        <w:snapToGrid w:val="0"/>
        <w:spacing w:line="560" w:lineRule="exact"/>
        <w:ind w:left="0" w:firstLine="600" w:firstLineChars="200"/>
        <w:rPr>
          <w:rFonts w:ascii="Times New Roman" w:eastAsia="仿宋"/>
          <w:sz w:val="30"/>
          <w:szCs w:val="30"/>
        </w:rPr>
      </w:pPr>
      <w:r>
        <w:rPr>
          <w:rFonts w:ascii="Times New Roman" w:eastAsia="仿宋"/>
          <w:sz w:val="30"/>
          <w:szCs w:val="30"/>
        </w:rPr>
        <w:t>纳税人识别码</w:t>
      </w:r>
      <w:r>
        <w:rPr>
          <w:rFonts w:hint="eastAsia" w:ascii="Times New Roman" w:eastAsia="仿宋"/>
          <w:sz w:val="30"/>
          <w:szCs w:val="30"/>
          <w:lang w:eastAsia="zh-CN"/>
        </w:rPr>
        <w:t>:91440101MA5CX73M5W</w:t>
      </w:r>
    </w:p>
    <w:p w14:paraId="6665BCD5">
      <w:pPr>
        <w:numPr>
          <w:ilvl w:val="1"/>
          <w:numId w:val="9"/>
        </w:numPr>
        <w:tabs>
          <w:tab w:val="left" w:pos="2127"/>
          <w:tab w:val="left" w:pos="2268"/>
        </w:tabs>
        <w:snapToGrid w:val="0"/>
        <w:spacing w:line="560" w:lineRule="exact"/>
        <w:ind w:left="0" w:firstLine="600" w:firstLineChars="200"/>
        <w:rPr>
          <w:rFonts w:ascii="Times New Roman" w:eastAsia="仿宋"/>
          <w:sz w:val="30"/>
          <w:szCs w:val="30"/>
        </w:rPr>
      </w:pPr>
      <w:r>
        <w:rPr>
          <w:rFonts w:ascii="Times New Roman" w:eastAsia="仿宋"/>
          <w:sz w:val="30"/>
          <w:szCs w:val="30"/>
        </w:rPr>
        <w:t>税务登记地址</w:t>
      </w:r>
      <w:r>
        <w:rPr>
          <w:rFonts w:hint="eastAsia" w:ascii="Times New Roman" w:eastAsia="仿宋"/>
          <w:sz w:val="30"/>
          <w:szCs w:val="30"/>
          <w:lang w:eastAsia="zh-CN"/>
        </w:rPr>
        <w:t>:广州市越秀区东风中路389号壬丰商务大厦21层01-08号房</w:t>
      </w:r>
    </w:p>
    <w:p w14:paraId="680A3795">
      <w:pPr>
        <w:numPr>
          <w:ilvl w:val="1"/>
          <w:numId w:val="9"/>
        </w:numPr>
        <w:tabs>
          <w:tab w:val="left" w:pos="2127"/>
          <w:tab w:val="left" w:pos="2268"/>
        </w:tabs>
        <w:snapToGrid w:val="0"/>
        <w:spacing w:line="560" w:lineRule="exact"/>
        <w:ind w:left="0" w:firstLine="600" w:firstLineChars="200"/>
        <w:rPr>
          <w:rFonts w:ascii="Times New Roman" w:eastAsia="仿宋"/>
          <w:sz w:val="30"/>
          <w:szCs w:val="30"/>
        </w:rPr>
      </w:pPr>
      <w:r>
        <w:rPr>
          <w:rFonts w:ascii="Times New Roman" w:eastAsia="仿宋"/>
          <w:sz w:val="30"/>
          <w:szCs w:val="30"/>
        </w:rPr>
        <w:t>电话号码：</w:t>
      </w:r>
      <w:r>
        <w:rPr>
          <w:rFonts w:hint="eastAsia" w:ascii="Times New Roman" w:eastAsia="仿宋"/>
          <w:sz w:val="30"/>
          <w:szCs w:val="30"/>
          <w:lang w:eastAsia="zh-CN"/>
        </w:rPr>
        <w:t>020-87617084</w:t>
      </w:r>
    </w:p>
    <w:p w14:paraId="6B032EA9">
      <w:pPr>
        <w:numPr>
          <w:ilvl w:val="1"/>
          <w:numId w:val="9"/>
        </w:numPr>
        <w:tabs>
          <w:tab w:val="left" w:pos="2127"/>
          <w:tab w:val="left" w:pos="2268"/>
        </w:tabs>
        <w:snapToGrid w:val="0"/>
        <w:spacing w:line="560" w:lineRule="exact"/>
        <w:ind w:left="0" w:firstLine="600" w:firstLineChars="200"/>
        <w:rPr>
          <w:rFonts w:ascii="Times New Roman" w:eastAsia="仿宋"/>
          <w:sz w:val="30"/>
          <w:szCs w:val="30"/>
        </w:rPr>
      </w:pPr>
      <w:r>
        <w:rPr>
          <w:rFonts w:ascii="Times New Roman" w:eastAsia="仿宋"/>
          <w:sz w:val="30"/>
          <w:szCs w:val="30"/>
        </w:rPr>
        <w:t>开户银行：中国建设银行广东省分行</w:t>
      </w:r>
    </w:p>
    <w:p w14:paraId="7421F9EF">
      <w:pPr>
        <w:numPr>
          <w:ilvl w:val="1"/>
          <w:numId w:val="9"/>
        </w:numPr>
        <w:tabs>
          <w:tab w:val="left" w:pos="2127"/>
          <w:tab w:val="left" w:pos="2268"/>
        </w:tabs>
        <w:snapToGrid w:val="0"/>
        <w:spacing w:line="560" w:lineRule="exact"/>
        <w:ind w:left="0" w:firstLine="600" w:firstLineChars="200"/>
        <w:rPr>
          <w:rFonts w:ascii="Times New Roman" w:eastAsia="仿宋"/>
          <w:sz w:val="30"/>
          <w:szCs w:val="30"/>
        </w:rPr>
      </w:pPr>
      <w:r>
        <w:rPr>
          <w:rFonts w:ascii="Times New Roman" w:eastAsia="仿宋"/>
          <w:sz w:val="30"/>
          <w:szCs w:val="30"/>
        </w:rPr>
        <w:t>银行账户：44050186320109966666</w:t>
      </w:r>
    </w:p>
    <w:p w14:paraId="567E3F6F">
      <w:pPr>
        <w:numPr>
          <w:ilvl w:val="1"/>
          <w:numId w:val="9"/>
        </w:numPr>
        <w:tabs>
          <w:tab w:val="left" w:pos="2127"/>
          <w:tab w:val="left" w:pos="2268"/>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发票备注栏写明项目名称及项目地址</w:t>
      </w:r>
    </w:p>
    <w:p w14:paraId="445457AC">
      <w:pPr>
        <w:numPr>
          <w:ilvl w:val="4"/>
          <w:numId w:val="8"/>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在本合同约定的时点报送工程量报表，工程质量经发包人及监理单位（如有）验收合格并完成审价后，总承包人就审价确认的支付金额向发包人开具增值税专用发票。未经审价，总承包人不得在付款金额尚未确认时提前开具专用发票，否则发包人有权拒绝付款。</w:t>
      </w:r>
    </w:p>
    <w:p w14:paraId="72B42CDC">
      <w:pPr>
        <w:numPr>
          <w:ilvl w:val="4"/>
          <w:numId w:val="8"/>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在每次增值税专用发票开具后的30个日历天内当面向发包人提交相应增值税专用发票，如因总承包人未及时交付增值税专用发票导致发票无法认证，发包人有权拒收发票，并拒绝付款，总承包人应重新开具增值税专用发票。发包人有权从应支付给总承包人的价款中扣除因无法将发票作为进项抵扣而多承担的税费金额作为补偿。</w:t>
      </w:r>
    </w:p>
    <w:p w14:paraId="0529E9CA">
      <w:pPr>
        <w:numPr>
          <w:ilvl w:val="4"/>
          <w:numId w:val="8"/>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发包人应在收到总承包人增值税专用发票且发票经税务机关交叉稽核比对确属合法有效后，按专用合同条款约定的时间内，支付款项给总承包人。</w:t>
      </w:r>
    </w:p>
    <w:p w14:paraId="33FA9338">
      <w:pPr>
        <w:numPr>
          <w:ilvl w:val="4"/>
          <w:numId w:val="8"/>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发包人与总承包人的价款结算只能通过发包人的账户与总承包人的账户进行划转，不能通过此外的任何第三方账户进行价款结算。</w:t>
      </w:r>
    </w:p>
    <w:p w14:paraId="2EEEA4F6">
      <w:pPr>
        <w:numPr>
          <w:ilvl w:val="4"/>
          <w:numId w:val="8"/>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必须严格遵照相关税收法规和文件，以自身名义向发包人开具合法的增值税专用发票。如因开票信息有误、专用发票所列密文或者明文不能辨认等原因导致无法认证的，总承包人应重新开具。因总承包人开具的增值税专用发票不符合税收法规与税务机关相关规定或不符合合同约定，发包人有权从应支付给总承包人的价款中扣除因无法将发票作为进项抵扣而多承担的金额作为补偿。</w:t>
      </w:r>
    </w:p>
    <w:p w14:paraId="143B2E23">
      <w:pPr>
        <w:numPr>
          <w:ilvl w:val="4"/>
          <w:numId w:val="8"/>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开具的增值税专用发票在送达发包人前如发生丢失、灭失或被盗等情况，导致相应票据未顺利送达发包人的，总承包人应负责按相关税收法律法规的规定向发包人提供相应资料，以保证发包人顺利获得抵扣，否则，发包人有权拒绝支付货款。总承包人开具的增值税专用发票送达并经发包人签收后，若发生丢失，总承包人应积极协助发包人，按照相关税收法规和文件的规定提供相应资料。</w:t>
      </w:r>
    </w:p>
    <w:p w14:paraId="3D65B41B">
      <w:pPr>
        <w:snapToGrid w:val="0"/>
        <w:spacing w:line="560" w:lineRule="exact"/>
        <w:ind w:firstLine="600" w:firstLineChars="200"/>
        <w:rPr>
          <w:rFonts w:ascii="Times New Roman" w:eastAsia="仿宋"/>
          <w:sz w:val="30"/>
          <w:szCs w:val="30"/>
          <w:lang w:eastAsia="zh-CN"/>
        </w:rPr>
      </w:pPr>
      <w:bookmarkStart w:id="315" w:name="_Toc10071"/>
      <w:r>
        <w:rPr>
          <w:rFonts w:ascii="Times New Roman" w:eastAsia="仿宋"/>
          <w:sz w:val="30"/>
          <w:szCs w:val="30"/>
          <w:lang w:eastAsia="zh-CN"/>
        </w:rPr>
        <w:t>（10）将发包人按合同约定支付的各项价款专用于合同工程，且应及时支付其雇用人员工资；</w:t>
      </w:r>
      <w:bookmarkEnd w:id="315"/>
    </w:p>
    <w:p w14:paraId="01BB3CEA">
      <w:pPr>
        <w:snapToGrid w:val="0"/>
        <w:spacing w:line="560" w:lineRule="exact"/>
        <w:ind w:firstLine="600" w:firstLineChars="200"/>
        <w:rPr>
          <w:rFonts w:ascii="Times New Roman" w:eastAsia="仿宋"/>
          <w:sz w:val="30"/>
          <w:szCs w:val="30"/>
          <w:lang w:eastAsia="zh-CN"/>
        </w:rPr>
      </w:pPr>
      <w:bookmarkStart w:id="316" w:name="_Toc3847"/>
      <w:r>
        <w:rPr>
          <w:rFonts w:ascii="Times New Roman" w:eastAsia="仿宋"/>
          <w:sz w:val="30"/>
          <w:szCs w:val="30"/>
          <w:lang w:eastAsia="zh-CN"/>
        </w:rPr>
        <w:t>（11）</w:t>
      </w:r>
      <w:bookmarkEnd w:id="316"/>
      <w:r>
        <w:rPr>
          <w:rFonts w:ascii="Times New Roman" w:eastAsia="仿宋"/>
          <w:sz w:val="30"/>
          <w:szCs w:val="30"/>
          <w:lang w:eastAsia="zh-CN"/>
        </w:rPr>
        <w:t>负责工程的单体竣工验收，负责协调其他分包的分项验收，按发包人及当地建设主管部门要求制作竣工资料，整理、检查、汇总各分包单位、供货商制作的竣工资料，聘请档案编制顾问以指导竣工档案编制(如由发包人聘请的，顾问费用亦由总承包人承担)，负责单体竣工资料上交档案馆及办理档案验收，满足工程创优的资料要求。按照法律规定和合同约定编制竣工资料，完成竣工资料立卷及归档，并按技术标准和要求约定的竣工资料的套数、内容、时间等要求移交发包人，并协助发包人完成政府工程竣工验收备案。</w:t>
      </w:r>
    </w:p>
    <w:p w14:paraId="071C8CF7">
      <w:pPr>
        <w:snapToGrid w:val="0"/>
        <w:spacing w:line="560" w:lineRule="exact"/>
        <w:ind w:firstLine="600" w:firstLineChars="200"/>
        <w:rPr>
          <w:rFonts w:ascii="Times New Roman" w:eastAsia="仿宋"/>
          <w:sz w:val="30"/>
          <w:szCs w:val="30"/>
          <w:lang w:eastAsia="zh-CN"/>
        </w:rPr>
      </w:pPr>
      <w:bookmarkStart w:id="317" w:name="_Toc4733"/>
      <w:r>
        <w:rPr>
          <w:rFonts w:ascii="Times New Roman" w:eastAsia="仿宋"/>
          <w:sz w:val="30"/>
          <w:szCs w:val="30"/>
          <w:lang w:eastAsia="zh-CN"/>
        </w:rPr>
        <w:t>（12）总承包人根据现场接驳点条件进行临时水电接驳，并按技术要求、现场实际情况合理布置各取水点、用电接驳点；并根据施工现场变化需求进行线路、取水点、用电接驳点的调整、保护、维护、更新、增加、拆除等工作，并承担施工用水、用电的所有费用直至工程移交发包人为止</w:t>
      </w:r>
      <w:r>
        <w:rPr>
          <w:rFonts w:hint="eastAsia" w:ascii="Times New Roman" w:eastAsia="仿宋"/>
          <w:sz w:val="30"/>
          <w:szCs w:val="30"/>
          <w:lang w:eastAsia="zh-CN"/>
        </w:rPr>
        <w:t>，施工期间水电费为挂表计量，收费参考项目所在地物业收费，由总</w:t>
      </w:r>
      <w:r>
        <w:rPr>
          <w:rFonts w:hint="eastAsia" w:ascii="Times New Roman" w:eastAsia="仿宋"/>
          <w:sz w:val="30"/>
          <w:szCs w:val="30"/>
        </w:rPr>
        <w:t>承包人</w:t>
      </w:r>
      <w:r>
        <w:rPr>
          <w:rFonts w:hint="eastAsia" w:ascii="Times New Roman" w:eastAsia="仿宋"/>
          <w:sz w:val="30"/>
          <w:szCs w:val="30"/>
          <w:lang w:eastAsia="zh-CN"/>
        </w:rPr>
        <w:t>自行缴纳，清单不另开项，水电费在合同总价中包含</w:t>
      </w:r>
      <w:r>
        <w:rPr>
          <w:rFonts w:ascii="Times New Roman" w:eastAsia="仿宋"/>
          <w:sz w:val="30"/>
          <w:szCs w:val="30"/>
          <w:lang w:eastAsia="zh-CN"/>
        </w:rPr>
        <w:t>。</w:t>
      </w:r>
      <w:bookmarkEnd w:id="317"/>
    </w:p>
    <w:p w14:paraId="6D589CCC">
      <w:pPr>
        <w:snapToGrid w:val="0"/>
        <w:spacing w:line="560" w:lineRule="exact"/>
        <w:ind w:firstLine="600" w:firstLineChars="200"/>
        <w:rPr>
          <w:rFonts w:ascii="Times New Roman" w:eastAsia="PMingLiU"/>
          <w:sz w:val="30"/>
          <w:szCs w:val="30"/>
          <w:lang w:eastAsia="zh-CN"/>
        </w:rPr>
      </w:pPr>
      <w:bookmarkStart w:id="318" w:name="_Toc17405"/>
      <w:r>
        <w:rPr>
          <w:rFonts w:ascii="Times New Roman" w:eastAsia="仿宋"/>
          <w:sz w:val="30"/>
          <w:szCs w:val="30"/>
          <w:lang w:eastAsia="zh-CN"/>
        </w:rPr>
        <w:t>（13）在土石方开挖及建造地库工程时，工地内如须按工程规范规定采用临时降水设施，总承包人在接收工地后须维持此降水工作直至上部结构重量达到停止降水要求，总承包人还需负责此等降水井的回填及保证其防水效果、降水设施的拆除恢复原状等，一切费用由总承包人承担。负责施工各阶段临时降排水系统的修建、修缮及改造等，一切费用由总承包人承担。</w:t>
      </w:r>
      <w:bookmarkEnd w:id="318"/>
    </w:p>
    <w:p w14:paraId="7B84305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（14）总承包人应按合同约定，自费修复因总承包人原因引起的设计、文件、设备、材料、部件、施工中存在的缺陷、或在竣工试验和竣工后试验中发现的缺陷。</w:t>
      </w:r>
    </w:p>
    <w:p w14:paraId="194050D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（15）总承包人全面负责其施工场地的安全管理，保障所有进入施工场地的人员的安全。因总承包人原因所发生的人身伤害、安全事故，由承包人负责。</w:t>
      </w:r>
    </w:p>
    <w:p w14:paraId="536A98C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因总承包人未遵守发包人的安全规定所造成的损失和伤害，由总承包人负责。</w:t>
      </w:r>
    </w:p>
    <w:p w14:paraId="3B74057A">
      <w:pPr>
        <w:snapToGrid w:val="0"/>
        <w:spacing w:line="560" w:lineRule="exact"/>
        <w:ind w:firstLine="600" w:firstLineChars="200"/>
        <w:rPr>
          <w:rFonts w:ascii="Times New Roman" w:eastAsiaTheme="minorEastAsia"/>
          <w:sz w:val="30"/>
          <w:szCs w:val="30"/>
          <w:lang w:eastAsia="zh-CN"/>
        </w:rPr>
      </w:pPr>
      <w:bookmarkStart w:id="319" w:name="_Toc31842"/>
      <w:bookmarkStart w:id="320" w:name="_Toc31105"/>
      <w:bookmarkStart w:id="321" w:name="_Toc24951"/>
      <w:bookmarkStart w:id="322" w:name="_Toc25264"/>
      <w:bookmarkStart w:id="323" w:name="_Toc17591"/>
      <w:bookmarkStart w:id="324" w:name="_Toc23144"/>
      <w:r>
        <w:rPr>
          <w:rFonts w:ascii="Times New Roman" w:eastAsia="仿宋"/>
          <w:sz w:val="30"/>
          <w:szCs w:val="30"/>
          <w:lang w:eastAsia="zh-CN"/>
        </w:rPr>
        <w:t>（16）合同内约定的应履行的其他义务。</w:t>
      </w:r>
      <w:bookmarkEnd w:id="319"/>
      <w:bookmarkEnd w:id="320"/>
      <w:bookmarkEnd w:id="321"/>
      <w:bookmarkEnd w:id="322"/>
      <w:bookmarkEnd w:id="323"/>
      <w:bookmarkEnd w:id="324"/>
    </w:p>
    <w:p w14:paraId="6D02E479">
      <w:pPr>
        <w:numPr>
          <w:ilvl w:val="1"/>
          <w:numId w:val="7"/>
        </w:numPr>
        <w:snapToGrid w:val="0"/>
        <w:spacing w:line="560" w:lineRule="exact"/>
        <w:ind w:left="0" w:firstLine="600" w:firstLineChars="200"/>
        <w:rPr>
          <w:rFonts w:ascii="Times New Roman" w:eastAsia="仿宋"/>
          <w:b/>
          <w:sz w:val="30"/>
          <w:szCs w:val="30"/>
        </w:rPr>
      </w:pPr>
      <w:bookmarkStart w:id="325" w:name="_Toc6576"/>
      <w:bookmarkStart w:id="326" w:name="_Toc10653"/>
      <w:bookmarkStart w:id="327" w:name="_Toc26697"/>
      <w:bookmarkStart w:id="328" w:name="_Toc16855"/>
      <w:bookmarkStart w:id="329" w:name="_Toc524351773"/>
      <w:bookmarkStart w:id="330" w:name="_Toc27901"/>
      <w:bookmarkStart w:id="331" w:name="_Toc80863237"/>
      <w:bookmarkStart w:id="332" w:name="_Toc410035649"/>
      <w:bookmarkStart w:id="333" w:name="_Toc1330"/>
      <w:bookmarkStart w:id="334" w:name="_Toc296503047"/>
      <w:bookmarkStart w:id="335" w:name="_Toc337558748"/>
      <w:bookmarkStart w:id="336" w:name="_Toc296346548"/>
      <w:r>
        <w:rPr>
          <w:rFonts w:ascii="Times New Roman" w:eastAsia="仿宋"/>
          <w:b/>
          <w:sz w:val="30"/>
          <w:szCs w:val="30"/>
        </w:rPr>
        <w:t>项目经理</w:t>
      </w:r>
      <w:bookmarkEnd w:id="325"/>
      <w:bookmarkEnd w:id="326"/>
      <w:bookmarkEnd w:id="327"/>
      <w:bookmarkEnd w:id="328"/>
      <w:bookmarkEnd w:id="329"/>
      <w:bookmarkEnd w:id="330"/>
      <w:bookmarkEnd w:id="331"/>
      <w:bookmarkEnd w:id="332"/>
      <w:bookmarkEnd w:id="333"/>
    </w:p>
    <w:p w14:paraId="2303D6EB">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项目经理应为发包人所确认的人选，项目经理的授权范围见专用合同条款附件一〔授权委托书〕，项目经理经总承包人授权后代表总承包人负责履行合同。项目经理应是总承包人正式聘用的员工，总承包人应向发包人提交项目经理与总承包人之间的劳动合同，以及总承包人为项目经理缴纳社会保险的有效证明。总承包人不提交上述文件的，项目经理无权履行职责，发包人有权要求更换项目经理，由此增加的费用和（或）延误的工期由总承包人承担。</w:t>
      </w:r>
      <w:bookmarkEnd w:id="334"/>
      <w:bookmarkEnd w:id="335"/>
      <w:bookmarkEnd w:id="336"/>
    </w:p>
    <w:p w14:paraId="6558AAA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项目经理应常驻施工现场，每月在现场的时间不得少于</w:t>
      </w:r>
      <w:r>
        <w:rPr>
          <w:rFonts w:ascii="Times New Roman" w:eastAsia="仿宋"/>
          <w:sz w:val="30"/>
          <w:szCs w:val="30"/>
          <w:u w:val="single"/>
          <w:lang w:eastAsia="zh-CN"/>
        </w:rPr>
        <w:t xml:space="preserve"> 2</w:t>
      </w:r>
      <w:r>
        <w:rPr>
          <w:rFonts w:hint="eastAsia" w:ascii="Times New Roman" w:eastAsia="仿宋"/>
          <w:sz w:val="30"/>
          <w:szCs w:val="30"/>
          <w:u w:val="single"/>
          <w:lang w:eastAsia="zh-CN"/>
        </w:rPr>
        <w:t>6</w:t>
      </w:r>
      <w:r>
        <w:rPr>
          <w:rFonts w:ascii="Times New Roman" w:eastAsia="仿宋"/>
          <w:sz w:val="30"/>
          <w:szCs w:val="30"/>
          <w:lang w:eastAsia="zh-CN"/>
        </w:rPr>
        <w:t>日，项目经理不得同时担任其他项目的项目经理。项目经理确需离开施工现场时，应事先通知监理人，并取得发包人的书面同意，并指定一名有经验的人员临时代行其职责。项目经理的通知中应当载明临时代行其职责的人员的注册执业资格、管理经验等资料，该人员应具备履行相应职责的能力。</w:t>
      </w:r>
    </w:p>
    <w:p w14:paraId="15975B6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总承包人违反上述约定的，按照技术标准和要求承担违约责任。</w:t>
      </w:r>
    </w:p>
    <w:p w14:paraId="6A9A41A0">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项目经理按合同约定组织工程实施。在紧急情况下为确保施工安全和人员安全，在无法与发包人代表及时取得联系时，项目经理有权采取必要的措施保证与工程有关的人身、财产和工程的安全，但应在48小时内向发包人代表和总监理工程师提交书面报告。</w:t>
      </w:r>
    </w:p>
    <w:p w14:paraId="3AD494B5">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需要更换项目经理的，应提前7天书面通知发包人和监理人，并征得发包人书面同意。通知中应当载明继任项目经理的注册执业资格、管理经验等资料，继任项目经理继续履行第3.2.1条和第3.2.2条约定的职责。未经发包人书面同意，总承包人不得擅自更换项目经理。总承包人擅自更换项目经理的，按照技术标准和要求承担违约责任。</w:t>
      </w:r>
    </w:p>
    <w:p w14:paraId="0859A7B8">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有权书面通知总承包人更换其认为不称职的项目经理，通知中应当载明要求更换的理由。总承包人应在接到更换通知后7天内进行更换，并将新任命的项目经理的注册执业资格、管理经验等资料书面通知发包人。继任项目经理继续履行第3.2.1条和第3.2.2条约定的职责。总承包人无正当理由拒绝更换项目经理的，按照技术标准和要求承担违约责任。</w:t>
      </w:r>
    </w:p>
    <w:p w14:paraId="7283E7A7">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项目经理因特殊情况授权其下属人员履行其某项工作职责的，该下属人员应具备履行相应职责的能力，并应提前7天将上述人员的姓名和授权范围书面通知监理人，并征得发包人书面同意，且被授权的人不得有再次授权资格，如合同约定须由项目经理完成的工作，不得委托他人完成。</w:t>
      </w:r>
    </w:p>
    <w:p w14:paraId="495AD925">
      <w:pPr>
        <w:numPr>
          <w:ilvl w:val="1"/>
          <w:numId w:val="7"/>
        </w:numPr>
        <w:snapToGrid w:val="0"/>
        <w:spacing w:line="560" w:lineRule="exact"/>
        <w:ind w:left="0" w:firstLine="600" w:firstLineChars="200"/>
        <w:rPr>
          <w:rFonts w:ascii="Times New Roman" w:eastAsia="仿宋"/>
          <w:b/>
          <w:sz w:val="30"/>
          <w:szCs w:val="30"/>
        </w:rPr>
      </w:pPr>
      <w:bookmarkStart w:id="337" w:name="_Toc80863238"/>
      <w:bookmarkStart w:id="338" w:name="_Toc410035650"/>
      <w:bookmarkStart w:id="339" w:name="_Toc24590"/>
      <w:bookmarkStart w:id="340" w:name="_Toc351203521"/>
      <w:bookmarkStart w:id="341" w:name="_Toc1822"/>
      <w:bookmarkStart w:id="342" w:name="_Toc524351774"/>
      <w:bookmarkStart w:id="343" w:name="_Toc6499"/>
      <w:bookmarkStart w:id="344" w:name="_Toc22003"/>
      <w:bookmarkStart w:id="345" w:name="_Toc3672"/>
      <w:bookmarkStart w:id="346" w:name="_Toc32527"/>
      <w:bookmarkStart w:id="347" w:name="_Toc337558749"/>
      <w:r>
        <w:rPr>
          <w:rFonts w:ascii="Times New Roman" w:eastAsia="仿宋"/>
          <w:b/>
          <w:sz w:val="30"/>
          <w:szCs w:val="30"/>
        </w:rPr>
        <w:t>总承包人人员</w:t>
      </w:r>
      <w:bookmarkEnd w:id="337"/>
      <w:bookmarkEnd w:id="338"/>
      <w:bookmarkEnd w:id="339"/>
      <w:bookmarkEnd w:id="340"/>
      <w:bookmarkEnd w:id="341"/>
      <w:bookmarkEnd w:id="342"/>
      <w:bookmarkEnd w:id="343"/>
      <w:bookmarkEnd w:id="344"/>
      <w:bookmarkEnd w:id="345"/>
      <w:bookmarkEnd w:id="346"/>
    </w:p>
    <w:p w14:paraId="3D493470">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总承包人应在接到开工通知后7天内，向发包人提交总承包人项目管理机构配备人员名册（主要管理人员</w:t>
      </w:r>
      <w:r>
        <w:rPr>
          <w:rFonts w:hint="eastAsia" w:ascii="Times New Roman" w:eastAsia="仿宋"/>
          <w:sz w:val="30"/>
          <w:szCs w:val="30"/>
          <w:lang w:eastAsia="zh-CN"/>
        </w:rPr>
        <w:t>需</w:t>
      </w:r>
      <w:r>
        <w:rPr>
          <w:rFonts w:ascii="Times New Roman" w:eastAsia="仿宋"/>
          <w:sz w:val="30"/>
          <w:szCs w:val="30"/>
          <w:lang w:eastAsia="zh-CN"/>
        </w:rPr>
        <w:t>与回标文件及合同文件内拟</w:t>
      </w:r>
      <w:r>
        <w:rPr>
          <w:rFonts w:hint="eastAsia" w:ascii="Times New Roman" w:eastAsia="仿宋"/>
          <w:sz w:val="30"/>
          <w:szCs w:val="30"/>
          <w:lang w:eastAsia="zh-CN"/>
        </w:rPr>
        <w:t>派</w:t>
      </w:r>
      <w:r>
        <w:rPr>
          <w:rFonts w:ascii="Times New Roman" w:eastAsia="仿宋"/>
          <w:sz w:val="30"/>
          <w:szCs w:val="30"/>
          <w:lang w:eastAsia="zh-CN"/>
        </w:rPr>
        <w:t>人员一致）及相应授权（附件11），其内容应包括合同管理、进度、施工、技术、材料、质量、安全、</w:t>
      </w:r>
      <w:r>
        <w:rPr>
          <w:rFonts w:hint="eastAsia" w:ascii="Times New Roman" w:eastAsia="仿宋"/>
          <w:sz w:val="30"/>
          <w:szCs w:val="30"/>
          <w:lang w:eastAsia="zh-CN"/>
        </w:rPr>
        <w:t>商务</w:t>
      </w:r>
      <w:r>
        <w:rPr>
          <w:rFonts w:ascii="Times New Roman" w:eastAsia="仿宋"/>
          <w:sz w:val="30"/>
          <w:szCs w:val="30"/>
          <w:lang w:eastAsia="zh-CN"/>
        </w:rPr>
        <w:t>等主要施工管理人员（主要施工管理人员为：项目经理、生产经理、技术负责人、商务经理）名单及其岗位、注册执业资格等，以及各工种技术工人的安排情况，并同时提交主要施工管理人员与总承包人之间的劳动关系证明和缴纳社会保险的有效证明、人员相应授权权限等。</w:t>
      </w:r>
      <w:bookmarkEnd w:id="347"/>
    </w:p>
    <w:p w14:paraId="3C6D77EB">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派驻到施工现场的主要施工管理人员应相对稳定。施工过程中如有变动，总承包人应及时向监理人提交施工现场人员变动情况的报告。总承包人更换主要施工管理人员时，应提前7天书面通知监理人，并征得发包人书面同意。通知中应当载明继任人员的注册执业资格、管理经验等资料。</w:t>
      </w:r>
    </w:p>
    <w:p w14:paraId="4E9E33E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特殊工种作业人员均应持有相应的资格证明，监理人可以随时检查。</w:t>
      </w:r>
    </w:p>
    <w:p w14:paraId="263B2F31">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对于总承包人主要施工管理人员的资格或能力有异议的，总承包人应提供资料证明被质疑人员有能力完成其岗位工作或不存在发包人所质疑的情形。发包人要求撤换不能按照合同约定履行职责及义务的主要施工管理人员的，总承包人应当撤换。总承包人无正当理由拒绝撤换的，按照技术标准和要求承担违约责任。</w:t>
      </w:r>
    </w:p>
    <w:p w14:paraId="478E3CB3">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的主要施工管理人员不得跨项目兼职，应从开工至交付过程全程参与项目，并保证在施工阶段常驻现场，如请假临时离开现场应通知监理人，并征得发包人书面同意。主要施工管理人员离开施工现场前应指定一名有经验的人员临时代行其职责，该人员应具备履行相应职责的资格和能力，且应征得监理人及发包人的书面同意。</w:t>
      </w:r>
    </w:p>
    <w:p w14:paraId="36BB66F6">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总承包人擅自更换主要施工管理人员，或前述人员未经发包人书面同意擅自离开施工现场的，按照技术标准和要求承担违约责任。</w:t>
      </w:r>
    </w:p>
    <w:p w14:paraId="4E69AD3B">
      <w:pPr>
        <w:numPr>
          <w:ilvl w:val="1"/>
          <w:numId w:val="7"/>
        </w:numPr>
        <w:snapToGrid w:val="0"/>
        <w:spacing w:line="560" w:lineRule="exact"/>
        <w:ind w:left="0" w:firstLine="600" w:firstLineChars="200"/>
        <w:rPr>
          <w:rFonts w:ascii="Times New Roman" w:eastAsia="仿宋"/>
          <w:b/>
          <w:sz w:val="30"/>
          <w:szCs w:val="30"/>
        </w:rPr>
      </w:pPr>
      <w:bookmarkStart w:id="348" w:name="_Toc594"/>
      <w:bookmarkStart w:id="349" w:name="_Toc351203522"/>
      <w:bookmarkStart w:id="350" w:name="_Toc296503050"/>
      <w:bookmarkStart w:id="351" w:name="_Toc4728"/>
      <w:bookmarkStart w:id="352" w:name="_Toc410035651"/>
      <w:bookmarkStart w:id="353" w:name="_Toc296346551"/>
      <w:bookmarkStart w:id="354" w:name="_Toc524351775"/>
      <w:bookmarkStart w:id="355" w:name="_Toc32648"/>
      <w:bookmarkStart w:id="356" w:name="_Toc5010"/>
      <w:bookmarkStart w:id="357" w:name="_Toc7844"/>
      <w:bookmarkStart w:id="358" w:name="_Toc3284"/>
      <w:bookmarkStart w:id="359" w:name="_Toc80863239"/>
      <w:bookmarkStart w:id="360" w:name="_Toc337558750"/>
      <w:r>
        <w:rPr>
          <w:rFonts w:ascii="Times New Roman" w:eastAsia="仿宋"/>
          <w:b/>
          <w:sz w:val="30"/>
          <w:szCs w:val="30"/>
        </w:rPr>
        <w:t>总承包人现场查勘</w:t>
      </w:r>
      <w:bookmarkEnd w:id="348"/>
      <w:bookmarkEnd w:id="349"/>
      <w:bookmarkEnd w:id="350"/>
      <w:bookmarkEnd w:id="351"/>
      <w:bookmarkEnd w:id="352"/>
      <w:bookmarkEnd w:id="353"/>
      <w:bookmarkEnd w:id="354"/>
      <w:bookmarkEnd w:id="355"/>
      <w:bookmarkEnd w:id="356"/>
      <w:bookmarkEnd w:id="357"/>
      <w:bookmarkEnd w:id="358"/>
      <w:bookmarkEnd w:id="359"/>
      <w:bookmarkEnd w:id="360"/>
    </w:p>
    <w:p w14:paraId="47277D4F">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在收到发包人提供的基础资料后，及时展开现场勘测，总承包人应在工程放线前对其准确性进行验证，认真保持一切基准点、标桩和其他有关标志。总承包人负责施工过程中的全部施工测量放线工作，并配置具有相应资质的人员、合格的仪器、设备和其他物品。总承包人应矫正工程的位置、标高、尺寸或准线中出现的任何差错，并对工程各部分的定位负责。并于开工通知记载的开工日期28日内，对于基础资料与现场的偏差向发包人提供报告，经发包人认可后，构成变更的按第10条约定处理；超过28天未提供，或提供报告内未涉及的，总承包人不得因此再向发包人要求变更，且由此导致错误施工的责任亦由总承包人承担。</w:t>
      </w:r>
    </w:p>
    <w:p w14:paraId="50FF2779">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对施工现场和施工条件进行查勘，并充分了解工程所在地的气象条件、交通条件、邻近建筑物、工地情况、开挖的土质，道路、储存空间、起卸限制、风俗习惯以及其他与完成合同工作有关的其他资料，并取得所有有关资料及考虑施工时可能产生的不可避免的施工噪音、震动、光线等扰民因素，并承担因此而发生的所有费用。因总承包人未能充分查勘、了解前述情况或未能充分估计前述情况所可能产生后果的，总承包人承担由此增加的费用和（或）延误的工期。</w:t>
      </w:r>
    </w:p>
    <w:p w14:paraId="679A3CBF">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总承包人须详细了解工程设计、施工、进度等所有要求，充分考虑场地条件、接驳条件、材料运输堆放、垃圾运输排放、交叉施工等因素造成的工期及费用增加。</w:t>
      </w:r>
    </w:p>
    <w:p w14:paraId="23196BE4">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总承包人接受工地时，如果现况与投标踏勘存在差异，经双方认可后，按通用合同条款第10条约定处理；总承包人不得以此作为理由拒绝接受现场或下一步工作。</w:t>
      </w:r>
    </w:p>
    <w:p w14:paraId="214CD103">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总承包人进场后对原有建筑物、构筑物的损坏，总承包人须自费修复至发包人满意。</w:t>
      </w:r>
    </w:p>
    <w:p w14:paraId="1AFB28FF">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在土方、地基处理过程中遇到地下障碍物时，除单个体积大于1.5m³的地下障碍物经双方认可后由发包人按通用合同条款第10条约定处理外，其他均由总承包人承担。对于涉及的市政管线设施，应按当地政府相关要求进行保护，费用由总承包人承担。施工中发现单个体积大于1.5m³的地下障碍物时，总承包人应于4小时内通知发包人到现场旁证，并在8小时内以书面形式通知发包人，同时提出处理方案，以供发包人认可，经发包人认可后，按照合同条款第10条约定处理。</w:t>
      </w:r>
    </w:p>
    <w:p w14:paraId="30608E5D">
      <w:pPr>
        <w:numPr>
          <w:ilvl w:val="2"/>
          <w:numId w:val="7"/>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lang w:eastAsia="zh-CN"/>
        </w:rPr>
        <w:t>总承包人须在工程开工前提供及安装为监察工地周围附近现有的民房、建筑物、道路、围墙等沉降、移位情况所需的一切装置及沉降点，并在工程开工后至基坑回填完成期间每隔一周提供工地周边的沉降报告。如有需要，发包人可指示加密沉降监测的次数。</w:t>
      </w:r>
      <w:r>
        <w:rPr>
          <w:rFonts w:ascii="Times New Roman" w:eastAsia="仿宋"/>
          <w:sz w:val="30"/>
          <w:szCs w:val="30"/>
        </w:rPr>
        <w:t>以上费用由总承包人承担。</w:t>
      </w:r>
    </w:p>
    <w:p w14:paraId="03424375">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须负责场内及场外临近公共设施、房屋、道路、市政设施的保护、监测和修复工作，因总承包人施工造成任何破坏，总承包人须负责修复至政府相关管理机构满意为止并承担全部费用，并将承担相关的关联责任，总承包人须与政府相关管理机构协调并承担相关的任何费用。若相关管理机构认为上述之损坏须由其特许之总承包人进行修补时，则总承包人须承担全部费用。总承包人应保证发包人免于与上述事件有关的任何索赔、诉讼、损害和损失。</w:t>
      </w:r>
    </w:p>
    <w:p w14:paraId="20227F6D">
      <w:pPr>
        <w:numPr>
          <w:ilvl w:val="2"/>
          <w:numId w:val="7"/>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总承包人任何因忽视工地情况而引致的索偿或工期延长将不获批准。</w:t>
      </w:r>
    </w:p>
    <w:p w14:paraId="667F3A9C">
      <w:pPr>
        <w:numPr>
          <w:ilvl w:val="1"/>
          <w:numId w:val="7"/>
        </w:numPr>
        <w:tabs>
          <w:tab w:val="left" w:pos="0"/>
        </w:tabs>
        <w:snapToGrid w:val="0"/>
        <w:spacing w:line="560" w:lineRule="exact"/>
        <w:ind w:left="0" w:firstLine="600" w:firstLineChars="200"/>
        <w:rPr>
          <w:rFonts w:ascii="Times New Roman" w:eastAsia="仿宋"/>
          <w:b/>
          <w:sz w:val="30"/>
          <w:szCs w:val="30"/>
        </w:rPr>
      </w:pPr>
      <w:bookmarkStart w:id="361" w:name="_Toc80863240"/>
      <w:bookmarkStart w:id="362" w:name="_Toc410035652"/>
      <w:bookmarkStart w:id="363" w:name="_Toc19307"/>
      <w:bookmarkStart w:id="364" w:name="_Toc29303"/>
      <w:bookmarkStart w:id="365" w:name="_Toc351203523"/>
      <w:bookmarkStart w:id="366" w:name="_Toc29632"/>
      <w:bookmarkStart w:id="367" w:name="_Toc27808"/>
      <w:bookmarkStart w:id="368" w:name="_Toc13352"/>
      <w:bookmarkStart w:id="369" w:name="_Toc524351776"/>
      <w:bookmarkStart w:id="370" w:name="_Toc27282"/>
      <w:bookmarkStart w:id="371" w:name="_Toc337558751"/>
      <w:bookmarkStart w:id="372" w:name="_Toc296503051"/>
      <w:bookmarkStart w:id="373" w:name="_Toc296346552"/>
      <w:r>
        <w:rPr>
          <w:rFonts w:ascii="Times New Roman" w:eastAsia="仿宋"/>
          <w:b/>
          <w:sz w:val="30"/>
          <w:szCs w:val="30"/>
        </w:rPr>
        <w:t>分包</w:t>
      </w:r>
      <w:bookmarkEnd w:id="361"/>
      <w:bookmarkEnd w:id="362"/>
      <w:bookmarkEnd w:id="363"/>
      <w:bookmarkEnd w:id="364"/>
      <w:bookmarkEnd w:id="365"/>
      <w:bookmarkEnd w:id="366"/>
      <w:bookmarkEnd w:id="367"/>
      <w:bookmarkEnd w:id="368"/>
      <w:bookmarkEnd w:id="369"/>
      <w:bookmarkEnd w:id="370"/>
      <w:bookmarkStart w:id="1667" w:name="_GoBack"/>
      <w:bookmarkEnd w:id="1667"/>
    </w:p>
    <w:p w14:paraId="39F8647D">
      <w:pPr>
        <w:numPr>
          <w:ilvl w:val="2"/>
          <w:numId w:val="7"/>
        </w:numPr>
        <w:snapToGrid w:val="0"/>
        <w:spacing w:line="560" w:lineRule="exact"/>
        <w:ind w:left="0" w:firstLine="600" w:firstLineChars="200"/>
        <w:rPr>
          <w:rFonts w:ascii="Times New Roman" w:eastAsia="仿宋"/>
          <w:sz w:val="30"/>
          <w:szCs w:val="30"/>
        </w:rPr>
      </w:pPr>
      <w:r>
        <w:rPr>
          <w:rFonts w:ascii="Times New Roman" w:eastAsia="仿宋"/>
          <w:sz w:val="30"/>
          <w:szCs w:val="30"/>
        </w:rPr>
        <w:t>分包的一般约定</w:t>
      </w:r>
      <w:bookmarkEnd w:id="371"/>
      <w:bookmarkEnd w:id="372"/>
      <w:bookmarkEnd w:id="373"/>
    </w:p>
    <w:p w14:paraId="0933E5E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不得以任何形式将其承包的全部工程转包给第三人，或将其承包的全部工程肢解后以分包的名义转包给第三人。在未经发包人书面同意前，总承包人不得将其工程分包给第三人，否则，视为总承包人违约。</w:t>
      </w:r>
    </w:p>
    <w:p w14:paraId="2706B3BE">
      <w:pPr>
        <w:numPr>
          <w:ilvl w:val="2"/>
          <w:numId w:val="7"/>
        </w:numPr>
        <w:snapToGrid w:val="0"/>
        <w:spacing w:line="560" w:lineRule="exact"/>
        <w:ind w:left="0" w:firstLine="600" w:firstLineChars="200"/>
        <w:rPr>
          <w:rFonts w:ascii="Times New Roman" w:eastAsia="仿宋"/>
          <w:sz w:val="30"/>
          <w:szCs w:val="30"/>
        </w:rPr>
      </w:pPr>
      <w:r>
        <w:rPr>
          <w:rFonts w:ascii="Times New Roman" w:eastAsia="仿宋"/>
          <w:sz w:val="30"/>
          <w:szCs w:val="30"/>
        </w:rPr>
        <w:t>总承包人自有分包</w:t>
      </w:r>
    </w:p>
    <w:p w14:paraId="472A530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按本条款3.5.1条款约定，经发包人批准允许总承包人分包的工程，称为总承包人自有分包工程，其分包人称为总承包人自有分包人，总承包人应确保自有分包人具有相应的资质和能力，并事先提交相关资料给发包人及监理人审批。发包人有绝对权力拒绝该等分包人，且尽管发包人已发出书面同意，发包人仍有权在之后摒弃该等分包人，并有绝对权力要求任何分包人脱离本工程。</w:t>
      </w:r>
    </w:p>
    <w:p w14:paraId="3DC0B0B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总承包人自有分包不能减轻或免除总承包人的责任和义务，总承包人须对自有分包工程当作自己负责的工程、对自有分包人的任何行动、错误或疏忽负全责。</w:t>
      </w:r>
    </w:p>
    <w:p w14:paraId="2448A058">
      <w:pPr>
        <w:numPr>
          <w:ilvl w:val="2"/>
          <w:numId w:val="7"/>
        </w:numPr>
        <w:snapToGrid w:val="0"/>
        <w:spacing w:line="560" w:lineRule="exact"/>
        <w:ind w:left="0" w:firstLine="600" w:firstLineChars="200"/>
        <w:rPr>
          <w:rFonts w:ascii="Times New Roman" w:eastAsia="仿宋"/>
          <w:sz w:val="30"/>
          <w:szCs w:val="30"/>
        </w:rPr>
      </w:pPr>
      <w:r>
        <w:rPr>
          <w:rFonts w:ascii="Times New Roman" w:eastAsia="仿宋"/>
          <w:sz w:val="30"/>
          <w:szCs w:val="30"/>
        </w:rPr>
        <w:t>专业分包</w:t>
      </w:r>
    </w:p>
    <w:p w14:paraId="113C227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技术标准和要求所列的专业分包工程属于总承包工程的一部分，但专业分包工程价款不包括在总承包合同价款内，将由发包人另行委托专业分包人执行，总承包人须与专业分包人签订分包合同并负责专业分包工程的总承包管理事宜。专业分包人须在各方面都能使发包人及总承包人满意，并遵从发包人及总承包人所有合理的指令和要求的情况下，执行和完成专业分包工程。</w:t>
      </w:r>
    </w:p>
    <w:p w14:paraId="4B03088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专业分包人就分包工程向总承包人及发包人负责，但此并不减轻或免除总承包人的责任和义务，总承包人和专业分包人就专业分包工程向发包人承担连带责任，任何一方向发包人承担违约及赔偿责任后，有权向责任方追偿。总承包人须在收到专业分包合同后在专用合同条款约定的时间内签署分包合同，专业分包合同样本详见其他合同文件附件12，该样本仅供参考，且无论实际签署的分包合同与该分包合同样本有何差别，只要不违背总承包合同所订立的原则，总承包人均不得拒绝。总承包人未在合同约定的时间内签署分包合同的，需按专用合同条款的约定支付发包人违约金，并赔偿发包人因此而蒙受的损失。</w:t>
      </w:r>
    </w:p>
    <w:p w14:paraId="4E6BAA1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须按技术标准和要求约定对专业分包工程进行全面的照管、协调及配合，直至竣工验收为止，（包括但不限于提供场地及道路使用、水电接口、垂直运输设备使用、垃圾清运、脚手架使用、标高及点位信息等配合服务，以及现场总包协调管理、验收资料收集整理等工作。）所需之费用已填报在总包协调管理费清单对分包工程的照管及协调服务费内，并包括在总承包合同总价内。未经发包人允许，总承包人不得再向专业分包人索取类似费用，一经发现，除须退还所索取的费用外，总承包人还须承担所索取费用2倍的违约金，发包人可从应支付予总承包人的款项中直接予以扣除或作为债项向总承包人追讨。</w:t>
      </w:r>
    </w:p>
    <w:p w14:paraId="136A10C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专业分包人的付款申请将先提交给总承包人，并由总承包人审核汇总后递交给发包人，但款项将由发包人直接支付予分包人，如总承包人对专业分包工程的付款有任何意见的，应在递交付款申请时向发包人提出，以便发包人付款前得以考虑。发包人直接付款并不减轻或免除总承包人的责任和义务，亦不构成发包人与分包人之间任何直接合同关系。</w:t>
      </w:r>
    </w:p>
    <w:p w14:paraId="6712478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总承包人在收到专业分包人提交的结算申请后应对涉及专业分包人的</w:t>
      </w:r>
      <w:r>
        <w:rPr>
          <w:rFonts w:hint="eastAsia" w:ascii="Times New Roman" w:eastAsia="仿宋"/>
          <w:sz w:val="30"/>
          <w:szCs w:val="30"/>
          <w:lang w:eastAsia="zh-CN"/>
        </w:rPr>
        <w:t>责任扣款</w:t>
      </w:r>
      <w:r>
        <w:rPr>
          <w:rFonts w:ascii="Times New Roman" w:eastAsia="仿宋"/>
          <w:sz w:val="30"/>
          <w:szCs w:val="30"/>
          <w:lang w:eastAsia="zh-CN"/>
        </w:rPr>
        <w:t>给予复核，如复核后认为总承包人按总承包合同应向发包人作出的违约金/赔偿金/罚款，按分包合同约定应由专业分包人承担全部或部分的，而该违约金/赔偿金/罚款的全部或部分未在分包结算申请中扣除的，应及时向发包人提出并主动与专业分包人达成一致，以期发包人在审核专业分包工程结算时得以扣除。否则，因总承包人未及时提出该等扣款或因为总承包人消极应对而导致发包人无法从专业分包工程结算中进行扣款的，发包人将统一在总承包合同的结算中进行扣款。</w:t>
      </w:r>
    </w:p>
    <w:p w14:paraId="434F10CF">
      <w:pPr>
        <w:numPr>
          <w:ilvl w:val="1"/>
          <w:numId w:val="7"/>
        </w:numPr>
        <w:tabs>
          <w:tab w:val="left" w:pos="0"/>
        </w:tabs>
        <w:snapToGrid w:val="0"/>
        <w:spacing w:line="560" w:lineRule="exact"/>
        <w:ind w:left="0" w:firstLine="600" w:firstLineChars="200"/>
        <w:rPr>
          <w:rFonts w:ascii="Times New Roman" w:eastAsia="仿宋"/>
          <w:b/>
          <w:sz w:val="30"/>
          <w:szCs w:val="30"/>
        </w:rPr>
      </w:pPr>
      <w:bookmarkStart w:id="374" w:name="_Toc80863241"/>
      <w:bookmarkStart w:id="375" w:name="_Toc524351777"/>
      <w:r>
        <w:rPr>
          <w:rFonts w:ascii="Times New Roman" w:eastAsia="仿宋"/>
          <w:b/>
          <w:sz w:val="30"/>
          <w:szCs w:val="30"/>
        </w:rPr>
        <w:t>对独立承包人之配合</w:t>
      </w:r>
      <w:bookmarkEnd w:id="374"/>
      <w:bookmarkEnd w:id="375"/>
    </w:p>
    <w:p w14:paraId="4B44BE53">
      <w:pPr>
        <w:snapToGrid w:val="0"/>
        <w:spacing w:line="560" w:lineRule="exact"/>
        <w:ind w:firstLine="600" w:firstLineChars="200"/>
        <w:rPr>
          <w:rFonts w:ascii="Times New Roman"/>
          <w:lang w:eastAsia="zh-CN"/>
        </w:rPr>
      </w:pPr>
      <w:r>
        <w:rPr>
          <w:rFonts w:ascii="Times New Roman" w:eastAsia="仿宋"/>
          <w:sz w:val="30"/>
          <w:szCs w:val="30"/>
          <w:lang w:eastAsia="zh-CN"/>
        </w:rPr>
        <w:t>技术标准和要求已列会由独立承包人执行的独立工程，总承包人须按技术标准和要求约定的对独立承包人提供照管、协调及配合，直至竣工验收为止（</w:t>
      </w:r>
      <w:r>
        <w:rPr>
          <w:rFonts w:ascii="Times New Roman" w:eastAsia="仿宋"/>
          <w:color w:val="171A1D"/>
          <w:sz w:val="30"/>
          <w:szCs w:val="30"/>
          <w:shd w:val="clear" w:color="auto" w:fill="FFFFFF"/>
          <w:lang w:eastAsia="zh-CN"/>
        </w:rPr>
        <w:t>包括但不限于提供场地及道路使用、水电接口、垂直运输设备使用、垃圾清运、脚手架使用、标高及点位信息等配合服务，以及现场总包协调管理、验收资料收集整理等工作。</w:t>
      </w:r>
      <w:r>
        <w:rPr>
          <w:rFonts w:ascii="Times New Roman" w:eastAsia="仿宋"/>
          <w:sz w:val="30"/>
          <w:szCs w:val="30"/>
          <w:lang w:eastAsia="zh-CN"/>
        </w:rPr>
        <w:t>），所需之费用已填报在总包协调管理费清单对独立工程的照管及协调服务费内，并包括在总承包合同总价内。该照管及协调服务费乃固定总价合同，结算时不予调整，亦不会因一个独立工程拆分交由两个或以上独立承包人施工而作出调整；惟若独立工程取消或独立工程最终由总承包人负责实施的，则该独立工程的照管及协调服务费将整项扣除。</w:t>
      </w:r>
    </w:p>
    <w:p w14:paraId="274649ED">
      <w:pPr>
        <w:numPr>
          <w:ilvl w:val="1"/>
          <w:numId w:val="7"/>
        </w:numPr>
        <w:tabs>
          <w:tab w:val="left" w:pos="0"/>
        </w:tabs>
        <w:snapToGrid w:val="0"/>
        <w:spacing w:line="560" w:lineRule="exact"/>
        <w:ind w:left="0" w:firstLine="600" w:firstLineChars="200"/>
        <w:rPr>
          <w:rFonts w:ascii="Times New Roman" w:eastAsia="仿宋"/>
          <w:b/>
          <w:sz w:val="30"/>
          <w:szCs w:val="30"/>
          <w:lang w:eastAsia="zh-CN"/>
        </w:rPr>
      </w:pPr>
      <w:bookmarkStart w:id="376" w:name="_Toc9525"/>
      <w:bookmarkStart w:id="377" w:name="_Toc10657"/>
      <w:bookmarkStart w:id="378" w:name="_Toc524351778"/>
      <w:bookmarkStart w:id="379" w:name="_Toc878"/>
      <w:bookmarkStart w:id="380" w:name="_Toc24248"/>
      <w:bookmarkStart w:id="381" w:name="_Toc351203524"/>
      <w:bookmarkStart w:id="382" w:name="_Toc80863242"/>
      <w:bookmarkStart w:id="383" w:name="_Toc410035653"/>
      <w:bookmarkStart w:id="384" w:name="_Toc25045"/>
      <w:bookmarkStart w:id="385" w:name="_Toc23030"/>
      <w:r>
        <w:rPr>
          <w:rFonts w:ascii="Times New Roman" w:eastAsia="仿宋"/>
          <w:b/>
          <w:sz w:val="30"/>
          <w:szCs w:val="30"/>
          <w:lang w:eastAsia="zh-CN"/>
        </w:rPr>
        <w:t>工程照管与成品、半成品保护</w:t>
      </w:r>
      <w:bookmarkEnd w:id="376"/>
      <w:bookmarkEnd w:id="377"/>
      <w:bookmarkEnd w:id="378"/>
      <w:bookmarkEnd w:id="379"/>
      <w:bookmarkEnd w:id="380"/>
      <w:bookmarkEnd w:id="381"/>
      <w:bookmarkEnd w:id="382"/>
      <w:bookmarkEnd w:id="383"/>
      <w:bookmarkEnd w:id="384"/>
      <w:bookmarkEnd w:id="385"/>
    </w:p>
    <w:p w14:paraId="4E8EBF6C">
      <w:pPr>
        <w:numPr>
          <w:ilvl w:val="2"/>
          <w:numId w:val="7"/>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自发包人向总承包人移交施工现场之日起，总承包人应负责工地的全面照管，包括专业分包工程及独立工程在内的所有工程及工程相关的材料、工程设备，直到竣工验收之日止。但总承包的整体照管，并不免除或减低各专业分包人及独立承包人在工程移交前对各自工程及工程相关的材料、工程设备进行保护、看管以防损坏、遗失或被盗的责任。</w:t>
      </w:r>
    </w:p>
    <w:p w14:paraId="55526029">
      <w:pPr>
        <w:numPr>
          <w:ilvl w:val="2"/>
          <w:numId w:val="7"/>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在总承包人负责照管期间，因总承包人原因造成工程、材料、工程设备损坏的，遗失或被盗的由总承包人负责修复或更换，并承担由此增加的费用和（或）延误的工期。因第三方原因造成的损坏责任由责任方承担，不能确定责任方的由总承包人负责修复或更换，并承担由此增加的费用和（或）延误的工期。</w:t>
      </w:r>
    </w:p>
    <w:p w14:paraId="543FDB23">
      <w:pPr>
        <w:numPr>
          <w:ilvl w:val="2"/>
          <w:numId w:val="7"/>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对自身合同范围内分期完成的成品和半成品，在完成移交发包人前，由总承包人承担保护责任。因总承包人原因造成成品或半成品损坏的，由总承包人负责修复或更换，并承担由此增加的费用和（或）延误的工期。因第三方原因造成的损坏责任由责任方承担，不能确定责任方的由总承包人负责修复或更换，并承担由此增加的费用和（或）延误的工期。</w:t>
      </w:r>
    </w:p>
    <w:p w14:paraId="30C6AA2D">
      <w:pPr>
        <w:numPr>
          <w:ilvl w:val="2"/>
          <w:numId w:val="7"/>
        </w:numPr>
        <w:tabs>
          <w:tab w:val="left" w:pos="1843"/>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专业分包工程移交总承包人后，总承包人对专业分包工程的看管及保护负全责，直至</w:t>
      </w:r>
      <w:r>
        <w:rPr>
          <w:rFonts w:hint="eastAsia" w:ascii="Times New Roman" w:eastAsia="仿宋"/>
          <w:sz w:val="30"/>
          <w:szCs w:val="30"/>
          <w:lang w:eastAsia="zh-CN"/>
        </w:rPr>
        <w:t>竣工验收</w:t>
      </w:r>
      <w:r>
        <w:rPr>
          <w:rFonts w:ascii="Times New Roman" w:eastAsia="仿宋"/>
          <w:sz w:val="30"/>
          <w:szCs w:val="30"/>
          <w:lang w:eastAsia="zh-CN"/>
        </w:rPr>
        <w:t>通过之日为止。</w:t>
      </w:r>
    </w:p>
    <w:p w14:paraId="507B5FBB">
      <w:pPr>
        <w:numPr>
          <w:ilvl w:val="1"/>
          <w:numId w:val="7"/>
        </w:numPr>
        <w:tabs>
          <w:tab w:val="left" w:pos="0"/>
        </w:tabs>
        <w:snapToGrid w:val="0"/>
        <w:spacing w:line="560" w:lineRule="exact"/>
        <w:ind w:left="0" w:firstLine="600" w:firstLineChars="200"/>
        <w:rPr>
          <w:rFonts w:ascii="Times New Roman" w:eastAsia="仿宋"/>
          <w:b/>
          <w:sz w:val="30"/>
          <w:szCs w:val="30"/>
        </w:rPr>
      </w:pPr>
      <w:bookmarkStart w:id="386" w:name="_Toc351203525"/>
      <w:bookmarkStart w:id="387" w:name="_Toc10788"/>
      <w:bookmarkStart w:id="388" w:name="_Toc80863243"/>
      <w:bookmarkStart w:id="389" w:name="_Toc19966"/>
      <w:bookmarkStart w:id="390" w:name="_Toc14758"/>
      <w:bookmarkStart w:id="391" w:name="_Toc6999"/>
      <w:bookmarkStart w:id="392" w:name="_Toc24673"/>
      <w:bookmarkStart w:id="393" w:name="_Toc11273"/>
      <w:bookmarkStart w:id="394" w:name="_Toc410035654"/>
      <w:bookmarkStart w:id="395" w:name="_Toc524351779"/>
      <w:bookmarkStart w:id="396" w:name="_Toc296346553"/>
      <w:bookmarkStart w:id="397" w:name="_Toc337558752"/>
      <w:bookmarkStart w:id="398" w:name="_Toc296503052"/>
      <w:r>
        <w:rPr>
          <w:rFonts w:ascii="Times New Roman" w:eastAsia="仿宋"/>
          <w:b/>
          <w:sz w:val="30"/>
          <w:szCs w:val="30"/>
        </w:rPr>
        <w:t>履约</w:t>
      </w:r>
      <w:bookmarkEnd w:id="386"/>
      <w:r>
        <w:rPr>
          <w:rFonts w:ascii="Times New Roman" w:eastAsia="仿宋"/>
          <w:b/>
          <w:sz w:val="30"/>
          <w:szCs w:val="30"/>
        </w:rPr>
        <w:t>保函</w:t>
      </w:r>
      <w:bookmarkEnd w:id="387"/>
      <w:bookmarkEnd w:id="388"/>
      <w:bookmarkEnd w:id="389"/>
      <w:bookmarkEnd w:id="390"/>
      <w:bookmarkEnd w:id="391"/>
      <w:bookmarkEnd w:id="392"/>
      <w:bookmarkEnd w:id="393"/>
      <w:bookmarkEnd w:id="394"/>
      <w:bookmarkEnd w:id="395"/>
    </w:p>
    <w:p w14:paraId="28146B8A">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总承包人需按照合同总价的</w:t>
      </w:r>
      <w:r>
        <w:rPr>
          <w:rFonts w:ascii="Times New Roman" w:eastAsia="仿宋"/>
          <w:sz w:val="30"/>
          <w:szCs w:val="30"/>
          <w:lang w:eastAsia="zh-CN"/>
        </w:rPr>
        <w:t>10%</w:t>
      </w:r>
      <w:r>
        <w:rPr>
          <w:rFonts w:hint="eastAsia" w:ascii="Times New Roman" w:eastAsia="仿宋"/>
          <w:sz w:val="30"/>
          <w:szCs w:val="30"/>
          <w:lang w:eastAsia="zh-CN"/>
        </w:rPr>
        <w:t>提供履约保函，履约保函需采用银行保函形式见专用合同条款附件</w:t>
      </w:r>
      <w:r>
        <w:rPr>
          <w:rFonts w:ascii="Times New Roman" w:eastAsia="仿宋"/>
          <w:sz w:val="30"/>
          <w:szCs w:val="30"/>
          <w:lang w:eastAsia="zh-CN"/>
        </w:rPr>
        <w:t>2</w:t>
      </w:r>
      <w:r>
        <w:rPr>
          <w:rFonts w:hint="eastAsia" w:ascii="Times New Roman" w:eastAsia="仿宋"/>
          <w:sz w:val="30"/>
          <w:szCs w:val="30"/>
          <w:lang w:eastAsia="zh-CN"/>
        </w:rPr>
        <w:t>〔履约保函〕，履约保函的格式需满足发包人要求，如经发包人复核后，不能满足发包人的要求，则视为未开保函，按未开具的条款约定处理。履约保函的有效期自银行开具之日起，至总承包工程竣工之日后</w:t>
      </w:r>
      <w:r>
        <w:rPr>
          <w:rFonts w:ascii="Times New Roman" w:eastAsia="仿宋"/>
          <w:sz w:val="30"/>
          <w:szCs w:val="30"/>
          <w:lang w:eastAsia="zh-CN"/>
        </w:rPr>
        <w:t>10</w:t>
      </w:r>
      <w:r>
        <w:rPr>
          <w:rFonts w:hint="eastAsia" w:ascii="Times New Roman" w:eastAsia="仿宋"/>
          <w:sz w:val="30"/>
          <w:szCs w:val="30"/>
          <w:lang w:eastAsia="zh-CN"/>
        </w:rPr>
        <w:t>日止。</w:t>
      </w:r>
    </w:p>
    <w:p w14:paraId="326E687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履约保函须在合同签订后30天内提供，如总承包人未能按时提供或所提供的履约保函不符合指定格式时，发包人有权在付给总承包人的款项内暂先全额扣除相当于履约保函之金额，直至总承包人提供经发包人认可的履约保函为止；或该全额扣款金额直接作为履约保证金，在总承包工程实际竣工之日起</w:t>
      </w:r>
      <w:r>
        <w:rPr>
          <w:rFonts w:hint="eastAsia" w:ascii="Times New Roman" w:eastAsia="仿宋"/>
          <w:sz w:val="30"/>
          <w:szCs w:val="30"/>
          <w:lang w:eastAsia="zh-CN"/>
        </w:rPr>
        <w:t>1</w:t>
      </w:r>
      <w:r>
        <w:rPr>
          <w:rFonts w:ascii="Times New Roman" w:eastAsia="仿宋"/>
          <w:sz w:val="30"/>
          <w:szCs w:val="30"/>
          <w:lang w:eastAsia="zh-CN"/>
        </w:rPr>
        <w:t>0</w:t>
      </w:r>
      <w:r>
        <w:rPr>
          <w:rFonts w:hint="eastAsia" w:ascii="Times New Roman" w:eastAsia="仿宋"/>
          <w:sz w:val="30"/>
          <w:szCs w:val="30"/>
          <w:lang w:eastAsia="zh-CN"/>
        </w:rPr>
        <w:t>日</w:t>
      </w:r>
      <w:r>
        <w:rPr>
          <w:rFonts w:ascii="Times New Roman" w:eastAsia="仿宋"/>
          <w:sz w:val="30"/>
          <w:szCs w:val="30"/>
          <w:lang w:eastAsia="zh-CN"/>
        </w:rPr>
        <w:t>后再返还总承包人。由此带来的一切风险和损失由总承包人承担。</w:t>
      </w:r>
    </w:p>
    <w:p w14:paraId="50AAAD8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如无法提供履约保函的，应向发包人支付相当于履约保函金额的履约保证金；或向发包人做出申请，承诺同意发包人可在支付给其的款项内先全额扣除相当于履约保函之金额作为履约保证金，由此带来的一切风险和损失由总承包人承担。无论总承包人是否作出此等支付或申请，只要履约保函未提供，均不妨碍发包人行使在付给总承包人的款项内直接扣除相当于履约保函之金额作为履约保证金的权利。</w:t>
      </w:r>
    </w:p>
    <w:p w14:paraId="3ED0813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专业分包工程的履约保函，由专业分包人提供至发包人。</w:t>
      </w:r>
    </w:p>
    <w:p w14:paraId="5FF90A8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无论何等原因导致工程实际竣工验收通过之前履约担保到期的，总承包人需将履约担保的期限延长至工程实际竣工验收通过日期后10</w:t>
      </w:r>
      <w:r>
        <w:rPr>
          <w:rFonts w:hint="eastAsia" w:ascii="Times New Roman" w:eastAsia="仿宋"/>
          <w:sz w:val="30"/>
          <w:szCs w:val="30"/>
          <w:lang w:eastAsia="zh-CN"/>
        </w:rPr>
        <w:t>日</w:t>
      </w:r>
      <w:r>
        <w:rPr>
          <w:rFonts w:ascii="Times New Roman" w:eastAsia="仿宋"/>
          <w:sz w:val="30"/>
          <w:szCs w:val="30"/>
          <w:lang w:eastAsia="zh-CN"/>
        </w:rPr>
        <w:t>，继续提供履约担保所增加的费用由总承包人承担。若未能将保函延期的，发包人有权暂时从后期应付款中全额扣留相当于履约保函之金额后再进行付款。</w:t>
      </w:r>
    </w:p>
    <w:p w14:paraId="7015625C">
      <w:pPr>
        <w:numPr>
          <w:ilvl w:val="1"/>
          <w:numId w:val="7"/>
        </w:numPr>
        <w:tabs>
          <w:tab w:val="left" w:pos="0"/>
        </w:tabs>
        <w:snapToGrid w:val="0"/>
        <w:spacing w:line="560" w:lineRule="exact"/>
        <w:ind w:left="0" w:firstLine="600" w:firstLineChars="200"/>
        <w:rPr>
          <w:rFonts w:ascii="Times New Roman" w:eastAsia="仿宋"/>
          <w:b/>
          <w:sz w:val="30"/>
          <w:szCs w:val="30"/>
        </w:rPr>
      </w:pPr>
      <w:bookmarkStart w:id="399" w:name="_Toc524351780"/>
      <w:bookmarkStart w:id="400" w:name="_Toc80863244"/>
      <w:r>
        <w:rPr>
          <w:rFonts w:ascii="Times New Roman" w:eastAsia="仿宋"/>
          <w:b/>
          <w:sz w:val="30"/>
          <w:szCs w:val="30"/>
        </w:rPr>
        <w:t>扰民及民扰</w:t>
      </w:r>
      <w:bookmarkEnd w:id="399"/>
      <w:bookmarkEnd w:id="400"/>
    </w:p>
    <w:p w14:paraId="7F6B5FA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工程施工期间对居民造成之骚扰必须减至最低，并且须按有关的法例规则等作出各种必需的工作如消音环保等，向有关政府部门提交通知，并在获得批准和缴交有关费用后方可施工。在夜间工作及超时工作时，此点尤为重要，总承包人必须无偿地严格导循有关单位及发包人的指示。任何因此而引起的责任、费用、诉讼、赔偿款均由总承包人负责。有关的要求如下:</w:t>
      </w:r>
    </w:p>
    <w:p w14:paraId="554169C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w:t>
      </w:r>
      <w:r>
        <w:rPr>
          <w:rFonts w:ascii="Times New Roman" w:eastAsia="仿宋"/>
          <w:sz w:val="30"/>
          <w:szCs w:val="30"/>
          <w:lang w:eastAsia="zh-CN"/>
        </w:rPr>
        <w:tab/>
      </w:r>
      <w:r>
        <w:rPr>
          <w:rFonts w:ascii="Times New Roman" w:eastAsia="仿宋"/>
          <w:sz w:val="30"/>
          <w:szCs w:val="30"/>
          <w:lang w:eastAsia="zh-CN"/>
        </w:rPr>
        <w:t>总承包人必须有专人负责协调工地周围单位、居民及一切有关各方对本项目进行期间一切的投诉，作出记录，并提出解决办法与各方商讨，取得各方同意后落实执行。</w:t>
      </w:r>
    </w:p>
    <w:p w14:paraId="4984B91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w:t>
      </w:r>
      <w:r>
        <w:rPr>
          <w:rFonts w:ascii="Times New Roman" w:eastAsia="仿宋"/>
          <w:sz w:val="30"/>
          <w:szCs w:val="30"/>
          <w:lang w:eastAsia="zh-CN"/>
        </w:rPr>
        <w:tab/>
      </w:r>
      <w:r>
        <w:rPr>
          <w:rFonts w:ascii="Times New Roman" w:eastAsia="仿宋"/>
          <w:sz w:val="30"/>
          <w:szCs w:val="30"/>
          <w:lang w:eastAsia="zh-CN"/>
        </w:rPr>
        <w:t>总承包人必须负责在协调过程中一切所需及相关的费用及罚款(若有)，有关的时间已考虑于工期内。</w:t>
      </w:r>
    </w:p>
    <w:p w14:paraId="03BE46A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w:t>
      </w:r>
      <w:r>
        <w:rPr>
          <w:rFonts w:ascii="Times New Roman" w:eastAsia="仿宋"/>
          <w:sz w:val="30"/>
          <w:szCs w:val="30"/>
          <w:lang w:eastAsia="zh-CN"/>
        </w:rPr>
        <w:tab/>
      </w:r>
      <w:r>
        <w:rPr>
          <w:rFonts w:ascii="Times New Roman" w:eastAsia="仿宋"/>
          <w:sz w:val="30"/>
          <w:szCs w:val="30"/>
          <w:lang w:eastAsia="zh-CN"/>
        </w:rPr>
        <w:t>总承包人必须与周围单位、居民协调及解决的范围包括但不限于:</w:t>
      </w:r>
    </w:p>
    <w:p w14:paraId="35A8781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(a)</w:t>
      </w:r>
      <w:r>
        <w:rPr>
          <w:rFonts w:ascii="Times New Roman" w:eastAsia="仿宋"/>
          <w:sz w:val="30"/>
          <w:szCs w:val="30"/>
          <w:lang w:eastAsia="zh-CN"/>
        </w:rPr>
        <w:tab/>
      </w:r>
      <w:r>
        <w:rPr>
          <w:rFonts w:ascii="Times New Roman" w:eastAsia="仿宋"/>
          <w:sz w:val="30"/>
          <w:szCs w:val="30"/>
          <w:lang w:eastAsia="zh-CN"/>
        </w:rPr>
        <w:t>环境卫生清理清扫外运；</w:t>
      </w:r>
    </w:p>
    <w:p w14:paraId="1B12D50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(b)</w:t>
      </w:r>
      <w:r>
        <w:rPr>
          <w:rFonts w:ascii="Times New Roman" w:eastAsia="仿宋"/>
          <w:sz w:val="30"/>
          <w:szCs w:val="30"/>
          <w:lang w:eastAsia="zh-CN"/>
        </w:rPr>
        <w:tab/>
      </w:r>
      <w:r>
        <w:rPr>
          <w:rFonts w:ascii="Times New Roman" w:eastAsia="仿宋"/>
          <w:sz w:val="30"/>
          <w:szCs w:val="30"/>
          <w:lang w:eastAsia="zh-CN"/>
        </w:rPr>
        <w:t>周围单位及民居的位移及沉降；</w:t>
      </w:r>
    </w:p>
    <w:p w14:paraId="3C8357D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(c)</w:t>
      </w:r>
      <w:r>
        <w:rPr>
          <w:rFonts w:ascii="Times New Roman" w:eastAsia="仿宋"/>
          <w:sz w:val="30"/>
          <w:szCs w:val="30"/>
          <w:lang w:eastAsia="zh-CN"/>
        </w:rPr>
        <w:tab/>
      </w:r>
      <w:r>
        <w:rPr>
          <w:rFonts w:ascii="Times New Roman" w:eastAsia="仿宋"/>
          <w:sz w:val="30"/>
          <w:szCs w:val="30"/>
          <w:lang w:eastAsia="zh-CN"/>
        </w:rPr>
        <w:t>周围单位及民居因施工导致结构性或非结构性的裂缝、倾斜等影响；</w:t>
      </w:r>
    </w:p>
    <w:p w14:paraId="15CEAFD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(d)</w:t>
      </w:r>
      <w:r>
        <w:rPr>
          <w:rFonts w:ascii="Times New Roman" w:eastAsia="仿宋"/>
          <w:sz w:val="30"/>
          <w:szCs w:val="30"/>
          <w:lang w:eastAsia="zh-CN"/>
        </w:rPr>
        <w:tab/>
      </w:r>
      <w:r>
        <w:rPr>
          <w:rFonts w:ascii="Times New Roman" w:eastAsia="仿宋"/>
          <w:sz w:val="30"/>
          <w:szCs w:val="30"/>
          <w:lang w:eastAsia="zh-CN"/>
        </w:rPr>
        <w:t>工地内产生的噪音及灰尘；</w:t>
      </w:r>
    </w:p>
    <w:p w14:paraId="353BF2C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(e)</w:t>
      </w:r>
      <w:r>
        <w:rPr>
          <w:rFonts w:ascii="Times New Roman" w:eastAsia="仿宋"/>
          <w:sz w:val="30"/>
          <w:szCs w:val="30"/>
          <w:lang w:eastAsia="zh-CN"/>
        </w:rPr>
        <w:tab/>
      </w:r>
      <w:r>
        <w:rPr>
          <w:rFonts w:ascii="Times New Roman" w:eastAsia="仿宋"/>
          <w:sz w:val="30"/>
          <w:szCs w:val="30"/>
          <w:lang w:eastAsia="zh-CN"/>
        </w:rPr>
        <w:t>工地出入口的清洁；</w:t>
      </w:r>
    </w:p>
    <w:p w14:paraId="57DD1D1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(f)</w:t>
      </w:r>
      <w:r>
        <w:rPr>
          <w:rFonts w:ascii="Times New Roman" w:eastAsia="仿宋"/>
          <w:sz w:val="30"/>
          <w:szCs w:val="30"/>
          <w:lang w:eastAsia="zh-CN"/>
        </w:rPr>
        <w:tab/>
      </w:r>
      <w:r>
        <w:rPr>
          <w:rFonts w:ascii="Times New Roman" w:eastAsia="仿宋"/>
          <w:sz w:val="30"/>
          <w:szCs w:val="30"/>
          <w:lang w:eastAsia="zh-CN"/>
        </w:rPr>
        <w:t>施工(包括开挖及高空)对周围单位及居民的公共安全等</w:t>
      </w:r>
      <w:r>
        <w:rPr>
          <w:rFonts w:hint="eastAsia" w:ascii="Times New Roman" w:eastAsia="仿宋"/>
          <w:sz w:val="30"/>
          <w:szCs w:val="30"/>
          <w:lang w:eastAsia="zh-CN"/>
        </w:rPr>
        <w:t>；</w:t>
      </w:r>
    </w:p>
    <w:p w14:paraId="58B318E2">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w:t>
      </w:r>
      <w:r>
        <w:rPr>
          <w:rFonts w:ascii="Times New Roman" w:eastAsia="仿宋"/>
          <w:sz w:val="30"/>
          <w:szCs w:val="30"/>
          <w:lang w:eastAsia="zh-CN"/>
        </w:rPr>
        <w:t>g</w:t>
      </w:r>
      <w:r>
        <w:rPr>
          <w:rFonts w:hint="eastAsia" w:ascii="Times New Roman" w:eastAsia="仿宋"/>
          <w:sz w:val="30"/>
          <w:szCs w:val="30"/>
          <w:lang w:eastAsia="zh-CN"/>
        </w:rPr>
        <w:t>）施工过程中需保障不因施工而影响周围单位、居民正常用电、网络通信、用水排水排污等相关设施、设备、管道的日常使用。</w:t>
      </w:r>
    </w:p>
    <w:p w14:paraId="69CE822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w:t>
      </w:r>
      <w:r>
        <w:rPr>
          <w:rFonts w:ascii="Times New Roman" w:eastAsia="仿宋"/>
          <w:sz w:val="30"/>
          <w:szCs w:val="30"/>
          <w:lang w:eastAsia="zh-CN"/>
        </w:rPr>
        <w:tab/>
      </w:r>
      <w:r>
        <w:rPr>
          <w:rFonts w:ascii="Times New Roman" w:eastAsia="仿宋"/>
          <w:sz w:val="30"/>
          <w:szCs w:val="30"/>
          <w:lang w:eastAsia="zh-CN"/>
        </w:rPr>
        <w:t>总承包人必须有一套完善的预防及保护上述(3)范围的措施。</w:t>
      </w:r>
    </w:p>
    <w:p w14:paraId="3263C2C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w:t>
      </w:r>
      <w:r>
        <w:rPr>
          <w:rFonts w:ascii="Times New Roman" w:eastAsia="仿宋"/>
          <w:sz w:val="30"/>
          <w:szCs w:val="30"/>
          <w:lang w:eastAsia="zh-CN"/>
        </w:rPr>
        <w:tab/>
      </w:r>
      <w:r>
        <w:rPr>
          <w:rFonts w:ascii="Times New Roman" w:eastAsia="仿宋"/>
          <w:sz w:val="30"/>
          <w:szCs w:val="30"/>
          <w:lang w:eastAsia="zh-CN"/>
        </w:rPr>
        <w:t>总承包人必须于开始施工前主动与周围单位、居民及一切有关各方等召开交底会，阐释解决(3)(a)至(f)各项的措施，听取各方的意见及取得同意，并清楚记录定下(或修订)的措施并予以执行，同时提交纪要给发包人作记录。</w:t>
      </w:r>
    </w:p>
    <w:p w14:paraId="3834E18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(6)</w:t>
      </w:r>
      <w:r>
        <w:rPr>
          <w:rFonts w:ascii="Times New Roman" w:eastAsia="仿宋"/>
          <w:sz w:val="30"/>
          <w:szCs w:val="30"/>
          <w:lang w:eastAsia="zh-CN"/>
        </w:rPr>
        <w:tab/>
      </w:r>
      <w:r>
        <w:rPr>
          <w:rFonts w:ascii="Times New Roman" w:eastAsia="仿宋"/>
          <w:sz w:val="30"/>
          <w:szCs w:val="30"/>
          <w:lang w:eastAsia="zh-CN"/>
        </w:rPr>
        <w:t>总承包人必须于施工期间主动与周围单位、居民及一切有关各方等，按现场情况需要举行会议，以检讨第(5)项的措施是否已落实或需要改进。每次会议，总承包人必须提交纪要给发包人作记录。</w:t>
      </w:r>
    </w:p>
    <w:p w14:paraId="5FBCD49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(7)</w:t>
      </w:r>
      <w:r>
        <w:rPr>
          <w:rFonts w:ascii="Times New Roman" w:eastAsia="仿宋"/>
          <w:sz w:val="30"/>
          <w:szCs w:val="30"/>
          <w:lang w:eastAsia="zh-CN"/>
        </w:rPr>
        <w:tab/>
      </w:r>
      <w:r>
        <w:rPr>
          <w:rFonts w:ascii="Times New Roman" w:eastAsia="仿宋"/>
          <w:sz w:val="30"/>
          <w:szCs w:val="30"/>
          <w:lang w:eastAsia="zh-CN"/>
        </w:rPr>
        <w:t>于此清楚说明，若因总承包人未能妥善解决与周围单位、居民及一切有关各方等的投诉而导致由发包人出面解决，一切因此引起的费用、罚款(若有)等均由总承包人负责，并于工程款中扣除。</w:t>
      </w:r>
      <w:bookmarkEnd w:id="396"/>
      <w:bookmarkEnd w:id="397"/>
      <w:bookmarkEnd w:id="398"/>
    </w:p>
    <w:p w14:paraId="6A34181E">
      <w:pPr>
        <w:pStyle w:val="4"/>
        <w:jc w:val="left"/>
        <w:rPr>
          <w:rFonts w:ascii="Times New Roman"/>
          <w:lang w:eastAsia="zh-CN"/>
        </w:rPr>
      </w:pPr>
      <w:bookmarkStart w:id="401" w:name="_Toc522294097"/>
      <w:bookmarkEnd w:id="401"/>
      <w:bookmarkStart w:id="402" w:name="_Toc522294100"/>
      <w:bookmarkEnd w:id="402"/>
      <w:bookmarkStart w:id="403" w:name="_Toc522294101"/>
      <w:bookmarkEnd w:id="403"/>
      <w:bookmarkStart w:id="404" w:name="_Toc522294099"/>
      <w:bookmarkEnd w:id="404"/>
      <w:bookmarkStart w:id="405" w:name="_Toc522294098"/>
      <w:bookmarkEnd w:id="405"/>
      <w:bookmarkStart w:id="406" w:name="_Toc522294102"/>
      <w:bookmarkEnd w:id="406"/>
      <w:bookmarkStart w:id="407" w:name="_Toc296346554"/>
      <w:bookmarkStart w:id="408" w:name="_Toc296503053"/>
      <w:bookmarkStart w:id="409" w:name="_Toc27536"/>
      <w:bookmarkStart w:id="410" w:name="_Toc11318"/>
      <w:bookmarkStart w:id="411" w:name="_Toc16947"/>
      <w:bookmarkStart w:id="412" w:name="_Toc144742719"/>
      <w:bookmarkStart w:id="413" w:name="_Toc20489"/>
      <w:bookmarkStart w:id="414" w:name="_Toc7640"/>
      <w:bookmarkStart w:id="415" w:name="_Toc41499749"/>
      <w:bookmarkStart w:id="416" w:name="_Toc10128"/>
      <w:bookmarkStart w:id="417" w:name="_Toc524351781"/>
      <w:bookmarkStart w:id="418" w:name="_Toc351203527"/>
      <w:bookmarkStart w:id="419" w:name="_Toc410035655"/>
      <w:bookmarkStart w:id="420" w:name="_Toc24364"/>
      <w:bookmarkStart w:id="421" w:name="_Toc82531187"/>
      <w:bookmarkStart w:id="422" w:name="_Toc80863245"/>
      <w:bookmarkStart w:id="423" w:name="_Toc41574011"/>
      <w:r>
        <w:rPr>
          <w:rFonts w:ascii="Times New Roman"/>
          <w:lang w:eastAsia="zh-CN"/>
        </w:rPr>
        <w:t>4. 监</w:t>
      </w:r>
      <w:bookmarkEnd w:id="407"/>
      <w:bookmarkEnd w:id="408"/>
      <w:r>
        <w:rPr>
          <w:rFonts w:ascii="Times New Roman"/>
          <w:lang w:eastAsia="zh-CN"/>
        </w:rPr>
        <w:t>理人</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Start w:id="424" w:name="_Toc337558753"/>
    </w:p>
    <w:p w14:paraId="6B8E1561">
      <w:pPr>
        <w:pStyle w:val="50"/>
        <w:numPr>
          <w:ilvl w:val="1"/>
          <w:numId w:val="10"/>
        </w:numPr>
        <w:snapToGrid w:val="0"/>
        <w:spacing w:line="560" w:lineRule="exact"/>
        <w:ind w:firstLineChars="0"/>
        <w:rPr>
          <w:rFonts w:ascii="Times New Roman" w:eastAsia="仿宋"/>
          <w:b/>
          <w:sz w:val="30"/>
          <w:szCs w:val="30"/>
        </w:rPr>
      </w:pPr>
      <w:bookmarkStart w:id="425" w:name="_Toc27419"/>
      <w:bookmarkStart w:id="426" w:name="_Toc9484"/>
      <w:bookmarkStart w:id="427" w:name="_Toc16978"/>
      <w:bookmarkStart w:id="428" w:name="_Toc410035656"/>
      <w:bookmarkStart w:id="429" w:name="_Toc16585"/>
      <w:bookmarkStart w:id="430" w:name="_Toc80863246"/>
      <w:bookmarkStart w:id="431" w:name="_Toc21984"/>
      <w:bookmarkStart w:id="432" w:name="_Toc3018"/>
      <w:bookmarkStart w:id="433" w:name="_Toc524351782"/>
      <w:r>
        <w:rPr>
          <w:rFonts w:ascii="Times New Roman" w:eastAsia="仿宋"/>
          <w:b/>
          <w:sz w:val="30"/>
          <w:szCs w:val="30"/>
        </w:rPr>
        <w:t>监理人的一般规定</w:t>
      </w:r>
      <w:bookmarkEnd w:id="424"/>
      <w:bookmarkEnd w:id="425"/>
      <w:bookmarkEnd w:id="426"/>
      <w:bookmarkEnd w:id="427"/>
      <w:bookmarkEnd w:id="428"/>
      <w:bookmarkEnd w:id="429"/>
      <w:bookmarkEnd w:id="430"/>
      <w:bookmarkEnd w:id="431"/>
      <w:bookmarkEnd w:id="432"/>
      <w:bookmarkEnd w:id="433"/>
    </w:p>
    <w:p w14:paraId="44D72C5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工程实行监理的，监理人的名称、工程总监、监理范围、内容在专用条款中写明，总承包人可至发包人处查阅监理合同以了解监理人的监理内容及监理权限等事项。监理人应当根据发包人授权及法律规定，代表发包人对工程施工相关事项进行检查、查验、审核、验收，并签发相关指示，但监理人无权修改合同，且无权减轻或免除合同约定的总承包人的任何责任与义务。</w:t>
      </w:r>
    </w:p>
    <w:p w14:paraId="0DCBDF7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监理人在施工现场的办公场所由发包人或总承包人提供，具体详见专用合同条款。</w:t>
      </w:r>
    </w:p>
    <w:p w14:paraId="6149A3DD">
      <w:pPr>
        <w:numPr>
          <w:ilvl w:val="1"/>
          <w:numId w:val="10"/>
        </w:numPr>
        <w:snapToGrid w:val="0"/>
        <w:spacing w:line="560" w:lineRule="exact"/>
        <w:ind w:left="0" w:firstLine="600" w:firstLineChars="200"/>
        <w:rPr>
          <w:rFonts w:ascii="Times New Roman" w:eastAsia="仿宋"/>
          <w:b/>
          <w:sz w:val="30"/>
          <w:szCs w:val="30"/>
        </w:rPr>
      </w:pPr>
      <w:bookmarkStart w:id="434" w:name="_Toc15009"/>
      <w:bookmarkStart w:id="435" w:name="_Toc94"/>
      <w:bookmarkStart w:id="436" w:name="_Toc410035657"/>
      <w:bookmarkStart w:id="437" w:name="_Toc351203529"/>
      <w:bookmarkStart w:id="438" w:name="_Toc80863247"/>
      <w:bookmarkStart w:id="439" w:name="_Toc524351783"/>
      <w:bookmarkStart w:id="440" w:name="_Toc1170"/>
      <w:bookmarkStart w:id="441" w:name="_Toc19132"/>
      <w:bookmarkStart w:id="442" w:name="_Toc21600"/>
      <w:bookmarkStart w:id="443" w:name="_Toc337558755"/>
      <w:bookmarkStart w:id="444" w:name="_Toc24194"/>
      <w:r>
        <w:rPr>
          <w:rFonts w:ascii="Times New Roman" w:eastAsia="仿宋"/>
          <w:b/>
          <w:sz w:val="30"/>
          <w:szCs w:val="30"/>
        </w:rPr>
        <w:t>监理人员</w:t>
      </w:r>
      <w:bookmarkEnd w:id="434"/>
      <w:bookmarkEnd w:id="435"/>
      <w:bookmarkEnd w:id="436"/>
      <w:bookmarkEnd w:id="437"/>
      <w:bookmarkEnd w:id="438"/>
      <w:bookmarkEnd w:id="439"/>
      <w:bookmarkEnd w:id="440"/>
      <w:bookmarkEnd w:id="441"/>
      <w:bookmarkEnd w:id="442"/>
      <w:bookmarkEnd w:id="443"/>
      <w:bookmarkEnd w:id="444"/>
    </w:p>
    <w:p w14:paraId="61202CE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授予监理人对工程实施监理的权利由监理人派驻施工现场的监理人员行使，监理人员包括总监理工程师及监理工程师。监理人应将授权的总监理工程师和监理工程师的姓名以书面形式提前通知总承包人及发包人。更换总监理工程师的，监理人应提前7天书面通知总承包人及发包人，并在通知中写明替换者的姓名、职务、职权、权限和任命时间；更换其他监理人员，监理人应提前48小时书面通知总承包人及发包人。</w:t>
      </w:r>
    </w:p>
    <w:p w14:paraId="2A66742E">
      <w:pPr>
        <w:numPr>
          <w:ilvl w:val="1"/>
          <w:numId w:val="10"/>
        </w:numPr>
        <w:snapToGrid w:val="0"/>
        <w:spacing w:line="560" w:lineRule="exact"/>
        <w:ind w:left="0" w:firstLine="600" w:firstLineChars="200"/>
        <w:rPr>
          <w:rFonts w:ascii="Times New Roman" w:eastAsia="仿宋"/>
          <w:b/>
          <w:sz w:val="30"/>
          <w:szCs w:val="30"/>
        </w:rPr>
      </w:pPr>
      <w:bookmarkStart w:id="445" w:name="_Toc337558756"/>
      <w:bookmarkStart w:id="446" w:name="_Toc31074"/>
      <w:bookmarkStart w:id="447" w:name="_Toc12221"/>
      <w:bookmarkStart w:id="448" w:name="_Toc20131"/>
      <w:bookmarkStart w:id="449" w:name="_Toc80863248"/>
      <w:bookmarkStart w:id="450" w:name="_Toc524351784"/>
      <w:bookmarkStart w:id="451" w:name="_Toc410035658"/>
      <w:bookmarkStart w:id="452" w:name="_Toc351203530"/>
      <w:bookmarkStart w:id="453" w:name="_Toc22915"/>
      <w:bookmarkStart w:id="454" w:name="_Toc30858"/>
      <w:bookmarkStart w:id="455" w:name="_Toc19324"/>
      <w:r>
        <w:rPr>
          <w:rFonts w:ascii="Times New Roman" w:eastAsia="仿宋"/>
          <w:b/>
          <w:sz w:val="30"/>
          <w:szCs w:val="30"/>
        </w:rPr>
        <w:t>监理人的指</w:t>
      </w:r>
      <w:bookmarkEnd w:id="445"/>
      <w:r>
        <w:rPr>
          <w:rFonts w:ascii="Times New Roman" w:eastAsia="仿宋"/>
          <w:b/>
          <w:sz w:val="30"/>
          <w:szCs w:val="30"/>
        </w:rPr>
        <w:t>示</w:t>
      </w:r>
      <w:bookmarkEnd w:id="446"/>
      <w:bookmarkEnd w:id="447"/>
      <w:bookmarkEnd w:id="448"/>
      <w:bookmarkEnd w:id="449"/>
      <w:bookmarkEnd w:id="450"/>
      <w:bookmarkEnd w:id="451"/>
      <w:bookmarkEnd w:id="452"/>
      <w:bookmarkEnd w:id="453"/>
      <w:bookmarkEnd w:id="454"/>
      <w:bookmarkEnd w:id="455"/>
    </w:p>
    <w:p w14:paraId="3783C44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监理人应按照发包人的授权发出监理指示。监理人的指示应采用书面形式，并经其授权的监理人员签字送交总承包人实施，并抄送发包人。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550DC12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总监理工程师不应将约定应由总监理工程师作出确定的权力授权或委托给其他监理人员。</w:t>
      </w:r>
    </w:p>
    <w:p w14:paraId="0BB76AC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总承包人对监理人发出的指示有疑问的，应向监理人提出书面异议，监理人应在48小时内对该指示予以确认、更改或撤销，监理人逾期未回复的，总承包人有权拒绝执行上述指示。</w:t>
      </w:r>
    </w:p>
    <w:p w14:paraId="16873E7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监理人对总承包人的任何工作、工程、材料和工程设备未在约定的时间内提出意见的，不免除或减轻总承包人对该工作、工程、材料、工程设备等应承担的责任和义务。</w:t>
      </w:r>
    </w:p>
    <w:p w14:paraId="5D731DBC">
      <w:pPr>
        <w:pStyle w:val="4"/>
        <w:jc w:val="left"/>
        <w:rPr>
          <w:rFonts w:ascii="Times New Roman"/>
          <w:lang w:eastAsia="zh-CN"/>
        </w:rPr>
      </w:pPr>
      <w:bookmarkStart w:id="456" w:name="_Toc351203532"/>
      <w:bookmarkStart w:id="457" w:name="_Toc31489"/>
      <w:bookmarkStart w:id="458" w:name="_Toc410035659"/>
      <w:bookmarkStart w:id="459" w:name="_Toc24298"/>
      <w:bookmarkStart w:id="460" w:name="_Toc18591"/>
      <w:bookmarkStart w:id="461" w:name="_Toc144742720"/>
      <w:bookmarkStart w:id="462" w:name="_Toc82531188"/>
      <w:bookmarkStart w:id="463" w:name="_Toc524351785"/>
      <w:bookmarkStart w:id="464" w:name="_Toc41574012"/>
      <w:bookmarkStart w:id="465" w:name="_Toc7447"/>
      <w:bookmarkStart w:id="466" w:name="_Toc12249"/>
      <w:bookmarkStart w:id="467" w:name="_Toc29226"/>
      <w:bookmarkStart w:id="468" w:name="_Toc8510"/>
      <w:bookmarkStart w:id="469" w:name="_Toc80863249"/>
      <w:bookmarkStart w:id="470" w:name="_Toc41499750"/>
      <w:r>
        <w:rPr>
          <w:rFonts w:ascii="Times New Roman"/>
          <w:lang w:eastAsia="zh-CN"/>
        </w:rPr>
        <w:t>5. 工程质量</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Start w:id="471" w:name="_Toc337558758"/>
    </w:p>
    <w:p w14:paraId="2448A757">
      <w:pPr>
        <w:pStyle w:val="50"/>
        <w:numPr>
          <w:ilvl w:val="1"/>
          <w:numId w:val="11"/>
        </w:numPr>
        <w:tabs>
          <w:tab w:val="left" w:pos="0"/>
        </w:tabs>
        <w:snapToGrid w:val="0"/>
        <w:spacing w:line="560" w:lineRule="exact"/>
        <w:ind w:firstLineChars="0"/>
        <w:rPr>
          <w:rFonts w:ascii="Times New Roman" w:eastAsia="仿宋"/>
          <w:b/>
          <w:sz w:val="30"/>
          <w:szCs w:val="30"/>
        </w:rPr>
      </w:pPr>
      <w:bookmarkStart w:id="472" w:name="_Toc10996"/>
      <w:bookmarkStart w:id="473" w:name="_Toc410035660"/>
      <w:bookmarkStart w:id="474" w:name="_Toc29778"/>
      <w:bookmarkStart w:id="475" w:name="_Toc31401"/>
      <w:bookmarkStart w:id="476" w:name="_Toc1071"/>
      <w:bookmarkStart w:id="477" w:name="_Toc8973"/>
      <w:bookmarkStart w:id="478" w:name="_Toc80863250"/>
      <w:bookmarkStart w:id="479" w:name="_Toc7006"/>
      <w:bookmarkStart w:id="480" w:name="_Toc524351786"/>
      <w:r>
        <w:rPr>
          <w:rFonts w:ascii="Times New Roman" w:eastAsia="仿宋"/>
          <w:b/>
          <w:sz w:val="30"/>
          <w:szCs w:val="30"/>
        </w:rPr>
        <w:t>质量要求</w:t>
      </w:r>
      <w:bookmarkEnd w:id="472"/>
      <w:bookmarkEnd w:id="473"/>
      <w:bookmarkEnd w:id="474"/>
      <w:bookmarkEnd w:id="475"/>
      <w:bookmarkEnd w:id="476"/>
      <w:bookmarkEnd w:id="477"/>
      <w:bookmarkEnd w:id="478"/>
      <w:bookmarkEnd w:id="479"/>
      <w:bookmarkEnd w:id="480"/>
    </w:p>
    <w:p w14:paraId="1248799E">
      <w:pPr>
        <w:numPr>
          <w:ilvl w:val="2"/>
          <w:numId w:val="11"/>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除技术标准和要求另有约定外，工程质量标准必须符合现行中华人民共和国现行的国家标准、行业标准、地方标准，以及融通集团公司下发最新版的第三方评估体系所述要求。且除另有说明外，应为基准日期的最新版本。此类文件规定对工程的要求，如国家法律、规范或标准与合同文件内容不一致时，则应为较严格或标准较高者为准。</w:t>
      </w:r>
      <w:bookmarkEnd w:id="471"/>
    </w:p>
    <w:p w14:paraId="016E610B">
      <w:pPr>
        <w:numPr>
          <w:ilvl w:val="2"/>
          <w:numId w:val="11"/>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因总承包人原因造成工程质量未达到合同约定标准的，发包人有权要求总承包人返工直至工程质量达到合同约定的标准为止，并由总承包人承担由此增加的费用和（或）延误的工期。</w:t>
      </w:r>
    </w:p>
    <w:p w14:paraId="028D90C8">
      <w:pPr>
        <w:numPr>
          <w:ilvl w:val="1"/>
          <w:numId w:val="11"/>
        </w:numPr>
        <w:tabs>
          <w:tab w:val="left" w:pos="0"/>
        </w:tabs>
        <w:snapToGrid w:val="0"/>
        <w:spacing w:line="560" w:lineRule="exact"/>
        <w:ind w:left="0" w:firstLine="600" w:firstLineChars="200"/>
        <w:rPr>
          <w:rFonts w:ascii="Times New Roman" w:eastAsia="仿宋"/>
          <w:b/>
          <w:sz w:val="30"/>
          <w:szCs w:val="30"/>
        </w:rPr>
      </w:pPr>
      <w:bookmarkStart w:id="481" w:name="_Toc524351787"/>
      <w:bookmarkStart w:id="482" w:name="_Toc3375"/>
      <w:bookmarkStart w:id="483" w:name="_Toc28157"/>
      <w:bookmarkStart w:id="484" w:name="_Toc7744"/>
      <w:bookmarkStart w:id="485" w:name="_Toc410035661"/>
      <w:bookmarkStart w:id="486" w:name="_Toc351203534"/>
      <w:bookmarkStart w:id="487" w:name="_Toc23790"/>
      <w:bookmarkStart w:id="488" w:name="_Toc10092"/>
      <w:bookmarkStart w:id="489" w:name="_Toc80863251"/>
      <w:bookmarkStart w:id="490" w:name="_Toc17643"/>
      <w:bookmarkStart w:id="491" w:name="_Toc337558760"/>
      <w:r>
        <w:rPr>
          <w:rFonts w:ascii="Times New Roman" w:eastAsia="仿宋"/>
          <w:b/>
          <w:sz w:val="30"/>
          <w:szCs w:val="30"/>
        </w:rPr>
        <w:t>质量保证措施</w:t>
      </w:r>
      <w:bookmarkEnd w:id="481"/>
      <w:bookmarkEnd w:id="482"/>
      <w:bookmarkEnd w:id="483"/>
      <w:bookmarkEnd w:id="484"/>
      <w:bookmarkEnd w:id="485"/>
      <w:bookmarkEnd w:id="486"/>
      <w:bookmarkEnd w:id="487"/>
      <w:bookmarkEnd w:id="488"/>
      <w:bookmarkEnd w:id="489"/>
      <w:bookmarkEnd w:id="490"/>
    </w:p>
    <w:p w14:paraId="0BF7FB76">
      <w:pPr>
        <w:numPr>
          <w:ilvl w:val="2"/>
          <w:numId w:val="11"/>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发包人的质量管理</w:t>
      </w:r>
      <w:bookmarkEnd w:id="491"/>
    </w:p>
    <w:p w14:paraId="4376A2B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发包人应按照法律规定及合同约定完成与工程质量有关的各项工作。</w:t>
      </w:r>
    </w:p>
    <w:p w14:paraId="394C09B5">
      <w:pPr>
        <w:numPr>
          <w:ilvl w:val="2"/>
          <w:numId w:val="11"/>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总承包人的质量管理</w:t>
      </w:r>
    </w:p>
    <w:p w14:paraId="351D485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总承包人按照第7.1条〔施工组织设计〕约定向发包人和监理人提交工程质量保证体系及措施文件，建立完善的质量检查制度，并提交相应的工程质量文件。</w:t>
      </w:r>
    </w:p>
    <w:p w14:paraId="3F6CCE1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总承包人应对施工人员进行质量教育和技术培训，定期考核施工人员的劳动技能，严格执行施工规范和操作规程。</w:t>
      </w:r>
    </w:p>
    <w:p w14:paraId="4C2AB00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照法律规定和发包人的要求，对材料、工程设备以及工程的所有部位及其施工工艺进行全过程的质量检查和检验，并作详细记录，编制工程质量报表，报送监理人审查。此外，总承包人还应按照法律规定和发包人的要求，进行施工现场取样试验、工程复核测量和设备性能检测，提供试验样品、提交试验报告和测量成果以及其他工作。</w:t>
      </w:r>
    </w:p>
    <w:p w14:paraId="1CAEEEEE">
      <w:pPr>
        <w:numPr>
          <w:ilvl w:val="2"/>
          <w:numId w:val="11"/>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发包人和监理人的质量检查和检验</w:t>
      </w:r>
    </w:p>
    <w:p w14:paraId="7E10EEC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监理人按照法律规定和发包人授权对工程的所有部位及其施工工艺、材料和工程设备进行检查和检验。总承包人应为发包人/监理人的检查和检验提供方便，包括发包人/监理人到施工现场，或制造、加工地点，或合同约定的其他地方进行察看和查阅施工原始记录。发包人/监理人为此进行的检查和检验，不免除或减轻总承包人按照合同约定应当承担的责任。</w:t>
      </w:r>
    </w:p>
    <w:p w14:paraId="6AA4818F">
      <w:pPr>
        <w:numPr>
          <w:ilvl w:val="1"/>
          <w:numId w:val="11"/>
        </w:numPr>
        <w:tabs>
          <w:tab w:val="left" w:pos="0"/>
        </w:tabs>
        <w:snapToGrid w:val="0"/>
        <w:spacing w:line="560" w:lineRule="exact"/>
        <w:ind w:left="0" w:firstLine="600" w:firstLineChars="200"/>
        <w:rPr>
          <w:rFonts w:ascii="Times New Roman" w:eastAsia="仿宋"/>
          <w:b/>
          <w:sz w:val="30"/>
          <w:szCs w:val="30"/>
        </w:rPr>
      </w:pPr>
      <w:bookmarkStart w:id="492" w:name="_Toc80863252"/>
      <w:bookmarkStart w:id="493" w:name="_Toc351203535"/>
      <w:bookmarkStart w:id="494" w:name="_Toc11488"/>
      <w:bookmarkStart w:id="495" w:name="_Toc2450"/>
      <w:bookmarkStart w:id="496" w:name="_Toc1704"/>
      <w:bookmarkStart w:id="497" w:name="_Toc25764"/>
      <w:bookmarkStart w:id="498" w:name="_Toc524351788"/>
      <w:bookmarkStart w:id="499" w:name="_Toc27759"/>
      <w:bookmarkStart w:id="500" w:name="_Toc6560"/>
      <w:bookmarkStart w:id="501" w:name="_Toc410035662"/>
      <w:bookmarkStart w:id="502" w:name="_Toc337558761"/>
      <w:r>
        <w:rPr>
          <w:rFonts w:ascii="Times New Roman" w:eastAsia="仿宋"/>
          <w:b/>
          <w:sz w:val="30"/>
          <w:szCs w:val="30"/>
        </w:rPr>
        <w:t>隐蔽工程检查</w:t>
      </w:r>
      <w:bookmarkEnd w:id="492"/>
      <w:bookmarkEnd w:id="493"/>
      <w:bookmarkEnd w:id="494"/>
      <w:bookmarkEnd w:id="495"/>
      <w:bookmarkEnd w:id="496"/>
      <w:bookmarkEnd w:id="497"/>
      <w:bookmarkEnd w:id="498"/>
      <w:bookmarkEnd w:id="499"/>
      <w:bookmarkEnd w:id="500"/>
      <w:bookmarkEnd w:id="501"/>
    </w:p>
    <w:p w14:paraId="440B392B">
      <w:pPr>
        <w:numPr>
          <w:ilvl w:val="2"/>
          <w:numId w:val="11"/>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总承包人自检</w:t>
      </w:r>
      <w:bookmarkEnd w:id="502"/>
    </w:p>
    <w:p w14:paraId="7D9D07E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总承包人应当对工程隐蔽部位进行自检，并经自检确认是否具备覆盖条件。</w:t>
      </w:r>
    </w:p>
    <w:p w14:paraId="0C4413BD">
      <w:pPr>
        <w:numPr>
          <w:ilvl w:val="2"/>
          <w:numId w:val="11"/>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检查程序</w:t>
      </w:r>
    </w:p>
    <w:p w14:paraId="2AB5FAC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工程隐蔽部位经总承包人自检确认具备覆盖条件的，总承包人应在共同检查前48小时书面通知发包人和监理人检查，通知中应载明隐蔽检查的内容、时间和地点，并应附有自检记录和必要的检查资料。</w:t>
      </w:r>
    </w:p>
    <w:p w14:paraId="226251DA">
      <w:pPr>
        <w:snapToGrid w:val="0"/>
        <w:spacing w:line="360" w:lineRule="auto"/>
        <w:ind w:firstLine="600" w:firstLineChars="200"/>
        <w:rPr>
          <w:rFonts w:ascii="Times New Roman" w:eastAsia="PMingLiU"/>
          <w:sz w:val="30"/>
          <w:szCs w:val="30"/>
          <w:lang w:eastAsia="zh-CN"/>
        </w:rPr>
      </w:pPr>
      <w:r>
        <w:rPr>
          <w:rFonts w:ascii="Times New Roman" w:eastAsia="仿宋"/>
          <w:sz w:val="30"/>
          <w:szCs w:val="30"/>
          <w:lang w:eastAsia="zh-CN"/>
        </w:rPr>
        <w:t>发包人和监理人应按时到场并对隐蔽工程及其施工工艺、材料和工程设备进行检查。经发包人和监理人检查确认质量符合隐蔽要求，并在验收记录上签字后，总承包人才能进行覆盖。经发包人和监理人检查质量不合格的，总承包人应在发包人和监理人指示的时间内完成修复，并由发包人和监理人重新检查，由此增加的费用和（或）延误的工期由总承包人承担，若工程关键路径延误，竣工日期相应顺延。</w:t>
      </w:r>
    </w:p>
    <w:p w14:paraId="30EADC75">
      <w:pPr>
        <w:snapToGrid w:val="0"/>
        <w:spacing w:line="360" w:lineRule="auto"/>
        <w:ind w:firstLine="600" w:firstLineChars="200"/>
        <w:jc w:val="both"/>
        <w:rPr>
          <w:rFonts w:ascii="Times New Roman" w:eastAsia="PMingLiU"/>
          <w:sz w:val="30"/>
          <w:szCs w:val="30"/>
          <w:lang w:eastAsia="zh-CN"/>
        </w:rPr>
      </w:pPr>
      <w:r>
        <w:rPr>
          <w:rFonts w:ascii="Times New Roman" w:eastAsia="仿宋"/>
          <w:sz w:val="30"/>
          <w:szCs w:val="30"/>
          <w:lang w:eastAsia="zh-CN"/>
        </w:rPr>
        <w:t>发包人和（或）监理人在任何时间内，均有权要求对已经验收的隐蔽工程重新检验，承包人应按要求拆除覆盖、剥离或开孔，并在检验后重新覆盖或修复。隐蔽工程经重新检验不合格时，由此发生的费用由承包人承担，竣工日期不予延长；经检验合格时，承包人因此增加的费用由发包人承担，若工程关键路径延误，竣工日期相应顺延。</w:t>
      </w:r>
    </w:p>
    <w:p w14:paraId="3D183A30">
      <w:pPr>
        <w:numPr>
          <w:ilvl w:val="2"/>
          <w:numId w:val="11"/>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重新检查</w:t>
      </w:r>
    </w:p>
    <w:p w14:paraId="657D1A6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覆盖工程隐蔽部位后，发包人或监理人对质量有疑问的，可要求总承包人对已覆盖的部位进行钻孔探测或揭开重新检查，总承包人应遵照执行，并在检查后重新覆盖恢复原状。经检查证明工程质量符合合同要求的，由发包人承担由此增加的费用和（或）延误的关键线路工期；经检查证明工程质量不符合合同要求的，由此增加的费用和（或）延误的工期由总承包人承担。</w:t>
      </w:r>
    </w:p>
    <w:p w14:paraId="0B6BC362">
      <w:pPr>
        <w:numPr>
          <w:ilvl w:val="2"/>
          <w:numId w:val="11"/>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总承包人私自覆盖</w:t>
      </w:r>
    </w:p>
    <w:p w14:paraId="40333CC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未通知监理人和发包人到场检查，私自将工程隐蔽部位覆盖的，监理人或发包人有权指示总承包人钻孔探测或揭开检查，无论工程隐蔽部位质量是否合格，由此增加的费用和（或）延误的工期均由总承包人承担。</w:t>
      </w:r>
    </w:p>
    <w:p w14:paraId="08AF5E49">
      <w:pPr>
        <w:numPr>
          <w:ilvl w:val="1"/>
          <w:numId w:val="11"/>
        </w:numPr>
        <w:tabs>
          <w:tab w:val="left" w:pos="0"/>
        </w:tabs>
        <w:snapToGrid w:val="0"/>
        <w:spacing w:line="560" w:lineRule="exact"/>
        <w:ind w:left="0" w:firstLine="600" w:firstLineChars="200"/>
        <w:rPr>
          <w:rFonts w:ascii="Times New Roman" w:eastAsia="仿宋"/>
          <w:b/>
          <w:sz w:val="30"/>
          <w:szCs w:val="30"/>
        </w:rPr>
      </w:pPr>
      <w:bookmarkStart w:id="503" w:name="_Toc20744"/>
      <w:bookmarkStart w:id="504" w:name="_Toc21246"/>
      <w:bookmarkStart w:id="505" w:name="_Toc5921"/>
      <w:bookmarkStart w:id="506" w:name="_Toc6619"/>
      <w:bookmarkStart w:id="507" w:name="_Toc31732"/>
      <w:bookmarkStart w:id="508" w:name="_Toc524351789"/>
      <w:bookmarkStart w:id="509" w:name="_Toc17320"/>
      <w:bookmarkStart w:id="510" w:name="_Toc80863253"/>
      <w:bookmarkStart w:id="511" w:name="_Toc351203536"/>
      <w:bookmarkStart w:id="512" w:name="_Toc410035663"/>
      <w:bookmarkStart w:id="513" w:name="_Toc337558762"/>
      <w:r>
        <w:rPr>
          <w:rFonts w:ascii="Times New Roman" w:eastAsia="仿宋"/>
          <w:b/>
          <w:sz w:val="30"/>
          <w:szCs w:val="30"/>
        </w:rPr>
        <w:t>不合格工程的处理</w:t>
      </w:r>
      <w:bookmarkEnd w:id="503"/>
      <w:bookmarkEnd w:id="504"/>
      <w:bookmarkEnd w:id="505"/>
      <w:bookmarkEnd w:id="506"/>
      <w:bookmarkEnd w:id="507"/>
      <w:bookmarkEnd w:id="508"/>
      <w:bookmarkEnd w:id="509"/>
      <w:bookmarkEnd w:id="510"/>
      <w:bookmarkEnd w:id="511"/>
      <w:bookmarkEnd w:id="512"/>
    </w:p>
    <w:p w14:paraId="4AC0CEA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总承包人原因造成工程不合格的，发包人有权随时要求总承包人采取补救措施，直至达到合同要求的质量标准，由此增加的费用和（或）延误的工期由总承包人承担。无法补救的，按照第13.4条〔拒绝接收全部或部分工程〕约定执行。</w:t>
      </w:r>
      <w:bookmarkEnd w:id="513"/>
    </w:p>
    <w:p w14:paraId="61C4454A">
      <w:pPr>
        <w:numPr>
          <w:ilvl w:val="1"/>
          <w:numId w:val="11"/>
        </w:numPr>
        <w:tabs>
          <w:tab w:val="left" w:pos="0"/>
        </w:tabs>
        <w:snapToGrid w:val="0"/>
        <w:spacing w:line="560" w:lineRule="exact"/>
        <w:ind w:left="0" w:firstLine="600" w:firstLineChars="200"/>
        <w:rPr>
          <w:rFonts w:ascii="Times New Roman" w:eastAsia="仿宋"/>
          <w:b/>
          <w:sz w:val="30"/>
          <w:szCs w:val="30"/>
        </w:rPr>
      </w:pPr>
      <w:bookmarkStart w:id="514" w:name="_Toc32308"/>
      <w:bookmarkStart w:id="515" w:name="_Toc15552"/>
      <w:bookmarkStart w:id="516" w:name="_Toc351203537"/>
      <w:bookmarkStart w:id="517" w:name="_Toc410035665"/>
      <w:bookmarkStart w:id="518" w:name="_Toc32338"/>
      <w:bookmarkStart w:id="519" w:name="_Toc12508"/>
      <w:bookmarkStart w:id="520" w:name="_Toc80863254"/>
      <w:bookmarkStart w:id="521" w:name="_Toc12983"/>
      <w:bookmarkStart w:id="522" w:name="_Toc524351790"/>
      <w:bookmarkStart w:id="523" w:name="_Toc13374"/>
      <w:r>
        <w:rPr>
          <w:rFonts w:ascii="Times New Roman" w:eastAsia="仿宋"/>
          <w:b/>
          <w:sz w:val="30"/>
          <w:szCs w:val="30"/>
        </w:rPr>
        <w:t>质量争议检测</w:t>
      </w:r>
      <w:bookmarkEnd w:id="514"/>
      <w:bookmarkEnd w:id="515"/>
      <w:bookmarkEnd w:id="516"/>
      <w:bookmarkEnd w:id="517"/>
      <w:bookmarkEnd w:id="518"/>
      <w:bookmarkEnd w:id="519"/>
      <w:bookmarkEnd w:id="520"/>
      <w:bookmarkEnd w:id="521"/>
      <w:bookmarkEnd w:id="522"/>
      <w:bookmarkEnd w:id="523"/>
    </w:p>
    <w:p w14:paraId="41A30E4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对工程质量有争议的，由双方协商确定的工程质量检测机构鉴定，由此产生的费用及因此造成的损失，由责任方承担。根据检测机构的鉴定结果，责任方为总承包人时，因此造成的费用增加或竣工日期延误，由总承包人负责；责任方为发包人时，因此造成的费用增加由发包人承担，工程关键路径因争议受到延误的，竣工日期相应顺延。</w:t>
      </w:r>
    </w:p>
    <w:p w14:paraId="2768D22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合同当事人均有责任的，由双方根据其责任分别承担。双方对分担的费用、竣工日期延长不能达成一致时，按第20条[争议解决]的规定解决。</w:t>
      </w:r>
    </w:p>
    <w:p w14:paraId="7B52F9C1">
      <w:pPr>
        <w:pStyle w:val="4"/>
        <w:jc w:val="left"/>
        <w:rPr>
          <w:rFonts w:ascii="Times New Roman"/>
          <w:lang w:eastAsia="zh-CN"/>
        </w:rPr>
      </w:pPr>
      <w:bookmarkStart w:id="524" w:name="_Toc21396"/>
      <w:bookmarkStart w:id="525" w:name="_Toc26188"/>
      <w:bookmarkStart w:id="526" w:name="_Toc144742721"/>
      <w:bookmarkStart w:id="527" w:name="_Toc524351791"/>
      <w:bookmarkStart w:id="528" w:name="_Toc410035666"/>
      <w:bookmarkStart w:id="529" w:name="_Toc20823"/>
      <w:bookmarkStart w:id="530" w:name="_Toc41499751"/>
      <w:bookmarkStart w:id="531" w:name="_Toc8622"/>
      <w:bookmarkStart w:id="532" w:name="_Toc82531189"/>
      <w:bookmarkStart w:id="533" w:name="_Toc4374"/>
      <w:bookmarkStart w:id="534" w:name="_Toc41574013"/>
      <w:bookmarkStart w:id="535" w:name="_Toc351203538"/>
      <w:bookmarkStart w:id="536" w:name="_Toc12021"/>
      <w:bookmarkStart w:id="537" w:name="_Toc80863255"/>
      <w:bookmarkStart w:id="538" w:name="_Toc8577"/>
      <w:r>
        <w:rPr>
          <w:rFonts w:ascii="Times New Roman"/>
          <w:lang w:eastAsia="zh-CN"/>
        </w:rPr>
        <w:t>6. 安全文明施工与环境保护</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Start w:id="539" w:name="_Toc337558763"/>
    </w:p>
    <w:p w14:paraId="39446E47">
      <w:pPr>
        <w:pStyle w:val="50"/>
        <w:numPr>
          <w:ilvl w:val="1"/>
          <w:numId w:val="12"/>
        </w:numPr>
        <w:snapToGrid w:val="0"/>
        <w:spacing w:line="560" w:lineRule="exact"/>
        <w:ind w:firstLineChars="0"/>
        <w:rPr>
          <w:rFonts w:ascii="Times New Roman" w:eastAsia="仿宋"/>
          <w:b/>
          <w:sz w:val="30"/>
          <w:szCs w:val="30"/>
        </w:rPr>
      </w:pPr>
      <w:bookmarkStart w:id="540" w:name="_Toc80863256"/>
      <w:bookmarkStart w:id="541" w:name="_Toc2422"/>
      <w:bookmarkStart w:id="542" w:name="_Toc24241"/>
      <w:bookmarkStart w:id="543" w:name="_Toc31514"/>
      <w:bookmarkStart w:id="544" w:name="_Toc410035667"/>
      <w:bookmarkStart w:id="545" w:name="_Toc524351792"/>
      <w:bookmarkStart w:id="546" w:name="_Toc20719"/>
      <w:bookmarkStart w:id="547" w:name="_Toc22535"/>
      <w:bookmarkStart w:id="548" w:name="_Toc3228"/>
      <w:r>
        <w:rPr>
          <w:rFonts w:ascii="Times New Roman" w:eastAsia="仿宋"/>
          <w:b/>
          <w:sz w:val="30"/>
          <w:szCs w:val="30"/>
        </w:rPr>
        <w:t>安全文明施工</w:t>
      </w:r>
      <w:bookmarkEnd w:id="540"/>
      <w:bookmarkEnd w:id="541"/>
      <w:bookmarkEnd w:id="542"/>
      <w:bookmarkEnd w:id="543"/>
      <w:bookmarkEnd w:id="544"/>
      <w:bookmarkEnd w:id="545"/>
      <w:bookmarkEnd w:id="546"/>
      <w:bookmarkEnd w:id="547"/>
      <w:bookmarkEnd w:id="548"/>
    </w:p>
    <w:p w14:paraId="11477BBA">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安全生产要求</w:t>
      </w:r>
      <w:bookmarkEnd w:id="539"/>
    </w:p>
    <w:p w14:paraId="7E62518D">
      <w:pPr>
        <w:snapToGrid w:val="0"/>
        <w:spacing w:line="560" w:lineRule="exact"/>
        <w:ind w:firstLine="600" w:firstLineChars="200"/>
        <w:rPr>
          <w:rFonts w:ascii="Times New Roman" w:eastAsia="仿宋"/>
          <w:sz w:val="30"/>
          <w:szCs w:val="30"/>
          <w:lang w:eastAsia="zh-CN"/>
        </w:rPr>
      </w:pPr>
      <w:bookmarkStart w:id="549" w:name="_Toc351203539"/>
      <w:r>
        <w:rPr>
          <w:rFonts w:ascii="Times New Roman" w:eastAsia="仿宋"/>
          <w:sz w:val="30"/>
          <w:szCs w:val="30"/>
          <w:lang w:eastAsia="zh-CN"/>
        </w:rPr>
        <w:t>合同履行期间，合同当事人均应当遵守国家和工程所在地有关安全生产的要求，并满足技术标准和要求相关规定</w:t>
      </w:r>
      <w:r>
        <w:rPr>
          <w:rFonts w:hint="eastAsia" w:ascii="Times New Roman" w:eastAsia="仿宋"/>
          <w:sz w:val="30"/>
          <w:szCs w:val="30"/>
          <w:lang w:eastAsia="zh-CN"/>
        </w:rPr>
        <w:t>，</w:t>
      </w:r>
      <w:r>
        <w:rPr>
          <w:rFonts w:ascii="Times New Roman" w:eastAsia="仿宋"/>
          <w:sz w:val="30"/>
          <w:szCs w:val="30"/>
          <w:lang w:eastAsia="zh-CN"/>
        </w:rPr>
        <w:t>以及满足融通集团下发的最新版第三方评估体系要求。总承包人有权拒绝发包人及监理人强令总承包人违章作业、冒险施工的任何指示。</w:t>
      </w:r>
      <w:bookmarkEnd w:id="549"/>
    </w:p>
    <w:p w14:paraId="1CDF9D4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在施工过程中，如遇到突发的地质变动、事先未知的地下施工障碍等影响施工安全的紧急情况，总承包人应及时报告监理人和发包人，发包人应当及时下令停工并报政府有关行政管理部门采取应急措施。</w:t>
      </w:r>
    </w:p>
    <w:p w14:paraId="49A0E3B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因安全生产需要暂停施工的，按照第7.7条〔暂停施工〕的约定执行。</w:t>
      </w:r>
    </w:p>
    <w:p w14:paraId="3C4D9FAE">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安全生产保证措施</w:t>
      </w:r>
    </w:p>
    <w:p w14:paraId="08F39DC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当按照技术标准和要求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04F853F4">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特别安全生产事项</w:t>
      </w:r>
    </w:p>
    <w:p w14:paraId="45B972C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照法律规定进行施工，开工前做好安全技术交底工作，施工过程中做好各项安全防护措施。总承包人为实施合同而雇用的特殊工种的人员应受过专门的培训并已取得政府有关管理机构颁发的上岗证书。</w:t>
      </w:r>
    </w:p>
    <w:p w14:paraId="76746260">
      <w:pPr>
        <w:snapToGrid w:val="0"/>
        <w:spacing w:line="560" w:lineRule="exact"/>
        <w:ind w:firstLine="600" w:firstLineChars="200"/>
        <w:rPr>
          <w:rFonts w:ascii="Times New Roman" w:eastAsia="PMingLiU"/>
          <w:sz w:val="30"/>
          <w:szCs w:val="30"/>
          <w:lang w:eastAsia="zh-CN"/>
        </w:rPr>
      </w:pPr>
      <w:r>
        <w:rPr>
          <w:rFonts w:ascii="Times New Roman" w:eastAsia="仿宋"/>
          <w:sz w:val="30"/>
          <w:szCs w:val="30"/>
          <w:lang w:eastAsia="zh-CN"/>
        </w:rPr>
        <w:t>总承包人在动力设备、输电线路、地下管道、密封防震车间、易燃易爆地段以及临街交通要道附近施工时，施工开始前应向发包人和监理人提出安全防护措施，经发包人认可后实施。发包人和监理人的认可，并不能减轻或免除总承包人的责任。</w:t>
      </w:r>
    </w:p>
    <w:p w14:paraId="69EEFE4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实施爆破、放射性、带电、毒害性及使用易燃易爆、毒害性、腐蚀性物品作业（含运输、储存、保管）时，经主管部门备案或批准后，应在施工前10日以书面形式通知发包人和（或）监理人，并提交相应的安全防护措施方案，经认可后实施。发包人和（或）监理人的认可，并不能减轻或免除总承包人的责任。</w:t>
      </w:r>
    </w:p>
    <w:p w14:paraId="109DB7F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需单独编制危险性较大分部分项专项工程施工方案的，及要求进行专家论证的超过一定规模的危险性较大的分部分项工程，总承包人应及时编制和组织论证，相关费用由总承包人承担，并已包含于合同价款中。</w:t>
      </w:r>
    </w:p>
    <w:p w14:paraId="0DA683B4">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治安保卫</w:t>
      </w:r>
    </w:p>
    <w:p w14:paraId="48173A20">
      <w:pPr>
        <w:snapToGrid w:val="0"/>
        <w:spacing w:line="560" w:lineRule="exact"/>
        <w:ind w:firstLine="600" w:firstLineChars="200"/>
        <w:rPr>
          <w:rFonts w:ascii="Times New Roman" w:eastAsia="仿宋"/>
          <w:sz w:val="30"/>
          <w:szCs w:val="30"/>
          <w:highlight w:val="yellow"/>
          <w:lang w:eastAsia="zh-CN"/>
        </w:rPr>
      </w:pPr>
      <w:r>
        <w:rPr>
          <w:rFonts w:ascii="Times New Roman" w:eastAsia="仿宋"/>
          <w:sz w:val="30"/>
          <w:szCs w:val="30"/>
          <w:lang w:eastAsia="zh-CN"/>
        </w:rPr>
        <w:t>总承包人在工程期间应为整个现场提供二十四小时的保安保卫服务，配备足够的保安人员和保安设备，防止未经批准进入现场，控制人员、材料和设备等的进出场，防止现场材料、设备或其他任何物品(包括总承包人、专业分包人及独立承包人的物料／设备等)的被盗或被窃或被破坏，禁止任何现场内的打架纠殴事件。</w:t>
      </w:r>
      <w:r>
        <w:rPr>
          <w:rFonts w:hint="eastAsia" w:ascii="Times New Roman" w:eastAsia="仿宋"/>
          <w:sz w:val="30"/>
          <w:szCs w:val="30"/>
          <w:highlight w:val="red"/>
          <w:lang w:eastAsia="zh-CN"/>
        </w:rPr>
        <w:t>总承包人应对现场所有甲供材料负有保管义务，现场出现任何材料丢失情况由总包人进行承担</w:t>
      </w:r>
    </w:p>
    <w:p w14:paraId="3E1DBE22">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文明施工</w:t>
      </w:r>
    </w:p>
    <w:p w14:paraId="1613F66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总承包人在工程施工期间，应当采取措施保持施工现场平整，物料堆放整齐。工程所在地有关政府行政管理部门有特殊要求的，按照其要求执行。</w:t>
      </w:r>
    </w:p>
    <w:p w14:paraId="16E0449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在工程移交之前，总承包人应当从施工现场清除总承包人的全部工程设备、</w:t>
      </w:r>
      <w:r>
        <w:rPr>
          <w:rFonts w:hint="eastAsia" w:ascii="Times New Roman" w:eastAsia="仿宋"/>
          <w:sz w:val="30"/>
          <w:szCs w:val="30"/>
          <w:lang w:eastAsia="zh-CN"/>
        </w:rPr>
        <w:t>建筑</w:t>
      </w:r>
      <w:r>
        <w:rPr>
          <w:rFonts w:ascii="Times New Roman" w:eastAsia="仿宋"/>
          <w:sz w:val="30"/>
          <w:szCs w:val="30"/>
          <w:lang w:eastAsia="zh-CN"/>
        </w:rPr>
        <w:t>材料、垃圾和办公区等各种临时工程，并保持施工现场清洁整齐。否则视为不具备移交条件，工程未完工。经发包人书面同意，总承包人可在发包人指定的地点保留总承包人履行保修期内的各项义务所需要的材料、施工设备和临时工程。</w:t>
      </w:r>
    </w:p>
    <w:p w14:paraId="34B3AAF9">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安全文明施工费</w:t>
      </w:r>
    </w:p>
    <w:p w14:paraId="6BB2D7B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安全文明施工费包含在合同价款中，根据适用的法律或政府有关规定足额计取。安全文明施工费价格包干，不因任何因素变化而调整。</w:t>
      </w:r>
    </w:p>
    <w:p w14:paraId="470974D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对安全文明施工费应专款专用，总承包人应在财务账目中单独列项备查，不得挪作他用，否则发包人有权责令其限期改正；逾期未改正的，可以责令其暂停施工，由此增加的费用和（或）延误的工期由总承包人承担。</w:t>
      </w:r>
    </w:p>
    <w:p w14:paraId="50D470B0">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紧急情况处理</w:t>
      </w:r>
    </w:p>
    <w:p w14:paraId="00F3F13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工程实施期间或质量保证金保留期内发生危及工程安全的事件，总承包人声明无能力或不愿立即执行的，发包人有权雇佣其他人员进行抢救。此类抢救按合同约定属于总承包人义务的，由此增加的费用和（或）延误的工期由总承包人承担。</w:t>
      </w:r>
    </w:p>
    <w:p w14:paraId="2978DC2A">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事故处理</w:t>
      </w:r>
    </w:p>
    <w:p w14:paraId="1CA2F84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工程施工过程中发生事故的，总承包人应立即通知发包人及监理人。发包人和总承包人应立即组织人员和设备进行紧急抢救和抢修，减少人员伤亡和财产损失，防止事故扩大，并保护事故现场。需要移动现场物品时，应作出标记和书面记录，妥善保管有关证据。发包人和总承包人应按国家有关规定，及时如实地向有关部门报告事故发生的情况，以及正在采取的紧急措施等。</w:t>
      </w:r>
    </w:p>
    <w:p w14:paraId="331C5410">
      <w:pPr>
        <w:numPr>
          <w:ilvl w:val="2"/>
          <w:numId w:val="12"/>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安全生产责任</w:t>
      </w:r>
    </w:p>
    <w:p w14:paraId="60D1C0D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须承担与本工程有关或本工程进行期间发生或本工程引致的人身伤亡和（或）财产损失的费用、责任、损失、索偿或诉讼的法律责任，并须保障发包人免负该等责任，除非有关伤亡和（或）损失是发包人或其应负责的人士过失所直接引致的。</w:t>
      </w:r>
    </w:p>
    <w:p w14:paraId="69DFE430">
      <w:pPr>
        <w:numPr>
          <w:ilvl w:val="1"/>
          <w:numId w:val="12"/>
        </w:numPr>
        <w:snapToGrid w:val="0"/>
        <w:spacing w:line="560" w:lineRule="exact"/>
        <w:ind w:left="0" w:firstLine="600" w:firstLineChars="200"/>
        <w:rPr>
          <w:rFonts w:ascii="Times New Roman" w:eastAsia="仿宋"/>
          <w:b/>
          <w:sz w:val="30"/>
          <w:szCs w:val="30"/>
        </w:rPr>
      </w:pPr>
      <w:bookmarkStart w:id="550" w:name="_Toc410035668"/>
      <w:bookmarkStart w:id="551" w:name="_Toc12327"/>
      <w:bookmarkStart w:id="552" w:name="_Toc27227"/>
      <w:bookmarkStart w:id="553" w:name="_Toc351203540"/>
      <w:bookmarkStart w:id="554" w:name="_Toc80863257"/>
      <w:bookmarkStart w:id="555" w:name="_Toc12609"/>
      <w:bookmarkStart w:id="556" w:name="_Toc524351793"/>
      <w:bookmarkStart w:id="557" w:name="_Toc6515"/>
      <w:bookmarkStart w:id="558" w:name="_Toc6593"/>
      <w:bookmarkStart w:id="559" w:name="_Toc16720"/>
      <w:bookmarkStart w:id="560" w:name="_Toc337558765"/>
      <w:r>
        <w:rPr>
          <w:rFonts w:ascii="Times New Roman" w:eastAsia="仿宋"/>
          <w:b/>
          <w:sz w:val="30"/>
          <w:szCs w:val="30"/>
        </w:rPr>
        <w:t>职业健康</w:t>
      </w:r>
      <w:bookmarkEnd w:id="550"/>
      <w:bookmarkEnd w:id="551"/>
      <w:bookmarkEnd w:id="552"/>
      <w:bookmarkEnd w:id="553"/>
      <w:bookmarkEnd w:id="554"/>
      <w:bookmarkEnd w:id="555"/>
      <w:bookmarkEnd w:id="556"/>
      <w:bookmarkEnd w:id="557"/>
      <w:bookmarkEnd w:id="558"/>
      <w:bookmarkEnd w:id="559"/>
    </w:p>
    <w:p w14:paraId="4D41F322">
      <w:pPr>
        <w:numPr>
          <w:ilvl w:val="2"/>
          <w:numId w:val="12"/>
        </w:numPr>
        <w:snapToGrid w:val="0"/>
        <w:spacing w:line="560" w:lineRule="exact"/>
        <w:ind w:left="0" w:firstLine="600" w:firstLineChars="200"/>
        <w:rPr>
          <w:rFonts w:ascii="Times New Roman" w:eastAsia="仿宋"/>
          <w:sz w:val="30"/>
          <w:szCs w:val="30"/>
        </w:rPr>
      </w:pPr>
      <w:r>
        <w:rPr>
          <w:rFonts w:ascii="Times New Roman" w:eastAsia="仿宋"/>
          <w:sz w:val="30"/>
          <w:szCs w:val="30"/>
        </w:rPr>
        <w:t>劳动保护</w:t>
      </w:r>
      <w:bookmarkEnd w:id="560"/>
    </w:p>
    <w:p w14:paraId="7619363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照法律规定安排现场施工人员的劳动和休息时间，保障劳动者的休息时间，并支付合理的报酬和费用。总承包人应依法为其履行合同所雇用的人员办理必要的证件、许可、保险和注册等，总承包人应督促其自有分包人为雇用的人员办理必要的证件、许可、保险和注册等。</w:t>
      </w:r>
    </w:p>
    <w:p w14:paraId="4040E3A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对其施工人员进行相关作业的职业健康知识培训、危险及危害因素交底、安全操作规程交底、采取有效措施。按照法律规定保障现场施工人员的劳动安全，并提供劳动保护,并应按国家有关劳动保护的规定，采取有效的防止粉尘、降低噪声、控制有害气体和保障高温、高寒、高空作业安全等劳动保护措施。总承包人雇佣人员在施工中受到伤害的，总承包人应立即采取有效措施进行抢救和治疗。</w:t>
      </w:r>
    </w:p>
    <w:p w14:paraId="146A15D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总承包人应按法律规定安排工作时间，保证其雇佣人员享有休息和休假的权利。因工程施工的特殊需要占用休假日或延长工作时间的，应不超过法律规定的限度，并按法律规定给予补休或付酬。</w:t>
      </w:r>
    </w:p>
    <w:p w14:paraId="44D5D930">
      <w:pPr>
        <w:numPr>
          <w:ilvl w:val="2"/>
          <w:numId w:val="12"/>
        </w:numPr>
        <w:snapToGrid w:val="0"/>
        <w:spacing w:line="560" w:lineRule="exact"/>
        <w:ind w:left="0" w:firstLine="600" w:firstLineChars="200"/>
        <w:rPr>
          <w:rFonts w:ascii="Times New Roman" w:eastAsia="仿宋"/>
          <w:sz w:val="30"/>
          <w:szCs w:val="30"/>
        </w:rPr>
      </w:pPr>
      <w:r>
        <w:rPr>
          <w:rFonts w:ascii="Times New Roman" w:eastAsia="仿宋"/>
          <w:sz w:val="30"/>
          <w:szCs w:val="30"/>
        </w:rPr>
        <w:t>生活条件</w:t>
      </w:r>
    </w:p>
    <w:p w14:paraId="5AF9E3B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为其履行合同所雇用的人员提供必要的膳宿条件和生活环境；总承包人应采取有效措施预防传染病，保证施工人员的健康，并定期对施工现场、施工人员生活基地和工程进行防疫和卫生的专业检查和处理,在远离城镇的施工场地，还应配备必要的伤病防治和急救的医务人员与医疗设施。</w:t>
      </w:r>
    </w:p>
    <w:p w14:paraId="3FA20F84">
      <w:pPr>
        <w:numPr>
          <w:ilvl w:val="1"/>
          <w:numId w:val="12"/>
        </w:numPr>
        <w:snapToGrid w:val="0"/>
        <w:spacing w:line="560" w:lineRule="exact"/>
        <w:ind w:left="0" w:firstLine="600" w:firstLineChars="200"/>
        <w:rPr>
          <w:rFonts w:ascii="Times New Roman" w:eastAsia="仿宋"/>
          <w:b/>
          <w:sz w:val="30"/>
          <w:szCs w:val="30"/>
        </w:rPr>
      </w:pPr>
      <w:bookmarkStart w:id="561" w:name="_Toc1857"/>
      <w:bookmarkStart w:id="562" w:name="_Toc13882"/>
      <w:bookmarkStart w:id="563" w:name="_Toc13527"/>
      <w:bookmarkStart w:id="564" w:name="_Toc28576"/>
      <w:bookmarkStart w:id="565" w:name="_Toc524351794"/>
      <w:bookmarkStart w:id="566" w:name="_Toc80863258"/>
      <w:bookmarkStart w:id="567" w:name="_Toc410035669"/>
      <w:bookmarkStart w:id="568" w:name="_Toc3112"/>
      <w:bookmarkStart w:id="569" w:name="_Toc337558766"/>
      <w:bookmarkStart w:id="570" w:name="_Toc24140"/>
      <w:bookmarkStart w:id="571" w:name="_Toc351203541"/>
      <w:r>
        <w:rPr>
          <w:rFonts w:ascii="Times New Roman" w:eastAsia="仿宋"/>
          <w:b/>
          <w:sz w:val="30"/>
          <w:szCs w:val="30"/>
        </w:rPr>
        <w:t>环境保护</w:t>
      </w:r>
      <w:bookmarkEnd w:id="561"/>
      <w:bookmarkEnd w:id="562"/>
      <w:bookmarkEnd w:id="563"/>
      <w:bookmarkEnd w:id="564"/>
      <w:bookmarkEnd w:id="565"/>
      <w:bookmarkEnd w:id="566"/>
      <w:bookmarkEnd w:id="567"/>
      <w:bookmarkEnd w:id="568"/>
      <w:bookmarkEnd w:id="569"/>
      <w:bookmarkEnd w:id="570"/>
      <w:bookmarkEnd w:id="571"/>
    </w:p>
    <w:p w14:paraId="473A169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总承包人应在施工组织设计中列明环境保护的具体措施。在合同履行期间，总承包人应采取合理措施保护施工现场环境。对施工作业过程中可能引起的大气、水、噪音以及固体废物污染采取具体可行的防范措施。</w:t>
      </w:r>
    </w:p>
    <w:p w14:paraId="1A817E5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及时或定期将施工现场残留、废弃的垃圾运到发包人或当地有关行政部门指定的地点，防止对周围环境的污染及对作业的影响。总承包人应当承担因其原因引起的环境污染侵权损害赔偿责任，因上述环境污染引起纠纷而导致暂停施工的，由此增加的费用（包括但不限于窝工、机械停滞、政府行政罚款等）和（或）延误的工期由总承包人承担。</w:t>
      </w:r>
    </w:p>
    <w:p w14:paraId="74D7ACA2">
      <w:pPr>
        <w:pStyle w:val="4"/>
        <w:jc w:val="left"/>
        <w:rPr>
          <w:rFonts w:ascii="Times New Roman"/>
          <w:lang w:eastAsia="zh-CN"/>
        </w:rPr>
      </w:pPr>
      <w:bookmarkStart w:id="572" w:name="_Toc41574014"/>
      <w:bookmarkStart w:id="573" w:name="_Toc351203542"/>
      <w:bookmarkStart w:id="574" w:name="_Toc410035670"/>
      <w:bookmarkStart w:id="575" w:name="_Toc80863259"/>
      <w:bookmarkStart w:id="576" w:name="_Toc12934"/>
      <w:bookmarkStart w:id="577" w:name="_Toc41499752"/>
      <w:bookmarkStart w:id="578" w:name="_Toc8148"/>
      <w:bookmarkStart w:id="579" w:name="_Toc30869"/>
      <w:bookmarkStart w:id="580" w:name="_Toc9304"/>
      <w:bookmarkStart w:id="581" w:name="_Toc82531190"/>
      <w:bookmarkStart w:id="582" w:name="_Toc144742722"/>
      <w:bookmarkStart w:id="583" w:name="_Toc14434"/>
      <w:bookmarkStart w:id="584" w:name="_Toc524351795"/>
      <w:bookmarkStart w:id="585" w:name="_Toc26838"/>
      <w:bookmarkStart w:id="586" w:name="_Toc31706"/>
      <w:r>
        <w:rPr>
          <w:rFonts w:ascii="Times New Roman"/>
          <w:lang w:eastAsia="zh-CN"/>
        </w:rPr>
        <w:t>7. 工期和进度</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Start w:id="587" w:name="_Toc337558767"/>
    </w:p>
    <w:p w14:paraId="1106C06F">
      <w:pPr>
        <w:pStyle w:val="50"/>
        <w:numPr>
          <w:ilvl w:val="1"/>
          <w:numId w:val="13"/>
        </w:numPr>
        <w:snapToGrid w:val="0"/>
        <w:spacing w:line="560" w:lineRule="exact"/>
        <w:ind w:firstLineChars="0"/>
        <w:rPr>
          <w:rFonts w:ascii="Times New Roman" w:eastAsia="仿宋"/>
          <w:b/>
          <w:sz w:val="30"/>
          <w:szCs w:val="30"/>
        </w:rPr>
      </w:pPr>
      <w:bookmarkStart w:id="588" w:name="_Toc916"/>
      <w:bookmarkStart w:id="589" w:name="_Toc12335"/>
      <w:bookmarkStart w:id="590" w:name="_Toc524351796"/>
      <w:bookmarkStart w:id="591" w:name="_Toc31582"/>
      <w:bookmarkStart w:id="592" w:name="_Toc410035671"/>
      <w:bookmarkStart w:id="593" w:name="_Toc26944"/>
      <w:bookmarkStart w:id="594" w:name="_Toc80863260"/>
      <w:bookmarkStart w:id="595" w:name="_Toc1556"/>
      <w:bookmarkStart w:id="596" w:name="_Toc7367"/>
      <w:r>
        <w:rPr>
          <w:rFonts w:ascii="Times New Roman" w:eastAsia="仿宋"/>
          <w:b/>
          <w:sz w:val="30"/>
          <w:szCs w:val="30"/>
        </w:rPr>
        <w:t>施工组织设计</w:t>
      </w:r>
      <w:bookmarkEnd w:id="588"/>
      <w:bookmarkEnd w:id="589"/>
      <w:bookmarkEnd w:id="590"/>
      <w:bookmarkEnd w:id="591"/>
      <w:bookmarkEnd w:id="592"/>
      <w:bookmarkEnd w:id="593"/>
      <w:bookmarkEnd w:id="594"/>
      <w:bookmarkEnd w:id="595"/>
      <w:bookmarkEnd w:id="596"/>
    </w:p>
    <w:p w14:paraId="4B112649">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施工组织设计的内容</w:t>
      </w:r>
      <w:bookmarkEnd w:id="587"/>
    </w:p>
    <w:p w14:paraId="6BF68EB1">
      <w:pPr>
        <w:snapToGrid w:val="0"/>
        <w:spacing w:line="560" w:lineRule="exact"/>
        <w:ind w:firstLine="600" w:firstLineChars="200"/>
        <w:rPr>
          <w:rFonts w:ascii="Times New Roman" w:eastAsia="仿宋"/>
          <w:sz w:val="30"/>
          <w:szCs w:val="30"/>
          <w:lang w:eastAsia="zh-CN"/>
        </w:rPr>
      </w:pPr>
      <w:bookmarkStart w:id="597" w:name="_Toc296503066"/>
      <w:bookmarkStart w:id="598" w:name="_Toc296346567"/>
      <w:r>
        <w:rPr>
          <w:rFonts w:ascii="Times New Roman" w:eastAsia="仿宋"/>
          <w:sz w:val="30"/>
          <w:szCs w:val="30"/>
          <w:lang w:eastAsia="zh-CN"/>
        </w:rPr>
        <w:t>施工组织设计应包含以下内容：</w:t>
      </w:r>
    </w:p>
    <w:p w14:paraId="6CCD03C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（1）施工方案；</w:t>
      </w:r>
    </w:p>
    <w:p w14:paraId="1016BD4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（2）施工现场平面布置图；</w:t>
      </w:r>
    </w:p>
    <w:p w14:paraId="53688B2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（3）施工进度计划和保证措施；</w:t>
      </w:r>
    </w:p>
    <w:p w14:paraId="6CB078F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（4）劳动力及材料供应计划；</w:t>
      </w:r>
    </w:p>
    <w:p w14:paraId="491D955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（5）施工机械设备的选用；</w:t>
      </w:r>
    </w:p>
    <w:p w14:paraId="0EF6FCF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（6）质量保证体系及措施；</w:t>
      </w:r>
    </w:p>
    <w:p w14:paraId="3452E80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（7）安全生产、文明施工措施；</w:t>
      </w:r>
    </w:p>
    <w:p w14:paraId="6B9BD75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（8）环境保护、成本控制措施；</w:t>
      </w:r>
    </w:p>
    <w:p w14:paraId="54A00D8D">
      <w:pPr>
        <w:snapToGrid w:val="0"/>
        <w:spacing w:line="560" w:lineRule="exact"/>
        <w:ind w:firstLine="480" w:firstLineChars="200"/>
        <w:rPr>
          <w:rFonts w:ascii="Times New Roman" w:eastAsia="仿宋"/>
          <w:sz w:val="30"/>
          <w:szCs w:val="30"/>
          <w:lang w:eastAsia="zh-CN"/>
        </w:rPr>
      </w:pPr>
      <w:r>
        <w:rPr>
          <w:rFonts w:hint="eastAsia" w:eastAsiaTheme="minorEastAsia"/>
          <w:lang w:eastAsia="zh-CN"/>
        </w:rPr>
        <w:t>（</w:t>
      </w:r>
      <w:r>
        <w:rPr>
          <w:rFonts w:ascii="Times New Roman" w:eastAsia="仿宋"/>
          <w:sz w:val="30"/>
          <w:szCs w:val="30"/>
          <w:lang w:eastAsia="zh-CN"/>
        </w:rPr>
        <w:t>9</w:t>
      </w:r>
      <w:r>
        <w:rPr>
          <w:rFonts w:hint="eastAsia" w:eastAsiaTheme="minorEastAsia"/>
          <w:lang w:eastAsia="zh-CN"/>
        </w:rPr>
        <w:t>）</w:t>
      </w:r>
      <w:r>
        <w:rPr>
          <w:rFonts w:hint="eastAsia" w:ascii="Times New Roman" w:eastAsia="仿宋"/>
          <w:sz w:val="30"/>
          <w:szCs w:val="30"/>
          <w:lang w:eastAsia="zh-CN"/>
        </w:rPr>
        <w:t>第三方评估策划管理方案；</w:t>
      </w:r>
    </w:p>
    <w:p w14:paraId="1B34ACD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10</w:t>
      </w:r>
      <w:r>
        <w:rPr>
          <w:rFonts w:ascii="Times New Roman" w:eastAsia="仿宋"/>
          <w:sz w:val="30"/>
          <w:szCs w:val="30"/>
          <w:lang w:eastAsia="zh-CN"/>
        </w:rPr>
        <w:t>）合同约定的其他内容。</w:t>
      </w:r>
    </w:p>
    <w:p w14:paraId="4ED8A7E6">
      <w:pPr>
        <w:numPr>
          <w:ilvl w:val="2"/>
          <w:numId w:val="1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施工组织设计的提交和修改</w:t>
      </w:r>
    </w:p>
    <w:p w14:paraId="68AE07E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于投标时提交的施工组织设计仅供参考，总承包人应在合同签订后14天内，但至迟不得晚于第7.3.2条〔开工通知〕载明的开工日期前7天，向发包人和监理人重新提交详细的施工组织设计，且不得低于投标时提交的标准。发包人和监理人应在收到施工组织设计后7天内确认或提出修改意见。对发包人和监理人提出的合理意见和要求，总承包人应自费修改完善。根据工程实际情况需要修改施工组织设计的，总承包人应向发包人和监理人提交修改后的施工组织设计。总承包人提交的各版施工组织设计，发包人的审核仅为技术可行性的评价，所有施工组织设计的变化、相比投标时的调整均不构成变更的依据。</w:t>
      </w:r>
    </w:p>
    <w:p w14:paraId="77732C7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施工进度计划的编制和修改按照第7.2条〔施工进度计划〕执行。</w:t>
      </w:r>
    </w:p>
    <w:p w14:paraId="187CFC57">
      <w:pPr>
        <w:numPr>
          <w:ilvl w:val="1"/>
          <w:numId w:val="13"/>
        </w:numPr>
        <w:snapToGrid w:val="0"/>
        <w:spacing w:line="560" w:lineRule="exact"/>
        <w:ind w:left="0" w:firstLine="600" w:firstLineChars="200"/>
        <w:rPr>
          <w:rFonts w:ascii="Times New Roman" w:eastAsia="仿宋"/>
          <w:b/>
          <w:sz w:val="30"/>
          <w:szCs w:val="30"/>
        </w:rPr>
      </w:pPr>
      <w:bookmarkStart w:id="599" w:name="_Toc413"/>
      <w:bookmarkStart w:id="600" w:name="_Toc13077"/>
      <w:bookmarkStart w:id="601" w:name="_Toc26746"/>
      <w:bookmarkStart w:id="602" w:name="_Toc80863261"/>
      <w:bookmarkStart w:id="603" w:name="_Toc524351797"/>
      <w:bookmarkStart w:id="604" w:name="_Toc351203544"/>
      <w:bookmarkStart w:id="605" w:name="_Toc410035672"/>
      <w:bookmarkStart w:id="606" w:name="_Toc2237"/>
      <w:bookmarkStart w:id="607" w:name="_Toc4074"/>
      <w:bookmarkStart w:id="608" w:name="_Toc3817"/>
      <w:bookmarkStart w:id="609" w:name="_Toc337558769"/>
      <w:r>
        <w:rPr>
          <w:rFonts w:ascii="Times New Roman" w:eastAsia="仿宋"/>
          <w:b/>
          <w:sz w:val="30"/>
          <w:szCs w:val="30"/>
        </w:rPr>
        <w:t>施工进度计划</w:t>
      </w:r>
      <w:bookmarkEnd w:id="599"/>
      <w:bookmarkEnd w:id="600"/>
      <w:bookmarkEnd w:id="601"/>
      <w:bookmarkEnd w:id="602"/>
      <w:bookmarkEnd w:id="603"/>
      <w:bookmarkEnd w:id="604"/>
      <w:bookmarkEnd w:id="605"/>
      <w:bookmarkEnd w:id="606"/>
      <w:bookmarkEnd w:id="607"/>
      <w:bookmarkEnd w:id="608"/>
    </w:p>
    <w:p w14:paraId="0DE950E1">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施工进度计划的编制</w:t>
      </w:r>
      <w:bookmarkEnd w:id="609"/>
    </w:p>
    <w:p w14:paraId="4AD06ED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照第7.1条〔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393973F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除非合同约定的可延长工期之情形，若明显发现工程进度滞后预计会造成延误的，总承包人须立即采取有效措施包括但不限于增加人工机械投入、加班等以确保工程能准时完工，同时发包人及监理人亦有权要求总承包人更改其施工程序或采取赶工措施以使本工程能如期完成，总承包人须予以遵从，所需之费用均由总承包人承担，且此不会减免或降低总承包人应承担的工期延误赔偿责任。</w:t>
      </w:r>
    </w:p>
    <w:p w14:paraId="6C23A618">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施工进度计划的修订</w:t>
      </w:r>
    </w:p>
    <w:p w14:paraId="2EA7EA3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施工进度计划不符合合同要求或与工程的实际进度不一致的，总承包人应提交修订的施工进度计划，并附具有关措施和相关资料，由总承包人报送监理人和发包人。发包人和监理人应在收到修订的施工进度计划后7天内完成审核和批准或提出修改意见。发包人和监理人对总承包人提交的施工进度计划的确认，不能减轻或免除总承包人根据法律规定和合同约定应承担的任何责任或义务。</w:t>
      </w:r>
    </w:p>
    <w:p w14:paraId="7AD137CA">
      <w:pPr>
        <w:numPr>
          <w:ilvl w:val="1"/>
          <w:numId w:val="13"/>
        </w:numPr>
        <w:snapToGrid w:val="0"/>
        <w:spacing w:line="560" w:lineRule="exact"/>
        <w:ind w:left="0" w:firstLine="600" w:firstLineChars="200"/>
        <w:rPr>
          <w:rFonts w:ascii="Times New Roman" w:eastAsia="仿宋"/>
          <w:b/>
          <w:sz w:val="30"/>
          <w:szCs w:val="30"/>
        </w:rPr>
      </w:pPr>
      <w:bookmarkStart w:id="610" w:name="_Toc2193"/>
      <w:bookmarkStart w:id="611" w:name="_Toc16255"/>
      <w:bookmarkStart w:id="612" w:name="_Toc20724"/>
      <w:bookmarkStart w:id="613" w:name="_Toc410035673"/>
      <w:bookmarkStart w:id="614" w:name="_Toc2311"/>
      <w:bookmarkStart w:id="615" w:name="_Toc351203545"/>
      <w:bookmarkStart w:id="616" w:name="_Toc22620"/>
      <w:bookmarkStart w:id="617" w:name="_Toc17430"/>
      <w:bookmarkStart w:id="618" w:name="_Toc524351798"/>
      <w:bookmarkStart w:id="619" w:name="_Toc80863262"/>
      <w:bookmarkStart w:id="620" w:name="_Toc337558770"/>
      <w:r>
        <w:rPr>
          <w:rFonts w:ascii="Times New Roman" w:eastAsia="仿宋"/>
          <w:b/>
          <w:sz w:val="30"/>
          <w:szCs w:val="30"/>
        </w:rPr>
        <w:t>开工</w:t>
      </w:r>
      <w:bookmarkEnd w:id="610"/>
      <w:bookmarkEnd w:id="611"/>
      <w:bookmarkEnd w:id="612"/>
      <w:bookmarkEnd w:id="613"/>
      <w:bookmarkEnd w:id="614"/>
      <w:bookmarkEnd w:id="615"/>
      <w:bookmarkEnd w:id="616"/>
      <w:bookmarkEnd w:id="617"/>
      <w:r>
        <w:rPr>
          <w:rFonts w:ascii="Times New Roman" w:eastAsia="仿宋"/>
          <w:b/>
          <w:sz w:val="30"/>
          <w:szCs w:val="30"/>
        </w:rPr>
        <w:t>及工期</w:t>
      </w:r>
      <w:bookmarkEnd w:id="618"/>
      <w:bookmarkEnd w:id="619"/>
    </w:p>
    <w:p w14:paraId="47562B3B">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开工准备</w:t>
      </w:r>
    </w:p>
    <w:p w14:paraId="4FC5512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照第7.1条〔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FC7DD8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合同当事人应按约定完成开工准备工作。</w:t>
      </w:r>
    </w:p>
    <w:p w14:paraId="118B3887">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开工通知</w:t>
      </w:r>
      <w:bookmarkEnd w:id="620"/>
    </w:p>
    <w:p w14:paraId="25043F6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发包人或发包人委托监理方应提前7天向总承包人发出开工通知，工期自开工通知中载明的开工日期起算。</w:t>
      </w:r>
    </w:p>
    <w:p w14:paraId="2F011A4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发包人有权决定分批开工并分别确定开工日期；总承包人应按开工通知书上约定的日期开工，不得拖延。</w:t>
      </w:r>
    </w:p>
    <w:p w14:paraId="5859D0AF">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工期</w:t>
      </w:r>
    </w:p>
    <w:p w14:paraId="08A7C0F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本工程计划开工日期及总工期详见专用合同条款。</w:t>
      </w:r>
    </w:p>
    <w:p w14:paraId="26A1783A">
      <w:pPr>
        <w:numPr>
          <w:ilvl w:val="1"/>
          <w:numId w:val="13"/>
        </w:numPr>
        <w:snapToGrid w:val="0"/>
        <w:spacing w:line="560" w:lineRule="exact"/>
        <w:ind w:left="0" w:firstLine="600" w:firstLineChars="200"/>
        <w:rPr>
          <w:rFonts w:ascii="Times New Roman" w:eastAsia="仿宋"/>
          <w:b/>
          <w:sz w:val="30"/>
          <w:szCs w:val="30"/>
        </w:rPr>
      </w:pPr>
      <w:bookmarkStart w:id="621" w:name="_Toc15232"/>
      <w:bookmarkStart w:id="622" w:name="_Toc6159"/>
      <w:bookmarkStart w:id="623" w:name="_Toc32157"/>
      <w:bookmarkStart w:id="624" w:name="_Toc410035674"/>
      <w:bookmarkStart w:id="625" w:name="_Toc29502"/>
      <w:bookmarkStart w:id="626" w:name="_Toc524351799"/>
      <w:bookmarkStart w:id="627" w:name="_Toc351203546"/>
      <w:bookmarkStart w:id="628" w:name="_Toc80863263"/>
      <w:bookmarkStart w:id="629" w:name="_Toc31752"/>
      <w:bookmarkStart w:id="630" w:name="_Toc13289"/>
      <w:r>
        <w:rPr>
          <w:rFonts w:ascii="Times New Roman" w:eastAsia="仿宋"/>
          <w:b/>
          <w:sz w:val="30"/>
          <w:szCs w:val="30"/>
        </w:rPr>
        <w:t>测量放线</w:t>
      </w:r>
      <w:bookmarkEnd w:id="621"/>
      <w:bookmarkEnd w:id="622"/>
      <w:bookmarkEnd w:id="623"/>
      <w:bookmarkEnd w:id="624"/>
      <w:bookmarkEnd w:id="625"/>
      <w:bookmarkEnd w:id="626"/>
      <w:bookmarkEnd w:id="627"/>
      <w:bookmarkEnd w:id="628"/>
      <w:bookmarkEnd w:id="629"/>
      <w:bookmarkEnd w:id="630"/>
    </w:p>
    <w:p w14:paraId="1B8E1606">
      <w:pPr>
        <w:numPr>
          <w:ilvl w:val="2"/>
          <w:numId w:val="1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总承包人负责施工过程中的全部施工测量放线工作，并配置具有相应资质的人员、合格的仪器、设备和其他物品。总承包人应矫正工程的位置、标高、尺寸或准线中出现的任何差错，并对工程各部分的定位负责。</w:t>
      </w:r>
    </w:p>
    <w:p w14:paraId="34EFAC90">
      <w:pPr>
        <w:numPr>
          <w:ilvl w:val="2"/>
          <w:numId w:val="13"/>
        </w:numPr>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施工过程中对施工现场内水准点等测量标志物的保护工作由总承包人负责。</w:t>
      </w:r>
      <w:bookmarkEnd w:id="597"/>
      <w:bookmarkEnd w:id="598"/>
    </w:p>
    <w:p w14:paraId="69BBD59E">
      <w:pPr>
        <w:numPr>
          <w:ilvl w:val="1"/>
          <w:numId w:val="13"/>
        </w:numPr>
        <w:snapToGrid w:val="0"/>
        <w:spacing w:line="560" w:lineRule="exact"/>
        <w:ind w:left="0" w:firstLine="600" w:firstLineChars="200"/>
        <w:rPr>
          <w:rFonts w:ascii="Times New Roman" w:eastAsia="仿宋"/>
          <w:b/>
          <w:sz w:val="30"/>
          <w:szCs w:val="30"/>
        </w:rPr>
      </w:pPr>
      <w:bookmarkStart w:id="631" w:name="_Toc524351800"/>
      <w:bookmarkStart w:id="632" w:name="_Toc80863264"/>
      <w:bookmarkStart w:id="633" w:name="_Toc337558772"/>
      <w:bookmarkStart w:id="634" w:name="_Toc296503073"/>
      <w:bookmarkStart w:id="635" w:name="_Toc296346574"/>
      <w:r>
        <w:rPr>
          <w:rFonts w:ascii="Times New Roman" w:eastAsia="仿宋"/>
          <w:b/>
          <w:sz w:val="30"/>
          <w:szCs w:val="30"/>
        </w:rPr>
        <w:t>工期的延长</w:t>
      </w:r>
      <w:bookmarkEnd w:id="631"/>
      <w:bookmarkEnd w:id="632"/>
    </w:p>
    <w:p w14:paraId="65FF0F46">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工期允许延长的情形</w:t>
      </w:r>
      <w:bookmarkEnd w:id="633"/>
      <w:bookmarkEnd w:id="634"/>
      <w:bookmarkEnd w:id="635"/>
    </w:p>
    <w:p w14:paraId="04F9DA7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当本工程进度被阻延或预计会被阻延时，总承包人须即时以书面通知发包人并列明阻延的原因及天数或预计天数等细则，若发包人在收到总承包人的书面通知及细则后，认为本工程的完成时间可能或已经因下列原因而延迟至超过竣工日期或超过以前曾按本条款延长之竣工日期，则发包人须尽快以书面对本工程的竣工日期给予公平和合理的延长：</w:t>
      </w:r>
    </w:p>
    <w:p w14:paraId="003E6ECF">
      <w:pPr>
        <w:tabs>
          <w:tab w:val="left" w:pos="1985"/>
          <w:tab w:val="left" w:pos="2268"/>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(1)不可抗力，或</w:t>
      </w:r>
    </w:p>
    <w:p w14:paraId="762DA66E">
      <w:pPr>
        <w:tabs>
          <w:tab w:val="left" w:pos="2268"/>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(2)执行合同条款第1.8条〔文物、化石〕之有关规定</w:t>
      </w:r>
      <w:r>
        <w:rPr>
          <w:rFonts w:hint="eastAsia" w:ascii="Times New Roman" w:eastAsia="仿宋"/>
          <w:sz w:val="30"/>
          <w:szCs w:val="30"/>
          <w:lang w:eastAsia="zh-CN"/>
        </w:rPr>
        <w:t>；</w:t>
      </w:r>
    </w:p>
    <w:p w14:paraId="5056C2BF">
      <w:pPr>
        <w:tabs>
          <w:tab w:val="left" w:pos="2268"/>
        </w:tabs>
        <w:snapToGrid w:val="0"/>
        <w:spacing w:line="560" w:lineRule="exact"/>
        <w:ind w:firstLine="450" w:firstLineChars="150"/>
        <w:rPr>
          <w:rFonts w:ascii="Times New Roman" w:eastAsia="仿宋"/>
          <w:sz w:val="30"/>
          <w:szCs w:val="30"/>
          <w:lang w:eastAsia="zh-CN"/>
        </w:rPr>
      </w:pPr>
      <w:r>
        <w:rPr>
          <w:rFonts w:ascii="Times New Roman" w:eastAsia="仿宋"/>
          <w:sz w:val="30"/>
          <w:szCs w:val="30"/>
          <w:lang w:eastAsia="zh-CN"/>
        </w:rPr>
        <w:t xml:space="preserve"> (</w:t>
      </w:r>
      <w:r>
        <w:rPr>
          <w:rFonts w:hint="eastAsia" w:ascii="Times New Roman" w:eastAsia="仿宋"/>
          <w:sz w:val="30"/>
          <w:szCs w:val="30"/>
          <w:lang w:eastAsia="zh-CN"/>
        </w:rPr>
        <w:t>3</w:t>
      </w:r>
      <w:r>
        <w:rPr>
          <w:rFonts w:ascii="Times New Roman" w:eastAsia="仿宋"/>
          <w:sz w:val="30"/>
          <w:szCs w:val="30"/>
          <w:lang w:eastAsia="zh-CN"/>
        </w:rPr>
        <w:t>)非总承包人原因及属不可预见的政府/主管部门指令（需有红头文件依据）暂停施工且连续停工3天以上(自第4天开始计算补偿)的，或</w:t>
      </w:r>
    </w:p>
    <w:p w14:paraId="2B79FA1F">
      <w:pPr>
        <w:tabs>
          <w:tab w:val="left" w:pos="2268"/>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4</w:t>
      </w:r>
      <w:r>
        <w:rPr>
          <w:rFonts w:ascii="Times New Roman" w:eastAsia="仿宋"/>
          <w:sz w:val="30"/>
          <w:szCs w:val="30"/>
          <w:lang w:eastAsia="zh-CN"/>
        </w:rPr>
        <w:t>)发包人因自身原因要求缓期执行或暂停施工且连续停工7天以上(自第8天开始计算补偿)的，或</w:t>
      </w:r>
    </w:p>
    <w:p w14:paraId="017D3DD9">
      <w:pPr>
        <w:tabs>
          <w:tab w:val="left" w:pos="2268"/>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5</w:t>
      </w:r>
      <w:r>
        <w:rPr>
          <w:rFonts w:ascii="Times New Roman" w:eastAsia="仿宋"/>
          <w:sz w:val="30"/>
          <w:szCs w:val="30"/>
          <w:lang w:eastAsia="zh-CN"/>
        </w:rPr>
        <w:t>)基准日期后因合同条款11.2条〔法律变化引起的调整〕约定的法律变化引起工程施工的关键线路受到实质性影响。</w:t>
      </w:r>
    </w:p>
    <w:p w14:paraId="3CBA655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因规划调整等发包人原因引起单位工程工期延误超过6个月时，双方另行签订停缓建协议。</w:t>
      </w:r>
    </w:p>
    <w:p w14:paraId="55CF1E63">
      <w:pPr>
        <w:numPr>
          <w:ilvl w:val="2"/>
          <w:numId w:val="13"/>
        </w:numPr>
        <w:snapToGrid w:val="0"/>
        <w:spacing w:line="560" w:lineRule="exact"/>
        <w:ind w:left="0" w:firstLine="600" w:firstLineChars="200"/>
        <w:rPr>
          <w:rFonts w:ascii="Times New Roman" w:eastAsia="仿宋"/>
          <w:sz w:val="30"/>
          <w:szCs w:val="30"/>
        </w:rPr>
      </w:pPr>
      <w:r>
        <w:rPr>
          <w:rFonts w:ascii="Times New Roman" w:eastAsia="仿宋"/>
          <w:sz w:val="30"/>
          <w:szCs w:val="30"/>
        </w:rPr>
        <w:t>工期延长的费用补偿</w:t>
      </w:r>
    </w:p>
    <w:p w14:paraId="05CDA87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合同条款7.5.1第 (1)至第(</w:t>
      </w:r>
      <w:r>
        <w:rPr>
          <w:rFonts w:hint="eastAsia" w:ascii="Times New Roman" w:eastAsia="仿宋"/>
          <w:sz w:val="30"/>
          <w:szCs w:val="30"/>
          <w:lang w:eastAsia="zh-CN"/>
        </w:rPr>
        <w:t>2</w:t>
      </w:r>
      <w:r>
        <w:rPr>
          <w:rFonts w:ascii="Times New Roman" w:eastAsia="仿宋"/>
          <w:sz w:val="30"/>
          <w:szCs w:val="30"/>
          <w:lang w:eastAsia="zh-CN"/>
        </w:rPr>
        <w:t>)项所导致的工期延长，发包人仅给予工期延长但无费用补偿。</w:t>
      </w:r>
    </w:p>
    <w:p w14:paraId="3DC4914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合同条款7.5.1第(</w:t>
      </w:r>
      <w:r>
        <w:rPr>
          <w:rFonts w:hint="eastAsia" w:ascii="Times New Roman" w:eastAsia="仿宋"/>
          <w:sz w:val="30"/>
          <w:szCs w:val="30"/>
          <w:lang w:eastAsia="zh-CN"/>
        </w:rPr>
        <w:t>3</w:t>
      </w:r>
      <w:r>
        <w:rPr>
          <w:rFonts w:ascii="Times New Roman" w:eastAsia="仿宋"/>
          <w:sz w:val="30"/>
          <w:szCs w:val="30"/>
          <w:lang w:eastAsia="zh-CN"/>
        </w:rPr>
        <w:t>)至第(</w:t>
      </w:r>
      <w:r>
        <w:rPr>
          <w:rFonts w:hint="eastAsia" w:ascii="Times New Roman" w:eastAsia="仿宋"/>
          <w:sz w:val="30"/>
          <w:szCs w:val="30"/>
          <w:lang w:eastAsia="zh-CN"/>
        </w:rPr>
        <w:t>5</w:t>
      </w:r>
      <w:r>
        <w:rPr>
          <w:rFonts w:ascii="Times New Roman" w:eastAsia="仿宋"/>
          <w:sz w:val="30"/>
          <w:szCs w:val="30"/>
          <w:lang w:eastAsia="zh-CN"/>
        </w:rPr>
        <w:t>)项所导致的工期延长令总承包人蒙受直接的损失和/或支出，但又未能按本合同其它条款得到适当补偿的，总承包人可书面向发包人申请费用补偿，费用补偿范围仅限于总承包人蒙受的直接损失和/或支出，不会包括任何利润或预期利润、潜在收益在内，并严格按专用合同条款约定的计算方法计算。总承包人的费用索偿遵从通用合同条款19.1及19.2条的规定，总承包人应在事件发生后立即与发包人、监理人就现场大型施工机械设备、脚手架、扣件、现场人员等现场资源进行盘点，并根据发包人的要求进行合理处置；如总承包人未能按照发包人的要求及时合理处置的，因此产生的额外费用/支出由总承包人自行承担。</w:t>
      </w:r>
    </w:p>
    <w:p w14:paraId="3907406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未在合同条款7.5.1条列明的情形均无工期补偿，更无费用补偿，如造成工期延误的，总承包人还应按合同条款7.6条〔工期延误〕承担违约责任。</w:t>
      </w:r>
    </w:p>
    <w:p w14:paraId="663E1B1C">
      <w:pPr>
        <w:numPr>
          <w:ilvl w:val="1"/>
          <w:numId w:val="13"/>
        </w:numPr>
        <w:snapToGrid w:val="0"/>
        <w:spacing w:line="560" w:lineRule="exact"/>
        <w:ind w:left="0" w:firstLine="600" w:firstLineChars="200"/>
        <w:rPr>
          <w:rFonts w:ascii="Times New Roman" w:eastAsia="仿宋"/>
          <w:b/>
          <w:sz w:val="30"/>
          <w:szCs w:val="30"/>
        </w:rPr>
      </w:pPr>
      <w:bookmarkStart w:id="636" w:name="_Toc524351801"/>
      <w:bookmarkStart w:id="637" w:name="_Toc80863265"/>
      <w:r>
        <w:rPr>
          <w:rFonts w:ascii="Times New Roman" w:eastAsia="仿宋"/>
          <w:b/>
          <w:sz w:val="30"/>
          <w:szCs w:val="30"/>
        </w:rPr>
        <w:t>工期延误</w:t>
      </w:r>
      <w:bookmarkEnd w:id="636"/>
      <w:bookmarkEnd w:id="637"/>
    </w:p>
    <w:p w14:paraId="77A2F8C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若总承包人未能在合同约定的工期或按合同条款7.5.1条延长了的工期之内完成本工程，则构成工期延误，总承包人须按专用合同条款约定的工期延误违约金率，向发包人支付工期延误违约金，发包人亦可从应付或将支付给总承包人的款项中扣除该违约金。</w:t>
      </w:r>
    </w:p>
    <w:p w14:paraId="422E006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此工期延误包括节点工期延误、总工期延误、移交延误等。</w:t>
      </w:r>
    </w:p>
    <w:p w14:paraId="79D2EFE5">
      <w:pPr>
        <w:numPr>
          <w:ilvl w:val="1"/>
          <w:numId w:val="13"/>
        </w:numPr>
        <w:snapToGrid w:val="0"/>
        <w:spacing w:line="560" w:lineRule="exact"/>
        <w:ind w:left="0" w:firstLine="600" w:firstLineChars="200"/>
        <w:rPr>
          <w:rFonts w:ascii="Times New Roman" w:eastAsia="仿宋"/>
          <w:b/>
          <w:sz w:val="30"/>
          <w:szCs w:val="30"/>
        </w:rPr>
      </w:pPr>
      <w:bookmarkStart w:id="638" w:name="_Toc410035676"/>
      <w:bookmarkStart w:id="639" w:name="_Toc80863266"/>
      <w:bookmarkStart w:id="640" w:name="_Toc31239"/>
      <w:bookmarkStart w:id="641" w:name="_Toc524351802"/>
      <w:bookmarkStart w:id="642" w:name="_Toc28311"/>
      <w:bookmarkStart w:id="643" w:name="_Toc351203550"/>
      <w:bookmarkStart w:id="644" w:name="_Toc12177"/>
      <w:bookmarkStart w:id="645" w:name="_Toc5588"/>
      <w:bookmarkStart w:id="646" w:name="_Toc15283"/>
      <w:bookmarkStart w:id="647" w:name="_Toc27073"/>
      <w:bookmarkStart w:id="648" w:name="_Toc296503077"/>
      <w:bookmarkStart w:id="649" w:name="_Toc337558775"/>
      <w:bookmarkStart w:id="650" w:name="_Toc296346578"/>
      <w:r>
        <w:rPr>
          <w:rFonts w:ascii="Times New Roman" w:eastAsia="仿宋"/>
          <w:b/>
          <w:sz w:val="30"/>
          <w:szCs w:val="30"/>
        </w:rPr>
        <w:t>暂停施工</w:t>
      </w:r>
      <w:bookmarkEnd w:id="638"/>
      <w:bookmarkEnd w:id="639"/>
      <w:bookmarkEnd w:id="640"/>
      <w:bookmarkEnd w:id="641"/>
      <w:bookmarkEnd w:id="642"/>
      <w:bookmarkEnd w:id="643"/>
      <w:bookmarkEnd w:id="644"/>
      <w:bookmarkEnd w:id="645"/>
      <w:bookmarkEnd w:id="646"/>
      <w:bookmarkEnd w:id="647"/>
    </w:p>
    <w:p w14:paraId="2C4A1B07">
      <w:pPr>
        <w:numPr>
          <w:ilvl w:val="2"/>
          <w:numId w:val="13"/>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发包人原因引起的暂停施工</w:t>
      </w:r>
      <w:bookmarkEnd w:id="648"/>
      <w:bookmarkEnd w:id="649"/>
      <w:bookmarkEnd w:id="650"/>
    </w:p>
    <w:p w14:paraId="31FBB8A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发包人原因引起暂停施工的，发包人应及时下达暂停施工指示。情况紧急且发包人未及时下达暂停施工指示的，按照第7.7.4条〔紧急情况下的暂停施工〕执行。因发包人原因引起的暂停施工导致工期延误的，按合同条款7.5〔工期的延长〕条执行。</w:t>
      </w:r>
    </w:p>
    <w:p w14:paraId="20E8BC96">
      <w:pPr>
        <w:numPr>
          <w:ilvl w:val="2"/>
          <w:numId w:val="13"/>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总承包人原因引起的暂停施工</w:t>
      </w:r>
    </w:p>
    <w:p w14:paraId="1B97840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总承包人原因引起的暂停施工，总承包人应承担由此增加的费用和（或）延误的工期，且总承包人在收到发包人复工指示后3天内仍未复工的，视为第16.2.1条〔总承包人违约的情形〕第（9）条约定的总承包人无法继续履行合同的情形。</w:t>
      </w:r>
    </w:p>
    <w:p w14:paraId="1EB01F70">
      <w:pPr>
        <w:numPr>
          <w:ilvl w:val="2"/>
          <w:numId w:val="13"/>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指示暂停施工</w:t>
      </w:r>
    </w:p>
    <w:p w14:paraId="65B2D5F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监理人认为有必要时，并经发包人书面批准后，可向总承包人作出暂停施工的指示，总承包人应按监理人指示暂停施工。</w:t>
      </w:r>
    </w:p>
    <w:p w14:paraId="18C6589E">
      <w:pPr>
        <w:numPr>
          <w:ilvl w:val="2"/>
          <w:numId w:val="13"/>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紧急情况下的暂停施工</w:t>
      </w:r>
    </w:p>
    <w:p w14:paraId="0C42659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紧急情况需暂停施工，且发包人未及时下达暂停施工指示的，总承包人可先暂停施工，并及时通知发包人。发包人不同意总承包人暂停施工的，应说明理由，总承包人对发包人的答复有异议，按照第20条〔争议解决〕约定处理。</w:t>
      </w:r>
    </w:p>
    <w:p w14:paraId="6A41050F">
      <w:pPr>
        <w:numPr>
          <w:ilvl w:val="2"/>
          <w:numId w:val="13"/>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暂停施工后的复工</w:t>
      </w:r>
    </w:p>
    <w:p w14:paraId="5B6C062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暂停施工后，发包人和总承包人应采取有效措施积极消除暂停施工的影响。在工程复工前，对于非总承包人原因导致的暂停施工，监理人会同发包人和总承包人确定工程复工条件。当工程具备复工条件时，发包人向总承包人发出复工通知，总承包人应按照复工通知要求复工。</w:t>
      </w:r>
    </w:p>
    <w:p w14:paraId="5A353A7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总承包人无故拖延和拒绝复工的，总承包人承担由此增加的费用和（或）延误的工期。</w:t>
      </w:r>
    </w:p>
    <w:p w14:paraId="4710024D">
      <w:pPr>
        <w:numPr>
          <w:ilvl w:val="2"/>
          <w:numId w:val="13"/>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暂停施工期间的工程照管</w:t>
      </w:r>
    </w:p>
    <w:p w14:paraId="4C352A79">
      <w:pPr>
        <w:snapToGrid w:val="0"/>
        <w:spacing w:line="560" w:lineRule="exact"/>
        <w:ind w:firstLine="600" w:firstLineChars="200"/>
        <w:rPr>
          <w:rFonts w:ascii="Times New Roman" w:eastAsia="PMingLiU"/>
          <w:sz w:val="30"/>
          <w:szCs w:val="30"/>
          <w:lang w:eastAsia="zh-CN"/>
        </w:rPr>
      </w:pPr>
      <w:r>
        <w:rPr>
          <w:rFonts w:ascii="Times New Roman" w:eastAsia="仿宋"/>
          <w:sz w:val="30"/>
          <w:szCs w:val="30"/>
          <w:lang w:eastAsia="zh-CN"/>
        </w:rPr>
        <w:t>暂停施工期间，总承包人仍须负责妥善照管工程并提供安全保障，由此增加的费用按合同条款7.5.2条〔工期延长的费用补偿〕执行；如涉及第三方，总承包人需提供举证义务，期限要求同暂停施工，如发包人认定提供资料不能认定为第三方责任，则由总承包人自行承担。</w:t>
      </w:r>
    </w:p>
    <w:p w14:paraId="2EAB506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若因总承包人未能尽到照管、保护的责任，造成损坏、丢失等，使发包人的费用增加，和（或）竣工日期延误的，由总承包人负责。</w:t>
      </w:r>
    </w:p>
    <w:p w14:paraId="7D376CB4">
      <w:pPr>
        <w:numPr>
          <w:ilvl w:val="2"/>
          <w:numId w:val="13"/>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暂停施工的措施</w:t>
      </w:r>
    </w:p>
    <w:p w14:paraId="525242E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暂停施工期间，总承包人应采取必要的措施确保工程质量及安全，防止因暂停施工扩大损失，所需之费用由责任方承担。</w:t>
      </w:r>
    </w:p>
    <w:p w14:paraId="38DE82F2">
      <w:pPr>
        <w:numPr>
          <w:ilvl w:val="1"/>
          <w:numId w:val="13"/>
        </w:numPr>
        <w:snapToGrid w:val="0"/>
        <w:spacing w:line="560" w:lineRule="exact"/>
        <w:ind w:left="0" w:firstLine="600" w:firstLineChars="200"/>
        <w:rPr>
          <w:rFonts w:ascii="Times New Roman" w:eastAsia="仿宋"/>
          <w:b/>
          <w:sz w:val="30"/>
          <w:szCs w:val="30"/>
        </w:rPr>
      </w:pPr>
      <w:bookmarkStart w:id="651" w:name="_Toc10142"/>
      <w:bookmarkStart w:id="652" w:name="_Toc4320"/>
      <w:bookmarkStart w:id="653" w:name="_Toc21187"/>
      <w:bookmarkStart w:id="654" w:name="_Toc351203551"/>
      <w:bookmarkStart w:id="655" w:name="_Toc524351803"/>
      <w:bookmarkStart w:id="656" w:name="_Toc31629"/>
      <w:bookmarkStart w:id="657" w:name="_Toc22524"/>
      <w:bookmarkStart w:id="658" w:name="_Toc12607"/>
      <w:bookmarkStart w:id="659" w:name="_Toc80863267"/>
      <w:bookmarkStart w:id="660" w:name="_Toc410035677"/>
      <w:r>
        <w:rPr>
          <w:rFonts w:ascii="Times New Roman" w:eastAsia="仿宋"/>
          <w:b/>
          <w:sz w:val="30"/>
          <w:szCs w:val="30"/>
        </w:rPr>
        <w:t>提前竣工</w:t>
      </w:r>
      <w:bookmarkEnd w:id="651"/>
      <w:bookmarkEnd w:id="652"/>
      <w:bookmarkEnd w:id="653"/>
      <w:bookmarkEnd w:id="654"/>
      <w:bookmarkEnd w:id="655"/>
      <w:bookmarkEnd w:id="656"/>
      <w:bookmarkEnd w:id="657"/>
      <w:bookmarkEnd w:id="658"/>
      <w:bookmarkEnd w:id="659"/>
      <w:bookmarkEnd w:id="660"/>
    </w:p>
    <w:p w14:paraId="4B5259A0">
      <w:pPr>
        <w:numPr>
          <w:ilvl w:val="2"/>
          <w:numId w:val="13"/>
        </w:numPr>
        <w:tabs>
          <w:tab w:val="left" w:pos="1560"/>
        </w:tabs>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提前竣工指在合同约定的竣工日期之前根据发包人要求提前完成合同范围内所有工作内容（含变更），达到验收条件并验收合格。合同约定的竣工日期是指以发包人开工令上明确的实际开工日期为开始时间，加上合同签订时的总工期及施工过程中合同约定的工期补偿。</w:t>
      </w:r>
    </w:p>
    <w:p w14:paraId="3145358E">
      <w:pPr>
        <w:numPr>
          <w:ilvl w:val="2"/>
          <w:numId w:val="13"/>
        </w:numPr>
        <w:tabs>
          <w:tab w:val="left" w:pos="1560"/>
        </w:tabs>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要求总承包人提前竣工的，发包人应向总承包人下达提前竣工指示，总承包人应向发包人和监理人提交提前竣工建议书，提前竣工建议书应包括实施的方案、缩短的时间、对合同价款的影响等内容。发包人接受该提前竣工建议书的，监理人应与发包人和总承包人协商采取加快工程进度的措施，并修订施工进度计划，由此产生的费用变化由发包人承担。总承包人认为提前竣工指示无法执行的，应向监理人和发包人提出书面异议，发包人和监理人应在收到异议后7天内予以答复。若发包人和监理人收到异议后认为仍然提前竣工的，总承包人应予执行。</w:t>
      </w:r>
    </w:p>
    <w:p w14:paraId="472447AD">
      <w:pPr>
        <w:pStyle w:val="4"/>
        <w:jc w:val="left"/>
        <w:rPr>
          <w:rFonts w:ascii="Times New Roman"/>
          <w:lang w:eastAsia="zh-CN"/>
        </w:rPr>
      </w:pPr>
      <w:bookmarkStart w:id="661" w:name="_Toc522294126"/>
      <w:bookmarkEnd w:id="661"/>
      <w:bookmarkStart w:id="662" w:name="_Toc16890"/>
      <w:bookmarkStart w:id="663" w:name="_Toc15007"/>
      <w:bookmarkStart w:id="664" w:name="_Toc41499753"/>
      <w:bookmarkStart w:id="665" w:name="_Toc26677"/>
      <w:bookmarkStart w:id="666" w:name="_Toc28259"/>
      <w:bookmarkStart w:id="667" w:name="_Toc29661"/>
      <w:bookmarkStart w:id="668" w:name="_Toc82531191"/>
      <w:bookmarkStart w:id="669" w:name="_Toc144742723"/>
      <w:bookmarkStart w:id="670" w:name="_Toc12778"/>
      <w:bookmarkStart w:id="671" w:name="_Toc80863268"/>
      <w:bookmarkStart w:id="672" w:name="_Toc41574015"/>
      <w:bookmarkStart w:id="673" w:name="_Toc524351804"/>
      <w:bookmarkStart w:id="674" w:name="_Toc410035678"/>
      <w:bookmarkStart w:id="675" w:name="_Toc351203552"/>
      <w:bookmarkStart w:id="676" w:name="_Toc25055"/>
      <w:bookmarkStart w:id="677" w:name="_Toc296503058"/>
      <w:bookmarkStart w:id="678" w:name="_Toc296346559"/>
      <w:bookmarkStart w:id="679" w:name="_Toc337558776"/>
      <w:r>
        <w:rPr>
          <w:rFonts w:ascii="Times New Roman"/>
          <w:lang w:eastAsia="zh-CN"/>
        </w:rPr>
        <w:t>8. 材料与设备</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55DE8F70">
      <w:pPr>
        <w:pStyle w:val="50"/>
        <w:numPr>
          <w:ilvl w:val="1"/>
          <w:numId w:val="14"/>
        </w:numPr>
        <w:snapToGrid w:val="0"/>
        <w:spacing w:line="560" w:lineRule="exact"/>
        <w:ind w:firstLineChars="0"/>
        <w:rPr>
          <w:rFonts w:ascii="Times New Roman" w:eastAsia="仿宋"/>
          <w:b/>
          <w:sz w:val="30"/>
          <w:szCs w:val="30"/>
          <w:lang w:eastAsia="zh-CN"/>
        </w:rPr>
      </w:pPr>
      <w:bookmarkStart w:id="680" w:name="_Toc524351805"/>
      <w:bookmarkStart w:id="681" w:name="_Toc17141"/>
      <w:bookmarkStart w:id="682" w:name="_Toc21400"/>
      <w:bookmarkStart w:id="683" w:name="_Toc14569"/>
      <w:bookmarkStart w:id="684" w:name="_Toc80863269"/>
      <w:bookmarkStart w:id="685" w:name="_Toc5508"/>
      <w:bookmarkStart w:id="686" w:name="_Toc410035679"/>
      <w:bookmarkStart w:id="687" w:name="_Toc12295"/>
      <w:bookmarkStart w:id="688" w:name="_Toc29581"/>
      <w:r>
        <w:rPr>
          <w:rFonts w:ascii="Times New Roman" w:eastAsia="仿宋"/>
          <w:b/>
          <w:sz w:val="30"/>
          <w:szCs w:val="30"/>
          <w:lang w:eastAsia="zh-CN"/>
        </w:rPr>
        <w:t>发包人供应材料与工程设备</w:t>
      </w:r>
      <w:bookmarkEnd w:id="680"/>
      <w:bookmarkEnd w:id="681"/>
      <w:bookmarkEnd w:id="682"/>
      <w:bookmarkEnd w:id="683"/>
      <w:bookmarkEnd w:id="684"/>
      <w:bookmarkEnd w:id="685"/>
      <w:bookmarkEnd w:id="686"/>
      <w:bookmarkEnd w:id="687"/>
      <w:bookmarkEnd w:id="688"/>
    </w:p>
    <w:p w14:paraId="5631A27D">
      <w:pPr>
        <w:numPr>
          <w:ilvl w:val="2"/>
          <w:numId w:val="14"/>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lang w:eastAsia="zh-CN"/>
        </w:rPr>
        <w:t>发包人供应材料的应供量由发包人和总承包人按图纸及工程量清单计量计价规则要求以净尺寸计算，并考虑设计排版损耗，施工损耗包括在总承包人</w:t>
      </w:r>
      <w:r>
        <w:rPr>
          <w:rFonts w:hint="eastAsia" w:ascii="Times New Roman" w:eastAsia="仿宋"/>
          <w:sz w:val="30"/>
          <w:szCs w:val="30"/>
          <w:lang w:eastAsia="zh-CN"/>
        </w:rPr>
        <w:t>安装单价内并包干</w:t>
      </w:r>
      <w:r>
        <w:rPr>
          <w:rFonts w:ascii="Times New Roman" w:eastAsia="仿宋"/>
          <w:sz w:val="30"/>
          <w:szCs w:val="30"/>
          <w:lang w:eastAsia="zh-CN"/>
        </w:rPr>
        <w:t>，甲供材运输损耗包括在独立供货人供货单价内，均不在应供量计算的损耗率范围内。</w:t>
      </w:r>
      <w:r>
        <w:rPr>
          <w:rFonts w:ascii="Times New Roman" w:eastAsia="仿宋"/>
          <w:sz w:val="30"/>
          <w:szCs w:val="30"/>
        </w:rPr>
        <w:t>即：</w:t>
      </w:r>
    </w:p>
    <w:p w14:paraId="4933775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应供量=净尺寸计算量*（1+设计排版损耗率），净尺寸计算量即为合同清单量。</w:t>
      </w:r>
    </w:p>
    <w:p w14:paraId="56762DF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设计排版损耗的确定方法详见专用合同条款。</w:t>
      </w:r>
      <w:bookmarkEnd w:id="677"/>
      <w:bookmarkEnd w:id="678"/>
      <w:bookmarkEnd w:id="679"/>
    </w:p>
    <w:p w14:paraId="0ECDD252">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bookmarkStart w:id="689" w:name="_Toc468936960"/>
      <w:r>
        <w:rPr>
          <w:rFonts w:ascii="Times New Roman" w:eastAsia="仿宋"/>
          <w:sz w:val="30"/>
          <w:szCs w:val="30"/>
          <w:lang w:eastAsia="zh-CN"/>
        </w:rPr>
        <w:t>发包人供应材料与工程设备订货量控制及超供扣款规定</w:t>
      </w:r>
    </w:p>
    <w:p w14:paraId="090A3DC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发包人供应材料与工程设备实际领用量、超供量的含义：</w:t>
      </w:r>
    </w:p>
    <w:p w14:paraId="68EFBDC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实际领用量：指施工过程中实际领用的材料总量；</w:t>
      </w:r>
    </w:p>
    <w:p w14:paraId="50512D2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超供量：指实际领用量中超过材料应供量的部分，超供量＝实际领用量－应供量；</w:t>
      </w:r>
    </w:p>
    <w:p w14:paraId="553DF62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材料单价：以发包人与独立供货人签订的材料供应合同中的不含税单价为准。</w:t>
      </w:r>
    </w:p>
    <w:p w14:paraId="451A015A">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对于订货量超过应供量，而总承包人未在5日前提出造成应供量增加的申请的，发包人有权停止供货，所需材料由总承包人自行采购，且保证品牌、质量、外观与相应的发包人供应材料与工程设备相同。由此造成的工期延误责任由总承包人自行承担，并负责承担给他方工作造成影响而带来的损失，工期不予顺延。</w:t>
      </w:r>
    </w:p>
    <w:p w14:paraId="11B2ADD8">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对于发包人供应材料与工程设备超供（实际领用量超过应供量）问题，具体规定为：</w:t>
      </w:r>
    </w:p>
    <w:p w14:paraId="0EC3EA46">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结算时如实际领用量少于应供量，除非专用合同条款另有约定，否则不予奖励。实际领用量超出应供量时，</w:t>
      </w:r>
      <w:r>
        <w:rPr>
          <w:rFonts w:ascii="Times New Roman" w:eastAsia="仿宋"/>
          <w:sz w:val="30"/>
          <w:szCs w:val="30"/>
          <w:lang w:eastAsia="zh-CN"/>
        </w:rPr>
        <w:t>10%</w:t>
      </w:r>
      <w:r>
        <w:rPr>
          <w:rFonts w:hint="eastAsia" w:ascii="Times New Roman" w:eastAsia="仿宋"/>
          <w:sz w:val="30"/>
          <w:szCs w:val="30"/>
          <w:lang w:eastAsia="zh-CN"/>
        </w:rPr>
        <w:t>以内</w:t>
      </w:r>
      <w:r>
        <w:rPr>
          <w:rFonts w:ascii="Times New Roman" w:eastAsia="仿宋"/>
          <w:sz w:val="30"/>
          <w:szCs w:val="30"/>
          <w:lang w:eastAsia="zh-CN"/>
        </w:rPr>
        <w:t>(</w:t>
      </w:r>
      <w:r>
        <w:rPr>
          <w:rFonts w:hint="eastAsia" w:ascii="Times New Roman" w:eastAsia="仿宋"/>
          <w:sz w:val="30"/>
          <w:szCs w:val="30"/>
          <w:lang w:eastAsia="zh-CN"/>
        </w:rPr>
        <w:t>含</w:t>
      </w:r>
      <w:r>
        <w:rPr>
          <w:rFonts w:ascii="Times New Roman" w:eastAsia="仿宋"/>
          <w:sz w:val="30"/>
          <w:szCs w:val="30"/>
          <w:lang w:eastAsia="zh-CN"/>
        </w:rPr>
        <w:t>10%)</w:t>
      </w:r>
      <w:r>
        <w:rPr>
          <w:rFonts w:hint="eastAsia" w:ascii="Times New Roman" w:eastAsia="仿宋"/>
          <w:sz w:val="30"/>
          <w:szCs w:val="30"/>
          <w:lang w:eastAsia="zh-CN"/>
        </w:rPr>
        <w:t>的超供，按甲供材加权平均采购单价从总承包人工程款中扣除，扣款额</w:t>
      </w:r>
      <w:r>
        <w:rPr>
          <w:rFonts w:ascii="Times New Roman" w:eastAsia="仿宋"/>
          <w:sz w:val="30"/>
          <w:szCs w:val="30"/>
          <w:lang w:eastAsia="zh-CN"/>
        </w:rPr>
        <w:t>=</w:t>
      </w:r>
      <w:r>
        <w:rPr>
          <w:rFonts w:hint="eastAsia" w:ascii="Times New Roman" w:eastAsia="仿宋"/>
          <w:sz w:val="30"/>
          <w:szCs w:val="30"/>
          <w:lang w:eastAsia="zh-CN"/>
        </w:rPr>
        <w:t>材料单价</w:t>
      </w:r>
      <w:r>
        <w:rPr>
          <w:rFonts w:ascii="Times New Roman" w:eastAsia="仿宋"/>
          <w:sz w:val="30"/>
          <w:szCs w:val="30"/>
          <w:lang w:eastAsia="zh-CN"/>
        </w:rPr>
        <w:t>*</w:t>
      </w:r>
      <w:r>
        <w:rPr>
          <w:rFonts w:hint="eastAsia" w:ascii="Times New Roman" w:eastAsia="仿宋"/>
          <w:sz w:val="30"/>
          <w:szCs w:val="30"/>
          <w:lang w:eastAsia="zh-CN"/>
        </w:rPr>
        <w:t>超供量</w:t>
      </w:r>
      <w:r>
        <w:rPr>
          <w:rFonts w:ascii="Times New Roman" w:eastAsia="仿宋"/>
          <w:sz w:val="30"/>
          <w:szCs w:val="30"/>
          <w:lang w:eastAsia="zh-CN"/>
        </w:rPr>
        <w:t>(10%</w:t>
      </w:r>
      <w:r>
        <w:rPr>
          <w:rFonts w:hint="eastAsia" w:ascii="Times New Roman" w:eastAsia="仿宋"/>
          <w:sz w:val="30"/>
          <w:szCs w:val="30"/>
          <w:lang w:eastAsia="zh-CN"/>
        </w:rPr>
        <w:t>以内</w:t>
      </w:r>
      <w:r>
        <w:rPr>
          <w:rFonts w:ascii="Times New Roman" w:eastAsia="仿宋"/>
          <w:sz w:val="30"/>
          <w:szCs w:val="30"/>
          <w:lang w:eastAsia="zh-CN"/>
        </w:rPr>
        <w:t>(</w:t>
      </w:r>
      <w:r>
        <w:rPr>
          <w:rFonts w:hint="eastAsia" w:ascii="Times New Roman" w:eastAsia="仿宋"/>
          <w:sz w:val="30"/>
          <w:szCs w:val="30"/>
          <w:lang w:eastAsia="zh-CN"/>
        </w:rPr>
        <w:t>含</w:t>
      </w:r>
      <w:r>
        <w:rPr>
          <w:rFonts w:ascii="Times New Roman" w:eastAsia="仿宋"/>
          <w:sz w:val="30"/>
          <w:szCs w:val="30"/>
          <w:lang w:eastAsia="zh-CN"/>
        </w:rPr>
        <w:t>10%)</w:t>
      </w:r>
      <w:r>
        <w:rPr>
          <w:rFonts w:hint="eastAsia" w:ascii="Times New Roman" w:eastAsia="仿宋"/>
          <w:sz w:val="30"/>
          <w:szCs w:val="30"/>
          <w:lang w:eastAsia="zh-CN"/>
        </w:rPr>
        <w:t>的部分</w:t>
      </w:r>
      <w:r>
        <w:rPr>
          <w:rFonts w:ascii="Times New Roman" w:eastAsia="仿宋"/>
          <w:sz w:val="30"/>
          <w:szCs w:val="30"/>
          <w:lang w:eastAsia="zh-CN"/>
        </w:rPr>
        <w:t>)</w:t>
      </w:r>
      <w:r>
        <w:rPr>
          <w:rFonts w:hint="eastAsia" w:ascii="Times New Roman" w:eastAsia="仿宋"/>
          <w:sz w:val="30"/>
          <w:szCs w:val="30"/>
          <w:lang w:eastAsia="zh-CN"/>
        </w:rPr>
        <w:t>；</w:t>
      </w:r>
      <w:r>
        <w:rPr>
          <w:rFonts w:ascii="Times New Roman" w:eastAsia="仿宋"/>
          <w:sz w:val="30"/>
          <w:szCs w:val="30"/>
          <w:lang w:eastAsia="zh-CN"/>
        </w:rPr>
        <w:t>10%</w:t>
      </w:r>
      <w:r>
        <w:rPr>
          <w:rFonts w:hint="eastAsia" w:ascii="Times New Roman" w:eastAsia="仿宋"/>
          <w:sz w:val="30"/>
          <w:szCs w:val="30"/>
          <w:lang w:eastAsia="zh-CN"/>
        </w:rPr>
        <w:t>以外的超供，按甲供材加权平均采购单价加收</w:t>
      </w:r>
      <w:r>
        <w:rPr>
          <w:rFonts w:ascii="Times New Roman" w:eastAsia="仿宋"/>
          <w:sz w:val="30"/>
          <w:szCs w:val="30"/>
          <w:lang w:eastAsia="zh-CN"/>
        </w:rPr>
        <w:t>10%</w:t>
      </w:r>
      <w:r>
        <w:rPr>
          <w:rFonts w:hint="eastAsia" w:ascii="Times New Roman" w:eastAsia="仿宋"/>
          <w:sz w:val="30"/>
          <w:szCs w:val="30"/>
          <w:lang w:eastAsia="zh-CN"/>
        </w:rPr>
        <w:t>的管理费从总承包人工程款中扣除，扣款额＝材料单价</w:t>
      </w:r>
      <w:r>
        <w:rPr>
          <w:rFonts w:ascii="Times New Roman" w:eastAsia="仿宋"/>
          <w:sz w:val="30"/>
          <w:szCs w:val="30"/>
          <w:lang w:eastAsia="zh-CN"/>
        </w:rPr>
        <w:t>*</w:t>
      </w:r>
      <w:r>
        <w:rPr>
          <w:rFonts w:hint="eastAsia" w:ascii="Times New Roman" w:eastAsia="仿宋"/>
          <w:sz w:val="30"/>
          <w:szCs w:val="30"/>
          <w:lang w:eastAsia="zh-CN"/>
        </w:rPr>
        <w:t>（</w:t>
      </w:r>
      <w:r>
        <w:rPr>
          <w:rFonts w:ascii="Times New Roman" w:eastAsia="仿宋"/>
          <w:sz w:val="30"/>
          <w:szCs w:val="30"/>
          <w:lang w:eastAsia="zh-CN"/>
        </w:rPr>
        <w:t>1+10%</w:t>
      </w:r>
      <w:r>
        <w:rPr>
          <w:rFonts w:hint="eastAsia" w:ascii="Times New Roman" w:eastAsia="仿宋"/>
          <w:sz w:val="30"/>
          <w:szCs w:val="30"/>
          <w:lang w:eastAsia="zh-CN"/>
        </w:rPr>
        <w:t>）</w:t>
      </w:r>
      <w:r>
        <w:rPr>
          <w:rFonts w:ascii="Times New Roman" w:eastAsia="仿宋"/>
          <w:sz w:val="30"/>
          <w:szCs w:val="30"/>
          <w:lang w:eastAsia="zh-CN"/>
        </w:rPr>
        <w:t>*</w:t>
      </w:r>
      <w:r>
        <w:rPr>
          <w:rFonts w:hint="eastAsia" w:ascii="Times New Roman" w:eastAsia="仿宋"/>
          <w:sz w:val="30"/>
          <w:szCs w:val="30"/>
          <w:lang w:eastAsia="zh-CN"/>
        </w:rPr>
        <w:t>超供量</w:t>
      </w:r>
      <w:r>
        <w:rPr>
          <w:rFonts w:ascii="Times New Roman" w:eastAsia="仿宋"/>
          <w:sz w:val="30"/>
          <w:szCs w:val="30"/>
          <w:lang w:eastAsia="zh-CN"/>
        </w:rPr>
        <w:t>(</w:t>
      </w:r>
      <w:r>
        <w:rPr>
          <w:rFonts w:hint="eastAsia" w:ascii="Times New Roman" w:eastAsia="仿宋"/>
          <w:sz w:val="30"/>
          <w:szCs w:val="30"/>
          <w:lang w:eastAsia="zh-CN"/>
        </w:rPr>
        <w:t>超出</w:t>
      </w:r>
      <w:r>
        <w:rPr>
          <w:rFonts w:ascii="Times New Roman" w:eastAsia="仿宋"/>
          <w:sz w:val="30"/>
          <w:szCs w:val="30"/>
          <w:lang w:eastAsia="zh-CN"/>
        </w:rPr>
        <w:t>10%</w:t>
      </w:r>
      <w:r>
        <w:rPr>
          <w:rFonts w:hint="eastAsia" w:ascii="Times New Roman" w:eastAsia="仿宋"/>
          <w:sz w:val="30"/>
          <w:szCs w:val="30"/>
          <w:lang w:eastAsia="zh-CN"/>
        </w:rPr>
        <w:t>的部分</w:t>
      </w:r>
      <w:r>
        <w:rPr>
          <w:rFonts w:ascii="Times New Roman" w:eastAsia="仿宋"/>
          <w:sz w:val="30"/>
          <w:szCs w:val="30"/>
          <w:lang w:eastAsia="zh-CN"/>
        </w:rPr>
        <w:t>)</w:t>
      </w:r>
      <w:r>
        <w:rPr>
          <w:rFonts w:hint="eastAsia" w:ascii="Times New Roman" w:eastAsia="仿宋"/>
          <w:sz w:val="30"/>
          <w:szCs w:val="30"/>
          <w:lang w:eastAsia="zh-CN"/>
        </w:rPr>
        <w:t>。</w:t>
      </w:r>
    </w:p>
    <w:p w14:paraId="0CFF38C1">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发包人供应材料与工程设备结算以双方结算最终确认的应供量作为基数（以合同约定的应供量作为基数），按照上述条款进行超供、超订扣款，并最终确定双方甲供材部分的结算价；</w:t>
      </w:r>
    </w:p>
    <w:p w14:paraId="3630F5D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对于发包人供应材料与工程设备本身的结算，由发包人与独立供货人进行结算，总承包人不得干预，总承包人应予以协助。</w:t>
      </w:r>
    </w:p>
    <w:p w14:paraId="0F551081">
      <w:pPr>
        <w:numPr>
          <w:ilvl w:val="2"/>
          <w:numId w:val="14"/>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lang w:eastAsia="zh-CN"/>
        </w:rPr>
        <w:t>总承包人应</w:t>
      </w:r>
      <w:r>
        <w:rPr>
          <w:rFonts w:hint="eastAsia" w:ascii="Times New Roman" w:eastAsia="仿宋"/>
          <w:sz w:val="30"/>
          <w:szCs w:val="30"/>
          <w:lang w:eastAsia="zh-CN"/>
        </w:rPr>
        <w:t>在开工后提交甲供设备、材料供应总计划表，</w:t>
      </w:r>
      <w:r>
        <w:rPr>
          <w:rFonts w:ascii="Times New Roman" w:eastAsia="仿宋"/>
          <w:sz w:val="30"/>
          <w:szCs w:val="30"/>
          <w:lang w:eastAsia="zh-CN"/>
        </w:rPr>
        <w:t>经监理人审批后以书面形式通知发包人。并按总计划编制每批次供应计划单按不同甲供材供货周期提前提交于监理及发包人审批，并主动跟踪甲供供应商生产发货进度。</w:t>
      </w:r>
      <w:r>
        <w:rPr>
          <w:rFonts w:hint="eastAsia" w:ascii="Times New Roman" w:eastAsia="仿宋"/>
          <w:sz w:val="30"/>
          <w:szCs w:val="30"/>
          <w:highlight w:val="yellow"/>
          <w:lang w:eastAsia="zh-CN"/>
        </w:rPr>
        <w:t>总承包人应对现场所有甲供材料负有保管义务，现场出现任何材料丢失情况由总包人进行承担。</w:t>
      </w:r>
      <w:r>
        <w:rPr>
          <w:rFonts w:ascii="Times New Roman" w:eastAsia="仿宋"/>
          <w:sz w:val="30"/>
          <w:szCs w:val="30"/>
          <w:lang w:eastAsia="zh-CN"/>
        </w:rPr>
        <w:t>总承包人按照第7.2.2条〔施工进度计划的修订〕约定修订施工进度计划时，需同时提交经修订后的发包人供应材料与工程设备的进场计划、甲供材下单计划，若因总承包人不及时提交材料计划导致的工期延误及费用增加，由总承包人自行承担。</w:t>
      </w:r>
    </w:p>
    <w:p w14:paraId="4D66E9F2">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如无变更发生，无论实用量超出或少于清单量，安装费均按清单量结算，当发生变更时，安装费按变更约定进行结算。</w:t>
      </w:r>
    </w:p>
    <w:p w14:paraId="0029D4E4">
      <w:pPr>
        <w:numPr>
          <w:ilvl w:val="1"/>
          <w:numId w:val="14"/>
        </w:numPr>
        <w:snapToGrid w:val="0"/>
        <w:spacing w:line="560" w:lineRule="exact"/>
        <w:ind w:left="0" w:firstLine="600" w:firstLineChars="200"/>
        <w:rPr>
          <w:rFonts w:ascii="Times New Roman" w:eastAsia="仿宋"/>
          <w:b/>
          <w:sz w:val="30"/>
          <w:szCs w:val="30"/>
          <w:lang w:eastAsia="zh-CN"/>
        </w:rPr>
      </w:pPr>
      <w:bookmarkStart w:id="690" w:name="_Toc21761"/>
      <w:bookmarkStart w:id="691" w:name="_Toc14872"/>
      <w:bookmarkStart w:id="692" w:name="_Toc15778"/>
      <w:bookmarkStart w:id="693" w:name="_Toc296346561"/>
      <w:bookmarkStart w:id="694" w:name="_Toc19211"/>
      <w:bookmarkStart w:id="695" w:name="_Toc296503060"/>
      <w:bookmarkStart w:id="696" w:name="_Toc80863270"/>
      <w:bookmarkStart w:id="697" w:name="_Toc337558778"/>
      <w:bookmarkStart w:id="698" w:name="_Toc351203554"/>
      <w:bookmarkStart w:id="699" w:name="_Toc19133"/>
      <w:bookmarkStart w:id="700" w:name="_Toc26865"/>
      <w:bookmarkStart w:id="701" w:name="_Toc410035680"/>
      <w:bookmarkStart w:id="702" w:name="_Toc524351806"/>
      <w:r>
        <w:rPr>
          <w:rFonts w:ascii="Times New Roman" w:eastAsia="仿宋"/>
          <w:b/>
          <w:sz w:val="30"/>
          <w:szCs w:val="30"/>
          <w:lang w:eastAsia="zh-CN"/>
        </w:rPr>
        <w:t>总承包人采购材料与工程设备</w:t>
      </w:r>
      <w:bookmarkEnd w:id="690"/>
      <w:bookmarkEnd w:id="691"/>
      <w:bookmarkEnd w:id="692"/>
      <w:bookmarkEnd w:id="693"/>
      <w:bookmarkEnd w:id="694"/>
      <w:bookmarkEnd w:id="695"/>
      <w:bookmarkEnd w:id="696"/>
      <w:bookmarkEnd w:id="697"/>
      <w:bookmarkEnd w:id="698"/>
      <w:bookmarkEnd w:id="699"/>
      <w:bookmarkEnd w:id="700"/>
      <w:bookmarkEnd w:id="701"/>
      <w:bookmarkEnd w:id="702"/>
    </w:p>
    <w:p w14:paraId="5FD8D87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除技术标准和要求列明的由发包人负责供应的材料与工程设备外，其余本合同工程范围内所需的一切材料与工程设备均由总承包人负责供应。总承包人负责采购材料、工程设备的，应按照设计选型、定样清单的</w:t>
      </w:r>
      <w:r>
        <w:rPr>
          <w:rFonts w:hint="eastAsia" w:ascii="Times New Roman" w:eastAsia="仿宋"/>
          <w:sz w:val="30"/>
          <w:szCs w:val="30"/>
          <w:lang w:eastAsia="zh-CN"/>
        </w:rPr>
        <w:t>封样样品、合同拟定的材料表品牌范围以及</w:t>
      </w:r>
      <w:r>
        <w:rPr>
          <w:rFonts w:ascii="Times New Roman" w:eastAsia="仿宋"/>
          <w:sz w:val="30"/>
          <w:szCs w:val="30"/>
          <w:lang w:eastAsia="zh-CN"/>
        </w:rPr>
        <w:t>有关标准要求采购，并提供产品合格证明及出厂证明，对材料、工程设备质量负责。</w:t>
      </w:r>
    </w:p>
    <w:p w14:paraId="1CF60CF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1）甲指乙供：发包人指定唯一品牌，总承包人与供应商签订合同并付款。</w:t>
      </w:r>
    </w:p>
    <w:p w14:paraId="265BB0D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2）甲限乙供：发包人限定品牌范围，由总承包人在此范围内选择，总承包人与供应商签订合同并付款。</w:t>
      </w:r>
    </w:p>
    <w:p w14:paraId="269B73B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3）其它：发包人不限定品牌范围，总承包人自行与供应商签订合同并付款。</w:t>
      </w:r>
    </w:p>
    <w:p w14:paraId="34B3A80C">
      <w:pPr>
        <w:numPr>
          <w:ilvl w:val="1"/>
          <w:numId w:val="14"/>
        </w:numPr>
        <w:snapToGrid w:val="0"/>
        <w:spacing w:line="560" w:lineRule="exact"/>
        <w:ind w:left="0" w:firstLine="600" w:firstLineChars="200"/>
        <w:rPr>
          <w:rFonts w:ascii="Times New Roman" w:eastAsia="仿宋"/>
          <w:b/>
          <w:sz w:val="30"/>
          <w:szCs w:val="30"/>
          <w:lang w:eastAsia="zh-CN"/>
        </w:rPr>
      </w:pPr>
      <w:bookmarkStart w:id="703" w:name="_Toc410035681"/>
      <w:bookmarkStart w:id="704" w:name="_Toc13941"/>
      <w:bookmarkStart w:id="705" w:name="_Toc80863271"/>
      <w:bookmarkStart w:id="706" w:name="_Toc3916"/>
      <w:bookmarkStart w:id="707" w:name="_Toc21062"/>
      <w:bookmarkStart w:id="708" w:name="_Toc27297"/>
      <w:bookmarkStart w:id="709" w:name="_Toc328"/>
      <w:bookmarkStart w:id="710" w:name="_Toc524351807"/>
      <w:bookmarkStart w:id="711" w:name="_Toc14153"/>
      <w:bookmarkStart w:id="712" w:name="_Toc351203555"/>
      <w:bookmarkStart w:id="713" w:name="_Toc296346562"/>
      <w:bookmarkStart w:id="714" w:name="_Toc337558779"/>
      <w:bookmarkStart w:id="715" w:name="_Toc296503061"/>
      <w:r>
        <w:rPr>
          <w:rFonts w:ascii="Times New Roman" w:eastAsia="仿宋"/>
          <w:b/>
          <w:sz w:val="30"/>
          <w:szCs w:val="30"/>
          <w:lang w:eastAsia="zh-CN"/>
        </w:rPr>
        <w:t>材料与工程设备的接收与拒收</w:t>
      </w:r>
      <w:bookmarkEnd w:id="703"/>
      <w:bookmarkEnd w:id="704"/>
      <w:bookmarkEnd w:id="705"/>
      <w:bookmarkEnd w:id="706"/>
      <w:bookmarkEnd w:id="707"/>
      <w:bookmarkEnd w:id="708"/>
      <w:bookmarkEnd w:id="709"/>
      <w:bookmarkEnd w:id="710"/>
      <w:bookmarkEnd w:id="711"/>
      <w:bookmarkEnd w:id="712"/>
    </w:p>
    <w:p w14:paraId="6B42A967">
      <w:pPr>
        <w:numPr>
          <w:ilvl w:val="2"/>
          <w:numId w:val="14"/>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按技术标准和要求约定的内容提供材料和工程设备，并向总承包人提供产品合格证明及出厂证明，对其质量负责。发包人应提前24小时通知总承包人、监理人材料和工程设备到货时间，独立供货人负责供货及卸货堆放至发包人/总承包人指定的汽车可到达的地点(必要时总承包人以塔吊等起重设备以配合卸货)，总承包人负责材料和工程设备的清点、检验和接收。</w:t>
      </w:r>
      <w:bookmarkEnd w:id="713"/>
      <w:bookmarkEnd w:id="714"/>
      <w:bookmarkEnd w:id="715"/>
    </w:p>
    <w:p w14:paraId="7769B479">
      <w:pPr>
        <w:numPr>
          <w:ilvl w:val="2"/>
          <w:numId w:val="14"/>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采购的材料和工程设备，应保证产品质量合格，总承包人应在材料和工程设备到货前24小时通知监理人及发包人检验。总承包人进行永久设备、材料的制造和生产的，应符合相关质量标准，并向监理人及发包人提交材料的样本以及有关资料，并应在使用该材料或工程设备之前获得发包人和监理人同意。</w:t>
      </w:r>
    </w:p>
    <w:p w14:paraId="2D3D811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采购的材料和工程设备不符合设计或有关标准要求时，总承包人应在发包人或监理人要求的合理期限内将不符合设计或有关标准要求的材料、工程设备运出施工现场，并重新采购符合要求的材料、工程设备，由此增加的费用和（或）延误的工期，由总承包人承担。</w:t>
      </w:r>
    </w:p>
    <w:p w14:paraId="2B8D2D70">
      <w:pPr>
        <w:numPr>
          <w:ilvl w:val="1"/>
          <w:numId w:val="14"/>
        </w:numPr>
        <w:snapToGrid w:val="0"/>
        <w:spacing w:line="560" w:lineRule="exact"/>
        <w:ind w:left="0" w:firstLine="600" w:firstLineChars="200"/>
        <w:rPr>
          <w:rFonts w:ascii="Times New Roman" w:eastAsia="仿宋"/>
          <w:b/>
          <w:sz w:val="30"/>
          <w:szCs w:val="30"/>
          <w:lang w:eastAsia="zh-CN"/>
        </w:rPr>
      </w:pPr>
      <w:bookmarkStart w:id="716" w:name="_Toc8025"/>
      <w:bookmarkStart w:id="717" w:name="_Toc351203556"/>
      <w:bookmarkStart w:id="718" w:name="_Toc6935"/>
      <w:bookmarkStart w:id="719" w:name="_Toc21963"/>
      <w:bookmarkStart w:id="720" w:name="_Toc80863272"/>
      <w:bookmarkStart w:id="721" w:name="_Toc8100"/>
      <w:bookmarkStart w:id="722" w:name="_Toc410035682"/>
      <w:bookmarkStart w:id="723" w:name="_Toc17035"/>
      <w:bookmarkStart w:id="724" w:name="_Toc524351808"/>
      <w:bookmarkStart w:id="725" w:name="_Toc16905"/>
      <w:bookmarkStart w:id="726" w:name="_Toc296503062"/>
      <w:bookmarkStart w:id="727" w:name="_Toc296346563"/>
      <w:bookmarkStart w:id="728" w:name="_Toc337558780"/>
      <w:r>
        <w:rPr>
          <w:rFonts w:ascii="Times New Roman" w:eastAsia="仿宋"/>
          <w:b/>
          <w:sz w:val="30"/>
          <w:szCs w:val="30"/>
          <w:lang w:eastAsia="zh-CN"/>
        </w:rPr>
        <w:t>材料与工程设备的保管与使用</w:t>
      </w:r>
      <w:bookmarkEnd w:id="716"/>
      <w:bookmarkEnd w:id="717"/>
      <w:bookmarkEnd w:id="718"/>
      <w:bookmarkEnd w:id="719"/>
      <w:bookmarkEnd w:id="720"/>
      <w:bookmarkEnd w:id="721"/>
      <w:bookmarkEnd w:id="722"/>
      <w:bookmarkEnd w:id="723"/>
      <w:bookmarkEnd w:id="724"/>
      <w:bookmarkEnd w:id="725"/>
    </w:p>
    <w:p w14:paraId="6214E75E">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发包人供应材料与工程设备的保管与使用</w:t>
      </w:r>
    </w:p>
    <w:p w14:paraId="56FCFE8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供应的材料和工程设备，总承包人清点后由总承包人妥善保管，保管费用由总承包人承担，总承包人须充分考施工现场情况，合理布置物资堆放地点，综合考虑材料二次搬运(或多次搬运)，搬运费用包括在合同价款内，合同内施工总平面图的调整不引起材料二次搬运费的调整。因总承包人原因发生丢失毁损的，由总承包人负责赔偿。发包人供应的材料和工程设备使用前，由总承包人负责抽样复检，检验或试验费用由总承包人承担，不合格的不得使用。</w:t>
      </w:r>
    </w:p>
    <w:p w14:paraId="42BC7048">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总承包人采购材料与工程设备的保管与使用</w:t>
      </w:r>
      <w:bookmarkEnd w:id="726"/>
      <w:bookmarkEnd w:id="727"/>
      <w:bookmarkEnd w:id="728"/>
    </w:p>
    <w:p w14:paraId="522C56B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采购的材料和工程设备由总承包人妥善保管，保管费用由总承包人承担。按政府有关部门及法律规定材料和工程设备使用前必须进行检验、试验或抽样检测的，总承包人应按监理人的要求进行检验、试验或抽样检测，检验或试验或抽样检测的费用由总承包人承担，不合格的不得使用。发包人或监理人发现总承包人使用不符合设计或有关标准要求的材料和工程设备时，有权要求总承包人进行修复、拆除或重新采购，由此增加的费用和（或）延误的工期，由总承包人承担。</w:t>
      </w:r>
    </w:p>
    <w:p w14:paraId="0A06AAA8">
      <w:pPr>
        <w:numPr>
          <w:ilvl w:val="1"/>
          <w:numId w:val="14"/>
        </w:numPr>
        <w:snapToGrid w:val="0"/>
        <w:spacing w:line="560" w:lineRule="exact"/>
        <w:ind w:left="0" w:firstLine="600" w:firstLineChars="200"/>
        <w:rPr>
          <w:rFonts w:ascii="Times New Roman" w:eastAsia="仿宋"/>
          <w:b/>
          <w:sz w:val="30"/>
          <w:szCs w:val="30"/>
          <w:lang w:eastAsia="zh-CN"/>
        </w:rPr>
      </w:pPr>
      <w:bookmarkStart w:id="729" w:name="_Toc21349"/>
      <w:bookmarkStart w:id="730" w:name="_Toc80863273"/>
      <w:bookmarkStart w:id="731" w:name="_Toc351203557"/>
      <w:bookmarkStart w:id="732" w:name="_Toc18489"/>
      <w:bookmarkStart w:id="733" w:name="_Toc16272"/>
      <w:bookmarkStart w:id="734" w:name="_Toc410035683"/>
      <w:bookmarkStart w:id="735" w:name="_Toc5044"/>
      <w:bookmarkStart w:id="736" w:name="_Toc524351809"/>
      <w:bookmarkStart w:id="737" w:name="_Toc23888"/>
      <w:bookmarkStart w:id="738" w:name="_Toc19805"/>
      <w:r>
        <w:rPr>
          <w:rFonts w:ascii="Times New Roman" w:eastAsia="仿宋"/>
          <w:b/>
          <w:sz w:val="30"/>
          <w:szCs w:val="30"/>
          <w:lang w:eastAsia="zh-CN"/>
        </w:rPr>
        <w:t>禁止使用不合格的材料和工程设备</w:t>
      </w:r>
      <w:bookmarkEnd w:id="729"/>
      <w:bookmarkEnd w:id="730"/>
      <w:bookmarkEnd w:id="731"/>
      <w:bookmarkEnd w:id="732"/>
      <w:bookmarkEnd w:id="733"/>
      <w:bookmarkEnd w:id="734"/>
      <w:bookmarkEnd w:id="735"/>
      <w:bookmarkEnd w:id="736"/>
      <w:bookmarkEnd w:id="737"/>
      <w:bookmarkEnd w:id="738"/>
    </w:p>
    <w:p w14:paraId="3CCDA727">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发包人或监理人有权拒绝总承包人提供的不合格材料或工程设备，并要求总承包人立即进行更换。监理人应在更换后再次进行检查和检验，由此增加的费用和（或）延误的工期由总承包人承担。</w:t>
      </w:r>
    </w:p>
    <w:p w14:paraId="38925EE2">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发包人或监理人发现总承包人使用了不合格的材料和工程设备，总承包人应按照发包人或监理人的指示立即改正，并禁止在工程中继续使用不合格的材料和工程设备。</w:t>
      </w:r>
    </w:p>
    <w:p w14:paraId="624EC42A">
      <w:pPr>
        <w:numPr>
          <w:ilvl w:val="1"/>
          <w:numId w:val="14"/>
        </w:numPr>
        <w:snapToGrid w:val="0"/>
        <w:spacing w:line="560" w:lineRule="exact"/>
        <w:ind w:left="0" w:firstLine="600" w:firstLineChars="200"/>
        <w:rPr>
          <w:rFonts w:ascii="Times New Roman" w:eastAsia="仿宋"/>
          <w:b/>
          <w:sz w:val="30"/>
          <w:szCs w:val="30"/>
        </w:rPr>
      </w:pPr>
      <w:bookmarkStart w:id="739" w:name="_Toc351203558"/>
      <w:bookmarkStart w:id="740" w:name="_Toc410035684"/>
      <w:bookmarkStart w:id="741" w:name="_Toc4824"/>
      <w:bookmarkStart w:id="742" w:name="_Toc15171"/>
      <w:bookmarkStart w:id="743" w:name="_Toc80863274"/>
      <w:bookmarkStart w:id="744" w:name="_Toc15002"/>
      <w:bookmarkStart w:id="745" w:name="_Toc12875"/>
      <w:bookmarkStart w:id="746" w:name="_Toc25205"/>
      <w:bookmarkStart w:id="747" w:name="_Toc23360"/>
      <w:bookmarkStart w:id="748" w:name="_Toc524351810"/>
      <w:r>
        <w:rPr>
          <w:rFonts w:ascii="Times New Roman" w:eastAsia="仿宋"/>
          <w:b/>
          <w:sz w:val="30"/>
          <w:szCs w:val="30"/>
        </w:rPr>
        <w:t>样品</w:t>
      </w:r>
      <w:bookmarkEnd w:id="739"/>
      <w:bookmarkEnd w:id="740"/>
      <w:r>
        <w:rPr>
          <w:rFonts w:ascii="Times New Roman" w:eastAsia="仿宋"/>
          <w:b/>
          <w:sz w:val="30"/>
          <w:szCs w:val="30"/>
        </w:rPr>
        <w:t>及样板</w:t>
      </w:r>
      <w:bookmarkEnd w:id="741"/>
      <w:bookmarkEnd w:id="742"/>
      <w:bookmarkEnd w:id="743"/>
      <w:bookmarkEnd w:id="744"/>
      <w:bookmarkEnd w:id="745"/>
      <w:bookmarkEnd w:id="746"/>
      <w:bookmarkEnd w:id="747"/>
      <w:bookmarkEnd w:id="748"/>
    </w:p>
    <w:p w14:paraId="02C864B7">
      <w:pPr>
        <w:numPr>
          <w:ilvl w:val="2"/>
          <w:numId w:val="14"/>
        </w:numPr>
        <w:tabs>
          <w:tab w:val="left" w:pos="1560"/>
        </w:tabs>
        <w:snapToGrid w:val="0"/>
        <w:spacing w:line="560" w:lineRule="exact"/>
        <w:ind w:left="0" w:firstLine="600" w:firstLineChars="200"/>
        <w:rPr>
          <w:rFonts w:ascii="Times New Roman" w:eastAsia="仿宋"/>
          <w:sz w:val="30"/>
          <w:szCs w:val="30"/>
        </w:rPr>
      </w:pPr>
      <w:r>
        <w:rPr>
          <w:rFonts w:hint="eastAsia" w:ascii="Times New Roman" w:eastAsia="仿宋"/>
          <w:sz w:val="30"/>
          <w:szCs w:val="30"/>
        </w:rPr>
        <w:t>样品的报送与封存</w:t>
      </w:r>
    </w:p>
    <w:p w14:paraId="5CCC71B5">
      <w:pPr>
        <w:snapToGrid w:val="0"/>
        <w:spacing w:line="560" w:lineRule="exact"/>
        <w:ind w:firstLine="600" w:firstLineChars="200"/>
        <w:rPr>
          <w:rFonts w:ascii="Times New Roman" w:eastAsia="仿宋"/>
          <w:sz w:val="30"/>
          <w:szCs w:val="30"/>
          <w:lang w:eastAsia="zh-CN"/>
        </w:rPr>
      </w:pPr>
      <w:bookmarkStart w:id="749" w:name="_Toc27260"/>
      <w:bookmarkStart w:id="750" w:name="_Toc29736"/>
      <w:bookmarkStart w:id="751" w:name="_Toc16805"/>
      <w:bookmarkStart w:id="752" w:name="_Toc3638"/>
      <w:r>
        <w:rPr>
          <w:rFonts w:ascii="Times New Roman" w:eastAsia="仿宋"/>
          <w:sz w:val="30"/>
          <w:szCs w:val="30"/>
          <w:lang w:eastAsia="zh-CN"/>
        </w:rPr>
        <w:t>总承包人需要根据合同文件中定样清单</w:t>
      </w:r>
      <w:r>
        <w:rPr>
          <w:rFonts w:hint="eastAsia" w:ascii="Times New Roman" w:eastAsia="仿宋"/>
          <w:sz w:val="30"/>
          <w:szCs w:val="30"/>
          <w:lang w:eastAsia="zh-CN"/>
        </w:rPr>
        <w:t>以及合同拟定的材料表品牌范围提供</w:t>
      </w:r>
      <w:r>
        <w:rPr>
          <w:rFonts w:ascii="Times New Roman" w:eastAsia="仿宋"/>
          <w:sz w:val="30"/>
          <w:szCs w:val="30"/>
          <w:lang w:eastAsia="zh-CN"/>
        </w:rPr>
        <w:t>乙供材料、工程设备的样品，样品的报送程序如下：</w:t>
      </w:r>
      <w:bookmarkEnd w:id="749"/>
      <w:bookmarkEnd w:id="750"/>
      <w:bookmarkEnd w:id="751"/>
      <w:bookmarkEnd w:id="752"/>
    </w:p>
    <w:p w14:paraId="2A33138F">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（1）总承包人应在定标后</w:t>
      </w:r>
      <w:r>
        <w:rPr>
          <w:rFonts w:hint="eastAsia" w:ascii="Times New Roman" w:eastAsia="仿宋"/>
          <w:sz w:val="30"/>
          <w:szCs w:val="30"/>
          <w:lang w:eastAsia="zh-CN"/>
        </w:rPr>
        <w:t>7天</w:t>
      </w:r>
      <w:r>
        <w:rPr>
          <w:rFonts w:ascii="Times New Roman" w:eastAsia="仿宋"/>
          <w:sz w:val="30"/>
          <w:szCs w:val="30"/>
          <w:lang w:eastAsia="zh-CN"/>
        </w:rPr>
        <w:t>天内向发包人或监理人报送样品。总承包人报送的样品均应来自供应材料的实际生产地，且提供的样品的规格、数量足以表明材料或工程设备的质量、型号、颜色、表面处理、质地、误差和其他要求的特征符合定样清单材料特征描述及材料表品牌范围。送样直至设计部及项目部对材料封样进行签字确认，否则需重新提供样品。</w:t>
      </w:r>
    </w:p>
    <w:p w14:paraId="04822786">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总承包人每次报送样品时应随附申报单，申报单应载明报送样品的相关数据和资料，并标明每件样品对应的图纸号，预留监理人批复意见栏。监理人应在收到总承包人报送的样品后7天向总承包人回复经发包人签认的样品审批意见。</w:t>
      </w:r>
    </w:p>
    <w:p w14:paraId="1032F99A">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（3）经发包人和监理人审批确认的样品应按约定的方法封样，封存的样品作为检验工程相关部分的标准之一。总承包人在施工过程中不得使用与样品不符的材料或工程设备。</w:t>
      </w:r>
    </w:p>
    <w:p w14:paraId="0E9E4C16">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（4）发包人和监理人对样品的审批确认仅为确认相关材料或工程设备的特征或用途，不得被理解为对合同的修改或改变，也并不减轻或免除总承包人任何的责任和义务。</w:t>
      </w:r>
    </w:p>
    <w:p w14:paraId="69D991E0">
      <w:pPr>
        <w:numPr>
          <w:ilvl w:val="2"/>
          <w:numId w:val="14"/>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样品的保管</w:t>
      </w:r>
    </w:p>
    <w:p w14:paraId="5ABE2CD1">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经批准的样品应由发包人和监理人负责封存并保存于发包人之指定地点，总承包人应在现场为保存样品提供适当和固定的场所并保持适当和良好的存储环境条件，相关费用由总承包人承担，并已包含于合同价款中。</w:t>
      </w:r>
    </w:p>
    <w:p w14:paraId="4CCA4416">
      <w:pPr>
        <w:numPr>
          <w:ilvl w:val="2"/>
          <w:numId w:val="14"/>
        </w:numPr>
        <w:tabs>
          <w:tab w:val="left" w:pos="1560"/>
        </w:tabs>
        <w:snapToGrid w:val="0"/>
        <w:spacing w:line="560" w:lineRule="exact"/>
        <w:ind w:left="0" w:firstLine="600" w:firstLineChars="200"/>
        <w:rPr>
          <w:rFonts w:ascii="Times New Roman" w:eastAsia="仿宋"/>
          <w:sz w:val="30"/>
          <w:szCs w:val="30"/>
        </w:rPr>
      </w:pPr>
      <w:r>
        <w:rPr>
          <w:rFonts w:ascii="Times New Roman" w:eastAsia="仿宋"/>
          <w:sz w:val="30"/>
          <w:szCs w:val="30"/>
        </w:rPr>
        <w:t>样板管理</w:t>
      </w:r>
    </w:p>
    <w:p w14:paraId="06A2EAFE">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总承包人进场后开工前需要根据项目样板规划清单编制样板实施计划及方案，并根据以下原则及技术标准和要求：</w:t>
      </w:r>
    </w:p>
    <w:p w14:paraId="331DD470">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（1）总承包人对于</w:t>
      </w:r>
      <w:r>
        <w:rPr>
          <w:rFonts w:hint="eastAsia" w:ascii="Times New Roman" w:eastAsia="仿宋"/>
          <w:sz w:val="30"/>
          <w:szCs w:val="30"/>
          <w:lang w:eastAsia="zh-CN"/>
        </w:rPr>
        <w:t>承接</w:t>
      </w:r>
      <w:r>
        <w:rPr>
          <w:rFonts w:ascii="Times New Roman" w:eastAsia="仿宋"/>
          <w:sz w:val="30"/>
          <w:szCs w:val="30"/>
          <w:lang w:eastAsia="zh-CN"/>
        </w:rPr>
        <w:t>范围内所有工艺施工前，应设置实体工艺样板（房/区），样板验收合格后方可大面积施工；</w:t>
      </w:r>
    </w:p>
    <w:p w14:paraId="1A6B8F14">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w:t>
      </w:r>
      <w:r>
        <w:rPr>
          <w:rFonts w:hint="eastAsia" w:ascii="Times New Roman" w:eastAsia="仿宋"/>
          <w:sz w:val="30"/>
          <w:szCs w:val="30"/>
          <w:lang w:eastAsia="zh-CN"/>
        </w:rPr>
        <w:t>若</w:t>
      </w:r>
      <w:r>
        <w:rPr>
          <w:rFonts w:ascii="Times New Roman" w:eastAsia="仿宋"/>
          <w:sz w:val="30"/>
          <w:szCs w:val="30"/>
          <w:lang w:eastAsia="zh-CN"/>
        </w:rPr>
        <w:t>同种工艺涉及不同班组，每组班组均需进行样板施工，样板验收合格后方可大面积施工；</w:t>
      </w:r>
    </w:p>
    <w:p w14:paraId="2B5CA332">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3</w:t>
      </w:r>
      <w:r>
        <w:rPr>
          <w:rFonts w:ascii="Times New Roman" w:eastAsia="仿宋"/>
          <w:sz w:val="30"/>
          <w:szCs w:val="30"/>
          <w:lang w:eastAsia="zh-CN"/>
        </w:rPr>
        <w:t>）总承包人应设置工作面移交样板；</w:t>
      </w:r>
    </w:p>
    <w:p w14:paraId="1BED8018">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4</w:t>
      </w:r>
      <w:r>
        <w:rPr>
          <w:rFonts w:ascii="Times New Roman" w:eastAsia="仿宋"/>
          <w:sz w:val="30"/>
          <w:szCs w:val="30"/>
          <w:lang w:eastAsia="zh-CN"/>
        </w:rPr>
        <w:t>）总承包人应设置</w:t>
      </w:r>
      <w:r>
        <w:rPr>
          <w:rFonts w:hint="eastAsia" w:ascii="Times New Roman" w:eastAsia="仿宋"/>
          <w:sz w:val="30"/>
          <w:szCs w:val="30"/>
          <w:lang w:eastAsia="zh-CN"/>
        </w:rPr>
        <w:t>交付</w:t>
      </w:r>
      <w:r>
        <w:rPr>
          <w:rFonts w:ascii="Times New Roman" w:eastAsia="仿宋"/>
          <w:sz w:val="30"/>
          <w:szCs w:val="30"/>
          <w:lang w:eastAsia="zh-CN"/>
        </w:rPr>
        <w:t>标准样板。</w:t>
      </w:r>
    </w:p>
    <w:p w14:paraId="0157E4C6">
      <w:pPr>
        <w:numPr>
          <w:ilvl w:val="1"/>
          <w:numId w:val="14"/>
        </w:numPr>
        <w:snapToGrid w:val="0"/>
        <w:spacing w:line="560" w:lineRule="exact"/>
        <w:ind w:left="0" w:firstLine="600" w:firstLineChars="200"/>
        <w:rPr>
          <w:rFonts w:ascii="Times New Roman" w:eastAsia="仿宋"/>
          <w:b/>
          <w:sz w:val="30"/>
          <w:szCs w:val="30"/>
        </w:rPr>
      </w:pPr>
      <w:bookmarkStart w:id="753" w:name="_Toc9163"/>
      <w:bookmarkStart w:id="754" w:name="_Toc410035685"/>
      <w:bookmarkStart w:id="755" w:name="_Toc14420"/>
      <w:bookmarkStart w:id="756" w:name="_Toc28245"/>
      <w:bookmarkStart w:id="757" w:name="_Toc4178"/>
      <w:bookmarkStart w:id="758" w:name="_Toc351203559"/>
      <w:bookmarkStart w:id="759" w:name="_Toc80863275"/>
      <w:bookmarkStart w:id="760" w:name="_Toc1178"/>
      <w:bookmarkStart w:id="761" w:name="_Toc524351811"/>
      <w:bookmarkStart w:id="762" w:name="_Toc12583"/>
      <w:r>
        <w:rPr>
          <w:rFonts w:ascii="Times New Roman" w:eastAsia="仿宋"/>
          <w:b/>
          <w:sz w:val="30"/>
          <w:szCs w:val="30"/>
        </w:rPr>
        <w:t>材料与工程设备的替代</w:t>
      </w:r>
      <w:bookmarkEnd w:id="753"/>
      <w:bookmarkEnd w:id="754"/>
      <w:bookmarkEnd w:id="755"/>
      <w:bookmarkEnd w:id="756"/>
      <w:bookmarkEnd w:id="757"/>
      <w:bookmarkEnd w:id="758"/>
      <w:bookmarkEnd w:id="759"/>
      <w:bookmarkEnd w:id="760"/>
      <w:bookmarkEnd w:id="761"/>
      <w:bookmarkEnd w:id="762"/>
    </w:p>
    <w:p w14:paraId="23F0416B">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hint="eastAsia" w:ascii="Times New Roman" w:eastAsia="仿宋"/>
          <w:sz w:val="30"/>
          <w:szCs w:val="30"/>
          <w:lang w:eastAsia="zh-CN"/>
        </w:rPr>
        <w:t>原则上不允许替换合同材料品牌表（详见合同技术标准及要求附件）范围以外的材料品牌，除非表内品牌均已停产，承包人需提供停产相关调研证明文件（如厂家通知书）。</w:t>
      </w:r>
      <w:r>
        <w:rPr>
          <w:rFonts w:ascii="Times New Roman" w:eastAsia="仿宋"/>
          <w:sz w:val="30"/>
          <w:szCs w:val="30"/>
          <w:lang w:eastAsia="zh-CN"/>
        </w:rPr>
        <w:t>出现下列情况需要使用替代材料和工程设备的，总承包人应按照第8.7.2条约定的程序执行：</w:t>
      </w:r>
    </w:p>
    <w:p w14:paraId="530A7645">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（1）基准日期后生效的法律规定禁止使用的；</w:t>
      </w:r>
    </w:p>
    <w:p w14:paraId="53681696">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（2）发包人要求使用替代品的；</w:t>
      </w:r>
    </w:p>
    <w:p w14:paraId="5B374EA9">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总承包人应在使用替代材料和工程设备28天前书面通知发包人和监理人，并附下列文件：</w:t>
      </w:r>
    </w:p>
    <w:p w14:paraId="73D17EE3">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（1）被替代的材料和工程设备的名称、数量、规格、型号、品牌、性能、价格及其他相关资料；</w:t>
      </w:r>
    </w:p>
    <w:p w14:paraId="46FDADF8">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（2）替代品的名称、数量、规格、型号、品牌、性能、价格及其他相关资料；</w:t>
      </w:r>
    </w:p>
    <w:p w14:paraId="0D07E554">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（3）替代品与被替代产品之间的差异以及使用替代品可能对工程产生的影响；</w:t>
      </w:r>
    </w:p>
    <w:p w14:paraId="02F58004">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（4）替代品与被替代产品的价格差异；</w:t>
      </w:r>
    </w:p>
    <w:p w14:paraId="1F3CCB48">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（5）使用替代品的理由和原因说明；</w:t>
      </w:r>
    </w:p>
    <w:p w14:paraId="7A4F5AFA">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（6）发包人要求的其他文件</w:t>
      </w:r>
      <w:r>
        <w:rPr>
          <w:rFonts w:hint="eastAsia" w:ascii="Times New Roman" w:eastAsia="仿宋"/>
          <w:sz w:val="30"/>
          <w:szCs w:val="30"/>
          <w:lang w:eastAsia="zh-CN"/>
        </w:rPr>
        <w:t>；</w:t>
      </w:r>
      <w:r>
        <w:rPr>
          <w:rFonts w:ascii="Times New Roman" w:eastAsia="仿宋"/>
          <w:sz w:val="30"/>
          <w:szCs w:val="30"/>
          <w:lang w:eastAsia="zh-CN"/>
        </w:rPr>
        <w:t>发包人同意使用替代的，由发包人向总承包人发出经签认书面指示。</w:t>
      </w:r>
    </w:p>
    <w:p w14:paraId="51622726">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认可使用替代材料和工程设备的，替代材料和工程设备的价格，按照工程量清单或预算书相同项目的价格认定；无相同项目的，参考相似项目价格认定；既无相同项目也无相似项目的，按发包人核定的合理市场价认定。</w:t>
      </w:r>
    </w:p>
    <w:p w14:paraId="3D84C03C">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因来源短缺或时间紧逼或有更好的选择，则总承包人也可提交使用替代材料和工程设备的建议给发包人考虑，发包人有绝对权力批准或不批准。在获得批准之前，替代的建议不能实行。批准了的建议不能增加费用，除非在批准时费用增加已获发包人接纳。批准了的建议若较廉宜，有关的建议视为发包人指示的变更，其减账按合同规定计算，合同总价相应调整。</w:t>
      </w:r>
    </w:p>
    <w:p w14:paraId="28CF9910">
      <w:pPr>
        <w:numPr>
          <w:ilvl w:val="1"/>
          <w:numId w:val="14"/>
        </w:numPr>
        <w:snapToGrid w:val="0"/>
        <w:spacing w:line="560" w:lineRule="exact"/>
        <w:ind w:left="0" w:firstLine="600" w:firstLineChars="200"/>
        <w:rPr>
          <w:rFonts w:ascii="Times New Roman" w:eastAsia="仿宋"/>
          <w:b/>
          <w:sz w:val="30"/>
          <w:szCs w:val="30"/>
        </w:rPr>
      </w:pPr>
      <w:bookmarkStart w:id="763" w:name="_Toc410035686"/>
      <w:bookmarkStart w:id="764" w:name="_Toc524351812"/>
      <w:bookmarkStart w:id="765" w:name="_Toc351203560"/>
      <w:bookmarkStart w:id="766" w:name="_Toc18763"/>
      <w:bookmarkStart w:id="767" w:name="_Toc25309"/>
      <w:bookmarkStart w:id="768" w:name="_Toc3687"/>
      <w:bookmarkStart w:id="769" w:name="_Toc28946"/>
      <w:bookmarkStart w:id="770" w:name="_Toc80863276"/>
      <w:bookmarkStart w:id="771" w:name="_Toc7969"/>
      <w:bookmarkStart w:id="772" w:name="_Toc6149"/>
      <w:r>
        <w:rPr>
          <w:rFonts w:ascii="Times New Roman" w:eastAsia="仿宋"/>
          <w:b/>
          <w:sz w:val="30"/>
          <w:szCs w:val="30"/>
        </w:rPr>
        <w:t>施工设备和临时设施</w:t>
      </w:r>
      <w:bookmarkEnd w:id="763"/>
      <w:bookmarkEnd w:id="764"/>
      <w:bookmarkEnd w:id="765"/>
      <w:bookmarkEnd w:id="766"/>
      <w:bookmarkEnd w:id="767"/>
      <w:bookmarkEnd w:id="768"/>
      <w:bookmarkEnd w:id="769"/>
      <w:bookmarkEnd w:id="770"/>
      <w:bookmarkEnd w:id="771"/>
      <w:bookmarkEnd w:id="772"/>
    </w:p>
    <w:p w14:paraId="3F2FB76E">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总承包人提供的施工设备和临时设施</w:t>
      </w:r>
    </w:p>
    <w:p w14:paraId="249CCEC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合同进度计划的要求，及时配置施工设备和修建临时设施。进入施工场地的总承包人设备和临时设施，需通过国家或当地政府部门的验收并取的相应的合格证书的，应先通过相应的验收并取得证书，并经发包人和监理人核查后才能投入使用。未经通过政府竣工验收未取得相应合格证书的，由此产生的一切风险和责任由总承包人承担。总承包人更换合同约定的总承包人设备的，应报发包人批准。</w:t>
      </w:r>
    </w:p>
    <w:p w14:paraId="2EB57DA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总承包人应自行承担修建临时设施的费用，包括在不需要时拆除。</w:t>
      </w:r>
    </w:p>
    <w:p w14:paraId="03A1ABC9">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发包人提供的施工设备和临时设施</w:t>
      </w:r>
    </w:p>
    <w:p w14:paraId="6C48022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发包人提供的施工设备和临时设施详见技术标准和要求中附件“场地移交清单”，发包人移交予总承包人后，由总承包人负责照管维护，保证设备的正常使用，或后期的拆除换新，相关费用已包含于合同价款中。</w:t>
      </w:r>
    </w:p>
    <w:p w14:paraId="21868A1A">
      <w:pPr>
        <w:numPr>
          <w:ilvl w:val="2"/>
          <w:numId w:val="14"/>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要求总承包人增加或更换施工设备</w:t>
      </w:r>
    </w:p>
    <w:p w14:paraId="416CC05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总承包人使用的施工设备不能满足合同进度计划和（或）质量要求时，发包人有权要求总承包人增加或更换施工设备，总承包人应及时增加或更换，由此增加的费用和（或）延误的工期由总承包人承担。</w:t>
      </w:r>
    </w:p>
    <w:p w14:paraId="041AB819">
      <w:pPr>
        <w:numPr>
          <w:ilvl w:val="1"/>
          <w:numId w:val="14"/>
        </w:numPr>
        <w:snapToGrid w:val="0"/>
        <w:spacing w:line="560" w:lineRule="exact"/>
        <w:ind w:left="0" w:firstLine="600" w:firstLineChars="200"/>
        <w:rPr>
          <w:rFonts w:ascii="Times New Roman" w:eastAsia="仿宋"/>
          <w:b/>
          <w:sz w:val="30"/>
          <w:szCs w:val="30"/>
        </w:rPr>
      </w:pPr>
      <w:bookmarkStart w:id="773" w:name="_Toc351203561"/>
      <w:bookmarkStart w:id="774" w:name="_Toc296503063"/>
      <w:bookmarkStart w:id="775" w:name="_Toc80863277"/>
      <w:bookmarkStart w:id="776" w:name="_Toc21872"/>
      <w:bookmarkStart w:id="777" w:name="_Toc524351813"/>
      <w:bookmarkStart w:id="778" w:name="_Toc337558781"/>
      <w:bookmarkStart w:id="779" w:name="_Toc10312"/>
      <w:bookmarkStart w:id="780" w:name="_Toc587"/>
      <w:bookmarkStart w:id="781" w:name="_Toc296346564"/>
      <w:bookmarkStart w:id="782" w:name="_Toc410035687"/>
      <w:bookmarkStart w:id="783" w:name="_Toc25118"/>
      <w:bookmarkStart w:id="784" w:name="_Toc6982"/>
      <w:bookmarkStart w:id="785" w:name="_Toc19693"/>
      <w:r>
        <w:rPr>
          <w:rFonts w:ascii="Times New Roman" w:eastAsia="仿宋"/>
          <w:b/>
          <w:sz w:val="30"/>
          <w:szCs w:val="30"/>
        </w:rPr>
        <w:t>材料与设备专用</w:t>
      </w:r>
      <w:bookmarkEnd w:id="773"/>
      <w:r>
        <w:rPr>
          <w:rFonts w:ascii="Times New Roman" w:eastAsia="仿宋"/>
          <w:b/>
          <w:sz w:val="30"/>
          <w:szCs w:val="30"/>
        </w:rPr>
        <w:t>要求</w:t>
      </w:r>
      <w:bookmarkEnd w:id="774"/>
      <w:bookmarkEnd w:id="775"/>
      <w:bookmarkEnd w:id="776"/>
      <w:bookmarkEnd w:id="777"/>
      <w:bookmarkEnd w:id="778"/>
      <w:bookmarkEnd w:id="779"/>
      <w:bookmarkEnd w:id="780"/>
      <w:bookmarkEnd w:id="781"/>
      <w:bookmarkEnd w:id="782"/>
      <w:bookmarkEnd w:id="783"/>
      <w:bookmarkEnd w:id="784"/>
      <w:bookmarkEnd w:id="785"/>
    </w:p>
    <w:p w14:paraId="1015544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总承包人运入施工现场的材料、工程设备、施工设备以及在施工场地建设的临时设施，包括备品备件、安装工具与资料，必须专用于工程。未经发包人批准，总承包人不得运出施工现场或挪作他用；</w:t>
      </w:r>
      <w:bookmarkEnd w:id="689"/>
      <w:r>
        <w:rPr>
          <w:rFonts w:ascii="Times New Roman" w:eastAsia="仿宋"/>
          <w:sz w:val="30"/>
          <w:szCs w:val="30"/>
          <w:lang w:eastAsia="zh-CN"/>
        </w:rPr>
        <w:t>经发包人批准，总承包人可以根据施工进度计划撤走闲置的施工设备和其他物品。</w:t>
      </w:r>
    </w:p>
    <w:p w14:paraId="1D4FD0D0">
      <w:pPr>
        <w:pStyle w:val="4"/>
        <w:jc w:val="left"/>
        <w:rPr>
          <w:rFonts w:ascii="Times New Roman"/>
          <w:lang w:eastAsia="zh-CN"/>
        </w:rPr>
      </w:pPr>
      <w:bookmarkStart w:id="786" w:name="_Toc41574016"/>
      <w:bookmarkStart w:id="787" w:name="_Toc82531192"/>
      <w:bookmarkStart w:id="788" w:name="_Toc351203562"/>
      <w:bookmarkStart w:id="789" w:name="_Toc524351814"/>
      <w:bookmarkStart w:id="790" w:name="_Toc9275"/>
      <w:bookmarkStart w:id="791" w:name="_Toc8679"/>
      <w:bookmarkStart w:id="792" w:name="_Toc410035688"/>
      <w:bookmarkStart w:id="793" w:name="_Toc15036"/>
      <w:bookmarkStart w:id="794" w:name="_Toc144742724"/>
      <w:bookmarkStart w:id="795" w:name="_Toc80863278"/>
      <w:bookmarkStart w:id="796" w:name="_Toc1903"/>
      <w:bookmarkStart w:id="797" w:name="_Toc41499754"/>
      <w:bookmarkStart w:id="798" w:name="_Toc25114"/>
      <w:bookmarkStart w:id="799" w:name="_Toc30019"/>
      <w:bookmarkStart w:id="800" w:name="_Toc30257"/>
      <w:bookmarkStart w:id="801" w:name="_Toc337558782"/>
      <w:bookmarkStart w:id="802" w:name="_Toc296346584"/>
      <w:bookmarkStart w:id="803" w:name="_Toc296503083"/>
      <w:r>
        <w:rPr>
          <w:rFonts w:ascii="Times New Roman"/>
          <w:lang w:eastAsia="zh-CN"/>
        </w:rPr>
        <w:t>9. 试验与检验</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1A0A6FF1">
      <w:pPr>
        <w:pStyle w:val="50"/>
        <w:numPr>
          <w:ilvl w:val="1"/>
          <w:numId w:val="15"/>
        </w:numPr>
        <w:snapToGrid w:val="0"/>
        <w:spacing w:line="560" w:lineRule="exact"/>
        <w:ind w:firstLineChars="0"/>
        <w:rPr>
          <w:rFonts w:ascii="Times New Roman" w:eastAsia="仿宋"/>
          <w:b/>
          <w:sz w:val="30"/>
          <w:szCs w:val="30"/>
        </w:rPr>
      </w:pPr>
      <w:bookmarkStart w:id="804" w:name="_Toc410035689"/>
      <w:bookmarkStart w:id="805" w:name="_Toc7107"/>
      <w:bookmarkStart w:id="806" w:name="_Toc80863279"/>
      <w:bookmarkStart w:id="807" w:name="_Toc3140"/>
      <w:bookmarkStart w:id="808" w:name="_Toc4430"/>
      <w:bookmarkStart w:id="809" w:name="_Toc27015"/>
      <w:bookmarkStart w:id="810" w:name="_Toc21733"/>
      <w:bookmarkStart w:id="811" w:name="_Toc3924"/>
      <w:bookmarkStart w:id="812" w:name="_Toc524351815"/>
      <w:r>
        <w:rPr>
          <w:rFonts w:ascii="Times New Roman" w:eastAsia="仿宋"/>
          <w:b/>
          <w:sz w:val="30"/>
          <w:szCs w:val="30"/>
        </w:rPr>
        <w:t>试验设备与试验人员</w:t>
      </w:r>
      <w:bookmarkEnd w:id="804"/>
      <w:bookmarkEnd w:id="805"/>
      <w:bookmarkEnd w:id="806"/>
      <w:bookmarkEnd w:id="807"/>
      <w:bookmarkEnd w:id="808"/>
      <w:bookmarkEnd w:id="809"/>
      <w:bookmarkEnd w:id="810"/>
      <w:bookmarkEnd w:id="811"/>
      <w:bookmarkEnd w:id="812"/>
    </w:p>
    <w:p w14:paraId="1D7522C1">
      <w:pPr>
        <w:numPr>
          <w:ilvl w:val="2"/>
          <w:numId w:val="15"/>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根据合同约定或发包人和监理人指示进行的现场材料试验，应由总承包人提供试验场所、试验人员、试验设备以及其他必要的试验条件。发包人和监理人在必要时可以使用总承包人提供的试验场所、试验设备以及其他试验条件，进行以工程质量检查为目的的材料复核试验，总承包人应予以协助，相关费用包含在合同价款中。</w:t>
      </w:r>
      <w:bookmarkEnd w:id="801"/>
    </w:p>
    <w:p w14:paraId="31C3146A">
      <w:pPr>
        <w:numPr>
          <w:ilvl w:val="2"/>
          <w:numId w:val="15"/>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总承包人应提供试验设备、取样装置、试验场所和试验条件，并向发包人/监理人提交相应进场计划表。</w:t>
      </w:r>
    </w:p>
    <w:p w14:paraId="23F2F93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总承包人配置的试验设备要符合相应试验规程的要求并经过具有资质的检测单位检测，且在正式使用该试验设备前，需要经过发包人、监理人与总承包人共同校定。</w:t>
      </w:r>
    </w:p>
    <w:p w14:paraId="3B50144A">
      <w:pPr>
        <w:numPr>
          <w:ilvl w:val="2"/>
          <w:numId w:val="15"/>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总承包人应向发包人和监理人提交试验人员的名单及其岗位、资格等证明资料，试验人员必须能够熟练进行相应的检测试验，总承包人对试验人员的试验程序和试验结果的正确性负责。</w:t>
      </w:r>
    </w:p>
    <w:p w14:paraId="0A273C25">
      <w:pPr>
        <w:numPr>
          <w:ilvl w:val="1"/>
          <w:numId w:val="15"/>
        </w:numPr>
        <w:snapToGrid w:val="0"/>
        <w:spacing w:line="560" w:lineRule="exact"/>
        <w:ind w:left="0" w:firstLine="600" w:firstLineChars="200"/>
        <w:rPr>
          <w:rFonts w:ascii="Times New Roman" w:eastAsia="仿宋"/>
          <w:b/>
          <w:sz w:val="30"/>
          <w:szCs w:val="30"/>
        </w:rPr>
      </w:pPr>
      <w:bookmarkStart w:id="813" w:name="_Toc31373"/>
      <w:bookmarkStart w:id="814" w:name="_Toc6459"/>
      <w:bookmarkStart w:id="815" w:name="_Toc31443"/>
      <w:bookmarkStart w:id="816" w:name="_Toc21812"/>
      <w:bookmarkStart w:id="817" w:name="_Toc410035690"/>
      <w:bookmarkStart w:id="818" w:name="_Toc1052"/>
      <w:bookmarkStart w:id="819" w:name="_Toc80863280"/>
      <w:bookmarkStart w:id="820" w:name="_Toc524351816"/>
      <w:bookmarkStart w:id="821" w:name="_Toc4222"/>
      <w:bookmarkStart w:id="822" w:name="_Toc351203564"/>
      <w:bookmarkStart w:id="823" w:name="_Toc337558784"/>
      <w:r>
        <w:rPr>
          <w:rFonts w:ascii="Times New Roman" w:eastAsia="仿宋"/>
          <w:b/>
          <w:sz w:val="30"/>
          <w:szCs w:val="30"/>
        </w:rPr>
        <w:t>取样</w:t>
      </w:r>
      <w:bookmarkEnd w:id="813"/>
      <w:bookmarkEnd w:id="814"/>
      <w:bookmarkEnd w:id="815"/>
      <w:bookmarkEnd w:id="816"/>
      <w:bookmarkEnd w:id="817"/>
      <w:bookmarkEnd w:id="818"/>
      <w:bookmarkEnd w:id="819"/>
      <w:bookmarkEnd w:id="820"/>
      <w:bookmarkEnd w:id="821"/>
      <w:bookmarkEnd w:id="822"/>
      <w:bookmarkEnd w:id="823"/>
    </w:p>
    <w:p w14:paraId="1E3B021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试验属于自检性质的，总承包人可以单独取样。试验属于发包人和监理人抽检性质的，可由发包人和监理人取样，也可由总承包人的试验人员在发包人和监理人的监督下取样。</w:t>
      </w:r>
    </w:p>
    <w:p w14:paraId="58CB7A4D">
      <w:pPr>
        <w:numPr>
          <w:ilvl w:val="1"/>
          <w:numId w:val="15"/>
        </w:numPr>
        <w:snapToGrid w:val="0"/>
        <w:spacing w:line="560" w:lineRule="exact"/>
        <w:ind w:left="0" w:firstLine="600" w:firstLineChars="200"/>
        <w:rPr>
          <w:rFonts w:ascii="Times New Roman" w:eastAsia="仿宋"/>
          <w:b/>
          <w:sz w:val="30"/>
          <w:szCs w:val="30"/>
          <w:lang w:eastAsia="zh-CN"/>
        </w:rPr>
      </w:pPr>
      <w:bookmarkStart w:id="824" w:name="_Toc6887"/>
      <w:bookmarkStart w:id="825" w:name="_Toc80863281"/>
      <w:bookmarkStart w:id="826" w:name="_Toc1610"/>
      <w:bookmarkStart w:id="827" w:name="_Toc8889"/>
      <w:bookmarkStart w:id="828" w:name="_Toc524351817"/>
      <w:bookmarkStart w:id="829" w:name="_Toc351203565"/>
      <w:bookmarkStart w:id="830" w:name="_Toc8463"/>
      <w:bookmarkStart w:id="831" w:name="_Toc12503"/>
      <w:bookmarkStart w:id="832" w:name="_Toc32311"/>
      <w:bookmarkStart w:id="833" w:name="_Toc410035691"/>
      <w:bookmarkStart w:id="834" w:name="_Toc337558785"/>
      <w:r>
        <w:rPr>
          <w:rFonts w:ascii="Times New Roman" w:eastAsia="仿宋"/>
          <w:b/>
          <w:sz w:val="30"/>
          <w:szCs w:val="30"/>
          <w:lang w:eastAsia="zh-CN"/>
        </w:rPr>
        <w:t>材料、工程设备和工程的试验和检验</w:t>
      </w:r>
      <w:bookmarkEnd w:id="824"/>
      <w:bookmarkEnd w:id="825"/>
      <w:bookmarkEnd w:id="826"/>
      <w:bookmarkEnd w:id="827"/>
      <w:bookmarkEnd w:id="828"/>
      <w:bookmarkEnd w:id="829"/>
      <w:bookmarkEnd w:id="830"/>
      <w:bookmarkEnd w:id="831"/>
      <w:bookmarkEnd w:id="832"/>
      <w:bookmarkEnd w:id="833"/>
    </w:p>
    <w:p w14:paraId="111FCF4A">
      <w:pPr>
        <w:numPr>
          <w:ilvl w:val="2"/>
          <w:numId w:val="15"/>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按合同约定进行材料、工程设备和工程的试验和检验，并为监理人对上述材料、工程设备和工程的质量检查提供必要的试验资料和原始记录。按合同约定应由发包人、监理人与总承包人共同进行试验和检验的，由总承包人负责提供必要的试验资料和原始记录。</w:t>
      </w:r>
    </w:p>
    <w:p w14:paraId="0C601244">
      <w:pPr>
        <w:tabs>
          <w:tab w:val="left" w:pos="1560"/>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及其授权的监理人或第三方，在不妨碍总承包人正常作业的情况下，具有对任何施工区域进行质量监督、检查、检验、检测和试验的权利，承包人应为此类质量检查活动提供便利。经质检发现因总承包人原因引起的质量缺陷时，发包人有权下达修复、暂停、拆除、返工、重新施工、更换等指令。由此增加的费用由总承包人承担，竣工日期不予延期。</w:t>
      </w:r>
      <w:bookmarkEnd w:id="834"/>
    </w:p>
    <w:p w14:paraId="5CA98003">
      <w:pPr>
        <w:numPr>
          <w:ilvl w:val="2"/>
          <w:numId w:val="15"/>
        </w:numPr>
        <w:tabs>
          <w:tab w:val="left" w:pos="1560"/>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和监理人对总承包人的试验和检验结果有异议的，或为查清总承包人试验和检验成果的可靠性要求总承包人重新试验和检验的，可由发包人、监理人与总承包人共同进行。重新试验和检验的结果证明该项材料、工程设备或工程的质量不符合合同要求的，由此增加的费用和（或）延误的工期由总承包人承担；重新试验和检验结果证明该项材料、工程设备和工程符合合同要求的，由此增加的费用和（或）延误的工期由发包人承担。</w:t>
      </w:r>
    </w:p>
    <w:p w14:paraId="6DA0CD9A">
      <w:pPr>
        <w:numPr>
          <w:ilvl w:val="1"/>
          <w:numId w:val="15"/>
        </w:numPr>
        <w:snapToGrid w:val="0"/>
        <w:spacing w:line="560" w:lineRule="exact"/>
        <w:ind w:left="0" w:firstLine="600" w:firstLineChars="200"/>
        <w:rPr>
          <w:rFonts w:ascii="Times New Roman" w:eastAsia="仿宋"/>
          <w:b/>
          <w:sz w:val="30"/>
          <w:szCs w:val="30"/>
        </w:rPr>
      </w:pPr>
      <w:bookmarkStart w:id="835" w:name="_Toc410035692"/>
      <w:bookmarkStart w:id="836" w:name="_Toc14824"/>
      <w:bookmarkStart w:id="837" w:name="_Toc80863282"/>
      <w:bookmarkStart w:id="838" w:name="_Toc3093"/>
      <w:bookmarkStart w:id="839" w:name="_Toc337558786"/>
      <w:bookmarkStart w:id="840" w:name="_Toc351203566"/>
      <w:bookmarkStart w:id="841" w:name="_Toc7861"/>
      <w:bookmarkStart w:id="842" w:name="_Toc17115"/>
      <w:bookmarkStart w:id="843" w:name="_Toc29600"/>
      <w:bookmarkStart w:id="844" w:name="_Toc25606"/>
      <w:bookmarkStart w:id="845" w:name="_Toc524351818"/>
      <w:r>
        <w:rPr>
          <w:rFonts w:ascii="Times New Roman" w:eastAsia="仿宋"/>
          <w:b/>
          <w:sz w:val="30"/>
          <w:szCs w:val="30"/>
        </w:rPr>
        <w:t>现场工艺试验</w:t>
      </w:r>
      <w:bookmarkEnd w:id="835"/>
      <w:bookmarkEnd w:id="836"/>
      <w:bookmarkEnd w:id="837"/>
      <w:bookmarkEnd w:id="838"/>
      <w:bookmarkEnd w:id="839"/>
      <w:bookmarkEnd w:id="840"/>
      <w:bookmarkEnd w:id="841"/>
      <w:bookmarkEnd w:id="842"/>
      <w:bookmarkEnd w:id="843"/>
      <w:bookmarkEnd w:id="844"/>
      <w:bookmarkEnd w:id="845"/>
    </w:p>
    <w:p w14:paraId="4CFC76F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发包人和监理人指示进行现场工艺试验。对大型的现场工艺试验，发包人和监理人认为必要时，总承包人应根据发包人和监理人提出的工艺试验要求，编制工艺试验措施计划，报送发包人和监理人审查。</w:t>
      </w:r>
    </w:p>
    <w:p w14:paraId="0C6CE2D6">
      <w:pPr>
        <w:pStyle w:val="4"/>
        <w:jc w:val="left"/>
        <w:rPr>
          <w:rFonts w:ascii="Times New Roman"/>
          <w:lang w:eastAsia="zh-CN"/>
        </w:rPr>
      </w:pPr>
      <w:bookmarkStart w:id="846" w:name="_Toc80863283"/>
      <w:bookmarkStart w:id="847" w:name="_Toc351203567"/>
      <w:bookmarkStart w:id="848" w:name="_Toc410035693"/>
      <w:bookmarkStart w:id="849" w:name="_Toc1883"/>
      <w:bookmarkStart w:id="850" w:name="_Toc524351819"/>
      <w:bookmarkStart w:id="851" w:name="_Toc41499755"/>
      <w:bookmarkStart w:id="852" w:name="_Toc20102"/>
      <w:bookmarkStart w:id="853" w:name="_Toc30288"/>
      <w:bookmarkStart w:id="854" w:name="_Toc9588"/>
      <w:bookmarkStart w:id="855" w:name="_Toc32034"/>
      <w:bookmarkStart w:id="856" w:name="_Toc41574017"/>
      <w:bookmarkStart w:id="857" w:name="_Toc82531193"/>
      <w:bookmarkStart w:id="858" w:name="_Toc25622"/>
      <w:bookmarkStart w:id="859" w:name="_Toc111"/>
      <w:bookmarkStart w:id="860" w:name="_Toc144742725"/>
      <w:r>
        <w:rPr>
          <w:rFonts w:ascii="Times New Roman"/>
          <w:lang w:eastAsia="zh-CN"/>
        </w:rPr>
        <w:t>10. 变更</w:t>
      </w:r>
      <w:bookmarkEnd w:id="802"/>
      <w:bookmarkEnd w:id="803"/>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Start w:id="861" w:name="_Toc337558787"/>
    </w:p>
    <w:p w14:paraId="4846DDF2">
      <w:pPr>
        <w:pStyle w:val="50"/>
        <w:numPr>
          <w:ilvl w:val="1"/>
          <w:numId w:val="16"/>
        </w:numPr>
        <w:snapToGrid w:val="0"/>
        <w:spacing w:line="560" w:lineRule="exact"/>
        <w:ind w:firstLineChars="0"/>
        <w:rPr>
          <w:rFonts w:ascii="Times New Roman" w:eastAsia="仿宋"/>
          <w:b/>
          <w:sz w:val="30"/>
          <w:szCs w:val="30"/>
        </w:rPr>
      </w:pPr>
      <w:bookmarkStart w:id="862" w:name="_Toc12369"/>
      <w:bookmarkStart w:id="863" w:name="_Toc524351820"/>
      <w:bookmarkStart w:id="864" w:name="_Toc24462"/>
      <w:bookmarkStart w:id="865" w:name="_Toc80863284"/>
      <w:bookmarkStart w:id="866" w:name="_Toc7736"/>
      <w:bookmarkStart w:id="867" w:name="_Toc20645"/>
      <w:bookmarkStart w:id="868" w:name="_Toc9385"/>
      <w:bookmarkStart w:id="869" w:name="_Toc13884"/>
      <w:bookmarkStart w:id="870" w:name="_Toc410035694"/>
      <w:r>
        <w:rPr>
          <w:rFonts w:ascii="Times New Roman" w:eastAsia="仿宋"/>
          <w:b/>
          <w:sz w:val="30"/>
          <w:szCs w:val="30"/>
        </w:rPr>
        <w:t>变更的范围</w:t>
      </w:r>
      <w:bookmarkEnd w:id="861"/>
      <w:bookmarkEnd w:id="862"/>
      <w:bookmarkEnd w:id="863"/>
      <w:bookmarkEnd w:id="864"/>
      <w:bookmarkEnd w:id="865"/>
      <w:bookmarkEnd w:id="866"/>
      <w:bookmarkEnd w:id="867"/>
      <w:bookmarkEnd w:id="868"/>
      <w:bookmarkEnd w:id="869"/>
      <w:bookmarkEnd w:id="870"/>
    </w:p>
    <w:p w14:paraId="61BD5B3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以发包人要求的变更通知文件为准。</w:t>
      </w:r>
    </w:p>
    <w:p w14:paraId="38611FB4">
      <w:pPr>
        <w:numPr>
          <w:ilvl w:val="1"/>
          <w:numId w:val="16"/>
        </w:numPr>
        <w:snapToGrid w:val="0"/>
        <w:spacing w:line="560" w:lineRule="exact"/>
        <w:ind w:left="0" w:firstLine="600" w:firstLineChars="200"/>
        <w:rPr>
          <w:rFonts w:ascii="Times New Roman" w:eastAsia="仿宋"/>
          <w:b/>
          <w:sz w:val="30"/>
          <w:szCs w:val="30"/>
        </w:rPr>
      </w:pPr>
      <w:bookmarkStart w:id="871" w:name="_Toc22005"/>
      <w:bookmarkStart w:id="872" w:name="_Toc24256"/>
      <w:bookmarkStart w:id="873" w:name="_Toc30685"/>
      <w:bookmarkStart w:id="874" w:name="_Toc14432"/>
      <w:bookmarkStart w:id="875" w:name="_Toc3267"/>
      <w:bookmarkStart w:id="876" w:name="_Toc21606"/>
      <w:bookmarkStart w:id="877" w:name="_Toc351203569"/>
      <w:bookmarkStart w:id="878" w:name="_Toc337558789"/>
      <w:bookmarkStart w:id="879" w:name="_Toc296503085"/>
      <w:bookmarkStart w:id="880" w:name="_Toc296346586"/>
      <w:bookmarkStart w:id="881" w:name="_Toc524351821"/>
      <w:bookmarkStart w:id="882" w:name="_Toc80863285"/>
      <w:bookmarkStart w:id="883" w:name="_Toc410035695"/>
      <w:bookmarkStart w:id="884" w:name="_Toc26634"/>
      <w:bookmarkStart w:id="885" w:name="_Toc27499"/>
      <w:bookmarkStart w:id="886" w:name="_Toc7957"/>
      <w:bookmarkStart w:id="887" w:name="_Toc410035696"/>
      <w:bookmarkStart w:id="888" w:name="_Toc32147"/>
      <w:bookmarkStart w:id="889" w:name="_Toc2891"/>
      <w:bookmarkStart w:id="890" w:name="_Toc28910"/>
      <w:bookmarkStart w:id="891" w:name="_Toc524351822"/>
      <w:bookmarkStart w:id="892" w:name="_Toc351203570"/>
      <w:bookmarkStart w:id="893" w:name="_Toc296346587"/>
      <w:bookmarkStart w:id="894" w:name="_Toc296503086"/>
      <w:bookmarkStart w:id="895" w:name="_Toc337558790"/>
      <w:r>
        <w:rPr>
          <w:rFonts w:ascii="Times New Roman" w:eastAsia="仿宋"/>
          <w:b/>
          <w:sz w:val="30"/>
          <w:szCs w:val="30"/>
        </w:rPr>
        <w:t>变更权</w:t>
      </w:r>
      <w:bookmarkEnd w:id="871"/>
      <w:bookmarkEnd w:id="872"/>
      <w:bookmarkEnd w:id="873"/>
      <w:bookmarkEnd w:id="874"/>
      <w:bookmarkEnd w:id="875"/>
      <w:bookmarkEnd w:id="876"/>
      <w:bookmarkEnd w:id="877"/>
      <w:bookmarkEnd w:id="878"/>
      <w:bookmarkEnd w:id="879"/>
      <w:bookmarkEnd w:id="880"/>
      <w:bookmarkEnd w:id="881"/>
      <w:bookmarkEnd w:id="882"/>
      <w:bookmarkEnd w:id="883"/>
    </w:p>
    <w:p w14:paraId="010A044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实施和完成本工程的任何时间，发包人可以提出变更。总承包人收到经发包人签认的变更指示后，方可实施变更，否则视为总承包人擅自进行的变更，总承包人实施后将不予结算且发包人有权要求总承包人予以恢复或要求赔偿其损失。未经许可，总承包人不得擅自对工程的任何部分进行变更。</w:t>
      </w:r>
    </w:p>
    <w:p w14:paraId="7851C62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涉及设计变更的，应由发包人提供变更后的图纸和说明。如变更超过原设计标准或批准的建设规模时，发包人应及时办理规划、设计变更等审批手续。</w:t>
      </w:r>
    </w:p>
    <w:p w14:paraId="742B4A70">
      <w:pPr>
        <w:numPr>
          <w:ilvl w:val="1"/>
          <w:numId w:val="16"/>
        </w:numPr>
        <w:snapToGrid w:val="0"/>
        <w:spacing w:line="560" w:lineRule="exact"/>
        <w:ind w:left="0" w:firstLine="600" w:firstLineChars="200"/>
        <w:rPr>
          <w:rFonts w:ascii="Times New Roman" w:eastAsia="仿宋"/>
          <w:b/>
          <w:sz w:val="30"/>
          <w:szCs w:val="30"/>
        </w:rPr>
      </w:pPr>
      <w:bookmarkStart w:id="896" w:name="_Toc80863286"/>
      <w:r>
        <w:rPr>
          <w:rFonts w:hint="eastAsia" w:ascii="Times New Roman" w:eastAsia="仿宋"/>
          <w:b/>
          <w:sz w:val="30"/>
          <w:szCs w:val="30"/>
        </w:rPr>
        <w:t>变更程序</w:t>
      </w:r>
      <w:bookmarkEnd w:id="884"/>
      <w:bookmarkEnd w:id="885"/>
      <w:bookmarkEnd w:id="886"/>
      <w:bookmarkEnd w:id="887"/>
      <w:bookmarkEnd w:id="888"/>
      <w:bookmarkEnd w:id="889"/>
      <w:bookmarkEnd w:id="890"/>
      <w:bookmarkEnd w:id="891"/>
      <w:bookmarkEnd w:id="892"/>
      <w:bookmarkEnd w:id="896"/>
    </w:p>
    <w:p w14:paraId="3BD39DB4">
      <w:pPr>
        <w:numPr>
          <w:ilvl w:val="2"/>
          <w:numId w:val="16"/>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发包人提出变更</w:t>
      </w:r>
      <w:bookmarkEnd w:id="893"/>
      <w:bookmarkEnd w:id="894"/>
      <w:bookmarkEnd w:id="895"/>
    </w:p>
    <w:p w14:paraId="4055D55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发包人提出变更的，应向总承包人发出变更指示，变更指示应说明计划变更的工程范围和变更的内容。</w:t>
      </w:r>
    </w:p>
    <w:p w14:paraId="37E62101">
      <w:pPr>
        <w:numPr>
          <w:ilvl w:val="2"/>
          <w:numId w:val="16"/>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监理人提出变更建议</w:t>
      </w:r>
    </w:p>
    <w:p w14:paraId="128CF84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监理人提出变更建议的，需要向发包人以书面形式提出变更计划，说明计划变更工程范围和变更的内容、理由，以及实施该变更对合同价款和工期的影响。发包人同意变更的，由发包人向总承包人发出变更指示。发包人不同意变更的，监理人无权擅自发出变更指示。</w:t>
      </w:r>
    </w:p>
    <w:p w14:paraId="451CCE19">
      <w:pPr>
        <w:numPr>
          <w:ilvl w:val="2"/>
          <w:numId w:val="16"/>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变更执行</w:t>
      </w:r>
    </w:p>
    <w:p w14:paraId="7D1B71E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在收到发包人下达的变更指示后，应当立即或根据进度计划的需要予以执行，并书面说明实施该变更指示对合同价款和工期的影响，且合同当事人应当按照第10.4条〔变更估价〕约定确定变更估价。变更的计算及估价不影响总承包人履行变更，</w:t>
      </w:r>
      <w:r>
        <w:rPr>
          <w:rFonts w:hint="eastAsia" w:ascii="Times New Roman" w:eastAsia="仿宋"/>
          <w:sz w:val="30"/>
          <w:szCs w:val="30"/>
          <w:lang w:eastAsia="zh-CN"/>
        </w:rPr>
        <w:t>总承包人不可以以变更金额未能确定为由拒绝履行变更。</w:t>
      </w:r>
    </w:p>
    <w:p w14:paraId="20EE203C">
      <w:pPr>
        <w:snapToGrid w:val="0"/>
        <w:spacing w:line="560" w:lineRule="exact"/>
        <w:ind w:firstLine="600" w:firstLineChars="200"/>
        <w:rPr>
          <w:rFonts w:ascii="Times New Roman" w:eastAsia="PMingLiU"/>
          <w:sz w:val="30"/>
          <w:szCs w:val="30"/>
          <w:lang w:eastAsia="zh-CN"/>
        </w:rPr>
      </w:pPr>
      <w:bookmarkStart w:id="897" w:name="_Toc351203571"/>
      <w:r>
        <w:rPr>
          <w:rFonts w:hint="eastAsia" w:ascii="Times New Roman" w:eastAsia="仿宋"/>
          <w:sz w:val="30"/>
          <w:szCs w:val="30"/>
          <w:lang w:eastAsia="zh-CN"/>
        </w:rPr>
        <w:t>总承包人应严格遵守发包人要求保质保量的按时完成，否则发包人有权另行委托其他施工单位完成（并书面通知总承包人，书面通知包括但不限于电邮、会议纪要及联系单等），由此而发生的全部费用，将从总承包人工程款或质量保证金中予以扣除，同时总承包人应就该行为额外向发包人支付该费用的</w:t>
      </w:r>
      <w:r>
        <w:rPr>
          <w:rFonts w:ascii="Times New Roman" w:eastAsia="仿宋"/>
          <w:sz w:val="30"/>
          <w:szCs w:val="30"/>
          <w:lang w:eastAsia="zh-CN"/>
        </w:rPr>
        <w:t>20%</w:t>
      </w:r>
      <w:r>
        <w:rPr>
          <w:rFonts w:hint="eastAsia" w:ascii="Times New Roman" w:eastAsia="仿宋"/>
          <w:sz w:val="30"/>
          <w:szCs w:val="30"/>
          <w:lang w:eastAsia="zh-CN"/>
        </w:rPr>
        <w:t>作为违约金，该违约金也将从总承包人工程款或质量保证金中予以扣除。</w:t>
      </w:r>
    </w:p>
    <w:p w14:paraId="6A576BF2">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总承包人对自身的设计、采购、施工、竣工试验、竣工后试验存在的缺陷，应自费修正、调整和完善，不属于变更。</w:t>
      </w:r>
      <w:bookmarkEnd w:id="897"/>
    </w:p>
    <w:p w14:paraId="36D50E10">
      <w:pPr>
        <w:numPr>
          <w:ilvl w:val="1"/>
          <w:numId w:val="16"/>
        </w:numPr>
        <w:snapToGrid w:val="0"/>
        <w:spacing w:line="560" w:lineRule="exact"/>
        <w:ind w:left="0" w:firstLine="600" w:firstLineChars="200"/>
        <w:rPr>
          <w:rFonts w:ascii="Times New Roman" w:eastAsia="仿宋"/>
          <w:b/>
          <w:sz w:val="30"/>
          <w:szCs w:val="30"/>
        </w:rPr>
      </w:pPr>
      <w:bookmarkStart w:id="898" w:name="_Toc15207"/>
      <w:bookmarkStart w:id="899" w:name="_Toc17820"/>
      <w:bookmarkStart w:id="900" w:name="_Toc524351823"/>
      <w:bookmarkStart w:id="901" w:name="_Toc31380"/>
      <w:bookmarkStart w:id="902" w:name="_Toc3173"/>
      <w:bookmarkStart w:id="903" w:name="_Toc7913"/>
      <w:bookmarkStart w:id="904" w:name="_Toc410035697"/>
      <w:bookmarkStart w:id="905" w:name="_Toc22306"/>
      <w:bookmarkStart w:id="906" w:name="_Toc80863287"/>
      <w:r>
        <w:rPr>
          <w:rFonts w:ascii="Times New Roman" w:eastAsia="仿宋"/>
          <w:b/>
          <w:sz w:val="30"/>
          <w:szCs w:val="30"/>
        </w:rPr>
        <w:t>变更估价</w:t>
      </w:r>
      <w:bookmarkEnd w:id="898"/>
      <w:bookmarkEnd w:id="899"/>
      <w:bookmarkEnd w:id="900"/>
      <w:bookmarkEnd w:id="901"/>
      <w:bookmarkEnd w:id="902"/>
      <w:bookmarkEnd w:id="903"/>
      <w:bookmarkEnd w:id="904"/>
      <w:bookmarkEnd w:id="905"/>
      <w:bookmarkEnd w:id="906"/>
    </w:p>
    <w:p w14:paraId="26894BEA">
      <w:pPr>
        <w:numPr>
          <w:ilvl w:val="2"/>
          <w:numId w:val="16"/>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变更估价原则</w:t>
      </w:r>
    </w:p>
    <w:p w14:paraId="7C320A26">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（1）工程量清单或预算书有相同项目的，按照相同项目单价认定；</w:t>
      </w:r>
    </w:p>
    <w:p w14:paraId="26BC5236">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（2）工程量清单或预算书中无相同项目，但有类似项目的，参照类似项目的单价认定；</w:t>
      </w:r>
    </w:p>
    <w:p w14:paraId="21AAA594">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（3）工程量清单或预算书中无相同项目或类似项目，按专用合同条款约定执行。</w:t>
      </w:r>
    </w:p>
    <w:p w14:paraId="2A9EEEF1">
      <w:pPr>
        <w:numPr>
          <w:ilvl w:val="2"/>
          <w:numId w:val="16"/>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变更估价程序</w:t>
      </w:r>
    </w:p>
    <w:p w14:paraId="2E4154A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总承包人应在发包人要求的时间内，向发包人提交变更估价申请，及确认变更费用。发包人对变更估价申请有异议，通知总承包人修改后重新提交。</w:t>
      </w:r>
    </w:p>
    <w:p w14:paraId="1B59D1AE">
      <w:pPr>
        <w:numPr>
          <w:ilvl w:val="1"/>
          <w:numId w:val="16"/>
        </w:numPr>
        <w:snapToGrid w:val="0"/>
        <w:spacing w:line="560" w:lineRule="exact"/>
        <w:ind w:left="0" w:firstLine="600" w:firstLineChars="200"/>
        <w:rPr>
          <w:rFonts w:ascii="Times New Roman" w:eastAsia="仿宋"/>
          <w:b/>
          <w:sz w:val="30"/>
          <w:szCs w:val="30"/>
        </w:rPr>
      </w:pPr>
      <w:bookmarkStart w:id="907" w:name="_Toc524351824"/>
      <w:bookmarkStart w:id="908" w:name="_Toc80863288"/>
      <w:r>
        <w:rPr>
          <w:rFonts w:ascii="Times New Roman" w:eastAsia="仿宋"/>
          <w:b/>
          <w:sz w:val="30"/>
          <w:szCs w:val="30"/>
        </w:rPr>
        <w:t>总承包人的合理化建议</w:t>
      </w:r>
      <w:bookmarkEnd w:id="907"/>
      <w:bookmarkEnd w:id="908"/>
    </w:p>
    <w:p w14:paraId="5FCDC47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总承包人提出合理化建议的，应向监理人提交合理化建议说明，说明建议的内容和理由，以及实施该建议对合同价格和工期的影响。</w:t>
      </w:r>
    </w:p>
    <w:p w14:paraId="73F71BA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监理人应在收到总承包人提交的合理化建议后7天内审查完毕并报送发包人，发现其中存在技术上的缺陷，应通知总承包人修改。发包人应在收到监理人报送的合理化建议后7天内审批完毕，发包人有绝对权利批准或不批准。合理化建议经发包人批准的，发包人会发出变更指示，由此引起的合同价格调整按照合同条款10.4条〔变更估价〕约定执行。发包人不同意变更的，监理人应书面通知总承包人。</w:t>
      </w:r>
    </w:p>
    <w:p w14:paraId="69EC399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合理化建议降低了合同价格或者提高了工程经济效益的，发包人可对总承包人给予奖励，奖励金额由双方在结算时确定。</w:t>
      </w:r>
    </w:p>
    <w:p w14:paraId="26696B89">
      <w:pPr>
        <w:numPr>
          <w:ilvl w:val="1"/>
          <w:numId w:val="16"/>
        </w:numPr>
        <w:snapToGrid w:val="0"/>
        <w:spacing w:line="560" w:lineRule="exact"/>
        <w:ind w:left="0" w:firstLine="600" w:firstLineChars="200"/>
        <w:rPr>
          <w:rFonts w:ascii="Times New Roman" w:eastAsia="仿宋"/>
          <w:b/>
          <w:sz w:val="30"/>
          <w:szCs w:val="30"/>
        </w:rPr>
      </w:pPr>
      <w:bookmarkStart w:id="909" w:name="_Toc351203574"/>
      <w:bookmarkStart w:id="910" w:name="_Toc10223"/>
      <w:bookmarkStart w:id="911" w:name="_Toc31667"/>
      <w:bookmarkStart w:id="912" w:name="_Toc410035699"/>
      <w:bookmarkStart w:id="913" w:name="_Toc524351825"/>
      <w:bookmarkStart w:id="914" w:name="_Toc8446"/>
      <w:bookmarkStart w:id="915" w:name="_Toc29520"/>
      <w:bookmarkStart w:id="916" w:name="_Toc11086"/>
      <w:bookmarkStart w:id="917" w:name="_Toc80863289"/>
      <w:bookmarkStart w:id="918" w:name="_Toc30616"/>
      <w:r>
        <w:rPr>
          <w:rFonts w:ascii="Times New Roman" w:eastAsia="仿宋"/>
          <w:b/>
          <w:sz w:val="30"/>
          <w:szCs w:val="30"/>
        </w:rPr>
        <w:t>专业分包工程暂估价</w:t>
      </w:r>
      <w:bookmarkEnd w:id="909"/>
      <w:bookmarkEnd w:id="910"/>
      <w:bookmarkEnd w:id="911"/>
      <w:bookmarkEnd w:id="912"/>
      <w:bookmarkEnd w:id="913"/>
      <w:bookmarkEnd w:id="914"/>
      <w:bookmarkEnd w:id="915"/>
      <w:bookmarkEnd w:id="916"/>
      <w:bookmarkEnd w:id="917"/>
      <w:bookmarkEnd w:id="918"/>
    </w:p>
    <w:p w14:paraId="354F23E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工程量清单中总承包配合费清单内所列的专业分包工程暂估价不纳入合同总价，仅用于计算总承包人对专业分包工程的总承包配合费，合同总价内所含的总承包配合费乃按清单约定的总承包配合费取费比例乘以专业分包工程暂估价计算，以后会按实际签署的分包合同总价(中标价，非结算总价)按实计算，相应调整合同总价，原则如下：</w:t>
      </w:r>
    </w:p>
    <w:p w14:paraId="382183E0">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w:t>
      </w:r>
      <w:r>
        <w:rPr>
          <w:rFonts w:ascii="Times New Roman" w:eastAsia="仿宋"/>
          <w:sz w:val="30"/>
          <w:szCs w:val="30"/>
          <w:lang w:eastAsia="zh-CN"/>
        </w:rPr>
        <w:tab/>
      </w:r>
      <w:r>
        <w:rPr>
          <w:rFonts w:ascii="Times New Roman" w:eastAsia="仿宋"/>
          <w:sz w:val="30"/>
          <w:szCs w:val="30"/>
          <w:lang w:eastAsia="zh-CN"/>
        </w:rPr>
        <w:t>总承包配合费清单内之费率为包干费率，不论实际情况如何，均不作调整；实际总承包配合费按该包干费率乘以实际签署的分包合同总价(中标价，非结算总价)计算。</w:t>
      </w:r>
    </w:p>
    <w:p w14:paraId="78CD073B">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w:t>
      </w:r>
      <w:r>
        <w:rPr>
          <w:rFonts w:ascii="Times New Roman" w:eastAsia="仿宋"/>
          <w:sz w:val="30"/>
          <w:szCs w:val="30"/>
          <w:lang w:eastAsia="zh-CN"/>
        </w:rPr>
        <w:tab/>
      </w:r>
      <w:r>
        <w:rPr>
          <w:rFonts w:ascii="Times New Roman" w:eastAsia="仿宋"/>
          <w:sz w:val="30"/>
          <w:szCs w:val="30"/>
          <w:lang w:eastAsia="zh-CN"/>
        </w:rPr>
        <w:t>发包人有权删除、拆分、合并任何合同内的专业分包工程而组成新的专业分包工程，总承包人必需遵从发包人指令，新增专业分包工程的总承包配合费亦按上述第(1)条的原则计取；如发包人将合同内规定的某项专业分包工程委托总承包人施工，则该专业分包工程不得再计取总承包配合费。</w:t>
      </w:r>
    </w:p>
    <w:p w14:paraId="6C9B60FC">
      <w:pPr>
        <w:widowControl/>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w:t>
      </w:r>
      <w:r>
        <w:rPr>
          <w:rFonts w:ascii="Times New Roman" w:eastAsia="仿宋"/>
          <w:sz w:val="30"/>
          <w:szCs w:val="30"/>
          <w:lang w:eastAsia="zh-CN"/>
        </w:rPr>
        <w:tab/>
      </w:r>
      <w:r>
        <w:rPr>
          <w:rFonts w:ascii="Times New Roman" w:eastAsia="仿宋"/>
          <w:sz w:val="30"/>
          <w:szCs w:val="30"/>
          <w:lang w:eastAsia="zh-CN"/>
        </w:rPr>
        <w:t>甲供材料及工程设备不另外计取总承包配合费。总承包工程所用的甲供材料及工程设备，其配合所需的费用包括在总承包人该等项目的安装单价内；专业分包工程/其他独立工程所用的甲供材料及工程设备，总承包人予以配合的费用包括在对专业分包工程及其他独立工程的总承包配合费内。</w:t>
      </w:r>
    </w:p>
    <w:p w14:paraId="1FE49BCF">
      <w:pPr>
        <w:numPr>
          <w:ilvl w:val="1"/>
          <w:numId w:val="16"/>
        </w:numPr>
        <w:snapToGrid w:val="0"/>
        <w:spacing w:line="560" w:lineRule="exact"/>
        <w:ind w:left="0" w:firstLine="600" w:firstLineChars="200"/>
        <w:rPr>
          <w:rFonts w:ascii="Times New Roman" w:eastAsia="仿宋"/>
          <w:b/>
          <w:sz w:val="30"/>
          <w:szCs w:val="30"/>
        </w:rPr>
      </w:pPr>
      <w:bookmarkStart w:id="919" w:name="_Toc524351826"/>
      <w:bookmarkStart w:id="920" w:name="_Toc80863290"/>
      <w:r>
        <w:rPr>
          <w:rFonts w:ascii="Times New Roman" w:eastAsia="仿宋"/>
          <w:b/>
          <w:sz w:val="30"/>
          <w:szCs w:val="30"/>
          <w:lang w:eastAsia="zh-CN"/>
        </w:rPr>
        <w:t>材料</w:t>
      </w:r>
      <w:bookmarkEnd w:id="919"/>
      <w:r>
        <w:rPr>
          <w:rFonts w:ascii="Times New Roman" w:eastAsia="仿宋"/>
          <w:b/>
          <w:sz w:val="30"/>
          <w:szCs w:val="30"/>
          <w:lang w:eastAsia="zh-CN"/>
        </w:rPr>
        <w:t>暂估价</w:t>
      </w:r>
      <w:bookmarkEnd w:id="920"/>
    </w:p>
    <w:p w14:paraId="203A1C35">
      <w:pPr>
        <w:numPr>
          <w:ilvl w:val="2"/>
          <w:numId w:val="16"/>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若工程量清单内项目综合单价的说明内含有"材料暂估价"。此暂估价是指该项目中的材料或设备运送至工地指定地点的不含增值税供应单价，不包括设计排版损耗、总承包人施工损耗和采购管理费等。总承包人应按此供应单价计算辅材、施工损耗、人工、机械、企业管理费(含增值税附加税费)、利润、规费，但不含增值税。</w:t>
      </w:r>
    </w:p>
    <w:p w14:paraId="7058E615">
      <w:pPr>
        <w:numPr>
          <w:ilvl w:val="2"/>
          <w:numId w:val="16"/>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有关的材料型号待至施工阶段由发包人确定，由总承包人采购。采购的供应单价亦须先得发包人批准。</w:t>
      </w:r>
    </w:p>
    <w:p w14:paraId="1D7FA2C0">
      <w:pPr>
        <w:numPr>
          <w:ilvl w:val="2"/>
          <w:numId w:val="16"/>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若实际供应单价与材料暂估价有所不同，则按以下公式调整综合单价，合同价款及中期付款相应调整：</w:t>
      </w:r>
    </w:p>
    <w:p w14:paraId="4493619D">
      <w:pPr>
        <w:tabs>
          <w:tab w:val="left" w:pos="2835"/>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公式1：A＝A1+A2</w:t>
      </w:r>
    </w:p>
    <w:p w14:paraId="651490E9">
      <w:pPr>
        <w:tabs>
          <w:tab w:val="left" w:pos="2835"/>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公式2：A2=(B1－B2)*(1+设计排版损耗)</w:t>
      </w:r>
    </w:p>
    <w:p w14:paraId="6108226B">
      <w:pPr>
        <w:tabs>
          <w:tab w:val="left" w:pos="3261"/>
        </w:tabs>
        <w:snapToGrid w:val="0"/>
        <w:spacing w:line="560" w:lineRule="exact"/>
        <w:ind w:left="608"/>
        <w:rPr>
          <w:rFonts w:ascii="Times New Roman" w:eastAsia="仿宋"/>
          <w:sz w:val="30"/>
          <w:szCs w:val="30"/>
          <w:lang w:eastAsia="zh-CN"/>
        </w:rPr>
      </w:pPr>
      <w:r>
        <w:rPr>
          <w:rFonts w:hint="eastAsia" w:ascii="宋体" w:hAnsi="宋体" w:eastAsia="宋体" w:cs="宋体"/>
          <w:sz w:val="30"/>
          <w:szCs w:val="30"/>
          <w:lang w:eastAsia="zh-CN"/>
        </w:rPr>
        <w:t>①</w:t>
      </w:r>
      <w:r>
        <w:rPr>
          <w:rFonts w:ascii="Times New Roman" w:eastAsia="仿宋"/>
          <w:sz w:val="30"/>
          <w:szCs w:val="30"/>
          <w:lang w:eastAsia="zh-CN"/>
        </w:rPr>
        <w:t>A：指结算综合单价:是不含增值税的综合单价。</w:t>
      </w:r>
    </w:p>
    <w:p w14:paraId="101D52AB">
      <w:pPr>
        <w:tabs>
          <w:tab w:val="left" w:pos="3261"/>
        </w:tabs>
        <w:snapToGrid w:val="0"/>
        <w:spacing w:line="560" w:lineRule="exact"/>
        <w:ind w:left="608"/>
        <w:rPr>
          <w:rFonts w:ascii="Times New Roman" w:eastAsia="仿宋"/>
          <w:sz w:val="30"/>
          <w:szCs w:val="30"/>
          <w:lang w:eastAsia="zh-CN"/>
        </w:rPr>
      </w:pPr>
      <w:r>
        <w:rPr>
          <w:rFonts w:hint="eastAsia" w:ascii="宋体" w:hAnsi="宋体" w:eastAsia="宋体" w:cs="宋体"/>
          <w:sz w:val="30"/>
          <w:szCs w:val="30"/>
          <w:lang w:eastAsia="zh-CN"/>
        </w:rPr>
        <w:t>②</w:t>
      </w:r>
      <w:r>
        <w:rPr>
          <w:rFonts w:ascii="Times New Roman" w:eastAsia="仿宋"/>
          <w:sz w:val="30"/>
          <w:szCs w:val="30"/>
          <w:lang w:eastAsia="zh-CN"/>
        </w:rPr>
        <w:t>A1：指含材料暂估价的综合单价：是工程量清单内项目综合单价的说明内含有"材料暂估价"的综合单价，包括主材、辅材、施工损耗、人工、机械、企业管理费(含增值税附加税费)、利润、规费，但不含增值税。</w:t>
      </w:r>
    </w:p>
    <w:p w14:paraId="4FF91DE5">
      <w:pPr>
        <w:tabs>
          <w:tab w:val="left" w:pos="3261"/>
        </w:tabs>
        <w:snapToGrid w:val="0"/>
        <w:spacing w:line="560" w:lineRule="exact"/>
        <w:ind w:left="608"/>
        <w:rPr>
          <w:rFonts w:ascii="Times New Roman" w:eastAsia="仿宋"/>
          <w:sz w:val="30"/>
          <w:szCs w:val="30"/>
          <w:lang w:eastAsia="zh-CN"/>
        </w:rPr>
      </w:pPr>
      <w:r>
        <w:rPr>
          <w:rFonts w:hint="eastAsia" w:ascii="宋体" w:hAnsi="宋体" w:eastAsia="宋体" w:cs="宋体"/>
          <w:sz w:val="30"/>
          <w:szCs w:val="30"/>
          <w:lang w:eastAsia="zh-CN"/>
        </w:rPr>
        <w:t>③</w:t>
      </w:r>
      <w:r>
        <w:rPr>
          <w:rFonts w:ascii="宋体" w:hAnsi="宋体" w:eastAsia="宋体" w:cs="宋体"/>
          <w:sz w:val="30"/>
          <w:szCs w:val="30"/>
          <w:lang w:eastAsia="zh-CN"/>
        </w:rPr>
        <w:t>A</w:t>
      </w:r>
      <w:r>
        <w:rPr>
          <w:rFonts w:ascii="Times New Roman" w:eastAsia="仿宋"/>
          <w:sz w:val="30"/>
          <w:szCs w:val="30"/>
          <w:lang w:eastAsia="zh-CN"/>
        </w:rPr>
        <w:t>2：调整价格：不含增值税的调整价格，调整价格部分的增值税附加税费不进行补偿，不再额外计算费用。</w:t>
      </w:r>
    </w:p>
    <w:p w14:paraId="22FCC7BD">
      <w:pPr>
        <w:tabs>
          <w:tab w:val="left" w:pos="3261"/>
        </w:tabs>
        <w:snapToGrid w:val="0"/>
        <w:spacing w:line="560" w:lineRule="exact"/>
        <w:ind w:left="608"/>
        <w:rPr>
          <w:rFonts w:ascii="Times New Roman" w:eastAsia="仿宋"/>
          <w:sz w:val="30"/>
          <w:szCs w:val="30"/>
          <w:lang w:eastAsia="zh-CN"/>
        </w:rPr>
      </w:pPr>
      <w:r>
        <w:rPr>
          <w:rFonts w:hint="eastAsia" w:ascii="宋体" w:hAnsi="宋体" w:eastAsia="宋体" w:cs="宋体"/>
          <w:sz w:val="30"/>
          <w:szCs w:val="30"/>
          <w:lang w:eastAsia="zh-CN"/>
        </w:rPr>
        <w:t>④</w:t>
      </w:r>
      <w:r>
        <w:rPr>
          <w:rFonts w:ascii="Times New Roman" w:eastAsia="仿宋"/>
          <w:sz w:val="30"/>
          <w:szCs w:val="30"/>
          <w:lang w:eastAsia="zh-CN"/>
        </w:rPr>
        <w:t>B1：指实际供应单价：是该项目中的材料或设备运送至工地指定地点的不含增值税的实际供应单价，不包括设计排版损耗、总承包人施工损耗和采购管理费等。</w:t>
      </w:r>
    </w:p>
    <w:p w14:paraId="56876690">
      <w:pPr>
        <w:tabs>
          <w:tab w:val="left" w:pos="3261"/>
        </w:tabs>
        <w:snapToGrid w:val="0"/>
        <w:spacing w:line="560" w:lineRule="exact"/>
        <w:ind w:left="608"/>
        <w:rPr>
          <w:rFonts w:ascii="Times New Roman" w:eastAsia="仿宋"/>
          <w:sz w:val="30"/>
          <w:szCs w:val="30"/>
          <w:lang w:eastAsia="zh-CN"/>
        </w:rPr>
      </w:pPr>
      <w:r>
        <w:rPr>
          <w:rFonts w:hint="eastAsia" w:ascii="Times New Roman" w:eastAsia="仿宋"/>
          <w:sz w:val="30"/>
          <w:szCs w:val="30"/>
          <w:lang w:eastAsia="zh-CN"/>
        </w:rPr>
        <w:t>⑤</w:t>
      </w:r>
      <w:r>
        <w:rPr>
          <w:rFonts w:ascii="Times New Roman" w:eastAsia="仿宋"/>
          <w:sz w:val="30"/>
          <w:szCs w:val="30"/>
          <w:lang w:eastAsia="zh-CN"/>
        </w:rPr>
        <w:t>B2：指材料暂估价:是该项目中的材料或设备运送至工地指定地点的不含增值税供应单价，不包括设计排版损耗、总承包人施工损耗和采购管理费等。</w:t>
      </w:r>
    </w:p>
    <w:p w14:paraId="23769867">
      <w:pPr>
        <w:numPr>
          <w:ilvl w:val="2"/>
          <w:numId w:val="16"/>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材料暂估价物料的设计排版损耗按专用合同条款确定。</w:t>
      </w:r>
    </w:p>
    <w:p w14:paraId="17C16516">
      <w:pPr>
        <w:numPr>
          <w:ilvl w:val="2"/>
          <w:numId w:val="16"/>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可选择自行供应此等用"材料暂估价"说明的材料或设备给总承包人使用。则此类材料按照第8.1条〔发包人供应材料与工程设备〕的相关约定确定。此暂估价材料设备价款将按照材料暂估价单价乘以不含设计排版损耗的实际领用量进行扣回。</w:t>
      </w:r>
    </w:p>
    <w:p w14:paraId="714FC346">
      <w:pPr>
        <w:numPr>
          <w:ilvl w:val="2"/>
          <w:numId w:val="16"/>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上述的调整费用均不含增值税的费用，最终需按合同约定的增值税税率计算含税的调整费用。</w:t>
      </w:r>
    </w:p>
    <w:p w14:paraId="1C033CCF">
      <w:pPr>
        <w:numPr>
          <w:ilvl w:val="1"/>
          <w:numId w:val="16"/>
        </w:numPr>
        <w:snapToGrid w:val="0"/>
        <w:spacing w:line="560" w:lineRule="exact"/>
        <w:ind w:left="0" w:firstLine="600" w:firstLineChars="200"/>
        <w:rPr>
          <w:rFonts w:ascii="Times New Roman" w:eastAsia="仿宋"/>
          <w:b/>
          <w:sz w:val="30"/>
          <w:szCs w:val="30"/>
        </w:rPr>
      </w:pPr>
      <w:bookmarkStart w:id="921" w:name="_Toc25216"/>
      <w:bookmarkStart w:id="922" w:name="_Toc351203575"/>
      <w:bookmarkStart w:id="923" w:name="_Toc410035700"/>
      <w:bookmarkStart w:id="924" w:name="_Toc28833"/>
      <w:bookmarkStart w:id="925" w:name="_Toc337558794"/>
      <w:bookmarkStart w:id="926" w:name="_Toc14580"/>
      <w:bookmarkStart w:id="927" w:name="_Toc80863291"/>
      <w:bookmarkStart w:id="928" w:name="_Toc11622"/>
      <w:bookmarkStart w:id="929" w:name="_Toc524351827"/>
      <w:bookmarkStart w:id="930" w:name="_Toc8247"/>
      <w:bookmarkStart w:id="931" w:name="_Toc5666"/>
      <w:bookmarkStart w:id="932" w:name="_Toc322522561"/>
      <w:bookmarkStart w:id="933" w:name="_Toc296503090"/>
      <w:bookmarkStart w:id="934" w:name="_Toc296346591"/>
      <w:r>
        <w:rPr>
          <w:rFonts w:ascii="Times New Roman" w:eastAsia="仿宋"/>
          <w:b/>
          <w:sz w:val="30"/>
          <w:szCs w:val="30"/>
        </w:rPr>
        <w:t>暂列金额</w:t>
      </w:r>
      <w:bookmarkEnd w:id="921"/>
      <w:bookmarkEnd w:id="922"/>
      <w:bookmarkEnd w:id="923"/>
      <w:bookmarkEnd w:id="924"/>
      <w:bookmarkEnd w:id="925"/>
      <w:bookmarkEnd w:id="926"/>
      <w:bookmarkEnd w:id="927"/>
      <w:bookmarkEnd w:id="928"/>
      <w:bookmarkEnd w:id="929"/>
      <w:bookmarkEnd w:id="930"/>
      <w:bookmarkEnd w:id="931"/>
    </w:p>
    <w:p w14:paraId="434085B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暂列金额应按照发包人的要求使用，具体金额见工程量清单。暂列金额所指工作的费用将按合同条款10.4条〔变更估价〕的原则计算或按合同所约定的计算，合同总价则按该计算的费用和暂列金额的差额作调整。</w:t>
      </w:r>
      <w:bookmarkEnd w:id="932"/>
      <w:bookmarkEnd w:id="933"/>
      <w:bookmarkEnd w:id="934"/>
    </w:p>
    <w:p w14:paraId="1D56F0B6">
      <w:pPr>
        <w:numPr>
          <w:ilvl w:val="1"/>
          <w:numId w:val="16"/>
        </w:numPr>
        <w:snapToGrid w:val="0"/>
        <w:spacing w:line="560" w:lineRule="exact"/>
        <w:ind w:left="0" w:firstLine="600" w:firstLineChars="200"/>
        <w:rPr>
          <w:rFonts w:ascii="Times New Roman" w:eastAsia="仿宋"/>
          <w:b/>
          <w:sz w:val="30"/>
          <w:szCs w:val="30"/>
        </w:rPr>
      </w:pPr>
      <w:bookmarkStart w:id="935" w:name="_Toc28463"/>
      <w:bookmarkStart w:id="936" w:name="_Toc410035701"/>
      <w:bookmarkStart w:id="937" w:name="_Toc296346592"/>
      <w:bookmarkStart w:id="938" w:name="_Toc11522"/>
      <w:bookmarkStart w:id="939" w:name="_Toc9925"/>
      <w:bookmarkStart w:id="940" w:name="_Toc7473"/>
      <w:bookmarkStart w:id="941" w:name="_Toc26839"/>
      <w:bookmarkStart w:id="942" w:name="_Toc351203576"/>
      <w:bookmarkStart w:id="943" w:name="_Toc337558796"/>
      <w:bookmarkStart w:id="944" w:name="_Toc296503091"/>
      <w:bookmarkStart w:id="945" w:name="_Toc8200"/>
      <w:bookmarkStart w:id="946" w:name="_Toc80863292"/>
      <w:bookmarkStart w:id="947" w:name="_Toc524351828"/>
      <w:r>
        <w:rPr>
          <w:rFonts w:ascii="Times New Roman" w:eastAsia="仿宋"/>
          <w:b/>
          <w:sz w:val="30"/>
          <w:szCs w:val="30"/>
        </w:rPr>
        <w:t>计日工</w:t>
      </w:r>
      <w:bookmarkEnd w:id="935"/>
      <w:bookmarkEnd w:id="936"/>
      <w:bookmarkEnd w:id="937"/>
      <w:bookmarkEnd w:id="938"/>
      <w:bookmarkEnd w:id="939"/>
      <w:bookmarkEnd w:id="940"/>
      <w:bookmarkEnd w:id="941"/>
      <w:bookmarkEnd w:id="942"/>
      <w:bookmarkEnd w:id="943"/>
      <w:bookmarkEnd w:id="944"/>
      <w:bookmarkEnd w:id="945"/>
      <w:bookmarkEnd w:id="946"/>
      <w:bookmarkEnd w:id="947"/>
    </w:p>
    <w:p w14:paraId="2B5D3C2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计日工应按照发包人的要求使用。工程量清单内的工程量为暂定数量，暂定数量乃估计的数量，发包人对其准确性不负任何责任，若最终的工程量与原估计的暂定数量有所差别，用于计值之合同单价不会调整，工期不予延长。</w:t>
      </w:r>
    </w:p>
    <w:p w14:paraId="32DA5DD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需要采用计日工方式的，经发包人书面同意后，由监理人通知总承包人以计日工计价方式实施相应的工作，其价款按列入工程量清单的计日工计价项目及其单价进行计算。</w:t>
      </w:r>
    </w:p>
    <w:p w14:paraId="7E4E021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采用计日工计价的任何一项工作，总承包人应在该项工作实施过程中，每天提交以下报表和有关凭证报送监理人审查：</w:t>
      </w:r>
    </w:p>
    <w:p w14:paraId="11B37DD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（1）工作名称、内容和数量；</w:t>
      </w:r>
    </w:p>
    <w:p w14:paraId="2DF00F4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（2）投入该工作的所有人员的姓名、专业、工种、级别和耗用工时；</w:t>
      </w:r>
    </w:p>
    <w:p w14:paraId="6D87E78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（3）投入该工作的材料类别和数量；</w:t>
      </w:r>
    </w:p>
    <w:p w14:paraId="11C9BE6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（4）投入该工作的施工设备型号、台数和耗用台时；</w:t>
      </w:r>
    </w:p>
    <w:p w14:paraId="039A03E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（5）其他有关资料和凭证。</w:t>
      </w:r>
    </w:p>
    <w:p w14:paraId="4693AAC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计日工由总承包人汇总后，按变更签证多少金额计入。</w:t>
      </w:r>
    </w:p>
    <w:p w14:paraId="2A0A63B0">
      <w:pPr>
        <w:pStyle w:val="4"/>
        <w:jc w:val="left"/>
        <w:rPr>
          <w:rFonts w:ascii="Times New Roman"/>
          <w:lang w:eastAsia="zh-CN"/>
        </w:rPr>
      </w:pPr>
      <w:bookmarkStart w:id="948" w:name="_Toc80863293"/>
      <w:bookmarkStart w:id="949" w:name="_Toc27144"/>
      <w:bookmarkStart w:id="950" w:name="_Toc4589"/>
      <w:bookmarkStart w:id="951" w:name="_Toc13683"/>
      <w:bookmarkStart w:id="952" w:name="_Toc2303"/>
      <w:bookmarkStart w:id="953" w:name="_Toc19981"/>
      <w:bookmarkStart w:id="954" w:name="_Toc82531194"/>
      <w:bookmarkStart w:id="955" w:name="_Toc144742726"/>
      <w:bookmarkStart w:id="956" w:name="_Toc22067"/>
      <w:bookmarkStart w:id="957" w:name="_Toc524351829"/>
      <w:bookmarkStart w:id="958" w:name="_Toc1065"/>
      <w:bookmarkStart w:id="959" w:name="_Toc41574018"/>
      <w:bookmarkStart w:id="960" w:name="_Toc41499756"/>
      <w:bookmarkStart w:id="961" w:name="_Toc410035702"/>
      <w:bookmarkStart w:id="962" w:name="_Toc351203577"/>
      <w:r>
        <w:rPr>
          <w:rFonts w:ascii="Times New Roman"/>
          <w:lang w:eastAsia="zh-CN"/>
        </w:rPr>
        <w:t>11. 价格调整</w:t>
      </w:r>
      <w:bookmarkEnd w:id="948"/>
      <w:bookmarkEnd w:id="949"/>
      <w:bookmarkEnd w:id="950"/>
      <w:bookmarkEnd w:id="951"/>
      <w:bookmarkEnd w:id="952"/>
      <w:bookmarkEnd w:id="953"/>
      <w:bookmarkEnd w:id="954"/>
      <w:bookmarkEnd w:id="955"/>
      <w:bookmarkEnd w:id="956"/>
      <w:bookmarkEnd w:id="957"/>
      <w:bookmarkEnd w:id="958"/>
      <w:bookmarkEnd w:id="959"/>
      <w:bookmarkEnd w:id="960"/>
    </w:p>
    <w:p w14:paraId="6B9F2BE7">
      <w:pPr>
        <w:pStyle w:val="50"/>
        <w:numPr>
          <w:ilvl w:val="1"/>
          <w:numId w:val="17"/>
        </w:numPr>
        <w:snapToGrid w:val="0"/>
        <w:spacing w:line="560" w:lineRule="exact"/>
        <w:ind w:firstLineChars="0"/>
        <w:rPr>
          <w:rFonts w:ascii="Times New Roman" w:eastAsia="仿宋"/>
          <w:b/>
          <w:sz w:val="30"/>
          <w:szCs w:val="30"/>
          <w:lang w:eastAsia="zh-CN"/>
        </w:rPr>
      </w:pPr>
      <w:bookmarkStart w:id="963" w:name="_Toc12046"/>
      <w:bookmarkStart w:id="964" w:name="_Toc32249"/>
      <w:bookmarkStart w:id="965" w:name="_Toc524351830"/>
      <w:bookmarkStart w:id="966" w:name="_Toc80863294"/>
      <w:bookmarkStart w:id="967" w:name="_Toc14309"/>
      <w:bookmarkStart w:id="968" w:name="_Toc23697"/>
      <w:bookmarkStart w:id="969" w:name="_Toc25874"/>
      <w:bookmarkStart w:id="970" w:name="_Toc25954"/>
      <w:r>
        <w:rPr>
          <w:rFonts w:ascii="Times New Roman" w:eastAsia="仿宋"/>
          <w:b/>
          <w:sz w:val="30"/>
          <w:szCs w:val="30"/>
          <w:lang w:eastAsia="zh-CN"/>
        </w:rPr>
        <w:t>市场价格波动引起的调整</w:t>
      </w:r>
      <w:bookmarkEnd w:id="963"/>
      <w:bookmarkEnd w:id="964"/>
      <w:bookmarkEnd w:id="965"/>
      <w:bookmarkEnd w:id="966"/>
      <w:bookmarkEnd w:id="967"/>
      <w:bookmarkEnd w:id="968"/>
      <w:bookmarkEnd w:id="969"/>
      <w:bookmarkEnd w:id="970"/>
    </w:p>
    <w:p w14:paraId="54643C5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除专用合同条款另有约定外，总承包人在报价时，已充分考虑在合同履约期内可能会遇到的各种风险。除非合同文件另有约定，于合同文件填报的各项价格均为固定单价或价格，即各项单价或价格不因人工、材料、机械、工程设备、施工设备和临时设施的费用、费率等形成各项单价或价格的任何价格要素的波动而调整，也不因有关工作条件、工作时间或人工工资标准和其它与本工程相关的政府收费或货币的贬升值而调整。</w:t>
      </w:r>
    </w:p>
    <w:p w14:paraId="246CE14E">
      <w:pPr>
        <w:numPr>
          <w:ilvl w:val="1"/>
          <w:numId w:val="17"/>
        </w:numPr>
        <w:snapToGrid w:val="0"/>
        <w:spacing w:line="560" w:lineRule="exact"/>
        <w:ind w:left="0" w:firstLine="600" w:firstLineChars="200"/>
        <w:rPr>
          <w:rFonts w:ascii="Times New Roman" w:eastAsia="仿宋"/>
          <w:b/>
          <w:sz w:val="30"/>
          <w:szCs w:val="30"/>
        </w:rPr>
      </w:pPr>
      <w:bookmarkStart w:id="971" w:name="_Toc26164"/>
      <w:bookmarkStart w:id="972" w:name="_Toc1696"/>
      <w:bookmarkStart w:id="973" w:name="_Toc1587"/>
      <w:bookmarkStart w:id="974" w:name="_Toc13905"/>
      <w:bookmarkStart w:id="975" w:name="_Toc2662"/>
      <w:bookmarkStart w:id="976" w:name="_Toc524351831"/>
      <w:bookmarkStart w:id="977" w:name="_Toc16994"/>
      <w:bookmarkStart w:id="978" w:name="_Toc80863295"/>
      <w:r>
        <w:rPr>
          <w:rFonts w:ascii="Times New Roman" w:eastAsia="仿宋"/>
          <w:b/>
          <w:sz w:val="30"/>
          <w:szCs w:val="30"/>
        </w:rPr>
        <w:t>法律变化引起的调整</w:t>
      </w:r>
      <w:bookmarkEnd w:id="971"/>
      <w:bookmarkEnd w:id="972"/>
      <w:bookmarkEnd w:id="973"/>
      <w:bookmarkEnd w:id="974"/>
      <w:bookmarkEnd w:id="975"/>
      <w:bookmarkEnd w:id="976"/>
      <w:bookmarkEnd w:id="977"/>
      <w:bookmarkEnd w:id="978"/>
    </w:p>
    <w:p w14:paraId="000C2A2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基准日期后，除第11.1条〔市场价格波动起的调整〕约定以外，法律、法规及规章变化导致总承包人在合同履行过程中增加的费用由发包人承担，减少的费用发包人应从合同价款中予以扣减。基准日期后，因法律、法规及规章变化造成工期延误时，工期应予以顺延。</w:t>
      </w:r>
    </w:p>
    <w:p w14:paraId="6DBAED1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其它规范性文件在基准日后发生变化，不影响合同价款及工期。</w:t>
      </w:r>
    </w:p>
    <w:p w14:paraId="3725948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因总承包人原因造成工期延误，在工期延误期间出现法律、法规及规章变化的，由此增加的费用和（或）延误的工期由总承包人承担。</w:t>
      </w:r>
    </w:p>
    <w:p w14:paraId="37BF96CC">
      <w:pPr>
        <w:pStyle w:val="4"/>
        <w:jc w:val="left"/>
        <w:rPr>
          <w:rFonts w:ascii="Times New Roman"/>
          <w:lang w:eastAsia="zh-CN"/>
        </w:rPr>
      </w:pPr>
      <w:bookmarkStart w:id="979" w:name="_Toc30923"/>
      <w:bookmarkStart w:id="980" w:name="_Toc41499757"/>
      <w:bookmarkStart w:id="981" w:name="_Toc144742727"/>
      <w:bookmarkStart w:id="982" w:name="_Toc20538"/>
      <w:bookmarkStart w:id="983" w:name="_Toc12661"/>
      <w:bookmarkStart w:id="984" w:name="_Toc82531195"/>
      <w:bookmarkStart w:id="985" w:name="_Toc80863296"/>
      <w:bookmarkStart w:id="986" w:name="_Toc13879"/>
      <w:bookmarkStart w:id="987" w:name="_Toc6885"/>
      <w:bookmarkStart w:id="988" w:name="_Toc524351832"/>
      <w:bookmarkStart w:id="989" w:name="_Toc10260"/>
      <w:bookmarkStart w:id="990" w:name="_Toc20052"/>
      <w:bookmarkStart w:id="991" w:name="_Toc41574019"/>
      <w:r>
        <w:rPr>
          <w:rFonts w:ascii="Times New Roman"/>
          <w:lang w:eastAsia="zh-CN"/>
        </w:rPr>
        <w:t>12. 合同价款、计量与支付</w:t>
      </w:r>
      <w:bookmarkEnd w:id="979"/>
      <w:bookmarkEnd w:id="980"/>
      <w:bookmarkEnd w:id="981"/>
      <w:bookmarkEnd w:id="982"/>
      <w:bookmarkEnd w:id="983"/>
      <w:bookmarkEnd w:id="984"/>
      <w:bookmarkEnd w:id="985"/>
      <w:bookmarkEnd w:id="986"/>
      <w:bookmarkEnd w:id="987"/>
      <w:bookmarkEnd w:id="988"/>
      <w:bookmarkEnd w:id="989"/>
      <w:bookmarkEnd w:id="990"/>
      <w:bookmarkEnd w:id="991"/>
    </w:p>
    <w:p w14:paraId="4C08D9D7">
      <w:pPr>
        <w:pStyle w:val="50"/>
        <w:numPr>
          <w:ilvl w:val="1"/>
          <w:numId w:val="18"/>
        </w:numPr>
        <w:snapToGrid w:val="0"/>
        <w:spacing w:line="560" w:lineRule="exact"/>
        <w:ind w:firstLineChars="0"/>
        <w:rPr>
          <w:rFonts w:ascii="Times New Roman" w:eastAsia="仿宋"/>
          <w:b/>
          <w:sz w:val="30"/>
          <w:szCs w:val="30"/>
        </w:rPr>
      </w:pPr>
      <w:bookmarkStart w:id="992" w:name="_Toc3239"/>
      <w:bookmarkStart w:id="993" w:name="_Toc80863297"/>
      <w:bookmarkStart w:id="994" w:name="_Toc1491"/>
      <w:bookmarkStart w:id="995" w:name="_Toc10989"/>
      <w:bookmarkStart w:id="996" w:name="_Toc524351833"/>
      <w:bookmarkStart w:id="997" w:name="_Toc16800"/>
      <w:bookmarkStart w:id="998" w:name="_Toc23448"/>
      <w:bookmarkStart w:id="999" w:name="_Toc10614"/>
      <w:r>
        <w:rPr>
          <w:rFonts w:ascii="Times New Roman" w:eastAsia="仿宋"/>
          <w:b/>
          <w:sz w:val="30"/>
          <w:szCs w:val="30"/>
        </w:rPr>
        <w:t>合同的价格形式</w:t>
      </w:r>
      <w:bookmarkEnd w:id="992"/>
      <w:bookmarkEnd w:id="993"/>
      <w:bookmarkEnd w:id="994"/>
      <w:bookmarkEnd w:id="995"/>
      <w:bookmarkEnd w:id="996"/>
      <w:bookmarkEnd w:id="997"/>
      <w:bookmarkEnd w:id="998"/>
      <w:bookmarkEnd w:id="999"/>
    </w:p>
    <w:p w14:paraId="0A99DCC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合同的价格形式详见合同协议书第2条。因市场价格波动引起的调整按第11.1条〔市场价格波动引起的调整〕、因法律变化引起的调整按第11.2条〔法律变化引起的调整〕约定执行。</w:t>
      </w:r>
    </w:p>
    <w:p w14:paraId="4BB6B52D">
      <w:pPr>
        <w:numPr>
          <w:ilvl w:val="1"/>
          <w:numId w:val="18"/>
        </w:numPr>
        <w:snapToGrid w:val="0"/>
        <w:spacing w:line="560" w:lineRule="exact"/>
        <w:ind w:left="0" w:firstLine="600" w:firstLineChars="200"/>
        <w:rPr>
          <w:rFonts w:ascii="Times New Roman" w:eastAsia="仿宋"/>
          <w:b/>
          <w:sz w:val="30"/>
          <w:szCs w:val="30"/>
        </w:rPr>
      </w:pPr>
      <w:bookmarkStart w:id="1000" w:name="_Toc80863298"/>
      <w:bookmarkStart w:id="1001" w:name="_Toc524351834"/>
      <w:bookmarkStart w:id="1002" w:name="_Toc23320"/>
      <w:bookmarkStart w:id="1003" w:name="_Toc21384"/>
      <w:bookmarkStart w:id="1004" w:name="_Toc6623"/>
      <w:bookmarkStart w:id="1005" w:name="_Toc16394"/>
      <w:bookmarkStart w:id="1006" w:name="_Toc15102"/>
      <w:bookmarkStart w:id="1007" w:name="_Toc2616"/>
      <w:r>
        <w:rPr>
          <w:rFonts w:ascii="Times New Roman" w:eastAsia="仿宋"/>
          <w:b/>
          <w:sz w:val="30"/>
          <w:szCs w:val="30"/>
        </w:rPr>
        <w:t>预付款</w:t>
      </w:r>
      <w:bookmarkEnd w:id="1000"/>
      <w:bookmarkEnd w:id="1001"/>
      <w:bookmarkEnd w:id="1002"/>
      <w:bookmarkEnd w:id="1003"/>
      <w:bookmarkEnd w:id="1004"/>
      <w:bookmarkEnd w:id="1005"/>
      <w:bookmarkEnd w:id="1006"/>
      <w:bookmarkEnd w:id="1007"/>
    </w:p>
    <w:p w14:paraId="3B5149C1">
      <w:pPr>
        <w:numPr>
          <w:ilvl w:val="2"/>
          <w:numId w:val="18"/>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预付款的支付</w:t>
      </w:r>
    </w:p>
    <w:p w14:paraId="388732C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预付款应当用于材料、工程设备、施工设备的采购及修建临时工程、组织施工队伍进场等。</w:t>
      </w:r>
    </w:p>
    <w:p w14:paraId="35B2CE1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预付款在进度付款中按专用合同条款约定的方式扣回。在颁发工程验收报告前，提前解除合同的，尚未扣完的预付款应与合同价款一并结算。</w:t>
      </w:r>
    </w:p>
    <w:p w14:paraId="2798EFC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预付款比例详见专用合同条款约定。</w:t>
      </w:r>
    </w:p>
    <w:p w14:paraId="313320E0">
      <w:pPr>
        <w:numPr>
          <w:ilvl w:val="2"/>
          <w:numId w:val="18"/>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预付款担保</w:t>
      </w:r>
    </w:p>
    <w:p w14:paraId="1180EFB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发包人要求总承包人提供预付款担保的，总承包人应在发包人支付预付款7天前提供预付款担保。预付款担保采用银行保函形式。在预付款完全扣回之前，总承包人应保证预付款担保持续有效。</w:t>
      </w:r>
    </w:p>
    <w:p w14:paraId="1A791E1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发包人在工程款中逐期扣回预付款后，预付款担保额度应相应减少，但剩余的预付款担保金额不得低于未被扣回的预付款金额。</w:t>
      </w:r>
    </w:p>
    <w:p w14:paraId="3385282F">
      <w:pPr>
        <w:numPr>
          <w:ilvl w:val="1"/>
          <w:numId w:val="18"/>
        </w:numPr>
        <w:snapToGrid w:val="0"/>
        <w:spacing w:line="560" w:lineRule="exact"/>
        <w:ind w:left="0" w:firstLine="600" w:firstLineChars="200"/>
        <w:rPr>
          <w:rFonts w:ascii="Times New Roman" w:eastAsia="仿宋"/>
          <w:b/>
          <w:sz w:val="30"/>
          <w:szCs w:val="30"/>
        </w:rPr>
      </w:pPr>
      <w:bookmarkStart w:id="1008" w:name="_Toc21530"/>
      <w:bookmarkStart w:id="1009" w:name="_Toc80863299"/>
      <w:bookmarkStart w:id="1010" w:name="_Toc5693"/>
      <w:bookmarkStart w:id="1011" w:name="_Toc12759"/>
      <w:bookmarkStart w:id="1012" w:name="_Toc4450"/>
      <w:bookmarkStart w:id="1013" w:name="_Toc524351835"/>
      <w:bookmarkStart w:id="1014" w:name="_Toc3940"/>
      <w:bookmarkStart w:id="1015" w:name="_Toc238"/>
      <w:r>
        <w:rPr>
          <w:rFonts w:ascii="Times New Roman" w:eastAsia="仿宋"/>
          <w:b/>
          <w:sz w:val="30"/>
          <w:szCs w:val="30"/>
        </w:rPr>
        <w:t>付款</w:t>
      </w:r>
      <w:bookmarkEnd w:id="1008"/>
      <w:bookmarkEnd w:id="1009"/>
      <w:bookmarkEnd w:id="1010"/>
      <w:bookmarkEnd w:id="1011"/>
      <w:bookmarkEnd w:id="1012"/>
      <w:bookmarkEnd w:id="1013"/>
      <w:bookmarkEnd w:id="1014"/>
      <w:bookmarkEnd w:id="1015"/>
    </w:p>
    <w:p w14:paraId="16637143">
      <w:pPr>
        <w:numPr>
          <w:ilvl w:val="2"/>
          <w:numId w:val="18"/>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付款办法</w:t>
      </w:r>
    </w:p>
    <w:p w14:paraId="7FFCD72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总价合同可采用按月、季度、年施工进度支付或按工程节点施工进度支付，具体付款办法在专用合同条款约定。</w:t>
      </w:r>
    </w:p>
    <w:p w14:paraId="21D7D043">
      <w:pPr>
        <w:numPr>
          <w:ilvl w:val="2"/>
          <w:numId w:val="18"/>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支付方式</w:t>
      </w:r>
    </w:p>
    <w:p w14:paraId="6F5D580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发包人在专用合同条款约定本项目所使用的支付方式。</w:t>
      </w:r>
    </w:p>
    <w:p w14:paraId="6B060B02">
      <w:pPr>
        <w:numPr>
          <w:ilvl w:val="2"/>
          <w:numId w:val="18"/>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付款的一般约定</w:t>
      </w:r>
    </w:p>
    <w:p w14:paraId="61E13440">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合同签订后,合同价款以人民币形式由发包人按合同约定分期支付，付款的先决条件为总承包人必须提交经发包人认可的履约保函或先行扣除全额的履约保证金、当期审价确认的支付金额合法增值税专用发票，并以现金或支票方式足额付清违约金及其他应由其承担（或发包人垫付）的各项费用，或在进度款中先足额扣除该等费用。</w:t>
      </w:r>
    </w:p>
    <w:p w14:paraId="179E6414">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（2）增值税专用发票的开票要求参见本通用合同条款第3.1.(9)条。</w:t>
      </w:r>
    </w:p>
    <w:p w14:paraId="32720B2A">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本工程涉及的社会保障费及农民工工资保证金，即使明确规定由发包人名义缴纳的，也将由发包人代缴后，按专用合同条款3.1.(2)条约定的方式从总承包人工程款中扣回，而总承包人仍需提供相应等值合法的增值税专用发票。工程竣工后，由总承包人向有关部门进行协调，办理可能的退款事宜（可能的退款金额由总承包人自行协调解决）。</w:t>
      </w:r>
    </w:p>
    <w:p w14:paraId="5C231110">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（4）合同约定的由总承包人负责的临水临电费用若是根据政府规定由发包人代缴代扣，则由发包人代缴后，从总承包人当期工程款中一次性全部扣回。而总承包人仍需提供相应等值合法的增值税专用发票。</w:t>
      </w:r>
    </w:p>
    <w:p w14:paraId="4852859A">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不含于合同价款内的按法律规定由发包人直接支付给相关政府部门的费用（如墙改基金），但需要总承包人的配合方可获取该等费用的返还的，总承包人需履行配合义务，否则由于总承包人的不积极不恰当的配合或错误导致发包人因此而造成的损失由总承包人承担。</w:t>
      </w:r>
    </w:p>
    <w:p w14:paraId="20DC4947">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（6）已经确认价款的暂定数量调整、暂估价调整、暂列金额调整、变更及材料调差，按照已完成情况计入已完工程产值内，按合同约定的付款办法支付。</w:t>
      </w:r>
      <w:r>
        <w:rPr>
          <w:rFonts w:ascii="Times New Roman" w:eastAsia="仿宋"/>
          <w:sz w:val="30"/>
          <w:szCs w:val="30"/>
          <w:lang w:eastAsia="zh-CN"/>
        </w:rPr>
        <w:tab/>
      </w:r>
    </w:p>
    <w:p w14:paraId="3DF3E496">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上报变更、签证应遵循一事一单（按变更指令份数）随同期进度上报的原则，在总承包人完成确认前，变更、签证费用发包人有权不予支付；但变更为减账的，发包人可在付款中直接扣除而无论总承包人是否已确认。</w:t>
      </w:r>
    </w:p>
    <w:p w14:paraId="50952662">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7）发包人供应的材料及工程设备发生超供的，超供部分按合同条款计算超供扣款（含增值税金额），并在最近一次节点付款中开始扣除，结算时以双方结算最终确认的应供量作为基数（以合同约定的应供量作为基数）进行超供、超订扣款，并将最终确定的超供扣款（含增值税金额）在结算款中扣除。</w:t>
      </w:r>
    </w:p>
    <w:p w14:paraId="04EE59EB">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（8）总承包人按合同约定须缴纳的违约金、赔偿金、罚款、发包人按合同约定支付给总承包人的奖励，将计入当期审定已完成合同含税金额，并与最近一期的付款内合并支付。</w:t>
      </w:r>
    </w:p>
    <w:p w14:paraId="46FC3774">
      <w:pPr>
        <w:tabs>
          <w:tab w:val="left" w:pos="2552"/>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（9）付款办法对总承包人造成的利息负担，由总承包人在投标时考虑，并包括在合同总价内。</w:t>
      </w:r>
    </w:p>
    <w:p w14:paraId="54E847FD">
      <w:pPr>
        <w:numPr>
          <w:ilvl w:val="1"/>
          <w:numId w:val="18"/>
        </w:numPr>
        <w:snapToGrid w:val="0"/>
        <w:spacing w:line="560" w:lineRule="exact"/>
        <w:ind w:left="0" w:firstLine="600" w:firstLineChars="200"/>
        <w:rPr>
          <w:rFonts w:ascii="Times New Roman" w:eastAsia="仿宋"/>
          <w:b/>
          <w:sz w:val="30"/>
          <w:szCs w:val="30"/>
        </w:rPr>
      </w:pPr>
      <w:bookmarkStart w:id="1016" w:name="_Toc27538"/>
      <w:bookmarkStart w:id="1017" w:name="_Toc24156"/>
      <w:bookmarkStart w:id="1018" w:name="_Toc15411"/>
      <w:bookmarkStart w:id="1019" w:name="_Toc2799"/>
      <w:bookmarkStart w:id="1020" w:name="_Toc5958"/>
      <w:bookmarkStart w:id="1021" w:name="_Toc12055"/>
      <w:bookmarkStart w:id="1022" w:name="_Toc524351836"/>
      <w:bookmarkStart w:id="1023" w:name="_Toc80863300"/>
      <w:r>
        <w:rPr>
          <w:rFonts w:ascii="Times New Roman" w:eastAsia="仿宋"/>
          <w:b/>
          <w:sz w:val="30"/>
          <w:szCs w:val="30"/>
        </w:rPr>
        <w:t>工程进度款支付</w:t>
      </w:r>
      <w:bookmarkEnd w:id="1016"/>
      <w:bookmarkEnd w:id="1017"/>
      <w:bookmarkEnd w:id="1018"/>
      <w:bookmarkEnd w:id="1019"/>
      <w:bookmarkEnd w:id="1020"/>
      <w:bookmarkEnd w:id="1021"/>
      <w:r>
        <w:rPr>
          <w:rFonts w:ascii="Times New Roman" w:eastAsia="仿宋"/>
          <w:b/>
          <w:sz w:val="30"/>
          <w:szCs w:val="30"/>
        </w:rPr>
        <w:t>指引</w:t>
      </w:r>
      <w:bookmarkEnd w:id="1022"/>
      <w:bookmarkEnd w:id="1023"/>
    </w:p>
    <w:p w14:paraId="6E1E8F7F">
      <w:pPr>
        <w:snapToGrid w:val="0"/>
        <w:spacing w:line="560" w:lineRule="exact"/>
        <w:ind w:firstLine="600" w:firstLineChars="200"/>
        <w:rPr>
          <w:rFonts w:ascii="Times New Roman" w:eastAsia="PMingLiU"/>
          <w:sz w:val="30"/>
          <w:szCs w:val="30"/>
          <w:lang w:eastAsia="zh-CN"/>
        </w:rPr>
      </w:pPr>
      <w:r>
        <w:rPr>
          <w:rFonts w:ascii="Times New Roman" w:eastAsia="仿宋"/>
          <w:sz w:val="30"/>
          <w:szCs w:val="30"/>
          <w:lang w:eastAsia="zh-CN"/>
        </w:rPr>
        <w:t>详见其他合同文件或发包人有关文件。</w:t>
      </w:r>
    </w:p>
    <w:p w14:paraId="2573EC21">
      <w:pPr>
        <w:numPr>
          <w:ilvl w:val="1"/>
          <w:numId w:val="18"/>
        </w:numPr>
        <w:snapToGrid w:val="0"/>
        <w:spacing w:line="560" w:lineRule="exact"/>
        <w:ind w:left="0" w:firstLine="600" w:firstLineChars="200"/>
        <w:rPr>
          <w:rFonts w:ascii="Times New Roman" w:eastAsia="仿宋"/>
          <w:b/>
          <w:sz w:val="30"/>
          <w:szCs w:val="30"/>
        </w:rPr>
      </w:pPr>
      <w:bookmarkStart w:id="1024" w:name="_Toc80863301"/>
      <w:bookmarkStart w:id="1025" w:name="_Toc6586"/>
      <w:bookmarkStart w:id="1026" w:name="_Toc27281"/>
      <w:bookmarkStart w:id="1027" w:name="_Toc5629"/>
      <w:bookmarkStart w:id="1028" w:name="_Toc13031"/>
      <w:bookmarkStart w:id="1029" w:name="_Toc18382"/>
      <w:bookmarkStart w:id="1030" w:name="_Toc17372"/>
      <w:bookmarkStart w:id="1031" w:name="_Toc524351837"/>
      <w:r>
        <w:rPr>
          <w:rFonts w:ascii="Times New Roman" w:eastAsia="仿宋"/>
          <w:b/>
          <w:sz w:val="30"/>
          <w:szCs w:val="30"/>
        </w:rPr>
        <w:t>支付账户</w:t>
      </w:r>
      <w:bookmarkEnd w:id="1024"/>
      <w:bookmarkEnd w:id="1025"/>
      <w:bookmarkEnd w:id="1026"/>
      <w:bookmarkEnd w:id="1027"/>
      <w:bookmarkEnd w:id="1028"/>
      <w:bookmarkEnd w:id="1029"/>
      <w:bookmarkEnd w:id="1030"/>
      <w:bookmarkEnd w:id="1031"/>
    </w:p>
    <w:p w14:paraId="6B368487">
      <w:pPr>
        <w:snapToGrid w:val="0"/>
        <w:spacing w:line="560" w:lineRule="exact"/>
        <w:ind w:firstLine="600" w:firstLineChars="200"/>
        <w:rPr>
          <w:rFonts w:ascii="Times New Roman" w:eastAsia="仿宋"/>
          <w:sz w:val="30"/>
          <w:szCs w:val="30"/>
          <w:highlight w:val="red"/>
          <w:lang w:eastAsia="zh-CN"/>
        </w:rPr>
      </w:pPr>
      <w:r>
        <w:rPr>
          <w:rFonts w:hint="eastAsia" w:ascii="Times New Roman" w:eastAsia="仿宋"/>
          <w:color w:val="FF0000"/>
          <w:sz w:val="30"/>
          <w:szCs w:val="30"/>
          <w:lang w:eastAsia="zh-CN"/>
        </w:rPr>
        <w:t>总承包人于本合同签订后一个星期之内办理好此项目专用收款账户（共管账户设置两个密钥，分别由发包人与总承包人持有），并上报发包人审核；此项目进度款按100%（产值比例80%）进共管账户，总承包人使用共管账户进行支付时需发包人与总承包人同意方能支付；总承包人在进度款支付之前完成共管账户办理及设置，否则将影响进度款支付，因此导致进度款支付逾期的发包人不承担责任，其全部后果由总承包人自行承担。</w:t>
      </w:r>
    </w:p>
    <w:p w14:paraId="25872761">
      <w:pPr>
        <w:pStyle w:val="4"/>
        <w:jc w:val="left"/>
        <w:rPr>
          <w:rFonts w:ascii="Times New Roman"/>
          <w:lang w:eastAsia="zh-CN"/>
        </w:rPr>
      </w:pPr>
      <w:bookmarkStart w:id="1032" w:name="_Toc82531196"/>
      <w:bookmarkStart w:id="1033" w:name="_Toc144742728"/>
      <w:r>
        <w:rPr>
          <w:rFonts w:ascii="Times New Roman"/>
          <w:lang w:eastAsia="zh-CN"/>
        </w:rPr>
        <w:t xml:space="preserve">13. </w:t>
      </w:r>
      <w:bookmarkStart w:id="1034" w:name="_Toc24892"/>
      <w:bookmarkStart w:id="1035" w:name="_Toc4058"/>
      <w:bookmarkStart w:id="1036" w:name="_Toc12901"/>
      <w:bookmarkStart w:id="1037" w:name="_Toc27329"/>
      <w:bookmarkStart w:id="1038" w:name="_Toc41574020"/>
      <w:bookmarkStart w:id="1039" w:name="_Toc289"/>
      <w:bookmarkStart w:id="1040" w:name="_Toc14201"/>
      <w:bookmarkStart w:id="1041" w:name="_Toc41499758"/>
      <w:bookmarkStart w:id="1042" w:name="_Toc2180"/>
      <w:bookmarkStart w:id="1043" w:name="_Toc524351838"/>
      <w:bookmarkStart w:id="1044" w:name="_Toc80863302"/>
      <w:r>
        <w:rPr>
          <w:rFonts w:ascii="Times New Roman"/>
          <w:lang w:eastAsia="zh-CN"/>
        </w:rPr>
        <w:t>验收</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4CFE834A">
      <w:pPr>
        <w:pStyle w:val="50"/>
        <w:numPr>
          <w:ilvl w:val="1"/>
          <w:numId w:val="19"/>
        </w:numPr>
        <w:snapToGrid w:val="0"/>
        <w:spacing w:line="560" w:lineRule="exact"/>
        <w:ind w:firstLineChars="0"/>
        <w:rPr>
          <w:rFonts w:ascii="Times New Roman" w:eastAsia="仿宋"/>
          <w:b/>
          <w:sz w:val="30"/>
          <w:szCs w:val="30"/>
        </w:rPr>
      </w:pPr>
      <w:bookmarkStart w:id="1045" w:name="_Toc30124"/>
      <w:bookmarkStart w:id="1046" w:name="_Toc14966"/>
      <w:bookmarkStart w:id="1047" w:name="_Toc20107"/>
      <w:bookmarkStart w:id="1048" w:name="_Toc25699"/>
      <w:bookmarkStart w:id="1049" w:name="_Toc80863303"/>
      <w:bookmarkStart w:id="1050" w:name="_Toc5815"/>
      <w:bookmarkStart w:id="1051" w:name="_Toc524351839"/>
      <w:bookmarkStart w:id="1052" w:name="_Toc5947"/>
      <w:r>
        <w:rPr>
          <w:rFonts w:ascii="Times New Roman" w:eastAsia="仿宋"/>
          <w:b/>
          <w:sz w:val="30"/>
          <w:szCs w:val="30"/>
        </w:rPr>
        <w:t>分部分项工程验收</w:t>
      </w:r>
      <w:bookmarkEnd w:id="1045"/>
      <w:bookmarkEnd w:id="1046"/>
      <w:bookmarkEnd w:id="1047"/>
      <w:bookmarkEnd w:id="1048"/>
      <w:bookmarkEnd w:id="1049"/>
      <w:bookmarkEnd w:id="1050"/>
      <w:bookmarkEnd w:id="1051"/>
      <w:bookmarkEnd w:id="1052"/>
    </w:p>
    <w:p w14:paraId="5AFF798F">
      <w:pPr>
        <w:numPr>
          <w:ilvl w:val="2"/>
          <w:numId w:val="19"/>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分部分项工程质量应符合国家有关工程施工验收规范、标准及合同约定，总承包人应按照施工组织设计的要求完成分部分项工程施工。</w:t>
      </w:r>
    </w:p>
    <w:p w14:paraId="15E74E53">
      <w:pPr>
        <w:numPr>
          <w:ilvl w:val="2"/>
          <w:numId w:val="19"/>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分部分项工程经总承包人自检合格并具备验收条件的，总承包人应提前48小时通知发包人和监理人进行验收。发包人和监理人不能按时进行验收的，应在验收前24小时向总承包人提交书面延期要求，但延期不能超过48小时。分部分项工程未经验收的，不得进入下一道工序施工。</w:t>
      </w:r>
    </w:p>
    <w:p w14:paraId="65B484C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分部分项工程的验收资料应当作为竣工资料的组成部分。</w:t>
      </w:r>
    </w:p>
    <w:p w14:paraId="595733E4">
      <w:pPr>
        <w:numPr>
          <w:ilvl w:val="2"/>
          <w:numId w:val="19"/>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总承包人须配合专业分包人完成专业分包工程的验收，并将专业分包工程的验收资料归入竣工资料。</w:t>
      </w:r>
    </w:p>
    <w:p w14:paraId="016E8AFF">
      <w:pPr>
        <w:numPr>
          <w:ilvl w:val="1"/>
          <w:numId w:val="19"/>
        </w:numPr>
        <w:snapToGrid w:val="0"/>
        <w:spacing w:line="560" w:lineRule="exact"/>
        <w:ind w:left="0" w:firstLine="600" w:firstLineChars="200"/>
        <w:rPr>
          <w:rFonts w:ascii="Times New Roman" w:eastAsia="仿宋"/>
          <w:b/>
          <w:sz w:val="30"/>
          <w:szCs w:val="30"/>
        </w:rPr>
      </w:pPr>
      <w:bookmarkStart w:id="1053" w:name="_Toc25078"/>
      <w:bookmarkStart w:id="1054" w:name="_Toc24542"/>
      <w:bookmarkStart w:id="1055" w:name="_Toc524351840"/>
      <w:bookmarkStart w:id="1056" w:name="_Toc4952"/>
      <w:bookmarkStart w:id="1057" w:name="_Toc24362"/>
      <w:bookmarkStart w:id="1058" w:name="_Toc80863304"/>
      <w:bookmarkStart w:id="1059" w:name="_Toc9678"/>
      <w:bookmarkStart w:id="1060" w:name="_Toc23358"/>
      <w:r>
        <w:rPr>
          <w:rFonts w:ascii="Times New Roman" w:eastAsia="仿宋"/>
          <w:b/>
          <w:sz w:val="30"/>
          <w:szCs w:val="30"/>
        </w:rPr>
        <w:t>政府竣工验收</w:t>
      </w:r>
      <w:bookmarkEnd w:id="1053"/>
      <w:bookmarkEnd w:id="1054"/>
      <w:bookmarkEnd w:id="1055"/>
      <w:bookmarkEnd w:id="1056"/>
      <w:bookmarkEnd w:id="1057"/>
      <w:bookmarkEnd w:id="1058"/>
      <w:bookmarkEnd w:id="1059"/>
      <w:bookmarkEnd w:id="1060"/>
    </w:p>
    <w:p w14:paraId="08D711F6">
      <w:pPr>
        <w:numPr>
          <w:ilvl w:val="2"/>
          <w:numId w:val="19"/>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政府竣工验收条件</w:t>
      </w:r>
    </w:p>
    <w:p w14:paraId="3DD8BC1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工程具备以下条件的，总承包人可以申请政府竣工验收：</w:t>
      </w:r>
    </w:p>
    <w:p w14:paraId="3EB5C79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（1）除发包人同意的甩项工作和缺陷修补工作外，合同范围内的全部工程（包含分包工程）以及有关工作，包括合同要求的试验、试运行以及检验均已完成，并符合合同要求；</w:t>
      </w:r>
    </w:p>
    <w:p w14:paraId="5EB7CC2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（2）已按合同约定编制了甩项工作和缺陷修补工作清单以及相应的施工计划；</w:t>
      </w:r>
    </w:p>
    <w:p w14:paraId="4C206A4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（3）已按合同约定的内容和份数备齐竣工资料。</w:t>
      </w:r>
    </w:p>
    <w:p w14:paraId="129B26A1">
      <w:pPr>
        <w:numPr>
          <w:ilvl w:val="2"/>
          <w:numId w:val="19"/>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政府竣工验收程序</w:t>
      </w:r>
    </w:p>
    <w:p w14:paraId="65259E5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除合同另有约定外，总承包人申请政府竣工验收的，应当按照以下程序进行：</w:t>
      </w:r>
    </w:p>
    <w:p w14:paraId="6F39589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总承包人向发包人和监理人报送竣工验收申请报告。发包人和监理人审查后认为尚不具备验收条件的，应通知总承包人在竣工验收前总承包人还需完成的工作内容，总承包人应在完成发包人和监理人通知的全部工作内容后，再次提交竣工验收申请报告。</w:t>
      </w:r>
    </w:p>
    <w:p w14:paraId="0609380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监理人审查后认为已具备竣工验收条件的，应将竣工验收申请报告提交发包人，发包人应在收到经监理人审核的竣工验收申请报告后42天内审批完毕，发包人认为尚不具备验收条件的，按上款约定执行，发包人认为已经具备竣工验收条件的，应通知政府有关部门并组织监理人、总承包人、设计人等相关单位完成政府竣工验收。</w:t>
      </w:r>
    </w:p>
    <w:p w14:paraId="2AB853C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政府竣工验收不合格的，发包人和监理人应按照验收意见发出指示，要求总承包人对不合格工程返工、修复或采取其他补救措施，由此增加的费用和（或）延误的工期由总承包人承担。总承包人在完成不合格工程的返工、修复或采取其他补救措施后，应重新提交竣工验收申请报告，并按本项约定的程序重新进行验收。</w:t>
      </w:r>
    </w:p>
    <w:p w14:paraId="7C726881">
      <w:pPr>
        <w:numPr>
          <w:ilvl w:val="2"/>
          <w:numId w:val="19"/>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竣工日期</w:t>
      </w:r>
    </w:p>
    <w:p w14:paraId="4C20290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工程经竣工验收合格的，以政府工程竣工验收合格之日为实际竣工日期，并在竣工验收报告中载明，工程达到合同要求的标准后，颁发竣工验收报告。竣工验收报告注明日期即本工程的实际竣工日期。</w:t>
      </w:r>
    </w:p>
    <w:p w14:paraId="08D3D23C">
      <w:pPr>
        <w:numPr>
          <w:ilvl w:val="1"/>
          <w:numId w:val="19"/>
        </w:numPr>
        <w:snapToGrid w:val="0"/>
        <w:spacing w:line="560" w:lineRule="exact"/>
        <w:ind w:left="0" w:firstLine="600" w:firstLineChars="200"/>
        <w:rPr>
          <w:rFonts w:ascii="Times New Roman" w:eastAsia="仿宋"/>
          <w:b/>
          <w:sz w:val="30"/>
          <w:szCs w:val="30"/>
        </w:rPr>
      </w:pPr>
      <w:bookmarkStart w:id="1061" w:name="_Toc524351841"/>
      <w:bookmarkStart w:id="1062" w:name="_Toc80863305"/>
      <w:r>
        <w:rPr>
          <w:rFonts w:ascii="Times New Roman" w:eastAsia="仿宋"/>
          <w:b/>
          <w:sz w:val="30"/>
          <w:szCs w:val="30"/>
        </w:rPr>
        <w:t>模拟验收</w:t>
      </w:r>
      <w:bookmarkEnd w:id="1061"/>
      <w:bookmarkEnd w:id="1062"/>
    </w:p>
    <w:p w14:paraId="4134FA9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当政府竣工验收合格、总承包人已按要求完成发包人同意的甩项工作及缺陷修补工作后，发包人将组织总承包人对本工程进行100％细部检查(简称模拟验收)，总承包人应逐项对发包人提出的问题进行无条件整改并承担因总承包人原因造成的整改费用。总承包人整改完成达到模拟验收要求并按合同条款13.7条〔总承包人退场〕完成退场后，将与</w:t>
      </w:r>
      <w:r>
        <w:rPr>
          <w:rFonts w:hint="eastAsia" w:ascii="Times New Roman" w:eastAsia="仿宋"/>
          <w:sz w:val="30"/>
          <w:szCs w:val="30"/>
          <w:lang w:eastAsia="zh-CN"/>
        </w:rPr>
        <w:t>发包</w:t>
      </w:r>
      <w:r>
        <w:rPr>
          <w:rFonts w:ascii="Times New Roman" w:eastAsia="仿宋"/>
          <w:sz w:val="30"/>
          <w:szCs w:val="30"/>
          <w:lang w:eastAsia="zh-CN"/>
        </w:rPr>
        <w:t>人办理工程移交。</w:t>
      </w:r>
    </w:p>
    <w:p w14:paraId="287E9F44">
      <w:pPr>
        <w:numPr>
          <w:ilvl w:val="1"/>
          <w:numId w:val="19"/>
        </w:numPr>
        <w:snapToGrid w:val="0"/>
        <w:spacing w:line="560" w:lineRule="exact"/>
        <w:ind w:left="0" w:firstLine="600" w:firstLineChars="200"/>
        <w:rPr>
          <w:rFonts w:ascii="Times New Roman" w:eastAsia="仿宋"/>
          <w:b/>
          <w:sz w:val="30"/>
          <w:szCs w:val="30"/>
          <w:lang w:eastAsia="zh-CN"/>
        </w:rPr>
      </w:pPr>
      <w:bookmarkStart w:id="1063" w:name="_Toc524351842"/>
      <w:bookmarkStart w:id="1064" w:name="_Toc80863306"/>
      <w:r>
        <w:rPr>
          <w:rFonts w:ascii="Times New Roman" w:eastAsia="仿宋"/>
          <w:b/>
          <w:sz w:val="30"/>
          <w:szCs w:val="30"/>
          <w:lang w:eastAsia="zh-CN"/>
        </w:rPr>
        <w:t>拒绝接收全部或部分工程</w:t>
      </w:r>
      <w:bookmarkEnd w:id="1063"/>
      <w:bookmarkEnd w:id="1064"/>
    </w:p>
    <w:p w14:paraId="1CB0CBD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对于验收不合格的工程，总承包人完成整改后，应当重新进行验收，经重新组织验收仍不合格的且无法采取措施补救的，则发包人可以拒绝接收不合格工程，发包人不必支付该等不合格工程的任何费用，已支付的费用可从应支付或将支付给总承包人的款项中扣除，或作为债项向总承包人索偿；除此外，总承包人还须赔偿发包人因此造成的一切损失及利润。因不合格工程导致其他工程不能正常使用的，总承包人应采取措施确保相关工程的正常使用，由此增加的费用和（或）延误的工期由总承包人承担。</w:t>
      </w:r>
    </w:p>
    <w:p w14:paraId="45880224">
      <w:pPr>
        <w:numPr>
          <w:ilvl w:val="1"/>
          <w:numId w:val="19"/>
        </w:numPr>
        <w:snapToGrid w:val="0"/>
        <w:spacing w:line="560" w:lineRule="exact"/>
        <w:ind w:left="0" w:firstLine="600" w:firstLineChars="200"/>
        <w:rPr>
          <w:rFonts w:ascii="Times New Roman" w:eastAsia="仿宋"/>
          <w:b/>
          <w:sz w:val="30"/>
          <w:szCs w:val="30"/>
          <w:lang w:eastAsia="zh-CN"/>
        </w:rPr>
      </w:pPr>
      <w:bookmarkStart w:id="1065" w:name="_Toc3491"/>
      <w:bookmarkStart w:id="1066" w:name="_Toc32677"/>
      <w:bookmarkStart w:id="1067" w:name="_Toc524351843"/>
      <w:bookmarkStart w:id="1068" w:name="_Toc80863307"/>
      <w:bookmarkStart w:id="1069" w:name="_Toc23919"/>
      <w:bookmarkStart w:id="1070" w:name="_Toc2675"/>
      <w:bookmarkStart w:id="1071" w:name="_Toc11074"/>
      <w:bookmarkStart w:id="1072" w:name="_Toc24833"/>
      <w:r>
        <w:rPr>
          <w:rFonts w:ascii="Times New Roman" w:eastAsia="仿宋"/>
          <w:b/>
          <w:sz w:val="30"/>
          <w:szCs w:val="30"/>
          <w:lang w:eastAsia="zh-CN"/>
        </w:rPr>
        <w:t>提前交付单位工程的验收</w:t>
      </w:r>
      <w:bookmarkEnd w:id="1065"/>
      <w:bookmarkEnd w:id="1066"/>
      <w:bookmarkEnd w:id="1067"/>
      <w:bookmarkEnd w:id="1068"/>
      <w:bookmarkEnd w:id="1069"/>
      <w:bookmarkEnd w:id="1070"/>
      <w:bookmarkEnd w:id="1071"/>
      <w:bookmarkEnd w:id="1072"/>
    </w:p>
    <w:p w14:paraId="0DC70A87">
      <w:pPr>
        <w:snapToGrid w:val="0"/>
        <w:spacing w:line="560" w:lineRule="exact"/>
        <w:ind w:firstLine="600" w:firstLineChars="200"/>
        <w:rPr>
          <w:rFonts w:ascii="Times New Roman" w:eastAsia="仿宋"/>
          <w:sz w:val="30"/>
          <w:szCs w:val="30"/>
        </w:rPr>
      </w:pPr>
      <w:r>
        <w:rPr>
          <w:rFonts w:ascii="Times New Roman" w:eastAsia="仿宋"/>
          <w:sz w:val="30"/>
          <w:szCs w:val="30"/>
          <w:lang w:eastAsia="zh-CN"/>
        </w:rPr>
        <w:t>发包人需要在工程竣工前使用单位工程的，或总承包人提出提前交付已经竣工的单位工程且经发包人同意的，可进行单位工程验收，验收的程序按照第13.2条〔政府竣工验收〕及13.3条〔模拟验收〕的约定进行。</w:t>
      </w:r>
      <w:r>
        <w:rPr>
          <w:rFonts w:ascii="Times New Roman" w:eastAsia="仿宋"/>
          <w:sz w:val="30"/>
          <w:szCs w:val="30"/>
        </w:rPr>
        <w:t>其保修期和质量保证金保留期亦可单独计算。</w:t>
      </w:r>
    </w:p>
    <w:p w14:paraId="27EBA2A7">
      <w:pPr>
        <w:numPr>
          <w:ilvl w:val="1"/>
          <w:numId w:val="19"/>
        </w:numPr>
        <w:snapToGrid w:val="0"/>
        <w:spacing w:line="560" w:lineRule="exact"/>
        <w:ind w:left="0" w:firstLine="600" w:firstLineChars="200"/>
        <w:rPr>
          <w:rFonts w:ascii="Times New Roman" w:eastAsia="仿宋"/>
          <w:b/>
          <w:sz w:val="30"/>
          <w:szCs w:val="30"/>
        </w:rPr>
      </w:pPr>
      <w:bookmarkStart w:id="1073" w:name="_Toc26102"/>
      <w:bookmarkStart w:id="1074" w:name="_Toc17254"/>
      <w:bookmarkStart w:id="1075" w:name="_Toc80863308"/>
      <w:bookmarkStart w:id="1076" w:name="_Toc524351844"/>
      <w:bookmarkStart w:id="1077" w:name="_Toc18769"/>
      <w:bookmarkStart w:id="1078" w:name="_Toc25458"/>
      <w:bookmarkStart w:id="1079" w:name="_Toc32276"/>
      <w:bookmarkStart w:id="1080" w:name="_Toc14071"/>
      <w:r>
        <w:rPr>
          <w:rFonts w:ascii="Times New Roman" w:eastAsia="仿宋"/>
          <w:b/>
          <w:sz w:val="30"/>
          <w:szCs w:val="30"/>
        </w:rPr>
        <w:t>施工期运行</w:t>
      </w:r>
      <w:bookmarkEnd w:id="1073"/>
      <w:bookmarkEnd w:id="1074"/>
      <w:bookmarkEnd w:id="1075"/>
      <w:bookmarkEnd w:id="1076"/>
      <w:bookmarkEnd w:id="1077"/>
      <w:bookmarkEnd w:id="1078"/>
      <w:bookmarkEnd w:id="1079"/>
      <w:bookmarkEnd w:id="1080"/>
    </w:p>
    <w:p w14:paraId="15CBB0B2">
      <w:pPr>
        <w:numPr>
          <w:ilvl w:val="2"/>
          <w:numId w:val="19"/>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施工期运行是指合同工程尚未全部竣工，其中某项或某几项单位工程或工程设备安装已竣工，需要投入施工期运行的，经发包人按第13.5条〔提前交付单位工程的验收〕的约定验收合格，证明能确保安全后，才能在施工期投入运行。</w:t>
      </w:r>
    </w:p>
    <w:p w14:paraId="42464FD7">
      <w:pPr>
        <w:numPr>
          <w:ilvl w:val="2"/>
          <w:numId w:val="19"/>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在施工期运行中发现工程或工程设备损坏或存在缺陷的，由总承包人按第15条〔保修〕约定进行修复。</w:t>
      </w:r>
    </w:p>
    <w:p w14:paraId="1E71C745">
      <w:pPr>
        <w:numPr>
          <w:ilvl w:val="1"/>
          <w:numId w:val="19"/>
        </w:numPr>
        <w:snapToGrid w:val="0"/>
        <w:spacing w:line="560" w:lineRule="exact"/>
        <w:ind w:left="0" w:firstLine="600" w:firstLineChars="200"/>
        <w:rPr>
          <w:rFonts w:ascii="Times New Roman" w:eastAsia="仿宋"/>
          <w:b/>
          <w:sz w:val="30"/>
          <w:szCs w:val="30"/>
        </w:rPr>
      </w:pPr>
      <w:bookmarkStart w:id="1081" w:name="_Toc19979"/>
      <w:bookmarkStart w:id="1082" w:name="_Toc21844"/>
      <w:bookmarkStart w:id="1083" w:name="_Toc3342"/>
      <w:bookmarkStart w:id="1084" w:name="_Toc19923"/>
      <w:bookmarkStart w:id="1085" w:name="_Toc1031"/>
      <w:bookmarkStart w:id="1086" w:name="_Toc524351845"/>
      <w:bookmarkStart w:id="1087" w:name="_Toc80863309"/>
      <w:bookmarkStart w:id="1088" w:name="_Toc27718"/>
      <w:r>
        <w:rPr>
          <w:rFonts w:ascii="Times New Roman" w:eastAsia="仿宋"/>
          <w:b/>
          <w:sz w:val="30"/>
          <w:szCs w:val="30"/>
        </w:rPr>
        <w:t>总承包人退场</w:t>
      </w:r>
      <w:bookmarkEnd w:id="1081"/>
      <w:bookmarkEnd w:id="1082"/>
      <w:bookmarkEnd w:id="1083"/>
      <w:bookmarkEnd w:id="1084"/>
      <w:bookmarkEnd w:id="1085"/>
      <w:bookmarkEnd w:id="1086"/>
      <w:bookmarkEnd w:id="1087"/>
      <w:bookmarkEnd w:id="1088"/>
    </w:p>
    <w:p w14:paraId="0DF66595">
      <w:pPr>
        <w:numPr>
          <w:ilvl w:val="2"/>
          <w:numId w:val="19"/>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总承包人退场</w:t>
      </w:r>
    </w:p>
    <w:p w14:paraId="40A3AB7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竣工验收合格移交工程前或依据法律规定、约定条件合同终止或解除的，总承包人应按以下要求对施工现场进行清理：</w:t>
      </w:r>
    </w:p>
    <w:p w14:paraId="61F6DA9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（1）施工现场内残留的垃圾已全部清除出场；</w:t>
      </w:r>
    </w:p>
    <w:p w14:paraId="562D8AB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（2）临时工程已拆除，场地已进行清理、平整或复原；</w:t>
      </w:r>
    </w:p>
    <w:p w14:paraId="2C2F1B2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（3）按合同约定应撤离的人员、总承包人施工设备和剩余的材料，包括废弃的施工设备和材料，已按计划撤离施工现场；</w:t>
      </w:r>
    </w:p>
    <w:p w14:paraId="263128A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（4）施工现场周边及其附近道路、河道的施工堆积物，已全部清理；</w:t>
      </w:r>
    </w:p>
    <w:p w14:paraId="46F1F3E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（5）施工现场其他场地清理工作已全部完成。</w:t>
      </w:r>
    </w:p>
    <w:p w14:paraId="4B25A45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除合同内另有规定，施工现场的退场费用由总承包人承担。总承包人应在发包人要求的期限内完成竣工退场，逾期未完成的，发包人有权出售或另行处理总承包人遗留的物品，由此支出的费用由总承包人承担，发包人出售总承包人遗留物品所得款项在扣除必要费用后应返还总承包人。</w:t>
      </w:r>
    </w:p>
    <w:p w14:paraId="7E1EF193">
      <w:pPr>
        <w:numPr>
          <w:ilvl w:val="2"/>
          <w:numId w:val="19"/>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地表还原</w:t>
      </w:r>
    </w:p>
    <w:p w14:paraId="04268F4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总承包人应按发包人要求恢复临时占地及清理场地，总承包人未按发包人的要求恢复临时占地，或者场地清理未达到合同约定要求的，发包人有权委托其他人恢复或清理，所发生的费用由总承包人承担。</w:t>
      </w:r>
    </w:p>
    <w:p w14:paraId="5653B929">
      <w:pPr>
        <w:pStyle w:val="4"/>
        <w:jc w:val="left"/>
        <w:rPr>
          <w:rFonts w:ascii="Times New Roman"/>
          <w:lang w:eastAsia="zh-CN"/>
        </w:rPr>
      </w:pPr>
      <w:bookmarkStart w:id="1089" w:name="_Toc144742729"/>
      <w:bookmarkStart w:id="1090" w:name="_Toc82531197"/>
      <w:r>
        <w:rPr>
          <w:rFonts w:ascii="Times New Roman"/>
          <w:lang w:eastAsia="zh-CN"/>
        </w:rPr>
        <w:t xml:space="preserve">14. </w:t>
      </w:r>
      <w:bookmarkStart w:id="1091" w:name="_Toc12817"/>
      <w:bookmarkStart w:id="1092" w:name="_Toc25571"/>
      <w:bookmarkStart w:id="1093" w:name="_Toc524351846"/>
      <w:bookmarkStart w:id="1094" w:name="_Toc21861"/>
      <w:bookmarkStart w:id="1095" w:name="_Toc80863310"/>
      <w:bookmarkStart w:id="1096" w:name="_Toc13098"/>
      <w:bookmarkStart w:id="1097" w:name="_Toc9835"/>
      <w:bookmarkStart w:id="1098" w:name="_Toc41574021"/>
      <w:bookmarkStart w:id="1099" w:name="_Toc4328"/>
      <w:bookmarkStart w:id="1100" w:name="_Toc4797"/>
      <w:bookmarkStart w:id="1101" w:name="_Toc41499759"/>
      <w:r>
        <w:rPr>
          <w:rFonts w:ascii="Times New Roman"/>
          <w:lang w:eastAsia="zh-CN"/>
        </w:rPr>
        <w:t>竣工结算</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64F34B56">
      <w:pPr>
        <w:pStyle w:val="50"/>
        <w:numPr>
          <w:ilvl w:val="1"/>
          <w:numId w:val="20"/>
        </w:numPr>
        <w:snapToGrid w:val="0"/>
        <w:spacing w:line="560" w:lineRule="exact"/>
        <w:ind w:firstLineChars="0"/>
        <w:rPr>
          <w:rFonts w:ascii="Times New Roman" w:eastAsia="仿宋"/>
          <w:b/>
          <w:sz w:val="30"/>
          <w:szCs w:val="30"/>
        </w:rPr>
      </w:pPr>
      <w:bookmarkStart w:id="1102" w:name="_Toc28247"/>
      <w:bookmarkStart w:id="1103" w:name="_Toc17880"/>
      <w:bookmarkStart w:id="1104" w:name="_Toc524351847"/>
      <w:bookmarkStart w:id="1105" w:name="_Toc19663"/>
      <w:bookmarkStart w:id="1106" w:name="_Toc80863311"/>
      <w:bookmarkStart w:id="1107" w:name="_Toc29107"/>
      <w:bookmarkStart w:id="1108" w:name="_Toc24697"/>
      <w:bookmarkStart w:id="1109" w:name="_Toc26879"/>
      <w:r>
        <w:rPr>
          <w:rFonts w:ascii="Times New Roman" w:eastAsia="仿宋"/>
          <w:b/>
          <w:sz w:val="30"/>
          <w:szCs w:val="30"/>
        </w:rPr>
        <w:t>竣工结算申请</w:t>
      </w:r>
      <w:bookmarkEnd w:id="1102"/>
      <w:bookmarkEnd w:id="1103"/>
      <w:bookmarkEnd w:id="1104"/>
      <w:bookmarkEnd w:id="1105"/>
      <w:bookmarkEnd w:id="1106"/>
      <w:bookmarkEnd w:id="1107"/>
      <w:bookmarkEnd w:id="1108"/>
      <w:bookmarkEnd w:id="1109"/>
    </w:p>
    <w:p w14:paraId="649DFC3B">
      <w:pPr>
        <w:widowControl/>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总承包人应按发包人要求向发包人提交竣工结算申请单及完整的结算资料，提前交付的单位工程验收合格后亦可单独进行结算。</w:t>
      </w:r>
    </w:p>
    <w:p w14:paraId="1BE2430B">
      <w:pPr>
        <w:widowControl/>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若总承包人在竣工证书中载明的竣工日期起3个月内未按照合同约定提交竣工结算申请及完整结算资料的，发包人有权进行单方面结算。即发包人将单方面结算资料及结算金额发予总承包人进行确认，总承包人应在收到资料后14天内予以书面回复确认，对于有争议的，总承包人应将相关证据资料在14天内提交发包人审核确认。</w:t>
      </w:r>
    </w:p>
    <w:p w14:paraId="5232CE25">
      <w:pPr>
        <w:widowControl/>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总承包人在14天内未提交书面回复意见（或争议问题），或虽提出异议，但并未提交相关证据资料的，均视为总承包人接受发包人单方面结算成果。</w:t>
      </w:r>
    </w:p>
    <w:p w14:paraId="021B306C">
      <w:pPr>
        <w:widowControl/>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发包人在收到总承包人回复意见及相关证据资料后，应及时与总承包人进行争议部分的核对、处理。</w:t>
      </w:r>
    </w:p>
    <w:p w14:paraId="681D3D94">
      <w:pPr>
        <w:numPr>
          <w:ilvl w:val="1"/>
          <w:numId w:val="20"/>
        </w:numPr>
        <w:snapToGrid w:val="0"/>
        <w:spacing w:line="560" w:lineRule="exact"/>
        <w:ind w:left="0" w:firstLine="600" w:firstLineChars="200"/>
        <w:rPr>
          <w:rFonts w:ascii="Times New Roman" w:eastAsia="仿宋"/>
          <w:b/>
          <w:sz w:val="30"/>
          <w:szCs w:val="30"/>
        </w:rPr>
      </w:pPr>
      <w:bookmarkStart w:id="1110" w:name="_Toc11572"/>
      <w:bookmarkStart w:id="1111" w:name="_Toc6208"/>
      <w:bookmarkStart w:id="1112" w:name="_Toc6821"/>
      <w:bookmarkStart w:id="1113" w:name="_Toc19674"/>
      <w:bookmarkStart w:id="1114" w:name="_Toc80863312"/>
      <w:bookmarkStart w:id="1115" w:name="_Toc524351848"/>
      <w:bookmarkStart w:id="1116" w:name="_Toc2128"/>
      <w:bookmarkStart w:id="1117" w:name="_Toc28691"/>
      <w:r>
        <w:rPr>
          <w:rFonts w:ascii="Times New Roman" w:eastAsia="仿宋"/>
          <w:b/>
          <w:sz w:val="30"/>
          <w:szCs w:val="30"/>
        </w:rPr>
        <w:t>竣工结算审核</w:t>
      </w:r>
      <w:bookmarkEnd w:id="1110"/>
      <w:bookmarkEnd w:id="1111"/>
      <w:bookmarkEnd w:id="1112"/>
      <w:bookmarkEnd w:id="1113"/>
      <w:bookmarkEnd w:id="1114"/>
      <w:bookmarkEnd w:id="1115"/>
      <w:bookmarkEnd w:id="1116"/>
      <w:bookmarkEnd w:id="1117"/>
    </w:p>
    <w:p w14:paraId="44D0464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（1）总承包人与发包人就结算金额达成一致的，双方签署工程结算书作最终确认及证明。</w:t>
      </w:r>
    </w:p>
    <w:p w14:paraId="05244D9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如技术标准和要求中有奖项是在竣工之后才评选，且在结算书签订前尚未有定论的，则结算金额将暂不考虑该等奖项对应的奖罚金额，但会在结算书内列明将来奖罚的处理原则，具体参照下述第14.3〔甩项竣工协议〕执行。</w:t>
      </w:r>
    </w:p>
    <w:p w14:paraId="5CC22845">
      <w:pPr>
        <w:numPr>
          <w:ilvl w:val="1"/>
          <w:numId w:val="20"/>
        </w:numPr>
        <w:snapToGrid w:val="0"/>
        <w:spacing w:line="560" w:lineRule="exact"/>
        <w:ind w:left="0" w:firstLine="600" w:firstLineChars="200"/>
        <w:rPr>
          <w:rFonts w:ascii="Times New Roman" w:eastAsia="仿宋"/>
          <w:b/>
          <w:sz w:val="30"/>
          <w:szCs w:val="30"/>
        </w:rPr>
      </w:pPr>
      <w:bookmarkStart w:id="1118" w:name="_Toc5120"/>
      <w:bookmarkStart w:id="1119" w:name="_Toc524351849"/>
      <w:bookmarkStart w:id="1120" w:name="_Toc29908"/>
      <w:bookmarkStart w:id="1121" w:name="_Toc22454"/>
      <w:bookmarkStart w:id="1122" w:name="_Toc15928"/>
      <w:bookmarkStart w:id="1123" w:name="_Toc32105"/>
      <w:bookmarkStart w:id="1124" w:name="_Toc80863313"/>
      <w:bookmarkStart w:id="1125" w:name="_Toc10043"/>
      <w:r>
        <w:rPr>
          <w:rFonts w:ascii="Times New Roman" w:eastAsia="仿宋"/>
          <w:b/>
          <w:sz w:val="30"/>
          <w:szCs w:val="30"/>
        </w:rPr>
        <w:t>甩项竣工协议</w:t>
      </w:r>
      <w:bookmarkEnd w:id="1118"/>
      <w:bookmarkEnd w:id="1119"/>
      <w:bookmarkEnd w:id="1120"/>
      <w:bookmarkEnd w:id="1121"/>
      <w:bookmarkEnd w:id="1122"/>
      <w:bookmarkEnd w:id="1123"/>
      <w:bookmarkEnd w:id="1124"/>
      <w:bookmarkEnd w:id="1125"/>
    </w:p>
    <w:p w14:paraId="1F8FCDAA">
      <w:pPr>
        <w:widowControl/>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发包人要求甩项竣工的，合同当事人应签订甩项竣工协议。在甩项竣工协议中应明确合同当事人按照第14.1条〔竣工结算申请〕及14.2条〔竣工结算审核〕的约定，对已完合格工程进行结算。</w:t>
      </w:r>
    </w:p>
    <w:p w14:paraId="6AD1AA21">
      <w:pPr>
        <w:numPr>
          <w:ilvl w:val="1"/>
          <w:numId w:val="20"/>
        </w:numPr>
        <w:snapToGrid w:val="0"/>
        <w:spacing w:line="560" w:lineRule="exact"/>
        <w:ind w:left="0" w:firstLine="600" w:firstLineChars="200"/>
        <w:rPr>
          <w:rFonts w:ascii="Times New Roman" w:eastAsia="仿宋"/>
          <w:b/>
          <w:sz w:val="30"/>
          <w:szCs w:val="30"/>
        </w:rPr>
      </w:pPr>
      <w:bookmarkStart w:id="1126" w:name="_Toc20114"/>
      <w:bookmarkStart w:id="1127" w:name="_Toc1655"/>
      <w:bookmarkStart w:id="1128" w:name="_Toc13785"/>
      <w:bookmarkStart w:id="1129" w:name="_Toc3250"/>
      <w:bookmarkStart w:id="1130" w:name="_Toc21334"/>
      <w:bookmarkStart w:id="1131" w:name="_Toc21536"/>
      <w:bookmarkStart w:id="1132" w:name="_Toc524351850"/>
      <w:bookmarkStart w:id="1133" w:name="_Toc80863314"/>
      <w:r>
        <w:rPr>
          <w:rFonts w:ascii="Times New Roman" w:eastAsia="仿宋"/>
          <w:b/>
          <w:sz w:val="30"/>
          <w:szCs w:val="30"/>
        </w:rPr>
        <w:t>最终结清</w:t>
      </w:r>
      <w:bookmarkEnd w:id="1126"/>
      <w:bookmarkEnd w:id="1127"/>
      <w:bookmarkEnd w:id="1128"/>
      <w:bookmarkEnd w:id="1129"/>
      <w:bookmarkEnd w:id="1130"/>
      <w:bookmarkEnd w:id="1131"/>
      <w:bookmarkEnd w:id="1132"/>
      <w:bookmarkEnd w:id="1133"/>
    </w:p>
    <w:p w14:paraId="087896B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w:t>
      </w:r>
      <w:r>
        <w:rPr>
          <w:rFonts w:ascii="Times New Roman" w:eastAsia="仿宋"/>
          <w:sz w:val="30"/>
          <w:szCs w:val="30"/>
          <w:lang w:eastAsia="zh-CN"/>
        </w:rPr>
        <w:tab/>
      </w:r>
      <w:r>
        <w:rPr>
          <w:rFonts w:ascii="Times New Roman" w:eastAsia="仿宋"/>
          <w:sz w:val="30"/>
          <w:szCs w:val="30"/>
          <w:lang w:eastAsia="zh-CN"/>
        </w:rPr>
        <w:t>本工程按合同条款15.3.3条〔质量保证金的退还〕退还全部剩余质量保证金后，视为最终结清。除剩余质量保证金外，如还有其他应付款项未支付的，发包人需一并支付，方可视为最终结清。</w:t>
      </w:r>
    </w:p>
    <w:p w14:paraId="153BE07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w:t>
      </w:r>
      <w:r>
        <w:rPr>
          <w:rFonts w:ascii="Times New Roman" w:eastAsia="仿宋"/>
          <w:sz w:val="30"/>
          <w:szCs w:val="30"/>
          <w:lang w:eastAsia="zh-CN"/>
        </w:rPr>
        <w:tab/>
      </w:r>
      <w:r>
        <w:rPr>
          <w:rFonts w:ascii="Times New Roman" w:eastAsia="仿宋"/>
          <w:sz w:val="30"/>
          <w:szCs w:val="30"/>
          <w:lang w:eastAsia="zh-CN"/>
        </w:rPr>
        <w:t>若质量保证金不足以抵扣质量保证金保留期内总承包人应承担及支付的费用的，差额部分由总承包人补偿支付给发包人后，视为最终结清。</w:t>
      </w:r>
    </w:p>
    <w:p w14:paraId="351E650F">
      <w:pPr>
        <w:pStyle w:val="4"/>
        <w:jc w:val="left"/>
        <w:rPr>
          <w:rFonts w:ascii="Times New Roman"/>
          <w:lang w:eastAsia="zh-CN"/>
        </w:rPr>
      </w:pPr>
      <w:bookmarkStart w:id="1134" w:name="_Toc330"/>
      <w:bookmarkStart w:id="1135" w:name="_Toc80863315"/>
      <w:bookmarkStart w:id="1136" w:name="_Toc27809"/>
      <w:bookmarkStart w:id="1137" w:name="_Toc15879"/>
      <w:bookmarkStart w:id="1138" w:name="_Toc82531198"/>
      <w:bookmarkStart w:id="1139" w:name="_Toc524351851"/>
      <w:bookmarkStart w:id="1140" w:name="_Toc20978"/>
      <w:bookmarkStart w:id="1141" w:name="_Toc7815"/>
      <w:bookmarkStart w:id="1142" w:name="_Toc144742730"/>
      <w:bookmarkStart w:id="1143" w:name="_Toc1613"/>
      <w:bookmarkStart w:id="1144" w:name="_Toc41499760"/>
      <w:bookmarkStart w:id="1145" w:name="_Toc41574022"/>
      <w:bookmarkStart w:id="1146" w:name="_Toc11966"/>
      <w:r>
        <w:rPr>
          <w:rFonts w:ascii="Times New Roman"/>
          <w:lang w:eastAsia="zh-CN"/>
        </w:rPr>
        <w:t>15. 保修</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6A17BCA6">
      <w:pPr>
        <w:pStyle w:val="50"/>
        <w:numPr>
          <w:ilvl w:val="1"/>
          <w:numId w:val="21"/>
        </w:numPr>
        <w:snapToGrid w:val="0"/>
        <w:spacing w:line="560" w:lineRule="exact"/>
        <w:ind w:firstLineChars="0"/>
        <w:rPr>
          <w:rFonts w:ascii="Times New Roman" w:eastAsia="仿宋"/>
          <w:b/>
          <w:sz w:val="30"/>
          <w:szCs w:val="30"/>
        </w:rPr>
      </w:pPr>
      <w:bookmarkStart w:id="1147" w:name="_Toc11628"/>
      <w:bookmarkStart w:id="1148" w:name="_Toc80863316"/>
      <w:bookmarkStart w:id="1149" w:name="_Toc5513"/>
      <w:bookmarkStart w:id="1150" w:name="_Toc11437"/>
      <w:bookmarkStart w:id="1151" w:name="_Toc12703"/>
      <w:bookmarkStart w:id="1152" w:name="_Toc2556"/>
      <w:bookmarkStart w:id="1153" w:name="_Toc524351852"/>
      <w:bookmarkStart w:id="1154" w:name="_Toc16452"/>
      <w:r>
        <w:rPr>
          <w:rFonts w:ascii="Times New Roman" w:eastAsia="仿宋"/>
          <w:b/>
          <w:sz w:val="30"/>
          <w:szCs w:val="30"/>
        </w:rPr>
        <w:t>工程保修的原则</w:t>
      </w:r>
      <w:bookmarkEnd w:id="1147"/>
      <w:bookmarkEnd w:id="1148"/>
      <w:bookmarkEnd w:id="1149"/>
      <w:bookmarkEnd w:id="1150"/>
      <w:bookmarkEnd w:id="1151"/>
      <w:bookmarkEnd w:id="1152"/>
      <w:bookmarkEnd w:id="1153"/>
      <w:bookmarkEnd w:id="1154"/>
    </w:p>
    <w:p w14:paraId="2BAD221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在工程移交发包人后，因总承包人原因产生的质量缺陷，总承包人应承担质量缺陷责任和保修义务。质量保证金保留期届满，总承包人仍应按合同约定的工程各部位保修年限承担保修义务。</w:t>
      </w:r>
    </w:p>
    <w:p w14:paraId="2C01BAE0">
      <w:pPr>
        <w:numPr>
          <w:ilvl w:val="1"/>
          <w:numId w:val="21"/>
        </w:numPr>
        <w:snapToGrid w:val="0"/>
        <w:spacing w:line="560" w:lineRule="exact"/>
        <w:ind w:left="0" w:firstLine="600" w:firstLineChars="200"/>
        <w:rPr>
          <w:rFonts w:ascii="Times New Roman" w:eastAsia="仿宋"/>
          <w:b/>
          <w:sz w:val="30"/>
          <w:szCs w:val="30"/>
        </w:rPr>
      </w:pPr>
      <w:bookmarkStart w:id="1155" w:name="_Toc80863317"/>
      <w:bookmarkStart w:id="1156" w:name="_Toc524351853"/>
      <w:r>
        <w:rPr>
          <w:rFonts w:ascii="Times New Roman" w:eastAsia="仿宋"/>
          <w:b/>
          <w:sz w:val="30"/>
          <w:szCs w:val="30"/>
        </w:rPr>
        <w:t>质量保证金保留期</w:t>
      </w:r>
      <w:bookmarkEnd w:id="1155"/>
      <w:bookmarkEnd w:id="1156"/>
    </w:p>
    <w:p w14:paraId="596AFA24">
      <w:pPr>
        <w:numPr>
          <w:ilvl w:val="2"/>
          <w:numId w:val="21"/>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质量保证金保留期自政府竣工验收合格之日起计两年。</w:t>
      </w:r>
    </w:p>
    <w:p w14:paraId="780B1DF4">
      <w:pPr>
        <w:numPr>
          <w:ilvl w:val="2"/>
          <w:numId w:val="21"/>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任何一项缺陷或损坏修复后，经检查证明其影响了工程或工程设备的使用性能，总承包人应重新进行合同约定的试验和试运行，试验和试运行的全部费用应由责任方承担。</w:t>
      </w:r>
    </w:p>
    <w:p w14:paraId="5D89028A">
      <w:pPr>
        <w:numPr>
          <w:ilvl w:val="2"/>
          <w:numId w:val="21"/>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于质量保证金保留期届满后7天内向发包人发出质量保证金保留期届满通知，发包人应在收到质量保证金保留期满通知后核实总承包人是否履行缺陷修复义务，总承包人未能履行缺陷修复义务的或经发包人证实总承包人在维修期间无故拖延，发包人有权自行修复或委托第三方修复，所需费用(含发包人按</w:t>
      </w:r>
      <w:r>
        <w:rPr>
          <w:rFonts w:ascii="Times New Roman" w:eastAsia="仿宋"/>
          <w:bCs/>
          <w:spacing w:val="-2"/>
          <w:sz w:val="30"/>
          <w:szCs w:val="30"/>
          <w:lang w:eastAsia="zh-CN"/>
        </w:rPr>
        <w:t>修复费用的20%加收的管理费)</w:t>
      </w:r>
      <w:r>
        <w:rPr>
          <w:rFonts w:ascii="Times New Roman" w:eastAsia="仿宋"/>
          <w:sz w:val="30"/>
          <w:szCs w:val="30"/>
          <w:lang w:eastAsia="zh-CN"/>
        </w:rPr>
        <w:t>由总承包人承担，并从总承包人在本工程剩余的质量保证金中扣除，如剩余的质量保证金不足，则发包人有继续追偿的权利。</w:t>
      </w:r>
    </w:p>
    <w:p w14:paraId="6C334D5C">
      <w:pPr>
        <w:numPr>
          <w:ilvl w:val="1"/>
          <w:numId w:val="21"/>
        </w:numPr>
        <w:snapToGrid w:val="0"/>
        <w:spacing w:line="560" w:lineRule="exact"/>
        <w:ind w:left="0" w:firstLine="600" w:firstLineChars="200"/>
        <w:rPr>
          <w:rFonts w:ascii="Times New Roman" w:eastAsia="仿宋"/>
          <w:b/>
          <w:sz w:val="30"/>
          <w:szCs w:val="30"/>
        </w:rPr>
      </w:pPr>
      <w:bookmarkStart w:id="1157" w:name="_Toc80863318"/>
      <w:r>
        <w:rPr>
          <w:rFonts w:ascii="Times New Roman" w:eastAsia="仿宋"/>
          <w:b/>
          <w:sz w:val="30"/>
          <w:szCs w:val="30"/>
        </w:rPr>
        <w:t>质量保证金</w:t>
      </w:r>
      <w:bookmarkEnd w:id="1157"/>
    </w:p>
    <w:p w14:paraId="072BAB7A">
      <w:pPr>
        <w:numPr>
          <w:ilvl w:val="2"/>
          <w:numId w:val="21"/>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总承包人提供质量保证金的方式</w:t>
      </w:r>
    </w:p>
    <w:p w14:paraId="315E0DE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总承包人提供质量保证金方式：由发包人扣留3%的结算价款(以最接近的千元为单位)。</w:t>
      </w:r>
    </w:p>
    <w:p w14:paraId="00486C08">
      <w:pPr>
        <w:numPr>
          <w:ilvl w:val="2"/>
          <w:numId w:val="21"/>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质量保证金的扣留</w:t>
      </w:r>
    </w:p>
    <w:p w14:paraId="75650DD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质量保证金的扣留方式：详见专用合同条款9.3.1〔付款办法〕。</w:t>
      </w:r>
    </w:p>
    <w:p w14:paraId="40D13EB6">
      <w:pPr>
        <w:numPr>
          <w:ilvl w:val="2"/>
          <w:numId w:val="21"/>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质量保证金的退还</w:t>
      </w:r>
    </w:p>
    <w:p w14:paraId="365F9E2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质量保证金保留期满后，总承包人应先向发包人书面提出质量保证金退还申请，发包人确认工程质量无异议，或总承包人已按合同约定履行保修责任，则发包人预先扣除质量保证金保留期内发生的应由总承包人承担及支付的费用后向总承包人支付剩余质量保证金，具体约定详见附件3〔工程质量保修协议〕。如质量保证金不足抵扣质量保证金保留期内发生的应由总承包人承担及支付的费用的，发包人可向总承包人做出追讨。</w:t>
      </w:r>
    </w:p>
    <w:p w14:paraId="0D43872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质量保证金的支付并不表示总承包人保修责任的结束，总承包人仍须按照合同条款约定的保修期继续履行保修责任。</w:t>
      </w:r>
    </w:p>
    <w:p w14:paraId="72A3B69B">
      <w:pPr>
        <w:numPr>
          <w:ilvl w:val="1"/>
          <w:numId w:val="21"/>
        </w:numPr>
        <w:snapToGrid w:val="0"/>
        <w:spacing w:line="560" w:lineRule="exact"/>
        <w:ind w:left="0" w:firstLine="600" w:firstLineChars="200"/>
        <w:rPr>
          <w:rFonts w:ascii="Times New Roman" w:eastAsia="仿宋"/>
          <w:b/>
          <w:sz w:val="30"/>
          <w:szCs w:val="30"/>
        </w:rPr>
      </w:pPr>
      <w:bookmarkStart w:id="1158" w:name="_Toc24465"/>
      <w:bookmarkStart w:id="1159" w:name="_Toc524351855"/>
      <w:bookmarkStart w:id="1160" w:name="_Toc908"/>
      <w:bookmarkStart w:id="1161" w:name="_Toc25659"/>
      <w:bookmarkStart w:id="1162" w:name="_Toc21303"/>
      <w:bookmarkStart w:id="1163" w:name="_Toc15477"/>
      <w:bookmarkStart w:id="1164" w:name="_Toc80863319"/>
      <w:bookmarkStart w:id="1165" w:name="_Toc17180"/>
      <w:r>
        <w:rPr>
          <w:rFonts w:ascii="Times New Roman" w:eastAsia="仿宋"/>
          <w:b/>
          <w:sz w:val="30"/>
          <w:szCs w:val="30"/>
        </w:rPr>
        <w:t>保修</w:t>
      </w:r>
      <w:bookmarkEnd w:id="1158"/>
      <w:bookmarkEnd w:id="1159"/>
      <w:bookmarkEnd w:id="1160"/>
      <w:bookmarkEnd w:id="1161"/>
      <w:bookmarkEnd w:id="1162"/>
      <w:bookmarkEnd w:id="1163"/>
      <w:bookmarkEnd w:id="1164"/>
      <w:bookmarkEnd w:id="1165"/>
    </w:p>
    <w:p w14:paraId="0DA14C4D">
      <w:pPr>
        <w:numPr>
          <w:ilvl w:val="2"/>
          <w:numId w:val="21"/>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保修责任</w:t>
      </w:r>
    </w:p>
    <w:p w14:paraId="7FF8E05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本工程的保修期自总承包工程政府竣工验收合格之日起计算，保修期不得低于法定最低保修年限，具体如下：</w:t>
      </w:r>
    </w:p>
    <w:p w14:paraId="09C3568E">
      <w:pPr>
        <w:tabs>
          <w:tab w:val="left" w:pos="1276"/>
        </w:tabs>
        <w:spacing w:line="560" w:lineRule="exact"/>
        <w:ind w:firstLine="600" w:firstLineChars="200"/>
        <w:rPr>
          <w:rFonts w:ascii="Times New Roman" w:eastAsia="仿宋"/>
          <w:bCs/>
          <w:sz w:val="30"/>
          <w:szCs w:val="30"/>
          <w:lang w:eastAsia="zh-CN"/>
        </w:rPr>
      </w:pPr>
      <w:r>
        <w:rPr>
          <w:rFonts w:ascii="Times New Roman" w:eastAsia="仿宋"/>
          <w:bCs/>
          <w:sz w:val="30"/>
          <w:szCs w:val="30"/>
          <w:lang w:eastAsia="zh-CN"/>
        </w:rPr>
        <w:t>(1)</w:t>
      </w:r>
      <w:r>
        <w:rPr>
          <w:rFonts w:ascii="Times New Roman" w:eastAsia="仿宋"/>
          <w:bCs/>
          <w:sz w:val="30"/>
          <w:szCs w:val="30"/>
          <w:lang w:eastAsia="zh-CN"/>
        </w:rPr>
        <w:tab/>
      </w:r>
      <w:r>
        <w:rPr>
          <w:rFonts w:ascii="Times New Roman" w:eastAsia="仿宋"/>
          <w:bCs/>
          <w:sz w:val="30"/>
          <w:szCs w:val="30"/>
          <w:lang w:eastAsia="zh-CN"/>
        </w:rPr>
        <w:t>地基基础工程和主体结构工程为设计文件规定的该工程合理使用年限；</w:t>
      </w:r>
    </w:p>
    <w:p w14:paraId="25DC3D4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w:t>
      </w:r>
      <w:r>
        <w:rPr>
          <w:rFonts w:ascii="Times New Roman" w:eastAsia="仿宋"/>
          <w:sz w:val="30"/>
          <w:szCs w:val="30"/>
          <w:lang w:eastAsia="zh-CN"/>
        </w:rPr>
        <w:tab/>
      </w:r>
      <w:r>
        <w:rPr>
          <w:rFonts w:hint="eastAsia" w:ascii="Times New Roman" w:eastAsia="仿宋"/>
          <w:sz w:val="30"/>
          <w:szCs w:val="30"/>
          <w:lang w:eastAsia="zh-CN"/>
        </w:rPr>
        <w:t>房屋的主体建筑结构的正常使用</w:t>
      </w:r>
      <w:r>
        <w:rPr>
          <w:rFonts w:ascii="Times New Roman" w:eastAsia="仿宋"/>
          <w:sz w:val="30"/>
          <w:szCs w:val="30"/>
          <w:lang w:eastAsia="zh-CN"/>
        </w:rPr>
        <w:t>(</w:t>
      </w:r>
      <w:r>
        <w:rPr>
          <w:rFonts w:hint="eastAsia" w:ascii="Times New Roman" w:eastAsia="仿宋"/>
          <w:sz w:val="30"/>
          <w:szCs w:val="30"/>
          <w:lang w:eastAsia="zh-CN"/>
        </w:rPr>
        <w:t>如不产生开裂，不均匀沉降引起的裂缝等</w:t>
      </w:r>
      <w:r>
        <w:rPr>
          <w:rFonts w:ascii="Times New Roman" w:eastAsia="仿宋"/>
          <w:sz w:val="30"/>
          <w:szCs w:val="30"/>
          <w:lang w:eastAsia="zh-CN"/>
        </w:rPr>
        <w:t>)</w:t>
      </w:r>
      <w:r>
        <w:rPr>
          <w:rFonts w:hint="eastAsia" w:ascii="Times New Roman" w:eastAsia="仿宋"/>
          <w:sz w:val="30"/>
          <w:szCs w:val="30"/>
          <w:lang w:eastAsia="zh-CN"/>
        </w:rPr>
        <w:t>，不小于设计使用年限的最低保修期限；</w:t>
      </w:r>
    </w:p>
    <w:p w14:paraId="0D26E53F">
      <w:pPr>
        <w:snapToGrid w:val="0"/>
        <w:spacing w:line="560" w:lineRule="exact"/>
        <w:ind w:firstLine="600" w:firstLineChars="200"/>
        <w:rPr>
          <w:rFonts w:ascii="Times New Roman"/>
          <w:lang w:eastAsia="zh-CN"/>
        </w:rPr>
      </w:pPr>
      <w:r>
        <w:rPr>
          <w:rFonts w:ascii="Times New Roman" w:eastAsia="仿宋"/>
          <w:sz w:val="30"/>
          <w:szCs w:val="30"/>
          <w:lang w:eastAsia="zh-CN"/>
        </w:rPr>
        <w:t>(3)</w:t>
      </w:r>
      <w:r>
        <w:rPr>
          <w:rFonts w:ascii="Times New Roman" w:eastAsia="仿宋"/>
          <w:sz w:val="30"/>
          <w:szCs w:val="30"/>
          <w:lang w:eastAsia="zh-CN"/>
        </w:rPr>
        <w:tab/>
      </w:r>
      <w:r>
        <w:rPr>
          <w:rFonts w:hint="eastAsia" w:ascii="Times New Roman" w:eastAsia="仿宋"/>
          <w:sz w:val="30"/>
          <w:szCs w:val="30"/>
          <w:lang w:eastAsia="zh-CN"/>
        </w:rPr>
        <w:t>铝合金门窗工程</w:t>
      </w:r>
      <w:r>
        <w:rPr>
          <w:rFonts w:ascii="Times New Roman" w:eastAsia="仿宋"/>
          <w:sz w:val="30"/>
          <w:szCs w:val="30"/>
          <w:lang w:eastAsia="zh-CN"/>
        </w:rPr>
        <w:t>(</w:t>
      </w:r>
      <w:r>
        <w:rPr>
          <w:rFonts w:hint="eastAsia" w:ascii="Times New Roman" w:eastAsia="仿宋"/>
          <w:sz w:val="30"/>
          <w:szCs w:val="30"/>
          <w:lang w:eastAsia="zh-CN"/>
        </w:rPr>
        <w:t>密封胶脱胶</w:t>
      </w:r>
      <w:r>
        <w:rPr>
          <w:rFonts w:ascii="Times New Roman" w:eastAsia="仿宋"/>
          <w:sz w:val="30"/>
          <w:szCs w:val="30"/>
          <w:lang w:eastAsia="zh-CN"/>
        </w:rPr>
        <w:t>)</w:t>
      </w:r>
      <w:r>
        <w:rPr>
          <w:rFonts w:hint="eastAsia" w:ascii="Times New Roman" w:eastAsia="仿宋"/>
          <w:sz w:val="30"/>
          <w:szCs w:val="30"/>
          <w:lang w:eastAsia="zh-CN"/>
        </w:rPr>
        <w:t>和外墙面渗漏，保修期</w:t>
      </w:r>
      <w:r>
        <w:rPr>
          <w:rFonts w:ascii="Times New Roman" w:eastAsia="仿宋"/>
          <w:sz w:val="30"/>
          <w:szCs w:val="30"/>
          <w:lang w:eastAsia="zh-CN"/>
        </w:rPr>
        <w:t>2</w:t>
      </w:r>
      <w:r>
        <w:rPr>
          <w:rFonts w:hint="eastAsia" w:ascii="Times New Roman" w:eastAsia="仿宋"/>
          <w:sz w:val="30"/>
          <w:szCs w:val="30"/>
          <w:lang w:eastAsia="zh-CN"/>
        </w:rPr>
        <w:t>年；</w:t>
      </w:r>
    </w:p>
    <w:p w14:paraId="28355451">
      <w:pPr>
        <w:snapToGrid w:val="0"/>
        <w:spacing w:line="560" w:lineRule="exact"/>
        <w:ind w:firstLine="600" w:firstLineChars="200"/>
        <w:rPr>
          <w:rFonts w:ascii="Times New Roman" w:eastAsia="仿宋"/>
          <w:bCs/>
          <w:sz w:val="30"/>
          <w:szCs w:val="30"/>
          <w:lang w:eastAsia="zh-CN"/>
        </w:rPr>
      </w:pPr>
      <w:r>
        <w:rPr>
          <w:rFonts w:ascii="Times New Roman" w:eastAsia="仿宋"/>
          <w:sz w:val="30"/>
          <w:szCs w:val="30"/>
          <w:lang w:eastAsia="zh-CN"/>
        </w:rPr>
        <w:t>(4)</w:t>
      </w:r>
      <w:r>
        <w:rPr>
          <w:rFonts w:ascii="Times New Roman" w:eastAsia="仿宋"/>
          <w:sz w:val="30"/>
          <w:szCs w:val="30"/>
          <w:lang w:eastAsia="zh-CN"/>
        </w:rPr>
        <w:tab/>
      </w:r>
      <w:r>
        <w:rPr>
          <w:rFonts w:hint="eastAsia" w:ascii="Times New Roman" w:eastAsia="仿宋"/>
          <w:sz w:val="30"/>
          <w:szCs w:val="30"/>
          <w:lang w:eastAsia="zh-CN"/>
        </w:rPr>
        <w:t>所有防水材料</w:t>
      </w:r>
      <w:r>
        <w:rPr>
          <w:rFonts w:ascii="Times New Roman" w:eastAsia="仿宋"/>
          <w:sz w:val="30"/>
          <w:szCs w:val="30"/>
          <w:lang w:eastAsia="zh-CN"/>
        </w:rPr>
        <w:t>/</w:t>
      </w:r>
      <w:r>
        <w:rPr>
          <w:rFonts w:hint="eastAsia" w:ascii="Times New Roman" w:eastAsia="仿宋"/>
          <w:sz w:val="30"/>
          <w:szCs w:val="30"/>
          <w:lang w:eastAsia="zh-CN"/>
        </w:rPr>
        <w:t>设施</w:t>
      </w:r>
      <w:r>
        <w:rPr>
          <w:rFonts w:ascii="Times New Roman" w:eastAsia="仿宋"/>
          <w:sz w:val="30"/>
          <w:szCs w:val="30"/>
          <w:lang w:eastAsia="zh-CN"/>
        </w:rPr>
        <w:t>(</w:t>
      </w:r>
      <w:r>
        <w:rPr>
          <w:rFonts w:hint="eastAsia" w:ascii="Times New Roman" w:eastAsia="仿宋"/>
          <w:sz w:val="30"/>
          <w:szCs w:val="30"/>
          <w:lang w:eastAsia="zh-CN"/>
        </w:rPr>
        <w:t>包括地库、屋面、厨房、卫生间、淋浴房、阳台等渗水</w:t>
      </w:r>
      <w:r>
        <w:rPr>
          <w:rFonts w:ascii="Times New Roman" w:eastAsia="仿宋"/>
          <w:sz w:val="30"/>
          <w:szCs w:val="30"/>
          <w:lang w:eastAsia="zh-CN"/>
        </w:rPr>
        <w:t>)</w:t>
      </w:r>
      <w:r>
        <w:rPr>
          <w:rFonts w:hint="eastAsia" w:ascii="Times New Roman" w:eastAsia="仿宋"/>
          <w:sz w:val="30"/>
          <w:szCs w:val="30"/>
          <w:lang w:eastAsia="zh-CN"/>
        </w:rPr>
        <w:t>保修期</w:t>
      </w:r>
      <w:r>
        <w:rPr>
          <w:rFonts w:ascii="Times New Roman" w:eastAsia="仿宋"/>
          <w:sz w:val="30"/>
          <w:szCs w:val="30"/>
          <w:lang w:eastAsia="zh-CN"/>
        </w:rPr>
        <w:t>5</w:t>
      </w:r>
      <w:r>
        <w:rPr>
          <w:rFonts w:hint="eastAsia" w:ascii="Times New Roman" w:eastAsia="仿宋"/>
          <w:sz w:val="30"/>
          <w:szCs w:val="30"/>
          <w:lang w:eastAsia="zh-CN"/>
        </w:rPr>
        <w:t>年；</w:t>
      </w:r>
    </w:p>
    <w:p w14:paraId="20F06445">
      <w:pPr>
        <w:autoSpaceDE/>
        <w:autoSpaceDN/>
        <w:adjustRightInd/>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w:t>
      </w:r>
      <w:r>
        <w:rPr>
          <w:rFonts w:ascii="Times New Roman" w:eastAsia="仿宋"/>
          <w:sz w:val="30"/>
          <w:szCs w:val="30"/>
          <w:lang w:eastAsia="zh-CN"/>
        </w:rPr>
        <w:tab/>
      </w:r>
      <w:r>
        <w:rPr>
          <w:rFonts w:hint="eastAsia" w:ascii="Times New Roman" w:eastAsia="仿宋"/>
          <w:sz w:val="30"/>
          <w:szCs w:val="30"/>
          <w:lang w:eastAsia="zh-CN"/>
        </w:rPr>
        <w:t>保温材料保修期为</w:t>
      </w:r>
      <w:r>
        <w:rPr>
          <w:rFonts w:ascii="Times New Roman" w:eastAsia="仿宋"/>
          <w:sz w:val="30"/>
          <w:szCs w:val="30"/>
          <w:lang w:eastAsia="zh-CN"/>
        </w:rPr>
        <w:t>2</w:t>
      </w:r>
      <w:r>
        <w:rPr>
          <w:rFonts w:hint="eastAsia" w:ascii="Times New Roman" w:eastAsia="仿宋"/>
          <w:sz w:val="30"/>
          <w:szCs w:val="30"/>
          <w:lang w:eastAsia="zh-CN"/>
        </w:rPr>
        <w:t>年，保质责任不得低于规范要求的二十五年；</w:t>
      </w:r>
    </w:p>
    <w:p w14:paraId="4143716D">
      <w:pPr>
        <w:autoSpaceDE/>
        <w:autoSpaceDN/>
        <w:adjustRightInd/>
        <w:snapToGrid w:val="0"/>
        <w:spacing w:line="560" w:lineRule="exact"/>
        <w:ind w:firstLine="300" w:firstLineChars="100"/>
        <w:rPr>
          <w:rFonts w:ascii="Times New Roman" w:eastAsia="仿宋"/>
          <w:bCs/>
          <w:sz w:val="30"/>
          <w:szCs w:val="30"/>
          <w:lang w:eastAsia="zh-CN"/>
        </w:rPr>
      </w:pPr>
      <w:r>
        <w:rPr>
          <w:rFonts w:ascii="Times New Roman" w:eastAsia="仿宋"/>
          <w:bCs/>
          <w:sz w:val="30"/>
          <w:szCs w:val="30"/>
          <w:lang w:eastAsia="zh-CN"/>
        </w:rPr>
        <w:t>（6）供热与供冷系统为2个采暖期、供冷期；</w:t>
      </w:r>
    </w:p>
    <w:p w14:paraId="53632B94">
      <w:pPr>
        <w:tabs>
          <w:tab w:val="left" w:pos="1276"/>
        </w:tabs>
        <w:spacing w:line="560" w:lineRule="exact"/>
        <w:ind w:firstLine="600" w:firstLineChars="200"/>
        <w:rPr>
          <w:rFonts w:ascii="Times New Roman" w:eastAsia="仿宋"/>
          <w:bCs/>
          <w:sz w:val="30"/>
          <w:szCs w:val="30"/>
          <w:lang w:eastAsia="zh-CN"/>
        </w:rPr>
      </w:pPr>
      <w:r>
        <w:rPr>
          <w:rFonts w:ascii="Times New Roman" w:eastAsia="仿宋"/>
          <w:bCs/>
          <w:sz w:val="30"/>
          <w:szCs w:val="30"/>
          <w:lang w:val="zh-CN" w:eastAsia="zh-CN"/>
        </w:rPr>
        <w:t>(</w:t>
      </w:r>
      <w:r>
        <w:rPr>
          <w:rFonts w:ascii="Times New Roman" w:eastAsia="仿宋"/>
          <w:bCs/>
          <w:sz w:val="30"/>
          <w:szCs w:val="30"/>
          <w:lang w:eastAsia="zh-CN"/>
        </w:rPr>
        <w:t>7</w:t>
      </w:r>
      <w:r>
        <w:rPr>
          <w:rFonts w:ascii="Times New Roman" w:eastAsia="仿宋"/>
          <w:bCs/>
          <w:sz w:val="30"/>
          <w:szCs w:val="30"/>
          <w:lang w:val="zh-CN" w:eastAsia="zh-CN"/>
        </w:rPr>
        <w:t>)</w:t>
      </w:r>
      <w:r>
        <w:rPr>
          <w:rFonts w:ascii="Times New Roman" w:eastAsia="仿宋"/>
          <w:bCs/>
          <w:sz w:val="30"/>
          <w:szCs w:val="30"/>
          <w:lang w:val="zh-CN" w:eastAsia="zh-CN"/>
        </w:rPr>
        <w:tab/>
      </w:r>
      <w:r>
        <w:rPr>
          <w:rFonts w:ascii="Times New Roman" w:eastAsia="仿宋"/>
          <w:bCs/>
          <w:sz w:val="30"/>
          <w:szCs w:val="30"/>
          <w:lang w:val="zh-CN" w:eastAsia="zh-CN"/>
        </w:rPr>
        <w:t>其他部分均为2年；</w:t>
      </w:r>
    </w:p>
    <w:p w14:paraId="1E8BA376">
      <w:pPr>
        <w:widowControl/>
        <w:spacing w:line="560" w:lineRule="exact"/>
        <w:ind w:firstLine="600" w:firstLineChars="200"/>
        <w:rPr>
          <w:rFonts w:ascii="Times New Roman" w:eastAsia="仿宋"/>
          <w:sz w:val="30"/>
          <w:szCs w:val="30"/>
          <w:lang w:eastAsia="zh-CN"/>
        </w:rPr>
      </w:pPr>
      <w:r>
        <w:rPr>
          <w:rFonts w:ascii="Times New Roman" w:eastAsia="仿宋"/>
          <w:bCs/>
          <w:sz w:val="30"/>
          <w:szCs w:val="30"/>
          <w:lang w:eastAsia="zh-CN"/>
        </w:rPr>
        <w:t>(8)</w:t>
      </w:r>
      <w:r>
        <w:rPr>
          <w:rFonts w:ascii="Times New Roman" w:eastAsia="仿宋"/>
          <w:bCs/>
          <w:sz w:val="30"/>
          <w:szCs w:val="30"/>
          <w:lang w:eastAsia="zh-CN"/>
        </w:rPr>
        <w:tab/>
      </w:r>
      <w:r>
        <w:rPr>
          <w:rFonts w:ascii="Times New Roman" w:eastAsia="仿宋"/>
          <w:bCs/>
          <w:sz w:val="30"/>
          <w:szCs w:val="30"/>
          <w:lang w:eastAsia="zh-CN"/>
        </w:rPr>
        <w:t>其他特殊保修期限约定详见专用条款。</w:t>
      </w:r>
      <w:r>
        <w:rPr>
          <w:rFonts w:ascii="Times New Roman" w:eastAsia="仿宋"/>
          <w:sz w:val="30"/>
          <w:szCs w:val="30"/>
          <w:lang w:eastAsia="zh-CN"/>
        </w:rPr>
        <w:t>。</w:t>
      </w:r>
    </w:p>
    <w:p w14:paraId="6E0A9F6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在工程保修期内，总承包人应当根据有关法律规定以及合同约定承担保修责任。对于无法定保修期的分部分项工程，执行质量保证金保留期保修责任。</w:t>
      </w:r>
    </w:p>
    <w:p w14:paraId="28926C2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在保修期内，如果工程的任何部位需要修补或更换，本工程的保修期将不会延长，但总承包人就此等修补或更换部位提供的保修将自修补或更换完成之日起顺延两年。</w:t>
      </w:r>
    </w:p>
    <w:p w14:paraId="144C6C3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对于有明显证据证明，已验收工程存在未按合同约定进行违法、违规施工造成工程缺陷损坏的，总承包人应无限期承担工程质量瑕疵担保责任。</w:t>
      </w:r>
    </w:p>
    <w:p w14:paraId="52DF3A9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总承包人亦应按其他合同文件附件3〔工程质量保修协议〕对本工程进行保修，如果合同条款与附件规定不一致的，以严格者为准。</w:t>
      </w:r>
    </w:p>
    <w:p w14:paraId="58D87652">
      <w:pPr>
        <w:numPr>
          <w:ilvl w:val="2"/>
          <w:numId w:val="21"/>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修复费用</w:t>
      </w:r>
    </w:p>
    <w:p w14:paraId="0340071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保修期内，修复的费用按照以下约定处理：</w:t>
      </w:r>
    </w:p>
    <w:p w14:paraId="4A5D25B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（1）保修期内，因总承包人原因造成工程的缺陷、损坏，总承包人应负责修复，并承担修复的费用以及因工程的缺陷、损坏造成的人身伤害和财产损失；</w:t>
      </w:r>
    </w:p>
    <w:p w14:paraId="727CE34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（2）保修期内，因发包人使用不当造成工程的缺陷、损坏，委托总承包人修复的，总承包人应立即维修，但发包人应承担修复的费用。</w:t>
      </w:r>
    </w:p>
    <w:p w14:paraId="3C29018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（3）因其他原因造成工程的缺陷、损坏，可以委托总承包人修复，发包人应承担修复的费用，因工程的缺陷、损坏造成的人身伤害和财产损失由责任方承担。</w:t>
      </w:r>
    </w:p>
    <w:p w14:paraId="0C2D4C60">
      <w:pPr>
        <w:numPr>
          <w:ilvl w:val="2"/>
          <w:numId w:val="21"/>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修复通知</w:t>
      </w:r>
    </w:p>
    <w:p w14:paraId="40D7C3A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保修期内，发包人在使用过程中，发现已接收的工程存在缺陷或损坏的，应书面通知总承包人予以修复，但情况紧急必须立即修复缺陷或损坏的，发包人可以口头通知总承包人并在口头通知后48小时内书面确认，总承包人应在合同附件3〔工程质量保修协议〕约定的合理期限内到达工程现场并修复缺陷或损坏。</w:t>
      </w:r>
    </w:p>
    <w:p w14:paraId="3079FA7F">
      <w:pPr>
        <w:numPr>
          <w:ilvl w:val="2"/>
          <w:numId w:val="21"/>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未能修复</w:t>
      </w:r>
    </w:p>
    <w:p w14:paraId="528B9448">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因总承包人原因造成工程的缺陷或损坏，总承包人拒绝维修或未能在合同附件</w:t>
      </w:r>
      <w:r>
        <w:rPr>
          <w:rFonts w:ascii="Times New Roman" w:eastAsia="仿宋"/>
          <w:sz w:val="30"/>
          <w:szCs w:val="30"/>
          <w:lang w:eastAsia="zh-CN"/>
        </w:rPr>
        <w:t>3</w:t>
      </w:r>
      <w:r>
        <w:rPr>
          <w:rFonts w:hint="eastAsia" w:ascii="Times New Roman" w:eastAsia="仿宋"/>
          <w:sz w:val="30"/>
          <w:szCs w:val="30"/>
          <w:lang w:eastAsia="zh-CN"/>
        </w:rPr>
        <w:t>〔工程质量保修协议〕约定的合理期限内修复缺陷或损坏，且经发包人书面催告后仍未修复的，发包人有权自行修复或委托第三方修复，所需费用由总承包人承担，同时总承包人还须</w:t>
      </w:r>
      <w:r>
        <w:rPr>
          <w:rFonts w:hint="eastAsia" w:ascii="Times New Roman" w:eastAsia="仿宋"/>
          <w:bCs/>
          <w:spacing w:val="-2"/>
          <w:sz w:val="30"/>
          <w:szCs w:val="30"/>
          <w:lang w:eastAsia="zh-CN"/>
        </w:rPr>
        <w:t>向发包人支付总额为修复费用</w:t>
      </w:r>
      <w:r>
        <w:rPr>
          <w:rFonts w:ascii="Times New Roman" w:eastAsia="仿宋"/>
          <w:bCs/>
          <w:spacing w:val="-2"/>
          <w:sz w:val="30"/>
          <w:szCs w:val="30"/>
          <w:lang w:eastAsia="zh-CN"/>
        </w:rPr>
        <w:t>20%</w:t>
      </w:r>
      <w:r>
        <w:rPr>
          <w:rFonts w:hint="eastAsia" w:ascii="Times New Roman" w:eastAsia="仿宋"/>
          <w:bCs/>
          <w:spacing w:val="-2"/>
          <w:sz w:val="30"/>
          <w:szCs w:val="30"/>
          <w:lang w:eastAsia="zh-CN"/>
        </w:rPr>
        <w:t>的管理费</w:t>
      </w:r>
      <w:r>
        <w:rPr>
          <w:rFonts w:hint="eastAsia" w:ascii="Times New Roman" w:eastAsia="仿宋"/>
          <w:sz w:val="30"/>
          <w:szCs w:val="30"/>
          <w:lang w:eastAsia="zh-CN"/>
        </w:rPr>
        <w:t>。如果预留的质量保证金不足以支付修复费用及</w:t>
      </w:r>
      <w:r>
        <w:rPr>
          <w:rFonts w:ascii="Times New Roman" w:eastAsia="仿宋"/>
          <w:sz w:val="30"/>
          <w:szCs w:val="30"/>
          <w:lang w:eastAsia="zh-CN"/>
        </w:rPr>
        <w:t>20%</w:t>
      </w:r>
      <w:r>
        <w:rPr>
          <w:rFonts w:hint="eastAsia" w:ascii="Times New Roman" w:eastAsia="仿宋"/>
          <w:sz w:val="30"/>
          <w:szCs w:val="30"/>
          <w:lang w:eastAsia="zh-CN"/>
        </w:rPr>
        <w:t>的管理费，总承包人应承担不足的部分费用。</w:t>
      </w:r>
    </w:p>
    <w:p w14:paraId="4FC46632">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修复范围超出缺陷或损坏范围的，超出范围部分的修复费用由发包人承担。</w:t>
      </w:r>
    </w:p>
    <w:p w14:paraId="3C91766A">
      <w:pPr>
        <w:numPr>
          <w:ilvl w:val="2"/>
          <w:numId w:val="21"/>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总承包人出入权</w:t>
      </w:r>
    </w:p>
    <w:p w14:paraId="337889B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保修期内，为了修复缺陷或损坏，总承包人有权出入工程现场，除情况紧急必须立即修复缺陷或损坏外，总承包人应提前24小时通知发包人进场修复的时间。总承包人进入工程现场前应获得发包人同意，且不应影响发包人正常的生产经营，并应遵守发包人有关保安和保密等规定。</w:t>
      </w:r>
    </w:p>
    <w:p w14:paraId="3247F6B7">
      <w:pPr>
        <w:pStyle w:val="4"/>
        <w:jc w:val="left"/>
        <w:rPr>
          <w:rFonts w:ascii="Times New Roman"/>
          <w:lang w:eastAsia="zh-CN"/>
        </w:rPr>
      </w:pPr>
      <w:bookmarkStart w:id="1166" w:name="_Toc524351856"/>
      <w:bookmarkStart w:id="1167" w:name="_Toc82531199"/>
      <w:bookmarkStart w:id="1168" w:name="_Toc144742731"/>
      <w:bookmarkStart w:id="1169" w:name="_Toc41574023"/>
      <w:bookmarkStart w:id="1170" w:name="_Toc32623"/>
      <w:bookmarkStart w:id="1171" w:name="_Toc3333"/>
      <w:bookmarkStart w:id="1172" w:name="_Toc31144"/>
      <w:bookmarkStart w:id="1173" w:name="_Toc26274"/>
      <w:bookmarkStart w:id="1174" w:name="_Toc27133"/>
      <w:bookmarkStart w:id="1175" w:name="_Toc41499761"/>
      <w:bookmarkStart w:id="1176" w:name="_Toc20063"/>
      <w:bookmarkStart w:id="1177" w:name="_Toc80863320"/>
      <w:bookmarkStart w:id="1178" w:name="_Toc25459"/>
      <w:r>
        <w:rPr>
          <w:rFonts w:ascii="Times New Roman"/>
          <w:lang w:eastAsia="zh-CN"/>
        </w:rPr>
        <w:t>16. 违约</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0DD09E07">
      <w:pPr>
        <w:pStyle w:val="50"/>
        <w:numPr>
          <w:ilvl w:val="1"/>
          <w:numId w:val="22"/>
        </w:numPr>
        <w:snapToGrid w:val="0"/>
        <w:spacing w:line="560" w:lineRule="exact"/>
        <w:ind w:firstLineChars="0"/>
        <w:rPr>
          <w:rFonts w:ascii="Times New Roman" w:eastAsia="仿宋"/>
          <w:b/>
          <w:sz w:val="30"/>
          <w:szCs w:val="30"/>
        </w:rPr>
      </w:pPr>
      <w:bookmarkStart w:id="1179" w:name="_Toc31114"/>
      <w:bookmarkStart w:id="1180" w:name="_Toc9647"/>
      <w:bookmarkStart w:id="1181" w:name="_Toc22192"/>
      <w:bookmarkStart w:id="1182" w:name="_Toc524351857"/>
      <w:bookmarkStart w:id="1183" w:name="_Toc6844"/>
      <w:bookmarkStart w:id="1184" w:name="_Toc27542"/>
      <w:bookmarkStart w:id="1185" w:name="_Toc11101"/>
      <w:bookmarkStart w:id="1186" w:name="_Toc80863321"/>
      <w:r>
        <w:rPr>
          <w:rFonts w:ascii="Times New Roman" w:eastAsia="仿宋"/>
          <w:b/>
          <w:sz w:val="30"/>
          <w:szCs w:val="30"/>
        </w:rPr>
        <w:t>发包人违约</w:t>
      </w:r>
      <w:bookmarkEnd w:id="1179"/>
      <w:bookmarkEnd w:id="1180"/>
      <w:bookmarkEnd w:id="1181"/>
      <w:bookmarkEnd w:id="1182"/>
      <w:bookmarkEnd w:id="1183"/>
      <w:bookmarkEnd w:id="1184"/>
      <w:bookmarkEnd w:id="1185"/>
      <w:bookmarkEnd w:id="1186"/>
    </w:p>
    <w:p w14:paraId="174B3A54">
      <w:pPr>
        <w:numPr>
          <w:ilvl w:val="2"/>
          <w:numId w:val="22"/>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发包人违约的情形</w:t>
      </w:r>
    </w:p>
    <w:p w14:paraId="3C095C7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在合同履行过程中，发包人明确表示不履行合同义务的；</w:t>
      </w:r>
    </w:p>
    <w:p w14:paraId="4E2C302B">
      <w:pPr>
        <w:numPr>
          <w:ilvl w:val="2"/>
          <w:numId w:val="22"/>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因发包人违约解除合同</w:t>
      </w:r>
    </w:p>
    <w:p w14:paraId="1040C8A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发包人应当承担违约责任，赔偿因其违约给总承包人造成的损失。</w:t>
      </w:r>
    </w:p>
    <w:p w14:paraId="205E58C8">
      <w:pPr>
        <w:numPr>
          <w:ilvl w:val="2"/>
          <w:numId w:val="22"/>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因发包人违约解除合同后的付款</w:t>
      </w:r>
    </w:p>
    <w:p w14:paraId="5E80A74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总承包人按照本款约定解除合同的，发包人应在解除合同后支付下列款项，并解除履约担保：</w:t>
      </w:r>
    </w:p>
    <w:p w14:paraId="089E3898">
      <w:pPr>
        <w:snapToGrid w:val="0"/>
        <w:spacing w:line="560" w:lineRule="exact"/>
        <w:ind w:firstLine="600" w:firstLineChars="200"/>
        <w:rPr>
          <w:rFonts w:ascii="Times New Roman" w:eastAsia="仿宋"/>
          <w:sz w:val="30"/>
          <w:szCs w:val="30"/>
        </w:rPr>
      </w:pPr>
      <w:r>
        <w:rPr>
          <w:rFonts w:ascii="Times New Roman" w:eastAsia="仿宋"/>
          <w:sz w:val="30"/>
          <w:szCs w:val="30"/>
        </w:rPr>
        <w:t>（1）合同解除前所完成工作的价款；</w:t>
      </w:r>
    </w:p>
    <w:p w14:paraId="38EDE4F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（2）经双方确认的总承包人为工程施工订购并已支付材料、工程设备和其他物品货款而造成的损失；</w:t>
      </w:r>
    </w:p>
    <w:p w14:paraId="197628C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3</w:t>
      </w:r>
      <w:r>
        <w:rPr>
          <w:rFonts w:ascii="Times New Roman" w:eastAsia="仿宋"/>
          <w:sz w:val="30"/>
          <w:szCs w:val="30"/>
          <w:lang w:eastAsia="zh-CN"/>
        </w:rPr>
        <w:t>）按照合同约定应当支付给总承包人的其他款项；</w:t>
      </w:r>
    </w:p>
    <w:p w14:paraId="650751F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4</w:t>
      </w:r>
      <w:r>
        <w:rPr>
          <w:rFonts w:ascii="Times New Roman" w:eastAsia="仿宋"/>
          <w:sz w:val="30"/>
          <w:szCs w:val="30"/>
          <w:lang w:eastAsia="zh-CN"/>
        </w:rPr>
        <w:t>）按照合同约定应退还的质量保证金；</w:t>
      </w:r>
    </w:p>
    <w:p w14:paraId="64DFDA8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发包人向总承包人支付的金额均为含增值税金额，总承包人应按合同协议书合同总价内约定的税率向发包人开具增值税专用发票。</w:t>
      </w:r>
    </w:p>
    <w:p w14:paraId="7AD0360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合同当事人未能就解除合同后的结清达成一致的，按照第20条〔争议解决〕的约定处理。</w:t>
      </w:r>
    </w:p>
    <w:p w14:paraId="20B680F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总承包人应妥善做好已完工程和与工程有关的已购材料、工程设备的保护和移交工作，并将施工设备和人员撤出施工现场，发包人应为总承包人撤出提供必要条件。</w:t>
      </w:r>
    </w:p>
    <w:p w14:paraId="147E617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在技术标准和要求约定的期限内完成退场，逾期未完成的，总承包人须按技术标准和要求的约定承担违约责任，且发包人有权出售或另行处理总承包人遗留的物品，由此支出的费用由总承包人承担，发包人出售总承包人遗留物品所得款项在扣除必要费用后应返还总承包人。</w:t>
      </w:r>
    </w:p>
    <w:p w14:paraId="4F6DF4FC">
      <w:pPr>
        <w:numPr>
          <w:ilvl w:val="2"/>
          <w:numId w:val="22"/>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采购合同和（或）专业分包合同权益转让</w:t>
      </w:r>
    </w:p>
    <w:p w14:paraId="485C50D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合同解除后，发包人有权要求总承包人将其为实施合同而签订的材料和设备的采购合同和（或）专业分包合同的权益转让给发包人，总承包人应在通知解除合同后14天内，协助发包人与采购合同的供应商和（或）专业分包人达成相关的转让协议。</w:t>
      </w:r>
    </w:p>
    <w:p w14:paraId="18956A00">
      <w:pPr>
        <w:numPr>
          <w:ilvl w:val="1"/>
          <w:numId w:val="22"/>
        </w:numPr>
        <w:snapToGrid w:val="0"/>
        <w:spacing w:line="560" w:lineRule="exact"/>
        <w:ind w:left="0" w:firstLine="600" w:firstLineChars="200"/>
        <w:rPr>
          <w:rFonts w:ascii="Times New Roman" w:eastAsia="仿宋"/>
          <w:b/>
          <w:sz w:val="30"/>
          <w:szCs w:val="30"/>
        </w:rPr>
      </w:pPr>
      <w:bookmarkStart w:id="1187" w:name="_Toc524351858"/>
      <w:bookmarkStart w:id="1188" w:name="_Toc11332"/>
      <w:bookmarkStart w:id="1189" w:name="_Toc1670"/>
      <w:bookmarkStart w:id="1190" w:name="_Toc25665"/>
      <w:bookmarkStart w:id="1191" w:name="_Toc25888"/>
      <w:bookmarkStart w:id="1192" w:name="_Toc80863322"/>
      <w:bookmarkStart w:id="1193" w:name="_Toc677"/>
      <w:bookmarkStart w:id="1194" w:name="_Toc7777"/>
      <w:r>
        <w:rPr>
          <w:rFonts w:ascii="Times New Roman" w:eastAsia="仿宋"/>
          <w:b/>
          <w:sz w:val="30"/>
          <w:szCs w:val="30"/>
        </w:rPr>
        <w:t>总承包人违约</w:t>
      </w:r>
      <w:bookmarkEnd w:id="1187"/>
      <w:bookmarkEnd w:id="1188"/>
      <w:bookmarkEnd w:id="1189"/>
      <w:bookmarkEnd w:id="1190"/>
      <w:bookmarkEnd w:id="1191"/>
      <w:bookmarkEnd w:id="1192"/>
      <w:bookmarkEnd w:id="1193"/>
      <w:bookmarkEnd w:id="1194"/>
    </w:p>
    <w:p w14:paraId="37103015">
      <w:pPr>
        <w:numPr>
          <w:ilvl w:val="2"/>
          <w:numId w:val="22"/>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总承包人违约的情形</w:t>
      </w:r>
    </w:p>
    <w:p w14:paraId="0311644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在合同履行过程中发生的下列情形，属于总承包人违约：</w:t>
      </w:r>
    </w:p>
    <w:p w14:paraId="4D41D38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（1）总承包人违反合同约定进行转包或违法分包的；</w:t>
      </w:r>
    </w:p>
    <w:p w14:paraId="715D086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（2）总承包人违反合同约定采购和使用不合格的材料和工程设备的；</w:t>
      </w:r>
    </w:p>
    <w:p w14:paraId="191791B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（3）因总承包人原因导致工程质量不符合合同要求的；</w:t>
      </w:r>
    </w:p>
    <w:p w14:paraId="383EB62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（4）总承包人施工本项目发生安全事故的；</w:t>
      </w:r>
    </w:p>
    <w:p w14:paraId="58DE123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（5）总承包人违反第8.9条〔材料与设备专用要求〕的约定，未经批准，私自将已按照合同约定进入施工现场的材料或设备撤离施工现场的；</w:t>
      </w:r>
    </w:p>
    <w:p w14:paraId="5A6D95F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（6）总承包人未能按施工进度计划及时完成合同约定的工作，造成工期延误的；</w:t>
      </w:r>
    </w:p>
    <w:p w14:paraId="391F9B6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（7）总承包人在质量保证金保留期及保修期内，未能在合理期限对工程缺陷进行修复，或拒绝按发包人要求进行修复的；</w:t>
      </w:r>
    </w:p>
    <w:p w14:paraId="0C994A0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（8）总承包人向发包人出具委托书，在委托期限内，如总承包人无法定或约定事由单方撤销或终止授权委托事宜的；</w:t>
      </w:r>
    </w:p>
    <w:p w14:paraId="6FB9F4A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（9）总承包人明确表示或者以其行为表明不履行合同主要义务的；</w:t>
      </w:r>
    </w:p>
    <w:p w14:paraId="4BEBFCD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（10）承包人经三次试验仍未能通过竣工试验、或经三次试验仍未能通过竣工后试验，导致的工程任何主要部分或整个工程丧失了使用价值、生产价值的；</w:t>
      </w:r>
    </w:p>
    <w:p w14:paraId="374FB147">
      <w:pPr>
        <w:snapToGrid w:val="0"/>
        <w:spacing w:line="560" w:lineRule="exact"/>
        <w:ind w:firstLine="600" w:firstLineChars="200"/>
        <w:rPr>
          <w:rFonts w:ascii="Times New Roman" w:eastAsia="仿宋"/>
          <w:sz w:val="30"/>
          <w:szCs w:val="30"/>
          <w:lang w:eastAsia="zh-CN"/>
        </w:rPr>
      </w:pPr>
      <w:r>
        <w:rPr>
          <w:rFonts w:ascii="Times New Roman" w:eastAsiaTheme="minorEastAsia"/>
          <w:sz w:val="30"/>
          <w:szCs w:val="30"/>
          <w:lang w:eastAsia="zh-CN"/>
        </w:rPr>
        <w:t>（11）</w:t>
      </w:r>
      <w:r>
        <w:rPr>
          <w:rFonts w:ascii="Times New Roman" w:eastAsia="仿宋"/>
          <w:sz w:val="30"/>
          <w:szCs w:val="30"/>
          <w:lang w:eastAsia="zh-CN"/>
        </w:rPr>
        <w:t>总承包人未能按照合同约定履行其他义务的。</w:t>
      </w:r>
    </w:p>
    <w:p w14:paraId="0750BD3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总承包人发生除本项第（8）条约定以外的其他违约情况时，发包人或监理人可向总承包人发出整改通知，要求其在指定的期限内改正。</w:t>
      </w:r>
    </w:p>
    <w:p w14:paraId="3F77F1AC">
      <w:pPr>
        <w:numPr>
          <w:ilvl w:val="2"/>
          <w:numId w:val="22"/>
        </w:numPr>
        <w:tabs>
          <w:tab w:val="left" w:pos="1701"/>
        </w:tabs>
        <w:snapToGrid w:val="0"/>
        <w:spacing w:line="560" w:lineRule="exact"/>
        <w:ind w:left="0" w:firstLine="600" w:firstLineChars="200"/>
        <w:rPr>
          <w:rFonts w:ascii="Times New Roman" w:eastAsia="仿宋"/>
          <w:sz w:val="30"/>
          <w:szCs w:val="30"/>
        </w:rPr>
      </w:pPr>
      <w:r>
        <w:rPr>
          <w:rFonts w:ascii="Times New Roman" w:eastAsia="仿宋"/>
          <w:sz w:val="30"/>
          <w:szCs w:val="30"/>
        </w:rPr>
        <w:t>总承包人违约的责任</w:t>
      </w:r>
    </w:p>
    <w:p w14:paraId="777F35A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指总承包人不履行合同义务或不按合同约定履行合同义务所应承担的责任，包括但不限于赔偿给发包人及第三方的全部直接和间接损失、按合同约定支付守约方的违约金等。承包人承担违约责任，并不能减轻或免除合同中约定的由承包人继续履行的其它责任和义务。</w:t>
      </w:r>
    </w:p>
    <w:p w14:paraId="6639AC78">
      <w:pPr>
        <w:snapToGrid w:val="0"/>
        <w:spacing w:line="560" w:lineRule="exact"/>
        <w:ind w:firstLine="600" w:firstLineChars="200"/>
        <w:rPr>
          <w:rFonts w:ascii="Times New Roman" w:eastAsia="仿宋"/>
          <w:bCs/>
          <w:spacing w:val="-2"/>
          <w:sz w:val="30"/>
          <w:szCs w:val="30"/>
          <w:lang w:eastAsia="zh-CN"/>
        </w:rPr>
      </w:pPr>
      <w:r>
        <w:rPr>
          <w:rFonts w:hint="eastAsia" w:ascii="Times New Roman" w:eastAsia="仿宋"/>
          <w:sz w:val="30"/>
          <w:szCs w:val="30"/>
          <w:lang w:eastAsia="zh-CN"/>
        </w:rPr>
        <w:t>一但总承包人出现违约情况，发包人有权对总承包合同内工程量进行减项变更，并委托第三方单位进行承接，所需费用由总承包人承担，同时总承包人还须</w:t>
      </w:r>
      <w:r>
        <w:rPr>
          <w:rFonts w:hint="eastAsia" w:ascii="Times New Roman" w:eastAsia="仿宋"/>
          <w:bCs/>
          <w:spacing w:val="-2"/>
          <w:sz w:val="30"/>
          <w:szCs w:val="30"/>
          <w:lang w:eastAsia="zh-CN"/>
        </w:rPr>
        <w:t>向发包人支付总额为减项总造价费用</w:t>
      </w:r>
      <w:r>
        <w:rPr>
          <w:rFonts w:ascii="Times New Roman" w:eastAsia="仿宋"/>
          <w:bCs/>
          <w:spacing w:val="-2"/>
          <w:sz w:val="30"/>
          <w:szCs w:val="30"/>
          <w:lang w:eastAsia="zh-CN"/>
        </w:rPr>
        <w:t>20%</w:t>
      </w:r>
      <w:r>
        <w:rPr>
          <w:rFonts w:hint="eastAsia" w:ascii="Times New Roman" w:eastAsia="仿宋"/>
          <w:bCs/>
          <w:spacing w:val="-2"/>
          <w:sz w:val="30"/>
          <w:szCs w:val="30"/>
          <w:lang w:eastAsia="zh-CN"/>
        </w:rPr>
        <w:t>的管理费。</w:t>
      </w:r>
    </w:p>
    <w:p w14:paraId="4D9A53F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承担因其违约行为而增加的费用和（或）延误的工期。同时，发包人有权在应付给总承包人的任一笔合同价款中扣除违约金，不足部分从履约担保中扣除，仍不足部分作为总承包人对发包人的债务，发包人保留追索的权力。</w:t>
      </w:r>
    </w:p>
    <w:p w14:paraId="34949C9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另外，发包人有权因总承包人任何违约行为未纠正导致发包人的履约风险而暂停支付合同价款，发包人不承担相应的违约责任。</w:t>
      </w:r>
    </w:p>
    <w:p w14:paraId="4448804F">
      <w:pPr>
        <w:numPr>
          <w:ilvl w:val="2"/>
          <w:numId w:val="22"/>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因总承包人违约解除合同</w:t>
      </w:r>
    </w:p>
    <w:p w14:paraId="2C6F31A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出现第16.2.1条〔总承包人违约的情形〕，或发包人发出整改通知后，总承包人在指定的合理期限内仍不纠正违约行为并致使合同目的不能实现的，发包人有权解除合同。合同解除后，因继续完成工程的需要，发包人有权使用总承包人在施工现场的材料、设备、临时工程、总承包人文件和由总承包人或以其名义编制的其他文件，相应费用的承担方式协商确定。发包人继续使用的行为不免除或减轻总承包人应承担的违约责任。</w:t>
      </w:r>
    </w:p>
    <w:p w14:paraId="40D10DDD">
      <w:pPr>
        <w:numPr>
          <w:ilvl w:val="2"/>
          <w:numId w:val="22"/>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因总承包人违约解除合同后的处理</w:t>
      </w:r>
    </w:p>
    <w:p w14:paraId="2F0DBF9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因总承包人原因导致合同解除的，已完工程估价、付款和清算工作，按以下约定执行：</w:t>
      </w:r>
    </w:p>
    <w:p w14:paraId="3D7BB15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（1）合同解除后，由合同当事人商定或确定总承包人实际完成工作对应的合同价款，以及总承包人已提供的材料、工程设备、施工设备和临时工程等的价值；</w:t>
      </w:r>
    </w:p>
    <w:p w14:paraId="4D4F13E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（2）合同解除后，总承包人应支付的违约金；</w:t>
      </w:r>
    </w:p>
    <w:p w14:paraId="6DBB285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（3）合同解除后，因解除合同给发包人造成的损失，包括但不限于律师费、诉讼费、差旅费、保全费、鉴定费等发包人因主张权利产生的支出；</w:t>
      </w:r>
    </w:p>
    <w:p w14:paraId="4008280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（4）发包人和总承包人应在合同解除后进行清算，出具最终结清付款证书，结清全部款项。</w:t>
      </w:r>
    </w:p>
    <w:p w14:paraId="13F4E09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因总承包人违约解除合同的，发包人有权暂停对总承包人的付款，查清各项付款和已扣款项。发包人和总承包人未能就合同解除后的清算和款项支付达成一致的，按照第20条〔争议解决〕的约定处理。</w:t>
      </w:r>
    </w:p>
    <w:p w14:paraId="3458322F">
      <w:pPr>
        <w:snapToGrid w:val="0"/>
        <w:spacing w:line="560" w:lineRule="exact"/>
        <w:ind w:firstLine="600" w:firstLineChars="200"/>
        <w:rPr>
          <w:rFonts w:ascii="Times New Roman" w:eastAsia="仿宋"/>
          <w:sz w:val="30"/>
          <w:szCs w:val="30"/>
        </w:rPr>
      </w:pPr>
      <w:r>
        <w:rPr>
          <w:rFonts w:ascii="Times New Roman" w:eastAsia="仿宋"/>
          <w:sz w:val="30"/>
          <w:szCs w:val="30"/>
          <w:lang w:eastAsia="zh-CN"/>
        </w:rPr>
        <w:t>总承包人应在技术标准和要求约定的期限内完成退场，逾期未完成的，总承包人应按技术标准和要求的约定承担违约责任，且发包人有权出售或另行处理总承包人遗留的物品，由此支出的费用由总承包人承担，发包人出售总承包人遗留物品所得款项在扣除必要费用后应返还总承包人。</w:t>
      </w:r>
      <w:r>
        <w:rPr>
          <w:rFonts w:ascii="Times New Roman" w:eastAsia="仿宋"/>
          <w:sz w:val="30"/>
          <w:szCs w:val="30"/>
        </w:rPr>
        <w:t>另总承包人退场的费用自行承担。</w:t>
      </w:r>
    </w:p>
    <w:p w14:paraId="3689F331">
      <w:pPr>
        <w:numPr>
          <w:ilvl w:val="2"/>
          <w:numId w:val="22"/>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采购合同和（或）专业分包合同权益转让</w:t>
      </w:r>
    </w:p>
    <w:p w14:paraId="6543688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合同解除后，发包人有权要求总承包人将其为实施本合同而签订的材料和设备的采购合同和（或）专业分包合同的权益转让给发包人，总承包人应在收到解除合同通知后14天内，协助发包人与采购合同的供应商和（或）专业分包人达成相关的转让协议。</w:t>
      </w:r>
    </w:p>
    <w:p w14:paraId="660DF90E">
      <w:pPr>
        <w:numPr>
          <w:ilvl w:val="1"/>
          <w:numId w:val="22"/>
        </w:numPr>
        <w:snapToGrid w:val="0"/>
        <w:spacing w:line="560" w:lineRule="exact"/>
        <w:ind w:left="0" w:firstLine="600" w:firstLineChars="200"/>
        <w:rPr>
          <w:rFonts w:ascii="Times New Roman" w:eastAsia="仿宋"/>
          <w:b/>
          <w:sz w:val="30"/>
          <w:szCs w:val="30"/>
        </w:rPr>
      </w:pPr>
      <w:bookmarkStart w:id="1195" w:name="_Toc24457"/>
      <w:bookmarkStart w:id="1196" w:name="_Toc20741"/>
      <w:bookmarkStart w:id="1197" w:name="_Toc25682"/>
      <w:bookmarkStart w:id="1198" w:name="_Toc21597"/>
      <w:bookmarkStart w:id="1199" w:name="_Toc18152"/>
      <w:bookmarkStart w:id="1200" w:name="_Toc24292"/>
      <w:bookmarkStart w:id="1201" w:name="_Toc524351859"/>
      <w:bookmarkStart w:id="1202" w:name="_Toc80863323"/>
      <w:r>
        <w:rPr>
          <w:rFonts w:ascii="Times New Roman" w:eastAsia="仿宋"/>
          <w:b/>
          <w:sz w:val="30"/>
          <w:szCs w:val="30"/>
        </w:rPr>
        <w:t>第三人造成的违约</w:t>
      </w:r>
      <w:bookmarkEnd w:id="1195"/>
      <w:bookmarkEnd w:id="1196"/>
      <w:bookmarkEnd w:id="1197"/>
      <w:bookmarkEnd w:id="1198"/>
      <w:bookmarkEnd w:id="1199"/>
      <w:bookmarkEnd w:id="1200"/>
      <w:bookmarkEnd w:id="1201"/>
      <w:bookmarkEnd w:id="1202"/>
    </w:p>
    <w:p w14:paraId="41186B2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在履行合同过程中，一方当事人因第三人的原因造成违约的，应当向对方当事人承担违约责任。一方当事人和第三人之间的纠纷，依照法律规定或者按照约定解决。</w:t>
      </w:r>
    </w:p>
    <w:p w14:paraId="60D35B35">
      <w:pPr>
        <w:pStyle w:val="4"/>
        <w:jc w:val="left"/>
        <w:rPr>
          <w:rFonts w:ascii="Times New Roman"/>
          <w:lang w:eastAsia="zh-CN"/>
        </w:rPr>
      </w:pPr>
      <w:bookmarkStart w:id="1203" w:name="_Toc336"/>
      <w:bookmarkStart w:id="1204" w:name="_Toc1656"/>
      <w:bookmarkStart w:id="1205" w:name="_Toc10239"/>
      <w:bookmarkStart w:id="1206" w:name="_Toc80863324"/>
      <w:bookmarkStart w:id="1207" w:name="_Toc26225"/>
      <w:bookmarkStart w:id="1208" w:name="_Toc10354"/>
      <w:bookmarkStart w:id="1209" w:name="_Toc27043"/>
      <w:bookmarkStart w:id="1210" w:name="_Toc82531200"/>
      <w:bookmarkStart w:id="1211" w:name="_Toc41574024"/>
      <w:bookmarkStart w:id="1212" w:name="_Toc144742732"/>
      <w:bookmarkStart w:id="1213" w:name="_Toc524351860"/>
      <w:bookmarkStart w:id="1214" w:name="_Toc41499762"/>
      <w:bookmarkStart w:id="1215" w:name="_Toc24210"/>
      <w:r>
        <w:rPr>
          <w:rFonts w:ascii="Times New Roman"/>
          <w:lang w:eastAsia="zh-CN"/>
        </w:rPr>
        <w:t>17. 不可抗力</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275EE842">
      <w:pPr>
        <w:pStyle w:val="50"/>
        <w:numPr>
          <w:ilvl w:val="1"/>
          <w:numId w:val="23"/>
        </w:numPr>
        <w:tabs>
          <w:tab w:val="left" w:pos="0"/>
        </w:tabs>
        <w:snapToGrid w:val="0"/>
        <w:spacing w:line="560" w:lineRule="exact"/>
        <w:ind w:firstLineChars="0"/>
        <w:rPr>
          <w:rFonts w:ascii="Times New Roman" w:eastAsia="仿宋"/>
          <w:b/>
          <w:sz w:val="30"/>
          <w:szCs w:val="30"/>
        </w:rPr>
      </w:pPr>
      <w:bookmarkStart w:id="1216" w:name="_Toc7155"/>
      <w:bookmarkStart w:id="1217" w:name="_Toc11798"/>
      <w:bookmarkStart w:id="1218" w:name="_Toc80863325"/>
      <w:bookmarkStart w:id="1219" w:name="_Toc11616"/>
      <w:bookmarkStart w:id="1220" w:name="_Toc9288"/>
      <w:bookmarkStart w:id="1221" w:name="_Toc11873"/>
      <w:bookmarkStart w:id="1222" w:name="_Toc524351861"/>
      <w:bookmarkStart w:id="1223" w:name="_Toc14123"/>
      <w:r>
        <w:rPr>
          <w:rFonts w:ascii="Times New Roman" w:eastAsia="仿宋"/>
          <w:b/>
          <w:sz w:val="30"/>
          <w:szCs w:val="30"/>
        </w:rPr>
        <w:t>不可抗力的确认</w:t>
      </w:r>
      <w:bookmarkEnd w:id="1216"/>
      <w:bookmarkEnd w:id="1217"/>
      <w:bookmarkEnd w:id="1218"/>
      <w:bookmarkEnd w:id="1219"/>
      <w:bookmarkEnd w:id="1220"/>
      <w:bookmarkEnd w:id="1221"/>
      <w:bookmarkEnd w:id="1222"/>
      <w:bookmarkEnd w:id="1223"/>
    </w:p>
    <w:p w14:paraId="7F00E3F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不可抗力是指合同当事人在签订合同时不可预见，在合同履行过程中不可避免且不能克服的自然灾害和社会性突发事件，如</w:t>
      </w:r>
      <w:r>
        <w:rPr>
          <w:rFonts w:hint="eastAsia" w:ascii="Times New Roman" w:eastAsia="仿宋"/>
          <w:sz w:val="30"/>
          <w:szCs w:val="30"/>
          <w:lang w:eastAsia="zh-CN"/>
        </w:rPr>
        <w:t>疫情、</w:t>
      </w:r>
      <w:r>
        <w:rPr>
          <w:rFonts w:ascii="Times New Roman" w:eastAsia="仿宋"/>
          <w:sz w:val="30"/>
          <w:szCs w:val="30"/>
          <w:lang w:eastAsia="zh-CN"/>
        </w:rPr>
        <w:t>地震、海啸、洪灾、瘟疫、骚乱、戒严、暴动、战争及</w:t>
      </w:r>
      <w:r>
        <w:rPr>
          <w:rFonts w:ascii="Times New Roman" w:eastAsia="仿宋"/>
          <w:color w:val="000000"/>
          <w:sz w:val="30"/>
          <w:szCs w:val="30"/>
          <w:lang w:eastAsia="zh-CN"/>
        </w:rPr>
        <w:t>其他非发包人总承包人责任造成的爆炸、火灾</w:t>
      </w:r>
      <w:r>
        <w:rPr>
          <w:rFonts w:ascii="Times New Roman" w:eastAsia="仿宋"/>
          <w:sz w:val="30"/>
          <w:szCs w:val="30"/>
          <w:lang w:eastAsia="zh-CN"/>
        </w:rPr>
        <w:t>等。</w:t>
      </w:r>
    </w:p>
    <w:p w14:paraId="6035AF0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不可抗力发生后，发包人和总承包人应收集证明不可抗力发生及不可抗力造成损失的证据，并及时认真统计所造成的损失。合同当事人对是否属于不可抗力或其损失的意见不一致的，由双方协商确定。发生争议时，按第20条〔争议解决〕的约定处理。</w:t>
      </w:r>
    </w:p>
    <w:p w14:paraId="0689748C">
      <w:pPr>
        <w:numPr>
          <w:ilvl w:val="1"/>
          <w:numId w:val="23"/>
        </w:numPr>
        <w:tabs>
          <w:tab w:val="left" w:pos="0"/>
        </w:tabs>
        <w:snapToGrid w:val="0"/>
        <w:spacing w:line="560" w:lineRule="exact"/>
        <w:ind w:left="0" w:firstLine="600" w:firstLineChars="200"/>
        <w:rPr>
          <w:rFonts w:ascii="Times New Roman" w:eastAsia="仿宋"/>
          <w:b/>
          <w:sz w:val="30"/>
          <w:szCs w:val="30"/>
        </w:rPr>
      </w:pPr>
      <w:bookmarkStart w:id="1224" w:name="_Toc524351862"/>
      <w:bookmarkStart w:id="1225" w:name="_Toc3007"/>
      <w:bookmarkStart w:id="1226" w:name="_Toc525"/>
      <w:bookmarkStart w:id="1227" w:name="_Toc26713"/>
      <w:bookmarkStart w:id="1228" w:name="_Toc25108"/>
      <w:bookmarkStart w:id="1229" w:name="_Toc80863326"/>
      <w:bookmarkStart w:id="1230" w:name="_Toc10179"/>
      <w:bookmarkStart w:id="1231" w:name="_Toc31285"/>
      <w:r>
        <w:rPr>
          <w:rFonts w:ascii="Times New Roman" w:eastAsia="仿宋"/>
          <w:b/>
          <w:sz w:val="30"/>
          <w:szCs w:val="30"/>
        </w:rPr>
        <w:t>不可抗力的通知</w:t>
      </w:r>
      <w:bookmarkEnd w:id="1224"/>
      <w:bookmarkEnd w:id="1225"/>
      <w:bookmarkEnd w:id="1226"/>
      <w:bookmarkEnd w:id="1227"/>
      <w:bookmarkEnd w:id="1228"/>
      <w:bookmarkEnd w:id="1229"/>
      <w:bookmarkEnd w:id="1230"/>
      <w:bookmarkEnd w:id="1231"/>
    </w:p>
    <w:p w14:paraId="6248C4C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合同一方当事人遇到不可抗力事件，使其履行合同义务受到阻碍时，应立即通知合同另一方当事人和监理人，书面说明不可抗力和受阻碍的详细情况，并提供必要的证明。</w:t>
      </w:r>
    </w:p>
    <w:p w14:paraId="1CB1B65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不可抗力持续发生的，合同一方当事人应及时向合同另一方当事人和监理人提交中间报告，说明不可抗力和履行合同受阻的情况，并于不可抗力事件结束后28天内提交最终报告及有关资料。</w:t>
      </w:r>
    </w:p>
    <w:p w14:paraId="68AC522F">
      <w:pPr>
        <w:numPr>
          <w:ilvl w:val="1"/>
          <w:numId w:val="23"/>
        </w:numPr>
        <w:tabs>
          <w:tab w:val="left" w:pos="0"/>
        </w:tabs>
        <w:snapToGrid w:val="0"/>
        <w:spacing w:line="560" w:lineRule="exact"/>
        <w:ind w:left="0" w:firstLine="600" w:firstLineChars="200"/>
        <w:rPr>
          <w:rFonts w:ascii="Times New Roman" w:eastAsia="仿宋"/>
          <w:b/>
          <w:sz w:val="30"/>
          <w:szCs w:val="30"/>
        </w:rPr>
      </w:pPr>
      <w:bookmarkStart w:id="1232" w:name="_Toc524351863"/>
      <w:bookmarkStart w:id="1233" w:name="_Toc80863327"/>
      <w:bookmarkStart w:id="1234" w:name="_Toc13697"/>
      <w:bookmarkStart w:id="1235" w:name="_Toc2127"/>
      <w:bookmarkStart w:id="1236" w:name="_Toc29658"/>
      <w:bookmarkStart w:id="1237" w:name="_Toc18273"/>
      <w:bookmarkStart w:id="1238" w:name="_Toc2131"/>
      <w:bookmarkStart w:id="1239" w:name="_Toc17619"/>
      <w:r>
        <w:rPr>
          <w:rFonts w:ascii="Times New Roman" w:eastAsia="仿宋"/>
          <w:b/>
          <w:sz w:val="30"/>
          <w:szCs w:val="30"/>
        </w:rPr>
        <w:t>不可抗力后果的承担</w:t>
      </w:r>
      <w:bookmarkEnd w:id="1232"/>
      <w:bookmarkEnd w:id="1233"/>
      <w:bookmarkEnd w:id="1234"/>
      <w:bookmarkEnd w:id="1235"/>
      <w:bookmarkEnd w:id="1236"/>
      <w:bookmarkEnd w:id="1237"/>
      <w:bookmarkEnd w:id="1238"/>
      <w:bookmarkEnd w:id="1239"/>
    </w:p>
    <w:p w14:paraId="35D9D294">
      <w:pPr>
        <w:numPr>
          <w:ilvl w:val="2"/>
          <w:numId w:val="23"/>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不可抗力引起的后果及造成的损失由合同当事人按照法律规定及合同约定各自承担。不可抗力发生前已完成的工程应当按照合同约定进行计量支付。</w:t>
      </w:r>
    </w:p>
    <w:p w14:paraId="00705B20">
      <w:pPr>
        <w:numPr>
          <w:ilvl w:val="2"/>
          <w:numId w:val="23"/>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不可抗力导致的人员伤亡、财产损失、费用增加和（或）工期延误等后果，由合同当事人按以下原则承担：</w:t>
      </w:r>
    </w:p>
    <w:p w14:paraId="7164888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（1）永久工程、已运至施工现场并经初步验收合格的材料和工程设备的损坏，以及因工程损坏造成的第三方人员伤亡和财产损失由</w:t>
      </w:r>
      <w:r>
        <w:rPr>
          <w:rFonts w:hint="eastAsia" w:ascii="Times New Roman" w:eastAsia="仿宋"/>
          <w:sz w:val="30"/>
          <w:szCs w:val="30"/>
          <w:lang w:eastAsia="zh-CN"/>
        </w:rPr>
        <w:t>责任方</w:t>
      </w:r>
      <w:r>
        <w:rPr>
          <w:rFonts w:ascii="Times New Roman" w:eastAsia="仿宋"/>
          <w:sz w:val="30"/>
          <w:szCs w:val="30"/>
          <w:lang w:eastAsia="zh-CN"/>
        </w:rPr>
        <w:t>承担；</w:t>
      </w:r>
    </w:p>
    <w:p w14:paraId="38D796B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（2）总承包人施工设备的损坏由总承包人承担；</w:t>
      </w:r>
    </w:p>
    <w:p w14:paraId="41BCC0E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（3）发包人和总承包人承担各自人员伤亡和财产的损失；</w:t>
      </w:r>
    </w:p>
    <w:p w14:paraId="0141CF3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（4）因不可抗力影响总承包人履行合同约定的义务，已经引起或将引起工期延误的，应当顺延工期，但由此导致总承包人停工的费用损失由总承包人承担；</w:t>
      </w:r>
    </w:p>
    <w:p w14:paraId="54B639C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不可抗力发生后，合同当事人均应采取措施尽量避免和减少损失的扩大，任何一方当事人没有采取有效措施导致损失扩大的，应对扩大的损失承担责任。</w:t>
      </w:r>
    </w:p>
    <w:p w14:paraId="6DD3833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因合同一方延迟履行合同义务，在延迟履行期间遭遇不可抗力的，不免除其违约责任。</w:t>
      </w:r>
    </w:p>
    <w:p w14:paraId="665E17A4">
      <w:pPr>
        <w:numPr>
          <w:ilvl w:val="1"/>
          <w:numId w:val="23"/>
        </w:numPr>
        <w:tabs>
          <w:tab w:val="left" w:pos="0"/>
        </w:tabs>
        <w:snapToGrid w:val="0"/>
        <w:spacing w:line="560" w:lineRule="exact"/>
        <w:ind w:left="0" w:firstLine="600" w:firstLineChars="200"/>
        <w:rPr>
          <w:rFonts w:ascii="Times New Roman" w:eastAsia="仿宋"/>
          <w:b/>
          <w:sz w:val="30"/>
          <w:szCs w:val="30"/>
        </w:rPr>
      </w:pPr>
      <w:bookmarkStart w:id="1240" w:name="_Toc80863328"/>
      <w:bookmarkStart w:id="1241" w:name="_Toc16809"/>
      <w:bookmarkStart w:id="1242" w:name="_Toc29871"/>
      <w:bookmarkStart w:id="1243" w:name="_Toc24552"/>
      <w:bookmarkStart w:id="1244" w:name="_Toc4225"/>
      <w:bookmarkStart w:id="1245" w:name="_Toc524351864"/>
      <w:bookmarkStart w:id="1246" w:name="_Toc24372"/>
      <w:bookmarkStart w:id="1247" w:name="_Toc30130"/>
      <w:r>
        <w:rPr>
          <w:rFonts w:ascii="Times New Roman" w:eastAsia="仿宋"/>
          <w:b/>
          <w:sz w:val="30"/>
          <w:szCs w:val="30"/>
        </w:rPr>
        <w:t>因不可抗力解除合同</w:t>
      </w:r>
      <w:bookmarkEnd w:id="1240"/>
      <w:bookmarkEnd w:id="1241"/>
      <w:bookmarkEnd w:id="1242"/>
      <w:bookmarkEnd w:id="1243"/>
      <w:bookmarkEnd w:id="1244"/>
      <w:bookmarkEnd w:id="1245"/>
      <w:bookmarkEnd w:id="1246"/>
      <w:bookmarkEnd w:id="1247"/>
    </w:p>
    <w:p w14:paraId="42BDEB2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因不可抗力导致合同无法履行连续超过84天或累计超过140天的，发包人有权解除合同。合同解除后，由双方当事人协商确定发包人应支付的款项，该款项包括：</w:t>
      </w:r>
    </w:p>
    <w:p w14:paraId="0AF4468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（1）合同解除前总承包人已完成工作的价款；</w:t>
      </w:r>
    </w:p>
    <w:p w14:paraId="5842D52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（2）总承包人为工程订购的并已交付给总承包人，或总承包人有责任接受交付的材料、工程设备和其他物品的价款；</w:t>
      </w:r>
    </w:p>
    <w:p w14:paraId="16F81BC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（3）发包人要求总承包人退货或解除订货合同而产生的费用，或因不能退货或解除合同而产生的损失；</w:t>
      </w:r>
    </w:p>
    <w:p w14:paraId="474E564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（4）按照合同约定在合同解除前应支付给总承包人的其他款项；</w:t>
      </w:r>
    </w:p>
    <w:p w14:paraId="235058A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（5）扣减总承包人按照合同约定应向发包人支付的款项；</w:t>
      </w:r>
    </w:p>
    <w:p w14:paraId="5C65D25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（6）双方商定或确定的其他款项。</w:t>
      </w:r>
    </w:p>
    <w:p w14:paraId="49440F81">
      <w:pPr>
        <w:pStyle w:val="4"/>
        <w:jc w:val="left"/>
        <w:rPr>
          <w:rFonts w:ascii="Times New Roman"/>
          <w:lang w:eastAsia="zh-CN"/>
        </w:rPr>
      </w:pPr>
      <w:bookmarkStart w:id="1248" w:name="_Toc80863329"/>
      <w:bookmarkStart w:id="1249" w:name="_Toc524351865"/>
      <w:bookmarkStart w:id="1250" w:name="_Toc3264"/>
      <w:bookmarkStart w:id="1251" w:name="_Toc31220"/>
      <w:bookmarkStart w:id="1252" w:name="_Toc24798"/>
      <w:bookmarkStart w:id="1253" w:name="_Toc32144"/>
      <w:bookmarkStart w:id="1254" w:name="_Toc41574025"/>
      <w:bookmarkStart w:id="1255" w:name="_Toc7262"/>
      <w:bookmarkStart w:id="1256" w:name="_Toc82531201"/>
      <w:bookmarkStart w:id="1257" w:name="_Toc32086"/>
      <w:bookmarkStart w:id="1258" w:name="_Toc144742733"/>
      <w:bookmarkStart w:id="1259" w:name="_Toc16696"/>
      <w:bookmarkStart w:id="1260" w:name="_Toc41499763"/>
      <w:r>
        <w:rPr>
          <w:rFonts w:ascii="Times New Roman"/>
          <w:lang w:eastAsia="zh-CN"/>
        </w:rPr>
        <w:t>18. 保险</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531399E9">
      <w:pPr>
        <w:pStyle w:val="50"/>
        <w:numPr>
          <w:ilvl w:val="1"/>
          <w:numId w:val="24"/>
        </w:numPr>
        <w:snapToGrid w:val="0"/>
        <w:spacing w:line="560" w:lineRule="exact"/>
        <w:ind w:firstLineChars="0"/>
        <w:rPr>
          <w:rFonts w:ascii="Times New Roman" w:eastAsia="仿宋"/>
          <w:b/>
          <w:sz w:val="30"/>
          <w:szCs w:val="30"/>
        </w:rPr>
      </w:pPr>
      <w:bookmarkStart w:id="1261" w:name="_Toc25299"/>
      <w:bookmarkStart w:id="1262" w:name="_Toc524351866"/>
      <w:bookmarkStart w:id="1263" w:name="_Toc31696"/>
      <w:bookmarkStart w:id="1264" w:name="_Toc80863330"/>
      <w:bookmarkStart w:id="1265" w:name="_Toc29681"/>
      <w:bookmarkStart w:id="1266" w:name="_Toc582"/>
      <w:bookmarkStart w:id="1267" w:name="_Toc32437"/>
      <w:bookmarkStart w:id="1268" w:name="_Toc18920"/>
      <w:r>
        <w:rPr>
          <w:rFonts w:ascii="Times New Roman" w:eastAsia="仿宋"/>
          <w:b/>
          <w:sz w:val="30"/>
          <w:szCs w:val="30"/>
        </w:rPr>
        <w:t>工程保险</w:t>
      </w:r>
      <w:bookmarkEnd w:id="1261"/>
      <w:bookmarkEnd w:id="1262"/>
      <w:bookmarkEnd w:id="1263"/>
      <w:bookmarkEnd w:id="1264"/>
      <w:bookmarkEnd w:id="1265"/>
      <w:bookmarkEnd w:id="1266"/>
      <w:bookmarkEnd w:id="1267"/>
      <w:bookmarkEnd w:id="1268"/>
    </w:p>
    <w:p w14:paraId="32045583">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在不影响或减低总承包人按合同应承担的责任及义务下，发包人</w:t>
      </w:r>
      <w:r>
        <w:rPr>
          <w:rFonts w:ascii="Times New Roman" w:eastAsia="仿宋"/>
          <w:sz w:val="30"/>
          <w:szCs w:val="30"/>
          <w:lang w:eastAsia="zh-CN"/>
        </w:rPr>
        <w:t>将投保建筑工程一切险或安装工程一切险，以及第三者责任险。</w:t>
      </w:r>
    </w:p>
    <w:p w14:paraId="6B51629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发包人购买的保单无法覆盖的风险由总承包人承担，总承包人须自行判断保险范围、赔额、类别等是否能满足总承包人的要求。若总承包人认为保单内的保险范围、类别、免赔额及赔偿限额等未足够保障他的风险，可自费补充投保。若总承包人另外增加保险，投保后的保险单和收据须在生效后立即交给发包人。由总承包人负责采购运输的设备、材料、部件的运输险，由总承包人投保。此项保险费用已包含在合同价格中。</w:t>
      </w:r>
    </w:p>
    <w:p w14:paraId="2C3F6F0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总承包人须积极地遵从保险单和承保人关于解决索偿、追讨损失和防止意外的一切合理要求，并自费负责因未能遵从的后果。因总承包人的过错导致发包人无法获得保险赔偿的费用亦由总承包人承担。</w:t>
      </w:r>
    </w:p>
    <w:p w14:paraId="1893404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须负责保险单内规定的免赔额、不负责项目或有限制项目的费用，只要它们是属于总承包人在本合同内应承担的风险或责任。若总承包人要求把上述的免赔额减低，任何因此而增加的保险费须由总承包人自费支付。</w:t>
      </w:r>
    </w:p>
    <w:p w14:paraId="6415AA6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生意外事故而导致工程受损而需进行理赔时，总承包人应尽力修复损坏的工程，更换或修补经损毁的任何尚未安装的物料或货物及清除任何残骸并继续将工程完成，由该等保险所得的一切赔款在扣除其中的顾问费后按修复的进度分期加入中期付款内。</w:t>
      </w:r>
    </w:p>
    <w:p w14:paraId="2E3602C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除上述保险所得赔款外，总承包人不会因修复破坏的工程、更换或修补尚未安装的物料或货物、及清除残骸而从发包人处获任何其他付款。</w:t>
      </w:r>
    </w:p>
    <w:p w14:paraId="6914BD2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若工期延误而保险期需延长的，保险期延长所增加的保险费由总承包人承担。</w:t>
      </w:r>
    </w:p>
    <w:p w14:paraId="5BA9FBA7">
      <w:pPr>
        <w:numPr>
          <w:ilvl w:val="1"/>
          <w:numId w:val="24"/>
        </w:numPr>
        <w:snapToGrid w:val="0"/>
        <w:spacing w:line="560" w:lineRule="exact"/>
        <w:ind w:left="0" w:firstLine="600" w:firstLineChars="200"/>
        <w:rPr>
          <w:rFonts w:ascii="Times New Roman" w:eastAsia="仿宋"/>
          <w:b/>
          <w:sz w:val="30"/>
          <w:szCs w:val="30"/>
        </w:rPr>
      </w:pPr>
      <w:bookmarkStart w:id="1269" w:name="_Toc1593"/>
      <w:bookmarkStart w:id="1270" w:name="_Toc18800"/>
      <w:bookmarkStart w:id="1271" w:name="_Toc6042"/>
      <w:bookmarkStart w:id="1272" w:name="_Toc13920"/>
      <w:bookmarkStart w:id="1273" w:name="_Toc80863331"/>
      <w:bookmarkStart w:id="1274" w:name="_Toc32622"/>
      <w:bookmarkStart w:id="1275" w:name="_Toc12711"/>
      <w:bookmarkStart w:id="1276" w:name="_Toc524351867"/>
      <w:r>
        <w:rPr>
          <w:rFonts w:ascii="Times New Roman" w:eastAsia="仿宋"/>
          <w:b/>
          <w:sz w:val="30"/>
          <w:szCs w:val="30"/>
        </w:rPr>
        <w:t>工伤保险</w:t>
      </w:r>
      <w:bookmarkEnd w:id="1269"/>
      <w:bookmarkEnd w:id="1270"/>
      <w:bookmarkEnd w:id="1271"/>
      <w:bookmarkEnd w:id="1272"/>
      <w:bookmarkEnd w:id="1273"/>
      <w:bookmarkEnd w:id="1274"/>
      <w:bookmarkEnd w:id="1275"/>
      <w:bookmarkEnd w:id="1276"/>
    </w:p>
    <w:p w14:paraId="23281820">
      <w:pPr>
        <w:numPr>
          <w:ilvl w:val="2"/>
          <w:numId w:val="24"/>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发包人应依照法律规定参加工伤保险，并为发包人在施工现场的全部员工办理工伤保险，缴纳工伤保险费，并要求监理人及由发包人为履行合同聘请的第三方依法参加工伤保险。</w:t>
      </w:r>
    </w:p>
    <w:p w14:paraId="54325106">
      <w:pPr>
        <w:numPr>
          <w:ilvl w:val="2"/>
          <w:numId w:val="24"/>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应依照法律规定参加工伤保险，并为其履行合同的全部员工办理工伤保险，缴纳工伤保险费，并要求分包人及由总承包人为履行合同聘请的第三方依法参加工伤保险。因未履行工伤保险义务给发包人造成损失的，相关责任及费用由总承包人承担。总承包人出具《建筑工程施工人员团体人身意外伤害保险》保单及保单中必须含有下述特约措辞“除非该项工程发包人提出书面申请，本保险单为保险公司不可撤销、不可变更、不可解除之保险合同”。</w:t>
      </w:r>
    </w:p>
    <w:p w14:paraId="295B455F">
      <w:pPr>
        <w:numPr>
          <w:ilvl w:val="1"/>
          <w:numId w:val="24"/>
        </w:numPr>
        <w:snapToGrid w:val="0"/>
        <w:spacing w:line="560" w:lineRule="exact"/>
        <w:ind w:left="0" w:firstLine="600" w:firstLineChars="200"/>
        <w:rPr>
          <w:rFonts w:ascii="Times New Roman" w:eastAsia="仿宋"/>
          <w:b/>
          <w:sz w:val="30"/>
          <w:szCs w:val="30"/>
        </w:rPr>
      </w:pPr>
      <w:bookmarkStart w:id="1277" w:name="_Toc80863332"/>
      <w:bookmarkStart w:id="1278" w:name="_Toc32521"/>
      <w:bookmarkStart w:id="1279" w:name="_Toc30117"/>
      <w:bookmarkStart w:id="1280" w:name="_Toc398"/>
      <w:bookmarkStart w:id="1281" w:name="_Toc524351868"/>
      <w:bookmarkStart w:id="1282" w:name="_Toc19034"/>
      <w:bookmarkStart w:id="1283" w:name="_Toc27094"/>
      <w:bookmarkStart w:id="1284" w:name="_Toc22560"/>
      <w:r>
        <w:rPr>
          <w:rFonts w:ascii="Times New Roman" w:eastAsia="仿宋"/>
          <w:b/>
          <w:sz w:val="30"/>
          <w:szCs w:val="30"/>
        </w:rPr>
        <w:t>其他保险</w:t>
      </w:r>
      <w:bookmarkEnd w:id="1277"/>
      <w:bookmarkEnd w:id="1278"/>
      <w:bookmarkEnd w:id="1279"/>
      <w:bookmarkEnd w:id="1280"/>
      <w:bookmarkEnd w:id="1281"/>
      <w:bookmarkEnd w:id="1282"/>
      <w:bookmarkEnd w:id="1283"/>
      <w:bookmarkEnd w:id="1284"/>
    </w:p>
    <w:p w14:paraId="2D81207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发包人和总承包人应为其施工现场的全部人员办理意外伤害保险并支付保险费，包括其员工及为履行合同聘请的第三方的人员。</w:t>
      </w:r>
    </w:p>
    <w:p w14:paraId="4DC7054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总承包人应为其施工设备及场外材料、设备等办理财产保险。</w:t>
      </w:r>
    </w:p>
    <w:p w14:paraId="6721D698">
      <w:pPr>
        <w:numPr>
          <w:ilvl w:val="1"/>
          <w:numId w:val="24"/>
        </w:numPr>
        <w:snapToGrid w:val="0"/>
        <w:spacing w:line="560" w:lineRule="exact"/>
        <w:ind w:left="0" w:firstLine="600" w:firstLineChars="200"/>
        <w:rPr>
          <w:rFonts w:ascii="Times New Roman" w:eastAsia="仿宋"/>
          <w:b/>
          <w:sz w:val="30"/>
          <w:szCs w:val="30"/>
        </w:rPr>
      </w:pPr>
      <w:bookmarkStart w:id="1285" w:name="_Toc13029"/>
      <w:bookmarkStart w:id="1286" w:name="_Toc22910"/>
      <w:bookmarkStart w:id="1287" w:name="_Toc524351869"/>
      <w:bookmarkStart w:id="1288" w:name="_Toc27490"/>
      <w:bookmarkStart w:id="1289" w:name="_Toc80863333"/>
      <w:bookmarkStart w:id="1290" w:name="_Toc19577"/>
      <w:bookmarkStart w:id="1291" w:name="_Toc31595"/>
      <w:bookmarkStart w:id="1292" w:name="_Toc13018"/>
      <w:r>
        <w:rPr>
          <w:rFonts w:ascii="Times New Roman" w:eastAsia="仿宋"/>
          <w:b/>
          <w:sz w:val="30"/>
          <w:szCs w:val="30"/>
        </w:rPr>
        <w:t>持续保险</w:t>
      </w:r>
      <w:bookmarkEnd w:id="1285"/>
      <w:bookmarkEnd w:id="1286"/>
      <w:bookmarkEnd w:id="1287"/>
      <w:bookmarkEnd w:id="1288"/>
      <w:bookmarkEnd w:id="1289"/>
      <w:bookmarkEnd w:id="1290"/>
      <w:bookmarkEnd w:id="1291"/>
      <w:bookmarkEnd w:id="1292"/>
    </w:p>
    <w:p w14:paraId="18327DB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合同当事人应与保险人保持联系，使保险人能够随时了解工程实施中的变动，并确保按保险合同条款要求持续保险。</w:t>
      </w:r>
    </w:p>
    <w:p w14:paraId="640D3F3A">
      <w:pPr>
        <w:numPr>
          <w:ilvl w:val="1"/>
          <w:numId w:val="24"/>
        </w:numPr>
        <w:snapToGrid w:val="0"/>
        <w:spacing w:line="560" w:lineRule="exact"/>
        <w:ind w:left="0" w:firstLine="600" w:firstLineChars="200"/>
        <w:rPr>
          <w:rFonts w:ascii="Times New Roman" w:eastAsia="仿宋"/>
          <w:b/>
          <w:sz w:val="30"/>
          <w:szCs w:val="30"/>
        </w:rPr>
      </w:pPr>
      <w:bookmarkStart w:id="1293" w:name="_Toc21498"/>
      <w:bookmarkStart w:id="1294" w:name="_Toc28473"/>
      <w:bookmarkStart w:id="1295" w:name="_Toc524351870"/>
      <w:bookmarkStart w:id="1296" w:name="_Toc20739"/>
      <w:bookmarkStart w:id="1297" w:name="_Toc1462"/>
      <w:bookmarkStart w:id="1298" w:name="_Toc14648"/>
      <w:bookmarkStart w:id="1299" w:name="_Toc30597"/>
      <w:bookmarkStart w:id="1300" w:name="_Toc80863334"/>
      <w:r>
        <w:rPr>
          <w:rFonts w:ascii="Times New Roman" w:eastAsia="仿宋"/>
          <w:b/>
          <w:sz w:val="30"/>
          <w:szCs w:val="30"/>
        </w:rPr>
        <w:t>保险凭证</w:t>
      </w:r>
      <w:bookmarkEnd w:id="1293"/>
      <w:bookmarkEnd w:id="1294"/>
      <w:bookmarkEnd w:id="1295"/>
      <w:bookmarkEnd w:id="1296"/>
      <w:bookmarkEnd w:id="1297"/>
      <w:bookmarkEnd w:id="1298"/>
      <w:bookmarkEnd w:id="1299"/>
      <w:bookmarkEnd w:id="1300"/>
    </w:p>
    <w:p w14:paraId="6B3F6FE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合同当事人应及时向另一方当事人提交其已投保的各项保险的凭证和保险单复印件。</w:t>
      </w:r>
    </w:p>
    <w:p w14:paraId="7BB5F1D2">
      <w:pPr>
        <w:numPr>
          <w:ilvl w:val="1"/>
          <w:numId w:val="24"/>
        </w:numPr>
        <w:snapToGrid w:val="0"/>
        <w:spacing w:line="560" w:lineRule="exact"/>
        <w:ind w:left="0" w:firstLine="600" w:firstLineChars="200"/>
        <w:rPr>
          <w:rFonts w:ascii="Times New Roman" w:eastAsia="仿宋"/>
          <w:b/>
          <w:sz w:val="30"/>
          <w:szCs w:val="30"/>
        </w:rPr>
      </w:pPr>
      <w:bookmarkStart w:id="1301" w:name="_Toc1923"/>
      <w:bookmarkStart w:id="1302" w:name="_Toc22059"/>
      <w:bookmarkStart w:id="1303" w:name="_Toc2595"/>
      <w:bookmarkStart w:id="1304" w:name="_Toc80863335"/>
      <w:bookmarkStart w:id="1305" w:name="_Toc9059"/>
      <w:bookmarkStart w:id="1306" w:name="_Toc28361"/>
      <w:bookmarkStart w:id="1307" w:name="_Toc8438"/>
      <w:bookmarkStart w:id="1308" w:name="_Toc524351871"/>
      <w:r>
        <w:rPr>
          <w:rFonts w:ascii="Times New Roman" w:eastAsia="仿宋"/>
          <w:b/>
          <w:sz w:val="30"/>
          <w:szCs w:val="30"/>
        </w:rPr>
        <w:t>未按约定投保的补救</w:t>
      </w:r>
      <w:bookmarkEnd w:id="1301"/>
      <w:bookmarkEnd w:id="1302"/>
      <w:bookmarkEnd w:id="1303"/>
      <w:bookmarkEnd w:id="1304"/>
      <w:bookmarkEnd w:id="1305"/>
      <w:bookmarkEnd w:id="1306"/>
      <w:bookmarkEnd w:id="1307"/>
      <w:bookmarkEnd w:id="1308"/>
    </w:p>
    <w:p w14:paraId="0E0B08F1">
      <w:pPr>
        <w:numPr>
          <w:ilvl w:val="2"/>
          <w:numId w:val="24"/>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发包人未按合同约定办理保险，或未能使保险持续有效的，则总承包人可代为办理，所需费用由发包人承担。发包人未按合同约定办理保险，导致未能得到足额赔偿的，由发包人负责补足。</w:t>
      </w:r>
    </w:p>
    <w:p w14:paraId="5862BE92">
      <w:pPr>
        <w:numPr>
          <w:ilvl w:val="2"/>
          <w:numId w:val="24"/>
        </w:numPr>
        <w:tabs>
          <w:tab w:val="left" w:pos="1701"/>
        </w:tabs>
        <w:snapToGrid w:val="0"/>
        <w:spacing w:line="560" w:lineRule="exact"/>
        <w:ind w:left="0" w:firstLine="600" w:firstLineChars="200"/>
        <w:rPr>
          <w:rFonts w:ascii="Times New Roman" w:eastAsia="仿宋"/>
          <w:sz w:val="30"/>
          <w:szCs w:val="30"/>
          <w:lang w:eastAsia="zh-CN"/>
        </w:rPr>
      </w:pPr>
      <w:r>
        <w:rPr>
          <w:rFonts w:ascii="Times New Roman" w:eastAsia="仿宋"/>
          <w:sz w:val="30"/>
          <w:szCs w:val="30"/>
          <w:lang w:eastAsia="zh-CN"/>
        </w:rPr>
        <w:t>总承包人未按合同约定办理保险，或未能使保险持续有效的，则发包人可代为办理，所需费用由总承包人承担。总承包人未按合同约定办理保险，导致未能得到足额赔偿的，由总承包人负责补足。</w:t>
      </w:r>
    </w:p>
    <w:p w14:paraId="5F35C9A5">
      <w:pPr>
        <w:numPr>
          <w:ilvl w:val="1"/>
          <w:numId w:val="24"/>
        </w:numPr>
        <w:snapToGrid w:val="0"/>
        <w:spacing w:line="560" w:lineRule="exact"/>
        <w:ind w:left="0" w:firstLine="600" w:firstLineChars="200"/>
        <w:rPr>
          <w:rFonts w:ascii="Times New Roman" w:eastAsia="仿宋"/>
          <w:b/>
          <w:sz w:val="30"/>
          <w:szCs w:val="30"/>
        </w:rPr>
      </w:pPr>
      <w:bookmarkStart w:id="1309" w:name="_Toc21881"/>
      <w:bookmarkStart w:id="1310" w:name="_Toc18670"/>
      <w:bookmarkStart w:id="1311" w:name="_Toc31878"/>
      <w:bookmarkStart w:id="1312" w:name="_Toc21179"/>
      <w:bookmarkStart w:id="1313" w:name="_Toc20301"/>
      <w:bookmarkStart w:id="1314" w:name="_Toc80863336"/>
      <w:bookmarkStart w:id="1315" w:name="_Toc524351872"/>
      <w:bookmarkStart w:id="1316" w:name="_Toc14199"/>
      <w:r>
        <w:rPr>
          <w:rFonts w:ascii="Times New Roman" w:eastAsia="仿宋"/>
          <w:b/>
          <w:sz w:val="30"/>
          <w:szCs w:val="30"/>
        </w:rPr>
        <w:t>通知义务</w:t>
      </w:r>
      <w:bookmarkEnd w:id="1309"/>
      <w:bookmarkEnd w:id="1310"/>
      <w:bookmarkEnd w:id="1311"/>
      <w:bookmarkEnd w:id="1312"/>
      <w:bookmarkEnd w:id="1313"/>
      <w:bookmarkEnd w:id="1314"/>
      <w:bookmarkEnd w:id="1315"/>
      <w:bookmarkEnd w:id="1316"/>
    </w:p>
    <w:p w14:paraId="2D859A4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发包人变更除工伤保险之外的保险合同时，应通知总承包人；总承包人变更除工伤保险之外的保险合同时，应事先征得发包人同意，并通知监理人。</w:t>
      </w:r>
    </w:p>
    <w:p w14:paraId="797C7FB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保险事故发生时，投保人应按照保险合同规定的条件和期限及时向保险人报告。发包人和总承包人应当在知道保险事故发生后及时通知对方。</w:t>
      </w:r>
    </w:p>
    <w:p w14:paraId="383D6FB8">
      <w:pPr>
        <w:pStyle w:val="4"/>
        <w:jc w:val="left"/>
        <w:rPr>
          <w:rFonts w:ascii="Times New Roman"/>
          <w:lang w:eastAsia="zh-CN"/>
        </w:rPr>
      </w:pPr>
      <w:bookmarkStart w:id="1317" w:name="_Toc4420"/>
      <w:bookmarkStart w:id="1318" w:name="_Toc80863337"/>
      <w:bookmarkStart w:id="1319" w:name="_Toc144742734"/>
      <w:bookmarkStart w:id="1320" w:name="_Toc153"/>
      <w:bookmarkStart w:id="1321" w:name="_Toc21516"/>
      <w:bookmarkStart w:id="1322" w:name="_Toc41499764"/>
      <w:bookmarkStart w:id="1323" w:name="_Toc20653"/>
      <w:bookmarkStart w:id="1324" w:name="_Toc20261"/>
      <w:bookmarkStart w:id="1325" w:name="_Toc18361"/>
      <w:bookmarkStart w:id="1326" w:name="_Toc41574026"/>
      <w:bookmarkStart w:id="1327" w:name="_Toc82531202"/>
      <w:bookmarkStart w:id="1328" w:name="_Toc3219"/>
      <w:bookmarkStart w:id="1329" w:name="_Toc524351873"/>
      <w:r>
        <w:rPr>
          <w:rFonts w:ascii="Times New Roman"/>
          <w:lang w:eastAsia="zh-CN"/>
        </w:rPr>
        <w:t>19. 索赔</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27F3BBA3">
      <w:pPr>
        <w:pStyle w:val="50"/>
        <w:numPr>
          <w:ilvl w:val="1"/>
          <w:numId w:val="25"/>
        </w:numPr>
        <w:snapToGrid w:val="0"/>
        <w:spacing w:line="560" w:lineRule="exact"/>
        <w:ind w:firstLineChars="0"/>
        <w:rPr>
          <w:rFonts w:ascii="Times New Roman" w:eastAsia="仿宋"/>
          <w:b/>
          <w:sz w:val="30"/>
          <w:szCs w:val="30"/>
        </w:rPr>
      </w:pPr>
      <w:bookmarkStart w:id="1330" w:name="_Toc21721"/>
      <w:bookmarkStart w:id="1331" w:name="_Toc17622"/>
      <w:bookmarkStart w:id="1332" w:name="_Toc80863338"/>
      <w:bookmarkStart w:id="1333" w:name="_Toc2510"/>
      <w:bookmarkStart w:id="1334" w:name="_Toc16484"/>
      <w:bookmarkStart w:id="1335" w:name="_Toc28885"/>
      <w:bookmarkStart w:id="1336" w:name="_Toc524351874"/>
      <w:bookmarkStart w:id="1337" w:name="_Toc15435"/>
      <w:r>
        <w:rPr>
          <w:rFonts w:ascii="Times New Roman" w:eastAsia="仿宋"/>
          <w:b/>
          <w:sz w:val="30"/>
          <w:szCs w:val="30"/>
        </w:rPr>
        <w:t>总承包人的索赔</w:t>
      </w:r>
      <w:bookmarkEnd w:id="1330"/>
      <w:bookmarkEnd w:id="1331"/>
      <w:bookmarkEnd w:id="1332"/>
      <w:bookmarkEnd w:id="1333"/>
      <w:bookmarkEnd w:id="1334"/>
      <w:bookmarkEnd w:id="1335"/>
      <w:bookmarkEnd w:id="1336"/>
      <w:bookmarkEnd w:id="1337"/>
    </w:p>
    <w:p w14:paraId="4C72353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根据合同约定，总承包人认为有权得到追加付款和（或）延长工期的，应按以下程序向发包人提出索赔：</w:t>
      </w:r>
    </w:p>
    <w:p w14:paraId="5470EA2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总承包人应在知道或应当知道索赔事件发生后28天内，向发包人和监理人递交索赔意向通知书，并说明发生索赔事件的事由；总承包人未在前述28天内发出索赔意向通知书的，视为放弃要求追加付款和（或）延长工期的权利；</w:t>
      </w:r>
    </w:p>
    <w:p w14:paraId="0AD4C71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（2）总承包人应在发出索赔意向通知书后28天内，向发包人和监理人正式递交索赔报告；索赔报告应详细说明索赔理由以及要求追加的付款金额和（或）延长的工期，并附必要的记录和证明材料；</w:t>
      </w:r>
    </w:p>
    <w:p w14:paraId="1FE5C7A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（3）索赔事件具有持续影响的，总承包人应按合理时间间隔继续递交延续索赔通知，说明持续影响的实际情况和记录，列出累计的追加付款金额和（或）工期延长天数；</w:t>
      </w:r>
    </w:p>
    <w:p w14:paraId="4D28D11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（4）在索赔事件影响结束后28天内，总承包人应向发包人和监理人递交最终索赔报告，说明最终要求索赔的追加付款金额和（或）延长的工期，并附必要的记录和证明材料。</w:t>
      </w:r>
    </w:p>
    <w:p w14:paraId="31E967FF">
      <w:pPr>
        <w:numPr>
          <w:ilvl w:val="1"/>
          <w:numId w:val="25"/>
        </w:numPr>
        <w:snapToGrid w:val="0"/>
        <w:spacing w:line="560" w:lineRule="exact"/>
        <w:ind w:left="0" w:firstLine="600" w:firstLineChars="200"/>
        <w:rPr>
          <w:rFonts w:ascii="Times New Roman" w:eastAsia="仿宋"/>
          <w:b/>
          <w:sz w:val="30"/>
          <w:szCs w:val="30"/>
        </w:rPr>
      </w:pPr>
      <w:bookmarkStart w:id="1338" w:name="_Toc26565"/>
      <w:bookmarkStart w:id="1339" w:name="_Toc32465"/>
      <w:bookmarkStart w:id="1340" w:name="_Toc80863339"/>
      <w:bookmarkStart w:id="1341" w:name="_Toc524351875"/>
      <w:bookmarkStart w:id="1342" w:name="_Toc29101"/>
      <w:bookmarkStart w:id="1343" w:name="_Toc26136"/>
      <w:bookmarkStart w:id="1344" w:name="_Toc24687"/>
      <w:bookmarkStart w:id="1345" w:name="_Toc17708"/>
      <w:r>
        <w:rPr>
          <w:rFonts w:ascii="Times New Roman" w:eastAsia="仿宋"/>
          <w:b/>
          <w:sz w:val="30"/>
          <w:szCs w:val="30"/>
        </w:rPr>
        <w:t>总承包人索赔的处理</w:t>
      </w:r>
      <w:bookmarkEnd w:id="1338"/>
      <w:bookmarkEnd w:id="1339"/>
      <w:bookmarkEnd w:id="1340"/>
      <w:bookmarkEnd w:id="1341"/>
      <w:bookmarkEnd w:id="1342"/>
      <w:bookmarkEnd w:id="1343"/>
      <w:bookmarkEnd w:id="1344"/>
      <w:bookmarkEnd w:id="1345"/>
    </w:p>
    <w:p w14:paraId="62476DE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对总承包人索赔的处理如下：</w:t>
      </w:r>
    </w:p>
    <w:p w14:paraId="69508066">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（1）发包人或监理人对索赔报告存在异议的，有权要求总承包人提交全部原始记录副本；</w:t>
      </w:r>
    </w:p>
    <w:p w14:paraId="505AB37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（2）发包人应在收到索赔报告或有关索赔的进一步证明材料后，由发包人向总承包人出具经发包人签认的索赔处理结果。</w:t>
      </w:r>
    </w:p>
    <w:p w14:paraId="42A3404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（3）总承包人接受索赔处理结果的，索赔款项在当期进度款中进行支付；总承包人不接受索赔处理结果的，按照第20条〔争议解决〕约定处理。</w:t>
      </w:r>
    </w:p>
    <w:p w14:paraId="0BE5ED84">
      <w:pPr>
        <w:numPr>
          <w:ilvl w:val="1"/>
          <w:numId w:val="25"/>
        </w:numPr>
        <w:snapToGrid w:val="0"/>
        <w:spacing w:line="560" w:lineRule="exact"/>
        <w:ind w:left="0" w:firstLine="600" w:firstLineChars="200"/>
        <w:rPr>
          <w:rFonts w:ascii="Times New Roman" w:eastAsia="仿宋"/>
          <w:b/>
          <w:sz w:val="30"/>
          <w:szCs w:val="30"/>
        </w:rPr>
      </w:pPr>
      <w:bookmarkStart w:id="1346" w:name="_Toc26911"/>
      <w:bookmarkStart w:id="1347" w:name="_Toc11304"/>
      <w:bookmarkStart w:id="1348" w:name="_Toc30998"/>
      <w:bookmarkStart w:id="1349" w:name="_Toc306"/>
      <w:bookmarkStart w:id="1350" w:name="_Toc7412"/>
      <w:bookmarkStart w:id="1351" w:name="_Toc524351876"/>
      <w:bookmarkStart w:id="1352" w:name="_Toc18714"/>
      <w:bookmarkStart w:id="1353" w:name="_Toc80863340"/>
      <w:r>
        <w:rPr>
          <w:rFonts w:ascii="Times New Roman" w:eastAsia="仿宋"/>
          <w:b/>
          <w:sz w:val="30"/>
          <w:szCs w:val="30"/>
        </w:rPr>
        <w:t>发包人的索赔</w:t>
      </w:r>
      <w:bookmarkEnd w:id="1346"/>
      <w:bookmarkEnd w:id="1347"/>
      <w:bookmarkEnd w:id="1348"/>
      <w:bookmarkEnd w:id="1349"/>
      <w:bookmarkEnd w:id="1350"/>
      <w:bookmarkEnd w:id="1351"/>
      <w:bookmarkEnd w:id="1352"/>
      <w:bookmarkEnd w:id="1353"/>
    </w:p>
    <w:p w14:paraId="0ED58EE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根据合同约定，发包人认为有权得到赔付金额和（或）延长质量保证金保留期或保修期的，发包人应向总承包人发出通知并附有详细的证明。</w:t>
      </w:r>
    </w:p>
    <w:p w14:paraId="31D75B34">
      <w:pPr>
        <w:numPr>
          <w:ilvl w:val="1"/>
          <w:numId w:val="25"/>
        </w:numPr>
        <w:snapToGrid w:val="0"/>
        <w:spacing w:line="560" w:lineRule="exact"/>
        <w:ind w:left="0" w:firstLine="600" w:firstLineChars="200"/>
        <w:rPr>
          <w:rFonts w:ascii="Times New Roman" w:eastAsia="仿宋"/>
          <w:b/>
          <w:sz w:val="30"/>
          <w:szCs w:val="30"/>
        </w:rPr>
      </w:pPr>
      <w:bookmarkStart w:id="1354" w:name="_Toc524351877"/>
      <w:bookmarkStart w:id="1355" w:name="_Toc25953"/>
      <w:bookmarkStart w:id="1356" w:name="_Toc19296"/>
      <w:bookmarkStart w:id="1357" w:name="_Toc26992"/>
      <w:bookmarkStart w:id="1358" w:name="_Toc7431"/>
      <w:bookmarkStart w:id="1359" w:name="_Toc30268"/>
      <w:bookmarkStart w:id="1360" w:name="_Toc80863341"/>
      <w:bookmarkStart w:id="1361" w:name="_Toc16326"/>
      <w:r>
        <w:rPr>
          <w:rFonts w:ascii="Times New Roman" w:eastAsia="仿宋"/>
          <w:b/>
          <w:sz w:val="30"/>
          <w:szCs w:val="30"/>
        </w:rPr>
        <w:t>对发包人索赔的处理</w:t>
      </w:r>
      <w:bookmarkEnd w:id="1354"/>
      <w:bookmarkEnd w:id="1355"/>
      <w:bookmarkEnd w:id="1356"/>
      <w:bookmarkEnd w:id="1357"/>
      <w:bookmarkEnd w:id="1358"/>
      <w:bookmarkEnd w:id="1359"/>
      <w:bookmarkEnd w:id="1360"/>
      <w:bookmarkEnd w:id="1361"/>
    </w:p>
    <w:p w14:paraId="2DD2B15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对发包人索赔的处理如下：</w:t>
      </w:r>
    </w:p>
    <w:p w14:paraId="06E9E2B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（1）总承包人收到发包人提交的索赔报告后，应及时审查索赔报告的内容、查验发包人证明材料；</w:t>
      </w:r>
    </w:p>
    <w:p w14:paraId="55AC7D3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（2）总承包人应在收到索赔报告或有关索赔的进一步证明材料后28天内，将索赔处理结果答复发包人。如果总承包人未在上述期限内作出答复的，则视为对发包人索赔要求的认可；</w:t>
      </w:r>
    </w:p>
    <w:p w14:paraId="554BCFC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（3）总承包人接受索赔处理结果的，发包人可从应支付给总承包人的合同价款中扣除赔付的金额或延长保修期；总承包人不接受索赔处理结果的，按第20条〔争议解决〕约定处理。</w:t>
      </w:r>
    </w:p>
    <w:p w14:paraId="586E5B8F">
      <w:pPr>
        <w:numPr>
          <w:ilvl w:val="1"/>
          <w:numId w:val="25"/>
        </w:numPr>
        <w:snapToGrid w:val="0"/>
        <w:spacing w:line="560" w:lineRule="exact"/>
        <w:ind w:left="0" w:firstLine="600" w:firstLineChars="200"/>
        <w:rPr>
          <w:rFonts w:ascii="Times New Roman" w:eastAsia="仿宋"/>
          <w:b/>
          <w:sz w:val="30"/>
          <w:szCs w:val="30"/>
        </w:rPr>
      </w:pPr>
      <w:bookmarkStart w:id="1362" w:name="_Toc80863342"/>
      <w:bookmarkStart w:id="1363" w:name="_Toc9940"/>
      <w:bookmarkStart w:id="1364" w:name="_Toc22106"/>
      <w:bookmarkStart w:id="1365" w:name="_Toc13800"/>
      <w:bookmarkStart w:id="1366" w:name="_Toc15713"/>
      <w:bookmarkStart w:id="1367" w:name="_Toc17786"/>
      <w:bookmarkStart w:id="1368" w:name="_Toc26202"/>
      <w:bookmarkStart w:id="1369" w:name="_Toc524351878"/>
      <w:r>
        <w:rPr>
          <w:rFonts w:ascii="Times New Roman" w:eastAsia="仿宋"/>
          <w:b/>
          <w:sz w:val="30"/>
          <w:szCs w:val="30"/>
        </w:rPr>
        <w:t>索赔权利的期限</w:t>
      </w:r>
      <w:bookmarkEnd w:id="1362"/>
      <w:bookmarkEnd w:id="1363"/>
      <w:bookmarkEnd w:id="1364"/>
      <w:bookmarkEnd w:id="1365"/>
      <w:bookmarkEnd w:id="1366"/>
      <w:bookmarkEnd w:id="1367"/>
      <w:bookmarkEnd w:id="1368"/>
      <w:bookmarkEnd w:id="1369"/>
    </w:p>
    <w:p w14:paraId="1CBB501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总承包人按第14.2条〔竣工结算审核〕约定签署工程结算书后，即被视为已无权再提出工程验收报告颁发前所发生的任何索赔。</w:t>
      </w:r>
    </w:p>
    <w:p w14:paraId="58FD8090">
      <w:pPr>
        <w:pStyle w:val="4"/>
        <w:jc w:val="left"/>
        <w:rPr>
          <w:rFonts w:ascii="Times New Roman"/>
          <w:lang w:eastAsia="zh-CN"/>
        </w:rPr>
      </w:pPr>
      <w:bookmarkStart w:id="1370" w:name="_Toc524351879"/>
      <w:bookmarkStart w:id="1371" w:name="_Toc8343"/>
      <w:bookmarkStart w:id="1372" w:name="_Toc15601"/>
      <w:bookmarkStart w:id="1373" w:name="_Toc1395"/>
      <w:bookmarkStart w:id="1374" w:name="_Toc82531203"/>
      <w:bookmarkStart w:id="1375" w:name="_Toc30208"/>
      <w:bookmarkStart w:id="1376" w:name="_Toc24097"/>
      <w:bookmarkStart w:id="1377" w:name="_Toc17251"/>
      <w:bookmarkStart w:id="1378" w:name="_Toc80863343"/>
      <w:bookmarkStart w:id="1379" w:name="_Toc3970"/>
      <w:bookmarkStart w:id="1380" w:name="_Toc144742735"/>
      <w:bookmarkStart w:id="1381" w:name="_Toc41499765"/>
      <w:bookmarkStart w:id="1382" w:name="_Toc41574027"/>
      <w:r>
        <w:rPr>
          <w:rFonts w:ascii="Times New Roman"/>
          <w:lang w:eastAsia="zh-CN"/>
        </w:rPr>
        <w:t>20. 争议解决</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103A0336">
      <w:pPr>
        <w:pStyle w:val="50"/>
        <w:numPr>
          <w:ilvl w:val="1"/>
          <w:numId w:val="26"/>
        </w:numPr>
        <w:tabs>
          <w:tab w:val="left" w:pos="0"/>
        </w:tabs>
        <w:snapToGrid w:val="0"/>
        <w:spacing w:line="560" w:lineRule="exact"/>
        <w:ind w:firstLineChars="0"/>
        <w:rPr>
          <w:rFonts w:ascii="Times New Roman" w:eastAsia="仿宋"/>
          <w:b/>
          <w:sz w:val="30"/>
          <w:szCs w:val="30"/>
        </w:rPr>
      </w:pPr>
      <w:bookmarkStart w:id="1383" w:name="_Toc80863344"/>
      <w:bookmarkStart w:id="1384" w:name="_Toc8127"/>
      <w:bookmarkStart w:id="1385" w:name="_Toc2285"/>
      <w:bookmarkStart w:id="1386" w:name="_Toc524351880"/>
      <w:bookmarkStart w:id="1387" w:name="_Toc19049"/>
      <w:bookmarkStart w:id="1388" w:name="_Toc15460"/>
      <w:bookmarkStart w:id="1389" w:name="_Toc6437"/>
      <w:bookmarkStart w:id="1390" w:name="_Toc19889"/>
      <w:r>
        <w:rPr>
          <w:rFonts w:ascii="Times New Roman" w:eastAsia="仿宋"/>
          <w:b/>
          <w:sz w:val="30"/>
          <w:szCs w:val="30"/>
        </w:rPr>
        <w:t>和解</w:t>
      </w:r>
      <w:bookmarkEnd w:id="1383"/>
      <w:bookmarkEnd w:id="1384"/>
      <w:bookmarkEnd w:id="1385"/>
      <w:bookmarkEnd w:id="1386"/>
      <w:bookmarkEnd w:id="1387"/>
      <w:bookmarkEnd w:id="1388"/>
      <w:bookmarkEnd w:id="1389"/>
      <w:bookmarkEnd w:id="1390"/>
    </w:p>
    <w:p w14:paraId="1C99DB8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合同当事人可以就争议自行和解，自行和解达成协议的经双方签字并盖章后作为合同补充文件，双方均应遵照执行。</w:t>
      </w:r>
    </w:p>
    <w:p w14:paraId="55868FC5">
      <w:pPr>
        <w:numPr>
          <w:ilvl w:val="1"/>
          <w:numId w:val="26"/>
        </w:numPr>
        <w:tabs>
          <w:tab w:val="left" w:pos="0"/>
        </w:tabs>
        <w:snapToGrid w:val="0"/>
        <w:spacing w:line="560" w:lineRule="exact"/>
        <w:ind w:left="0" w:firstLine="600" w:firstLineChars="200"/>
        <w:rPr>
          <w:rFonts w:ascii="Times New Roman" w:eastAsia="仿宋"/>
          <w:b/>
          <w:sz w:val="30"/>
          <w:szCs w:val="30"/>
        </w:rPr>
      </w:pPr>
      <w:bookmarkStart w:id="1391" w:name="_Toc2459"/>
      <w:bookmarkStart w:id="1392" w:name="_Toc80863345"/>
      <w:bookmarkStart w:id="1393" w:name="_Toc32684"/>
      <w:bookmarkStart w:id="1394" w:name="_Toc5309"/>
      <w:bookmarkStart w:id="1395" w:name="_Toc9539"/>
      <w:bookmarkStart w:id="1396" w:name="_Toc19924"/>
      <w:bookmarkStart w:id="1397" w:name="_Toc524351881"/>
      <w:bookmarkStart w:id="1398" w:name="_Toc9371"/>
      <w:r>
        <w:rPr>
          <w:rFonts w:ascii="Times New Roman" w:eastAsia="仿宋"/>
          <w:b/>
          <w:sz w:val="30"/>
          <w:szCs w:val="30"/>
        </w:rPr>
        <w:t>调解</w:t>
      </w:r>
      <w:bookmarkEnd w:id="1391"/>
      <w:bookmarkEnd w:id="1392"/>
      <w:bookmarkEnd w:id="1393"/>
      <w:bookmarkEnd w:id="1394"/>
      <w:bookmarkEnd w:id="1395"/>
      <w:bookmarkEnd w:id="1396"/>
      <w:bookmarkEnd w:id="1397"/>
      <w:bookmarkEnd w:id="1398"/>
    </w:p>
    <w:p w14:paraId="2646635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合同当事人可以就争议请求建设行政主管部门、行业协会或其他第三方进行调解，调解达成协议的，经双方签字并盖章后作为合同补充文件，双方均应遵照执行。</w:t>
      </w:r>
    </w:p>
    <w:p w14:paraId="755DD439">
      <w:pPr>
        <w:numPr>
          <w:ilvl w:val="1"/>
          <w:numId w:val="26"/>
        </w:numPr>
        <w:tabs>
          <w:tab w:val="left" w:pos="0"/>
        </w:tabs>
        <w:snapToGrid w:val="0"/>
        <w:spacing w:line="560" w:lineRule="exact"/>
        <w:ind w:left="0" w:firstLine="600" w:firstLineChars="200"/>
        <w:rPr>
          <w:rFonts w:ascii="Times New Roman" w:eastAsia="仿宋"/>
          <w:b/>
          <w:sz w:val="30"/>
          <w:szCs w:val="30"/>
        </w:rPr>
      </w:pPr>
      <w:bookmarkStart w:id="1399" w:name="_Toc19376"/>
      <w:bookmarkStart w:id="1400" w:name="_Toc24025"/>
      <w:bookmarkStart w:id="1401" w:name="_Toc8899"/>
      <w:bookmarkStart w:id="1402" w:name="_Toc30464"/>
      <w:bookmarkStart w:id="1403" w:name="_Toc80863346"/>
      <w:bookmarkStart w:id="1404" w:name="_Toc1548"/>
      <w:bookmarkStart w:id="1405" w:name="_Toc29518"/>
      <w:bookmarkStart w:id="1406" w:name="_Toc524351882"/>
      <w:r>
        <w:rPr>
          <w:rFonts w:ascii="Times New Roman" w:eastAsia="仿宋"/>
          <w:b/>
          <w:sz w:val="30"/>
          <w:szCs w:val="30"/>
        </w:rPr>
        <w:t>诉讼</w:t>
      </w:r>
      <w:bookmarkEnd w:id="1399"/>
      <w:bookmarkEnd w:id="1400"/>
      <w:bookmarkEnd w:id="1401"/>
      <w:bookmarkEnd w:id="1402"/>
      <w:bookmarkEnd w:id="1403"/>
      <w:bookmarkEnd w:id="1404"/>
      <w:bookmarkEnd w:id="1405"/>
      <w:bookmarkEnd w:id="1406"/>
    </w:p>
    <w:p w14:paraId="2BA383D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因合同及合同有关事项产生的争议，合同当事人可向项目所在地的人民法院诉讼解决。</w:t>
      </w:r>
    </w:p>
    <w:p w14:paraId="3B04E588">
      <w:pPr>
        <w:numPr>
          <w:ilvl w:val="1"/>
          <w:numId w:val="26"/>
        </w:numPr>
        <w:tabs>
          <w:tab w:val="left" w:pos="0"/>
        </w:tabs>
        <w:snapToGrid w:val="0"/>
        <w:spacing w:line="560" w:lineRule="exact"/>
        <w:ind w:left="0" w:firstLine="600" w:firstLineChars="200"/>
        <w:rPr>
          <w:rFonts w:ascii="Times New Roman" w:eastAsia="仿宋"/>
          <w:b/>
          <w:sz w:val="30"/>
          <w:szCs w:val="30"/>
        </w:rPr>
      </w:pPr>
      <w:bookmarkStart w:id="1407" w:name="_Toc80863347"/>
      <w:bookmarkStart w:id="1408" w:name="_Toc30932"/>
      <w:bookmarkStart w:id="1409" w:name="_Toc18624"/>
      <w:bookmarkStart w:id="1410" w:name="_Toc524351883"/>
      <w:bookmarkStart w:id="1411" w:name="_Toc17852"/>
      <w:bookmarkStart w:id="1412" w:name="_Toc11825"/>
      <w:bookmarkStart w:id="1413" w:name="_Toc27823"/>
      <w:bookmarkStart w:id="1414" w:name="_Toc7501"/>
      <w:r>
        <w:rPr>
          <w:rFonts w:ascii="Times New Roman" w:eastAsia="仿宋"/>
          <w:b/>
          <w:sz w:val="30"/>
          <w:szCs w:val="30"/>
        </w:rPr>
        <w:t>争议解决条款效力</w:t>
      </w:r>
      <w:bookmarkEnd w:id="1407"/>
      <w:bookmarkEnd w:id="1408"/>
      <w:bookmarkEnd w:id="1409"/>
      <w:bookmarkEnd w:id="1410"/>
      <w:bookmarkEnd w:id="1411"/>
      <w:bookmarkEnd w:id="1412"/>
      <w:bookmarkEnd w:id="1413"/>
      <w:bookmarkEnd w:id="1414"/>
    </w:p>
    <w:p w14:paraId="45E66ED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合同有关争议解决的条款独立存在，合同的变更、解除、终止、无效或者被撤销均不影响其效力。</w:t>
      </w:r>
      <w:bookmarkEnd w:id="961"/>
      <w:bookmarkEnd w:id="962"/>
    </w:p>
    <w:p w14:paraId="34381A08">
      <w:pPr>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br w:type="page"/>
      </w:r>
    </w:p>
    <w:p w14:paraId="674B8783">
      <w:pPr>
        <w:pStyle w:val="3"/>
        <w:rPr>
          <w:rFonts w:ascii="Times New Roman" w:eastAsia="黑体"/>
          <w:b w:val="0"/>
          <w:bCs/>
          <w:sz w:val="32"/>
          <w:szCs w:val="32"/>
          <w:lang w:eastAsia="zh-CN"/>
        </w:rPr>
      </w:pPr>
      <w:bookmarkStart w:id="1415" w:name="_Toc31415"/>
      <w:bookmarkStart w:id="1416" w:name="_Toc82531204"/>
      <w:bookmarkStart w:id="1417" w:name="_Toc80863348"/>
      <w:bookmarkStart w:id="1418" w:name="_Toc41574028"/>
      <w:bookmarkStart w:id="1419" w:name="_Toc144742736"/>
      <w:bookmarkStart w:id="1420" w:name="_Toc41499766"/>
      <w:r>
        <w:rPr>
          <w:rFonts w:ascii="Times New Roman" w:eastAsia="黑体"/>
          <w:b w:val="0"/>
          <w:bCs/>
          <w:sz w:val="32"/>
          <w:szCs w:val="32"/>
          <w:lang w:eastAsia="zh-CN"/>
        </w:rPr>
        <w:t>第三章专用合同条款</w:t>
      </w:r>
      <w:bookmarkEnd w:id="1415"/>
      <w:bookmarkEnd w:id="1416"/>
      <w:bookmarkEnd w:id="1417"/>
      <w:bookmarkEnd w:id="1418"/>
      <w:bookmarkEnd w:id="1419"/>
      <w:bookmarkEnd w:id="1420"/>
      <w:bookmarkStart w:id="1421" w:name="_Toc410206725"/>
      <w:bookmarkStart w:id="1422" w:name="_Toc410203968"/>
      <w:bookmarkStart w:id="1423" w:name="_Toc80863349"/>
    </w:p>
    <w:bookmarkEnd w:id="1421"/>
    <w:bookmarkEnd w:id="1422"/>
    <w:bookmarkEnd w:id="1423"/>
    <w:p w14:paraId="579A87ED">
      <w:pPr>
        <w:pStyle w:val="4"/>
        <w:jc w:val="left"/>
        <w:rPr>
          <w:rFonts w:ascii="Times New Roman"/>
          <w:lang w:eastAsia="zh-CN"/>
        </w:rPr>
      </w:pPr>
      <w:bookmarkStart w:id="1424" w:name="_Toc82531205"/>
      <w:bookmarkStart w:id="1425" w:name="_Toc80863350"/>
      <w:bookmarkStart w:id="1426" w:name="_Toc410206726"/>
      <w:bookmarkStart w:id="1427" w:name="_Toc144742737"/>
      <w:bookmarkStart w:id="1428" w:name="_Toc531858807"/>
      <w:bookmarkStart w:id="1429" w:name="_Toc41499767"/>
      <w:bookmarkStart w:id="1430" w:name="_Toc410203969"/>
      <w:bookmarkStart w:id="1431" w:name="_Toc41574029"/>
      <w:bookmarkStart w:id="1432" w:name="_Toc17763"/>
      <w:r>
        <w:rPr>
          <w:rFonts w:ascii="Times New Roman"/>
          <w:lang w:eastAsia="zh-CN"/>
        </w:rPr>
        <w:t>1</w:t>
      </w:r>
      <w:bookmarkStart w:id="1433" w:name="_Toc297048342"/>
      <w:bookmarkStart w:id="1434" w:name="_Toc296944495"/>
      <w:bookmarkStart w:id="1435" w:name="_Toc296346657"/>
      <w:bookmarkStart w:id="1436" w:name="_Toc296503156"/>
      <w:bookmarkStart w:id="1437" w:name="_Toc292559866"/>
      <w:bookmarkStart w:id="1438" w:name="_Toc297120456"/>
      <w:bookmarkStart w:id="1439" w:name="_Toc296890984"/>
      <w:bookmarkStart w:id="1440" w:name="_Toc292559361"/>
      <w:bookmarkStart w:id="1441" w:name="_Toc296347155"/>
      <w:bookmarkStart w:id="1442" w:name="_Toc296891196"/>
      <w:r>
        <w:rPr>
          <w:rFonts w:ascii="Times New Roman"/>
          <w:lang w:eastAsia="zh-CN"/>
        </w:rPr>
        <w:t>. 一般约定</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5E5D790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1.1 词语定义与解释</w:t>
      </w:r>
    </w:p>
    <w:p w14:paraId="42F9950E">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1.1.1监理人：</w:t>
      </w:r>
    </w:p>
    <w:p w14:paraId="7BD80FC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名称：</w:t>
      </w:r>
      <w:permStart w:id="1" w:edGrp="everyone"/>
      <w:r>
        <w:rPr>
          <w:rFonts w:hint="eastAsia" w:ascii="Times New Roman" w:eastAsia="仿宋"/>
          <w:sz w:val="30"/>
          <w:szCs w:val="30"/>
          <w:lang w:eastAsia="zh-CN"/>
        </w:rPr>
        <w:t xml:space="preserve">         </w:t>
      </w:r>
      <w:permEnd w:id="1"/>
    </w:p>
    <w:p w14:paraId="2AE323E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1.1.2 设计人：</w:t>
      </w:r>
    </w:p>
    <w:p w14:paraId="66E46B0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名称：</w:t>
      </w:r>
      <w:permStart w:id="2" w:edGrp="everyone"/>
      <w:r>
        <w:rPr>
          <w:rFonts w:hint="eastAsia"/>
          <w:sz w:val="28"/>
          <w:szCs w:val="28"/>
          <w:lang w:eastAsia="zh-CN"/>
        </w:rPr>
        <w:t>北京森磊源建筑规划设计有限公司</w:t>
      </w:r>
      <w:permEnd w:id="2"/>
    </w:p>
    <w:p w14:paraId="63EB6BF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1.2 图纸及总承包人文件</w:t>
      </w:r>
    </w:p>
    <w:p w14:paraId="599912C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1.2.1 图纸的提供和</w:t>
      </w:r>
      <w:r>
        <w:rPr>
          <w:rFonts w:hint="eastAsia" w:ascii="Times New Roman" w:eastAsia="仿宋"/>
          <w:sz w:val="30"/>
          <w:szCs w:val="30"/>
          <w:lang w:eastAsia="zh-CN"/>
        </w:rPr>
        <w:t>约定</w:t>
      </w:r>
    </w:p>
    <w:p w14:paraId="607263C3">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发包人开工前免费向总承包人提供</w:t>
      </w:r>
      <w:permStart w:id="3" w:edGrp="everyone"/>
      <w:r>
        <w:rPr>
          <w:rFonts w:ascii="Times New Roman" w:eastAsia="仿宋"/>
          <w:sz w:val="30"/>
          <w:szCs w:val="30"/>
          <w:lang w:eastAsia="zh-CN"/>
        </w:rPr>
        <w:t>3</w:t>
      </w:r>
      <w:permEnd w:id="3"/>
      <w:r>
        <w:rPr>
          <w:rFonts w:hint="eastAsia" w:ascii="Times New Roman" w:eastAsia="仿宋"/>
          <w:sz w:val="30"/>
          <w:szCs w:val="30"/>
          <w:lang w:eastAsia="zh-CN"/>
        </w:rPr>
        <w:t>套图纸。</w:t>
      </w:r>
    </w:p>
    <w:p w14:paraId="1F6A1944">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合同图纸、工程规范和本合同条款及其他合同文件均视为可以互相解释。如总承包人发现该等文件间有任何不一致和</w:t>
      </w:r>
      <w:r>
        <w:rPr>
          <w:rFonts w:ascii="Times New Roman" w:hAnsi="Times New Roman" w:eastAsia="仿宋"/>
          <w:sz w:val="30"/>
          <w:szCs w:val="30"/>
          <w:lang w:eastAsia="zh-CN"/>
        </w:rPr>
        <w:t>/</w:t>
      </w:r>
      <w:r>
        <w:rPr>
          <w:rFonts w:hint="eastAsia" w:ascii="Times New Roman" w:hAnsi="Times New Roman" w:eastAsia="仿宋"/>
          <w:sz w:val="30"/>
          <w:szCs w:val="30"/>
          <w:lang w:eastAsia="zh-CN"/>
        </w:rPr>
        <w:t>或歧异时，必须立刻以书面方式通知</w:t>
      </w:r>
      <w:r>
        <w:rPr>
          <w:rFonts w:hint="eastAsia" w:ascii="Times New Roman" w:hAnsi="Times New Roman" w:eastAsia="仿宋"/>
          <w:sz w:val="30"/>
          <w:szCs w:val="30"/>
        </w:rPr>
        <w:t>发包人</w:t>
      </w:r>
      <w:r>
        <w:rPr>
          <w:rFonts w:hint="eastAsia" w:ascii="Times New Roman" w:hAnsi="Times New Roman" w:eastAsia="仿宋"/>
          <w:sz w:val="30"/>
          <w:szCs w:val="30"/>
          <w:lang w:eastAsia="zh-CN"/>
        </w:rPr>
        <w:t>指出不一致和</w:t>
      </w:r>
      <w:r>
        <w:rPr>
          <w:rFonts w:ascii="Times New Roman" w:hAnsi="Times New Roman" w:eastAsia="仿宋"/>
          <w:sz w:val="30"/>
          <w:szCs w:val="30"/>
          <w:lang w:eastAsia="zh-CN"/>
        </w:rPr>
        <w:t>/</w:t>
      </w:r>
      <w:r>
        <w:rPr>
          <w:rFonts w:hint="eastAsia" w:ascii="Times New Roman" w:hAnsi="Times New Roman" w:eastAsia="仿宋"/>
          <w:sz w:val="30"/>
          <w:szCs w:val="30"/>
          <w:lang w:eastAsia="zh-CN"/>
        </w:rPr>
        <w:t>或歧异，而经</w:t>
      </w:r>
      <w:r>
        <w:rPr>
          <w:rFonts w:hint="eastAsia" w:ascii="Times New Roman" w:hAnsi="Times New Roman" w:eastAsia="仿宋"/>
          <w:sz w:val="30"/>
          <w:szCs w:val="30"/>
        </w:rPr>
        <w:t>发包人</w:t>
      </w:r>
      <w:r>
        <w:rPr>
          <w:rFonts w:hint="eastAsia" w:ascii="Times New Roman" w:hAnsi="Times New Roman" w:eastAsia="仿宋"/>
          <w:sz w:val="30"/>
          <w:szCs w:val="30"/>
          <w:lang w:eastAsia="zh-CN"/>
        </w:rPr>
        <w:t>查核属实后，</w:t>
      </w:r>
      <w:r>
        <w:rPr>
          <w:rFonts w:hint="eastAsia" w:ascii="Times New Roman" w:hAnsi="Times New Roman" w:eastAsia="仿宋"/>
          <w:sz w:val="30"/>
          <w:szCs w:val="30"/>
        </w:rPr>
        <w:t>发包人</w:t>
      </w:r>
      <w:r>
        <w:rPr>
          <w:rFonts w:hint="eastAsia" w:ascii="Times New Roman" w:hAnsi="Times New Roman" w:eastAsia="仿宋"/>
          <w:sz w:val="30"/>
          <w:szCs w:val="30"/>
          <w:lang w:eastAsia="zh-CN"/>
        </w:rPr>
        <w:t>代表应就此发出有关指令。</w:t>
      </w:r>
    </w:p>
    <w:p w14:paraId="44580EFC">
      <w:pPr>
        <w:pStyle w:val="2"/>
        <w:ind w:firstLine="630" w:firstLineChars="210"/>
        <w:rPr>
          <w:rFonts w:ascii="Times New Roman" w:eastAsia="仿宋"/>
          <w:sz w:val="30"/>
          <w:szCs w:val="30"/>
          <w:lang w:eastAsia="zh-CN"/>
        </w:rPr>
      </w:pPr>
      <w:r>
        <w:rPr>
          <w:rFonts w:hint="eastAsia" w:ascii="Times New Roman" w:hAnsi="Times New Roman" w:eastAsia="仿宋"/>
          <w:sz w:val="30"/>
          <w:szCs w:val="30"/>
          <w:lang w:eastAsia="zh-CN"/>
        </w:rPr>
        <w:t>在任何情况下，上述不一致或缺漏的地方必须向</w:t>
      </w:r>
      <w:r>
        <w:rPr>
          <w:rFonts w:hint="eastAsia" w:ascii="Times New Roman" w:hAnsi="Times New Roman" w:eastAsia="仿宋"/>
          <w:sz w:val="30"/>
          <w:szCs w:val="30"/>
        </w:rPr>
        <w:t>发包人</w:t>
      </w:r>
      <w:r>
        <w:rPr>
          <w:rFonts w:hint="eastAsia" w:ascii="Times New Roman" w:hAnsi="Times New Roman" w:eastAsia="仿宋"/>
          <w:sz w:val="30"/>
          <w:szCs w:val="30"/>
          <w:lang w:eastAsia="zh-CN"/>
        </w:rPr>
        <w:t>提出，并在任何订购、制造、安装、施工进行前取得</w:t>
      </w:r>
      <w:r>
        <w:rPr>
          <w:rFonts w:hint="eastAsia" w:ascii="Times New Roman" w:hAnsi="Times New Roman" w:eastAsia="仿宋"/>
          <w:sz w:val="30"/>
          <w:szCs w:val="30"/>
        </w:rPr>
        <w:t>发包人</w:t>
      </w:r>
      <w:r>
        <w:rPr>
          <w:rFonts w:hint="eastAsia" w:ascii="Times New Roman" w:hAnsi="Times New Roman" w:eastAsia="仿宋"/>
          <w:sz w:val="30"/>
          <w:szCs w:val="30"/>
          <w:lang w:eastAsia="zh-CN"/>
        </w:rPr>
        <w:t>的指示，其指示为最终决定，承包人不得索偿任何因遵照指示而产生的工期延长或费用补偿。</w:t>
      </w:r>
    </w:p>
    <w:p w14:paraId="0143A5C1">
      <w:pPr>
        <w:ind w:firstLine="630" w:firstLineChars="210"/>
        <w:rPr>
          <w:rFonts w:ascii="Times New Roman" w:eastAsia="仿宋"/>
          <w:sz w:val="30"/>
          <w:szCs w:val="30"/>
          <w:lang w:eastAsia="zh-CN"/>
        </w:rPr>
      </w:pPr>
      <w:r>
        <w:rPr>
          <w:rFonts w:ascii="Times New Roman" w:eastAsia="仿宋"/>
          <w:sz w:val="30"/>
          <w:szCs w:val="30"/>
          <w:lang w:eastAsia="zh-CN"/>
        </w:rPr>
        <w:t>1.2.2</w:t>
      </w:r>
      <w:r>
        <w:rPr>
          <w:rFonts w:hint="eastAsia" w:ascii="Times New Roman" w:eastAsia="仿宋"/>
          <w:sz w:val="30"/>
          <w:szCs w:val="30"/>
          <w:lang w:eastAsia="zh-CN"/>
        </w:rPr>
        <w:t xml:space="preserve"> 深化设计及施工方案</w:t>
      </w:r>
    </w:p>
    <w:p w14:paraId="1B3A862D">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rPr>
        <w:t>承包人</w:t>
      </w:r>
      <w:r>
        <w:rPr>
          <w:rFonts w:hint="eastAsia" w:ascii="Times New Roman" w:hAnsi="Times New Roman" w:eastAsia="仿宋"/>
          <w:sz w:val="30"/>
          <w:szCs w:val="30"/>
          <w:lang w:eastAsia="zh-CN"/>
        </w:rPr>
        <w:t xml:space="preserve">向监理或有关部门提供自承建部分所必须的深化设计图纸、施工方案、计算资料。深化设计包括但不限于：管综图、精装铺砖排版图、铝板排版图、商铺门头装修排版图、设备基础深化图、标识深化图、干休所首层主通道处文化长廊深化图、景观铺砖排版图。               </w:t>
      </w:r>
    </w:p>
    <w:p w14:paraId="2F3A3482">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承包人进行深化设计、因深化设计引起的工程量变更、施工过程中使用新产品新技术更新替代所需的费用等，均已包含在签约合同价中，承包人不得因此而要求补偿此类费用。</w:t>
      </w:r>
    </w:p>
    <w:p w14:paraId="66FD1B21">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提供按规定需进行专家论证、当局</w:t>
      </w:r>
      <w:r>
        <w:rPr>
          <w:rFonts w:ascii="Times New Roman" w:hAnsi="Times New Roman" w:eastAsia="仿宋"/>
          <w:sz w:val="30"/>
          <w:szCs w:val="30"/>
          <w:lang w:eastAsia="zh-CN"/>
        </w:rPr>
        <w:t>/</w:t>
      </w:r>
      <w:r>
        <w:rPr>
          <w:rFonts w:hint="eastAsia" w:ascii="Times New Roman" w:hAnsi="Times New Roman" w:eastAsia="仿宋"/>
          <w:sz w:val="30"/>
          <w:szCs w:val="30"/>
          <w:lang w:eastAsia="zh-CN"/>
        </w:rPr>
        <w:t>设计单位</w:t>
      </w:r>
      <w:r>
        <w:rPr>
          <w:rFonts w:ascii="Times New Roman" w:hAnsi="Times New Roman" w:eastAsia="仿宋"/>
          <w:sz w:val="30"/>
          <w:szCs w:val="30"/>
          <w:lang w:eastAsia="zh-CN"/>
        </w:rPr>
        <w:t>/</w:t>
      </w:r>
      <w:r>
        <w:rPr>
          <w:rFonts w:hint="eastAsia" w:ascii="Times New Roman" w:hAnsi="Times New Roman" w:eastAsia="仿宋"/>
          <w:sz w:val="30"/>
          <w:szCs w:val="30"/>
          <w:lang w:eastAsia="zh-CN"/>
        </w:rPr>
        <w:t>发包人批准的方案，负责论证</w:t>
      </w:r>
      <w:r>
        <w:rPr>
          <w:rFonts w:ascii="Times New Roman" w:hAnsi="Times New Roman" w:eastAsia="仿宋"/>
          <w:sz w:val="30"/>
          <w:szCs w:val="30"/>
          <w:lang w:eastAsia="zh-CN"/>
        </w:rPr>
        <w:t>/</w:t>
      </w:r>
      <w:r>
        <w:rPr>
          <w:rFonts w:hint="eastAsia" w:ascii="Times New Roman" w:hAnsi="Times New Roman" w:eastAsia="仿宋"/>
          <w:sz w:val="30"/>
          <w:szCs w:val="30"/>
          <w:lang w:eastAsia="zh-CN"/>
        </w:rPr>
        <w:t>送审通过并负责所有费用。</w:t>
      </w:r>
    </w:p>
    <w:p w14:paraId="1706B684">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审核指定分包</w:t>
      </w:r>
      <w:r>
        <w:rPr>
          <w:rFonts w:ascii="Times New Roman" w:hAnsi="Times New Roman" w:eastAsia="仿宋"/>
          <w:sz w:val="30"/>
          <w:szCs w:val="30"/>
          <w:lang w:eastAsia="zh-CN"/>
        </w:rPr>
        <w:t>/</w:t>
      </w:r>
      <w:r>
        <w:rPr>
          <w:rFonts w:hint="eastAsia" w:ascii="Times New Roman" w:hAnsi="Times New Roman" w:eastAsia="仿宋"/>
          <w:sz w:val="30"/>
          <w:szCs w:val="30"/>
          <w:lang w:eastAsia="zh-CN"/>
        </w:rPr>
        <w:t>独立分包商的施工方案，并结合其施工方案进行总包工程施工组织的优化</w:t>
      </w:r>
    </w:p>
    <w:p w14:paraId="7794A8F0">
      <w:pPr>
        <w:pStyle w:val="2"/>
        <w:ind w:firstLine="630" w:firstLineChars="210"/>
        <w:rPr>
          <w:rFonts w:ascii="Times New Roman" w:eastAsia="仿宋"/>
          <w:sz w:val="30"/>
          <w:szCs w:val="30"/>
          <w:lang w:eastAsia="zh-CN"/>
        </w:rPr>
      </w:pPr>
      <w:r>
        <w:rPr>
          <w:rFonts w:hint="eastAsia" w:ascii="Times New Roman" w:hAnsi="Times New Roman" w:eastAsia="仿宋"/>
          <w:sz w:val="30"/>
          <w:szCs w:val="30"/>
          <w:lang w:eastAsia="zh-CN"/>
        </w:rPr>
        <w:t>结合公司第三方评估细则，编制各阶段评估策划文件，以及评估后的总结及专项提升改进方案。</w:t>
      </w:r>
    </w:p>
    <w:p w14:paraId="1D21E7DD">
      <w:pPr>
        <w:ind w:firstLine="480"/>
        <w:rPr>
          <w:rFonts w:ascii="Times New Roman" w:eastAsia="仿宋"/>
          <w:sz w:val="30"/>
          <w:szCs w:val="30"/>
          <w:lang w:eastAsia="zh-CN"/>
        </w:rPr>
      </w:pPr>
      <w:r>
        <w:rPr>
          <w:rFonts w:ascii="Times New Roman" w:eastAsia="仿宋"/>
          <w:sz w:val="30"/>
          <w:szCs w:val="30"/>
          <w:lang w:eastAsia="zh-CN"/>
        </w:rPr>
        <w:t>1.2.3</w:t>
      </w:r>
      <w:r>
        <w:rPr>
          <w:rFonts w:hint="eastAsia" w:ascii="Times New Roman" w:eastAsia="仿宋"/>
          <w:sz w:val="30"/>
          <w:szCs w:val="30"/>
          <w:lang w:eastAsia="zh-CN"/>
        </w:rPr>
        <w:t xml:space="preserve"> 竣工图</w:t>
      </w:r>
    </w:p>
    <w:p w14:paraId="38C8D9AF">
      <w:pPr>
        <w:pStyle w:val="2"/>
        <w:ind w:firstLine="480"/>
        <w:rPr>
          <w:rFonts w:ascii="Times New Roman" w:eastAsia="仿宋"/>
          <w:sz w:val="30"/>
          <w:szCs w:val="30"/>
          <w:u w:val="single"/>
          <w:lang w:eastAsia="zh-CN"/>
        </w:rPr>
      </w:pPr>
      <w:r>
        <w:rPr>
          <w:rFonts w:hint="eastAsia" w:ascii="Times New Roman" w:hAnsi="Times New Roman" w:eastAsia="仿宋"/>
          <w:sz w:val="30"/>
          <w:szCs w:val="30"/>
          <w:lang w:eastAsia="zh-CN"/>
        </w:rPr>
        <w:t>承接范围内竣工图暂定提供六份，按实际需求补充。</w:t>
      </w:r>
    </w:p>
    <w:p w14:paraId="0C53E49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1.3 联络</w:t>
      </w:r>
    </w:p>
    <w:p w14:paraId="097562C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发包人联系方式：</w:t>
      </w:r>
    </w:p>
    <w:p w14:paraId="775B31A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联系地址：</w:t>
      </w:r>
      <w:permStart w:id="4" w:edGrp="everyone"/>
      <w:r>
        <w:rPr>
          <w:rFonts w:hint="eastAsia" w:ascii="Times New Roman" w:eastAsia="仿宋"/>
          <w:sz w:val="30"/>
          <w:szCs w:val="30"/>
          <w:u w:val="single"/>
          <w:lang w:eastAsia="zh-CN"/>
        </w:rPr>
        <w:t>广州市越秀区东风中路</w:t>
      </w:r>
      <w:r>
        <w:rPr>
          <w:rFonts w:ascii="Times New Roman" w:eastAsia="仿宋"/>
          <w:sz w:val="30"/>
          <w:szCs w:val="30"/>
          <w:u w:val="single"/>
          <w:lang w:eastAsia="zh-CN"/>
        </w:rPr>
        <w:t>389</w:t>
      </w:r>
      <w:r>
        <w:rPr>
          <w:rFonts w:hint="eastAsia" w:ascii="Times New Roman" w:eastAsia="仿宋"/>
          <w:sz w:val="30"/>
          <w:szCs w:val="30"/>
          <w:u w:val="single"/>
          <w:lang w:eastAsia="zh-CN"/>
        </w:rPr>
        <w:t>号壬丰商务大厦</w:t>
      </w:r>
      <w:r>
        <w:rPr>
          <w:rFonts w:ascii="Times New Roman" w:eastAsia="仿宋"/>
          <w:sz w:val="30"/>
          <w:szCs w:val="30"/>
          <w:u w:val="single"/>
          <w:lang w:eastAsia="zh-CN"/>
        </w:rPr>
        <w:t>19</w:t>
      </w:r>
      <w:r>
        <w:rPr>
          <w:rFonts w:hint="eastAsia" w:ascii="Times New Roman" w:eastAsia="仿宋"/>
          <w:sz w:val="30"/>
          <w:szCs w:val="30"/>
          <w:u w:val="single"/>
          <w:lang w:eastAsia="zh-CN"/>
        </w:rPr>
        <w:t>楼</w:t>
      </w:r>
    </w:p>
    <w:permEnd w:id="4"/>
    <w:p w14:paraId="008D9B55">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联系人：</w:t>
      </w:r>
      <w:r>
        <w:rPr>
          <w:rFonts w:hint="eastAsia" w:ascii="Times New Roman" w:eastAsia="仿宋"/>
          <w:sz w:val="30"/>
          <w:szCs w:val="30"/>
          <w:u w:val="single"/>
          <w:lang w:eastAsia="zh-CN"/>
        </w:rPr>
        <w:t>王英宇</w:t>
      </w:r>
    </w:p>
    <w:p w14:paraId="538CCB7E">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固定电话：</w:t>
      </w:r>
    </w:p>
    <w:p w14:paraId="5B6782C8">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手机：</w:t>
      </w:r>
      <w:r>
        <w:rPr>
          <w:rFonts w:hint="eastAsia" w:ascii="Times New Roman" w:eastAsia="仿宋"/>
          <w:sz w:val="30"/>
          <w:szCs w:val="30"/>
          <w:u w:val="single"/>
          <w:lang w:eastAsia="zh-CN"/>
        </w:rPr>
        <w:t>15999999196</w:t>
      </w:r>
    </w:p>
    <w:p w14:paraId="2D11081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电子邮箱：</w:t>
      </w:r>
    </w:p>
    <w:p w14:paraId="016F9D7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总承包人联系方式：</w:t>
      </w:r>
    </w:p>
    <w:p w14:paraId="31F7B80A">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联系地址：</w:t>
      </w:r>
      <w:r>
        <w:rPr>
          <w:rFonts w:hint="eastAsia" w:ascii="Times New Roman" w:eastAsia="仿宋"/>
          <w:sz w:val="30"/>
          <w:szCs w:val="30"/>
          <w:u w:val="single"/>
          <w:lang w:eastAsia="zh-CN"/>
        </w:rPr>
        <w:t xml:space="preserve">        </w:t>
      </w:r>
    </w:p>
    <w:p w14:paraId="075C361F">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联系人：</w:t>
      </w:r>
      <w:r>
        <w:rPr>
          <w:rFonts w:hint="eastAsia" w:ascii="Times New Roman" w:eastAsia="仿宋"/>
          <w:sz w:val="30"/>
          <w:szCs w:val="30"/>
          <w:lang w:eastAsia="zh-CN"/>
        </w:rPr>
        <w:t xml:space="preserve"> </w:t>
      </w:r>
      <w:r>
        <w:rPr>
          <w:rFonts w:hint="eastAsia" w:ascii="Times New Roman" w:eastAsia="仿宋"/>
          <w:sz w:val="30"/>
          <w:szCs w:val="30"/>
          <w:u w:val="single"/>
          <w:lang w:eastAsia="zh-CN"/>
        </w:rPr>
        <w:t xml:space="preserve">        </w:t>
      </w:r>
    </w:p>
    <w:p w14:paraId="7795041C">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固定电话：</w:t>
      </w:r>
      <w:r>
        <w:rPr>
          <w:rFonts w:hint="eastAsia" w:ascii="Times New Roman" w:eastAsia="仿宋"/>
          <w:sz w:val="30"/>
          <w:szCs w:val="30"/>
          <w:u w:val="single"/>
          <w:lang w:eastAsia="zh-CN"/>
        </w:rPr>
        <w:t xml:space="preserve">      </w:t>
      </w:r>
      <w:r>
        <w:rPr>
          <w:rFonts w:hint="eastAsia" w:ascii="Times New Roman" w:eastAsia="仿宋"/>
          <w:sz w:val="30"/>
          <w:szCs w:val="30"/>
          <w:lang w:eastAsia="zh-CN"/>
        </w:rPr>
        <w:t xml:space="preserve"> </w:t>
      </w:r>
    </w:p>
    <w:p w14:paraId="2ACB9B40">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手机：</w:t>
      </w:r>
      <w:r>
        <w:rPr>
          <w:rFonts w:hint="eastAsia" w:ascii="Times New Roman" w:eastAsia="仿宋"/>
          <w:sz w:val="30"/>
          <w:szCs w:val="30"/>
          <w:lang w:eastAsia="zh-CN"/>
        </w:rPr>
        <w:t xml:space="preserve"> </w:t>
      </w:r>
      <w:r>
        <w:rPr>
          <w:rFonts w:hint="eastAsia" w:ascii="Times New Roman" w:eastAsia="仿宋"/>
          <w:sz w:val="30"/>
          <w:szCs w:val="30"/>
          <w:u w:val="single"/>
          <w:lang w:eastAsia="zh-CN"/>
        </w:rPr>
        <w:t xml:space="preserve">        </w:t>
      </w:r>
      <w:r>
        <w:rPr>
          <w:rFonts w:hint="eastAsia" w:ascii="Times New Roman" w:eastAsia="仿宋"/>
          <w:sz w:val="30"/>
          <w:szCs w:val="30"/>
          <w:lang w:eastAsia="zh-CN"/>
        </w:rPr>
        <w:t xml:space="preserve">  </w:t>
      </w:r>
    </w:p>
    <w:p w14:paraId="600FA5DD">
      <w:pPr>
        <w:snapToGrid w:val="0"/>
        <w:spacing w:line="560" w:lineRule="exact"/>
        <w:ind w:firstLine="600" w:firstLineChars="200"/>
        <w:rPr>
          <w:rFonts w:ascii="Times New Roman" w:eastAsiaTheme="minorEastAsia"/>
          <w:sz w:val="30"/>
          <w:szCs w:val="30"/>
          <w:lang w:eastAsia="zh-CN"/>
        </w:rPr>
      </w:pPr>
      <w:r>
        <w:rPr>
          <w:rFonts w:ascii="Times New Roman" w:eastAsia="仿宋"/>
          <w:sz w:val="30"/>
          <w:szCs w:val="30"/>
          <w:lang w:eastAsia="zh-CN"/>
        </w:rPr>
        <w:t>电子邮箱：</w:t>
      </w:r>
      <w:bookmarkStart w:id="1443" w:name="_Toc410206727"/>
      <w:bookmarkStart w:id="1444" w:name="_Toc144742738"/>
      <w:bookmarkStart w:id="1445" w:name="_Toc41574030"/>
      <w:bookmarkStart w:id="1446" w:name="_Toc531858808"/>
      <w:bookmarkStart w:id="1447" w:name="_Toc5615"/>
      <w:bookmarkStart w:id="1448" w:name="_Toc80863351"/>
      <w:bookmarkStart w:id="1449" w:name="_Toc41499768"/>
      <w:bookmarkStart w:id="1450" w:name="_Toc82531206"/>
      <w:bookmarkStart w:id="1451" w:name="_Toc410203970"/>
    </w:p>
    <w:p w14:paraId="535AF14A">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w:t>
      </w:r>
      <w:bookmarkStart w:id="1452" w:name="_Toc297048343"/>
      <w:bookmarkStart w:id="1453" w:name="_Toc292559362"/>
      <w:bookmarkStart w:id="1454" w:name="_Toc297120457"/>
      <w:bookmarkStart w:id="1455" w:name="_Toc296503157"/>
      <w:bookmarkStart w:id="1456" w:name="_Toc296347156"/>
      <w:bookmarkStart w:id="1457" w:name="_Toc296891197"/>
      <w:bookmarkStart w:id="1458" w:name="_Toc296346658"/>
      <w:bookmarkStart w:id="1459" w:name="_Toc296944496"/>
      <w:bookmarkStart w:id="1460" w:name="_Toc296890985"/>
      <w:bookmarkStart w:id="1461" w:name="_Toc292559867"/>
      <w:r>
        <w:rPr>
          <w:rFonts w:ascii="Times New Roman" w:eastAsia="仿宋"/>
          <w:sz w:val="30"/>
          <w:szCs w:val="30"/>
          <w:lang w:eastAsia="zh-CN"/>
        </w:rPr>
        <w:t>. 发包人</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62E79433">
      <w:pPr>
        <w:tabs>
          <w:tab w:val="left" w:pos="567"/>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2.1 发包人代表</w:t>
      </w:r>
    </w:p>
    <w:p w14:paraId="692D4D1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发包人代表：</w:t>
      </w:r>
    </w:p>
    <w:p w14:paraId="09F2EF5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姓名：</w:t>
      </w:r>
      <w:permStart w:id="5" w:edGrp="everyone"/>
      <w:r>
        <w:rPr>
          <w:rFonts w:hint="eastAsia" w:ascii="Times New Roman" w:eastAsia="仿宋"/>
          <w:sz w:val="30"/>
          <w:szCs w:val="30"/>
          <w:u w:val="single"/>
          <w:lang w:eastAsia="zh-CN"/>
        </w:rPr>
        <w:t>王英宇</w:t>
      </w:r>
      <w:permEnd w:id="5"/>
      <w:r>
        <w:rPr>
          <w:rFonts w:ascii="Times New Roman" w:eastAsia="仿宋"/>
          <w:sz w:val="30"/>
          <w:szCs w:val="30"/>
          <w:lang w:eastAsia="zh-CN"/>
        </w:rPr>
        <w:t>；</w:t>
      </w:r>
    </w:p>
    <w:p w14:paraId="47D4350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联系电话：</w:t>
      </w:r>
      <w:permStart w:id="6" w:edGrp="everyone"/>
      <w:r>
        <w:rPr>
          <w:rFonts w:hint="eastAsia" w:ascii="Times New Roman" w:eastAsia="仿宋"/>
          <w:sz w:val="30"/>
          <w:szCs w:val="30"/>
          <w:u w:val="single"/>
          <w:lang w:eastAsia="zh-CN"/>
        </w:rPr>
        <w:t>15999999196</w:t>
      </w:r>
      <w:r>
        <w:rPr>
          <w:rFonts w:ascii="Times New Roman" w:eastAsia="仿宋"/>
          <w:sz w:val="30"/>
          <w:szCs w:val="30"/>
          <w:lang w:eastAsia="zh-CN"/>
        </w:rPr>
        <w:t>。</w:t>
      </w:r>
      <w:permEnd w:id="6"/>
    </w:p>
    <w:p w14:paraId="3303C46F">
      <w:pPr>
        <w:tabs>
          <w:tab w:val="left" w:pos="567"/>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2.2 发包人办公室</w:t>
      </w:r>
    </w:p>
    <w:p w14:paraId="32939D35">
      <w:pPr>
        <w:snapToGrid w:val="0"/>
        <w:spacing w:line="560" w:lineRule="exact"/>
        <w:ind w:firstLine="600" w:firstLineChars="200"/>
        <w:rPr>
          <w:rFonts w:ascii="Times New Roman" w:eastAsia="仿宋"/>
          <w:sz w:val="30"/>
          <w:szCs w:val="30"/>
          <w:lang w:eastAsia="zh-CN"/>
        </w:rPr>
      </w:pPr>
      <w:permStart w:id="7" w:edGrp="everyone"/>
      <w:r>
        <w:rPr>
          <w:rFonts w:ascii="Times New Roman" w:eastAsia="仿宋"/>
          <w:sz w:val="30"/>
          <w:szCs w:val="30"/>
          <w:u w:val="single"/>
          <w:lang w:eastAsia="zh-CN"/>
        </w:rPr>
        <w:t>发包人、监理人在施工现场的办公室均需总承包人搭设提供（总承包人为发包人、监理人提供的现场办公条件设施一览表详附件9），含后期的管理、维护、清洁、水电及拆除均须由总承包人负责，所需费用由总承包人承担，与此有关之一切费用包括但不限于搭拆、管理、维护、清洁及水电费用等均已包含。</w:t>
      </w:r>
    </w:p>
    <w:permEnd w:id="7"/>
    <w:p w14:paraId="6402CDA6">
      <w:pPr>
        <w:pStyle w:val="4"/>
        <w:jc w:val="left"/>
        <w:rPr>
          <w:rFonts w:ascii="Times New Roman"/>
          <w:lang w:eastAsia="zh-CN"/>
        </w:rPr>
      </w:pPr>
      <w:bookmarkStart w:id="1462" w:name="_Toc410203971"/>
      <w:bookmarkStart w:id="1463" w:name="_Toc410206728"/>
      <w:bookmarkStart w:id="1464" w:name="_Toc41499769"/>
      <w:bookmarkStart w:id="1465" w:name="_Toc82531207"/>
      <w:bookmarkStart w:id="1466" w:name="_Toc144742739"/>
      <w:bookmarkStart w:id="1467" w:name="_Toc7408"/>
      <w:bookmarkStart w:id="1468" w:name="_Toc531858809"/>
      <w:bookmarkStart w:id="1469" w:name="_Toc41574031"/>
      <w:bookmarkStart w:id="1470" w:name="_Toc80863352"/>
      <w:r>
        <w:rPr>
          <w:rFonts w:ascii="Times New Roman"/>
          <w:lang w:eastAsia="zh-CN"/>
        </w:rPr>
        <w:t>3</w:t>
      </w:r>
      <w:bookmarkStart w:id="1471" w:name="_Toc297120458"/>
      <w:bookmarkStart w:id="1472" w:name="_Toc292559363"/>
      <w:bookmarkStart w:id="1473" w:name="_Toc292559868"/>
      <w:bookmarkStart w:id="1474" w:name="_Toc296891198"/>
      <w:bookmarkStart w:id="1475" w:name="_Toc296503158"/>
      <w:bookmarkStart w:id="1476" w:name="_Toc296890986"/>
      <w:bookmarkStart w:id="1477" w:name="_Toc297048344"/>
      <w:bookmarkStart w:id="1478" w:name="_Toc296944497"/>
      <w:bookmarkStart w:id="1479" w:name="_Toc296346659"/>
      <w:bookmarkStart w:id="1480" w:name="_Toc296347157"/>
      <w:r>
        <w:rPr>
          <w:rFonts w:ascii="Times New Roman"/>
          <w:lang w:eastAsia="zh-CN"/>
        </w:rPr>
        <w:t xml:space="preserve">. </w:t>
      </w:r>
      <w:bookmarkEnd w:id="1462"/>
      <w:bookmarkEnd w:id="1463"/>
      <w:r>
        <w:rPr>
          <w:rFonts w:ascii="Times New Roman"/>
          <w:lang w:eastAsia="zh-CN"/>
        </w:rPr>
        <w:t>总承包人</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5A98398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3.1 总承包人的一般义务</w:t>
      </w:r>
    </w:p>
    <w:p w14:paraId="1CE3391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（1）社会保障费若由发包人代缴后的扣回方式：</w:t>
      </w:r>
      <w:permStart w:id="8" w:edGrp="everyone"/>
      <w:r>
        <w:rPr>
          <w:rFonts w:hint="eastAsia" w:ascii="Times New Roman" w:eastAsia="仿宋"/>
          <w:sz w:val="30"/>
          <w:szCs w:val="30"/>
          <w:lang w:eastAsia="zh-CN"/>
        </w:rPr>
        <w:t>发包人于任何情况下均不予代缴社会保障费。</w:t>
      </w:r>
    </w:p>
    <w:permEnd w:id="8"/>
    <w:p w14:paraId="54132EA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社会保障费特别约定：</w:t>
      </w:r>
      <w:permStart w:id="9" w:edGrp="everyone"/>
      <w:r>
        <w:rPr>
          <w:rFonts w:hint="eastAsia" w:ascii="Times New Roman" w:eastAsia="仿宋"/>
          <w:sz w:val="30"/>
          <w:szCs w:val="30"/>
          <w:lang w:eastAsia="zh-CN"/>
        </w:rPr>
        <w:t>/</w:t>
      </w:r>
      <w:permEnd w:id="9"/>
    </w:p>
    <w:p w14:paraId="7EF0C48E">
      <w:pPr>
        <w:snapToGrid w:val="0"/>
        <w:spacing w:line="560" w:lineRule="exact"/>
        <w:ind w:firstLine="420"/>
        <w:rPr>
          <w:rFonts w:ascii="Times New Roman" w:eastAsia="仿宋"/>
          <w:sz w:val="30"/>
          <w:szCs w:val="30"/>
        </w:rPr>
      </w:pPr>
      <w:r>
        <w:rPr>
          <w:rFonts w:ascii="Times New Roman" w:eastAsia="仿宋"/>
          <w:sz w:val="30"/>
          <w:szCs w:val="30"/>
          <w:lang w:eastAsia="zh-CN"/>
        </w:rPr>
        <w:t>（2）农民工工资保证金若由发包人代缴后的扣回方式：</w:t>
      </w:r>
      <w:permStart w:id="10" w:edGrp="everyone"/>
      <w:r>
        <w:rPr>
          <w:rFonts w:hint="eastAsia" w:ascii="Times New Roman" w:eastAsia="仿宋"/>
          <w:sz w:val="30"/>
          <w:szCs w:val="30"/>
          <w:lang w:eastAsia="zh-CN"/>
        </w:rPr>
        <w:t>任何情况下</w:t>
      </w:r>
      <w:r>
        <w:rPr>
          <w:rFonts w:ascii="Times New Roman" w:eastAsia="仿宋"/>
          <w:sz w:val="30"/>
          <w:szCs w:val="30"/>
          <w:lang w:eastAsia="zh-CN"/>
        </w:rPr>
        <w:t>农民工工资保证金</w:t>
      </w:r>
      <w:r>
        <w:rPr>
          <w:rFonts w:hint="eastAsia" w:ascii="Times New Roman" w:eastAsia="仿宋"/>
          <w:sz w:val="30"/>
          <w:szCs w:val="30"/>
          <w:lang w:eastAsia="zh-CN"/>
        </w:rPr>
        <w:t>均由总承包单位缴纳</w:t>
      </w:r>
      <w:r>
        <w:rPr>
          <w:rFonts w:hint="eastAsia" w:ascii="Times New Roman" w:eastAsia="仿宋"/>
          <w:sz w:val="30"/>
          <w:szCs w:val="30"/>
        </w:rPr>
        <w:t>，</w:t>
      </w:r>
      <w:r>
        <w:rPr>
          <w:rFonts w:ascii="Times New Roman" w:eastAsia="仿宋"/>
          <w:sz w:val="30"/>
          <w:szCs w:val="30"/>
        </w:rPr>
        <w:t>若</w:t>
      </w:r>
      <w:r>
        <w:rPr>
          <w:rFonts w:hint="eastAsia" w:ascii="Times New Roman" w:eastAsia="仿宋"/>
          <w:sz w:val="30"/>
          <w:szCs w:val="30"/>
        </w:rPr>
        <w:t>因故发生</w:t>
      </w:r>
      <w:r>
        <w:rPr>
          <w:rFonts w:ascii="Times New Roman" w:eastAsia="仿宋"/>
          <w:sz w:val="30"/>
          <w:szCs w:val="30"/>
        </w:rPr>
        <w:t>发包人代缴</w:t>
      </w:r>
      <w:r>
        <w:rPr>
          <w:rFonts w:hint="eastAsia" w:ascii="Times New Roman" w:eastAsia="仿宋"/>
          <w:sz w:val="30"/>
          <w:szCs w:val="30"/>
        </w:rPr>
        <w:t>情况</w:t>
      </w:r>
      <w:r>
        <w:rPr>
          <w:rFonts w:ascii="Times New Roman" w:eastAsia="仿宋"/>
          <w:sz w:val="30"/>
          <w:szCs w:val="30"/>
        </w:rPr>
        <w:t>，则</w:t>
      </w:r>
      <w:r>
        <w:rPr>
          <w:rFonts w:hint="eastAsia" w:ascii="Times New Roman" w:eastAsia="仿宋"/>
          <w:sz w:val="30"/>
          <w:szCs w:val="30"/>
        </w:rPr>
        <w:t>发包人有权</w:t>
      </w:r>
      <w:r>
        <w:rPr>
          <w:rFonts w:ascii="Times New Roman" w:eastAsia="仿宋"/>
          <w:sz w:val="30"/>
          <w:szCs w:val="30"/>
        </w:rPr>
        <w:t>从最近一期工程款扣回</w:t>
      </w:r>
    </w:p>
    <w:permEnd w:id="10"/>
    <w:p w14:paraId="75B17544">
      <w:pPr>
        <w:snapToGrid w:val="0"/>
        <w:spacing w:line="560" w:lineRule="exact"/>
        <w:ind w:firstLine="420"/>
        <w:rPr>
          <w:rFonts w:ascii="Times New Roman" w:eastAsia="仿宋"/>
          <w:sz w:val="30"/>
          <w:szCs w:val="30"/>
          <w:lang w:eastAsia="zh-CN"/>
        </w:rPr>
      </w:pPr>
      <w:r>
        <w:rPr>
          <w:rFonts w:ascii="Times New Roman" w:eastAsia="仿宋"/>
          <w:sz w:val="30"/>
          <w:szCs w:val="30"/>
          <w:lang w:eastAsia="zh-CN"/>
        </w:rPr>
        <w:t>（3）总承包人应按月向发包人提交已完成工程量报告，经发包人审核后，将发包人确认的工程量清单对应人工费用部分单独</w:t>
      </w:r>
      <w:permStart w:id="11" w:edGrp="everyone"/>
      <w:r>
        <w:rPr>
          <w:rFonts w:ascii="Times New Roman" w:eastAsia="仿宋"/>
          <w:sz w:val="30"/>
          <w:szCs w:val="30"/>
          <w:lang w:eastAsia="zh-CN"/>
        </w:rPr>
        <w:t>按月</w:t>
      </w:r>
      <w:permEnd w:id="11"/>
      <w:r>
        <w:rPr>
          <w:rFonts w:ascii="Times New Roman" w:eastAsia="仿宋"/>
          <w:sz w:val="30"/>
          <w:szCs w:val="30"/>
          <w:lang w:eastAsia="zh-CN"/>
        </w:rPr>
        <w:t>支付。</w:t>
      </w:r>
    </w:p>
    <w:p w14:paraId="33ECB14F">
      <w:pPr>
        <w:snapToGrid w:val="0"/>
        <w:spacing w:line="560" w:lineRule="exact"/>
        <w:ind w:firstLine="420"/>
        <w:rPr>
          <w:rFonts w:ascii="Times New Roman" w:eastAsia="PMingLiU"/>
          <w:sz w:val="30"/>
          <w:szCs w:val="30"/>
          <w:lang w:eastAsia="zh-CN"/>
        </w:rPr>
      </w:pPr>
      <w:r>
        <w:rPr>
          <w:rFonts w:hint="eastAsia" w:ascii="Times New Roman" w:eastAsia="仿宋"/>
          <w:sz w:val="30"/>
          <w:szCs w:val="30"/>
          <w:lang w:eastAsia="zh-CN"/>
        </w:rPr>
        <w:t>（</w:t>
      </w:r>
      <w:r>
        <w:rPr>
          <w:rFonts w:ascii="Times New Roman" w:eastAsia="仿宋"/>
          <w:sz w:val="30"/>
          <w:szCs w:val="30"/>
          <w:lang w:eastAsia="zh-CN"/>
        </w:rPr>
        <w:t>4</w:t>
      </w:r>
      <w:r>
        <w:rPr>
          <w:rFonts w:hint="eastAsia" w:ascii="Times New Roman" w:eastAsia="仿宋"/>
          <w:sz w:val="30"/>
          <w:szCs w:val="30"/>
          <w:lang w:eastAsia="zh-CN"/>
        </w:rPr>
        <w:t>）总承包人应当按照有关规定开设农民工工资专用账户，专项用于支付该工程建设项目农民工工资。</w:t>
      </w:r>
      <w:permStart w:id="12" w:edGrp="everyone"/>
      <w:r>
        <w:rPr>
          <w:rFonts w:hint="eastAsia" w:ascii="Times New Roman" w:eastAsia="仿宋"/>
          <w:sz w:val="30"/>
          <w:szCs w:val="30"/>
          <w:lang w:eastAsia="zh-CN"/>
        </w:rPr>
        <w:t>发包人将应付进度款金额中的</w:t>
      </w:r>
      <w:r>
        <w:rPr>
          <w:rFonts w:ascii="Times New Roman" w:eastAsia="仿宋"/>
          <w:sz w:val="30"/>
          <w:szCs w:val="30"/>
          <w:lang w:eastAsia="zh-CN"/>
        </w:rPr>
        <w:t>30%</w:t>
      </w:r>
      <w:permEnd w:id="12"/>
      <w:r>
        <w:rPr>
          <w:rFonts w:hint="eastAsia" w:ascii="Times New Roman" w:eastAsia="仿宋"/>
          <w:sz w:val="30"/>
          <w:szCs w:val="30"/>
          <w:lang w:eastAsia="zh-CN"/>
        </w:rPr>
        <w:t>（人工费）支付至农民工工资专用账户，总承包人如实提供农民工工资表及工人考勤，不得拖欠分包人及农民工工资。若发生拖欠农民工工资的事实、讨薪、闹薪事件每次罚款伍万元，且发包人有权从应付总承包人的工程款范围内对农民工直接支付或申请相关部门使用农民工工资保证金账户资金后从应付总承包人的工程款范围内资金补足农民工保证金账户。</w:t>
      </w:r>
    </w:p>
    <w:p w14:paraId="1A5AE411">
      <w:pPr>
        <w:pStyle w:val="2"/>
        <w:snapToGrid w:val="0"/>
        <w:spacing w:line="560" w:lineRule="exact"/>
        <w:ind w:firstLine="420"/>
        <w:rPr>
          <w:rFonts w:ascii="Times New Roman" w:hAnsi="Times New Roman" w:eastAsia="仿宋"/>
          <w:sz w:val="30"/>
          <w:szCs w:val="30"/>
          <w:highlight w:val="red"/>
          <w:lang w:eastAsia="zh-CN"/>
        </w:rPr>
      </w:pPr>
      <w:r>
        <w:rPr>
          <w:rFonts w:hint="eastAsia" w:ascii="Times New Roman" w:hAnsi="Times New Roman" w:eastAsia="仿宋"/>
          <w:sz w:val="30"/>
          <w:szCs w:val="30"/>
          <w:highlight w:val="red"/>
          <w:lang w:eastAsia="zh-CN"/>
        </w:rPr>
        <w:t>总承包人于本合同签订后一个星期之内办理好共管账户，并上报发包人审核；所有款项发包人均支付至共管账户。</w:t>
      </w:r>
    </w:p>
    <w:p w14:paraId="2BEC14C7">
      <w:pPr>
        <w:rPr>
          <w:rFonts w:ascii="Times New Roman" w:eastAsia="仿宋"/>
          <w:sz w:val="30"/>
          <w:szCs w:val="30"/>
          <w:lang w:eastAsia="zh-CN"/>
        </w:rPr>
      </w:pPr>
      <w:r>
        <w:rPr>
          <w:rFonts w:hint="eastAsia" w:ascii="Times New Roman" w:eastAsia="仿宋"/>
          <w:sz w:val="30"/>
          <w:szCs w:val="30"/>
          <w:lang w:eastAsia="zh-CN"/>
        </w:rPr>
        <w:t>（</w:t>
      </w:r>
      <w:r>
        <w:rPr>
          <w:rFonts w:ascii="Times New Roman" w:eastAsia="仿宋"/>
          <w:sz w:val="30"/>
          <w:szCs w:val="30"/>
          <w:lang w:eastAsia="zh-CN"/>
        </w:rPr>
        <w:t>5</w:t>
      </w:r>
      <w:r>
        <w:rPr>
          <w:rFonts w:hint="eastAsia" w:ascii="Times New Roman" w:eastAsia="仿宋"/>
          <w:sz w:val="30"/>
          <w:szCs w:val="30"/>
          <w:lang w:eastAsia="zh-CN"/>
        </w:rPr>
        <w:t>）质量</w:t>
      </w:r>
    </w:p>
    <w:p w14:paraId="1AE5DD67">
      <w:pPr>
        <w:ind w:firstLine="600" w:firstLineChars="200"/>
        <w:rPr>
          <w:rFonts w:ascii="Times New Roman" w:eastAsia="仿宋"/>
          <w:sz w:val="30"/>
          <w:szCs w:val="30"/>
          <w:lang w:eastAsia="zh-CN"/>
        </w:rPr>
      </w:pPr>
      <w:r>
        <w:rPr>
          <w:rFonts w:hint="eastAsia" w:ascii="Times New Roman" w:eastAsia="仿宋"/>
          <w:sz w:val="30"/>
          <w:szCs w:val="30"/>
          <w:lang w:eastAsia="zh-CN"/>
        </w:rPr>
        <w:t>负责整个项目之质量控制（包括对指定分包质量负责）达到合同要求。</w:t>
      </w:r>
    </w:p>
    <w:p w14:paraId="7F6B7A5A">
      <w:pPr>
        <w:ind w:firstLine="600" w:firstLineChars="200"/>
        <w:rPr>
          <w:rFonts w:ascii="Times New Roman" w:eastAsia="仿宋"/>
          <w:sz w:val="30"/>
          <w:szCs w:val="30"/>
          <w:lang w:eastAsia="zh-CN"/>
        </w:rPr>
      </w:pPr>
      <w:r>
        <w:rPr>
          <w:rFonts w:hint="eastAsia" w:ascii="Times New Roman" w:eastAsia="仿宋"/>
          <w:sz w:val="30"/>
          <w:szCs w:val="30"/>
          <w:lang w:eastAsia="zh-CN"/>
        </w:rPr>
        <w:t>负责各分包（包括指定分包、独立分包</w:t>
      </w:r>
      <w:r>
        <w:rPr>
          <w:rFonts w:ascii="Times New Roman" w:eastAsia="仿宋"/>
          <w:sz w:val="30"/>
          <w:szCs w:val="30"/>
          <w:lang w:eastAsia="zh-CN"/>
        </w:rPr>
        <w:t>)</w:t>
      </w:r>
      <w:r>
        <w:rPr>
          <w:rFonts w:hint="eastAsia" w:ascii="Times New Roman" w:eastAsia="仿宋"/>
          <w:sz w:val="30"/>
          <w:szCs w:val="30"/>
          <w:lang w:eastAsia="zh-CN"/>
        </w:rPr>
        <w:t>进场前质量交底，工作面移交、过程检查、监督整改并将相关管控痕迹和管控记录提供给发包人。</w:t>
      </w:r>
    </w:p>
    <w:p w14:paraId="5941C8E7">
      <w:pPr>
        <w:ind w:firstLine="600" w:firstLineChars="200"/>
        <w:rPr>
          <w:rFonts w:ascii="Times New Roman" w:eastAsia="仿宋"/>
          <w:sz w:val="30"/>
          <w:szCs w:val="30"/>
          <w:lang w:eastAsia="zh-CN"/>
        </w:rPr>
      </w:pPr>
      <w:r>
        <w:rPr>
          <w:rFonts w:hint="eastAsia" w:ascii="Times New Roman" w:eastAsia="仿宋"/>
          <w:sz w:val="30"/>
          <w:szCs w:val="30"/>
          <w:lang w:eastAsia="zh-CN"/>
        </w:rPr>
        <w:t>负责整个项目（包括指定分包、独立分包）满足公司第三方评估检查标准及要求、发包人巡检等工作。</w:t>
      </w:r>
    </w:p>
    <w:p w14:paraId="4BC529A6">
      <w:pPr>
        <w:pStyle w:val="2"/>
        <w:rPr>
          <w:rFonts w:ascii="Times New Roman" w:eastAsia="仿宋"/>
          <w:sz w:val="30"/>
          <w:szCs w:val="30"/>
          <w:lang w:eastAsia="zh-CN"/>
        </w:rPr>
      </w:pPr>
      <w:r>
        <w:rPr>
          <w:rFonts w:hint="eastAsia" w:ascii="Times New Roman" w:hAnsi="Times New Roman" w:eastAsia="仿宋"/>
          <w:sz w:val="30"/>
          <w:szCs w:val="30"/>
          <w:lang w:eastAsia="zh-CN"/>
        </w:rPr>
        <w:t>（</w:t>
      </w:r>
      <w:r>
        <w:rPr>
          <w:rFonts w:ascii="Times New Roman" w:hAnsi="Times New Roman" w:eastAsia="仿宋"/>
          <w:sz w:val="30"/>
          <w:szCs w:val="30"/>
          <w:lang w:eastAsia="zh-CN"/>
        </w:rPr>
        <w:t>6</w:t>
      </w:r>
      <w:r>
        <w:rPr>
          <w:rFonts w:hint="eastAsia" w:ascii="Times New Roman" w:hAnsi="Times New Roman" w:eastAsia="仿宋"/>
          <w:sz w:val="30"/>
          <w:szCs w:val="30"/>
          <w:lang w:eastAsia="zh-CN"/>
        </w:rPr>
        <w:t>）工期</w:t>
      </w:r>
    </w:p>
    <w:p w14:paraId="65DB9613">
      <w:pPr>
        <w:ind w:firstLine="600" w:firstLineChars="200"/>
        <w:rPr>
          <w:rFonts w:ascii="Times New Roman" w:eastAsia="仿宋"/>
          <w:sz w:val="30"/>
          <w:szCs w:val="30"/>
          <w:lang w:eastAsia="zh-CN"/>
        </w:rPr>
      </w:pPr>
      <w:r>
        <w:rPr>
          <w:rFonts w:hint="eastAsia" w:ascii="Times New Roman" w:eastAsia="仿宋"/>
          <w:sz w:val="30"/>
          <w:szCs w:val="30"/>
          <w:lang w:eastAsia="zh-CN"/>
        </w:rPr>
        <w:t>负责总体项目的施工进度（包括指定分包工程、独立工程），确保完成合同工期节点。</w:t>
      </w:r>
    </w:p>
    <w:p w14:paraId="34194FC3">
      <w:pPr>
        <w:ind w:firstLine="600" w:firstLineChars="200"/>
        <w:rPr>
          <w:rFonts w:ascii="Times New Roman" w:eastAsia="仿宋"/>
          <w:sz w:val="30"/>
          <w:szCs w:val="30"/>
          <w:lang w:eastAsia="zh-CN"/>
        </w:rPr>
      </w:pPr>
      <w:r>
        <w:rPr>
          <w:rFonts w:hint="eastAsia" w:ascii="Times New Roman" w:eastAsia="仿宋"/>
          <w:sz w:val="30"/>
          <w:szCs w:val="30"/>
          <w:lang w:eastAsia="zh-CN"/>
        </w:rPr>
        <w:t>负责各分包（包括指定分包、独立分包</w:t>
      </w:r>
      <w:r>
        <w:rPr>
          <w:rFonts w:ascii="Times New Roman" w:eastAsia="仿宋"/>
          <w:sz w:val="30"/>
          <w:szCs w:val="30"/>
          <w:lang w:eastAsia="zh-CN"/>
        </w:rPr>
        <w:t>)</w:t>
      </w:r>
      <w:r>
        <w:rPr>
          <w:rFonts w:hint="eastAsia" w:ascii="Times New Roman" w:eastAsia="仿宋"/>
          <w:sz w:val="30"/>
          <w:szCs w:val="30"/>
          <w:lang w:eastAsia="zh-CN"/>
        </w:rPr>
        <w:t>进场前工期交底，并将相关交底记录提供给发包人。</w:t>
      </w:r>
    </w:p>
    <w:p w14:paraId="4A15C527">
      <w:pPr>
        <w:ind w:firstLine="600" w:firstLineChars="200"/>
        <w:rPr>
          <w:rFonts w:ascii="Times New Roman" w:eastAsia="仿宋"/>
          <w:sz w:val="30"/>
          <w:szCs w:val="30"/>
          <w:lang w:eastAsia="zh-CN"/>
        </w:rPr>
      </w:pPr>
      <w:r>
        <w:rPr>
          <w:rFonts w:hint="eastAsia" w:ascii="Times New Roman" w:eastAsia="仿宋"/>
          <w:sz w:val="30"/>
          <w:szCs w:val="30"/>
          <w:lang w:eastAsia="zh-CN"/>
        </w:rPr>
        <w:t>负责对各分包人施工进度进行管控。负责整个项目（包括指定分包、独立分包）满足公司第三方评估检查标准及要求、发包人巡检等工作。</w:t>
      </w:r>
    </w:p>
    <w:p w14:paraId="403956CA">
      <w:pPr>
        <w:pStyle w:val="2"/>
        <w:ind w:firstLine="473"/>
        <w:rPr>
          <w:rFonts w:ascii="Times New Roman" w:eastAsia="仿宋"/>
          <w:sz w:val="30"/>
          <w:szCs w:val="30"/>
          <w:lang w:eastAsia="zh-CN"/>
        </w:rPr>
      </w:pPr>
      <w:r>
        <w:rPr>
          <w:rFonts w:hint="eastAsia" w:ascii="Times New Roman" w:hAnsi="Times New Roman" w:eastAsia="仿宋"/>
          <w:sz w:val="30"/>
          <w:szCs w:val="30"/>
          <w:lang w:eastAsia="zh-CN"/>
        </w:rPr>
        <w:t>（</w:t>
      </w:r>
      <w:r>
        <w:rPr>
          <w:rFonts w:ascii="Times New Roman" w:hAnsi="Times New Roman" w:eastAsia="仿宋"/>
          <w:sz w:val="30"/>
          <w:szCs w:val="30"/>
          <w:lang w:eastAsia="zh-CN"/>
        </w:rPr>
        <w:t>7</w:t>
      </w:r>
      <w:r>
        <w:rPr>
          <w:rFonts w:hint="eastAsia" w:ascii="Times New Roman" w:hAnsi="Times New Roman" w:eastAsia="仿宋"/>
          <w:sz w:val="30"/>
          <w:szCs w:val="30"/>
          <w:lang w:eastAsia="zh-CN"/>
        </w:rPr>
        <w:t>）安全文明</w:t>
      </w:r>
    </w:p>
    <w:p w14:paraId="72C35341">
      <w:pPr>
        <w:ind w:firstLine="473"/>
        <w:rPr>
          <w:rFonts w:ascii="Times New Roman" w:eastAsia="仿宋"/>
          <w:sz w:val="30"/>
          <w:szCs w:val="30"/>
          <w:lang w:eastAsia="zh-CN"/>
        </w:rPr>
      </w:pPr>
      <w:r>
        <w:rPr>
          <w:rFonts w:hint="eastAsia" w:ascii="Times New Roman" w:eastAsia="仿宋"/>
          <w:sz w:val="30"/>
          <w:szCs w:val="30"/>
          <w:lang w:eastAsia="zh-CN"/>
        </w:rPr>
        <w:t>负责整个项目的安全文明施工工作，以确保达到合同要求。</w:t>
      </w:r>
    </w:p>
    <w:p w14:paraId="4A5DD694">
      <w:pPr>
        <w:ind w:firstLine="473"/>
        <w:rPr>
          <w:rFonts w:ascii="Times New Roman" w:eastAsia="仿宋"/>
          <w:sz w:val="30"/>
          <w:szCs w:val="30"/>
          <w:lang w:eastAsia="zh-CN"/>
        </w:rPr>
      </w:pPr>
      <w:r>
        <w:rPr>
          <w:rFonts w:hint="eastAsia" w:ascii="Times New Roman" w:eastAsia="仿宋"/>
          <w:sz w:val="30"/>
          <w:szCs w:val="30"/>
          <w:lang w:eastAsia="zh-CN"/>
        </w:rPr>
        <w:t>负责各分包（包括指定分包、独立分包</w:t>
      </w:r>
      <w:r>
        <w:rPr>
          <w:rFonts w:ascii="Times New Roman" w:eastAsia="仿宋"/>
          <w:sz w:val="30"/>
          <w:szCs w:val="30"/>
          <w:lang w:eastAsia="zh-CN"/>
        </w:rPr>
        <w:t>)</w:t>
      </w:r>
      <w:r>
        <w:rPr>
          <w:rFonts w:hint="eastAsia" w:ascii="Times New Roman" w:eastAsia="仿宋"/>
          <w:sz w:val="30"/>
          <w:szCs w:val="30"/>
          <w:lang w:eastAsia="zh-CN"/>
        </w:rPr>
        <w:t>进场前安全文明施工的交底，并将相关交底记录提供给发包人。</w:t>
      </w:r>
    </w:p>
    <w:p w14:paraId="0CFDD03F">
      <w:pPr>
        <w:ind w:firstLine="473"/>
        <w:rPr>
          <w:rFonts w:ascii="Times New Roman" w:eastAsia="仿宋"/>
          <w:sz w:val="30"/>
          <w:szCs w:val="30"/>
          <w:lang w:eastAsia="zh-CN"/>
        </w:rPr>
      </w:pPr>
      <w:r>
        <w:rPr>
          <w:rFonts w:hint="eastAsia" w:ascii="Times New Roman" w:eastAsia="仿宋"/>
          <w:sz w:val="30"/>
          <w:szCs w:val="30"/>
          <w:lang w:eastAsia="zh-CN"/>
        </w:rPr>
        <w:t>负责整个项目（包括指定分包、独立分包）满足公司第三方评估检查标准及要求、发包人巡检等工作。</w:t>
      </w:r>
    </w:p>
    <w:p w14:paraId="002ACA9F">
      <w:pPr>
        <w:ind w:firstLine="473"/>
        <w:rPr>
          <w:rFonts w:ascii="Times New Roman" w:eastAsia="仿宋"/>
          <w:sz w:val="30"/>
          <w:szCs w:val="30"/>
          <w:lang w:eastAsia="zh-CN"/>
        </w:rPr>
      </w:pPr>
      <w:r>
        <w:rPr>
          <w:rFonts w:hint="eastAsia" w:ascii="Times New Roman" w:eastAsia="仿宋"/>
          <w:sz w:val="30"/>
          <w:szCs w:val="30"/>
          <w:lang w:eastAsia="zh-CN"/>
        </w:rPr>
        <w:t>不仅负责自承建部分的安全文明施工，也负责交叉作业工作面、施工通道、工地出入口等公共区域的安全文明施工管理，并且连带负责指定分包安全文明施工控制。</w:t>
      </w:r>
    </w:p>
    <w:p w14:paraId="04ABDF0D">
      <w:pPr>
        <w:ind w:firstLine="473"/>
        <w:rPr>
          <w:rFonts w:ascii="Times New Roman" w:eastAsia="仿宋"/>
          <w:sz w:val="30"/>
          <w:szCs w:val="30"/>
          <w:lang w:eastAsia="zh-CN"/>
        </w:rPr>
      </w:pPr>
      <w:r>
        <w:rPr>
          <w:rFonts w:hint="eastAsia" w:ascii="Times New Roman" w:eastAsia="仿宋"/>
          <w:sz w:val="30"/>
          <w:szCs w:val="30"/>
          <w:lang w:eastAsia="zh-CN"/>
        </w:rPr>
        <w:t>负责红线外附近相关的安全文明施工以满足政府检查。</w:t>
      </w:r>
    </w:p>
    <w:p w14:paraId="5098AC6C">
      <w:pPr>
        <w:ind w:firstLine="473"/>
        <w:rPr>
          <w:rFonts w:eastAsiaTheme="minorEastAsia"/>
          <w:szCs w:val="21"/>
          <w:lang w:eastAsia="zh-CN"/>
        </w:rPr>
      </w:pPr>
      <w:r>
        <w:rPr>
          <w:rFonts w:hint="eastAsia" w:ascii="Times New Roman" w:eastAsia="仿宋"/>
          <w:sz w:val="30"/>
          <w:szCs w:val="30"/>
          <w:lang w:eastAsia="zh-CN"/>
        </w:rPr>
        <w:t>向发包人申报安全文明资金使用计划及实际使用台账。</w:t>
      </w:r>
    </w:p>
    <w:p w14:paraId="0C1B840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w:t>
      </w:r>
      <w:r>
        <w:rPr>
          <w:rFonts w:hint="eastAsia" w:ascii="Times New Roman" w:eastAsia="仿宋"/>
          <w:sz w:val="30"/>
          <w:szCs w:val="30"/>
          <w:lang w:eastAsia="zh-CN"/>
        </w:rPr>
        <w:t>8</w:t>
      </w:r>
      <w:r>
        <w:rPr>
          <w:rFonts w:ascii="Times New Roman" w:eastAsia="仿宋"/>
          <w:sz w:val="30"/>
          <w:szCs w:val="30"/>
          <w:lang w:eastAsia="zh-CN"/>
        </w:rPr>
        <w:t>）总承包人应履行的其他义务：</w:t>
      </w:r>
      <w:bookmarkStart w:id="1481" w:name="_Hlk533618060"/>
      <w:r>
        <w:rPr>
          <w:rFonts w:ascii="Times New Roman" w:eastAsia="仿宋"/>
          <w:sz w:val="30"/>
          <w:szCs w:val="30"/>
          <w:lang w:eastAsia="zh-CN"/>
        </w:rPr>
        <w:t>按照技术标准和要求通用条款和专用条款中约定总承包人应履行其他义务。</w:t>
      </w:r>
      <w:bookmarkEnd w:id="1481"/>
    </w:p>
    <w:p w14:paraId="16A43372">
      <w:pPr>
        <w:snapToGrid w:val="0"/>
        <w:spacing w:line="560" w:lineRule="exact"/>
        <w:ind w:firstLine="600" w:firstLineChars="200"/>
        <w:rPr>
          <w:rFonts w:ascii="Times New Roman" w:eastAsia="仿宋"/>
          <w:sz w:val="30"/>
          <w:szCs w:val="30"/>
          <w:lang w:eastAsia="zh-CN"/>
        </w:rPr>
      </w:pPr>
      <w:bookmarkStart w:id="1482" w:name="_Toc312677990"/>
      <w:bookmarkStart w:id="1483" w:name="_Toc318581159"/>
      <w:r>
        <w:rPr>
          <w:rFonts w:ascii="Times New Roman" w:eastAsia="仿宋"/>
          <w:sz w:val="30"/>
          <w:szCs w:val="30"/>
          <w:lang w:eastAsia="zh-CN"/>
        </w:rPr>
        <w:t>3.</w:t>
      </w:r>
      <w:bookmarkStart w:id="1484" w:name="_Toc14990"/>
      <w:r>
        <w:rPr>
          <w:rFonts w:ascii="Times New Roman" w:eastAsia="仿宋"/>
          <w:sz w:val="30"/>
          <w:szCs w:val="30"/>
          <w:lang w:eastAsia="zh-CN"/>
        </w:rPr>
        <w:t>2 总承包人前期现场查勘</w:t>
      </w:r>
      <w:bookmarkEnd w:id="1484"/>
      <w:r>
        <w:rPr>
          <w:rFonts w:ascii="Times New Roman" w:eastAsia="仿宋"/>
          <w:sz w:val="30"/>
          <w:szCs w:val="30"/>
          <w:lang w:eastAsia="zh-CN"/>
        </w:rPr>
        <w:t>及开工进场后接收现场</w:t>
      </w:r>
    </w:p>
    <w:p w14:paraId="3456536A">
      <w:pPr>
        <w:snapToGrid w:val="0"/>
        <w:spacing w:line="560" w:lineRule="exact"/>
        <w:ind w:firstLine="600" w:firstLineChars="200"/>
        <w:rPr>
          <w:rFonts w:ascii="Times New Roman" w:eastAsia="仿宋"/>
          <w:sz w:val="30"/>
          <w:szCs w:val="30"/>
          <w:u w:val="single"/>
          <w:lang w:eastAsia="zh-CN"/>
        </w:rPr>
      </w:pPr>
      <w:permStart w:id="13" w:edGrp="everyone"/>
      <w:bookmarkStart w:id="1485" w:name="_Hlk533618091"/>
      <w:r>
        <w:rPr>
          <w:rFonts w:ascii="Times New Roman" w:eastAsia="仿宋"/>
          <w:sz w:val="30"/>
          <w:szCs w:val="30"/>
          <w:u w:val="single"/>
          <w:lang w:eastAsia="zh-CN"/>
        </w:rPr>
        <w:t>（1）除非另有要求，总承包人所有的现场考察均应在投标前完成。由此产生的相关费用由总承包人自行</w:t>
      </w:r>
      <w:r>
        <w:rPr>
          <w:rFonts w:hint="eastAsia" w:ascii="Times New Roman" w:eastAsia="仿宋"/>
          <w:sz w:val="30"/>
          <w:szCs w:val="30"/>
          <w:u w:val="single"/>
          <w:lang w:eastAsia="zh-CN"/>
        </w:rPr>
        <w:t>承担</w:t>
      </w:r>
      <w:r>
        <w:rPr>
          <w:rFonts w:ascii="Times New Roman" w:eastAsia="仿宋"/>
          <w:sz w:val="30"/>
          <w:szCs w:val="30"/>
          <w:u w:val="single"/>
          <w:lang w:eastAsia="zh-CN"/>
        </w:rPr>
        <w:t>，并将费用包含在报价内，</w:t>
      </w:r>
      <w:r>
        <w:rPr>
          <w:rFonts w:hint="eastAsia" w:ascii="Times New Roman" w:eastAsia="仿宋"/>
          <w:sz w:val="30"/>
          <w:szCs w:val="30"/>
          <w:u w:val="single"/>
          <w:lang w:eastAsia="zh-CN"/>
        </w:rPr>
        <w:t>总承包人</w:t>
      </w:r>
      <w:r>
        <w:rPr>
          <w:rFonts w:ascii="Times New Roman" w:eastAsia="仿宋"/>
          <w:sz w:val="30"/>
          <w:szCs w:val="30"/>
          <w:u w:val="single"/>
          <w:lang w:eastAsia="zh-CN"/>
        </w:rPr>
        <w:t>不得以任何理由提出任何形式的补偿要求。总承包人因未按要求做出前述了解而于</w:t>
      </w:r>
      <w:r>
        <w:rPr>
          <w:rFonts w:hint="eastAsia" w:ascii="Times New Roman" w:eastAsia="仿宋"/>
          <w:sz w:val="30"/>
          <w:szCs w:val="30"/>
          <w:u w:val="single"/>
          <w:lang w:eastAsia="zh-CN"/>
        </w:rPr>
        <w:t>本合同签订</w:t>
      </w:r>
      <w:r>
        <w:rPr>
          <w:rFonts w:ascii="Times New Roman" w:eastAsia="仿宋"/>
          <w:sz w:val="30"/>
          <w:szCs w:val="30"/>
          <w:u w:val="single"/>
          <w:lang w:eastAsia="zh-CN"/>
        </w:rPr>
        <w:t>后再对已提交投标文件提出的任何修改，一概不获接纳。</w:t>
      </w:r>
    </w:p>
    <w:p w14:paraId="6ECAC96B">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u w:val="single"/>
          <w:lang w:eastAsia="zh-CN"/>
        </w:rPr>
        <w:t>（2）总承包人应提前与发包人之联系人取得联系以了解安排详情，并对工程现场及其周围环境进行现场考察。考察现场的费用由总承包人自行承担。</w:t>
      </w:r>
    </w:p>
    <w:p w14:paraId="749E0BBF">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u w:val="single"/>
          <w:lang w:eastAsia="zh-CN"/>
        </w:rPr>
        <w:t>（3）总承包人及其人员不得因现场考察使发包人及其人员承担任何的责任和蒙受损失。总承包人并应对由此踏勘现场而造成的死亡、人身伤害、财产损失、损害以及任何其它损失、损害和引起的后果承担责任。</w:t>
      </w:r>
    </w:p>
    <w:p w14:paraId="6E35A495">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u w:val="single"/>
          <w:lang w:eastAsia="zh-CN"/>
        </w:rPr>
        <w:t>（4）如果总承包人认为需要再次进行现场踏勘，发包人将予以支持，但必须以书面形式向发包人提出申请，费用由总承包人自理</w:t>
      </w:r>
      <w:bookmarkEnd w:id="1485"/>
      <w:r>
        <w:rPr>
          <w:rFonts w:hint="eastAsia" w:ascii="Times New Roman" w:eastAsia="仿宋"/>
          <w:sz w:val="30"/>
          <w:szCs w:val="30"/>
          <w:u w:val="single"/>
          <w:lang w:eastAsia="zh-CN"/>
        </w:rPr>
        <w:t>。</w:t>
      </w:r>
    </w:p>
    <w:p w14:paraId="1AF7CE42">
      <w:pPr>
        <w:snapToGrid w:val="0"/>
        <w:spacing w:line="560" w:lineRule="exact"/>
        <w:ind w:firstLine="600" w:firstLineChars="200"/>
        <w:rPr>
          <w:rFonts w:ascii="Times New Roman" w:eastAsia="仿宋"/>
          <w:sz w:val="30"/>
          <w:szCs w:val="30"/>
          <w:u w:val="single"/>
          <w:lang w:eastAsia="zh-CN"/>
        </w:rPr>
      </w:pPr>
      <w:r>
        <w:rPr>
          <w:rFonts w:hint="eastAsia" w:ascii="Times New Roman" w:eastAsia="仿宋"/>
          <w:sz w:val="30"/>
          <w:szCs w:val="30"/>
          <w:u w:val="single"/>
          <w:lang w:eastAsia="zh-CN"/>
        </w:rPr>
        <w:t>（</w:t>
      </w:r>
      <w:r>
        <w:rPr>
          <w:rFonts w:ascii="Times New Roman" w:eastAsia="仿宋"/>
          <w:sz w:val="30"/>
          <w:szCs w:val="30"/>
          <w:u w:val="single"/>
          <w:lang w:eastAsia="zh-CN"/>
        </w:rPr>
        <w:t>5</w:t>
      </w:r>
      <w:r>
        <w:rPr>
          <w:rFonts w:hint="eastAsia" w:ascii="Times New Roman" w:eastAsia="仿宋"/>
          <w:sz w:val="30"/>
          <w:szCs w:val="30"/>
          <w:u w:val="single"/>
          <w:lang w:eastAsia="zh-CN"/>
        </w:rPr>
        <w:t>）总承包人在投标前对所有即将移交的建筑物进行勘验，包括但不限于出入口、围墙、临时道路及出入口加固工程、施工用水</w:t>
      </w:r>
      <w:r>
        <w:rPr>
          <w:rFonts w:ascii="Times New Roman" w:eastAsia="仿宋"/>
          <w:sz w:val="30"/>
          <w:szCs w:val="30"/>
          <w:u w:val="single"/>
          <w:lang w:eastAsia="zh-CN"/>
        </w:rPr>
        <w:t>/</w:t>
      </w:r>
      <w:r>
        <w:rPr>
          <w:rFonts w:hint="eastAsia" w:ascii="Times New Roman" w:eastAsia="仿宋"/>
          <w:sz w:val="30"/>
          <w:szCs w:val="30"/>
          <w:u w:val="single"/>
          <w:lang w:eastAsia="zh-CN"/>
        </w:rPr>
        <w:t>用电、建筑物内现有装饰装修、设施设备等。如有任何损坏或与移交状态不符，应及时向发包人提出，若总承包投标时未提出，则视为一切已移交的建筑物状态均与移交单状态相符。</w:t>
      </w:r>
    </w:p>
    <w:p w14:paraId="2FB083A2">
      <w:pPr>
        <w:ind w:firstLine="480"/>
        <w:rPr>
          <w:rFonts w:ascii="Times New Roman" w:eastAsia="仿宋"/>
          <w:sz w:val="30"/>
          <w:szCs w:val="30"/>
          <w:u w:val="single"/>
          <w:lang w:eastAsia="zh-CN"/>
        </w:rPr>
      </w:pPr>
      <w:r>
        <w:rPr>
          <w:rFonts w:hint="eastAsia" w:ascii="Times New Roman" w:eastAsia="仿宋"/>
          <w:sz w:val="30"/>
          <w:szCs w:val="30"/>
          <w:u w:val="single"/>
          <w:lang w:eastAsia="zh-CN"/>
        </w:rPr>
        <w:t>（</w:t>
      </w:r>
      <w:r>
        <w:rPr>
          <w:rFonts w:ascii="Times New Roman" w:eastAsia="仿宋"/>
          <w:sz w:val="30"/>
          <w:szCs w:val="30"/>
          <w:u w:val="single"/>
          <w:lang w:eastAsia="zh-CN"/>
        </w:rPr>
        <w:t>6</w:t>
      </w:r>
      <w:r>
        <w:rPr>
          <w:rFonts w:hint="eastAsia" w:ascii="Times New Roman" w:eastAsia="仿宋"/>
          <w:sz w:val="30"/>
          <w:szCs w:val="30"/>
          <w:u w:val="single"/>
          <w:lang w:eastAsia="zh-CN"/>
        </w:rPr>
        <w:t>）总承包人开工进场前，应在发包人组织下，一同确认项目现状包括但不限于装饰装修、设施、设备等，并接受移交。（具体详见技术标准和要求内场地移交单）</w:t>
      </w:r>
    </w:p>
    <w:p w14:paraId="21B6A689">
      <w:pPr>
        <w:pStyle w:val="2"/>
        <w:ind w:firstLine="480"/>
        <w:rPr>
          <w:rFonts w:ascii="Times New Roman" w:eastAsia="仿宋"/>
          <w:sz w:val="30"/>
          <w:szCs w:val="30"/>
          <w:u w:val="single"/>
          <w:lang w:eastAsia="zh-CN"/>
        </w:rPr>
      </w:pPr>
      <w:r>
        <w:rPr>
          <w:rFonts w:hint="eastAsia" w:ascii="Times New Roman" w:hAnsi="Times New Roman" w:eastAsia="仿宋"/>
          <w:sz w:val="30"/>
          <w:szCs w:val="30"/>
          <w:u w:val="single"/>
          <w:lang w:eastAsia="zh-CN"/>
        </w:rPr>
        <w:t>（</w:t>
      </w:r>
      <w:r>
        <w:rPr>
          <w:rFonts w:ascii="Times New Roman" w:hAnsi="Times New Roman" w:eastAsia="仿宋"/>
          <w:sz w:val="30"/>
          <w:szCs w:val="30"/>
          <w:u w:val="single"/>
          <w:lang w:eastAsia="zh-CN"/>
        </w:rPr>
        <w:t>7</w:t>
      </w:r>
      <w:r>
        <w:rPr>
          <w:rFonts w:hint="eastAsia" w:ascii="Times New Roman" w:hAnsi="Times New Roman" w:eastAsia="仿宋"/>
          <w:sz w:val="30"/>
          <w:szCs w:val="30"/>
          <w:u w:val="single"/>
          <w:lang w:eastAsia="zh-CN"/>
        </w:rPr>
        <w:t>）负责接收前期工程，并负责接收后的保护、修复达到发包人要求，并在竣工后移交。</w:t>
      </w:r>
    </w:p>
    <w:p w14:paraId="771F9096">
      <w:pPr>
        <w:ind w:firstLine="480"/>
        <w:rPr>
          <w:rFonts w:ascii="Times New Roman" w:eastAsia="仿宋"/>
          <w:sz w:val="30"/>
          <w:szCs w:val="30"/>
          <w:u w:val="single"/>
          <w:lang w:eastAsia="zh-CN"/>
        </w:rPr>
      </w:pPr>
      <w:r>
        <w:rPr>
          <w:rFonts w:hint="eastAsia" w:eastAsiaTheme="minorEastAsia"/>
          <w:lang w:eastAsia="zh-CN"/>
        </w:rPr>
        <w:t>（</w:t>
      </w:r>
      <w:r>
        <w:rPr>
          <w:rFonts w:ascii="Times New Roman" w:eastAsia="仿宋"/>
          <w:sz w:val="30"/>
          <w:szCs w:val="30"/>
          <w:u w:val="single"/>
          <w:lang w:eastAsia="zh-CN"/>
        </w:rPr>
        <w:t>8</w:t>
      </w:r>
      <w:r>
        <w:rPr>
          <w:rFonts w:hint="eastAsia" w:ascii="Times New Roman" w:eastAsia="仿宋"/>
          <w:sz w:val="30"/>
          <w:szCs w:val="30"/>
          <w:u w:val="single"/>
          <w:lang w:eastAsia="zh-CN"/>
        </w:rPr>
        <w:t>）现场围墙开口及大门未施工。总包单位根据施工需要，自行向有关部门申请道路开口、门卫室的施工。总包负责红线外生活区，以及红线内办公区出入口大门的改建（如有）、管理、维护、迁移、拆除，筹划上报方案，经发包人审批后实施，并承担一切有关费用；负责向政府部门报批发包人移交的出入口或其自身新开出入口的工作及一切有关费用。制定门岗制度并报发包人审批。完成合同文件其他有关出入口的规定。整个工地按政府规定设置远程监控视频设备、人脸识别门禁系统。</w:t>
      </w:r>
    </w:p>
    <w:p w14:paraId="10FABAE3">
      <w:pPr>
        <w:pStyle w:val="2"/>
        <w:ind w:firstLine="600"/>
        <w:rPr>
          <w:rFonts w:ascii="Times New Roman" w:hAnsi="Times New Roman" w:eastAsia="仿宋"/>
          <w:sz w:val="30"/>
          <w:szCs w:val="30"/>
          <w:u w:val="single"/>
          <w:lang w:eastAsia="zh-CN"/>
        </w:rPr>
      </w:pPr>
      <w:r>
        <w:rPr>
          <w:rFonts w:hint="eastAsia" w:ascii="Times New Roman" w:hAnsi="Times New Roman" w:eastAsia="仿宋"/>
          <w:sz w:val="30"/>
          <w:szCs w:val="30"/>
          <w:u w:val="single"/>
          <w:lang w:eastAsia="zh-CN"/>
        </w:rPr>
        <w:t>（</w:t>
      </w:r>
      <w:r>
        <w:rPr>
          <w:rFonts w:ascii="Times New Roman" w:hAnsi="Times New Roman" w:eastAsia="仿宋"/>
          <w:sz w:val="30"/>
          <w:szCs w:val="30"/>
          <w:u w:val="single"/>
          <w:lang w:eastAsia="zh-CN"/>
        </w:rPr>
        <w:t>9</w:t>
      </w:r>
      <w:r>
        <w:rPr>
          <w:rFonts w:hint="eastAsia" w:ascii="Times New Roman" w:hAnsi="Times New Roman" w:eastAsia="仿宋"/>
          <w:sz w:val="30"/>
          <w:szCs w:val="30"/>
          <w:u w:val="single"/>
          <w:lang w:eastAsia="zh-CN"/>
        </w:rPr>
        <w:t>）接受现有的施工道路，并负责后期维护、修复及拆除清运。负责对其区域内现有市政道路保护及修复；承担政府部门的相应处罚。若因施工暂时阻隔道路管网而可能影响其他单位正常工作，需提前报方案给发包人进行审批及统一协调。</w:t>
      </w:r>
    </w:p>
    <w:p w14:paraId="7DE05B9F">
      <w:pPr>
        <w:pStyle w:val="2"/>
        <w:ind w:firstLine="600"/>
        <w:rPr>
          <w:rFonts w:ascii="Times New Roman" w:hAnsi="Times New Roman" w:eastAsia="仿宋"/>
          <w:sz w:val="30"/>
          <w:szCs w:val="30"/>
          <w:u w:val="single"/>
          <w:lang w:eastAsia="zh-CN"/>
        </w:rPr>
      </w:pPr>
      <w:r>
        <w:rPr>
          <w:rFonts w:hint="eastAsia" w:ascii="Times New Roman" w:hAnsi="Times New Roman" w:eastAsia="仿宋"/>
          <w:sz w:val="30"/>
          <w:szCs w:val="30"/>
          <w:u w:val="single"/>
          <w:lang w:eastAsia="zh-CN"/>
        </w:rPr>
        <w:t>编制整个项目场区内道路（包括地下室顶板上设置施工道路）施工方案（包括为满足地下室顶板区域行车、搭设脚手架荷载所进行的地下室内临时支撑或顶板临时加固措施）报发包人审批，完成施工的不同阶段的现场施工道路（人流</w:t>
      </w:r>
      <w:r>
        <w:rPr>
          <w:rFonts w:ascii="Times New Roman" w:hAnsi="Times New Roman" w:eastAsia="仿宋"/>
          <w:sz w:val="30"/>
          <w:szCs w:val="30"/>
          <w:u w:val="single"/>
          <w:lang w:eastAsia="zh-CN"/>
        </w:rPr>
        <w:t>/</w:t>
      </w:r>
      <w:r>
        <w:rPr>
          <w:rFonts w:hint="eastAsia" w:ascii="Times New Roman" w:hAnsi="Times New Roman" w:eastAsia="仿宋"/>
          <w:sz w:val="30"/>
          <w:szCs w:val="30"/>
          <w:u w:val="single"/>
          <w:lang w:eastAsia="zh-CN"/>
        </w:rPr>
        <w:t>车流）的建造、改向、保养及拆除，并保证其他单位的正常使用。</w:t>
      </w:r>
    </w:p>
    <w:p w14:paraId="2327D5B4">
      <w:pPr>
        <w:pStyle w:val="2"/>
        <w:ind w:firstLine="600"/>
        <w:rPr>
          <w:rFonts w:ascii="Times New Roman" w:eastAsia="仿宋"/>
          <w:sz w:val="30"/>
          <w:szCs w:val="30"/>
          <w:u w:val="single"/>
          <w:lang w:eastAsia="zh-CN"/>
        </w:rPr>
      </w:pPr>
      <w:r>
        <w:rPr>
          <w:rFonts w:hint="eastAsia" w:ascii="Times New Roman" w:hAnsi="Times New Roman" w:eastAsia="仿宋"/>
          <w:sz w:val="30"/>
          <w:szCs w:val="30"/>
          <w:u w:val="single"/>
          <w:lang w:eastAsia="zh-CN"/>
        </w:rPr>
        <w:t>负责统筹各专业的设备运输通道，并确保设备能方便地运至安装地点。</w:t>
      </w:r>
    </w:p>
    <w:p w14:paraId="4A3E2671">
      <w:pPr>
        <w:rPr>
          <w:rFonts w:ascii="Times New Roman" w:eastAsia="仿宋"/>
          <w:sz w:val="30"/>
          <w:szCs w:val="30"/>
          <w:u w:val="single"/>
          <w:lang w:eastAsia="zh-CN"/>
        </w:rPr>
      </w:pPr>
      <w:r>
        <w:rPr>
          <w:rFonts w:hint="eastAsia" w:ascii="Times New Roman" w:eastAsia="仿宋"/>
          <w:sz w:val="30"/>
          <w:szCs w:val="30"/>
          <w:u w:val="single"/>
          <w:lang w:eastAsia="zh-CN"/>
        </w:rPr>
        <w:t>（</w:t>
      </w:r>
      <w:r>
        <w:rPr>
          <w:rFonts w:ascii="Times New Roman" w:eastAsia="仿宋"/>
          <w:sz w:val="30"/>
          <w:szCs w:val="30"/>
          <w:u w:val="single"/>
          <w:lang w:eastAsia="zh-CN"/>
        </w:rPr>
        <w:t>10</w:t>
      </w:r>
      <w:r>
        <w:rPr>
          <w:rFonts w:hint="eastAsia" w:ascii="Times New Roman" w:eastAsia="仿宋"/>
          <w:sz w:val="30"/>
          <w:szCs w:val="30"/>
          <w:u w:val="single"/>
          <w:lang w:eastAsia="zh-CN"/>
        </w:rPr>
        <w:t>）总包需根据发包人提供的围墙平面布置图及方案编制新建（如有）或改建（如有）围墙方案报发包人审批，按发包人审批后的方案进行围墙的新建、维护、修复、改建及拆除清运，对现有不符合安全文明施工规定的围墙进行改建，并对接收后的围墙安全负责并进行维护，负责各阶段总包分隔围墙的修建、维护及使用后的拆除工作。</w:t>
      </w:r>
    </w:p>
    <w:p w14:paraId="4D55A4E7">
      <w:pPr>
        <w:ind w:firstLine="600" w:firstLineChars="200"/>
        <w:rPr>
          <w:rFonts w:ascii="Times New Roman" w:eastAsia="仿宋"/>
          <w:sz w:val="30"/>
          <w:szCs w:val="30"/>
          <w:u w:val="single"/>
          <w:lang w:eastAsia="zh-CN"/>
        </w:rPr>
      </w:pPr>
      <w:r>
        <w:rPr>
          <w:rFonts w:hint="eastAsia" w:ascii="Times New Roman" w:eastAsia="仿宋"/>
          <w:sz w:val="30"/>
          <w:szCs w:val="30"/>
          <w:u w:val="single"/>
          <w:lang w:eastAsia="zh-CN"/>
        </w:rPr>
        <w:t>若政府部门有要求，总承包人须对围墙进行改建，以满足政府部门要求。</w:t>
      </w:r>
    </w:p>
    <w:p w14:paraId="69A40250">
      <w:pPr>
        <w:pStyle w:val="2"/>
        <w:ind w:firstLine="600"/>
        <w:rPr>
          <w:rFonts w:ascii="Times New Roman" w:eastAsia="仿宋"/>
          <w:sz w:val="30"/>
          <w:szCs w:val="30"/>
          <w:u w:val="single"/>
          <w:lang w:eastAsia="zh-CN"/>
        </w:rPr>
      </w:pPr>
      <w:r>
        <w:rPr>
          <w:rFonts w:hint="eastAsia" w:ascii="Times New Roman" w:hAnsi="Times New Roman" w:eastAsia="仿宋"/>
          <w:sz w:val="30"/>
          <w:szCs w:val="30"/>
          <w:u w:val="single"/>
          <w:lang w:eastAsia="zh-CN"/>
        </w:rPr>
        <w:t>（</w:t>
      </w:r>
      <w:r>
        <w:rPr>
          <w:rFonts w:ascii="Times New Roman" w:hAnsi="Times New Roman" w:eastAsia="仿宋"/>
          <w:sz w:val="30"/>
          <w:szCs w:val="30"/>
          <w:u w:val="single"/>
          <w:lang w:eastAsia="zh-CN"/>
        </w:rPr>
        <w:t>11</w:t>
      </w:r>
      <w:r>
        <w:rPr>
          <w:rFonts w:hint="eastAsia" w:ascii="Times New Roman" w:hAnsi="Times New Roman" w:eastAsia="仿宋"/>
          <w:sz w:val="30"/>
          <w:szCs w:val="30"/>
          <w:u w:val="single"/>
          <w:lang w:eastAsia="zh-CN"/>
        </w:rPr>
        <w:t>）负责接收现场其他临建（临时水临水电、临时消防设施设备）等，并负责后续使用期间的维护、改建（如有）及拆除清运。</w:t>
      </w:r>
    </w:p>
    <w:permEnd w:id="13"/>
    <w:p w14:paraId="53F9B371">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3.3 专业分包（</w:t>
      </w:r>
      <w:r>
        <w:rPr>
          <w:rFonts w:hint="eastAsia" w:ascii="Times New Roman" w:eastAsia="仿宋"/>
          <w:sz w:val="30"/>
          <w:szCs w:val="30"/>
          <w:lang w:eastAsia="zh-CN"/>
        </w:rPr>
        <w:t>不涉及</w:t>
      </w:r>
      <w:r>
        <w:rPr>
          <w:rFonts w:ascii="Times New Roman" w:eastAsia="仿宋"/>
          <w:sz w:val="30"/>
          <w:szCs w:val="30"/>
          <w:lang w:eastAsia="zh-CN"/>
        </w:rPr>
        <w:t>）</w:t>
      </w:r>
    </w:p>
    <w:p w14:paraId="2D65E3F9">
      <w:pPr>
        <w:snapToGrid w:val="0"/>
        <w:spacing w:line="560" w:lineRule="exact"/>
        <w:ind w:firstLine="600" w:firstLineChars="200"/>
        <w:rPr>
          <w:rFonts w:ascii="Times New Roman" w:eastAsia="PMingLiU"/>
          <w:sz w:val="30"/>
          <w:szCs w:val="30"/>
          <w:lang w:eastAsia="zh-CN"/>
        </w:rPr>
      </w:pPr>
      <w:r>
        <w:rPr>
          <w:rFonts w:hint="eastAsia" w:ascii="Times New Roman" w:eastAsia="仿宋"/>
          <w:sz w:val="30"/>
          <w:szCs w:val="30"/>
          <w:lang w:eastAsia="zh-CN"/>
        </w:rPr>
        <w:t>3</w:t>
      </w:r>
      <w:r>
        <w:rPr>
          <w:rFonts w:ascii="Times New Roman" w:eastAsia="仿宋"/>
          <w:sz w:val="30"/>
          <w:szCs w:val="30"/>
          <w:lang w:eastAsia="zh-CN"/>
        </w:rPr>
        <w:t>.3.1 发包人根据需要确定的专业分包人（通用条款1.1.2.6），总承包人应在收到发包人提供的专业分包合同文件后</w:t>
      </w:r>
      <w:permStart w:id="14" w:edGrp="everyone"/>
      <w:r>
        <w:rPr>
          <w:rFonts w:ascii="Times New Roman" w:eastAsia="仿宋"/>
          <w:sz w:val="30"/>
          <w:szCs w:val="30"/>
          <w:lang w:eastAsia="zh-CN"/>
        </w:rPr>
        <w:t>天</w:t>
      </w:r>
      <w:permEnd w:id="14"/>
      <w:r>
        <w:rPr>
          <w:rFonts w:ascii="Times New Roman" w:eastAsia="仿宋"/>
          <w:sz w:val="30"/>
          <w:szCs w:val="30"/>
          <w:lang w:eastAsia="zh-CN"/>
        </w:rPr>
        <w:t>内签署专业分包合同（详见附件12），逾期签署的，每逾期一日，应按照</w:t>
      </w:r>
      <w:permStart w:id="15" w:edGrp="everyone"/>
      <w:r>
        <w:rPr>
          <w:rFonts w:ascii="Times New Roman" w:eastAsia="仿宋"/>
          <w:sz w:val="30"/>
          <w:szCs w:val="30"/>
          <w:u w:val="single"/>
          <w:lang w:eastAsia="zh-CN"/>
        </w:rPr>
        <w:t>元/天，最高不超过万元（或与工程误期违约金一致）</w:t>
      </w:r>
      <w:r>
        <w:rPr>
          <w:rFonts w:ascii="Times New Roman" w:eastAsia="仿宋"/>
          <w:sz w:val="30"/>
          <w:szCs w:val="30"/>
          <w:lang w:eastAsia="zh-CN"/>
        </w:rPr>
        <w:t>元</w:t>
      </w:r>
      <w:permEnd w:id="15"/>
      <w:r>
        <w:rPr>
          <w:rFonts w:ascii="Times New Roman" w:eastAsia="仿宋"/>
          <w:sz w:val="30"/>
          <w:szCs w:val="30"/>
          <w:lang w:eastAsia="zh-CN"/>
        </w:rPr>
        <w:t>的标准支付违约金。</w:t>
      </w:r>
      <w:bookmarkEnd w:id="1482"/>
      <w:bookmarkEnd w:id="1483"/>
    </w:p>
    <w:p w14:paraId="38E78CD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 xml:space="preserve">3.3.2 </w:t>
      </w:r>
      <w:permStart w:id="16" w:edGrp="everyone"/>
      <w:r>
        <w:rPr>
          <w:rFonts w:hint="eastAsia" w:ascii="Times New Roman" w:eastAsia="仿宋"/>
          <w:sz w:val="30"/>
          <w:szCs w:val="30"/>
          <w:lang w:eastAsia="zh-CN"/>
        </w:rPr>
        <w:t>款项由发包人直接支付予分包人（通用条款3</w:t>
      </w:r>
      <w:r>
        <w:rPr>
          <w:rFonts w:ascii="Times New Roman" w:eastAsia="仿宋"/>
          <w:sz w:val="30"/>
          <w:szCs w:val="30"/>
          <w:lang w:eastAsia="zh-CN"/>
        </w:rPr>
        <w:t>.5.3</w:t>
      </w:r>
      <w:r>
        <w:rPr>
          <w:rFonts w:hint="eastAsia" w:ascii="Times New Roman" w:eastAsia="仿宋"/>
          <w:sz w:val="30"/>
          <w:szCs w:val="30"/>
          <w:lang w:eastAsia="zh-CN"/>
        </w:rPr>
        <w:t>），无需经过总承包人审核</w:t>
      </w:r>
      <w:permEnd w:id="16"/>
      <w:r>
        <w:rPr>
          <w:rFonts w:hint="eastAsia" w:ascii="Times New Roman" w:eastAsia="仿宋"/>
          <w:sz w:val="30"/>
          <w:szCs w:val="30"/>
          <w:lang w:eastAsia="zh-CN"/>
        </w:rPr>
        <w:t>。</w:t>
      </w:r>
    </w:p>
    <w:p w14:paraId="2612F597">
      <w:pPr>
        <w:pStyle w:val="2"/>
        <w:ind w:firstLine="480" w:firstLineChars="160"/>
        <w:rPr>
          <w:rFonts w:ascii="Times New Roman" w:eastAsia="仿宋"/>
          <w:sz w:val="30"/>
          <w:szCs w:val="30"/>
          <w:lang w:eastAsia="zh-CN"/>
        </w:rPr>
      </w:pPr>
      <w:r>
        <w:rPr>
          <w:rFonts w:ascii="Times New Roman" w:hAnsi="Times New Roman" w:eastAsia="仿宋"/>
          <w:sz w:val="30"/>
          <w:szCs w:val="30"/>
          <w:lang w:eastAsia="zh-CN"/>
        </w:rPr>
        <w:t>3.4</w:t>
      </w:r>
      <w:r>
        <w:rPr>
          <w:rFonts w:hint="eastAsia" w:ascii="Times New Roman" w:hAnsi="Times New Roman" w:eastAsia="仿宋"/>
          <w:sz w:val="30"/>
          <w:szCs w:val="30"/>
          <w:lang w:eastAsia="zh-CN"/>
        </w:rPr>
        <w:t xml:space="preserve"> 照管及成品保护</w:t>
      </w:r>
    </w:p>
    <w:p w14:paraId="40646165">
      <w:pPr>
        <w:ind w:firstLine="480"/>
        <w:rPr>
          <w:rFonts w:eastAsiaTheme="minorEastAsia"/>
          <w:szCs w:val="21"/>
          <w:lang w:eastAsia="zh-CN"/>
        </w:rPr>
      </w:pPr>
      <w:r>
        <w:rPr>
          <w:rFonts w:hint="eastAsia" w:ascii="Times New Roman" w:eastAsia="仿宋"/>
          <w:sz w:val="30"/>
          <w:szCs w:val="30"/>
          <w:lang w:eastAsia="zh-CN"/>
        </w:rPr>
        <w:t>3.4.1 总承包人须按技术标准和要求约定对独立承包人进行全面的照管、协调及配合，直至移交物业为止，（包括但不限于提供场地及道路使用、用水用电、垂直运输设备使用、垃圾清运、脚手架使用、标高及点位信息等配合服务，以及现场总包协调管理、验收资料收集整理等工作。）所需之费用已填报在总包协调管理费清单对分包工程的照管及协调服务费内，并包括在总承包合同总价内。未经发包人允许，总承包人不得再向</w:t>
      </w:r>
      <w:r>
        <w:rPr>
          <w:rFonts w:hint="eastAsia" w:ascii="Times New Roman" w:hAnsi="宋体" w:eastAsia="仿宋" w:cs="宋体"/>
          <w:sz w:val="30"/>
          <w:szCs w:val="30"/>
          <w:lang w:eastAsia="zh-CN"/>
        </w:rPr>
        <w:t>独立承包人</w:t>
      </w:r>
      <w:r>
        <w:rPr>
          <w:rFonts w:hint="eastAsia" w:ascii="Times New Roman" w:eastAsia="仿宋"/>
          <w:sz w:val="30"/>
          <w:szCs w:val="30"/>
          <w:lang w:eastAsia="zh-CN"/>
        </w:rPr>
        <w:t>索取管理费、垃圾清理费、水电费、垂直运输费用、脚手架使用费等类似费用（安全文明保证金收取不大于贰万元）</w:t>
      </w:r>
      <w:r>
        <w:rPr>
          <w:rFonts w:hint="eastAsia" w:ascii="Times New Roman" w:eastAsia="仿宋"/>
          <w:sz w:val="30"/>
          <w:szCs w:val="30"/>
        </w:rPr>
        <w:t>，</w:t>
      </w:r>
      <w:r>
        <w:rPr>
          <w:rFonts w:hint="eastAsia" w:ascii="Times New Roman" w:eastAsia="仿宋"/>
          <w:sz w:val="30"/>
          <w:szCs w:val="30"/>
          <w:lang w:eastAsia="zh-CN"/>
        </w:rPr>
        <w:t>一经发现，除须退还所索取的费用外，总承包人还须承担所索取费用</w:t>
      </w:r>
      <w:r>
        <w:rPr>
          <w:rFonts w:ascii="Times New Roman" w:eastAsia="仿宋"/>
          <w:sz w:val="30"/>
          <w:szCs w:val="30"/>
          <w:lang w:eastAsia="zh-CN"/>
        </w:rPr>
        <w:t>2</w:t>
      </w:r>
      <w:r>
        <w:rPr>
          <w:rFonts w:hint="eastAsia" w:ascii="Times New Roman" w:eastAsia="仿宋"/>
          <w:sz w:val="30"/>
          <w:szCs w:val="30"/>
          <w:lang w:eastAsia="zh-CN"/>
        </w:rPr>
        <w:t>倍的违约金，发包人可从应支付予总承包人的款项中直接予以扣除或作为债项向总承包人追讨。</w:t>
      </w:r>
    </w:p>
    <w:p w14:paraId="65F93ABA">
      <w:pPr>
        <w:pStyle w:val="2"/>
        <w:ind w:firstLine="600"/>
        <w:rPr>
          <w:rFonts w:ascii="Times New Roman" w:eastAsia="仿宋"/>
          <w:sz w:val="30"/>
          <w:szCs w:val="30"/>
          <w:lang w:eastAsia="zh-CN"/>
        </w:rPr>
      </w:pPr>
      <w:r>
        <w:rPr>
          <w:rFonts w:hint="eastAsia" w:ascii="Times New Roman" w:hAnsi="Times New Roman" w:eastAsia="仿宋"/>
          <w:sz w:val="30"/>
          <w:szCs w:val="30"/>
          <w:lang w:eastAsia="zh-CN"/>
        </w:rPr>
        <w:t>3.4.2 自承建施工范围成品保护</w:t>
      </w:r>
    </w:p>
    <w:p w14:paraId="254EE603">
      <w:pPr>
        <w:ind w:firstLine="600"/>
        <w:rPr>
          <w:rFonts w:ascii="Times New Roman" w:eastAsia="仿宋"/>
          <w:sz w:val="30"/>
          <w:szCs w:val="30"/>
          <w:lang w:eastAsia="zh-CN"/>
        </w:rPr>
      </w:pPr>
      <w:r>
        <w:rPr>
          <w:rFonts w:hint="eastAsia" w:ascii="Times New Roman" w:eastAsia="仿宋"/>
          <w:sz w:val="30"/>
          <w:szCs w:val="30"/>
          <w:lang w:eastAsia="zh-CN"/>
        </w:rPr>
        <w:t>按合同技术标准及要求上报成品保护方案，经发包人审批后实施，其中自承建部分内的重点部位必须严格按照方案及发包人要求进行成品保护、维护及修复。并按要求将成品保护措施移交于物管公司。</w:t>
      </w:r>
    </w:p>
    <w:p w14:paraId="5EDABEE7">
      <w:pPr>
        <w:ind w:firstLine="600"/>
        <w:rPr>
          <w:rFonts w:ascii="Times New Roman" w:eastAsia="仿宋"/>
          <w:sz w:val="30"/>
          <w:szCs w:val="30"/>
          <w:lang w:eastAsia="zh-CN"/>
        </w:rPr>
      </w:pPr>
      <w:r>
        <w:rPr>
          <w:rFonts w:hint="eastAsia" w:ascii="Times New Roman" w:eastAsia="仿宋"/>
          <w:sz w:val="30"/>
          <w:szCs w:val="30"/>
          <w:lang w:eastAsia="zh-CN"/>
        </w:rPr>
        <w:t>及涉及工序穿插施工时，接收</w:t>
      </w:r>
      <w:r>
        <w:rPr>
          <w:rFonts w:hint="eastAsia" w:ascii="Times New Roman" w:hAnsi="宋体" w:eastAsia="仿宋" w:cs="宋体"/>
          <w:sz w:val="30"/>
          <w:szCs w:val="30"/>
          <w:lang w:eastAsia="zh-CN"/>
        </w:rPr>
        <w:t>独立承包人</w:t>
      </w:r>
      <w:r>
        <w:rPr>
          <w:rFonts w:hint="eastAsia" w:ascii="Times New Roman" w:eastAsia="仿宋"/>
          <w:sz w:val="30"/>
          <w:szCs w:val="30"/>
          <w:lang w:eastAsia="zh-CN"/>
        </w:rPr>
        <w:t>单位按合同要求完成的成品保护措施，并进行维护及修复。</w:t>
      </w:r>
    </w:p>
    <w:p w14:paraId="08DA9E81">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3.4.3 移交界面成品保护</w:t>
      </w:r>
    </w:p>
    <w:p w14:paraId="45FF74A2">
      <w:pPr>
        <w:ind w:firstLine="600"/>
        <w:rPr>
          <w:rFonts w:ascii="Times New Roman" w:eastAsia="仿宋"/>
          <w:sz w:val="30"/>
          <w:szCs w:val="30"/>
          <w:lang w:eastAsia="zh-CN"/>
        </w:rPr>
      </w:pPr>
      <w:r>
        <w:rPr>
          <w:rFonts w:hint="eastAsia" w:ascii="Times New Roman" w:eastAsia="仿宋"/>
          <w:sz w:val="30"/>
          <w:szCs w:val="30"/>
          <w:lang w:eastAsia="zh-CN"/>
        </w:rPr>
        <w:t>已完工作面移交给其他</w:t>
      </w:r>
      <w:r>
        <w:rPr>
          <w:rFonts w:hint="eastAsia" w:ascii="Times New Roman" w:hAnsi="宋体" w:eastAsia="仿宋" w:cs="宋体"/>
          <w:sz w:val="30"/>
          <w:szCs w:val="30"/>
          <w:lang w:eastAsia="zh-CN"/>
        </w:rPr>
        <w:t>独立承包人</w:t>
      </w:r>
      <w:r>
        <w:rPr>
          <w:rFonts w:hint="eastAsia" w:ascii="Times New Roman" w:eastAsia="仿宋"/>
          <w:sz w:val="30"/>
          <w:szCs w:val="30"/>
          <w:lang w:eastAsia="zh-CN"/>
        </w:rPr>
        <w:t>施工单位进行施工的，或接收专业分包已完工作面进行施工的，双方办理移交手续，由接收单位按规定做好成品保护，对移交后的工程造成损坏的，承担相应的责任。</w:t>
      </w:r>
    </w:p>
    <w:p w14:paraId="742A4669">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3.4.4 交叉作业成品保护</w:t>
      </w:r>
    </w:p>
    <w:p w14:paraId="14DC2900">
      <w:pPr>
        <w:ind w:firstLine="600" w:firstLineChars="200"/>
        <w:rPr>
          <w:rFonts w:ascii="Times New Roman" w:eastAsia="仿宋"/>
          <w:sz w:val="30"/>
          <w:szCs w:val="30"/>
          <w:lang w:eastAsia="zh-CN"/>
        </w:rPr>
      </w:pPr>
      <w:r>
        <w:rPr>
          <w:rFonts w:hint="eastAsia" w:ascii="Times New Roman" w:eastAsia="仿宋"/>
          <w:sz w:val="30"/>
          <w:szCs w:val="30"/>
          <w:lang w:eastAsia="zh-CN"/>
        </w:rPr>
        <w:t>对于多家单位交叉施工同时进行作业的区域，各施工单位对自身成品做好保护和管理，总承包人须负责该部位的整体协调，任何单位对于成品的破坏，应承担自身损坏以及损坏他人物料的恢复和赔偿的责任。</w:t>
      </w:r>
    </w:p>
    <w:p w14:paraId="5D1DAC68">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3.5 垃圾清理及外运</w:t>
      </w:r>
    </w:p>
    <w:p w14:paraId="566BEF97">
      <w:pPr>
        <w:ind w:firstLine="600" w:firstLineChars="200"/>
        <w:rPr>
          <w:rFonts w:ascii="Times New Roman" w:eastAsia="仿宋"/>
          <w:sz w:val="30"/>
          <w:szCs w:val="30"/>
          <w:lang w:eastAsia="zh-CN"/>
        </w:rPr>
      </w:pPr>
      <w:r>
        <w:rPr>
          <w:rFonts w:hint="eastAsia" w:ascii="Times New Roman" w:eastAsia="仿宋"/>
          <w:sz w:val="30"/>
          <w:szCs w:val="30"/>
          <w:lang w:eastAsia="zh-CN"/>
        </w:rPr>
        <w:t>每天完工时清理施工现场并将作业面上垃圾运至工地内指定的垃圾堆场（垃圾堆场的地点需经发包人批准）。负责多专业共同工作的作业面、公共区域及通道上的垃圾清运（从堆场处）出场，保持现场清洁。</w:t>
      </w:r>
    </w:p>
    <w:p w14:paraId="05D35D95">
      <w:pPr>
        <w:ind w:firstLine="600" w:firstLineChars="200"/>
        <w:rPr>
          <w:rFonts w:ascii="Times New Roman" w:eastAsia="仿宋"/>
          <w:sz w:val="30"/>
          <w:szCs w:val="30"/>
          <w:lang w:eastAsia="zh-CN"/>
        </w:rPr>
      </w:pPr>
      <w:r>
        <w:rPr>
          <w:rFonts w:hint="eastAsia" w:ascii="Times New Roman" w:eastAsia="仿宋"/>
          <w:sz w:val="30"/>
          <w:szCs w:val="30"/>
          <w:lang w:eastAsia="zh-CN"/>
        </w:rPr>
        <w:t>垃圾堆场设置应根据不同施工阶段的总平方案定位，涉及垃圾场工作面移交施工需改位置时，总承包单位因无条件配合改位。</w:t>
      </w:r>
    </w:p>
    <w:p w14:paraId="18B9DBEC">
      <w:pPr>
        <w:ind w:firstLine="600" w:firstLineChars="200"/>
        <w:rPr>
          <w:rFonts w:ascii="Times New Roman" w:eastAsia="仿宋"/>
          <w:sz w:val="30"/>
          <w:szCs w:val="30"/>
          <w:lang w:eastAsia="zh-CN"/>
        </w:rPr>
      </w:pPr>
      <w:r>
        <w:rPr>
          <w:rFonts w:hint="eastAsia" w:ascii="Times New Roman" w:eastAsia="仿宋"/>
          <w:sz w:val="30"/>
          <w:szCs w:val="30"/>
          <w:lang w:eastAsia="zh-CN"/>
        </w:rPr>
        <w:t>施工过程中，建筑垃圾不应堆放在现场。</w:t>
      </w:r>
    </w:p>
    <w:p w14:paraId="2D36A874">
      <w:pPr>
        <w:ind w:firstLine="600" w:firstLineChars="200"/>
        <w:rPr>
          <w:rFonts w:ascii="Times New Roman" w:eastAsia="仿宋"/>
          <w:sz w:val="30"/>
          <w:szCs w:val="30"/>
          <w:lang w:eastAsia="zh-CN"/>
        </w:rPr>
      </w:pPr>
      <w:r>
        <w:rPr>
          <w:rFonts w:hint="eastAsia" w:ascii="Times New Roman" w:eastAsia="仿宋"/>
          <w:sz w:val="30"/>
          <w:szCs w:val="30"/>
          <w:lang w:eastAsia="zh-CN"/>
        </w:rPr>
        <w:t>负责整个项目内的垃圾清运（包括对分包人运至总承包人指定堆场的垃圾清运）</w:t>
      </w:r>
    </w:p>
    <w:p w14:paraId="24E93B11">
      <w:pPr>
        <w:ind w:firstLine="600" w:firstLineChars="200"/>
        <w:rPr>
          <w:rFonts w:ascii="Times New Roman" w:eastAsia="仿宋"/>
          <w:sz w:val="30"/>
          <w:szCs w:val="30"/>
          <w:lang w:eastAsia="zh-CN"/>
        </w:rPr>
      </w:pPr>
      <w:r>
        <w:rPr>
          <w:rFonts w:hint="eastAsia" w:ascii="Times New Roman" w:eastAsia="仿宋"/>
          <w:sz w:val="30"/>
          <w:szCs w:val="30"/>
          <w:lang w:eastAsia="zh-CN"/>
        </w:rPr>
        <w:t>在工程交付物业前，进行全面的清理工作，包括最后清理清运及保洁。若总承包单位未按时完成，则发包人有权选择第三方单位进场清理清运及保洁，费用由总承包单位承担。</w:t>
      </w:r>
    </w:p>
    <w:p w14:paraId="228BB53F">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3.6 消防用水</w:t>
      </w:r>
    </w:p>
    <w:p w14:paraId="64B502F5">
      <w:pPr>
        <w:ind w:firstLine="600" w:firstLineChars="200"/>
        <w:rPr>
          <w:rFonts w:ascii="Times New Roman" w:eastAsia="仿宋"/>
          <w:sz w:val="30"/>
          <w:szCs w:val="30"/>
          <w:lang w:eastAsia="zh-CN"/>
        </w:rPr>
      </w:pPr>
      <w:r>
        <w:rPr>
          <w:rFonts w:hint="eastAsia" w:ascii="Times New Roman" w:eastAsia="仿宋"/>
          <w:sz w:val="30"/>
          <w:szCs w:val="30"/>
          <w:lang w:eastAsia="zh-CN"/>
        </w:rPr>
        <w:t>项目施工过程中（含指定分包及独立承包施工）的消防用水由总承包人负责；消防用水由总承包人设置消防水池（已由前期承包人完成，总承包人负责接收及后续维护、改造），并按规定布设消防水管接至每层。</w:t>
      </w:r>
    </w:p>
    <w:p w14:paraId="0F3F5F60">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3.7 验收及竣工资料、竣工备案</w:t>
      </w:r>
    </w:p>
    <w:p w14:paraId="0D3AAEB5">
      <w:pPr>
        <w:ind w:firstLine="600" w:firstLineChars="200"/>
        <w:rPr>
          <w:rFonts w:ascii="Times New Roman" w:eastAsia="仿宋"/>
          <w:sz w:val="30"/>
          <w:szCs w:val="30"/>
          <w:lang w:eastAsia="zh-CN"/>
        </w:rPr>
      </w:pPr>
      <w:r>
        <w:rPr>
          <w:rFonts w:hint="eastAsia" w:ascii="Times New Roman" w:eastAsia="仿宋"/>
          <w:sz w:val="30"/>
          <w:szCs w:val="30"/>
          <w:lang w:eastAsia="zh-CN"/>
        </w:rPr>
        <w:t>负责工程的单体竣工验收，负责协调其他分包的分项验收，按发包人及当地建设主管部门要求制作竣工资料，整理、检查、汇总各分包单位、供货商制作的竣工资料，负责单体竣工资料上交档案馆及办理档案验收，满足工程创优的资料要求。</w:t>
      </w:r>
    </w:p>
    <w:p w14:paraId="1F4D1E83">
      <w:pPr>
        <w:ind w:firstLine="600" w:firstLineChars="200"/>
        <w:rPr>
          <w:rFonts w:ascii="Times New Roman" w:eastAsia="仿宋"/>
          <w:sz w:val="30"/>
          <w:szCs w:val="30"/>
          <w:lang w:eastAsia="zh-CN"/>
        </w:rPr>
      </w:pPr>
      <w:r>
        <w:rPr>
          <w:rFonts w:hint="eastAsia" w:ascii="Times New Roman" w:eastAsia="仿宋"/>
          <w:sz w:val="30"/>
          <w:szCs w:val="30"/>
          <w:lang w:eastAsia="zh-CN"/>
        </w:rPr>
        <w:t>负责整项工程的竣工图收集、整理及编制、备案。</w:t>
      </w:r>
    </w:p>
    <w:p w14:paraId="6C984960">
      <w:pPr>
        <w:ind w:firstLine="600" w:firstLineChars="200"/>
        <w:rPr>
          <w:rFonts w:ascii="Times New Roman" w:eastAsia="仿宋"/>
          <w:sz w:val="30"/>
          <w:szCs w:val="30"/>
          <w:lang w:eastAsia="zh-CN"/>
        </w:rPr>
      </w:pPr>
      <w:r>
        <w:rPr>
          <w:rFonts w:hint="eastAsia" w:ascii="Times New Roman" w:eastAsia="仿宋"/>
          <w:sz w:val="30"/>
          <w:szCs w:val="30"/>
          <w:lang w:eastAsia="zh-CN"/>
        </w:rPr>
        <w:t>协助发包人进行工程整体竣工备案验收。</w:t>
      </w:r>
    </w:p>
    <w:p w14:paraId="2943D426">
      <w:pPr>
        <w:ind w:firstLine="600" w:firstLineChars="200"/>
        <w:rPr>
          <w:rFonts w:ascii="Times New Roman" w:eastAsia="仿宋"/>
          <w:sz w:val="30"/>
          <w:szCs w:val="30"/>
          <w:lang w:eastAsia="zh-CN"/>
        </w:rPr>
      </w:pPr>
      <w:r>
        <w:rPr>
          <w:rFonts w:hint="eastAsia" w:ascii="Times New Roman" w:eastAsia="仿宋"/>
          <w:sz w:val="30"/>
          <w:szCs w:val="30"/>
          <w:lang w:eastAsia="zh-CN"/>
        </w:rPr>
        <w:t>若总承包人未配合发包人完成上述验收相关工作的任何一项，发包人将扣除总承包人的指定分包照管费总额的</w:t>
      </w:r>
      <w:r>
        <w:rPr>
          <w:rFonts w:ascii="Times New Roman" w:eastAsia="仿宋"/>
          <w:sz w:val="30"/>
          <w:szCs w:val="30"/>
          <w:lang w:eastAsia="zh-CN"/>
        </w:rPr>
        <w:t>20%</w:t>
      </w:r>
      <w:r>
        <w:rPr>
          <w:rFonts w:hint="eastAsia" w:ascii="Times New Roman" w:eastAsia="仿宋"/>
          <w:sz w:val="30"/>
          <w:szCs w:val="30"/>
          <w:lang w:eastAsia="zh-CN"/>
        </w:rPr>
        <w:t>。</w:t>
      </w:r>
    </w:p>
    <w:p w14:paraId="2A2E7B6A">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3.8 报批报建</w:t>
      </w:r>
    </w:p>
    <w:p w14:paraId="54416188">
      <w:pPr>
        <w:ind w:firstLine="600" w:firstLineChars="200"/>
        <w:rPr>
          <w:rFonts w:ascii="Times New Roman" w:eastAsia="仿宋"/>
          <w:sz w:val="30"/>
          <w:szCs w:val="30"/>
          <w:lang w:eastAsia="zh-CN"/>
        </w:rPr>
      </w:pPr>
      <w:r>
        <w:rPr>
          <w:rFonts w:hint="eastAsia" w:ascii="Times New Roman" w:eastAsia="仿宋"/>
          <w:sz w:val="30"/>
          <w:szCs w:val="30"/>
          <w:lang w:eastAsia="zh-CN"/>
        </w:rPr>
        <w:t>办理一切为进行本工程开工至竣工移交期间所需的政府手续，包括但不限于施工许可证、排污许可证、夜间施工许可证、外运渣土或垃圾的道路准运证、破路证以及街道施工备案、施工占道申请等，费用综合考虑于合同总价中。</w:t>
      </w:r>
    </w:p>
    <w:p w14:paraId="6B4777F1">
      <w:pPr>
        <w:pStyle w:val="2"/>
        <w:ind w:firstLine="600"/>
        <w:rPr>
          <w:rFonts w:ascii="Times New Roman" w:eastAsia="仿宋"/>
          <w:sz w:val="30"/>
          <w:szCs w:val="30"/>
          <w:lang w:eastAsia="zh-CN"/>
        </w:rPr>
      </w:pPr>
      <w:r>
        <w:rPr>
          <w:rFonts w:hint="eastAsia" w:ascii="Times New Roman" w:hAnsi="Times New Roman" w:eastAsia="仿宋"/>
          <w:sz w:val="30"/>
          <w:szCs w:val="30"/>
          <w:lang w:eastAsia="zh-CN"/>
        </w:rPr>
        <w:t>3.9 基本设施</w:t>
      </w:r>
    </w:p>
    <w:p w14:paraId="2FD15B14">
      <w:pPr>
        <w:ind w:firstLine="600" w:firstLineChars="200"/>
        <w:rPr>
          <w:rFonts w:ascii="Times New Roman" w:eastAsia="仿宋"/>
          <w:sz w:val="30"/>
          <w:szCs w:val="30"/>
          <w:lang w:eastAsia="zh-CN"/>
        </w:rPr>
      </w:pPr>
      <w:r>
        <w:rPr>
          <w:rFonts w:hint="eastAsia" w:ascii="Times New Roman" w:eastAsia="仿宋"/>
          <w:sz w:val="30"/>
          <w:szCs w:val="30"/>
          <w:lang w:eastAsia="zh-CN"/>
        </w:rPr>
        <w:t>3.9.1 垂直运输</w:t>
      </w:r>
    </w:p>
    <w:p w14:paraId="0D9FD1EE">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负责接收现有建筑物内的垂直电梯，以及新建垂直运输设备（如有），并负责施工、运行、维护维保，提供足够的操作人员及指挥人员配合其他分包人作业。建筑物内现有垂直电梯于2024年2月26日开始陆续拆除换新。</w:t>
      </w:r>
    </w:p>
    <w:p w14:paraId="47454BC3">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负责统筹协调总承包人施工电梯等垂直运输设备的使用（包括对指定分包和独立承包商等其他承包商免费使用）。</w:t>
      </w:r>
    </w:p>
    <w:p w14:paraId="48784970">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如特殊设施设备无法通过现场已有垂直运输设施进行运输，需另行考虑运输措施并包含在合同总金额内。</w:t>
      </w:r>
    </w:p>
    <w:p w14:paraId="49A6201C">
      <w:pPr>
        <w:ind w:firstLine="600"/>
        <w:rPr>
          <w:rFonts w:ascii="Times New Roman" w:eastAsia="仿宋"/>
          <w:sz w:val="30"/>
          <w:szCs w:val="30"/>
          <w:lang w:eastAsia="zh-CN"/>
        </w:rPr>
      </w:pPr>
      <w:r>
        <w:rPr>
          <w:rFonts w:hint="eastAsia" w:ascii="Times New Roman" w:eastAsia="仿宋"/>
          <w:sz w:val="30"/>
          <w:szCs w:val="30"/>
          <w:lang w:eastAsia="zh-CN"/>
        </w:rPr>
        <w:t>3.9.2 外立面脚手架及内装饰脚手架</w:t>
      </w:r>
    </w:p>
    <w:p w14:paraId="052AA486">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上报专项方案，经</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、监理及相关部门审批后搭设、维护及拆除脚手架。</w:t>
      </w:r>
    </w:p>
    <w:p w14:paraId="4FF64DB2">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提供安装并维护外脚手架、内脚手架及爬梯，并连同所需的一切隔板、临时架桥、工具、器材、梯子、油布、围网、防坠网、卸料平台等，保持其良好的操作状况，并根据</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的要求进行修改，以满足其他分包人的施工需求。（正立面铝板幕墙范围的外架为</w:t>
      </w:r>
      <w:r>
        <w:rPr>
          <w:rFonts w:hint="eastAsia" w:ascii="Times New Roman" w:hAnsi="宋体" w:eastAsia="仿宋" w:cs="宋体"/>
          <w:sz w:val="30"/>
          <w:szCs w:val="30"/>
          <w:lang w:eastAsia="zh-CN"/>
        </w:rPr>
        <w:t>独立承包人</w:t>
      </w:r>
      <w:r>
        <w:rPr>
          <w:rFonts w:hint="eastAsia" w:ascii="Times New Roman" w:hAnsi="Times New Roman" w:eastAsia="仿宋"/>
          <w:sz w:val="30"/>
          <w:szCs w:val="30"/>
          <w:lang w:eastAsia="zh-CN"/>
        </w:rPr>
        <w:t>搭设，二者存在建筑物转角衔接处按规范要求的封闭措施，由搭架一方进行封闭或相邻外架连接时改建。具体范围详合同）</w:t>
      </w:r>
    </w:p>
    <w:p w14:paraId="370F752A">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总承包人自承建工作完成后外架必须无偿提供给分包人使用。外架拆除时间应满足指定分包人合理工期（拆除时间为项目外立面工程完成），经</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书面同意方可拆除。</w:t>
      </w:r>
    </w:p>
    <w:p w14:paraId="670E9B61">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施工过程中总承包人必须维护围网的完整性和外观整洁性，如因以上原因造成政府部门责令整改，所发生的费用由总承包人承担。</w:t>
      </w:r>
    </w:p>
    <w:p w14:paraId="366BD140">
      <w:pPr>
        <w:pStyle w:val="2"/>
        <w:rPr>
          <w:rFonts w:ascii="Times New Roman" w:hAnsi="Times New Roman" w:eastAsia="仿宋"/>
          <w:sz w:val="30"/>
          <w:szCs w:val="30"/>
          <w:lang w:eastAsia="zh-CN"/>
        </w:rPr>
      </w:pPr>
      <w:r>
        <w:rPr>
          <w:rFonts w:hint="eastAsia" w:ascii="Times New Roman" w:hAnsi="Times New Roman" w:eastAsia="仿宋"/>
          <w:sz w:val="30"/>
          <w:szCs w:val="30"/>
          <w:lang w:eastAsia="zh-CN"/>
        </w:rPr>
        <w:t>若总包或分包需在地下室顶板范围进行材料运输，或建设材料加工场地、材料堆放场等，则总承包人需要在地下室楼层板进行顶撑加固等措施，费用均由总承包人负责，日后不因任何原因调整。</w:t>
      </w:r>
    </w:p>
    <w:p w14:paraId="61474523">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室外回填土方时外架可能尚不能拆除，总承包人需考虑对回填范围内的钢管架进行填埋及切割或者考虑搭设外架时需考虑在首层或二层进行悬挑脚手架等措施所产生的费用。（如有）</w:t>
      </w:r>
    </w:p>
    <w:p w14:paraId="06343519">
      <w:pPr>
        <w:ind w:firstLine="600" w:firstLineChars="200"/>
        <w:rPr>
          <w:rFonts w:ascii="Times New Roman" w:eastAsia="仿宋"/>
          <w:sz w:val="30"/>
          <w:szCs w:val="30"/>
          <w:lang w:eastAsia="zh-CN"/>
        </w:rPr>
      </w:pPr>
      <w:r>
        <w:rPr>
          <w:rFonts w:hint="eastAsia" w:ascii="Times New Roman" w:eastAsia="仿宋"/>
          <w:sz w:val="30"/>
          <w:szCs w:val="30"/>
          <w:lang w:eastAsia="zh-CN"/>
        </w:rPr>
        <w:t>3.10 施工用电</w:t>
      </w:r>
    </w:p>
    <w:p w14:paraId="1BE5AA58">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负责施工用电箱变的用电管理计量与费用交纳。</w:t>
      </w:r>
    </w:p>
    <w:p w14:paraId="54C4B687">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编制施工临时用电方案，充分考虑其他分包单位（无论指定分包与独立分包）之用电需求。</w:t>
      </w:r>
    </w:p>
    <w:p w14:paraId="199B3A9A">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保护箱变，并按审批后的方案进行箱变至二级箱所有用电设施的布设、维保、拆除，并满足用电需求。</w:t>
      </w:r>
    </w:p>
    <w:p w14:paraId="7323EC73">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完成自承建部分三级箱及所有用电设施的布设、维保、拆除。</w:t>
      </w:r>
    </w:p>
    <w:p w14:paraId="4432F50F">
      <w:pPr>
        <w:pStyle w:val="2"/>
        <w:rPr>
          <w:rFonts w:ascii="Times New Roman" w:hAnsi="Times New Roman" w:eastAsia="仿宋"/>
          <w:sz w:val="30"/>
          <w:szCs w:val="30"/>
          <w:lang w:eastAsia="zh-CN"/>
        </w:rPr>
      </w:pPr>
      <w:r>
        <w:rPr>
          <w:rFonts w:hint="eastAsia" w:ascii="Times New Roman" w:hAnsi="Times New Roman" w:eastAsia="仿宋"/>
          <w:sz w:val="30"/>
          <w:szCs w:val="30"/>
          <w:lang w:eastAsia="zh-CN"/>
        </w:rPr>
        <w:t>对现场临时电力装置、照明设施、供电用插头、变压箱、临时开关、保险丝等（包括箱变、箱变至二级箱，自身二级箱之后的用电设施）进行接地、防水、维护保养，以满足工地现场安全用电要求。</w:t>
      </w:r>
    </w:p>
    <w:p w14:paraId="71F00EE5">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工作完成后，依据</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要求进行相应的配合工作。</w:t>
      </w:r>
    </w:p>
    <w:p w14:paraId="21786E37">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对现场临时变配电设备的保护，使之满足安全用电及防护要求。</w:t>
      </w:r>
    </w:p>
    <w:p w14:paraId="2428F3BF">
      <w:pPr>
        <w:pStyle w:val="2"/>
        <w:rPr>
          <w:rFonts w:ascii="Times New Roman" w:hAnsi="Times New Roman" w:eastAsia="仿宋"/>
          <w:sz w:val="30"/>
          <w:szCs w:val="30"/>
          <w:lang w:eastAsia="zh-CN"/>
        </w:rPr>
      </w:pPr>
      <w:r>
        <w:rPr>
          <w:rFonts w:hint="eastAsia" w:ascii="Times New Roman" w:hAnsi="Times New Roman" w:eastAsia="仿宋"/>
          <w:sz w:val="30"/>
          <w:szCs w:val="30"/>
          <w:lang w:eastAsia="zh-CN"/>
        </w:rPr>
        <w:t>为全场施工设立、维护应急发电机及线路系统，并在紧急时及时有效地提供给各施工方。</w:t>
      </w:r>
    </w:p>
    <w:p w14:paraId="521BAFF7">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施工用电总表产生的电费，经双方现场确认后从工程款中扣除。</w:t>
      </w:r>
    </w:p>
    <w:p w14:paraId="0B3A7ECF">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总承包人对地下室、消防楼梯、楼梯间和公共通道等提供足够的照明，供应足够的不间断的用电量，并在电量不足或停电时，采取任何措施确保施工用电充足使用（保证临时供电的措施费用已包含在合同开办费内，不再另计）。</w:t>
      </w:r>
    </w:p>
    <w:p w14:paraId="5E1F8A23">
      <w:pPr>
        <w:snapToGrid w:val="0"/>
        <w:spacing w:line="560" w:lineRule="exact"/>
        <w:ind w:firstLine="630" w:firstLineChars="210"/>
        <w:rPr>
          <w:rFonts w:ascii="Times New Roman" w:eastAsia="仿宋"/>
          <w:sz w:val="30"/>
          <w:szCs w:val="30"/>
          <w:lang w:eastAsia="zh-CN"/>
        </w:rPr>
      </w:pPr>
      <w:r>
        <w:rPr>
          <w:rFonts w:hint="eastAsia" w:ascii="Times New Roman" w:eastAsia="仿宋"/>
          <w:sz w:val="30"/>
          <w:szCs w:val="30"/>
          <w:lang w:eastAsia="zh-CN"/>
        </w:rPr>
        <w:t>3.11 施工用水</w:t>
      </w:r>
    </w:p>
    <w:p w14:paraId="7B0350BB">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负责用水接驳点的管理计量（或重新安装）与费用交纳。</w:t>
      </w:r>
    </w:p>
    <w:p w14:paraId="493D04FA">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编制施工临时用水方案。按监理或有关部门审批后的方案进行接驳点后所有用水设施的布设、维保、拆除。</w:t>
      </w:r>
    </w:p>
    <w:p w14:paraId="44F4CC27">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工作完成后，依据</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要求进行相应的配合工作。</w:t>
      </w:r>
    </w:p>
    <w:p w14:paraId="7E48CC21">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施工临时用水设计、施工、维护及拆除，接驳</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提供的施工用水至施工现场，为现场需要用水的工种提供不间断的施工用水。自行承担现场蓄水池及加压设备设置，确保足够的水压供施工用水及试水测试用途，如结构</w:t>
      </w:r>
      <w:r>
        <w:rPr>
          <w:rFonts w:ascii="Times New Roman" w:hAnsi="Times New Roman" w:eastAsia="仿宋"/>
          <w:sz w:val="30"/>
          <w:szCs w:val="30"/>
          <w:lang w:eastAsia="zh-CN"/>
        </w:rPr>
        <w:t>24h</w:t>
      </w:r>
      <w:r>
        <w:rPr>
          <w:rFonts w:hint="eastAsia" w:ascii="Times New Roman" w:hAnsi="Times New Roman" w:eastAsia="仿宋"/>
          <w:sz w:val="30"/>
          <w:szCs w:val="30"/>
          <w:lang w:eastAsia="zh-CN"/>
        </w:rPr>
        <w:t>的闭水试验及外立面淋水试验等，并布置消防水设施，满足消防用水要求。</w:t>
      </w:r>
    </w:p>
    <w:p w14:paraId="49CC17A2">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每层每单元提供的接水口数量应满足要求，纯地下室按后浇带分区每区域提供足够的接水口供分包人使用。</w:t>
      </w:r>
    </w:p>
    <w:p w14:paraId="35B36F41">
      <w:pPr>
        <w:pStyle w:val="2"/>
        <w:ind w:firstLine="630" w:firstLineChars="210"/>
        <w:rPr>
          <w:rFonts w:ascii="Times New Roman" w:hAnsi="Times New Roman" w:eastAsia="仿宋"/>
          <w:sz w:val="30"/>
          <w:szCs w:val="30"/>
          <w:lang w:eastAsia="zh-CN"/>
        </w:rPr>
      </w:pPr>
      <w:r>
        <w:rPr>
          <w:rFonts w:hint="eastAsia" w:ascii="Times New Roman" w:hAnsi="Times New Roman" w:eastAsia="仿宋"/>
          <w:sz w:val="30"/>
          <w:szCs w:val="30"/>
          <w:lang w:eastAsia="zh-CN"/>
        </w:rPr>
        <w:t>施工用水总表产生的水费由总承包人向供水方缴纳。</w:t>
      </w:r>
    </w:p>
    <w:p w14:paraId="3FBFDC71">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总承包人需进行所有外立面的临水试验，以及第三方评估检查中涉及承接范围内的淋水闭水试验确保无渗漏；以及评估检查时的闭水或淋水配合工作。</w:t>
      </w:r>
    </w:p>
    <w:p w14:paraId="3E78ADFF">
      <w:pPr>
        <w:pStyle w:val="2"/>
        <w:ind w:firstLine="630" w:firstLineChars="210"/>
        <w:rPr>
          <w:rFonts w:ascii="Times New Roman" w:eastAsia="仿宋"/>
          <w:sz w:val="30"/>
          <w:szCs w:val="30"/>
          <w:lang w:eastAsia="zh-CN"/>
        </w:rPr>
      </w:pPr>
      <w:r>
        <w:rPr>
          <w:rFonts w:hint="eastAsia" w:ascii="Times New Roman" w:hAnsi="Times New Roman" w:eastAsia="仿宋"/>
          <w:sz w:val="30"/>
          <w:szCs w:val="30"/>
          <w:lang w:eastAsia="zh-CN"/>
        </w:rPr>
        <w:t>3.12 施工临建</w:t>
      </w:r>
    </w:p>
    <w:p w14:paraId="36B7EC66">
      <w:pPr>
        <w:ind w:firstLine="630" w:firstLineChars="210"/>
        <w:rPr>
          <w:rFonts w:ascii="Times New Roman" w:eastAsia="仿宋"/>
          <w:sz w:val="30"/>
          <w:szCs w:val="30"/>
          <w:lang w:eastAsia="zh-CN"/>
        </w:rPr>
      </w:pPr>
      <w:r>
        <w:rPr>
          <w:rFonts w:hint="eastAsia" w:ascii="Times New Roman" w:eastAsia="仿宋"/>
          <w:sz w:val="30"/>
          <w:szCs w:val="30"/>
          <w:lang w:eastAsia="zh-CN"/>
        </w:rPr>
        <w:t>上报临建方案，合理利用发包人提供的场地布置施工临建，包括但不限于材料临时堆场、钢筋模板加工场地。</w:t>
      </w:r>
    </w:p>
    <w:p w14:paraId="48F4D9F3">
      <w:pPr>
        <w:ind w:firstLine="630" w:firstLineChars="210"/>
        <w:rPr>
          <w:rFonts w:ascii="Times New Roman" w:eastAsia="仿宋"/>
          <w:sz w:val="30"/>
          <w:szCs w:val="30"/>
          <w:lang w:eastAsia="zh-CN"/>
        </w:rPr>
      </w:pPr>
      <w:r>
        <w:rPr>
          <w:rFonts w:hint="eastAsia" w:ascii="Times New Roman" w:eastAsia="仿宋"/>
          <w:sz w:val="30"/>
          <w:szCs w:val="30"/>
          <w:lang w:eastAsia="zh-CN"/>
        </w:rPr>
        <w:t>设立、维护、保安及拆卸临时</w:t>
      </w:r>
      <w:r>
        <w:rPr>
          <w:rFonts w:ascii="Times New Roman" w:eastAsia="仿宋"/>
          <w:sz w:val="30"/>
          <w:szCs w:val="30"/>
          <w:lang w:eastAsia="zh-CN"/>
        </w:rPr>
        <w:t>/</w:t>
      </w:r>
      <w:r>
        <w:rPr>
          <w:rFonts w:hint="eastAsia" w:ascii="Times New Roman" w:eastAsia="仿宋"/>
          <w:sz w:val="30"/>
          <w:szCs w:val="30"/>
          <w:lang w:eastAsia="zh-CN"/>
        </w:rPr>
        <w:t>施工期永久仓库，并维护施工临建如物料卸货区、材料堆放场地的秩序。单独塔设、管理足够的易燃货物和危险品货棚并负责拆除，有关选址和建设方法须发包人、顾问和有关部门确定。自行承担施工临建场地和施工道路的硬化。</w:t>
      </w:r>
    </w:p>
    <w:p w14:paraId="745A1165">
      <w:pPr>
        <w:ind w:firstLine="630" w:firstLineChars="210"/>
        <w:rPr>
          <w:rFonts w:ascii="Times New Roman" w:eastAsia="仿宋"/>
          <w:sz w:val="30"/>
          <w:szCs w:val="30"/>
          <w:lang w:eastAsia="zh-CN"/>
        </w:rPr>
      </w:pPr>
      <w:r>
        <w:rPr>
          <w:rFonts w:hint="eastAsia" w:ascii="Times New Roman" w:eastAsia="仿宋"/>
          <w:sz w:val="30"/>
          <w:szCs w:val="30"/>
          <w:lang w:eastAsia="zh-CN"/>
        </w:rPr>
        <w:t>设置必要的排污及给水设施。</w:t>
      </w:r>
    </w:p>
    <w:p w14:paraId="3E5A52E4">
      <w:pPr>
        <w:ind w:firstLine="630" w:firstLineChars="210"/>
        <w:rPr>
          <w:rFonts w:ascii="Times New Roman" w:eastAsia="仿宋"/>
          <w:sz w:val="30"/>
          <w:szCs w:val="30"/>
          <w:lang w:eastAsia="zh-CN"/>
        </w:rPr>
      </w:pPr>
      <w:r>
        <w:rPr>
          <w:rFonts w:hint="eastAsia" w:ascii="Times New Roman" w:eastAsia="仿宋"/>
          <w:sz w:val="30"/>
          <w:szCs w:val="30"/>
          <w:lang w:eastAsia="zh-CN"/>
        </w:rPr>
        <w:t>总承包人应自行考虑搭设办公区及其他临时设施所使用的场地问题，并承担其租用或使用费用，若因周边市政施工或发包人后期项目开发需要，总承包人应无偿迁移临建所占用的场地。总承包人应自行考虑在项目周边搭设生活区或在外租房，并承担费用。该临建内应至少包含</w:t>
      </w:r>
      <w:r>
        <w:rPr>
          <w:rFonts w:ascii="Times New Roman" w:eastAsia="仿宋"/>
          <w:sz w:val="30"/>
          <w:szCs w:val="30"/>
          <w:lang w:eastAsia="zh-CN"/>
        </w:rPr>
        <w:t>6</w:t>
      </w:r>
      <w:r>
        <w:rPr>
          <w:rFonts w:hint="eastAsia" w:ascii="Times New Roman" w:eastAsia="仿宋"/>
          <w:sz w:val="30"/>
          <w:szCs w:val="30"/>
          <w:lang w:eastAsia="zh-CN"/>
        </w:rPr>
        <w:t>间办公室供发包人、监理及指定分包人使用，总承包人需配备相应办公桌椅及照明、电源插座、可使用的网络</w:t>
      </w:r>
    </w:p>
    <w:p w14:paraId="2A2AD0C4">
      <w:pPr>
        <w:ind w:firstLine="630" w:firstLineChars="210"/>
        <w:rPr>
          <w:rFonts w:ascii="Times New Roman" w:eastAsia="仿宋"/>
          <w:sz w:val="30"/>
          <w:szCs w:val="30"/>
          <w:lang w:eastAsia="zh-CN"/>
        </w:rPr>
      </w:pPr>
      <w:r>
        <w:rPr>
          <w:rFonts w:hint="eastAsia" w:ascii="Times New Roman" w:eastAsia="仿宋"/>
          <w:sz w:val="30"/>
          <w:szCs w:val="30"/>
          <w:lang w:eastAsia="zh-CN"/>
        </w:rPr>
        <w:t>各项临建应满足合同及省文明工地相关要求。</w:t>
      </w:r>
    </w:p>
    <w:p w14:paraId="4797C42C">
      <w:pPr>
        <w:ind w:firstLine="450" w:firstLineChars="150"/>
        <w:rPr>
          <w:rFonts w:ascii="Times New Roman" w:eastAsia="仿宋"/>
          <w:sz w:val="30"/>
          <w:szCs w:val="30"/>
          <w:lang w:eastAsia="zh-CN"/>
        </w:rPr>
      </w:pPr>
      <w:r>
        <w:rPr>
          <w:rFonts w:hint="eastAsia" w:ascii="Times New Roman" w:eastAsia="仿宋"/>
          <w:sz w:val="30"/>
          <w:szCs w:val="30"/>
          <w:lang w:eastAsia="zh-CN"/>
        </w:rPr>
        <w:t>3.13 项目标识、标语</w:t>
      </w:r>
    </w:p>
    <w:p w14:paraId="244DA513">
      <w:pPr>
        <w:snapToGrid w:val="0"/>
        <w:spacing w:line="560" w:lineRule="exact"/>
        <w:ind w:firstLine="630" w:firstLineChars="210"/>
        <w:rPr>
          <w:rFonts w:ascii="Times New Roman" w:eastAsia="仿宋"/>
          <w:sz w:val="30"/>
          <w:szCs w:val="30"/>
          <w:lang w:eastAsia="zh-CN"/>
        </w:rPr>
      </w:pPr>
      <w:r>
        <w:rPr>
          <w:rFonts w:hint="eastAsia" w:ascii="Times New Roman" w:eastAsia="仿宋"/>
          <w:sz w:val="30"/>
          <w:szCs w:val="30"/>
          <w:lang w:eastAsia="zh-CN"/>
        </w:rPr>
        <w:t>现场布告栏、九牌一图、警示标牌的设置、维护、拆除等，按省优工地标准设置现场安全文明标识标语，包括但不限于围墙、外立面、主通道处等。</w:t>
      </w:r>
    </w:p>
    <w:p w14:paraId="51C2A29E">
      <w:pPr>
        <w:pStyle w:val="2"/>
        <w:ind w:firstLine="630" w:firstLineChars="210"/>
        <w:rPr>
          <w:rFonts w:ascii="Times New Roman" w:eastAsia="仿宋"/>
          <w:sz w:val="30"/>
          <w:szCs w:val="30"/>
          <w:lang w:eastAsia="zh-CN"/>
        </w:rPr>
      </w:pPr>
      <w:r>
        <w:rPr>
          <w:rFonts w:hint="eastAsia" w:ascii="Times New Roman" w:hAnsi="Times New Roman" w:eastAsia="仿宋"/>
          <w:sz w:val="30"/>
          <w:szCs w:val="30"/>
          <w:lang w:eastAsia="zh-CN"/>
        </w:rPr>
        <w:t>3.14 安全制度</w:t>
      </w:r>
    </w:p>
    <w:p w14:paraId="32E563A3">
      <w:pPr>
        <w:ind w:firstLine="630" w:firstLineChars="210"/>
        <w:rPr>
          <w:rFonts w:ascii="Times New Roman" w:eastAsia="仿宋"/>
          <w:sz w:val="30"/>
          <w:szCs w:val="30"/>
          <w:lang w:eastAsia="zh-CN"/>
        </w:rPr>
      </w:pPr>
      <w:r>
        <w:rPr>
          <w:rFonts w:hint="eastAsia" w:ascii="Times New Roman" w:eastAsia="仿宋"/>
          <w:sz w:val="30"/>
          <w:szCs w:val="30"/>
          <w:lang w:eastAsia="zh-CN"/>
        </w:rPr>
        <w:t>编制项目总的应急预案和安全管理制度，对现场全体参与者进行施工现场的安全管理及教育，组织项目安全文明施工的执行部门和具体人员，负责与相关政府部门的联络、沟通、汇报等工作。</w:t>
      </w:r>
    </w:p>
    <w:p w14:paraId="252C2EB2">
      <w:pPr>
        <w:pStyle w:val="2"/>
        <w:ind w:firstLine="630" w:firstLineChars="210"/>
        <w:rPr>
          <w:rFonts w:ascii="Times New Roman" w:eastAsia="仿宋"/>
          <w:sz w:val="30"/>
          <w:szCs w:val="30"/>
          <w:lang w:eastAsia="zh-CN"/>
        </w:rPr>
      </w:pPr>
      <w:r>
        <w:rPr>
          <w:rFonts w:hint="eastAsia" w:ascii="Times New Roman" w:hAnsi="Times New Roman" w:eastAsia="仿宋"/>
          <w:sz w:val="30"/>
          <w:szCs w:val="30"/>
          <w:lang w:eastAsia="zh-CN"/>
        </w:rPr>
        <w:t>3.15 安全装备</w:t>
      </w:r>
    </w:p>
    <w:p w14:paraId="2B082B45">
      <w:pPr>
        <w:ind w:firstLine="630" w:firstLineChars="210"/>
        <w:rPr>
          <w:rFonts w:ascii="Times New Roman" w:eastAsia="仿宋"/>
          <w:sz w:val="30"/>
          <w:szCs w:val="30"/>
          <w:lang w:eastAsia="zh-CN"/>
        </w:rPr>
      </w:pPr>
      <w:r>
        <w:rPr>
          <w:rFonts w:hint="eastAsia" w:ascii="Times New Roman" w:eastAsia="仿宋"/>
          <w:sz w:val="30"/>
          <w:szCs w:val="30"/>
          <w:lang w:eastAsia="zh-CN"/>
        </w:rPr>
        <w:t>负责检查各施工方包括分包人对其雇员提供足够的个人安全装备，在分层装修</w:t>
      </w:r>
      <w:r>
        <w:rPr>
          <w:rFonts w:ascii="Times New Roman" w:eastAsia="仿宋"/>
          <w:sz w:val="30"/>
          <w:szCs w:val="30"/>
          <w:lang w:eastAsia="zh-CN"/>
        </w:rPr>
        <w:t>(</w:t>
      </w:r>
      <w:r>
        <w:rPr>
          <w:rFonts w:hint="eastAsia" w:ascii="Times New Roman" w:eastAsia="仿宋"/>
          <w:sz w:val="30"/>
          <w:szCs w:val="30"/>
          <w:lang w:eastAsia="zh-CN"/>
        </w:rPr>
        <w:t>包括内装修与外装修</w:t>
      </w:r>
      <w:r>
        <w:rPr>
          <w:rFonts w:ascii="Times New Roman" w:eastAsia="仿宋"/>
          <w:sz w:val="30"/>
          <w:szCs w:val="30"/>
          <w:lang w:eastAsia="zh-CN"/>
        </w:rPr>
        <w:t>)</w:t>
      </w:r>
      <w:r>
        <w:rPr>
          <w:rFonts w:hint="eastAsia" w:ascii="Times New Roman" w:eastAsia="仿宋"/>
          <w:sz w:val="30"/>
          <w:szCs w:val="30"/>
          <w:lang w:eastAsia="zh-CN"/>
        </w:rPr>
        <w:t>时，总承包人须提供必要的安全防护。</w:t>
      </w:r>
    </w:p>
    <w:p w14:paraId="7370D047">
      <w:pPr>
        <w:ind w:firstLine="630" w:firstLineChars="210"/>
        <w:rPr>
          <w:rFonts w:ascii="Times New Roman" w:eastAsia="仿宋"/>
          <w:sz w:val="30"/>
          <w:szCs w:val="30"/>
          <w:lang w:eastAsia="zh-CN"/>
        </w:rPr>
      </w:pPr>
      <w:r>
        <w:rPr>
          <w:rFonts w:hint="eastAsia" w:ascii="Times New Roman" w:eastAsia="仿宋"/>
          <w:sz w:val="30"/>
          <w:szCs w:val="30"/>
          <w:lang w:eastAsia="zh-CN"/>
        </w:rPr>
        <w:t>负责设置现场医务室、急救设备</w:t>
      </w:r>
      <w:r>
        <w:rPr>
          <w:rFonts w:ascii="Times New Roman" w:eastAsia="仿宋"/>
          <w:sz w:val="30"/>
          <w:szCs w:val="30"/>
          <w:lang w:eastAsia="zh-CN"/>
        </w:rPr>
        <w:t>/</w:t>
      </w:r>
      <w:r>
        <w:rPr>
          <w:rFonts w:hint="eastAsia" w:ascii="Times New Roman" w:eastAsia="仿宋"/>
          <w:sz w:val="30"/>
          <w:szCs w:val="30"/>
          <w:lang w:eastAsia="zh-CN"/>
        </w:rPr>
        <w:t>药品及急救人员，按规范要求于现场设置灭火器、沙桶及其他有效的消防设施。</w:t>
      </w:r>
    </w:p>
    <w:p w14:paraId="49F3284E">
      <w:pPr>
        <w:pStyle w:val="2"/>
        <w:ind w:firstLine="630" w:firstLineChars="210"/>
        <w:rPr>
          <w:rFonts w:ascii="Times New Roman" w:eastAsia="仿宋"/>
          <w:sz w:val="30"/>
          <w:szCs w:val="30"/>
          <w:lang w:eastAsia="zh-CN"/>
        </w:rPr>
      </w:pPr>
      <w:r>
        <w:rPr>
          <w:rFonts w:hint="eastAsia" w:ascii="Times New Roman" w:hAnsi="Times New Roman" w:eastAsia="仿宋"/>
          <w:sz w:val="30"/>
          <w:szCs w:val="30"/>
          <w:lang w:eastAsia="zh-CN"/>
        </w:rPr>
        <w:t>3.16 围板、安全栏杆、临边防护</w:t>
      </w:r>
    </w:p>
    <w:p w14:paraId="105E2390">
      <w:pPr>
        <w:ind w:firstLine="630" w:firstLineChars="210"/>
        <w:rPr>
          <w:rFonts w:ascii="Times New Roman" w:eastAsia="仿宋"/>
          <w:sz w:val="30"/>
          <w:szCs w:val="30"/>
          <w:lang w:eastAsia="zh-CN"/>
        </w:rPr>
      </w:pPr>
      <w:r>
        <w:rPr>
          <w:rFonts w:hint="eastAsia" w:ascii="Times New Roman" w:eastAsia="仿宋"/>
          <w:sz w:val="30"/>
          <w:szCs w:val="30"/>
          <w:lang w:eastAsia="zh-CN"/>
        </w:rPr>
        <w:t>搭设、维护、拆除各类临边、洞口的安全围护及洞口盖板，围网、围板、安全栏杆等以保障场地安全直至指定分包</w:t>
      </w:r>
      <w:r>
        <w:rPr>
          <w:rFonts w:ascii="Times New Roman" w:eastAsia="仿宋"/>
          <w:sz w:val="30"/>
          <w:szCs w:val="30"/>
          <w:lang w:eastAsia="zh-CN"/>
        </w:rPr>
        <w:t>/</w:t>
      </w:r>
      <w:r>
        <w:rPr>
          <w:rFonts w:hint="eastAsia" w:ascii="Times New Roman" w:eastAsia="仿宋"/>
          <w:sz w:val="30"/>
          <w:szCs w:val="30"/>
          <w:lang w:eastAsia="zh-CN"/>
        </w:rPr>
        <w:t>独立承包工作进展要求拆卸改动进行实体工作止。</w:t>
      </w:r>
    </w:p>
    <w:p w14:paraId="0686FC05">
      <w:pPr>
        <w:ind w:firstLine="600"/>
        <w:rPr>
          <w:rFonts w:ascii="Times New Roman" w:eastAsia="仿宋"/>
          <w:sz w:val="30"/>
          <w:szCs w:val="30"/>
          <w:lang w:eastAsia="zh-CN"/>
        </w:rPr>
      </w:pPr>
      <w:r>
        <w:rPr>
          <w:rFonts w:hint="eastAsia" w:ascii="Times New Roman" w:eastAsia="仿宋"/>
          <w:sz w:val="30"/>
          <w:szCs w:val="30"/>
          <w:lang w:eastAsia="zh-CN"/>
        </w:rPr>
        <w:t>建造、维护安全通道及其相关的防护设施并提供给各分包人使用并负责拆除。所用安全网为阻燃安全网。</w:t>
      </w:r>
    </w:p>
    <w:p w14:paraId="037F01D8">
      <w:pPr>
        <w:pStyle w:val="2"/>
        <w:ind w:firstLine="600"/>
        <w:rPr>
          <w:rFonts w:ascii="Times New Roman" w:eastAsia="仿宋"/>
          <w:sz w:val="30"/>
          <w:szCs w:val="30"/>
          <w:lang w:eastAsia="zh-CN"/>
        </w:rPr>
      </w:pPr>
      <w:r>
        <w:rPr>
          <w:rFonts w:hint="eastAsia" w:ascii="Times New Roman" w:hAnsi="Times New Roman" w:eastAsia="仿宋"/>
          <w:sz w:val="30"/>
          <w:szCs w:val="30"/>
          <w:lang w:eastAsia="zh-CN"/>
        </w:rPr>
        <w:t>3.17 文明施工制度</w:t>
      </w:r>
    </w:p>
    <w:p w14:paraId="3A766D86">
      <w:pPr>
        <w:ind w:firstLine="600" w:firstLineChars="200"/>
        <w:rPr>
          <w:rFonts w:ascii="Times New Roman" w:eastAsia="仿宋"/>
          <w:sz w:val="30"/>
          <w:szCs w:val="30"/>
          <w:lang w:eastAsia="zh-CN"/>
        </w:rPr>
      </w:pPr>
      <w:r>
        <w:rPr>
          <w:rFonts w:hint="eastAsia" w:ascii="Times New Roman" w:eastAsia="仿宋"/>
          <w:sz w:val="30"/>
          <w:szCs w:val="30"/>
          <w:lang w:eastAsia="zh-CN"/>
        </w:rPr>
        <w:t>在发包人安全文明施工技术规范的基础上，深化文明施工方案。</w:t>
      </w:r>
    </w:p>
    <w:p w14:paraId="6C546E0A">
      <w:pPr>
        <w:rPr>
          <w:rFonts w:ascii="Times New Roman" w:eastAsia="仿宋"/>
          <w:sz w:val="30"/>
          <w:szCs w:val="30"/>
          <w:lang w:eastAsia="zh-CN"/>
        </w:rPr>
      </w:pPr>
      <w:r>
        <w:rPr>
          <w:rFonts w:hint="eastAsia" w:ascii="Times New Roman" w:eastAsia="仿宋"/>
          <w:sz w:val="30"/>
          <w:szCs w:val="30"/>
          <w:lang w:eastAsia="zh-CN"/>
        </w:rPr>
        <w:t>保护附近永久建筑、道路、市政设施免受施工损坏，并承担由此引起的纠纷和损失。</w:t>
      </w:r>
    </w:p>
    <w:p w14:paraId="7E0E76F5">
      <w:pPr>
        <w:ind w:firstLine="600" w:firstLineChars="200"/>
        <w:rPr>
          <w:rFonts w:ascii="Times New Roman" w:eastAsia="仿宋"/>
          <w:sz w:val="30"/>
          <w:szCs w:val="30"/>
          <w:lang w:eastAsia="zh-CN"/>
        </w:rPr>
      </w:pPr>
      <w:r>
        <w:rPr>
          <w:rFonts w:hint="eastAsia" w:ascii="Times New Roman" w:eastAsia="仿宋"/>
          <w:sz w:val="30"/>
          <w:szCs w:val="30"/>
          <w:lang w:eastAsia="zh-CN"/>
        </w:rPr>
        <w:t>按发包人要求进行所有电房、电梯井道、机房入口及电线槽穿楼板洞口周边防水围坎施工。</w:t>
      </w:r>
    </w:p>
    <w:p w14:paraId="0BF682A1">
      <w:pPr>
        <w:ind w:firstLine="600" w:firstLineChars="200"/>
        <w:rPr>
          <w:rFonts w:ascii="Times New Roman" w:eastAsia="仿宋"/>
          <w:sz w:val="30"/>
          <w:szCs w:val="30"/>
          <w:lang w:eastAsia="zh-CN"/>
        </w:rPr>
      </w:pPr>
      <w:r>
        <w:rPr>
          <w:rFonts w:hint="eastAsia" w:ascii="Times New Roman" w:eastAsia="仿宋"/>
          <w:sz w:val="30"/>
          <w:szCs w:val="30"/>
          <w:lang w:eastAsia="zh-CN"/>
        </w:rPr>
        <w:t>负责办公区的日常维护、保洁工作。</w:t>
      </w:r>
    </w:p>
    <w:p w14:paraId="0AFE0414">
      <w:pPr>
        <w:ind w:firstLine="600" w:firstLineChars="200"/>
        <w:rPr>
          <w:rFonts w:ascii="Times New Roman" w:eastAsia="仿宋"/>
          <w:sz w:val="30"/>
          <w:szCs w:val="30"/>
          <w:lang w:eastAsia="zh-CN"/>
        </w:rPr>
      </w:pPr>
      <w:r>
        <w:rPr>
          <w:rFonts w:hint="eastAsia" w:ascii="Times New Roman" w:eastAsia="仿宋"/>
          <w:sz w:val="30"/>
          <w:szCs w:val="30"/>
          <w:lang w:eastAsia="zh-CN"/>
        </w:rPr>
        <w:t>3.18 防火、防水、防风、防雷及防雨</w:t>
      </w:r>
    </w:p>
    <w:p w14:paraId="4DEF1F79">
      <w:pPr>
        <w:ind w:firstLine="600" w:firstLineChars="200"/>
        <w:rPr>
          <w:rFonts w:ascii="Times New Roman" w:eastAsia="仿宋"/>
          <w:sz w:val="30"/>
          <w:szCs w:val="30"/>
          <w:lang w:eastAsia="zh-CN"/>
        </w:rPr>
      </w:pPr>
      <w:r>
        <w:rPr>
          <w:rFonts w:hint="eastAsia" w:ascii="Times New Roman" w:eastAsia="仿宋"/>
          <w:sz w:val="30"/>
          <w:szCs w:val="30"/>
          <w:lang w:eastAsia="zh-CN"/>
        </w:rPr>
        <w:t>负责整个项目有关防火、防水、防风、防雷及防雨工作，编制项目整体方案，提供包括自承建范围、公共区域、交叉工作面范围内的防火、防水、防风、防雷及防雨保护，极端严寒酷热天气须采取抗热或保温措施。</w:t>
      </w:r>
    </w:p>
    <w:p w14:paraId="6997453D">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3.19 降排水</w:t>
      </w:r>
    </w:p>
    <w:p w14:paraId="6B481EA8">
      <w:pPr>
        <w:ind w:firstLine="600" w:firstLineChars="200"/>
        <w:rPr>
          <w:rFonts w:ascii="Times New Roman" w:eastAsia="仿宋"/>
          <w:sz w:val="30"/>
          <w:szCs w:val="30"/>
          <w:lang w:eastAsia="zh-CN"/>
        </w:rPr>
      </w:pPr>
      <w:r>
        <w:rPr>
          <w:rFonts w:hint="eastAsia" w:ascii="Times New Roman" w:eastAsia="仿宋"/>
          <w:sz w:val="30"/>
          <w:szCs w:val="30"/>
          <w:lang w:eastAsia="zh-CN"/>
        </w:rPr>
        <w:t>总承包人承担项目降排水责任。负责接收</w:t>
      </w:r>
      <w:r>
        <w:rPr>
          <w:rFonts w:ascii="Times New Roman" w:eastAsia="仿宋"/>
          <w:sz w:val="30"/>
          <w:szCs w:val="30"/>
          <w:lang w:eastAsia="zh-CN"/>
        </w:rPr>
        <w:t>/</w:t>
      </w:r>
      <w:r>
        <w:rPr>
          <w:rFonts w:hint="eastAsia" w:ascii="Times New Roman" w:eastAsia="仿宋"/>
          <w:sz w:val="30"/>
          <w:szCs w:val="30"/>
          <w:lang w:eastAsia="zh-CN"/>
        </w:rPr>
        <w:t>新建、维护、拆除地下水降水设施、施工排水沟，必须在工地设置、维护雨污水系统，统一规划施工区、办公区的雨污水排放，并负责排放管理。</w:t>
      </w:r>
    </w:p>
    <w:p w14:paraId="48CD09A4">
      <w:pPr>
        <w:ind w:firstLine="600" w:firstLineChars="200"/>
        <w:rPr>
          <w:rFonts w:ascii="Times New Roman" w:eastAsia="仿宋"/>
          <w:sz w:val="30"/>
          <w:szCs w:val="30"/>
          <w:lang w:eastAsia="zh-CN"/>
        </w:rPr>
      </w:pPr>
      <w:r>
        <w:rPr>
          <w:rFonts w:hint="eastAsia" w:ascii="Times New Roman" w:eastAsia="仿宋"/>
          <w:sz w:val="30"/>
          <w:szCs w:val="30"/>
          <w:lang w:eastAsia="zh-CN"/>
        </w:rPr>
        <w:t>在施工各阶段为现场排水及避免流溢到邻近土地提供所有需要的临时排水渠、排水沟及临时排水工程。</w:t>
      </w:r>
    </w:p>
    <w:p w14:paraId="7CF7C718">
      <w:pPr>
        <w:ind w:firstLine="600" w:firstLineChars="200"/>
        <w:rPr>
          <w:rFonts w:ascii="Times New Roman" w:eastAsia="仿宋"/>
          <w:sz w:val="30"/>
          <w:szCs w:val="30"/>
          <w:lang w:eastAsia="zh-CN"/>
        </w:rPr>
      </w:pPr>
      <w:r>
        <w:rPr>
          <w:rFonts w:hint="eastAsia" w:ascii="Times New Roman" w:eastAsia="仿宋"/>
          <w:sz w:val="30"/>
          <w:szCs w:val="30"/>
          <w:lang w:eastAsia="zh-CN"/>
        </w:rPr>
        <w:t>在现场提供足够的排水设施，保证现场干燥不积水，满足施工的要求。须提供保证施工必需的沙包或其他临时防排水设施，降排水直至移交物业为止。</w:t>
      </w:r>
    </w:p>
    <w:p w14:paraId="489DE0D9">
      <w:pPr>
        <w:ind w:firstLine="600" w:firstLineChars="200"/>
        <w:rPr>
          <w:rFonts w:ascii="Times New Roman" w:eastAsia="仿宋"/>
          <w:sz w:val="30"/>
          <w:szCs w:val="30"/>
          <w:lang w:eastAsia="zh-CN"/>
        </w:rPr>
      </w:pPr>
      <w:r>
        <w:rPr>
          <w:rFonts w:hint="eastAsia" w:ascii="Times New Roman" w:eastAsia="仿宋"/>
          <w:sz w:val="30"/>
          <w:szCs w:val="30"/>
          <w:lang w:eastAsia="zh-CN"/>
        </w:rPr>
        <w:t>3.20 违约赔偿金</w:t>
      </w:r>
    </w:p>
    <w:p w14:paraId="6BC7CBDB">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3.20.1 没有发包人的事先书面同意，总承包人均不得更换和撤销项目组织机构的主要管理人员（包括项目经理、生产经理、技术经理、安全管理人员及商务经理），否则视同总承包人违约。主要管理人员在整个合同期内的工作应是全职的而不应是兼职的</w:t>
      </w:r>
      <w:r>
        <w:rPr>
          <w:rFonts w:ascii="Times New Roman" w:eastAsia="仿宋"/>
          <w:sz w:val="30"/>
          <w:szCs w:val="30"/>
          <w:lang w:eastAsia="zh-CN"/>
        </w:rPr>
        <w:t>,</w:t>
      </w:r>
      <w:r>
        <w:rPr>
          <w:rFonts w:hint="eastAsia" w:ascii="Times New Roman" w:eastAsia="仿宋"/>
          <w:sz w:val="30"/>
          <w:szCs w:val="30"/>
          <w:lang w:eastAsia="zh-CN"/>
        </w:rPr>
        <w:t>未经发包人许可撤换项目主要管理人员，处以人民币</w:t>
      </w:r>
      <w:r>
        <w:rPr>
          <w:rFonts w:ascii="Times New Roman" w:eastAsia="仿宋"/>
          <w:sz w:val="30"/>
          <w:szCs w:val="30"/>
          <w:lang w:eastAsia="zh-CN"/>
        </w:rPr>
        <w:t xml:space="preserve"> 100,000</w:t>
      </w:r>
      <w:r>
        <w:rPr>
          <w:rFonts w:hint="eastAsia" w:ascii="Times New Roman" w:eastAsia="仿宋"/>
          <w:sz w:val="30"/>
          <w:szCs w:val="30"/>
          <w:lang w:eastAsia="zh-CN"/>
        </w:rPr>
        <w:t>元（壹拾万元）</w:t>
      </w:r>
      <w:r>
        <w:rPr>
          <w:rFonts w:ascii="Times New Roman" w:eastAsia="仿宋"/>
          <w:sz w:val="30"/>
          <w:szCs w:val="30"/>
          <w:lang w:eastAsia="zh-CN"/>
        </w:rPr>
        <w:t>/</w:t>
      </w:r>
      <w:r>
        <w:rPr>
          <w:rFonts w:hint="eastAsia" w:ascii="Times New Roman" w:eastAsia="仿宋"/>
          <w:sz w:val="30"/>
          <w:szCs w:val="30"/>
          <w:lang w:eastAsia="zh-CN"/>
        </w:rPr>
        <w:t>人</w:t>
      </w:r>
      <w:r>
        <w:rPr>
          <w:rFonts w:hint="eastAsia" w:ascii="宋体" w:hAnsi="宋体" w:eastAsia="宋体" w:cs="宋体"/>
          <w:sz w:val="30"/>
          <w:szCs w:val="30"/>
          <w:lang w:eastAsia="zh-CN"/>
        </w:rPr>
        <w:t>•</w:t>
      </w:r>
      <w:r>
        <w:rPr>
          <w:rFonts w:hint="eastAsia" w:ascii="仿宋" w:hAnsi="仿宋" w:eastAsia="仿宋" w:cs="仿宋"/>
          <w:sz w:val="30"/>
          <w:szCs w:val="30"/>
          <w:lang w:eastAsia="zh-CN"/>
        </w:rPr>
        <w:t>次的违约金。</w:t>
      </w:r>
    </w:p>
    <w:p w14:paraId="6AE48765">
      <w:pPr>
        <w:pStyle w:val="2"/>
        <w:ind w:firstLine="600" w:firstLineChars="200"/>
        <w:rPr>
          <w:rFonts w:ascii="Times New Roman" w:eastAsia="仿宋"/>
          <w:sz w:val="30"/>
          <w:szCs w:val="30"/>
          <w:lang w:eastAsia="zh-CN"/>
        </w:rPr>
      </w:pPr>
      <w:r>
        <w:rPr>
          <w:rFonts w:hint="eastAsia" w:ascii="Times New Roman" w:hAnsi="Times New Roman" w:eastAsia="仿宋"/>
          <w:sz w:val="30"/>
          <w:szCs w:val="30"/>
          <w:lang w:eastAsia="zh-CN"/>
        </w:rPr>
        <w:t>3.20.2 项目经理在整个合同期内的工作应是全职的而不应是兼职的。项目经理须保证在现场的工作时间每周不低于</w:t>
      </w:r>
      <w:r>
        <w:rPr>
          <w:rFonts w:ascii="Times New Roman" w:hAnsi="Times New Roman" w:eastAsia="仿宋"/>
          <w:sz w:val="30"/>
          <w:szCs w:val="30"/>
          <w:lang w:eastAsia="zh-CN"/>
        </w:rPr>
        <w:t>6</w:t>
      </w:r>
      <w:r>
        <w:rPr>
          <w:rFonts w:hint="eastAsia" w:ascii="Times New Roman" w:hAnsi="Times New Roman" w:eastAsia="仿宋"/>
          <w:sz w:val="30"/>
          <w:szCs w:val="30"/>
          <w:lang w:eastAsia="zh-CN"/>
        </w:rPr>
        <w:t>天，否则视同总承包人违约，如项目经理在现场的工作时间不足</w:t>
      </w:r>
      <w:r>
        <w:rPr>
          <w:rFonts w:ascii="Times New Roman" w:hAnsi="Times New Roman" w:eastAsia="仿宋"/>
          <w:sz w:val="30"/>
          <w:szCs w:val="30"/>
          <w:lang w:eastAsia="zh-CN"/>
        </w:rPr>
        <w:t>6</w:t>
      </w:r>
      <w:r>
        <w:rPr>
          <w:rFonts w:hint="eastAsia" w:ascii="Times New Roman" w:hAnsi="Times New Roman" w:eastAsia="仿宋"/>
          <w:sz w:val="30"/>
          <w:szCs w:val="30"/>
          <w:lang w:eastAsia="zh-CN"/>
        </w:rPr>
        <w:t>天，</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将从任何承包人应得的款项中处以每天壹仟元的罚款，但罚款总额最高不超过合同金额的</w:t>
      </w:r>
      <w:r>
        <w:rPr>
          <w:rFonts w:ascii="Times New Roman" w:hAnsi="Times New Roman" w:eastAsia="仿宋"/>
          <w:sz w:val="30"/>
          <w:szCs w:val="30"/>
          <w:lang w:eastAsia="zh-CN"/>
        </w:rPr>
        <w:t xml:space="preserve"> 1% </w:t>
      </w:r>
      <w:r>
        <w:rPr>
          <w:rFonts w:hint="eastAsia" w:ascii="Times New Roman" w:hAnsi="Times New Roman" w:eastAsia="仿宋"/>
          <w:sz w:val="30"/>
          <w:szCs w:val="30"/>
          <w:lang w:eastAsia="zh-CN"/>
        </w:rPr>
        <w:t>，并从月付款中扣除相应罚款。</w:t>
      </w:r>
    </w:p>
    <w:p w14:paraId="5C2B0AD3">
      <w:pPr>
        <w:pStyle w:val="2"/>
        <w:ind w:firstLine="600"/>
        <w:rPr>
          <w:rFonts w:ascii="Times New Roman" w:eastAsia="仿宋"/>
          <w:sz w:val="30"/>
          <w:szCs w:val="30"/>
          <w:lang w:eastAsia="zh-CN"/>
        </w:rPr>
      </w:pPr>
      <w:r>
        <w:rPr>
          <w:rFonts w:hint="eastAsia" w:ascii="Times New Roman" w:hAnsi="Times New Roman" w:eastAsia="仿宋"/>
          <w:sz w:val="30"/>
          <w:szCs w:val="30"/>
          <w:lang w:eastAsia="zh-CN"/>
        </w:rPr>
        <w:t>3.20.3 若政府相关部门、地产公司相关安全或质量检查，出现通报批评、书面整改通知等状况，则总承包人向</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支付违约金</w:t>
      </w:r>
      <w:r>
        <w:rPr>
          <w:rFonts w:ascii="Times New Roman" w:hAnsi="Times New Roman" w:eastAsia="仿宋"/>
          <w:sz w:val="30"/>
          <w:szCs w:val="30"/>
          <w:lang w:eastAsia="zh-CN"/>
        </w:rPr>
        <w:t xml:space="preserve"> 10,000 </w:t>
      </w:r>
      <w:r>
        <w:rPr>
          <w:rFonts w:hint="eastAsia" w:ascii="Times New Roman" w:hAnsi="Times New Roman" w:eastAsia="仿宋"/>
          <w:sz w:val="30"/>
          <w:szCs w:val="30"/>
          <w:lang w:eastAsia="zh-CN"/>
        </w:rPr>
        <w:t>元（壹万元）</w:t>
      </w:r>
      <w:r>
        <w:rPr>
          <w:rFonts w:ascii="Times New Roman" w:hAnsi="Times New Roman" w:eastAsia="仿宋"/>
          <w:sz w:val="30"/>
          <w:szCs w:val="30"/>
          <w:lang w:eastAsia="zh-CN"/>
        </w:rPr>
        <w:t>/</w:t>
      </w:r>
      <w:r>
        <w:rPr>
          <w:rFonts w:hint="eastAsia" w:ascii="Times New Roman" w:hAnsi="Times New Roman" w:eastAsia="仿宋"/>
          <w:sz w:val="30"/>
          <w:szCs w:val="30"/>
          <w:lang w:eastAsia="zh-CN"/>
        </w:rPr>
        <w:t>次。若在总承包建设过程中出现安全事故或质量事故，其赔偿小业主之费用及公关费用由总承包人承担。</w:t>
      </w:r>
    </w:p>
    <w:p w14:paraId="7A4B3876">
      <w:pPr>
        <w:ind w:firstLine="600" w:firstLineChars="200"/>
        <w:rPr>
          <w:rFonts w:ascii="Times New Roman" w:eastAsia="仿宋"/>
          <w:sz w:val="30"/>
          <w:szCs w:val="30"/>
          <w:lang w:eastAsia="zh-CN"/>
        </w:rPr>
      </w:pPr>
      <w:r>
        <w:rPr>
          <w:rFonts w:hint="eastAsia" w:ascii="Times New Roman" w:eastAsia="仿宋"/>
          <w:sz w:val="30"/>
          <w:szCs w:val="30"/>
          <w:lang w:eastAsia="zh-CN"/>
        </w:rPr>
        <w:t>3.20.4 若总承包人未按合同规定时间完成节点对应之工程进度，每拖延一天，总承包人向发包人支付贰万元（￥2</w:t>
      </w:r>
      <w:r>
        <w:rPr>
          <w:rFonts w:ascii="Times New Roman" w:eastAsia="仿宋"/>
          <w:sz w:val="30"/>
          <w:szCs w:val="30"/>
          <w:lang w:eastAsia="zh-CN"/>
        </w:rPr>
        <w:t>0,000.00</w:t>
      </w:r>
      <w:r>
        <w:rPr>
          <w:rFonts w:hint="eastAsia" w:ascii="Times New Roman" w:eastAsia="仿宋"/>
          <w:sz w:val="30"/>
          <w:szCs w:val="30"/>
          <w:lang w:eastAsia="zh-CN"/>
        </w:rPr>
        <w:t>）作为拖期违约金。</w:t>
      </w:r>
    </w:p>
    <w:p w14:paraId="32C1F1B7">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3.20.5 发生任何索赔事件后，承包人必须在索赔事件发生之日</w:t>
      </w:r>
      <w:r>
        <w:rPr>
          <w:rFonts w:ascii="Times New Roman" w:eastAsia="仿宋"/>
          <w:sz w:val="30"/>
          <w:szCs w:val="30"/>
          <w:lang w:eastAsia="zh-CN"/>
        </w:rPr>
        <w:t>7</w:t>
      </w:r>
      <w:r>
        <w:rPr>
          <w:rFonts w:hint="eastAsia" w:ascii="Times New Roman" w:eastAsia="仿宋"/>
          <w:sz w:val="30"/>
          <w:szCs w:val="30"/>
          <w:lang w:eastAsia="zh-CN"/>
        </w:rPr>
        <w:t>日内提出索赔意向，并在随后的</w:t>
      </w:r>
      <w:r>
        <w:rPr>
          <w:rFonts w:ascii="Times New Roman" w:eastAsia="仿宋"/>
          <w:sz w:val="30"/>
          <w:szCs w:val="30"/>
          <w:lang w:eastAsia="zh-CN"/>
        </w:rPr>
        <w:t>14</w:t>
      </w:r>
      <w:r>
        <w:rPr>
          <w:rFonts w:hint="eastAsia" w:ascii="Times New Roman" w:eastAsia="仿宋"/>
          <w:sz w:val="30"/>
          <w:szCs w:val="30"/>
          <w:lang w:eastAsia="zh-CN"/>
        </w:rPr>
        <w:t>日内提供索赔报告的有关证据。承包人未在上述期限内提出索赔意向或索赔报告与证据，视为承包人认为未对承包人造成损失，或视为承包人放弃索赔的权利。</w:t>
      </w:r>
    </w:p>
    <w:p w14:paraId="5562D438">
      <w:pPr>
        <w:pStyle w:val="2"/>
        <w:ind w:firstLine="630" w:firstLineChars="210"/>
        <w:rPr>
          <w:rFonts w:ascii="Times New Roman" w:eastAsia="仿宋"/>
          <w:sz w:val="30"/>
          <w:szCs w:val="30"/>
          <w:lang w:eastAsia="zh-CN"/>
        </w:rPr>
      </w:pPr>
      <w:r>
        <w:rPr>
          <w:rFonts w:hint="eastAsia" w:ascii="Times New Roman" w:hAnsi="Times New Roman" w:eastAsia="仿宋"/>
          <w:sz w:val="30"/>
          <w:szCs w:val="30"/>
          <w:lang w:eastAsia="zh-CN"/>
        </w:rPr>
        <w:t>3.20.6 若出现因质量问题而导致的小业主群诉、集体闹事，承包人需承担由于自身质量缺陷而造成的维修及由于自身质量缺陷造成的一切索赔费用。</w:t>
      </w:r>
    </w:p>
    <w:p w14:paraId="4B7440E9">
      <w:pPr>
        <w:ind w:firstLine="630" w:firstLineChars="210"/>
        <w:rPr>
          <w:rFonts w:ascii="Times New Roman" w:eastAsia="仿宋"/>
          <w:sz w:val="30"/>
          <w:szCs w:val="30"/>
          <w:lang w:eastAsia="zh-CN"/>
        </w:rPr>
      </w:pPr>
      <w:r>
        <w:rPr>
          <w:rFonts w:hint="eastAsia" w:ascii="Times New Roman" w:eastAsia="仿宋"/>
          <w:sz w:val="30"/>
          <w:szCs w:val="30"/>
          <w:lang w:eastAsia="zh-CN"/>
        </w:rPr>
        <w:t>3.20.7 一切经发包人批准的工期延长及由于非承包人原因造成的工期延误，承包人不得要求发包人支付窝工及对施工资源（人员、设备等）重新安排及承包人的支出等费用或作其他金钱上的索赔。</w:t>
      </w:r>
    </w:p>
    <w:p w14:paraId="2BD2EB13">
      <w:pPr>
        <w:ind w:firstLine="480"/>
        <w:rPr>
          <w:rFonts w:ascii="Times New Roman" w:hAnsi="Calibri" w:eastAsia="仿宋"/>
          <w:sz w:val="30"/>
          <w:szCs w:val="30"/>
          <w:lang w:eastAsia="zh-CN"/>
        </w:rPr>
      </w:pPr>
      <w:r>
        <w:rPr>
          <w:rFonts w:ascii="Times New Roman" w:hAnsi="Calibri" w:eastAsia="仿宋"/>
          <w:sz w:val="30"/>
          <w:szCs w:val="30"/>
          <w:lang w:eastAsia="zh-CN"/>
        </w:rPr>
        <w:t>3.2</w:t>
      </w:r>
      <w:r>
        <w:rPr>
          <w:rFonts w:hint="eastAsia" w:ascii="Times New Roman" w:hAnsi="Calibri" w:eastAsia="仿宋"/>
          <w:sz w:val="30"/>
          <w:szCs w:val="30"/>
          <w:lang w:eastAsia="zh-CN"/>
        </w:rPr>
        <w:t>1 项目地处市中心，</w:t>
      </w:r>
      <w:r>
        <w:rPr>
          <w:rFonts w:hint="eastAsia" w:ascii="Times New Roman" w:hAnsi="Calibri" w:eastAsia="仿宋"/>
          <w:sz w:val="30"/>
          <w:szCs w:val="30"/>
          <w:highlight w:val="yellow"/>
          <w:lang w:eastAsia="zh-CN"/>
        </w:rPr>
        <w:t>总承包人负责需办理施工许可证/施工备案证、占道证</w:t>
      </w:r>
      <w:r>
        <w:rPr>
          <w:rFonts w:hint="eastAsia" w:ascii="Times New Roman" w:hAnsi="Calibri" w:eastAsia="仿宋"/>
          <w:sz w:val="30"/>
          <w:szCs w:val="30"/>
          <w:lang w:eastAsia="zh-CN"/>
        </w:rPr>
        <w:t>及相关部门、街道、居委会备案手续，不能因许可或备案事宜而影响施工工期节点。</w:t>
      </w:r>
    </w:p>
    <w:p w14:paraId="5590F2CC">
      <w:pPr>
        <w:pStyle w:val="2"/>
        <w:ind w:firstLine="480"/>
        <w:rPr>
          <w:rFonts w:hint="eastAsia" w:ascii="Times New Roman" w:hAnsi="宋体" w:eastAsia="仿宋" w:cs="宋体"/>
          <w:sz w:val="30"/>
          <w:szCs w:val="30"/>
          <w:lang w:eastAsia="zh-CN"/>
        </w:rPr>
      </w:pPr>
      <w:r>
        <w:rPr>
          <w:rFonts w:ascii="Times New Roman" w:eastAsia="仿宋"/>
          <w:sz w:val="30"/>
          <w:szCs w:val="30"/>
          <w:lang w:eastAsia="zh-CN"/>
        </w:rPr>
        <w:t>3.2</w:t>
      </w:r>
      <w:r>
        <w:rPr>
          <w:rFonts w:hint="eastAsia" w:ascii="Times New Roman" w:eastAsia="仿宋"/>
          <w:sz w:val="30"/>
          <w:szCs w:val="30"/>
          <w:lang w:eastAsia="zh-CN"/>
        </w:rPr>
        <w:t xml:space="preserve">2 </w:t>
      </w:r>
      <w:r>
        <w:rPr>
          <w:rFonts w:hint="eastAsia" w:ascii="Times New Roman" w:hAnsi="宋体" w:eastAsia="仿宋" w:cs="宋体"/>
          <w:sz w:val="30"/>
          <w:szCs w:val="30"/>
          <w:lang w:eastAsia="zh-CN"/>
        </w:rPr>
        <w:t>政</w:t>
      </w:r>
      <w:r>
        <w:rPr>
          <w:rFonts w:ascii="Times New Roman" w:hAnsi="宋体" w:eastAsia="仿宋" w:cs="宋体"/>
          <w:sz w:val="30"/>
          <w:szCs w:val="30"/>
          <w:lang w:eastAsia="zh-CN"/>
        </w:rPr>
        <w:t>府部门对已完成/</w:t>
      </w:r>
      <w:r>
        <w:rPr>
          <w:rFonts w:hint="eastAsia" w:ascii="Times New Roman" w:hAnsi="宋体" w:eastAsia="仿宋" w:cs="宋体"/>
          <w:sz w:val="30"/>
          <w:szCs w:val="30"/>
          <w:lang w:eastAsia="zh-CN"/>
        </w:rPr>
        <w:t>施工中</w:t>
      </w:r>
      <w:r>
        <w:rPr>
          <w:rFonts w:ascii="Times New Roman" w:hAnsi="宋体" w:eastAsia="仿宋" w:cs="宋体"/>
          <w:sz w:val="30"/>
          <w:szCs w:val="30"/>
          <w:lang w:eastAsia="zh-CN"/>
        </w:rPr>
        <w:t>的市政道路、管道、设施设备保护要求较为严格</w:t>
      </w:r>
      <w:r>
        <w:rPr>
          <w:rFonts w:hint="eastAsia" w:ascii="Times New Roman" w:hAnsi="宋体" w:eastAsia="仿宋" w:cs="宋体"/>
          <w:sz w:val="30"/>
          <w:szCs w:val="30"/>
          <w:lang w:eastAsia="zh-CN"/>
        </w:rPr>
        <w:t>。施</w:t>
      </w:r>
      <w:r>
        <w:rPr>
          <w:rFonts w:ascii="Times New Roman" w:hAnsi="宋体" w:eastAsia="仿宋" w:cs="宋体"/>
          <w:sz w:val="30"/>
          <w:szCs w:val="30"/>
          <w:lang w:eastAsia="zh-CN"/>
        </w:rPr>
        <w:t>工过程中总承包人</w:t>
      </w:r>
      <w:r>
        <w:rPr>
          <w:rFonts w:hint="eastAsia" w:ascii="Times New Roman" w:hAnsi="宋体" w:eastAsia="仿宋" w:cs="宋体"/>
          <w:sz w:val="30"/>
          <w:szCs w:val="30"/>
          <w:lang w:eastAsia="zh-CN"/>
        </w:rPr>
        <w:t>需</w:t>
      </w:r>
      <w:r>
        <w:rPr>
          <w:rFonts w:ascii="Times New Roman" w:hAnsi="宋体" w:eastAsia="仿宋" w:cs="宋体"/>
          <w:sz w:val="30"/>
          <w:szCs w:val="30"/>
          <w:lang w:eastAsia="zh-CN"/>
        </w:rPr>
        <w:t>特别关注</w:t>
      </w:r>
      <w:r>
        <w:rPr>
          <w:rFonts w:hint="eastAsia" w:ascii="Times New Roman" w:hAnsi="宋体" w:eastAsia="仿宋" w:cs="宋体"/>
          <w:sz w:val="30"/>
          <w:szCs w:val="30"/>
          <w:lang w:eastAsia="zh-CN"/>
        </w:rPr>
        <w:t>对项目红线内外周边</w:t>
      </w:r>
      <w:r>
        <w:rPr>
          <w:rFonts w:ascii="Times New Roman" w:hAnsi="宋体" w:eastAsia="仿宋" w:cs="宋体"/>
          <w:sz w:val="30"/>
          <w:szCs w:val="30"/>
          <w:lang w:eastAsia="zh-CN"/>
        </w:rPr>
        <w:t>道路、管道、设施设备</w:t>
      </w:r>
      <w:r>
        <w:rPr>
          <w:rFonts w:hint="eastAsia" w:ascii="Times New Roman" w:hAnsi="宋体" w:eastAsia="仿宋" w:cs="宋体"/>
          <w:sz w:val="30"/>
          <w:szCs w:val="30"/>
          <w:lang w:eastAsia="zh-CN"/>
        </w:rPr>
        <w:t>的</w:t>
      </w:r>
      <w:r>
        <w:rPr>
          <w:rFonts w:ascii="Times New Roman" w:hAnsi="宋体" w:eastAsia="仿宋" w:cs="宋体"/>
          <w:sz w:val="30"/>
          <w:szCs w:val="30"/>
          <w:lang w:eastAsia="zh-CN"/>
        </w:rPr>
        <w:t>保护</w:t>
      </w:r>
      <w:r>
        <w:rPr>
          <w:rFonts w:hint="eastAsia" w:ascii="Times New Roman" w:hAnsi="宋体" w:eastAsia="仿宋" w:cs="宋体"/>
          <w:sz w:val="30"/>
          <w:szCs w:val="30"/>
          <w:lang w:eastAsia="zh-CN"/>
        </w:rPr>
        <w:t>，以及</w:t>
      </w:r>
      <w:r>
        <w:rPr>
          <w:rFonts w:ascii="Times New Roman" w:hAnsi="宋体" w:eastAsia="仿宋" w:cs="宋体"/>
          <w:sz w:val="30"/>
          <w:szCs w:val="30"/>
          <w:lang w:eastAsia="zh-CN"/>
        </w:rPr>
        <w:t>降尘降噪及关系维护。</w:t>
      </w:r>
      <w:r>
        <w:rPr>
          <w:rFonts w:ascii="Times New Roman" w:eastAsia="仿宋"/>
          <w:sz w:val="30"/>
          <w:szCs w:val="30"/>
          <w:lang w:eastAsia="zh-CN"/>
        </w:rPr>
        <w:t>否则需承担所发生的维护或修复费用。</w:t>
      </w:r>
    </w:p>
    <w:p w14:paraId="34BF4D1C">
      <w:pPr>
        <w:ind w:firstLine="480"/>
        <w:rPr>
          <w:rFonts w:ascii="Times New Roman" w:hAnsi="Calibri" w:eastAsia="仿宋"/>
          <w:sz w:val="30"/>
          <w:szCs w:val="30"/>
          <w:lang w:eastAsia="zh-CN"/>
        </w:rPr>
      </w:pPr>
      <w:r>
        <w:rPr>
          <w:rFonts w:ascii="Times New Roman" w:hAnsi="Calibri" w:eastAsia="仿宋"/>
          <w:sz w:val="30"/>
          <w:szCs w:val="30"/>
          <w:lang w:eastAsia="zh-CN"/>
        </w:rPr>
        <w:t>3.2</w:t>
      </w:r>
      <w:r>
        <w:rPr>
          <w:rFonts w:hint="eastAsia" w:ascii="Times New Roman" w:hAnsi="Calibri" w:eastAsia="仿宋"/>
          <w:sz w:val="30"/>
          <w:szCs w:val="30"/>
          <w:lang w:eastAsia="zh-CN"/>
        </w:rPr>
        <w:t xml:space="preserve">3 </w:t>
      </w:r>
      <w:r>
        <w:rPr>
          <w:rFonts w:ascii="Times New Roman" w:hAnsi="Calibri" w:eastAsia="仿宋"/>
          <w:sz w:val="30"/>
          <w:szCs w:val="30"/>
          <w:lang w:eastAsia="zh-CN"/>
        </w:rPr>
        <w:t>项目为商业旧改，根据施工图改造，总承包人需对现状工程设备设施、动力系统、给排水系统（含雨污水系统）、弱电系统、消防系统、渗漏、装饰装修状态进行摸排，并考虑</w:t>
      </w:r>
      <w:r>
        <w:rPr>
          <w:rFonts w:hint="eastAsia" w:ascii="Times New Roman" w:hAnsi="Calibri" w:eastAsia="仿宋"/>
          <w:sz w:val="30"/>
          <w:szCs w:val="30"/>
          <w:lang w:eastAsia="zh-CN"/>
        </w:rPr>
        <w:t>在</w:t>
      </w:r>
      <w:r>
        <w:rPr>
          <w:rFonts w:ascii="Times New Roman" w:hAnsi="Calibri" w:eastAsia="仿宋"/>
          <w:sz w:val="30"/>
          <w:szCs w:val="30"/>
          <w:lang w:eastAsia="zh-CN"/>
        </w:rPr>
        <w:t>合同总价内。并结合制定详细维护及翻新措施、改造方案、节点、工艺做法。</w:t>
      </w:r>
    </w:p>
    <w:p w14:paraId="29FDEC36">
      <w:pPr>
        <w:pStyle w:val="2"/>
        <w:ind w:firstLine="480"/>
        <w:rPr>
          <w:rFonts w:ascii="Times New Roman" w:eastAsia="仿宋"/>
          <w:sz w:val="30"/>
          <w:szCs w:val="30"/>
          <w:lang w:eastAsia="zh-CN"/>
        </w:rPr>
      </w:pPr>
      <w:r>
        <w:rPr>
          <w:rFonts w:ascii="Times New Roman" w:eastAsia="仿宋"/>
          <w:sz w:val="30"/>
          <w:szCs w:val="30"/>
          <w:lang w:eastAsia="zh-CN"/>
        </w:rPr>
        <w:t>3.2</w:t>
      </w:r>
      <w:r>
        <w:rPr>
          <w:rFonts w:hint="eastAsia" w:ascii="Times New Roman" w:eastAsia="仿宋"/>
          <w:sz w:val="30"/>
          <w:szCs w:val="30"/>
          <w:lang w:eastAsia="zh-CN"/>
        </w:rPr>
        <w:t>4 总承包</w:t>
      </w:r>
      <w:r>
        <w:rPr>
          <w:rFonts w:ascii="Times New Roman" w:eastAsia="仿宋"/>
          <w:sz w:val="30"/>
          <w:szCs w:val="30"/>
          <w:lang w:eastAsia="zh-CN"/>
        </w:rPr>
        <w:t>需</w:t>
      </w:r>
      <w:r>
        <w:rPr>
          <w:rFonts w:hint="eastAsia" w:ascii="Times New Roman" w:eastAsia="仿宋"/>
          <w:sz w:val="30"/>
          <w:szCs w:val="30"/>
          <w:lang w:eastAsia="zh-CN"/>
        </w:rPr>
        <w:t>探明</w:t>
      </w:r>
      <w:r>
        <w:rPr>
          <w:rFonts w:ascii="Times New Roman" w:eastAsia="仿宋"/>
          <w:sz w:val="30"/>
          <w:szCs w:val="30"/>
          <w:lang w:eastAsia="zh-CN"/>
        </w:rPr>
        <w:t>改造建筑物内</w:t>
      </w:r>
      <w:r>
        <w:rPr>
          <w:rFonts w:hint="eastAsia" w:ascii="Times New Roman" w:eastAsia="仿宋"/>
          <w:sz w:val="30"/>
          <w:szCs w:val="30"/>
          <w:lang w:eastAsia="zh-CN"/>
        </w:rPr>
        <w:t>现存水箱的体积并反馈设计；项目需改造建筑物内存在与天河宾馆未移交区域，总承包人应特别注意对未移交区域的给排水系统、强电系统、弱电系统、消防系统的摸排，施工过程中需保障以上未移交区域各系统达到正常使用状态，否则总承包人需第一时间进行抢修维修。</w:t>
      </w:r>
    </w:p>
    <w:p w14:paraId="0D5BA092">
      <w:pPr>
        <w:ind w:firstLine="480"/>
        <w:rPr>
          <w:rFonts w:ascii="Times New Roman" w:hAnsi="Calibri" w:eastAsia="仿宋"/>
          <w:sz w:val="30"/>
          <w:szCs w:val="30"/>
          <w:lang w:eastAsia="zh-CN"/>
        </w:rPr>
      </w:pPr>
      <w:r>
        <w:rPr>
          <w:rFonts w:ascii="Times New Roman" w:hAnsi="Calibri" w:eastAsia="仿宋"/>
          <w:sz w:val="30"/>
          <w:szCs w:val="30"/>
          <w:lang w:eastAsia="zh-CN"/>
        </w:rPr>
        <w:t>3.2</w:t>
      </w:r>
      <w:r>
        <w:rPr>
          <w:rFonts w:hint="eastAsia" w:ascii="Times New Roman" w:hAnsi="Calibri" w:eastAsia="仿宋"/>
          <w:sz w:val="30"/>
          <w:szCs w:val="30"/>
          <w:lang w:eastAsia="zh-CN"/>
        </w:rPr>
        <w:t xml:space="preserve">5 </w:t>
      </w:r>
      <w:r>
        <w:rPr>
          <w:rFonts w:ascii="Times New Roman" w:hAnsi="Calibri" w:eastAsia="仿宋"/>
          <w:sz w:val="30"/>
          <w:szCs w:val="30"/>
          <w:lang w:eastAsia="zh-CN"/>
        </w:rPr>
        <w:t>项目</w:t>
      </w:r>
      <w:r>
        <w:rPr>
          <w:rFonts w:hint="eastAsia" w:ascii="Times New Roman" w:hAnsi="Calibri" w:eastAsia="仿宋"/>
          <w:sz w:val="30"/>
          <w:szCs w:val="30"/>
          <w:lang w:eastAsia="zh-CN"/>
        </w:rPr>
        <w:t>改造施工过程总承包人需负责降尘、降噪</w:t>
      </w:r>
      <w:r>
        <w:rPr>
          <w:rFonts w:ascii="Times New Roman" w:hAnsi="Calibri" w:eastAsia="仿宋"/>
          <w:sz w:val="30"/>
          <w:szCs w:val="30"/>
          <w:lang w:eastAsia="zh-CN"/>
        </w:rPr>
        <w:t>及关系维护。</w:t>
      </w:r>
    </w:p>
    <w:p w14:paraId="0F2BC96C">
      <w:pPr>
        <w:pStyle w:val="2"/>
        <w:ind w:firstLine="480"/>
        <w:rPr>
          <w:rFonts w:hint="eastAsia" w:ascii="Times New Roman" w:hAnsi="宋体" w:eastAsia="仿宋" w:cs="宋体"/>
          <w:sz w:val="30"/>
          <w:szCs w:val="30"/>
          <w:lang w:eastAsia="zh-CN"/>
        </w:rPr>
      </w:pPr>
      <w:r>
        <w:rPr>
          <w:rFonts w:ascii="Times New Roman" w:eastAsia="仿宋"/>
          <w:sz w:val="30"/>
          <w:szCs w:val="30"/>
          <w:lang w:eastAsia="zh-CN"/>
        </w:rPr>
        <w:t>3.2</w:t>
      </w:r>
      <w:r>
        <w:rPr>
          <w:rFonts w:hint="eastAsia" w:ascii="Times New Roman" w:eastAsia="仿宋"/>
          <w:sz w:val="30"/>
          <w:szCs w:val="30"/>
          <w:lang w:eastAsia="zh-CN"/>
        </w:rPr>
        <w:t xml:space="preserve">6 </w:t>
      </w:r>
      <w:r>
        <w:rPr>
          <w:rFonts w:hint="eastAsia" w:ascii="Times New Roman" w:hAnsi="宋体" w:eastAsia="仿宋" w:cs="宋体"/>
          <w:sz w:val="30"/>
          <w:szCs w:val="30"/>
          <w:lang w:eastAsia="zh-CN"/>
        </w:rPr>
        <w:t>项目拟采取水平、垂直强穿插作业，总承包人需重点考虑安全、进度、质量、成品保护措施及对独立承包人安全、进度、质量、成品保护的照管</w:t>
      </w:r>
      <w:r>
        <w:rPr>
          <w:rFonts w:ascii="Times New Roman" w:hAnsi="宋体" w:eastAsia="仿宋" w:cs="宋体"/>
          <w:sz w:val="30"/>
          <w:szCs w:val="30"/>
          <w:lang w:eastAsia="zh-CN"/>
        </w:rPr>
        <w:t>。</w:t>
      </w:r>
    </w:p>
    <w:p w14:paraId="1DDAF98C">
      <w:pPr>
        <w:ind w:firstLine="480"/>
        <w:rPr>
          <w:rFonts w:ascii="Times New Roman" w:hAnsi="Calibri" w:eastAsia="仿宋"/>
          <w:sz w:val="30"/>
          <w:szCs w:val="30"/>
          <w:lang w:eastAsia="zh-CN"/>
        </w:rPr>
      </w:pPr>
      <w:r>
        <w:rPr>
          <w:rFonts w:ascii="Times New Roman" w:hAnsi="Calibri" w:eastAsia="仿宋"/>
          <w:sz w:val="30"/>
          <w:szCs w:val="30"/>
          <w:lang w:eastAsia="zh-CN"/>
        </w:rPr>
        <w:t>3.</w:t>
      </w:r>
      <w:r>
        <w:rPr>
          <w:rFonts w:hint="eastAsia" w:ascii="Times New Roman" w:hAnsi="Calibri" w:eastAsia="仿宋"/>
          <w:sz w:val="30"/>
          <w:szCs w:val="30"/>
          <w:lang w:eastAsia="zh-CN"/>
        </w:rPr>
        <w:t>27 地下室、外墙外窗、楼板及卫生间的渗漏隐患贯穿项目全周期，总承包人需负责。</w:t>
      </w:r>
    </w:p>
    <w:p w14:paraId="74A42402">
      <w:pPr>
        <w:pStyle w:val="2"/>
        <w:ind w:firstLine="480"/>
        <w:rPr>
          <w:rFonts w:hint="eastAsia" w:ascii="Times New Roman" w:hAnsi="宋体" w:eastAsia="仿宋" w:cs="宋体"/>
          <w:sz w:val="30"/>
          <w:szCs w:val="30"/>
          <w:lang w:eastAsia="zh-CN"/>
        </w:rPr>
      </w:pPr>
      <w:r>
        <w:rPr>
          <w:rFonts w:ascii="Times New Roman" w:eastAsia="仿宋"/>
          <w:sz w:val="30"/>
          <w:szCs w:val="30"/>
          <w:lang w:eastAsia="zh-CN"/>
        </w:rPr>
        <w:t>3.</w:t>
      </w:r>
      <w:r>
        <w:rPr>
          <w:rFonts w:hint="eastAsia" w:ascii="Times New Roman" w:eastAsia="仿宋"/>
          <w:sz w:val="30"/>
          <w:szCs w:val="30"/>
          <w:lang w:eastAsia="zh-CN"/>
        </w:rPr>
        <w:t>28 项目与天河宾馆相邻的外立面装饰装修施工，需在2025年12月31日前完成，并将施工临建措施、设备设施、材料、垃圾等清理干净撤离天河宾馆内区域，并负责恢复占用园林的绿化。</w:t>
      </w:r>
    </w:p>
    <w:p w14:paraId="58064AC0">
      <w:pPr>
        <w:ind w:firstLine="480"/>
        <w:rPr>
          <w:rFonts w:ascii="Times New Roman" w:hAnsi="Calibri" w:eastAsia="仿宋"/>
          <w:sz w:val="30"/>
          <w:szCs w:val="30"/>
          <w:lang w:eastAsia="zh-CN"/>
        </w:rPr>
      </w:pPr>
      <w:r>
        <w:rPr>
          <w:rFonts w:ascii="Times New Roman" w:hAnsi="Calibri" w:eastAsia="仿宋"/>
          <w:sz w:val="30"/>
          <w:szCs w:val="30"/>
          <w:lang w:eastAsia="zh-CN"/>
        </w:rPr>
        <w:t>3.</w:t>
      </w:r>
      <w:r>
        <w:rPr>
          <w:rFonts w:hint="eastAsia" w:ascii="Times New Roman" w:hAnsi="Calibri" w:eastAsia="仿宋"/>
          <w:sz w:val="30"/>
          <w:szCs w:val="30"/>
          <w:lang w:eastAsia="zh-CN"/>
        </w:rPr>
        <w:t>29 总承包单位进场前需接收现有垂直运输设备，并承担施工日常设备维护、保养达到正常运输使用的费用。本项目涉及拆除量巨大，总包需增设施工人货梯。项目沿所有外立面以及内脚手架为总承包施工，</w:t>
      </w:r>
      <w:r>
        <w:rPr>
          <w:rFonts w:hint="eastAsia" w:ascii="Times New Roman" w:hAnsi="Calibri" w:eastAsia="仿宋"/>
          <w:sz w:val="30"/>
          <w:szCs w:val="30"/>
          <w:highlight w:val="red"/>
          <w:lang w:eastAsia="zh-CN"/>
        </w:rPr>
        <w:t>总包须办理占道证</w:t>
      </w:r>
      <w:r>
        <w:rPr>
          <w:rFonts w:hint="eastAsia" w:ascii="Times New Roman" w:hAnsi="Calibri" w:eastAsia="仿宋"/>
          <w:sz w:val="30"/>
          <w:szCs w:val="30"/>
          <w:lang w:eastAsia="zh-CN"/>
        </w:rPr>
        <w:t>；总承包人需注意施工衔接处的节点做法。</w:t>
      </w:r>
    </w:p>
    <w:p w14:paraId="046E827E">
      <w:pPr>
        <w:snapToGrid w:val="0"/>
        <w:spacing w:line="560" w:lineRule="exact"/>
        <w:ind w:firstLine="600" w:firstLineChars="200"/>
        <w:rPr>
          <w:rFonts w:ascii="Times New Roman" w:hAnsi="Calibri" w:eastAsia="仿宋"/>
          <w:sz w:val="30"/>
          <w:szCs w:val="30"/>
          <w:lang w:eastAsia="zh-CN"/>
        </w:rPr>
      </w:pPr>
      <w:r>
        <w:rPr>
          <w:rFonts w:ascii="Times New Roman" w:hAnsi="Calibri" w:eastAsia="仿宋"/>
          <w:sz w:val="30"/>
          <w:szCs w:val="30"/>
          <w:lang w:eastAsia="zh-CN"/>
        </w:rPr>
        <w:t>3.3</w:t>
      </w:r>
      <w:r>
        <w:rPr>
          <w:rFonts w:hint="eastAsia" w:ascii="Times New Roman" w:hAnsi="Calibri" w:eastAsia="仿宋"/>
          <w:sz w:val="30"/>
          <w:szCs w:val="30"/>
          <w:lang w:eastAsia="zh-CN"/>
        </w:rPr>
        <w:t xml:space="preserve">0 </w:t>
      </w:r>
      <w:r>
        <w:rPr>
          <w:rFonts w:ascii="Times New Roman" w:hAnsi="Calibri" w:eastAsia="仿宋"/>
          <w:sz w:val="30"/>
          <w:szCs w:val="30"/>
          <w:lang w:eastAsia="zh-CN"/>
        </w:rPr>
        <w:t>项目安全、进度、质量管理需严格按照最新版融通第三方评估标准进行，各项管理动作需落实至纸质版签字记录。</w:t>
      </w:r>
    </w:p>
    <w:p w14:paraId="1E90CDFA">
      <w:pPr>
        <w:pStyle w:val="2"/>
        <w:ind w:firstLine="600" w:firstLineChars="200"/>
        <w:rPr>
          <w:rFonts w:ascii="Times New Roman" w:eastAsia="仿宋"/>
          <w:sz w:val="30"/>
          <w:szCs w:val="30"/>
          <w:lang w:eastAsia="zh-CN"/>
        </w:rPr>
      </w:pPr>
      <w:r>
        <w:rPr>
          <w:rFonts w:ascii="Times New Roman" w:eastAsia="仿宋"/>
          <w:sz w:val="30"/>
          <w:szCs w:val="30"/>
          <w:lang w:eastAsia="zh-CN"/>
        </w:rPr>
        <w:t>3.</w:t>
      </w:r>
      <w:r>
        <w:rPr>
          <w:rFonts w:hint="eastAsia" w:ascii="Times New Roman" w:eastAsia="仿宋"/>
          <w:sz w:val="30"/>
          <w:szCs w:val="30"/>
          <w:lang w:eastAsia="zh-CN"/>
        </w:rPr>
        <w:t>31负责按合同技术要求中成品保护专项方案对合同承接范围内工程以及电梯轿厢内进行成品保护，以及将成品保护移交于物管公司。</w:t>
      </w:r>
    </w:p>
    <w:p w14:paraId="343ABE1F">
      <w:pPr>
        <w:pStyle w:val="4"/>
        <w:jc w:val="left"/>
        <w:rPr>
          <w:rFonts w:ascii="Times New Roman"/>
          <w:lang w:eastAsia="zh-CN"/>
        </w:rPr>
      </w:pPr>
      <w:bookmarkStart w:id="1486" w:name="_Toc82531208"/>
      <w:bookmarkStart w:id="1487" w:name="_Toc41574032"/>
      <w:bookmarkStart w:id="1488" w:name="_Toc16437"/>
      <w:bookmarkStart w:id="1489" w:name="_Toc410203972"/>
      <w:bookmarkStart w:id="1490" w:name="_Toc41499770"/>
      <w:bookmarkStart w:id="1491" w:name="_Toc531858810"/>
      <w:bookmarkStart w:id="1492" w:name="_Toc410206729"/>
      <w:bookmarkStart w:id="1493" w:name="_Toc144742740"/>
      <w:bookmarkStart w:id="1494" w:name="_Toc80863353"/>
      <w:r>
        <w:rPr>
          <w:rFonts w:ascii="Times New Roman"/>
          <w:lang w:eastAsia="zh-CN"/>
        </w:rPr>
        <w:t>4</w:t>
      </w:r>
      <w:bookmarkStart w:id="1495" w:name="_Toc296346663"/>
      <w:bookmarkStart w:id="1496" w:name="_Toc296890990"/>
      <w:bookmarkStart w:id="1497" w:name="_Toc296891202"/>
      <w:bookmarkStart w:id="1498" w:name="_Toc296944501"/>
      <w:bookmarkStart w:id="1499" w:name="_Toc292559871"/>
      <w:bookmarkStart w:id="1500" w:name="_Toc296347161"/>
      <w:bookmarkStart w:id="1501" w:name="_Toc267251413"/>
      <w:bookmarkStart w:id="1502" w:name="_Toc297120462"/>
      <w:bookmarkStart w:id="1503" w:name="_Toc297048348"/>
      <w:bookmarkStart w:id="1504" w:name="_Toc296503162"/>
      <w:bookmarkStart w:id="1505" w:name="_Toc292559366"/>
      <w:r>
        <w:rPr>
          <w:rFonts w:ascii="Times New Roman"/>
          <w:lang w:eastAsia="zh-CN"/>
        </w:rPr>
        <w:t>. 监</w:t>
      </w:r>
      <w:bookmarkEnd w:id="1495"/>
      <w:bookmarkEnd w:id="1496"/>
      <w:bookmarkEnd w:id="1497"/>
      <w:bookmarkEnd w:id="1498"/>
      <w:bookmarkEnd w:id="1499"/>
      <w:bookmarkEnd w:id="1500"/>
      <w:bookmarkEnd w:id="1501"/>
      <w:bookmarkEnd w:id="1502"/>
      <w:bookmarkEnd w:id="1503"/>
      <w:bookmarkEnd w:id="1504"/>
      <w:bookmarkEnd w:id="1505"/>
      <w:r>
        <w:rPr>
          <w:rFonts w:ascii="Times New Roman"/>
          <w:lang w:eastAsia="zh-CN"/>
        </w:rPr>
        <w:t>理人</w:t>
      </w:r>
      <w:bookmarkEnd w:id="1486"/>
      <w:bookmarkEnd w:id="1487"/>
      <w:bookmarkEnd w:id="1488"/>
      <w:bookmarkEnd w:id="1489"/>
      <w:bookmarkEnd w:id="1490"/>
      <w:bookmarkEnd w:id="1491"/>
      <w:bookmarkEnd w:id="1492"/>
      <w:bookmarkEnd w:id="1493"/>
      <w:bookmarkEnd w:id="1494"/>
    </w:p>
    <w:p w14:paraId="4C9C7DF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4.1 监理人的一般规定</w:t>
      </w:r>
    </w:p>
    <w:p w14:paraId="2A99F468">
      <w:pPr>
        <w:tabs>
          <w:tab w:val="left" w:pos="2268"/>
        </w:tabs>
        <w:snapToGrid w:val="0"/>
        <w:spacing w:line="560" w:lineRule="exact"/>
        <w:ind w:firstLine="600" w:firstLineChars="200"/>
        <w:rPr>
          <w:rFonts w:ascii="Times New Roman" w:eastAsia="仿宋"/>
          <w:sz w:val="30"/>
          <w:szCs w:val="30"/>
          <w:u w:val="single"/>
          <w:lang w:eastAsia="zh-CN"/>
        </w:rPr>
      </w:pPr>
      <w:permStart w:id="17" w:edGrp="everyone"/>
      <w:r>
        <w:rPr>
          <w:rFonts w:ascii="Times New Roman" w:eastAsia="仿宋"/>
          <w:sz w:val="30"/>
          <w:szCs w:val="30"/>
          <w:u w:val="single"/>
          <w:lang w:eastAsia="zh-CN"/>
        </w:rPr>
        <w:t>监理人在施工现场的办公室需由总承包人搭设提供（总承包人为发包人、监理人提供的现场办公条件设施一览表详附件9），含后期的管理、维护、清洁、水电及拆除均须由总承包人负责，所需费用由总承包人承担，与此有关之一切费用包括但不限于搭拆、管理、维护、清洁及水电费用等均已包含。</w:t>
      </w:r>
    </w:p>
    <w:permEnd w:id="17"/>
    <w:p w14:paraId="6F41F4A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4.2 监理人员</w:t>
      </w:r>
    </w:p>
    <w:p w14:paraId="505461D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总监理工程师：</w:t>
      </w:r>
    </w:p>
    <w:p w14:paraId="503A82F2">
      <w:pPr>
        <w:snapToGrid w:val="0"/>
        <w:spacing w:line="560" w:lineRule="exact"/>
        <w:ind w:firstLine="600" w:firstLineChars="200"/>
        <w:rPr>
          <w:rFonts w:ascii="Times New Roman" w:eastAsia="仿宋"/>
          <w:sz w:val="30"/>
          <w:szCs w:val="30"/>
          <w:lang w:eastAsia="zh-CN"/>
        </w:rPr>
      </w:pPr>
      <w:permStart w:id="18" w:edGrp="everyone"/>
      <w:r>
        <w:rPr>
          <w:rFonts w:ascii="Times New Roman" w:eastAsia="仿宋"/>
          <w:sz w:val="30"/>
          <w:szCs w:val="30"/>
          <w:lang w:eastAsia="zh-CN"/>
        </w:rPr>
        <w:t>姓名：</w:t>
      </w:r>
      <w:r>
        <w:rPr>
          <w:rFonts w:hint="eastAsia" w:ascii="Times New Roman" w:eastAsia="仿宋"/>
          <w:sz w:val="30"/>
          <w:szCs w:val="30"/>
          <w:u w:val="single"/>
          <w:lang w:eastAsia="zh-CN"/>
        </w:rPr>
        <w:t xml:space="preserve">    </w:t>
      </w:r>
      <w:r>
        <w:rPr>
          <w:rFonts w:ascii="Times New Roman" w:eastAsia="仿宋"/>
          <w:sz w:val="30"/>
          <w:szCs w:val="30"/>
          <w:lang w:eastAsia="zh-CN"/>
        </w:rPr>
        <w:t>；</w:t>
      </w:r>
    </w:p>
    <w:p w14:paraId="6FBE51D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联系电话：</w:t>
      </w:r>
      <w:r>
        <w:rPr>
          <w:rFonts w:hint="eastAsia" w:ascii="Times New Roman" w:eastAsia="仿宋"/>
          <w:sz w:val="30"/>
          <w:szCs w:val="30"/>
          <w:u w:val="single"/>
          <w:lang w:eastAsia="zh-CN"/>
        </w:rPr>
        <w:t xml:space="preserve">       </w:t>
      </w:r>
      <w:r>
        <w:rPr>
          <w:rFonts w:ascii="Times New Roman" w:eastAsia="仿宋"/>
          <w:sz w:val="30"/>
          <w:szCs w:val="30"/>
          <w:lang w:eastAsia="zh-CN"/>
        </w:rPr>
        <w:t>；</w:t>
      </w:r>
    </w:p>
    <w:p w14:paraId="7356430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身份证号码：</w:t>
      </w:r>
      <w:r>
        <w:rPr>
          <w:rFonts w:hint="eastAsia" w:ascii="Times New Roman" w:eastAsia="仿宋"/>
          <w:sz w:val="30"/>
          <w:szCs w:val="30"/>
          <w:u w:val="single"/>
          <w:lang w:eastAsia="zh-CN"/>
        </w:rPr>
        <w:t xml:space="preserve">         </w:t>
      </w:r>
      <w:r>
        <w:rPr>
          <w:rFonts w:hint="eastAsia" w:ascii="Times New Roman" w:eastAsia="仿宋"/>
          <w:sz w:val="30"/>
          <w:szCs w:val="30"/>
          <w:lang w:eastAsia="zh-CN"/>
        </w:rPr>
        <w:t>。</w:t>
      </w:r>
    </w:p>
    <w:permEnd w:id="18"/>
    <w:p w14:paraId="4F55431F">
      <w:pPr>
        <w:pStyle w:val="4"/>
        <w:jc w:val="left"/>
        <w:rPr>
          <w:rFonts w:ascii="Times New Roman"/>
          <w:lang w:eastAsia="zh-CN"/>
        </w:rPr>
      </w:pPr>
      <w:bookmarkStart w:id="1506" w:name="_Toc82531209"/>
      <w:bookmarkStart w:id="1507" w:name="_Toc144742741"/>
      <w:bookmarkStart w:id="1508" w:name="_Toc41499771"/>
      <w:bookmarkStart w:id="1509" w:name="_Toc80863354"/>
      <w:bookmarkStart w:id="1510" w:name="_Toc531858811"/>
      <w:bookmarkStart w:id="1511" w:name="_Toc410203976"/>
      <w:bookmarkStart w:id="1512" w:name="_Toc410206732"/>
      <w:bookmarkStart w:id="1513" w:name="_Toc1791"/>
      <w:bookmarkStart w:id="1514" w:name="_Toc41574033"/>
      <w:bookmarkStart w:id="1515" w:name="_Toc296346664"/>
      <w:bookmarkStart w:id="1516" w:name="_Toc296347162"/>
      <w:bookmarkStart w:id="1517" w:name="_Toc292559367"/>
      <w:bookmarkStart w:id="1518" w:name="_Toc296891203"/>
      <w:bookmarkStart w:id="1519" w:name="_Toc297048349"/>
      <w:bookmarkStart w:id="1520" w:name="_Toc296890991"/>
      <w:bookmarkStart w:id="1521" w:name="_Toc296503163"/>
      <w:bookmarkStart w:id="1522" w:name="_Toc296944502"/>
      <w:bookmarkStart w:id="1523" w:name="_Toc297120463"/>
      <w:bookmarkStart w:id="1524" w:name="_Toc292559872"/>
      <w:r>
        <w:rPr>
          <w:rFonts w:ascii="Times New Roman"/>
          <w:lang w:eastAsia="zh-CN"/>
        </w:rPr>
        <w:t>5. 工期和进度</w:t>
      </w:r>
      <w:bookmarkEnd w:id="1506"/>
      <w:bookmarkEnd w:id="1507"/>
      <w:bookmarkEnd w:id="1508"/>
      <w:bookmarkEnd w:id="1509"/>
      <w:bookmarkEnd w:id="1510"/>
      <w:bookmarkEnd w:id="1511"/>
      <w:bookmarkEnd w:id="1512"/>
      <w:bookmarkEnd w:id="1513"/>
      <w:bookmarkEnd w:id="1514"/>
    </w:p>
    <w:p w14:paraId="14FCDA4D">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5.1开工及工期</w:t>
      </w:r>
    </w:p>
    <w:p w14:paraId="434F6DE0">
      <w:pPr>
        <w:tabs>
          <w:tab w:val="left" w:pos="1701"/>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5.1.1 工期</w:t>
      </w:r>
    </w:p>
    <w:p w14:paraId="5937032A">
      <w:pPr>
        <w:tabs>
          <w:tab w:val="left" w:pos="1701"/>
        </w:tabs>
        <w:snapToGrid w:val="0"/>
        <w:spacing w:line="560" w:lineRule="exact"/>
        <w:ind w:firstLine="600" w:firstLineChars="200"/>
        <w:rPr>
          <w:rFonts w:ascii="Times New Roman" w:eastAsia="仿宋"/>
          <w:sz w:val="30"/>
          <w:szCs w:val="30"/>
          <w:lang w:eastAsia="zh-CN" w:bidi="ar"/>
        </w:rPr>
      </w:pPr>
      <w:r>
        <w:rPr>
          <w:rFonts w:hint="eastAsia" w:ascii="Times New Roman" w:eastAsia="仿宋"/>
          <w:sz w:val="30"/>
          <w:szCs w:val="30"/>
          <w:lang w:eastAsia="zh-CN" w:bidi="ar"/>
        </w:rPr>
        <w:t>工期</w:t>
      </w:r>
      <w:r>
        <w:rPr>
          <w:rFonts w:ascii="Times New Roman" w:eastAsia="仿宋"/>
          <w:sz w:val="30"/>
          <w:szCs w:val="30"/>
          <w:lang w:eastAsia="zh-CN" w:bidi="ar"/>
        </w:rPr>
        <w:t>为19</w:t>
      </w:r>
      <w:r>
        <w:rPr>
          <w:rFonts w:hint="eastAsia" w:ascii="Times New Roman" w:eastAsia="仿宋"/>
          <w:sz w:val="30"/>
          <w:szCs w:val="30"/>
          <w:lang w:eastAsia="zh-CN" w:bidi="ar"/>
        </w:rPr>
        <w:t>3</w:t>
      </w:r>
      <w:r>
        <w:rPr>
          <w:rFonts w:ascii="Times New Roman" w:eastAsia="仿宋"/>
          <w:sz w:val="30"/>
          <w:szCs w:val="30"/>
          <w:lang w:eastAsia="zh-CN" w:bidi="ar"/>
        </w:rPr>
        <w:t>日历天，其中应已考虑及包含国家及政府规定的节假日及公众假日</w:t>
      </w:r>
      <w:r>
        <w:rPr>
          <w:rFonts w:hint="eastAsia" w:ascii="Times New Roman" w:eastAsia="仿宋"/>
          <w:sz w:val="30"/>
          <w:szCs w:val="30"/>
          <w:lang w:eastAsia="zh-CN" w:bidi="ar"/>
        </w:rPr>
        <w:t>、春节</w:t>
      </w:r>
      <w:r>
        <w:rPr>
          <w:rFonts w:ascii="Times New Roman" w:eastAsia="仿宋"/>
          <w:sz w:val="30"/>
          <w:szCs w:val="30"/>
          <w:lang w:eastAsia="zh-CN" w:bidi="ar"/>
        </w:rPr>
        <w:t>。</w:t>
      </w:r>
      <w:r>
        <w:rPr>
          <w:rFonts w:hint="eastAsia" w:ascii="Times New Roman" w:eastAsia="仿宋"/>
          <w:sz w:val="30"/>
          <w:szCs w:val="30"/>
          <w:lang w:eastAsia="zh-CN" w:bidi="ar"/>
        </w:rPr>
        <w:t>暂定工期时间</w:t>
      </w:r>
      <w:r>
        <w:rPr>
          <w:rFonts w:ascii="Times New Roman" w:eastAsia="仿宋"/>
          <w:sz w:val="30"/>
          <w:szCs w:val="30"/>
          <w:lang w:eastAsia="zh-CN" w:bidi="ar"/>
        </w:rPr>
        <w:t>2025年</w:t>
      </w:r>
      <w:r>
        <w:rPr>
          <w:rFonts w:hint="eastAsia" w:ascii="Times New Roman" w:eastAsia="仿宋"/>
          <w:sz w:val="30"/>
          <w:szCs w:val="30"/>
          <w:lang w:eastAsia="zh-CN" w:bidi="ar"/>
        </w:rPr>
        <w:t>9</w:t>
      </w:r>
      <w:r>
        <w:rPr>
          <w:rFonts w:ascii="Times New Roman" w:eastAsia="仿宋"/>
          <w:sz w:val="30"/>
          <w:szCs w:val="30"/>
          <w:lang w:eastAsia="zh-CN" w:bidi="ar"/>
        </w:rPr>
        <w:t>月30日（实际开工时间以发包人或监理通知为准），</w:t>
      </w:r>
      <w:r>
        <w:rPr>
          <w:rFonts w:hint="eastAsia" w:ascii="Times New Roman" w:eastAsia="仿宋"/>
          <w:sz w:val="30"/>
          <w:szCs w:val="30"/>
          <w:lang w:eastAsia="zh-CN" w:bidi="ar"/>
        </w:rPr>
        <w:t>工期193天，完成</w:t>
      </w:r>
      <w:r>
        <w:rPr>
          <w:rFonts w:ascii="Times New Roman" w:eastAsia="仿宋"/>
          <w:sz w:val="30"/>
          <w:szCs w:val="30"/>
          <w:lang w:eastAsia="zh-CN" w:bidi="ar"/>
        </w:rPr>
        <w:t>竣工备案</w:t>
      </w:r>
      <w:r>
        <w:rPr>
          <w:rFonts w:hint="eastAsia" w:ascii="Times New Roman" w:eastAsia="仿宋"/>
          <w:sz w:val="30"/>
          <w:szCs w:val="30"/>
          <w:lang w:eastAsia="zh-CN" w:bidi="ar"/>
        </w:rPr>
        <w:t>，</w:t>
      </w:r>
      <w:r>
        <w:rPr>
          <w:rFonts w:ascii="Times New Roman" w:eastAsia="仿宋"/>
          <w:sz w:val="30"/>
          <w:szCs w:val="30"/>
          <w:lang w:eastAsia="zh-CN" w:bidi="ar"/>
        </w:rPr>
        <w:t>关键节点要求详见下：</w:t>
      </w:r>
    </w:p>
    <w:p w14:paraId="2E814577">
      <w:pPr>
        <w:tabs>
          <w:tab w:val="left" w:pos="1701"/>
        </w:tabs>
        <w:snapToGrid w:val="0"/>
        <w:spacing w:line="560" w:lineRule="exact"/>
        <w:ind w:firstLine="600" w:firstLineChars="200"/>
        <w:rPr>
          <w:rFonts w:ascii="Times New Roman" w:eastAsia="仿宋"/>
          <w:sz w:val="30"/>
          <w:szCs w:val="30"/>
          <w:lang w:eastAsia="zh-CN" w:bidi="ar"/>
        </w:rPr>
      </w:pPr>
      <w:r>
        <w:rPr>
          <w:rFonts w:ascii="Times New Roman" w:eastAsia="仿宋"/>
          <w:sz w:val="30"/>
          <w:szCs w:val="30"/>
          <w:lang w:eastAsia="zh-CN" w:bidi="ar"/>
        </w:rPr>
        <w:t>节点一：</w:t>
      </w:r>
      <w:r>
        <w:rPr>
          <w:rFonts w:hint="eastAsia" w:ascii="Times New Roman" w:eastAsia="仿宋"/>
          <w:sz w:val="30"/>
          <w:szCs w:val="30"/>
          <w:lang w:eastAsia="zh-CN" w:bidi="ar"/>
        </w:rPr>
        <w:t>工期30天，</w:t>
      </w:r>
      <w:r>
        <w:rPr>
          <w:rFonts w:ascii="Times New Roman" w:eastAsia="仿宋"/>
          <w:sz w:val="30"/>
          <w:szCs w:val="30"/>
          <w:lang w:eastAsia="zh-CN" w:bidi="ar"/>
        </w:rPr>
        <w:t>完成室内拆除及外运工作；</w:t>
      </w:r>
    </w:p>
    <w:p w14:paraId="3052AC97">
      <w:pPr>
        <w:tabs>
          <w:tab w:val="left" w:pos="1701"/>
        </w:tabs>
        <w:snapToGrid w:val="0"/>
        <w:spacing w:line="560" w:lineRule="exact"/>
        <w:ind w:firstLine="600" w:firstLineChars="200"/>
        <w:rPr>
          <w:rFonts w:ascii="Times New Roman" w:eastAsia="仿宋"/>
          <w:sz w:val="30"/>
          <w:szCs w:val="30"/>
          <w:lang w:eastAsia="zh-CN" w:bidi="ar"/>
        </w:rPr>
      </w:pPr>
      <w:r>
        <w:rPr>
          <w:rFonts w:ascii="Times New Roman" w:eastAsia="仿宋"/>
          <w:sz w:val="30"/>
          <w:szCs w:val="30"/>
          <w:lang w:eastAsia="zh-CN" w:bidi="ar"/>
        </w:rPr>
        <w:t>节点二：</w:t>
      </w:r>
      <w:r>
        <w:rPr>
          <w:rFonts w:hint="eastAsia" w:ascii="Times New Roman" w:eastAsia="仿宋"/>
          <w:sz w:val="30"/>
          <w:szCs w:val="30"/>
          <w:lang w:eastAsia="zh-CN" w:bidi="ar"/>
        </w:rPr>
        <w:t>工期40天，</w:t>
      </w:r>
      <w:r>
        <w:rPr>
          <w:rFonts w:ascii="Times New Roman" w:eastAsia="仿宋"/>
          <w:sz w:val="30"/>
          <w:szCs w:val="30"/>
          <w:lang w:eastAsia="zh-CN" w:bidi="ar"/>
        </w:rPr>
        <w:t>完成结构加固工作；</w:t>
      </w:r>
    </w:p>
    <w:p w14:paraId="6EB3E5D5">
      <w:pPr>
        <w:tabs>
          <w:tab w:val="left" w:pos="1701"/>
        </w:tabs>
        <w:snapToGrid w:val="0"/>
        <w:spacing w:line="560" w:lineRule="exact"/>
        <w:ind w:firstLine="600" w:firstLineChars="200"/>
        <w:rPr>
          <w:rFonts w:ascii="Times New Roman" w:eastAsia="仿宋"/>
          <w:sz w:val="30"/>
          <w:szCs w:val="30"/>
          <w:lang w:eastAsia="zh-CN" w:bidi="ar"/>
        </w:rPr>
      </w:pPr>
      <w:r>
        <w:rPr>
          <w:rFonts w:ascii="Times New Roman" w:eastAsia="仿宋"/>
          <w:sz w:val="30"/>
          <w:szCs w:val="30"/>
          <w:lang w:eastAsia="zh-CN" w:bidi="ar"/>
        </w:rPr>
        <w:t>节点三：</w:t>
      </w:r>
      <w:r>
        <w:rPr>
          <w:rFonts w:hint="eastAsia" w:ascii="Times New Roman" w:eastAsia="仿宋"/>
          <w:sz w:val="30"/>
          <w:szCs w:val="30"/>
          <w:lang w:eastAsia="zh-CN" w:bidi="ar"/>
        </w:rPr>
        <w:t>工期92天，</w:t>
      </w:r>
      <w:r>
        <w:rPr>
          <w:rFonts w:ascii="Times New Roman" w:eastAsia="仿宋"/>
          <w:sz w:val="30"/>
          <w:szCs w:val="30"/>
          <w:lang w:eastAsia="zh-CN" w:bidi="ar"/>
        </w:rPr>
        <w:t>完成室内装饰装修工作；</w:t>
      </w:r>
    </w:p>
    <w:p w14:paraId="06851970">
      <w:pPr>
        <w:tabs>
          <w:tab w:val="left" w:pos="1701"/>
        </w:tabs>
        <w:snapToGrid w:val="0"/>
        <w:spacing w:line="560" w:lineRule="exact"/>
        <w:ind w:firstLine="600" w:firstLineChars="200"/>
        <w:rPr>
          <w:rFonts w:ascii="Times New Roman" w:eastAsia="仿宋"/>
          <w:sz w:val="30"/>
          <w:szCs w:val="30"/>
          <w:lang w:eastAsia="zh-CN" w:bidi="ar"/>
        </w:rPr>
      </w:pPr>
      <w:r>
        <w:rPr>
          <w:rFonts w:ascii="Times New Roman" w:eastAsia="仿宋"/>
          <w:sz w:val="30"/>
          <w:szCs w:val="30"/>
          <w:lang w:eastAsia="zh-CN" w:bidi="ar"/>
        </w:rPr>
        <w:t>节点四：</w:t>
      </w:r>
      <w:r>
        <w:rPr>
          <w:rFonts w:hint="eastAsia" w:ascii="Times New Roman" w:eastAsia="仿宋"/>
          <w:sz w:val="30"/>
          <w:szCs w:val="30"/>
          <w:lang w:eastAsia="zh-CN" w:bidi="ar"/>
        </w:rPr>
        <w:t>工期123天，</w:t>
      </w:r>
      <w:r>
        <w:rPr>
          <w:rFonts w:ascii="Times New Roman" w:eastAsia="仿宋"/>
          <w:sz w:val="30"/>
          <w:szCs w:val="30"/>
          <w:lang w:eastAsia="zh-CN" w:bidi="ar"/>
        </w:rPr>
        <w:t>完成所有外窗、外立面装饰装修工程并完成落架；</w:t>
      </w:r>
    </w:p>
    <w:p w14:paraId="3B2D974F">
      <w:pPr>
        <w:tabs>
          <w:tab w:val="left" w:pos="1701"/>
        </w:tabs>
        <w:snapToGrid w:val="0"/>
        <w:spacing w:line="560" w:lineRule="exact"/>
        <w:ind w:firstLine="600" w:firstLineChars="200"/>
        <w:rPr>
          <w:rFonts w:ascii="Times New Roman" w:eastAsia="仿宋"/>
          <w:sz w:val="30"/>
          <w:szCs w:val="30"/>
          <w:lang w:eastAsia="zh-CN" w:bidi="ar"/>
        </w:rPr>
      </w:pPr>
      <w:r>
        <w:rPr>
          <w:rFonts w:ascii="Times New Roman" w:eastAsia="仿宋"/>
          <w:sz w:val="30"/>
          <w:szCs w:val="30"/>
          <w:lang w:eastAsia="zh-CN" w:bidi="ar"/>
        </w:rPr>
        <w:t>节点五：</w:t>
      </w:r>
      <w:r>
        <w:rPr>
          <w:rFonts w:hint="eastAsia" w:ascii="Times New Roman" w:eastAsia="仿宋"/>
          <w:sz w:val="30"/>
          <w:szCs w:val="30"/>
          <w:lang w:eastAsia="zh-CN" w:bidi="ar"/>
        </w:rPr>
        <w:t>工期153天，</w:t>
      </w:r>
      <w:r>
        <w:rPr>
          <w:rFonts w:ascii="Times New Roman" w:eastAsia="仿宋"/>
          <w:sz w:val="30"/>
          <w:szCs w:val="30"/>
          <w:lang w:eastAsia="zh-CN" w:bidi="ar"/>
        </w:rPr>
        <w:t>完成承接范围内所有机电设施设备安装达到消防调试条件；</w:t>
      </w:r>
    </w:p>
    <w:p w14:paraId="5F127F53">
      <w:pPr>
        <w:tabs>
          <w:tab w:val="left" w:pos="1701"/>
        </w:tabs>
        <w:snapToGrid w:val="0"/>
        <w:spacing w:line="560" w:lineRule="exact"/>
        <w:ind w:firstLine="600" w:firstLineChars="200"/>
        <w:rPr>
          <w:rFonts w:ascii="Times New Roman" w:eastAsia="仿宋"/>
          <w:sz w:val="30"/>
          <w:szCs w:val="30"/>
          <w:lang w:eastAsia="zh-CN" w:bidi="ar"/>
        </w:rPr>
      </w:pPr>
      <w:r>
        <w:rPr>
          <w:rFonts w:ascii="Times New Roman" w:eastAsia="仿宋"/>
          <w:sz w:val="30"/>
          <w:szCs w:val="30"/>
          <w:lang w:eastAsia="zh-CN" w:bidi="ar"/>
        </w:rPr>
        <w:t>节点六：</w:t>
      </w:r>
      <w:r>
        <w:rPr>
          <w:rFonts w:hint="eastAsia" w:ascii="Times New Roman" w:eastAsia="仿宋"/>
          <w:sz w:val="30"/>
          <w:szCs w:val="30"/>
          <w:lang w:eastAsia="zh-CN" w:bidi="ar"/>
        </w:rPr>
        <w:t>工期193天，</w:t>
      </w:r>
      <w:r>
        <w:rPr>
          <w:rFonts w:ascii="Times New Roman" w:eastAsia="仿宋"/>
          <w:sz w:val="30"/>
          <w:szCs w:val="30"/>
          <w:lang w:eastAsia="zh-CN" w:bidi="ar"/>
        </w:rPr>
        <w:t>通过项目竣工验收并备案取得成果文件；</w:t>
      </w:r>
    </w:p>
    <w:p w14:paraId="28813592">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5.2工期的延长</w:t>
      </w:r>
    </w:p>
    <w:p w14:paraId="7FF0D86F">
      <w:pPr>
        <w:tabs>
          <w:tab w:val="left" w:pos="1701"/>
        </w:tabs>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5.2.1 工期延长的费用补偿</w:t>
      </w:r>
    </w:p>
    <w:p w14:paraId="55AC1595">
      <w:pPr>
        <w:snapToGrid w:val="0"/>
        <w:spacing w:line="560" w:lineRule="exact"/>
        <w:ind w:firstLine="600" w:firstLineChars="200"/>
        <w:rPr>
          <w:rFonts w:ascii="Times New Roman" w:eastAsia="PMingLiU"/>
          <w:sz w:val="30"/>
          <w:szCs w:val="30"/>
          <w:u w:val="single"/>
          <w:lang w:eastAsia="zh-CN"/>
        </w:rPr>
      </w:pPr>
      <w:permStart w:id="19" w:edGrp="everyone"/>
      <w:r>
        <w:rPr>
          <w:rFonts w:hint="eastAsia" w:ascii="Times New Roman" w:eastAsia="仿宋"/>
          <w:sz w:val="30"/>
          <w:szCs w:val="30"/>
          <w:u w:val="single"/>
          <w:lang w:eastAsia="zh-CN"/>
        </w:rPr>
        <w:t>本合同价款为包干价，其包括的项目中含有管理费等可预见及不可预见的费用。一切经</w:t>
      </w:r>
      <w:r>
        <w:rPr>
          <w:rFonts w:hint="eastAsia" w:ascii="Times New Roman" w:eastAsia="仿宋"/>
          <w:sz w:val="30"/>
          <w:szCs w:val="30"/>
          <w:lang w:eastAsia="zh-CN"/>
        </w:rPr>
        <w:t>发包人</w:t>
      </w:r>
      <w:r>
        <w:rPr>
          <w:rFonts w:hint="eastAsia" w:ascii="Times New Roman" w:eastAsia="仿宋"/>
          <w:sz w:val="30"/>
          <w:szCs w:val="30"/>
          <w:u w:val="single"/>
          <w:lang w:eastAsia="zh-CN"/>
        </w:rPr>
        <w:t>批准的工期延长及由于非承包人原因造成的工期延误，承包人不得要求</w:t>
      </w:r>
      <w:r>
        <w:rPr>
          <w:rFonts w:hint="eastAsia" w:ascii="Times New Roman" w:eastAsia="仿宋"/>
          <w:sz w:val="30"/>
          <w:szCs w:val="30"/>
          <w:lang w:eastAsia="zh-CN"/>
        </w:rPr>
        <w:t>发包人</w:t>
      </w:r>
      <w:r>
        <w:rPr>
          <w:rFonts w:hint="eastAsia" w:ascii="Times New Roman" w:eastAsia="仿宋"/>
          <w:sz w:val="30"/>
          <w:szCs w:val="30"/>
          <w:u w:val="single"/>
          <w:lang w:eastAsia="zh-CN"/>
        </w:rPr>
        <w:t>支付窝工及对施工资源（人员、设备等）重新安排及承包人的支出等费用或作其他金钱上的索赔。</w:t>
      </w:r>
    </w:p>
    <w:permEnd w:id="19"/>
    <w:p w14:paraId="45C4C75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5.3</w:t>
      </w:r>
      <w:bookmarkStart w:id="1525" w:name="_Toc297216175"/>
      <w:bookmarkStart w:id="1526" w:name="_Toc312677484"/>
      <w:bookmarkStart w:id="1527" w:name="_Toc297123516"/>
      <w:bookmarkStart w:id="1528" w:name="_Toc304295546"/>
      <w:bookmarkStart w:id="1529" w:name="_Toc303539125"/>
      <w:bookmarkStart w:id="1530" w:name="_Toc312678010"/>
      <w:bookmarkStart w:id="1531" w:name="_Toc300934968"/>
      <w:r>
        <w:rPr>
          <w:rFonts w:ascii="Times New Roman" w:eastAsia="仿宋"/>
          <w:sz w:val="30"/>
          <w:szCs w:val="30"/>
          <w:lang w:eastAsia="zh-CN"/>
        </w:rPr>
        <w:t>工期延误</w:t>
      </w:r>
      <w:bookmarkEnd w:id="1525"/>
      <w:bookmarkEnd w:id="1526"/>
      <w:bookmarkEnd w:id="1527"/>
      <w:bookmarkEnd w:id="1528"/>
      <w:bookmarkEnd w:id="1529"/>
      <w:bookmarkEnd w:id="1530"/>
      <w:bookmarkEnd w:id="1531"/>
    </w:p>
    <w:p w14:paraId="291F9EF5">
      <w:pPr>
        <w:pStyle w:val="4"/>
        <w:jc w:val="left"/>
        <w:rPr>
          <w:rFonts w:ascii="Times New Roman" w:eastAsia="仿宋"/>
          <w:szCs w:val="30"/>
          <w:lang w:eastAsia="zh-CN"/>
        </w:rPr>
      </w:pPr>
      <w:bookmarkStart w:id="1532" w:name="_Toc144742742"/>
      <w:r>
        <w:rPr>
          <w:rFonts w:hint="eastAsia" w:ascii="Times New Roman" w:eastAsia="仿宋"/>
          <w:szCs w:val="30"/>
          <w:lang w:eastAsia="zh-CN"/>
        </w:rPr>
        <w:t>若总承包人未按合同规定时间完成节点对应之工程进度，每拖延一天，总承包人向发包人支付贰万元（￥2</w:t>
      </w:r>
      <w:r>
        <w:rPr>
          <w:rFonts w:ascii="Times New Roman" w:eastAsia="仿宋"/>
          <w:szCs w:val="30"/>
          <w:lang w:eastAsia="zh-CN"/>
        </w:rPr>
        <w:t>0,000.00</w:t>
      </w:r>
      <w:r>
        <w:rPr>
          <w:rFonts w:hint="eastAsia" w:ascii="Times New Roman" w:eastAsia="仿宋"/>
          <w:szCs w:val="30"/>
          <w:lang w:eastAsia="zh-CN"/>
        </w:rPr>
        <w:t>）作为拖期违约金。</w:t>
      </w:r>
      <w:bookmarkEnd w:id="1532"/>
      <w:bookmarkStart w:id="1533" w:name="_Toc410203977"/>
      <w:bookmarkStart w:id="1534" w:name="_Toc531858812"/>
      <w:bookmarkStart w:id="1535" w:name="_Toc80863355"/>
      <w:bookmarkStart w:id="1536" w:name="_Toc410206733"/>
      <w:bookmarkStart w:id="1537" w:name="_Toc21638"/>
      <w:bookmarkStart w:id="1538" w:name="_Toc41574034"/>
      <w:bookmarkStart w:id="1539" w:name="_Toc41499772"/>
      <w:bookmarkStart w:id="1540" w:name="_Toc82531210"/>
    </w:p>
    <w:p w14:paraId="3D21F4BF">
      <w:pPr>
        <w:pStyle w:val="4"/>
        <w:jc w:val="left"/>
        <w:rPr>
          <w:rFonts w:ascii="Times New Roman"/>
          <w:lang w:eastAsia="zh-CN"/>
        </w:rPr>
      </w:pPr>
      <w:bookmarkStart w:id="1541" w:name="_Toc144742743"/>
      <w:r>
        <w:rPr>
          <w:rFonts w:ascii="Times New Roman"/>
          <w:lang w:eastAsia="zh-CN"/>
        </w:rPr>
        <w:t>6. 材料与设备</w:t>
      </w:r>
      <w:bookmarkEnd w:id="1515"/>
      <w:bookmarkEnd w:id="1516"/>
      <w:bookmarkEnd w:id="1517"/>
      <w:bookmarkEnd w:id="1518"/>
      <w:bookmarkEnd w:id="1519"/>
      <w:bookmarkEnd w:id="1520"/>
      <w:bookmarkEnd w:id="1521"/>
      <w:bookmarkEnd w:id="1522"/>
      <w:bookmarkEnd w:id="1523"/>
      <w:bookmarkEnd w:id="1524"/>
      <w:bookmarkEnd w:id="1533"/>
      <w:bookmarkEnd w:id="1534"/>
      <w:bookmarkEnd w:id="1535"/>
      <w:bookmarkEnd w:id="1536"/>
      <w:bookmarkEnd w:id="1537"/>
      <w:bookmarkEnd w:id="1538"/>
      <w:bookmarkEnd w:id="1539"/>
      <w:bookmarkEnd w:id="1540"/>
      <w:bookmarkEnd w:id="1541"/>
    </w:p>
    <w:p w14:paraId="5AB711C3">
      <w:pPr>
        <w:snapToGrid w:val="0"/>
        <w:spacing w:line="560" w:lineRule="exact"/>
        <w:ind w:firstLine="600" w:firstLineChars="200"/>
        <w:rPr>
          <w:rFonts w:ascii="Times New Roman" w:eastAsia="仿宋"/>
          <w:sz w:val="30"/>
          <w:szCs w:val="30"/>
          <w:lang w:eastAsia="zh-CN"/>
        </w:rPr>
      </w:pPr>
      <w:bookmarkStart w:id="1542" w:name="_Toc296346669"/>
      <w:bookmarkStart w:id="1543" w:name="_Toc280868656"/>
      <w:bookmarkStart w:id="1544" w:name="_Toc297048354"/>
      <w:bookmarkStart w:id="1545" w:name="_Toc300934980"/>
      <w:bookmarkStart w:id="1546" w:name="_Toc318581173"/>
      <w:bookmarkStart w:id="1547" w:name="_Toc296891208"/>
      <w:bookmarkStart w:id="1548" w:name="_Toc304295557"/>
      <w:bookmarkStart w:id="1549" w:name="_Toc267251424"/>
      <w:bookmarkStart w:id="1550" w:name="_Toc296890996"/>
      <w:bookmarkStart w:id="1551" w:name="_Toc312677494"/>
      <w:bookmarkStart w:id="1552" w:name="_Toc297216187"/>
      <w:bookmarkStart w:id="1553" w:name="_Toc410203978"/>
      <w:bookmarkStart w:id="1554" w:name="_Toc280868655"/>
      <w:bookmarkStart w:id="1555" w:name="_Toc296944507"/>
      <w:bookmarkStart w:id="1556" w:name="_Toc297120468"/>
      <w:bookmarkStart w:id="1557" w:name="_Toc297123528"/>
      <w:bookmarkStart w:id="1558" w:name="_Toc312678020"/>
      <w:bookmarkStart w:id="1559" w:name="_Toc296503168"/>
      <w:bookmarkStart w:id="1560" w:name="_Toc296347167"/>
      <w:bookmarkStart w:id="1561" w:name="_Toc303539137"/>
      <w:r>
        <w:rPr>
          <w:rFonts w:ascii="Times New Roman" w:eastAsia="仿宋"/>
          <w:sz w:val="30"/>
          <w:szCs w:val="30"/>
          <w:lang w:eastAsia="zh-CN"/>
        </w:rPr>
        <w:t>6.1发包人供应材料与工程设备</w:t>
      </w:r>
    </w:p>
    <w:p w14:paraId="3C313F88">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承包人不可依赖工程量清单所述数量及尺寸而不参考图纸或不进行实地量度来订购物料或开始施工。承包人因不采取这些步骤而导致错误或有损耗物料，由此产生的费用由承包人承担。除瓷砖损耗率固定为3.5%外其余甲供材损耗按定额损耗率计算，超出部分由承包人承担。</w:t>
      </w:r>
    </w:p>
    <w:p w14:paraId="485F0824">
      <w:pPr>
        <w:pStyle w:val="2"/>
        <w:ind w:firstLine="630" w:firstLineChars="210"/>
        <w:rPr>
          <w:rFonts w:ascii="Times New Roman" w:eastAsia="仿宋"/>
          <w:sz w:val="30"/>
          <w:szCs w:val="30"/>
          <w:lang w:eastAsia="zh-CN"/>
        </w:rPr>
      </w:pPr>
      <w:r>
        <w:rPr>
          <w:rFonts w:ascii="Times New Roman" w:hAnsi="Times New Roman" w:eastAsia="仿宋"/>
          <w:sz w:val="30"/>
          <w:szCs w:val="30"/>
          <w:lang w:eastAsia="zh-CN"/>
        </w:rPr>
        <w:t>6.2</w:t>
      </w:r>
      <w:r>
        <w:rPr>
          <w:rFonts w:hint="eastAsia" w:ascii="Times New Roman" w:hAnsi="Times New Roman" w:eastAsia="仿宋"/>
          <w:sz w:val="30"/>
          <w:szCs w:val="30"/>
          <w:lang w:eastAsia="zh-CN"/>
        </w:rPr>
        <w:t xml:space="preserve"> 材料进场计划</w:t>
      </w:r>
    </w:p>
    <w:p w14:paraId="00C82EB7">
      <w:pPr>
        <w:ind w:firstLine="630" w:firstLineChars="210"/>
        <w:rPr>
          <w:rFonts w:ascii="Times New Roman" w:eastAsia="仿宋"/>
          <w:sz w:val="30"/>
          <w:szCs w:val="30"/>
          <w:lang w:eastAsia="zh-CN"/>
        </w:rPr>
      </w:pPr>
      <w:r>
        <w:rPr>
          <w:rFonts w:hint="eastAsia" w:ascii="Times New Roman" w:eastAsia="仿宋"/>
          <w:sz w:val="30"/>
          <w:szCs w:val="30"/>
          <w:lang w:eastAsia="zh-CN"/>
        </w:rPr>
        <w:t>提交自承建范围内所有物料（包括甲供材料）的进场审批计划。</w:t>
      </w:r>
    </w:p>
    <w:p w14:paraId="1AB4C998">
      <w:pPr>
        <w:ind w:firstLine="630" w:firstLineChars="210"/>
        <w:rPr>
          <w:rFonts w:ascii="Times New Roman" w:eastAsia="仿宋"/>
          <w:sz w:val="30"/>
          <w:szCs w:val="30"/>
          <w:lang w:eastAsia="zh-CN"/>
        </w:rPr>
      </w:pPr>
      <w:r>
        <w:rPr>
          <w:rFonts w:hint="eastAsia" w:ascii="Times New Roman" w:eastAsia="仿宋"/>
          <w:sz w:val="30"/>
          <w:szCs w:val="30"/>
          <w:lang w:eastAsia="zh-CN"/>
        </w:rPr>
        <w:t>材料进场时，必须报监理和发包人进行进场验收。验收过程举牌拍照，并填写发包人要求的材料进场验收单。</w:t>
      </w:r>
    </w:p>
    <w:p w14:paraId="24A69F05">
      <w:pPr>
        <w:pStyle w:val="2"/>
        <w:ind w:firstLine="630" w:firstLineChars="210"/>
        <w:rPr>
          <w:rFonts w:ascii="Times New Roman" w:eastAsia="仿宋"/>
          <w:sz w:val="30"/>
          <w:szCs w:val="30"/>
          <w:lang w:eastAsia="zh-CN"/>
        </w:rPr>
      </w:pPr>
      <w:r>
        <w:rPr>
          <w:rFonts w:ascii="Times New Roman" w:hAnsi="Times New Roman" w:eastAsia="仿宋"/>
          <w:sz w:val="30"/>
          <w:szCs w:val="30"/>
          <w:lang w:eastAsia="zh-CN"/>
        </w:rPr>
        <w:t>6.3</w:t>
      </w:r>
      <w:r>
        <w:rPr>
          <w:rFonts w:hint="eastAsia" w:ascii="Times New Roman" w:hAnsi="Times New Roman" w:eastAsia="仿宋"/>
          <w:sz w:val="30"/>
          <w:szCs w:val="30"/>
          <w:lang w:eastAsia="zh-CN"/>
        </w:rPr>
        <w:t xml:space="preserve"> 材料样品</w:t>
      </w:r>
    </w:p>
    <w:p w14:paraId="272F36C8">
      <w:pPr>
        <w:ind w:firstLine="630" w:firstLineChars="210"/>
        <w:rPr>
          <w:rFonts w:ascii="Times New Roman" w:eastAsia="仿宋"/>
          <w:sz w:val="30"/>
          <w:szCs w:val="30"/>
          <w:lang w:eastAsia="zh-CN"/>
        </w:rPr>
      </w:pPr>
      <w:r>
        <w:rPr>
          <w:rFonts w:hint="eastAsia" w:ascii="Times New Roman" w:eastAsia="仿宋"/>
          <w:sz w:val="30"/>
          <w:szCs w:val="30"/>
          <w:lang w:eastAsia="zh-CN"/>
        </w:rPr>
        <w:t>合同要求涉及定样确认的样品，需按合同内约定的样品学名、参数、规格、特征呈报样品，直至发包人审核批准。中标通知书下发后7个日历天内，总承包单位应按照合同“附件B-3需送样封样清单”内送样需求提供样品予发包人确认，直至样品通过封样确认。</w:t>
      </w:r>
    </w:p>
    <w:p w14:paraId="59555C13">
      <w:pPr>
        <w:ind w:firstLine="630" w:firstLineChars="210"/>
        <w:rPr>
          <w:rFonts w:ascii="Times New Roman" w:eastAsia="仿宋"/>
          <w:sz w:val="30"/>
          <w:szCs w:val="30"/>
          <w:lang w:eastAsia="zh-CN"/>
        </w:rPr>
      </w:pPr>
      <w:r>
        <w:rPr>
          <w:rFonts w:hint="eastAsia" w:ascii="Times New Roman" w:eastAsia="仿宋"/>
          <w:sz w:val="30"/>
          <w:szCs w:val="30"/>
          <w:lang w:eastAsia="zh-CN"/>
        </w:rPr>
        <w:t>订购所有材料及设施设备前，均需按发包人要求申报材料报审文件，直至发包人审批合格后，方可入场。</w:t>
      </w:r>
    </w:p>
    <w:p w14:paraId="3ABA3D0D">
      <w:pPr>
        <w:ind w:firstLine="630" w:firstLineChars="210"/>
        <w:rPr>
          <w:rFonts w:ascii="Times New Roman" w:eastAsia="仿宋"/>
          <w:sz w:val="30"/>
          <w:szCs w:val="30"/>
          <w:lang w:eastAsia="zh-CN"/>
        </w:rPr>
      </w:pPr>
      <w:r>
        <w:rPr>
          <w:rFonts w:hint="eastAsia" w:ascii="Times New Roman" w:eastAsia="仿宋"/>
          <w:sz w:val="30"/>
          <w:szCs w:val="30"/>
          <w:lang w:eastAsia="zh-CN"/>
        </w:rPr>
        <w:t>现场设立材料样品库（提供于</w:t>
      </w:r>
      <w:r>
        <w:rPr>
          <w:rFonts w:hint="eastAsia" w:ascii="Times New Roman" w:hAnsi="宋体" w:eastAsia="仿宋" w:cs="宋体"/>
          <w:sz w:val="30"/>
          <w:szCs w:val="30"/>
          <w:lang w:eastAsia="zh-CN"/>
        </w:rPr>
        <w:t>独立承包人</w:t>
      </w:r>
      <w:r>
        <w:rPr>
          <w:rFonts w:hint="eastAsia" w:ascii="Times New Roman" w:eastAsia="仿宋"/>
          <w:sz w:val="30"/>
          <w:szCs w:val="30"/>
          <w:lang w:eastAsia="zh-CN"/>
        </w:rPr>
        <w:t>共同使用），所有经批准的样品须保存现场样品库备查，并由总包资料员编制样品入库清单。</w:t>
      </w:r>
    </w:p>
    <w:p w14:paraId="15C4EC59">
      <w:pPr>
        <w:pStyle w:val="2"/>
        <w:ind w:firstLine="630" w:firstLineChars="210"/>
        <w:rPr>
          <w:rFonts w:ascii="Times New Roman" w:eastAsia="仿宋"/>
          <w:sz w:val="30"/>
          <w:szCs w:val="30"/>
          <w:lang w:eastAsia="zh-CN"/>
        </w:rPr>
      </w:pPr>
      <w:r>
        <w:rPr>
          <w:rFonts w:ascii="Times New Roman" w:hAnsi="Times New Roman" w:eastAsia="仿宋"/>
          <w:sz w:val="30"/>
          <w:szCs w:val="30"/>
          <w:lang w:eastAsia="zh-CN"/>
        </w:rPr>
        <w:t xml:space="preserve">6.4 </w:t>
      </w:r>
      <w:r>
        <w:rPr>
          <w:rFonts w:hint="eastAsia" w:ascii="Times New Roman" w:hAnsi="Times New Roman" w:eastAsia="仿宋"/>
          <w:sz w:val="30"/>
          <w:szCs w:val="30"/>
          <w:lang w:eastAsia="zh-CN"/>
        </w:rPr>
        <w:t>材料接收、储藏及二次搬运</w:t>
      </w:r>
    </w:p>
    <w:p w14:paraId="3EABD6E4">
      <w:pPr>
        <w:ind w:firstLine="630" w:firstLineChars="210"/>
        <w:rPr>
          <w:rFonts w:ascii="Times New Roman" w:eastAsia="仿宋"/>
          <w:sz w:val="30"/>
          <w:szCs w:val="30"/>
          <w:lang w:eastAsia="zh-CN"/>
        </w:rPr>
      </w:pPr>
      <w:r>
        <w:rPr>
          <w:rFonts w:hint="eastAsia" w:ascii="Times New Roman" w:eastAsia="仿宋"/>
          <w:sz w:val="30"/>
          <w:szCs w:val="30"/>
          <w:lang w:eastAsia="zh-CN"/>
        </w:rPr>
        <w:t>现场接收合同范围内的供货商及发包人采购的材料设备的物料，为指定分包</w:t>
      </w:r>
      <w:r>
        <w:rPr>
          <w:rFonts w:ascii="Times New Roman" w:eastAsia="仿宋"/>
          <w:sz w:val="30"/>
          <w:szCs w:val="30"/>
          <w:lang w:eastAsia="zh-CN"/>
        </w:rPr>
        <w:t>/</w:t>
      </w:r>
      <w:r>
        <w:rPr>
          <w:rFonts w:hint="eastAsia" w:ascii="Times New Roman" w:eastAsia="仿宋"/>
          <w:sz w:val="30"/>
          <w:szCs w:val="30"/>
          <w:lang w:eastAsia="zh-CN"/>
        </w:rPr>
        <w:t>独立承包</w:t>
      </w:r>
      <w:r>
        <w:rPr>
          <w:rFonts w:ascii="Times New Roman" w:eastAsia="仿宋"/>
          <w:sz w:val="30"/>
          <w:szCs w:val="30"/>
          <w:lang w:eastAsia="zh-CN"/>
        </w:rPr>
        <w:t>/</w:t>
      </w:r>
      <w:r>
        <w:rPr>
          <w:rFonts w:hint="eastAsia" w:ascii="Times New Roman" w:eastAsia="仿宋"/>
          <w:sz w:val="30"/>
          <w:szCs w:val="30"/>
          <w:lang w:eastAsia="zh-CN"/>
        </w:rPr>
        <w:t>供货商的人员、设备、物料提供进场入口及通道。全面保管指定供应分包移交的物料，自费补充受损坏、遗失、偷窃的物料。负责自承建范围内物料的二次搬运，将合同约定的备用材料运送到发包人指定的地方及加以适当保护。</w:t>
      </w:r>
    </w:p>
    <w:p w14:paraId="615FCA62">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如由于总承包人通道管理不力导致指定分包、独立承包及供货商的二次搬运由总承包人负责费用。</w:t>
      </w:r>
    </w:p>
    <w:p w14:paraId="32E3FE79">
      <w:pPr>
        <w:pStyle w:val="2"/>
        <w:ind w:firstLine="600" w:firstLineChars="200"/>
        <w:rPr>
          <w:rFonts w:ascii="Times New Roman" w:hAnsi="Times New Roman" w:eastAsia="仿宋"/>
          <w:sz w:val="30"/>
          <w:szCs w:val="30"/>
          <w:lang w:eastAsia="zh-CN"/>
        </w:rPr>
      </w:pPr>
      <w:r>
        <w:rPr>
          <w:rFonts w:hint="eastAsia" w:ascii="Times New Roman" w:hAnsi="Times New Roman" w:eastAsia="仿宋"/>
          <w:sz w:val="30"/>
          <w:szCs w:val="30"/>
          <w:lang w:eastAsia="zh-CN"/>
        </w:rPr>
        <w:t>6.5 现场所有拆除的电缆甲方需进行利旧，乙方拆除后需移交甲方。</w:t>
      </w:r>
    </w:p>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14:paraId="6FA63EDF">
      <w:pPr>
        <w:pStyle w:val="4"/>
        <w:jc w:val="left"/>
        <w:rPr>
          <w:rFonts w:ascii="Times New Roman"/>
          <w:lang w:eastAsia="zh-CN"/>
        </w:rPr>
      </w:pPr>
      <w:bookmarkStart w:id="1562" w:name="_Toc41499773"/>
      <w:bookmarkStart w:id="1563" w:name="_Toc11059"/>
      <w:bookmarkStart w:id="1564" w:name="_Toc82531211"/>
      <w:bookmarkStart w:id="1565" w:name="_Toc80863356"/>
      <w:bookmarkStart w:id="1566" w:name="_Toc41574035"/>
      <w:bookmarkStart w:id="1567" w:name="_Toc144742744"/>
      <w:bookmarkStart w:id="1568" w:name="_Toc531858813"/>
      <w:bookmarkStart w:id="1569" w:name="_Toc296346695"/>
      <w:bookmarkStart w:id="1570" w:name="_Toc303539147"/>
      <w:bookmarkStart w:id="1571" w:name="_Toc312678026"/>
      <w:bookmarkStart w:id="1572" w:name="_Toc297216200"/>
      <w:bookmarkStart w:id="1573" w:name="_Toc300934990"/>
      <w:bookmarkStart w:id="1574" w:name="_Toc292559399"/>
      <w:bookmarkStart w:id="1575" w:name="_Toc297048380"/>
      <w:bookmarkStart w:id="1576" w:name="_Toc296503194"/>
      <w:bookmarkStart w:id="1577" w:name="_Toc292559904"/>
      <w:bookmarkStart w:id="1578" w:name="_Toc296891234"/>
      <w:bookmarkStart w:id="1579" w:name="_Toc304295567"/>
      <w:bookmarkStart w:id="1580" w:name="_Toc296347193"/>
      <w:bookmarkStart w:id="1581" w:name="_Toc312677500"/>
      <w:bookmarkStart w:id="1582" w:name="_Toc296944533"/>
      <w:bookmarkStart w:id="1583" w:name="_Toc297120494"/>
      <w:bookmarkStart w:id="1584" w:name="_Toc297123541"/>
      <w:bookmarkStart w:id="1585" w:name="_Toc296891022"/>
      <w:bookmarkStart w:id="1586" w:name="_Toc267251435"/>
      <w:bookmarkStart w:id="1587" w:name="_Toc267251441"/>
      <w:bookmarkStart w:id="1588" w:name="_Toc267251433"/>
      <w:bookmarkStart w:id="1589" w:name="_Toc267251439"/>
      <w:bookmarkStart w:id="1590" w:name="_Toc267251440"/>
      <w:bookmarkStart w:id="1591" w:name="_Toc267251442"/>
      <w:bookmarkStart w:id="1592" w:name="_Toc267251437"/>
      <w:r>
        <w:rPr>
          <w:rFonts w:ascii="Times New Roman"/>
          <w:lang w:eastAsia="zh-CN"/>
        </w:rPr>
        <w:t>7</w:t>
      </w:r>
      <w:bookmarkStart w:id="1593" w:name="_Toc292559903"/>
      <w:bookmarkStart w:id="1594" w:name="_Toc303539146"/>
      <w:bookmarkStart w:id="1595" w:name="_Toc296346694"/>
      <w:bookmarkStart w:id="1596" w:name="_Toc296891233"/>
      <w:bookmarkStart w:id="1597" w:name="_Toc292559398"/>
      <w:bookmarkStart w:id="1598" w:name="_Toc312677499"/>
      <w:bookmarkStart w:id="1599" w:name="_Toc312678025"/>
      <w:bookmarkStart w:id="1600" w:name="_Toc296944532"/>
      <w:bookmarkStart w:id="1601" w:name="_Toc297216199"/>
      <w:bookmarkStart w:id="1602" w:name="_Toc296503193"/>
      <w:bookmarkStart w:id="1603" w:name="_Toc296891021"/>
      <w:bookmarkStart w:id="1604" w:name="_Toc296347192"/>
      <w:bookmarkStart w:id="1605" w:name="_Toc297120493"/>
      <w:bookmarkStart w:id="1606" w:name="_Toc304295566"/>
      <w:bookmarkStart w:id="1607" w:name="_Toc300934989"/>
      <w:bookmarkStart w:id="1608" w:name="_Toc297123540"/>
      <w:bookmarkStart w:id="1609" w:name="_Toc297048379"/>
      <w:r>
        <w:rPr>
          <w:rFonts w:ascii="Times New Roman"/>
          <w:lang w:eastAsia="zh-CN"/>
        </w:rPr>
        <w:t>. 变更</w:t>
      </w:r>
      <w:bookmarkEnd w:id="1562"/>
      <w:bookmarkEnd w:id="1563"/>
      <w:bookmarkEnd w:id="1564"/>
      <w:bookmarkEnd w:id="1565"/>
      <w:bookmarkEnd w:id="1566"/>
      <w:bookmarkEnd w:id="1567"/>
      <w:bookmarkEnd w:id="1568"/>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57C6E5D3">
      <w:pPr>
        <w:ind w:firstLine="621" w:firstLineChars="207"/>
        <w:rPr>
          <w:rFonts w:ascii="Times New Roman" w:eastAsia="仿宋"/>
          <w:szCs w:val="30"/>
          <w:lang w:eastAsia="zh-CN"/>
        </w:rPr>
      </w:pPr>
      <w:r>
        <w:rPr>
          <w:rFonts w:ascii="Times New Roman" w:eastAsia="仿宋"/>
          <w:sz w:val="30"/>
          <w:szCs w:val="30"/>
          <w:lang w:eastAsia="zh-CN"/>
        </w:rPr>
        <w:t>7.1</w:t>
      </w:r>
      <w:r>
        <w:rPr>
          <w:rFonts w:hint="eastAsia" w:ascii="Times New Roman" w:eastAsia="仿宋"/>
          <w:sz w:val="30"/>
          <w:szCs w:val="30"/>
          <w:lang w:eastAsia="zh-CN"/>
        </w:rPr>
        <w:t xml:space="preserve"> 变更提出</w:t>
      </w:r>
    </w:p>
    <w:p w14:paraId="046BB064">
      <w:pPr>
        <w:pStyle w:val="2"/>
        <w:ind w:firstLine="621" w:firstLineChars="207"/>
        <w:rPr>
          <w:rFonts w:ascii="Times New Roman" w:eastAsia="仿宋"/>
          <w:szCs w:val="30"/>
          <w:lang w:eastAsia="zh-CN"/>
        </w:rPr>
      </w:pPr>
      <w:r>
        <w:rPr>
          <w:rFonts w:hint="eastAsia" w:ascii="Times New Roman" w:hAnsi="Times New Roman" w:eastAsia="仿宋"/>
          <w:sz w:val="30"/>
          <w:szCs w:val="30"/>
          <w:lang w:eastAsia="zh-CN"/>
        </w:rPr>
        <w:t>倘若</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并未提出任何设计或工程变更，但承包人依据现场施工发现或将引起变更事项的情况，应在</w:t>
      </w:r>
      <w:r>
        <w:rPr>
          <w:rFonts w:ascii="Times New Roman" w:hAnsi="Times New Roman" w:eastAsia="仿宋"/>
          <w:sz w:val="30"/>
          <w:szCs w:val="30"/>
          <w:lang w:eastAsia="zh-CN"/>
        </w:rPr>
        <w:t>1</w:t>
      </w:r>
      <w:r>
        <w:rPr>
          <w:rFonts w:hint="eastAsia" w:ascii="Times New Roman" w:hAnsi="Times New Roman" w:eastAsia="仿宋"/>
          <w:sz w:val="30"/>
          <w:szCs w:val="30"/>
          <w:lang w:eastAsia="zh-CN"/>
        </w:rPr>
        <w:t>天内通知</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项目部、设计管理部以及工程监理，该事项若经</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确认并同意实施变更，则由</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签发相应的变更指令。若承包人未在时限要求内实行上述通知义务而擅自实施变更，则</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不予补偿该变更费用，同时，可向承包人追偿实施该变更给</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带来的损失（若有）。</w:t>
      </w:r>
    </w:p>
    <w:p w14:paraId="325A8C8C">
      <w:pPr>
        <w:ind w:firstLine="600" w:firstLineChars="200"/>
        <w:rPr>
          <w:rFonts w:ascii="Times New Roman" w:eastAsia="仿宋"/>
          <w:szCs w:val="30"/>
          <w:lang w:eastAsia="zh-CN"/>
        </w:rPr>
      </w:pPr>
      <w:r>
        <w:rPr>
          <w:rFonts w:ascii="Times New Roman" w:eastAsia="仿宋"/>
          <w:sz w:val="30"/>
          <w:szCs w:val="30"/>
          <w:lang w:eastAsia="zh-CN"/>
        </w:rPr>
        <w:t xml:space="preserve">7.2 </w:t>
      </w:r>
      <w:r>
        <w:rPr>
          <w:rFonts w:hint="eastAsia" w:ascii="Times New Roman" w:eastAsia="仿宋"/>
          <w:sz w:val="30"/>
          <w:szCs w:val="30"/>
          <w:lang w:eastAsia="zh-CN"/>
        </w:rPr>
        <w:t>变更签收及执行</w:t>
      </w:r>
    </w:p>
    <w:p w14:paraId="56CEB4BE">
      <w:pPr>
        <w:pStyle w:val="2"/>
        <w:ind w:firstLine="600" w:firstLineChars="200"/>
        <w:rPr>
          <w:rFonts w:ascii="Times New Roman" w:eastAsia="仿宋"/>
          <w:szCs w:val="30"/>
          <w:lang w:eastAsia="zh-CN"/>
        </w:rPr>
      </w:pPr>
      <w:r>
        <w:rPr>
          <w:rFonts w:hint="eastAsia" w:ascii="Times New Roman" w:hAnsi="Times New Roman" w:eastAsia="仿宋"/>
          <w:sz w:val="30"/>
          <w:szCs w:val="30"/>
          <w:lang w:eastAsia="zh-CN"/>
        </w:rPr>
        <w:t>承包人不得拒绝签收及不得拒绝执行</w:t>
      </w:r>
      <w:r>
        <w:rPr>
          <w:rFonts w:hint="eastAsia" w:ascii="Times New Roman" w:eastAsia="仿宋"/>
          <w:sz w:val="30"/>
          <w:szCs w:val="30"/>
          <w:lang w:eastAsia="zh-CN"/>
        </w:rPr>
        <w:t>发包人</w:t>
      </w:r>
      <w:r>
        <w:rPr>
          <w:rFonts w:hint="eastAsia" w:ascii="Times New Roman" w:hAnsi="Times New Roman" w:eastAsia="仿宋"/>
          <w:sz w:val="30"/>
          <w:szCs w:val="30"/>
          <w:lang w:eastAsia="zh-CN"/>
        </w:rPr>
        <w:t>下发的变更指令。在变更估价完成前应积极配合变更的执行；</w:t>
      </w:r>
    </w:p>
    <w:p w14:paraId="52F8CDB7">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7.</w:t>
      </w:r>
      <w:r>
        <w:rPr>
          <w:rFonts w:hint="eastAsia" w:ascii="Times New Roman" w:eastAsia="仿宋"/>
          <w:sz w:val="30"/>
          <w:szCs w:val="30"/>
          <w:lang w:eastAsia="zh-CN"/>
        </w:rPr>
        <w:t xml:space="preserve">3 </w:t>
      </w:r>
      <w:r>
        <w:rPr>
          <w:rFonts w:ascii="Times New Roman" w:eastAsia="仿宋"/>
          <w:sz w:val="30"/>
          <w:szCs w:val="30"/>
          <w:lang w:eastAsia="zh-CN"/>
        </w:rPr>
        <w:t>变更估价</w:t>
      </w:r>
    </w:p>
    <w:p w14:paraId="2DF8C68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w:t>
      </w:r>
      <w:bookmarkStart w:id="1610" w:name="_Toc80863357"/>
      <w:r>
        <w:rPr>
          <w:rFonts w:hint="eastAsia" w:ascii="Times New Roman" w:eastAsia="仿宋"/>
          <w:color w:val="EE0000"/>
          <w:sz w:val="30"/>
          <w:szCs w:val="30"/>
          <w:u w:val="single"/>
          <w:lang w:eastAsia="zh-CN"/>
        </w:rPr>
        <w:t>当变更签证、重计量导致的合同清单项目工程量累计小于等于</w:t>
      </w:r>
      <w:r>
        <w:rPr>
          <w:rFonts w:ascii="Times New Roman" w:eastAsia="仿宋"/>
          <w:color w:val="EE0000"/>
          <w:sz w:val="30"/>
          <w:szCs w:val="30"/>
          <w:u w:val="single"/>
          <w:lang w:eastAsia="zh-CN"/>
        </w:rPr>
        <w:t>15%</w:t>
      </w:r>
      <w:r>
        <w:rPr>
          <w:rFonts w:hint="eastAsia" w:ascii="Times New Roman" w:eastAsia="仿宋"/>
          <w:color w:val="EE0000"/>
          <w:sz w:val="30"/>
          <w:szCs w:val="30"/>
          <w:u w:val="single"/>
          <w:lang w:eastAsia="zh-CN"/>
        </w:rPr>
        <w:t>时，</w:t>
      </w:r>
      <w:r>
        <w:rPr>
          <w:rFonts w:hint="eastAsia" w:ascii="Times New Roman" w:eastAsia="仿宋"/>
          <w:sz w:val="30"/>
          <w:szCs w:val="30"/>
          <w:lang w:eastAsia="zh-CN"/>
        </w:rPr>
        <w:t>已标价工程量清单中有适用于工程变更项目的，应采用该项目的单价。</w:t>
      </w:r>
      <w:permStart w:id="20" w:edGrp="everyone"/>
      <w:r>
        <w:rPr>
          <w:rFonts w:hint="eastAsia" w:ascii="Times New Roman" w:eastAsia="仿宋"/>
          <w:sz w:val="30"/>
          <w:szCs w:val="30"/>
          <w:u w:val="single"/>
          <w:lang w:eastAsia="zh-CN"/>
        </w:rPr>
        <w:t>人工费不因当地相关部门最新发布的相关文件调整，材料费不因市场价格波动调整；</w:t>
      </w:r>
    </w:p>
    <w:p w14:paraId="3BE4720C">
      <w:pPr>
        <w:pStyle w:val="2"/>
        <w:rPr>
          <w:rFonts w:ascii="Times New Roman" w:eastAsia="仿宋"/>
          <w:sz w:val="30"/>
          <w:szCs w:val="30"/>
          <w:u w:val="single"/>
          <w:lang w:eastAsia="zh-CN"/>
        </w:rPr>
      </w:pPr>
      <w:r>
        <w:rPr>
          <w:rFonts w:eastAsiaTheme="minorEastAsia"/>
          <w:lang w:eastAsia="zh-CN"/>
        </w:rPr>
        <w:tab/>
      </w:r>
      <w:r>
        <w:rPr>
          <w:rFonts w:hint="eastAsia" w:eastAsiaTheme="minorEastAsia"/>
          <w:lang w:eastAsia="zh-CN"/>
        </w:rPr>
        <w:t xml:space="preserve"> </w:t>
      </w:r>
      <w:r>
        <w:rPr>
          <w:rFonts w:hint="eastAsia" w:ascii="Times New Roman" w:eastAsia="仿宋"/>
          <w:sz w:val="30"/>
          <w:szCs w:val="30"/>
          <w:lang w:eastAsia="zh-CN"/>
        </w:rPr>
        <w:t>（2）</w:t>
      </w:r>
      <w:r>
        <w:rPr>
          <w:rFonts w:hint="eastAsia" w:ascii="Times New Roman" w:eastAsia="仿宋"/>
          <w:sz w:val="30"/>
          <w:szCs w:val="30"/>
          <w:u w:val="single"/>
          <w:lang w:eastAsia="zh-CN"/>
        </w:rPr>
        <w:t>工程量清单中无相同项目或类似项目，综合单价根据工程所在地的预算定额组价和总承包人报价浮动率计算，总承包人报价浮动率按照以下公式计算：总承包人报价浮动率</w:t>
      </w:r>
      <w:r>
        <w:rPr>
          <w:rFonts w:ascii="Times New Roman" w:eastAsia="仿宋"/>
          <w:sz w:val="30"/>
          <w:szCs w:val="30"/>
          <w:u w:val="single"/>
          <w:lang w:eastAsia="zh-CN"/>
        </w:rPr>
        <w:t>=</w:t>
      </w:r>
      <w:r>
        <w:rPr>
          <w:rFonts w:hint="eastAsia" w:ascii="Times New Roman" w:eastAsia="仿宋"/>
          <w:sz w:val="30"/>
          <w:szCs w:val="30"/>
          <w:u w:val="single"/>
          <w:lang w:eastAsia="zh-CN"/>
        </w:rPr>
        <w:t>（</w:t>
      </w:r>
      <w:r>
        <w:rPr>
          <w:rFonts w:ascii="Times New Roman" w:eastAsia="仿宋"/>
          <w:sz w:val="30"/>
          <w:szCs w:val="30"/>
          <w:u w:val="single"/>
          <w:lang w:eastAsia="zh-CN"/>
        </w:rPr>
        <w:t>1-</w:t>
      </w:r>
      <w:r>
        <w:rPr>
          <w:rFonts w:hint="eastAsia" w:ascii="Times New Roman" w:eastAsia="仿宋"/>
          <w:sz w:val="30"/>
          <w:szCs w:val="30"/>
          <w:u w:val="single"/>
          <w:lang w:eastAsia="zh-CN"/>
        </w:rPr>
        <w:t>中标价</w:t>
      </w:r>
      <w:r>
        <w:rPr>
          <w:rFonts w:ascii="Times New Roman" w:eastAsia="仿宋"/>
          <w:sz w:val="30"/>
          <w:szCs w:val="30"/>
          <w:u w:val="single"/>
          <w:lang w:eastAsia="zh-CN"/>
        </w:rPr>
        <w:t>/</w:t>
      </w:r>
      <w:r>
        <w:rPr>
          <w:rFonts w:hint="eastAsia" w:ascii="Times New Roman" w:eastAsia="仿宋"/>
          <w:sz w:val="30"/>
          <w:szCs w:val="30"/>
          <w:u w:val="single"/>
          <w:lang w:eastAsia="zh-CN"/>
        </w:rPr>
        <w:t>招标控制价）×</w:t>
      </w:r>
      <w:r>
        <w:rPr>
          <w:rFonts w:ascii="Times New Roman" w:eastAsia="仿宋"/>
          <w:sz w:val="30"/>
          <w:szCs w:val="30"/>
          <w:u w:val="single"/>
          <w:lang w:eastAsia="zh-CN"/>
        </w:rPr>
        <w:t>100%</w:t>
      </w:r>
      <w:r>
        <w:rPr>
          <w:rFonts w:hint="eastAsia" w:ascii="Times New Roman" w:eastAsia="仿宋"/>
          <w:sz w:val="30"/>
          <w:szCs w:val="30"/>
          <w:u w:val="single"/>
          <w:lang w:eastAsia="zh-CN"/>
        </w:rPr>
        <w:t>；主要材料、设备价格由发包人、总承包人及第三方咨询公司共同认价确定。</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610"/>
    </w:p>
    <w:p w14:paraId="1D22253A">
      <w:pPr>
        <w:ind w:firstLine="600" w:firstLineChars="200"/>
        <w:rPr>
          <w:rFonts w:ascii="Times New Roman" w:eastAsia="仿宋"/>
          <w:sz w:val="30"/>
          <w:szCs w:val="30"/>
          <w:u w:val="single"/>
          <w:lang w:eastAsia="zh-CN"/>
        </w:rPr>
      </w:pPr>
      <w:r>
        <w:rPr>
          <w:rFonts w:hint="eastAsia" w:ascii="Times New Roman" w:hAnsi="Calibri" w:eastAsia="仿宋"/>
          <w:sz w:val="30"/>
          <w:szCs w:val="30"/>
          <w:lang w:eastAsia="zh-CN"/>
        </w:rPr>
        <w:t>（</w:t>
      </w:r>
      <w:r>
        <w:rPr>
          <w:rFonts w:ascii="Times New Roman" w:hAnsi="Calibri" w:eastAsia="仿宋"/>
          <w:sz w:val="30"/>
          <w:szCs w:val="30"/>
          <w:lang w:eastAsia="zh-CN"/>
        </w:rPr>
        <w:t>3</w:t>
      </w:r>
      <w:r>
        <w:rPr>
          <w:rFonts w:hint="eastAsia" w:ascii="Times New Roman" w:hAnsi="Calibri" w:eastAsia="仿宋"/>
          <w:sz w:val="30"/>
          <w:szCs w:val="30"/>
          <w:lang w:eastAsia="zh-CN"/>
        </w:rPr>
        <w:t>）</w:t>
      </w:r>
      <w:r>
        <w:rPr>
          <w:rFonts w:hint="eastAsia" w:ascii="Times New Roman" w:hAnsi="Calibri" w:eastAsia="仿宋"/>
          <w:color w:val="EE0000"/>
          <w:sz w:val="30"/>
          <w:szCs w:val="30"/>
          <w:highlight w:val="yellow"/>
          <w:u w:val="single"/>
          <w:lang w:eastAsia="zh-CN"/>
        </w:rPr>
        <w:t>当变更签证、重计量导致的合同清单项目工程量累计增加</w:t>
      </w:r>
      <w:r>
        <w:rPr>
          <w:rFonts w:ascii="Times New Roman" w:hAnsi="Calibri" w:eastAsia="仿宋"/>
          <w:color w:val="EE0000"/>
          <w:sz w:val="30"/>
          <w:szCs w:val="30"/>
          <w:highlight w:val="yellow"/>
          <w:u w:val="single"/>
          <w:lang w:eastAsia="zh-CN"/>
        </w:rPr>
        <w:t>15%</w:t>
      </w:r>
      <w:r>
        <w:rPr>
          <w:rFonts w:hint="eastAsia" w:ascii="Times New Roman" w:hAnsi="Calibri" w:eastAsia="仿宋"/>
          <w:color w:val="EE0000"/>
          <w:sz w:val="30"/>
          <w:szCs w:val="30"/>
          <w:highlight w:val="yellow"/>
          <w:u w:val="single"/>
          <w:lang w:eastAsia="zh-CN"/>
        </w:rPr>
        <w:t>以上时，超过部分按照①中标人投标清单综合单价、②所有有效投标清单综合单价算术平均值、③发包人最高投标限价相应清单综合单价，三者中取最低价执行；工程量减少</w:t>
      </w:r>
      <w:r>
        <w:rPr>
          <w:rFonts w:ascii="Times New Roman" w:hAnsi="Calibri" w:eastAsia="仿宋"/>
          <w:color w:val="EE0000"/>
          <w:sz w:val="30"/>
          <w:szCs w:val="30"/>
          <w:highlight w:val="yellow"/>
          <w:u w:val="single"/>
          <w:lang w:eastAsia="zh-CN"/>
        </w:rPr>
        <w:t>15%</w:t>
      </w:r>
      <w:r>
        <w:rPr>
          <w:rFonts w:hint="eastAsia" w:ascii="Times New Roman" w:hAnsi="Calibri" w:eastAsia="仿宋"/>
          <w:color w:val="EE0000"/>
          <w:sz w:val="30"/>
          <w:szCs w:val="30"/>
          <w:highlight w:val="yellow"/>
          <w:u w:val="single"/>
          <w:lang w:eastAsia="zh-CN"/>
        </w:rPr>
        <w:t>以上时，减少后剩余工程量的综合单价按照投标报价执行。所有变更签证的工程量仅计算变更图纸与招标图纸（如模拟清单工程量招标则为重计量图纸）的差异部分，不对原招标图纸（如模拟清单工程量招标则为重计量图纸）与</w:t>
      </w:r>
      <w:r>
        <w:rPr>
          <w:rFonts w:hint="eastAsia" w:ascii="Times New Roman" w:eastAsia="仿宋"/>
          <w:color w:val="EE0000"/>
          <w:sz w:val="30"/>
          <w:szCs w:val="30"/>
          <w:highlight w:val="yellow"/>
          <w:u w:val="single"/>
          <w:lang w:eastAsia="zh-CN"/>
        </w:rPr>
        <w:t>招标时</w:t>
      </w:r>
      <w:r>
        <w:rPr>
          <w:rFonts w:hint="eastAsia" w:ascii="Times New Roman" w:hAnsi="Calibri" w:eastAsia="仿宋"/>
          <w:color w:val="EE0000"/>
          <w:sz w:val="30"/>
          <w:szCs w:val="30"/>
          <w:highlight w:val="yellow"/>
          <w:u w:val="single"/>
          <w:lang w:eastAsia="zh-CN"/>
        </w:rPr>
        <w:t>工程量清单的差异进行重新计量及补偿。</w:t>
      </w:r>
    </w:p>
    <w:p w14:paraId="56B51BAB">
      <w:pPr>
        <w:ind w:firstLine="600" w:firstLineChars="200"/>
        <w:rPr>
          <w:rFonts w:ascii="Times New Roman" w:eastAsia="仿宋"/>
          <w:sz w:val="30"/>
          <w:szCs w:val="30"/>
          <w:u w:val="single"/>
          <w:lang w:eastAsia="zh-CN"/>
        </w:rPr>
      </w:pPr>
      <w:r>
        <w:rPr>
          <w:rFonts w:hint="eastAsia" w:ascii="Times New Roman" w:hAnsi="Calibri" w:eastAsia="仿宋"/>
          <w:sz w:val="30"/>
          <w:szCs w:val="30"/>
          <w:u w:val="single"/>
          <w:lang w:eastAsia="zh-CN"/>
        </w:rPr>
        <w:t>（4）设计变更</w:t>
      </w:r>
      <w:r>
        <w:rPr>
          <w:rFonts w:ascii="Times New Roman" w:hAnsi="Calibri" w:eastAsia="仿宋"/>
          <w:sz w:val="30"/>
          <w:szCs w:val="30"/>
          <w:u w:val="single"/>
          <w:lang w:eastAsia="zh-CN"/>
        </w:rPr>
        <w:t>/</w:t>
      </w:r>
      <w:r>
        <w:rPr>
          <w:rFonts w:hint="eastAsia" w:ascii="Times New Roman" w:hAnsi="Calibri" w:eastAsia="仿宋"/>
          <w:sz w:val="30"/>
          <w:szCs w:val="30"/>
          <w:u w:val="single"/>
          <w:lang w:eastAsia="zh-CN"/>
        </w:rPr>
        <w:t>工程变更发放后</w:t>
      </w:r>
      <w:r>
        <w:rPr>
          <w:rFonts w:ascii="Times New Roman" w:hAnsi="Calibri" w:eastAsia="仿宋"/>
          <w:sz w:val="30"/>
          <w:szCs w:val="30"/>
          <w:u w:val="single"/>
          <w:lang w:eastAsia="zh-CN"/>
        </w:rPr>
        <w:t>28</w:t>
      </w:r>
      <w:r>
        <w:rPr>
          <w:rFonts w:hint="eastAsia" w:ascii="Times New Roman" w:hAnsi="Calibri" w:eastAsia="仿宋"/>
          <w:sz w:val="30"/>
          <w:szCs w:val="30"/>
          <w:u w:val="single"/>
          <w:lang w:eastAsia="zh-CN"/>
        </w:rPr>
        <w:t>天内，承包人按</w:t>
      </w:r>
      <w:r>
        <w:rPr>
          <w:rFonts w:hint="eastAsia" w:ascii="Times New Roman" w:eastAsia="仿宋"/>
          <w:sz w:val="30"/>
          <w:szCs w:val="30"/>
          <w:lang w:eastAsia="zh-CN"/>
        </w:rPr>
        <w:t>发包人</w:t>
      </w:r>
      <w:r>
        <w:rPr>
          <w:rFonts w:ascii="Times New Roman" w:hAnsi="Calibri" w:eastAsia="仿宋"/>
          <w:sz w:val="30"/>
          <w:szCs w:val="30"/>
          <w:u w:val="single"/>
          <w:lang w:eastAsia="zh-CN"/>
        </w:rPr>
        <w:t>/</w:t>
      </w:r>
      <w:r>
        <w:rPr>
          <w:rFonts w:hint="eastAsia" w:ascii="Times New Roman" w:hAnsi="Calibri" w:eastAsia="仿宋"/>
          <w:sz w:val="30"/>
          <w:szCs w:val="30"/>
          <w:u w:val="single"/>
          <w:lang w:eastAsia="zh-CN"/>
        </w:rPr>
        <w:t>估算师要求的内容及格式提交完成上述设计变更</w:t>
      </w:r>
      <w:r>
        <w:rPr>
          <w:rFonts w:ascii="Times New Roman" w:hAnsi="Calibri" w:eastAsia="仿宋"/>
          <w:sz w:val="30"/>
          <w:szCs w:val="30"/>
          <w:u w:val="single"/>
          <w:lang w:eastAsia="zh-CN"/>
        </w:rPr>
        <w:t>/</w:t>
      </w:r>
      <w:r>
        <w:rPr>
          <w:rFonts w:hint="eastAsia" w:ascii="Times New Roman" w:hAnsi="Calibri" w:eastAsia="仿宋"/>
          <w:sz w:val="30"/>
          <w:szCs w:val="30"/>
          <w:u w:val="single"/>
          <w:lang w:eastAsia="zh-CN"/>
        </w:rPr>
        <w:t>工程变更所需的报价之明细及计量相关的资料予</w:t>
      </w:r>
      <w:r>
        <w:rPr>
          <w:rFonts w:hint="eastAsia" w:ascii="Times New Roman" w:eastAsia="仿宋"/>
          <w:sz w:val="30"/>
          <w:szCs w:val="30"/>
          <w:lang w:eastAsia="zh-CN"/>
        </w:rPr>
        <w:t>发包人</w:t>
      </w:r>
      <w:r>
        <w:rPr>
          <w:rFonts w:hint="eastAsia" w:ascii="Times New Roman" w:hAnsi="Calibri" w:eastAsia="仿宋"/>
          <w:sz w:val="30"/>
          <w:szCs w:val="30"/>
          <w:u w:val="single"/>
          <w:lang w:eastAsia="zh-CN"/>
        </w:rPr>
        <w:t>、估算师审核。未按上述规定的时间提交报价予</w:t>
      </w:r>
      <w:r>
        <w:rPr>
          <w:rFonts w:hint="eastAsia" w:ascii="Times New Roman" w:eastAsia="仿宋"/>
          <w:sz w:val="30"/>
          <w:szCs w:val="30"/>
          <w:lang w:eastAsia="zh-CN"/>
        </w:rPr>
        <w:t>发包人</w:t>
      </w:r>
      <w:r>
        <w:rPr>
          <w:rFonts w:hint="eastAsia" w:ascii="Times New Roman" w:hAnsi="Calibri" w:eastAsia="仿宋"/>
          <w:sz w:val="30"/>
          <w:szCs w:val="30"/>
          <w:u w:val="single"/>
          <w:lang w:eastAsia="zh-CN"/>
        </w:rPr>
        <w:t>，则视为自动放弃对该变更可能导致的费用增加的索偿权。变更的计算及估价不影响承包人履行变更，承包人不可以以变更金额未能确定为由拒绝履行变更。</w:t>
      </w:r>
    </w:p>
    <w:p w14:paraId="7CF34210">
      <w:pPr>
        <w:pStyle w:val="2"/>
        <w:ind w:firstLine="600" w:firstLineChars="200"/>
        <w:rPr>
          <w:rFonts w:ascii="Times New Roman" w:eastAsia="仿宋"/>
          <w:sz w:val="30"/>
          <w:szCs w:val="30"/>
          <w:u w:val="single"/>
          <w:lang w:eastAsia="zh-CN"/>
        </w:rPr>
      </w:pPr>
      <w:r>
        <w:rPr>
          <w:rFonts w:hint="eastAsia" w:ascii="Times New Roman" w:eastAsia="仿宋"/>
          <w:sz w:val="30"/>
          <w:szCs w:val="30"/>
          <w:u w:val="single"/>
          <w:lang w:eastAsia="zh-CN"/>
        </w:rPr>
        <w:t>（5）变更签证完成后提交资料包含：</w:t>
      </w:r>
      <w:r>
        <w:rPr>
          <w:rFonts w:hint="eastAsia" w:ascii="Times New Roman" w:eastAsia="仿宋"/>
          <w:sz w:val="30"/>
          <w:szCs w:val="30"/>
          <w:lang w:eastAsia="zh-CN"/>
        </w:rPr>
        <w:t>发包人</w:t>
      </w:r>
      <w:r>
        <w:rPr>
          <w:rFonts w:hint="eastAsia" w:ascii="Times New Roman" w:eastAsia="仿宋"/>
          <w:sz w:val="30"/>
          <w:szCs w:val="30"/>
          <w:u w:val="single"/>
          <w:lang w:eastAsia="zh-CN"/>
        </w:rPr>
        <w:t>签字确认的变更指令单，变更完成情况说明，变更工程量含计算式及报价清单，变更实施前、实施中、实施后照片。</w:t>
      </w:r>
    </w:p>
    <w:permEnd w:id="20"/>
    <w:p w14:paraId="1B3A62F1">
      <w:pPr>
        <w:pStyle w:val="4"/>
        <w:jc w:val="left"/>
        <w:rPr>
          <w:rFonts w:ascii="Times New Roman"/>
          <w:lang w:eastAsia="zh-CN"/>
        </w:rPr>
      </w:pPr>
      <w:bookmarkStart w:id="1611" w:name="_Toc144742745"/>
      <w:bookmarkStart w:id="1612" w:name="_Toc80863358"/>
      <w:bookmarkStart w:id="1613" w:name="_Toc41574036"/>
      <w:bookmarkStart w:id="1614" w:name="_Toc531858814"/>
      <w:bookmarkStart w:id="1615" w:name="_Toc82531212"/>
      <w:bookmarkStart w:id="1616" w:name="_Toc41499774"/>
      <w:bookmarkStart w:id="1617" w:name="_Toc14995"/>
      <w:bookmarkStart w:id="1618" w:name="_Toc410206735"/>
      <w:bookmarkStart w:id="1619" w:name="_Toc410203980"/>
      <w:r>
        <w:rPr>
          <w:rFonts w:ascii="Times New Roman"/>
          <w:lang w:eastAsia="zh-CN"/>
        </w:rPr>
        <w:t>8. 价格调整</w:t>
      </w:r>
      <w:bookmarkEnd w:id="1611"/>
      <w:bookmarkEnd w:id="1612"/>
      <w:bookmarkEnd w:id="1613"/>
      <w:bookmarkEnd w:id="1614"/>
      <w:bookmarkEnd w:id="1615"/>
      <w:bookmarkEnd w:id="1616"/>
      <w:bookmarkEnd w:id="1617"/>
    </w:p>
    <w:p w14:paraId="29F2663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8.1市场价格波动引起的调整</w:t>
      </w:r>
    </w:p>
    <w:p w14:paraId="5348C57E">
      <w:pPr>
        <w:snapToGrid w:val="0"/>
        <w:spacing w:line="560" w:lineRule="exact"/>
        <w:ind w:firstLine="600" w:firstLineChars="200"/>
        <w:rPr>
          <w:rFonts w:ascii="Times New Roman" w:eastAsia="仿宋"/>
          <w:sz w:val="30"/>
          <w:szCs w:val="30"/>
          <w:lang w:eastAsia="zh-CN"/>
        </w:rPr>
      </w:pPr>
      <w:bookmarkStart w:id="1620" w:name="_Toc7851"/>
      <w:bookmarkStart w:id="1621" w:name="_Toc80863359"/>
      <w:bookmarkStart w:id="1622" w:name="_Toc41574037"/>
      <w:bookmarkStart w:id="1623" w:name="_Toc531858815"/>
      <w:bookmarkStart w:id="1624" w:name="_Toc41499775"/>
      <w:r>
        <w:rPr>
          <w:rFonts w:hint="eastAsia" w:ascii="Times New Roman" w:eastAsia="仿宋"/>
          <w:sz w:val="30"/>
          <w:szCs w:val="30"/>
          <w:lang w:eastAsia="zh-CN"/>
        </w:rPr>
        <w:t>本项目市场价格调整的风险由总承包人自行承担。</w:t>
      </w:r>
    </w:p>
    <w:p w14:paraId="29CD475F">
      <w:pPr>
        <w:pStyle w:val="4"/>
        <w:jc w:val="left"/>
        <w:rPr>
          <w:rFonts w:ascii="Times New Roman"/>
          <w:lang w:eastAsia="zh-CN"/>
        </w:rPr>
      </w:pPr>
      <w:bookmarkStart w:id="1625" w:name="_Toc144742746"/>
      <w:bookmarkStart w:id="1626" w:name="_Toc82531213"/>
      <w:r>
        <w:rPr>
          <w:rFonts w:ascii="Times New Roman"/>
          <w:lang w:eastAsia="zh-CN"/>
        </w:rPr>
        <w:t>9. 合同价格、计量与支付</w:t>
      </w:r>
      <w:bookmarkEnd w:id="1620"/>
      <w:bookmarkEnd w:id="1621"/>
      <w:bookmarkEnd w:id="1622"/>
      <w:bookmarkEnd w:id="1623"/>
      <w:bookmarkEnd w:id="1624"/>
      <w:bookmarkEnd w:id="1625"/>
      <w:bookmarkEnd w:id="1626"/>
    </w:p>
    <w:p w14:paraId="4337BDC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9.1 预付款</w:t>
      </w:r>
    </w:p>
    <w:p w14:paraId="4C77A8CC">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9.1.1 预付款的支付补充约定如下</w:t>
      </w:r>
    </w:p>
    <w:p w14:paraId="2593747A">
      <w:pPr>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本合同预付款比例为</w:t>
      </w:r>
      <w:permStart w:id="21" w:edGrp="everyone"/>
      <w:r>
        <w:rPr>
          <w:rFonts w:hint="eastAsia" w:ascii="Times New Roman" w:eastAsia="仿宋"/>
          <w:sz w:val="30"/>
          <w:szCs w:val="30"/>
          <w:u w:val="single"/>
          <w:lang w:eastAsia="zh-CN"/>
        </w:rPr>
        <w:t>0</w:t>
      </w:r>
      <w:r>
        <w:rPr>
          <w:rFonts w:ascii="Times New Roman" w:eastAsia="仿宋"/>
          <w:sz w:val="30"/>
          <w:szCs w:val="30"/>
          <w:u w:val="single"/>
          <w:lang w:eastAsia="zh-CN"/>
        </w:rPr>
        <w:t xml:space="preserve"> %（不得超过10%）</w:t>
      </w:r>
    </w:p>
    <w:permEnd w:id="21"/>
    <w:p w14:paraId="24E8220C">
      <w:pPr>
        <w:pStyle w:val="2"/>
        <w:ind w:firstLine="600"/>
        <w:rPr>
          <w:rFonts w:ascii="Times New Roman" w:hAnsi="Times New Roman" w:eastAsia="仿宋"/>
          <w:sz w:val="30"/>
          <w:szCs w:val="30"/>
          <w:lang w:eastAsia="zh-CN"/>
        </w:rPr>
      </w:pPr>
      <w:r>
        <w:rPr>
          <w:rFonts w:ascii="Times New Roman" w:hAnsi="Times New Roman" w:eastAsia="仿宋"/>
          <w:sz w:val="30"/>
          <w:szCs w:val="30"/>
          <w:lang w:eastAsia="zh-CN"/>
        </w:rPr>
        <w:t>预付款支付期限：合同签订后</w:t>
      </w:r>
      <w:permStart w:id="22" w:edGrp="everyone"/>
      <w:r>
        <w:rPr>
          <w:rFonts w:hint="eastAsia" w:ascii="Times New Roman" w:hAnsi="Times New Roman" w:eastAsia="仿宋"/>
          <w:sz w:val="30"/>
          <w:szCs w:val="30"/>
          <w:u w:val="single"/>
          <w:lang w:eastAsia="zh-CN"/>
        </w:rPr>
        <w:t>30</w:t>
      </w:r>
      <w:r>
        <w:rPr>
          <w:rFonts w:ascii="Times New Roman" w:hAnsi="Times New Roman" w:eastAsia="仿宋"/>
          <w:sz w:val="30"/>
          <w:szCs w:val="30"/>
          <w:u w:val="single"/>
          <w:lang w:eastAsia="zh-CN"/>
        </w:rPr>
        <w:t>日</w:t>
      </w:r>
      <w:permEnd w:id="22"/>
      <w:r>
        <w:rPr>
          <w:rFonts w:ascii="Times New Roman" w:hAnsi="Times New Roman" w:eastAsia="仿宋"/>
          <w:sz w:val="30"/>
          <w:szCs w:val="30"/>
          <w:lang w:eastAsia="zh-CN"/>
        </w:rPr>
        <w:t>内。</w:t>
      </w:r>
    </w:p>
    <w:p w14:paraId="786EE2E6">
      <w:pPr>
        <w:spacing w:line="290" w:lineRule="atLeast"/>
        <w:ind w:firstLine="600" w:firstLineChars="200"/>
        <w:rPr>
          <w:rFonts w:ascii="Times New Roman" w:eastAsia="宋体"/>
          <w:lang w:eastAsia="zh-CN"/>
        </w:rPr>
      </w:pPr>
      <w:r>
        <w:rPr>
          <w:rFonts w:ascii="Times New Roman" w:eastAsia="仿宋"/>
          <w:sz w:val="30"/>
          <w:szCs w:val="30"/>
          <w:lang w:eastAsia="zh-CN"/>
        </w:rPr>
        <w:t>预付款扣回方式：</w:t>
      </w:r>
      <w:permStart w:id="23" w:edGrp="everyone"/>
      <w:r>
        <w:rPr>
          <w:rFonts w:ascii="Times New Roman" w:eastAsia="仿宋"/>
          <w:sz w:val="30"/>
          <w:szCs w:val="30"/>
          <w:u w:val="single"/>
          <w:lang w:eastAsia="zh-CN"/>
        </w:rPr>
        <w:t>预付款的起扣时间为支付工程进度款开始起扣，扣款比例为预付款的二分之一。当月工程进度款不足以抵扣当月应扣预付款，在下月支付工程进度款时继续抵扣，直至在停止支付工程进度款前全部扣回。由于不可抗力或其他原因解除合同时，预付款尚未扣清的，尚未扣清的预付款余额承包人须在解除合同签订7日内退还发包人。</w:t>
      </w:r>
    </w:p>
    <w:permEnd w:id="23"/>
    <w:p w14:paraId="510388C4">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9.2 付款</w:t>
      </w:r>
    </w:p>
    <w:p w14:paraId="0FA2A0B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在付款申请</w:t>
      </w:r>
      <w:permStart w:id="24" w:edGrp="everyone"/>
      <w:r>
        <w:rPr>
          <w:rFonts w:ascii="Times New Roman" w:eastAsia="仿宋"/>
          <w:sz w:val="30"/>
          <w:szCs w:val="30"/>
          <w:lang w:eastAsia="zh-CN"/>
        </w:rPr>
        <w:t>当期</w:t>
      </w:r>
      <w:bookmarkStart w:id="1627" w:name="_Hlk81920850"/>
      <w:r>
        <w:rPr>
          <w:rFonts w:hint="eastAsia" w:ascii="Times New Roman" w:eastAsia="仿宋"/>
          <w:sz w:val="30"/>
          <w:szCs w:val="30"/>
        </w:rPr>
        <w:t>（</w:t>
      </w:r>
      <w:r>
        <w:rPr>
          <w:rFonts w:hint="eastAsia" w:ascii="Times New Roman" w:eastAsia="仿宋"/>
          <w:sz w:val="30"/>
          <w:szCs w:val="30"/>
          <w:lang w:eastAsia="zh-CN"/>
        </w:rPr>
        <w:t>月</w:t>
      </w:r>
      <w:r>
        <w:rPr>
          <w:rFonts w:ascii="Times New Roman" w:eastAsia="仿宋"/>
          <w:sz w:val="30"/>
          <w:szCs w:val="30"/>
          <w:lang w:eastAsia="zh-CN"/>
        </w:rPr>
        <w:t>节点）</w:t>
      </w:r>
      <w:bookmarkEnd w:id="1627"/>
      <w:permEnd w:id="24"/>
      <w:r>
        <w:rPr>
          <w:rFonts w:ascii="Times New Roman" w:eastAsia="仿宋"/>
          <w:sz w:val="30"/>
          <w:szCs w:val="30"/>
          <w:lang w:eastAsia="zh-CN"/>
        </w:rPr>
        <w:t>最后一个月的</w:t>
      </w:r>
      <w:permStart w:id="25" w:edGrp="everyone"/>
      <w:r>
        <w:rPr>
          <w:rFonts w:ascii="Times New Roman" w:eastAsia="仿宋"/>
          <w:sz w:val="30"/>
          <w:szCs w:val="30"/>
          <w:u w:val="single"/>
          <w:lang w:eastAsia="zh-CN"/>
        </w:rPr>
        <w:t>25</w:t>
      </w:r>
      <w:r>
        <w:rPr>
          <w:rFonts w:ascii="Times New Roman" w:eastAsia="仿宋"/>
          <w:sz w:val="30"/>
          <w:szCs w:val="30"/>
          <w:lang w:eastAsia="zh-CN"/>
        </w:rPr>
        <w:t>日</w:t>
      </w:r>
      <w:permEnd w:id="25"/>
      <w:r>
        <w:rPr>
          <w:rFonts w:ascii="Times New Roman" w:eastAsia="仿宋"/>
          <w:sz w:val="30"/>
          <w:szCs w:val="30"/>
          <w:lang w:eastAsia="zh-CN"/>
        </w:rPr>
        <w:t>，总承包人须将详细的付款申请（发包人所要求的资料）交给发包人审核。总承包人收到经发包人确认后的付款申请后</w:t>
      </w:r>
      <w:permStart w:id="26" w:edGrp="everyone"/>
      <w:r>
        <w:rPr>
          <w:rFonts w:ascii="Times New Roman" w:eastAsia="仿宋"/>
          <w:sz w:val="30"/>
          <w:szCs w:val="30"/>
          <w:u w:val="single"/>
          <w:lang w:eastAsia="zh-CN"/>
        </w:rPr>
        <w:t>3日历天</w:t>
      </w:r>
      <w:permEnd w:id="26"/>
      <w:r>
        <w:rPr>
          <w:rFonts w:ascii="Times New Roman" w:eastAsia="仿宋"/>
          <w:sz w:val="30"/>
          <w:szCs w:val="30"/>
          <w:lang w:eastAsia="zh-CN"/>
        </w:rPr>
        <w:t>内按支付金额提供合法有效增值税专用发票。否则甲方有权延迟付款且不承担逾期付款的责任，由此给甲方造成损失的，乙方应全额进行赔偿。</w:t>
      </w:r>
    </w:p>
    <w:p w14:paraId="6CFD752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9.2.1 付款办法如下</w:t>
      </w:r>
    </w:p>
    <w:p w14:paraId="528575F2">
      <w:pPr>
        <w:snapToGrid w:val="0"/>
        <w:spacing w:line="560" w:lineRule="exact"/>
        <w:ind w:firstLine="600" w:firstLineChars="200"/>
        <w:textAlignment w:val="baseline"/>
        <w:rPr>
          <w:rFonts w:ascii="Times New Roman" w:eastAsia="仿宋"/>
          <w:color w:val="FF0000"/>
          <w:sz w:val="30"/>
          <w:szCs w:val="30"/>
          <w:lang w:eastAsia="zh-CN"/>
        </w:rPr>
      </w:pPr>
      <w:permStart w:id="27" w:edGrp="everyone"/>
      <w:r>
        <w:rPr>
          <w:rFonts w:ascii="Times New Roman" w:eastAsia="仿宋"/>
          <w:sz w:val="30"/>
          <w:szCs w:val="30"/>
          <w:lang w:eastAsia="zh-CN"/>
        </w:rPr>
        <w:t>(1)</w:t>
      </w:r>
      <w:r>
        <w:rPr>
          <w:rFonts w:hint="eastAsia" w:ascii="Times New Roman" w:eastAsia="仿宋"/>
          <w:sz w:val="30"/>
          <w:szCs w:val="30"/>
          <w:lang w:eastAsia="zh-CN"/>
        </w:rPr>
        <w:t>工程进度款之实体工程部分（总承包配合费不与进度同期支付，结算完成时一笔支付），按每月支付当期经发包人核实完成的工作量所对应价款的</w:t>
      </w:r>
      <w:r>
        <w:rPr>
          <w:rFonts w:hint="eastAsia" w:ascii="Times New Roman" w:eastAsia="仿宋"/>
          <w:color w:val="FF0000"/>
          <w:sz w:val="30"/>
          <w:szCs w:val="30"/>
          <w:highlight w:val="yellow"/>
          <w:lang w:eastAsia="zh-CN"/>
        </w:rPr>
        <w:t>80</w:t>
      </w:r>
      <w:r>
        <w:rPr>
          <w:rFonts w:ascii="Times New Roman" w:eastAsia="仿宋"/>
          <w:color w:val="FF0000"/>
          <w:sz w:val="30"/>
          <w:szCs w:val="30"/>
          <w:highlight w:val="yellow"/>
          <w:lang w:eastAsia="zh-CN"/>
        </w:rPr>
        <w:t>%</w:t>
      </w:r>
      <w:r>
        <w:rPr>
          <w:rFonts w:hint="eastAsia" w:ascii="Times New Roman" w:eastAsia="仿宋"/>
          <w:sz w:val="30"/>
          <w:szCs w:val="30"/>
          <w:lang w:eastAsia="zh-CN"/>
        </w:rPr>
        <w:t>；签证变更按照一单一算、按时报批，变更签证费用（按一审金额）随进度款上报、支付。</w:t>
      </w:r>
      <w:r>
        <w:rPr>
          <w:rFonts w:hint="eastAsia" w:ascii="Times New Roman" w:eastAsia="仿宋"/>
          <w:color w:val="FF0000"/>
          <w:sz w:val="30"/>
          <w:szCs w:val="30"/>
          <w:lang w:eastAsia="zh-CN"/>
        </w:rPr>
        <w:t>承包人应服从中国融通地产集团有限公司聘请的第三方评估单位对工程项目的过程评估及交付评估，评估分数不能低于：过程检查综合得分86分、交付评估综合得分80分，如低于此分数则自评估当月起工程进度款暂停支付。如承包人按照评估报告全部整改完成并经发包人和监理人确认后，则按照合同正常支付款比例给予正常申请及支付。</w:t>
      </w:r>
    </w:p>
    <w:p w14:paraId="650AB814">
      <w:pPr>
        <w:snapToGrid w:val="0"/>
        <w:spacing w:line="560" w:lineRule="exact"/>
        <w:ind w:firstLine="600" w:firstLineChars="200"/>
        <w:textAlignment w:val="baseline"/>
        <w:rPr>
          <w:rFonts w:ascii="Times New Roman" w:eastAsia="仿宋"/>
          <w:sz w:val="30"/>
          <w:szCs w:val="30"/>
          <w:lang w:eastAsia="zh-CN"/>
        </w:rPr>
      </w:pPr>
      <w:r>
        <w:rPr>
          <w:rFonts w:ascii="Times New Roman" w:eastAsia="仿宋"/>
          <w:sz w:val="30"/>
          <w:szCs w:val="30"/>
          <w:lang w:eastAsia="zh-CN"/>
        </w:rPr>
        <w:t>(2)</w:t>
      </w:r>
      <w:r>
        <w:rPr>
          <w:rFonts w:ascii="Times New Roman" w:eastAsia="仿宋"/>
          <w:sz w:val="30"/>
          <w:szCs w:val="30"/>
          <w:lang w:eastAsia="zh-CN"/>
        </w:rPr>
        <w:tab/>
      </w:r>
      <w:r>
        <w:rPr>
          <w:rFonts w:hint="eastAsia" w:ascii="Times New Roman" w:eastAsia="仿宋"/>
          <w:sz w:val="30"/>
          <w:szCs w:val="30"/>
          <w:lang w:eastAsia="zh-CN"/>
        </w:rPr>
        <w:t>工程完工后总承包人需将所有的场地临时设施设备及剩余材料清退出场、全部验收合格</w:t>
      </w:r>
      <w:r>
        <w:rPr>
          <w:rFonts w:ascii="Times New Roman" w:eastAsia="仿宋"/>
          <w:sz w:val="30"/>
          <w:szCs w:val="30"/>
          <w:lang w:eastAsia="zh-CN"/>
        </w:rPr>
        <w:t>(</w:t>
      </w:r>
      <w:r>
        <w:rPr>
          <w:rFonts w:hint="eastAsia" w:ascii="Times New Roman" w:eastAsia="仿宋"/>
          <w:sz w:val="30"/>
          <w:szCs w:val="30"/>
          <w:lang w:eastAsia="zh-CN"/>
        </w:rPr>
        <w:t>编制符合档案馆要求的全套竣工资料，包括各分包单位资料</w:t>
      </w:r>
      <w:r>
        <w:rPr>
          <w:rFonts w:ascii="Times New Roman" w:eastAsia="仿宋"/>
          <w:sz w:val="30"/>
          <w:szCs w:val="30"/>
          <w:lang w:eastAsia="zh-CN"/>
        </w:rPr>
        <w:t>,</w:t>
      </w:r>
      <w:r>
        <w:rPr>
          <w:rFonts w:hint="eastAsia" w:ascii="Times New Roman" w:eastAsia="仿宋"/>
          <w:sz w:val="30"/>
          <w:szCs w:val="30"/>
          <w:lang w:eastAsia="zh-CN"/>
        </w:rPr>
        <w:t>并通过档案馆验收</w:t>
      </w:r>
      <w:r>
        <w:rPr>
          <w:rFonts w:ascii="Times New Roman" w:eastAsia="仿宋"/>
          <w:sz w:val="30"/>
          <w:szCs w:val="30"/>
          <w:lang w:eastAsia="zh-CN"/>
        </w:rPr>
        <w:t>)</w:t>
      </w:r>
      <w:r>
        <w:rPr>
          <w:rFonts w:hint="eastAsia" w:ascii="Times New Roman" w:eastAsia="仿宋"/>
          <w:sz w:val="30"/>
          <w:szCs w:val="30"/>
          <w:lang w:eastAsia="zh-CN"/>
        </w:rPr>
        <w:t>后</w:t>
      </w:r>
      <w:r>
        <w:rPr>
          <w:rFonts w:ascii="Times New Roman" w:eastAsia="仿宋"/>
          <w:sz w:val="30"/>
          <w:szCs w:val="30"/>
          <w:lang w:eastAsia="zh-CN"/>
        </w:rPr>
        <w:t>,</w:t>
      </w:r>
      <w:r>
        <w:rPr>
          <w:rFonts w:hint="eastAsia" w:ascii="Times New Roman" w:eastAsia="仿宋"/>
          <w:sz w:val="30"/>
          <w:szCs w:val="30"/>
          <w:lang w:eastAsia="zh-CN"/>
        </w:rPr>
        <w:t>涉及到乙方承包范围内的第三方</w:t>
      </w:r>
      <w:r>
        <w:rPr>
          <w:rFonts w:hint="eastAsia" w:ascii="Times New Roman" w:eastAsia="仿宋"/>
          <w:color w:val="FF0000"/>
          <w:sz w:val="30"/>
          <w:szCs w:val="30"/>
          <w:lang w:eastAsia="zh-CN"/>
        </w:rPr>
        <w:t>交付评估分数须达到80分以上（按承包范围分值比例折算，含本数、下同），如第三方交付评估分数未达到80分的，须按照交付评估报告全部整改完成并经发包人和监理人确认后</w:t>
      </w:r>
      <w:r>
        <w:rPr>
          <w:rFonts w:hint="eastAsia" w:ascii="Times New Roman" w:eastAsia="仿宋"/>
          <w:sz w:val="30"/>
          <w:szCs w:val="30"/>
          <w:lang w:eastAsia="zh-CN"/>
        </w:rPr>
        <w:t>，支付至累计已完成工作量的</w:t>
      </w:r>
      <w:r>
        <w:rPr>
          <w:rFonts w:hint="eastAsia" w:ascii="Times New Roman" w:eastAsia="仿宋"/>
          <w:color w:val="FF0000"/>
          <w:sz w:val="30"/>
          <w:szCs w:val="30"/>
          <w:lang w:eastAsia="zh-CN"/>
        </w:rPr>
        <w:t>85</w:t>
      </w:r>
      <w:r>
        <w:rPr>
          <w:rFonts w:ascii="Times New Roman" w:eastAsia="仿宋"/>
          <w:color w:val="FF0000"/>
          <w:sz w:val="30"/>
          <w:szCs w:val="30"/>
          <w:lang w:eastAsia="zh-CN"/>
        </w:rPr>
        <w:t>%</w:t>
      </w:r>
      <w:r>
        <w:rPr>
          <w:rFonts w:hint="eastAsia" w:ascii="Times New Roman" w:eastAsia="仿宋"/>
          <w:sz w:val="30"/>
          <w:szCs w:val="30"/>
          <w:lang w:eastAsia="zh-CN"/>
        </w:rPr>
        <w:t>且不得超过本合同签署总价款的</w:t>
      </w:r>
      <w:r>
        <w:rPr>
          <w:rFonts w:hint="eastAsia" w:ascii="Times New Roman" w:eastAsia="仿宋"/>
          <w:color w:val="FF0000"/>
          <w:sz w:val="30"/>
          <w:szCs w:val="30"/>
          <w:lang w:eastAsia="zh-CN"/>
        </w:rPr>
        <w:t>85</w:t>
      </w:r>
      <w:r>
        <w:rPr>
          <w:rFonts w:ascii="Times New Roman" w:eastAsia="仿宋"/>
          <w:color w:val="FF0000"/>
          <w:sz w:val="30"/>
          <w:szCs w:val="30"/>
          <w:lang w:eastAsia="zh-CN"/>
        </w:rPr>
        <w:t>%</w:t>
      </w:r>
      <w:r>
        <w:rPr>
          <w:rFonts w:hint="eastAsia" w:ascii="Times New Roman" w:eastAsia="仿宋"/>
          <w:sz w:val="30"/>
          <w:szCs w:val="30"/>
          <w:lang w:eastAsia="zh-CN"/>
        </w:rPr>
        <w:t>。（总部交付查验并完成整改）</w:t>
      </w:r>
      <w:r>
        <w:rPr>
          <w:rFonts w:hint="eastAsia" w:eastAsia="宋体"/>
          <w:lang w:eastAsia="zh-CN"/>
        </w:rPr>
        <w:tab/>
      </w:r>
    </w:p>
    <w:p w14:paraId="6744B812">
      <w:pPr>
        <w:snapToGrid w:val="0"/>
        <w:spacing w:line="560" w:lineRule="exact"/>
        <w:ind w:firstLine="600" w:firstLineChars="200"/>
        <w:textAlignment w:val="baseline"/>
        <w:rPr>
          <w:rFonts w:ascii="Times New Roman" w:eastAsia="仿宋"/>
          <w:sz w:val="30"/>
          <w:szCs w:val="30"/>
          <w:lang w:eastAsia="zh-CN"/>
        </w:rPr>
      </w:pPr>
    </w:p>
    <w:p w14:paraId="52567E74">
      <w:pPr>
        <w:snapToGrid w:val="0"/>
        <w:spacing w:line="560" w:lineRule="exact"/>
        <w:ind w:firstLine="600" w:firstLineChars="200"/>
        <w:textAlignment w:val="baseline"/>
        <w:rPr>
          <w:rFonts w:ascii="Times New Roman" w:eastAsia="PMingLiU"/>
          <w:color w:val="FF0000"/>
          <w:sz w:val="30"/>
          <w:szCs w:val="30"/>
          <w:lang w:eastAsia="zh-CN"/>
        </w:rPr>
      </w:pPr>
      <w:r>
        <w:rPr>
          <w:rFonts w:ascii="Times New Roman" w:eastAsia="仿宋"/>
          <w:sz w:val="30"/>
          <w:szCs w:val="30"/>
          <w:lang w:eastAsia="zh-CN"/>
        </w:rPr>
        <w:t>(3)</w:t>
      </w:r>
      <w:r>
        <w:rPr>
          <w:rFonts w:hint="eastAsia" w:ascii="Times New Roman" w:eastAsia="仿宋"/>
          <w:sz w:val="30"/>
          <w:szCs w:val="30"/>
          <w:lang w:eastAsia="zh-CN"/>
        </w:rPr>
        <w:t>工程完成移交</w:t>
      </w:r>
      <w:r>
        <w:rPr>
          <w:rFonts w:ascii="Times New Roman" w:eastAsia="仿宋"/>
          <w:sz w:val="30"/>
          <w:szCs w:val="30"/>
          <w:lang w:eastAsia="zh-CN"/>
        </w:rPr>
        <w:t>，并上报经发包人认可的结算资料后(编制符合发包人要求的全套竣工资料，包括各分包单位资料,并通过发包人验收)，支付至累计已完成工作量</w:t>
      </w:r>
      <w:r>
        <w:rPr>
          <w:rFonts w:hint="eastAsia" w:ascii="Times New Roman" w:eastAsia="仿宋"/>
          <w:color w:val="FF0000"/>
          <w:sz w:val="30"/>
          <w:szCs w:val="30"/>
          <w:lang w:eastAsia="zh-CN"/>
        </w:rPr>
        <w:t>（不含变更签证）</w:t>
      </w:r>
      <w:r>
        <w:rPr>
          <w:rFonts w:ascii="Times New Roman" w:eastAsia="仿宋"/>
          <w:sz w:val="30"/>
          <w:szCs w:val="30"/>
          <w:lang w:eastAsia="zh-CN"/>
        </w:rPr>
        <w:t>的</w:t>
      </w:r>
      <w:r>
        <w:rPr>
          <w:rFonts w:hint="eastAsia" w:ascii="Times New Roman" w:eastAsia="仿宋"/>
          <w:color w:val="FF0000"/>
          <w:sz w:val="30"/>
          <w:szCs w:val="30"/>
          <w:lang w:eastAsia="zh-CN"/>
        </w:rPr>
        <w:t>90</w:t>
      </w:r>
      <w:r>
        <w:rPr>
          <w:rFonts w:ascii="Times New Roman" w:eastAsia="仿宋"/>
          <w:color w:val="FF0000"/>
          <w:sz w:val="30"/>
          <w:szCs w:val="30"/>
          <w:lang w:eastAsia="zh-CN"/>
        </w:rPr>
        <w:t>%</w:t>
      </w:r>
      <w:r>
        <w:rPr>
          <w:rFonts w:hint="eastAsia" w:ascii="Times New Roman" w:eastAsia="仿宋"/>
          <w:color w:val="FF0000"/>
          <w:sz w:val="30"/>
          <w:szCs w:val="30"/>
          <w:lang w:eastAsia="zh-CN"/>
        </w:rPr>
        <w:t>且不得超过本合同签署总价款的90</w:t>
      </w:r>
      <w:r>
        <w:rPr>
          <w:rFonts w:ascii="Times New Roman" w:eastAsia="仿宋"/>
          <w:color w:val="FF0000"/>
          <w:sz w:val="30"/>
          <w:szCs w:val="30"/>
          <w:lang w:eastAsia="zh-CN"/>
        </w:rPr>
        <w:t>%</w:t>
      </w:r>
      <w:r>
        <w:rPr>
          <w:rFonts w:hint="eastAsia" w:ascii="Times New Roman" w:eastAsia="仿宋"/>
          <w:color w:val="FF0000"/>
          <w:sz w:val="30"/>
          <w:szCs w:val="30"/>
          <w:lang w:eastAsia="zh-CN"/>
        </w:rPr>
        <w:t>。</w:t>
      </w:r>
    </w:p>
    <w:p w14:paraId="5B3E01E7">
      <w:pPr>
        <w:snapToGrid w:val="0"/>
        <w:spacing w:line="560" w:lineRule="exact"/>
        <w:ind w:firstLine="600" w:firstLineChars="200"/>
        <w:textAlignment w:val="baseline"/>
        <w:rPr>
          <w:rFonts w:eastAsiaTheme="minorEastAsia"/>
          <w:lang w:eastAsia="zh-CN"/>
        </w:rPr>
      </w:pPr>
      <w:r>
        <w:rPr>
          <w:rFonts w:ascii="Times New Roman" w:eastAsia="仿宋"/>
          <w:sz w:val="30"/>
          <w:szCs w:val="30"/>
          <w:lang w:eastAsia="zh-CN"/>
        </w:rPr>
        <w:t>(4)发包人总部（地产集团）有权对原合同项目结算二审（</w:t>
      </w:r>
      <w:r>
        <w:rPr>
          <w:rFonts w:hint="eastAsia" w:ascii="Times New Roman" w:eastAsia="仿宋"/>
          <w:sz w:val="30"/>
          <w:szCs w:val="30"/>
          <w:lang w:eastAsia="zh-CN"/>
        </w:rPr>
        <w:t>融通地产（广东）有限责任公司</w:t>
      </w:r>
      <w:r>
        <w:rPr>
          <w:rFonts w:ascii="Times New Roman" w:eastAsia="仿宋"/>
          <w:sz w:val="30"/>
          <w:szCs w:val="30"/>
          <w:lang w:eastAsia="zh-CN"/>
        </w:rPr>
        <w:t>审核）进行再审核（总部三审），发包人总部再审核确定的结算总价为项目的最终结算总价，并作为付款依据，承包人对此认可并无异议。审核完成后发包人支付至结算总价的97%。</w:t>
      </w:r>
    </w:p>
    <w:p w14:paraId="74DBEBFB">
      <w:pPr>
        <w:snapToGrid w:val="0"/>
        <w:spacing w:line="560" w:lineRule="exact"/>
        <w:ind w:firstLine="600" w:firstLineChars="200"/>
        <w:textAlignment w:val="baseline"/>
        <w:rPr>
          <w:rFonts w:ascii="Times New Roman" w:eastAsia="PMingLiU"/>
          <w:sz w:val="30"/>
          <w:szCs w:val="30"/>
          <w:lang w:eastAsia="zh-CN"/>
        </w:rPr>
      </w:pPr>
      <w:r>
        <w:rPr>
          <w:rFonts w:ascii="Times New Roman" w:eastAsia="仿宋"/>
          <w:sz w:val="30"/>
          <w:szCs w:val="30"/>
          <w:lang w:eastAsia="zh-CN"/>
        </w:rPr>
        <w:t>(5)质量保证金(结算总价的3%)，在质量保证金保留期满后无息退还，具体按通用合同条款15.3.3条〔质量保证金的退还〕。</w:t>
      </w:r>
    </w:p>
    <w:permEnd w:id="27"/>
    <w:p w14:paraId="33F9000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9.3支付方式</w:t>
      </w:r>
      <w:permStart w:id="28" w:edGrp="everyone"/>
      <w:bookmarkStart w:id="1628" w:name="_Toc27541_WPSOffice_Level2"/>
      <w:r>
        <w:rPr>
          <w:rFonts w:ascii="Times New Roman" w:eastAsia="仿宋"/>
          <w:color w:val="FF0000"/>
          <w:sz w:val="30"/>
          <w:szCs w:val="30"/>
          <w:highlight w:val="red"/>
          <w:lang w:eastAsia="zh-CN"/>
        </w:rPr>
        <w:t>价款支付至合同协议书中约定的</w:t>
      </w:r>
      <w:r>
        <w:rPr>
          <w:rFonts w:hint="eastAsia" w:ascii="Times New Roman" w:eastAsia="仿宋"/>
          <w:color w:val="FF0000"/>
          <w:sz w:val="30"/>
          <w:szCs w:val="30"/>
          <w:highlight w:val="red"/>
          <w:lang w:eastAsia="zh-CN"/>
        </w:rPr>
        <w:t>共管</w:t>
      </w:r>
      <w:r>
        <w:rPr>
          <w:rFonts w:ascii="Times New Roman" w:eastAsia="仿宋"/>
          <w:color w:val="FF0000"/>
          <w:sz w:val="30"/>
          <w:szCs w:val="30"/>
          <w:highlight w:val="red"/>
          <w:lang w:eastAsia="zh-CN"/>
        </w:rPr>
        <w:t>账户</w:t>
      </w:r>
      <w:r>
        <w:rPr>
          <w:rFonts w:hint="eastAsia" w:ascii="Times New Roman" w:eastAsia="仿宋"/>
          <w:color w:val="FF0000"/>
          <w:sz w:val="30"/>
          <w:szCs w:val="30"/>
          <w:highlight w:val="red"/>
          <w:lang w:eastAsia="zh-CN"/>
        </w:rPr>
        <w:t>。</w:t>
      </w:r>
      <w:r>
        <w:rPr>
          <w:rFonts w:hint="eastAsia" w:ascii="Times New Roman" w:eastAsia="仿宋"/>
          <w:color w:val="FF0000"/>
          <w:sz w:val="30"/>
          <w:szCs w:val="30"/>
          <w:lang w:eastAsia="zh-CN"/>
        </w:rPr>
        <w:t>总承包人于本合同签订后一个星期之内办理好此项目专用收款账户（</w:t>
      </w:r>
      <w:r>
        <w:rPr>
          <w:rFonts w:hint="eastAsia" w:ascii="Times New Roman" w:eastAsia="仿宋"/>
          <w:color w:val="FF0000"/>
          <w:sz w:val="30"/>
          <w:szCs w:val="30"/>
          <w:lang w:val="en-US" w:eastAsia="zh-CN"/>
        </w:rPr>
        <w:t>开户银行需经发包人认可，</w:t>
      </w:r>
      <w:r>
        <w:rPr>
          <w:rFonts w:hint="eastAsia" w:ascii="Times New Roman" w:eastAsia="仿宋"/>
          <w:color w:val="FF0000"/>
          <w:sz w:val="30"/>
          <w:szCs w:val="30"/>
          <w:lang w:eastAsia="zh-CN"/>
        </w:rPr>
        <w:t>共管账户设置两个密钥，分别由发包人与总承包人持有），并上报发包人审核；此项目进度款按100%（产值比例80%）进共管账户，总承包人使用共管账户进行支付时需发包人与总承包人同意方能支付；总承包人在进度款支付之前完成共管账户办理及设置，否则将影响进度款支付，因此导致进度款支付逾期的发包人不承担责任，其全部后果由总承包人自行承担。</w:t>
      </w:r>
      <w:permEnd w:id="28"/>
    </w:p>
    <w:bookmarkEnd w:id="1628"/>
    <w:p w14:paraId="72840D4C">
      <w:pPr>
        <w:pStyle w:val="4"/>
        <w:jc w:val="left"/>
        <w:rPr>
          <w:rFonts w:ascii="Times New Roman"/>
          <w:lang w:eastAsia="zh-CN"/>
        </w:rPr>
      </w:pPr>
      <w:bookmarkStart w:id="1629" w:name="_Toc144742747"/>
      <w:bookmarkStart w:id="1630" w:name="_Toc80863360"/>
      <w:bookmarkStart w:id="1631" w:name="_Toc82531214"/>
      <w:r>
        <w:rPr>
          <w:rFonts w:ascii="Times New Roman"/>
          <w:lang w:eastAsia="zh-CN"/>
        </w:rPr>
        <w:t>10.竣工结算</w:t>
      </w:r>
      <w:bookmarkEnd w:id="1629"/>
      <w:bookmarkEnd w:id="1630"/>
      <w:bookmarkEnd w:id="1631"/>
    </w:p>
    <w:p w14:paraId="4EFF123F">
      <w:pPr>
        <w:snapToGrid w:val="0"/>
        <w:spacing w:line="560" w:lineRule="exact"/>
        <w:ind w:firstLine="600" w:firstLineChars="200"/>
        <w:rPr>
          <w:rFonts w:ascii="Times New Roman" w:eastAsia="仿宋_GB2312"/>
          <w:sz w:val="30"/>
          <w:szCs w:val="30"/>
          <w:lang w:eastAsia="zh-CN"/>
        </w:rPr>
      </w:pPr>
      <w:r>
        <w:rPr>
          <w:rFonts w:ascii="Times New Roman" w:eastAsia="仿宋_GB2312"/>
          <w:sz w:val="30"/>
          <w:szCs w:val="30"/>
          <w:lang w:eastAsia="zh-CN"/>
        </w:rPr>
        <w:t>10.1结算审核</w:t>
      </w:r>
    </w:p>
    <w:p w14:paraId="2A6BDB9F">
      <w:pPr>
        <w:snapToGrid w:val="0"/>
        <w:spacing w:line="560" w:lineRule="exact"/>
        <w:ind w:firstLine="600" w:firstLineChars="200"/>
        <w:rPr>
          <w:rFonts w:ascii="Times New Roman" w:eastAsia="仿宋"/>
          <w:sz w:val="30"/>
          <w:szCs w:val="30"/>
          <w:lang w:eastAsia="zh-CN"/>
        </w:rPr>
      </w:pPr>
      <w:r>
        <w:rPr>
          <w:rFonts w:hint="eastAsia" w:ascii="Times New Roman" w:eastAsia="仿宋"/>
          <w:sz w:val="30"/>
          <w:szCs w:val="30"/>
          <w:lang w:eastAsia="zh-CN"/>
        </w:rPr>
        <w:t>本工程最终价款结算以本合同总价金额加发包人已确认的变更签证金额（以及可能的扣款及奖罚金额）作为竣工结算金额，并以此作为结算依据（如有发包人总部三审，以三审金额作为最终价款）。付款时总承包人需提供付款通知书、终验合格证书、等额正式发票等。</w:t>
      </w:r>
    </w:p>
    <w:p w14:paraId="06D52959">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10.1.1 竣工验收合格通过日后的</w:t>
      </w:r>
      <w:permStart w:id="29" w:edGrp="everyone"/>
      <w:r>
        <w:rPr>
          <w:rFonts w:hint="eastAsia" w:ascii="Times New Roman" w:eastAsia="仿宋"/>
          <w:sz w:val="30"/>
          <w:szCs w:val="30"/>
          <w:lang w:eastAsia="zh-CN"/>
        </w:rPr>
        <w:t>6</w:t>
      </w:r>
      <w:r>
        <w:rPr>
          <w:rFonts w:ascii="Times New Roman" w:eastAsia="仿宋"/>
          <w:sz w:val="30"/>
          <w:szCs w:val="30"/>
          <w:u w:val="single"/>
          <w:lang w:eastAsia="zh-CN"/>
        </w:rPr>
        <w:t>0</w:t>
      </w:r>
      <w:r>
        <w:rPr>
          <w:rFonts w:ascii="Times New Roman" w:eastAsia="仿宋"/>
          <w:sz w:val="30"/>
          <w:szCs w:val="30"/>
          <w:lang w:eastAsia="zh-CN"/>
        </w:rPr>
        <w:t>日</w:t>
      </w:r>
      <w:permEnd w:id="29"/>
      <w:r>
        <w:rPr>
          <w:rFonts w:ascii="Times New Roman" w:eastAsia="仿宋"/>
          <w:sz w:val="30"/>
          <w:szCs w:val="30"/>
          <w:lang w:eastAsia="zh-CN"/>
        </w:rPr>
        <w:t>内，总承包人应向发包人提交总承包人盖章、总承包人总经理、项目经理签字的竣工结算送审报告及完整、有效的结算资料（结算资料以发包人要求为准），</w:t>
      </w:r>
      <w:r>
        <w:rPr>
          <w:rFonts w:hint="eastAsia" w:ascii="Times New Roman" w:eastAsia="仿宋"/>
          <w:sz w:val="30"/>
          <w:szCs w:val="30"/>
          <w:lang w:eastAsia="zh-CN"/>
        </w:rPr>
        <w:t>否则，</w:t>
      </w:r>
      <w:permStart w:id="30" w:edGrp="everyone"/>
      <w:r>
        <w:rPr>
          <w:rFonts w:ascii="Times New Roman" w:eastAsia="仿宋"/>
          <w:sz w:val="30"/>
          <w:szCs w:val="30"/>
          <w:u w:val="single"/>
          <w:lang w:eastAsia="zh-CN"/>
        </w:rPr>
        <w:t>_</w:t>
      </w:r>
      <w:r>
        <w:rPr>
          <w:rFonts w:ascii="Times New Roman" w:eastAsia="仿宋"/>
          <w:sz w:val="30"/>
          <w:szCs w:val="30"/>
          <w:lang w:eastAsia="zh-CN"/>
        </w:rPr>
        <w:t>若总承包人在竣工证书中载明的竣工日期起3个月内未按照合同约定提交竣工结算申请及完整结算资料的，发包人有权进行单方面结算。</w:t>
      </w:r>
      <w:r>
        <w:rPr>
          <w:rFonts w:ascii="Times New Roman" w:eastAsia="仿宋"/>
          <w:sz w:val="30"/>
          <w:szCs w:val="30"/>
          <w:u w:val="single"/>
          <w:lang w:eastAsia="zh-CN"/>
        </w:rPr>
        <w:t>_</w:t>
      </w:r>
      <w:permEnd w:id="30"/>
      <w:r>
        <w:rPr>
          <w:rFonts w:hint="eastAsia" w:ascii="Times New Roman" w:eastAsia="仿宋"/>
          <w:sz w:val="30"/>
          <w:szCs w:val="30"/>
          <w:lang w:eastAsia="zh-CN"/>
        </w:rPr>
        <w:t>。</w:t>
      </w:r>
      <w:r>
        <w:rPr>
          <w:rFonts w:ascii="Times New Roman" w:eastAsia="仿宋"/>
          <w:sz w:val="30"/>
          <w:szCs w:val="30"/>
          <w:lang w:eastAsia="zh-CN"/>
        </w:rPr>
        <w:t>发包人工程师在竣工结算资料回执上签字并加盖发包人公章后方可视为发包人收到竣工结算资料。发包人拒收的，总承包人可以公证送达或者以特快专递给发包人工程师的方式送达。总承包人对结算资料的完整性负责，总承包人在报送结算资料后的</w:t>
      </w:r>
      <w:permStart w:id="31" w:edGrp="everyone"/>
      <w:r>
        <w:rPr>
          <w:rFonts w:ascii="Times New Roman" w:eastAsia="仿宋"/>
          <w:sz w:val="30"/>
          <w:szCs w:val="30"/>
          <w:lang w:eastAsia="zh-CN"/>
        </w:rPr>
        <w:t>14天</w:t>
      </w:r>
      <w:permEnd w:id="31"/>
      <w:r>
        <w:rPr>
          <w:rFonts w:ascii="Times New Roman" w:eastAsia="仿宋"/>
          <w:sz w:val="30"/>
          <w:szCs w:val="30"/>
          <w:lang w:eastAsia="zh-CN"/>
        </w:rPr>
        <w:t>内，如没有增加新的结算资料，视为所报的结算资料为最终结算资料，今后除非发包人提出要求，不得再增加新的结算资料。</w:t>
      </w:r>
    </w:p>
    <w:p w14:paraId="3A9FF2DB">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10.1.2 发包人自有效收到之日起开始组织监理单位进行初步审核，然后进行内部初步</w:t>
      </w:r>
      <w:r>
        <w:rPr>
          <w:rFonts w:hint="eastAsia" w:ascii="Times New Roman" w:eastAsia="仿宋"/>
          <w:sz w:val="30"/>
          <w:szCs w:val="30"/>
          <w:lang w:eastAsia="zh-CN"/>
        </w:rPr>
        <w:t>审查</w:t>
      </w:r>
      <w:r>
        <w:rPr>
          <w:rFonts w:ascii="Times New Roman" w:eastAsia="仿宋"/>
          <w:sz w:val="30"/>
          <w:szCs w:val="30"/>
          <w:lang w:eastAsia="zh-CN"/>
        </w:rPr>
        <w:t>，初步</w:t>
      </w:r>
      <w:r>
        <w:rPr>
          <w:rFonts w:hint="eastAsia" w:ascii="Times New Roman" w:eastAsia="仿宋"/>
          <w:sz w:val="30"/>
          <w:szCs w:val="30"/>
          <w:lang w:eastAsia="zh-CN"/>
        </w:rPr>
        <w:t>审查</w:t>
      </w:r>
      <w:r>
        <w:rPr>
          <w:rFonts w:ascii="Times New Roman" w:eastAsia="仿宋"/>
          <w:sz w:val="30"/>
          <w:szCs w:val="30"/>
          <w:lang w:eastAsia="zh-CN"/>
        </w:rPr>
        <w:t>完成后，将双方确认的初步</w:t>
      </w:r>
      <w:r>
        <w:rPr>
          <w:rFonts w:hint="eastAsia" w:ascii="Times New Roman" w:eastAsia="仿宋"/>
          <w:sz w:val="30"/>
          <w:szCs w:val="30"/>
          <w:lang w:eastAsia="zh-CN"/>
        </w:rPr>
        <w:t>结算</w:t>
      </w:r>
      <w:r>
        <w:rPr>
          <w:rFonts w:ascii="Times New Roman" w:eastAsia="仿宋"/>
          <w:sz w:val="30"/>
          <w:szCs w:val="30"/>
          <w:lang w:eastAsia="zh-CN"/>
        </w:rPr>
        <w:t>结果和承包人提交的全部结算资料移交给结算</w:t>
      </w:r>
      <w:r>
        <w:rPr>
          <w:rFonts w:hint="eastAsia" w:ascii="Times New Roman" w:eastAsia="仿宋"/>
          <w:sz w:val="30"/>
          <w:szCs w:val="30"/>
          <w:lang w:eastAsia="zh-CN"/>
        </w:rPr>
        <w:t>复审</w:t>
      </w:r>
      <w:r>
        <w:rPr>
          <w:rFonts w:ascii="Times New Roman" w:eastAsia="仿宋"/>
          <w:sz w:val="30"/>
          <w:szCs w:val="30"/>
          <w:lang w:eastAsia="zh-CN"/>
        </w:rPr>
        <w:t>单位；结算</w:t>
      </w:r>
      <w:r>
        <w:rPr>
          <w:rFonts w:hint="eastAsia" w:ascii="Times New Roman" w:eastAsia="仿宋"/>
          <w:sz w:val="30"/>
          <w:szCs w:val="30"/>
          <w:lang w:eastAsia="zh-CN"/>
        </w:rPr>
        <w:t>复审</w:t>
      </w:r>
      <w:r>
        <w:rPr>
          <w:rFonts w:ascii="Times New Roman" w:eastAsia="仿宋"/>
          <w:sz w:val="30"/>
          <w:szCs w:val="30"/>
          <w:lang w:eastAsia="zh-CN"/>
        </w:rPr>
        <w:t>单位依据其</w:t>
      </w:r>
      <w:r>
        <w:rPr>
          <w:rFonts w:hint="eastAsia" w:ascii="Times New Roman" w:eastAsia="仿宋"/>
          <w:sz w:val="30"/>
          <w:szCs w:val="30"/>
          <w:lang w:eastAsia="zh-CN"/>
        </w:rPr>
        <w:t>审查</w:t>
      </w:r>
      <w:r>
        <w:rPr>
          <w:rFonts w:ascii="Times New Roman" w:eastAsia="仿宋"/>
          <w:sz w:val="30"/>
          <w:szCs w:val="30"/>
          <w:lang w:eastAsia="zh-CN"/>
        </w:rPr>
        <w:t>程序进行建设工程</w:t>
      </w:r>
      <w:r>
        <w:rPr>
          <w:rFonts w:hint="eastAsia" w:ascii="Times New Roman" w:eastAsia="仿宋"/>
          <w:sz w:val="30"/>
          <w:szCs w:val="30"/>
          <w:lang w:eastAsia="zh-CN"/>
        </w:rPr>
        <w:t>结算审核</w:t>
      </w:r>
      <w:r>
        <w:rPr>
          <w:rFonts w:ascii="Times New Roman" w:eastAsia="仿宋"/>
          <w:sz w:val="30"/>
          <w:szCs w:val="30"/>
          <w:lang w:eastAsia="zh-CN"/>
        </w:rPr>
        <w:t>（总承包人应积极配合），并按期向发包人、总承包人提交工程竣工结算审核报告，发包人、总承包人均应盖章签收。最终结算价款以审核报告中确定的为准。</w:t>
      </w:r>
    </w:p>
    <w:p w14:paraId="253485E4">
      <w:pPr>
        <w:autoSpaceDE/>
        <w:autoSpaceDN/>
        <w:adjustRightInd/>
        <w:snapToGrid w:val="0"/>
        <w:spacing w:line="560" w:lineRule="exact"/>
        <w:ind w:firstLine="600" w:firstLineChars="200"/>
        <w:rPr>
          <w:rFonts w:ascii="Times New Roman" w:eastAsia="仿宋"/>
          <w:sz w:val="30"/>
          <w:szCs w:val="30"/>
          <w:u w:val="single"/>
          <w:lang w:eastAsia="zh-CN"/>
        </w:rPr>
      </w:pPr>
      <w:r>
        <w:rPr>
          <w:rFonts w:ascii="Times New Roman" w:eastAsia="仿宋"/>
          <w:sz w:val="30"/>
          <w:szCs w:val="30"/>
          <w:lang w:eastAsia="zh-CN"/>
        </w:rPr>
        <w:t>10.1.3</w:t>
      </w:r>
      <w:permStart w:id="32" w:edGrp="everyone"/>
      <w:r>
        <w:rPr>
          <w:rFonts w:ascii="Times New Roman" w:eastAsia="仿宋"/>
          <w:sz w:val="30"/>
          <w:szCs w:val="30"/>
          <w:u w:val="single"/>
          <w:lang w:eastAsia="zh-CN"/>
        </w:rPr>
        <w:t>本工程结算接受发包人委托的工程造价咨询公司的审核，其审减金额与总承包人报审的竣工结算金额相比超过5%以上时（包含5%），审核咨询服务费由乙方支付。该费用发包人直接在工程结算款中扣除。</w:t>
      </w:r>
    </w:p>
    <w:permEnd w:id="32"/>
    <w:p w14:paraId="6B01367F">
      <w:pPr>
        <w:snapToGrid w:val="0"/>
        <w:spacing w:line="560" w:lineRule="exact"/>
        <w:ind w:firstLine="600" w:firstLineChars="200"/>
        <w:rPr>
          <w:rFonts w:ascii="Times New Roman" w:eastAsia="仿宋_GB2312"/>
          <w:sz w:val="30"/>
          <w:szCs w:val="30"/>
          <w:lang w:eastAsia="zh-CN"/>
        </w:rPr>
      </w:pPr>
      <w:r>
        <w:rPr>
          <w:rFonts w:ascii="Times New Roman" w:eastAsia="仿宋"/>
          <w:sz w:val="30"/>
          <w:szCs w:val="30"/>
          <w:lang w:eastAsia="zh-CN"/>
        </w:rPr>
        <w:t>10.1.4如发包人、总承包人任何一方在收到结算审核单位的竣工结算审核报告之日起的</w:t>
      </w:r>
      <w:permStart w:id="33" w:edGrp="everyone"/>
      <w:r>
        <w:rPr>
          <w:rFonts w:ascii="Times New Roman" w:eastAsia="仿宋"/>
          <w:sz w:val="30"/>
          <w:szCs w:val="30"/>
          <w:lang w:eastAsia="zh-CN"/>
        </w:rPr>
        <w:t>十四天</w:t>
      </w:r>
      <w:permEnd w:id="33"/>
      <w:r>
        <w:rPr>
          <w:rFonts w:ascii="Times New Roman" w:eastAsia="仿宋"/>
          <w:sz w:val="30"/>
          <w:szCs w:val="30"/>
          <w:lang w:eastAsia="zh-CN"/>
        </w:rPr>
        <w:t>内未书面提出任何合理的、有证据支持的异议的，视为该方已同意结算审核单位的报告。如果发包人、总承包人任何一方在收到结算审核单位的竣工结算审核报告之日起的</w:t>
      </w:r>
      <w:permStart w:id="34" w:edGrp="everyone"/>
      <w:r>
        <w:rPr>
          <w:rFonts w:ascii="Times New Roman" w:eastAsia="仿宋"/>
          <w:sz w:val="30"/>
          <w:szCs w:val="30"/>
          <w:lang w:eastAsia="zh-CN"/>
        </w:rPr>
        <w:t>十四天</w:t>
      </w:r>
      <w:permEnd w:id="34"/>
      <w:r>
        <w:rPr>
          <w:rFonts w:ascii="Times New Roman" w:eastAsia="仿宋"/>
          <w:sz w:val="30"/>
          <w:szCs w:val="30"/>
          <w:lang w:eastAsia="zh-CN"/>
        </w:rPr>
        <w:t>内书面提出任何合理的、有证据支持的异议的，结算审核单位有必要对该异议重新审查并出具补充意见。</w:t>
      </w:r>
    </w:p>
    <w:p w14:paraId="28948898">
      <w:pPr>
        <w:pStyle w:val="4"/>
        <w:jc w:val="left"/>
        <w:rPr>
          <w:rFonts w:ascii="Times New Roman"/>
          <w:lang w:eastAsia="zh-CN"/>
        </w:rPr>
      </w:pPr>
      <w:bookmarkStart w:id="1632" w:name="_Toc41574039"/>
      <w:bookmarkStart w:id="1633" w:name="_Toc80863361"/>
      <w:bookmarkStart w:id="1634" w:name="_Toc41499777"/>
      <w:bookmarkStart w:id="1635" w:name="_Toc144742748"/>
      <w:bookmarkStart w:id="1636" w:name="_Toc531858817"/>
      <w:bookmarkStart w:id="1637" w:name="_Toc29431"/>
      <w:bookmarkStart w:id="1638" w:name="_Toc82531215"/>
      <w:r>
        <w:rPr>
          <w:rFonts w:ascii="Times New Roman"/>
          <w:lang w:eastAsia="zh-CN"/>
        </w:rPr>
        <w:t>11. 保修</w:t>
      </w:r>
      <w:bookmarkEnd w:id="1632"/>
      <w:bookmarkEnd w:id="1633"/>
      <w:bookmarkEnd w:id="1634"/>
      <w:bookmarkEnd w:id="1635"/>
      <w:bookmarkEnd w:id="1636"/>
      <w:bookmarkEnd w:id="1637"/>
      <w:bookmarkEnd w:id="1638"/>
    </w:p>
    <w:p w14:paraId="6548FCC5">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11.1 保修</w:t>
      </w:r>
    </w:p>
    <w:p w14:paraId="3C15EB55">
      <w:pPr>
        <w:snapToGrid w:val="0"/>
        <w:spacing w:line="560" w:lineRule="exact"/>
        <w:ind w:firstLine="600" w:firstLineChars="200"/>
        <w:rPr>
          <w:rFonts w:ascii="Times New Roman" w:eastAsia="PMingLiU"/>
          <w:sz w:val="30"/>
          <w:szCs w:val="30"/>
          <w:lang w:eastAsia="zh-CN"/>
        </w:rPr>
      </w:pPr>
      <w:r>
        <w:rPr>
          <w:rFonts w:ascii="Times New Roman" w:eastAsia="仿宋"/>
          <w:sz w:val="30"/>
          <w:szCs w:val="30"/>
          <w:lang w:eastAsia="zh-CN"/>
        </w:rPr>
        <w:t>关于保修期的另行约定：</w:t>
      </w:r>
      <w:permStart w:id="35" w:edGrp="everyone"/>
      <w:r>
        <w:rPr>
          <w:rFonts w:hint="eastAsia" w:ascii="Times New Roman" w:eastAsia="仿宋"/>
          <w:sz w:val="30"/>
          <w:szCs w:val="30"/>
          <w:u w:val="single"/>
          <w:lang w:eastAsia="zh-CN"/>
        </w:rPr>
        <w:t>本工程的保修期自总承包工程竣工验收合格之日起计算，保修期2年，防水工程质保期为5年</w:t>
      </w:r>
      <w:permEnd w:id="35"/>
      <w:r>
        <w:rPr>
          <w:rFonts w:ascii="Times New Roman" w:eastAsia="仿宋"/>
          <w:sz w:val="30"/>
          <w:szCs w:val="30"/>
          <w:lang w:eastAsia="zh-CN"/>
        </w:rPr>
        <w:t>。</w:t>
      </w:r>
    </w:p>
    <w:p w14:paraId="2FF1E695">
      <w:pPr>
        <w:snapToGrid w:val="0"/>
        <w:spacing w:line="560" w:lineRule="exact"/>
        <w:ind w:firstLine="600" w:firstLineChars="200"/>
        <w:rPr>
          <w:rFonts w:ascii="Times New Roman" w:eastAsia="PMingLiU"/>
          <w:sz w:val="30"/>
          <w:szCs w:val="30"/>
          <w:lang w:eastAsia="zh-CN"/>
        </w:rPr>
      </w:pPr>
      <w:r>
        <w:rPr>
          <w:rFonts w:ascii="Times New Roman" w:eastAsia="仿宋"/>
          <w:sz w:val="30"/>
          <w:szCs w:val="30"/>
          <w:lang w:eastAsia="zh-CN"/>
        </w:rPr>
        <w:t>总承包人现场保修专职联系人姓名：</w:t>
      </w:r>
      <w:permStart w:id="36" w:edGrp="everyone"/>
      <w:r>
        <w:rPr>
          <w:rFonts w:ascii="Times New Roman" w:eastAsia="仿宋"/>
          <w:sz w:val="30"/>
          <w:szCs w:val="30"/>
          <w:lang w:eastAsia="zh-CN"/>
        </w:rPr>
        <w:t>【</w:t>
      </w:r>
      <w:r>
        <w:rPr>
          <w:rFonts w:hint="eastAsia" w:ascii="Times New Roman" w:eastAsia="仿宋"/>
          <w:sz w:val="30"/>
          <w:szCs w:val="30"/>
          <w:lang w:eastAsia="zh-CN"/>
        </w:rPr>
        <w:t xml:space="preserve">   </w:t>
      </w:r>
      <w:r>
        <w:rPr>
          <w:rFonts w:ascii="Times New Roman" w:eastAsia="仿宋"/>
          <w:sz w:val="30"/>
          <w:szCs w:val="30"/>
          <w:lang w:eastAsia="zh-CN"/>
        </w:rPr>
        <w:t>】</w:t>
      </w:r>
      <w:permEnd w:id="36"/>
      <w:r>
        <w:rPr>
          <w:rFonts w:ascii="Times New Roman" w:eastAsia="仿宋"/>
          <w:sz w:val="30"/>
          <w:szCs w:val="30"/>
          <w:lang w:eastAsia="zh-CN"/>
        </w:rPr>
        <w:t>，联系电话：</w:t>
      </w:r>
      <w:permStart w:id="37" w:edGrp="everyone"/>
      <w:r>
        <w:rPr>
          <w:rFonts w:ascii="Times New Roman" w:eastAsia="仿宋"/>
          <w:sz w:val="30"/>
          <w:szCs w:val="30"/>
          <w:lang w:eastAsia="zh-CN"/>
        </w:rPr>
        <w:t>【</w:t>
      </w:r>
      <w:r>
        <w:rPr>
          <w:rFonts w:hint="eastAsia" w:ascii="Times New Roman" w:eastAsia="仿宋"/>
          <w:sz w:val="30"/>
          <w:szCs w:val="30"/>
          <w:lang w:eastAsia="zh-CN"/>
        </w:rPr>
        <w:t xml:space="preserve">   </w:t>
      </w:r>
      <w:r>
        <w:rPr>
          <w:rFonts w:ascii="Times New Roman" w:eastAsia="仿宋"/>
          <w:sz w:val="30"/>
          <w:szCs w:val="30"/>
          <w:lang w:eastAsia="zh-CN"/>
        </w:rPr>
        <w:t>】</w:t>
      </w:r>
      <w:permEnd w:id="37"/>
      <w:r>
        <w:rPr>
          <w:rFonts w:ascii="Times New Roman" w:eastAsia="仿宋"/>
          <w:sz w:val="30"/>
          <w:szCs w:val="30"/>
          <w:lang w:eastAsia="zh-CN"/>
        </w:rPr>
        <w:t>，电子邮箱：</w:t>
      </w:r>
      <w:permStart w:id="38" w:edGrp="everyone"/>
      <w:r>
        <w:rPr>
          <w:rFonts w:ascii="Times New Roman" w:eastAsia="仿宋"/>
          <w:sz w:val="30"/>
          <w:szCs w:val="30"/>
          <w:lang w:eastAsia="zh-CN"/>
        </w:rPr>
        <w:t>【</w:t>
      </w:r>
      <w:r>
        <w:rPr>
          <w:rFonts w:hint="eastAsia" w:ascii="Times New Roman" w:eastAsia="仿宋"/>
          <w:sz w:val="30"/>
          <w:szCs w:val="30"/>
          <w:lang w:eastAsia="zh-CN"/>
        </w:rPr>
        <w:t xml:space="preserve">   </w:t>
      </w:r>
      <w:r>
        <w:rPr>
          <w:rFonts w:ascii="Times New Roman" w:eastAsia="仿宋"/>
          <w:sz w:val="30"/>
          <w:szCs w:val="30"/>
          <w:lang w:eastAsia="zh-CN"/>
        </w:rPr>
        <w:t>】</w:t>
      </w:r>
      <w:permEnd w:id="38"/>
      <w:r>
        <w:rPr>
          <w:rFonts w:ascii="Times New Roman" w:eastAsia="仿宋"/>
          <w:sz w:val="30"/>
          <w:szCs w:val="30"/>
          <w:lang w:eastAsia="zh-CN"/>
        </w:rPr>
        <w:t>，寄件地址：</w:t>
      </w:r>
      <w:permStart w:id="39" w:edGrp="everyone"/>
      <w:r>
        <w:rPr>
          <w:rFonts w:ascii="Times New Roman" w:eastAsia="仿宋"/>
          <w:sz w:val="30"/>
          <w:szCs w:val="30"/>
          <w:lang w:eastAsia="zh-CN"/>
        </w:rPr>
        <w:t>【</w:t>
      </w:r>
      <w:r>
        <w:rPr>
          <w:rFonts w:hint="eastAsia" w:ascii="Times New Roman" w:eastAsia="仿宋"/>
          <w:sz w:val="30"/>
          <w:szCs w:val="30"/>
          <w:lang w:eastAsia="zh-CN"/>
        </w:rPr>
        <w:t xml:space="preserve">   </w:t>
      </w:r>
      <w:r>
        <w:rPr>
          <w:rFonts w:ascii="Times New Roman" w:eastAsia="仿宋"/>
          <w:sz w:val="30"/>
          <w:szCs w:val="30"/>
          <w:lang w:eastAsia="zh-CN"/>
        </w:rPr>
        <w:t>】</w:t>
      </w:r>
      <w:permEnd w:id="39"/>
      <w:r>
        <w:rPr>
          <w:rFonts w:ascii="Times New Roman" w:eastAsia="仿宋"/>
          <w:sz w:val="30"/>
          <w:szCs w:val="30"/>
          <w:lang w:eastAsia="zh-CN"/>
        </w:rPr>
        <w:t>。</w:t>
      </w:r>
    </w:p>
    <w:p w14:paraId="6E27BFA3">
      <w:pPr>
        <w:pStyle w:val="4"/>
        <w:jc w:val="left"/>
        <w:rPr>
          <w:rFonts w:ascii="Times New Roman"/>
          <w:lang w:eastAsia="zh-CN"/>
        </w:rPr>
      </w:pPr>
      <w:bookmarkStart w:id="1639" w:name="_Toc41574040"/>
      <w:bookmarkStart w:id="1640" w:name="_Toc82531216"/>
      <w:bookmarkStart w:id="1641" w:name="_Toc41499778"/>
      <w:bookmarkStart w:id="1642" w:name="_Toc16924"/>
      <w:bookmarkStart w:id="1643" w:name="_Toc531858818"/>
      <w:bookmarkStart w:id="1644" w:name="_Toc80863362"/>
      <w:bookmarkStart w:id="1645" w:name="_Toc144742749"/>
      <w:r>
        <w:rPr>
          <w:rFonts w:ascii="Times New Roman"/>
          <w:lang w:eastAsia="zh-CN"/>
        </w:rPr>
        <w:t>12. 保险</w:t>
      </w:r>
      <w:bookmarkEnd w:id="1639"/>
      <w:bookmarkEnd w:id="1640"/>
      <w:bookmarkEnd w:id="1641"/>
      <w:bookmarkEnd w:id="1642"/>
      <w:bookmarkEnd w:id="1643"/>
      <w:bookmarkEnd w:id="1644"/>
      <w:bookmarkEnd w:id="1645"/>
    </w:p>
    <w:p w14:paraId="05EFC46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12.1 工程保险</w:t>
      </w:r>
    </w:p>
    <w:p w14:paraId="5A4F7F4F">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关于工程保险的特别约定：</w:t>
      </w:r>
      <w:permStart w:id="40" w:edGrp="everyone"/>
      <w:r>
        <w:rPr>
          <w:rFonts w:hint="eastAsia" w:ascii="Times New Roman" w:eastAsia="仿宋"/>
          <w:color w:val="FF0000"/>
          <w:sz w:val="30"/>
          <w:szCs w:val="30"/>
          <w:highlight w:val="yellow"/>
          <w:u w:val="single"/>
          <w:lang w:eastAsia="zh-CN"/>
        </w:rPr>
        <w:t>工程保险若由总承包人购买，应优先使用融通财险，融通财险不能提供时，可选取其它工程保险</w:t>
      </w:r>
      <w:permEnd w:id="40"/>
      <w:r>
        <w:rPr>
          <w:rFonts w:ascii="Times New Roman" w:eastAsia="仿宋"/>
          <w:sz w:val="30"/>
          <w:szCs w:val="30"/>
          <w:lang w:eastAsia="zh-CN"/>
        </w:rPr>
        <w:t>。</w:t>
      </w:r>
    </w:p>
    <w:p w14:paraId="36D3E140">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12.2 工伤保险</w:t>
      </w:r>
    </w:p>
    <w:p w14:paraId="79752F23">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关于工伤保险的特别约定：</w:t>
      </w:r>
      <w:permStart w:id="41" w:edGrp="everyone"/>
      <w:r>
        <w:rPr>
          <w:rFonts w:hint="eastAsia" w:ascii="Times New Roman" w:eastAsia="仿宋"/>
          <w:color w:val="FF0000"/>
          <w:sz w:val="30"/>
          <w:szCs w:val="30"/>
          <w:highlight w:val="yellow"/>
          <w:u w:val="single"/>
          <w:lang w:eastAsia="zh-CN"/>
        </w:rPr>
        <w:t>本项目工伤保险总承包人优先使用融通财险，融通财险不提供时，可选取其它工伤保险</w:t>
      </w:r>
      <w:permEnd w:id="41"/>
      <w:r>
        <w:rPr>
          <w:rFonts w:ascii="Times New Roman" w:eastAsia="仿宋"/>
          <w:sz w:val="30"/>
          <w:szCs w:val="30"/>
          <w:lang w:eastAsia="zh-CN"/>
        </w:rPr>
        <w:t>。</w:t>
      </w:r>
    </w:p>
    <w:p w14:paraId="1F9E3838">
      <w:pPr>
        <w:snapToGrid w:val="0"/>
        <w:spacing w:line="560" w:lineRule="exact"/>
        <w:ind w:firstLine="600" w:firstLineChars="200"/>
        <w:rPr>
          <w:rFonts w:ascii="Times New Roman" w:eastAsia="仿宋"/>
          <w:sz w:val="30"/>
          <w:szCs w:val="30"/>
          <w:lang w:eastAsia="zh-CN"/>
        </w:rPr>
      </w:pPr>
      <w:r>
        <w:rPr>
          <w:rFonts w:ascii="Times New Roman" w:eastAsia="仿宋"/>
          <w:sz w:val="30"/>
          <w:szCs w:val="30"/>
          <w:lang w:eastAsia="zh-CN"/>
        </w:rPr>
        <w:t>12.3 其他保险</w:t>
      </w:r>
    </w:p>
    <w:p w14:paraId="13DF8268">
      <w:pPr>
        <w:snapToGrid w:val="0"/>
        <w:spacing w:line="560" w:lineRule="exact"/>
        <w:ind w:firstLine="600" w:firstLineChars="200"/>
        <w:rPr>
          <w:rFonts w:ascii="Times New Roman" w:eastAsia="仿宋"/>
          <w:sz w:val="30"/>
          <w:szCs w:val="30"/>
          <w:lang w:eastAsia="zh-CN"/>
        </w:rPr>
      </w:pPr>
      <w:bookmarkStart w:id="1646" w:name="_Toc21967"/>
      <w:r>
        <w:rPr>
          <w:rFonts w:ascii="Times New Roman" w:eastAsia="仿宋"/>
          <w:sz w:val="30"/>
          <w:szCs w:val="30"/>
          <w:lang w:eastAsia="zh-CN"/>
        </w:rPr>
        <w:t>关于其他保险的约定：</w:t>
      </w:r>
      <w:permStart w:id="42" w:edGrp="everyone"/>
      <w:r>
        <w:rPr>
          <w:rFonts w:ascii="Times New Roman" w:eastAsia="仿宋"/>
          <w:sz w:val="30"/>
          <w:szCs w:val="30"/>
          <w:lang w:eastAsia="zh-CN"/>
        </w:rPr>
        <w:t>/</w:t>
      </w:r>
      <w:permEnd w:id="42"/>
      <w:r>
        <w:rPr>
          <w:rFonts w:ascii="Times New Roman" w:eastAsia="仿宋"/>
          <w:sz w:val="30"/>
          <w:szCs w:val="30"/>
          <w:lang w:eastAsia="zh-CN"/>
        </w:rPr>
        <w:t>。</w:t>
      </w:r>
      <w:bookmarkEnd w:id="1646"/>
    </w:p>
    <w:p w14:paraId="009A7CE4">
      <w:pPr>
        <w:pStyle w:val="4"/>
        <w:jc w:val="left"/>
        <w:rPr>
          <w:rFonts w:ascii="Times New Roman"/>
          <w:lang w:eastAsia="zh-CN"/>
        </w:rPr>
      </w:pPr>
      <w:bookmarkStart w:id="1647" w:name="_Toc531858819"/>
      <w:bookmarkStart w:id="1648" w:name="_Toc80863363"/>
      <w:bookmarkStart w:id="1649" w:name="_Toc41574041"/>
      <w:bookmarkStart w:id="1650" w:name="_Toc18692"/>
      <w:bookmarkStart w:id="1651" w:name="_Toc41499779"/>
      <w:bookmarkStart w:id="1652" w:name="_Toc82531217"/>
      <w:bookmarkStart w:id="1653" w:name="_Toc144742750"/>
      <w:r>
        <w:rPr>
          <w:rFonts w:ascii="Times New Roman"/>
          <w:lang w:eastAsia="zh-CN"/>
        </w:rPr>
        <w:t xml:space="preserve">13. </w:t>
      </w:r>
      <w:bookmarkEnd w:id="1647"/>
      <w:bookmarkEnd w:id="1648"/>
      <w:bookmarkEnd w:id="1649"/>
      <w:bookmarkEnd w:id="1650"/>
      <w:bookmarkEnd w:id="1651"/>
      <w:bookmarkEnd w:id="1652"/>
      <w:r>
        <w:rPr>
          <w:rFonts w:hint="eastAsia" w:ascii="Times New Roman"/>
          <w:lang w:eastAsia="zh-CN"/>
        </w:rPr>
        <w:t>附件</w:t>
      </w:r>
      <w:bookmarkEnd w:id="1653"/>
    </w:p>
    <w:p w14:paraId="41B5F7A4">
      <w:pPr>
        <w:spacing w:line="560" w:lineRule="exact"/>
        <w:ind w:firstLine="600" w:firstLineChars="200"/>
        <w:rPr>
          <w:rFonts w:ascii="Times New Roman" w:eastAsia="PMingLiU"/>
          <w:sz w:val="30"/>
          <w:szCs w:val="30"/>
          <w:lang w:eastAsia="zh-CN"/>
        </w:rPr>
      </w:pPr>
      <w:permStart w:id="43" w:edGrp="everyone"/>
      <w:r>
        <w:rPr>
          <w:rFonts w:ascii="Times New Roman" w:eastAsia="仿宋"/>
          <w:sz w:val="30"/>
          <w:szCs w:val="30"/>
          <w:lang w:eastAsia="zh-CN"/>
        </w:rPr>
        <w:t>附件1项目经理授权委托书</w:t>
      </w:r>
    </w:p>
    <w:p w14:paraId="7CEA2CFC">
      <w:pPr>
        <w:spacing w:line="560" w:lineRule="exact"/>
        <w:ind w:firstLine="600" w:firstLineChars="200"/>
        <w:rPr>
          <w:rFonts w:ascii="Times New Roman" w:eastAsia="PMingLiU"/>
          <w:sz w:val="30"/>
          <w:szCs w:val="30"/>
          <w:lang w:eastAsia="zh-CN"/>
        </w:rPr>
      </w:pPr>
      <w:r>
        <w:rPr>
          <w:rFonts w:ascii="Times New Roman" w:eastAsia="仿宋"/>
          <w:sz w:val="30"/>
          <w:szCs w:val="30"/>
          <w:lang w:eastAsia="zh-CN"/>
        </w:rPr>
        <w:t>附件2履约保函(样本)</w:t>
      </w:r>
    </w:p>
    <w:p w14:paraId="3ECCC61E">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附件3 工程质量保修协议</w:t>
      </w:r>
    </w:p>
    <w:p w14:paraId="50D94F6E">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附件4 融通地产与合作方廉洁协议</w:t>
      </w:r>
    </w:p>
    <w:p w14:paraId="3BC90355">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附件5 阳光宣言</w:t>
      </w:r>
    </w:p>
    <w:p w14:paraId="29919B96">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附件6 安全生产协议书</w:t>
      </w:r>
    </w:p>
    <w:p w14:paraId="520A9CD0">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附件7 甲供/甲限/甲指材料、设备一览表</w:t>
      </w:r>
    </w:p>
    <w:p w14:paraId="7C2EB0CC">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附件8 重大质量风险项</w:t>
      </w:r>
    </w:p>
    <w:p w14:paraId="26418F20">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附件9 总承包人为发包人、监理人提供的现场办公条件和设施一览表</w:t>
      </w:r>
    </w:p>
    <w:p w14:paraId="3C1C92C5">
      <w:pPr>
        <w:pStyle w:val="2"/>
        <w:spacing w:line="560" w:lineRule="exact"/>
        <w:ind w:firstLine="600" w:firstLineChars="200"/>
        <w:rPr>
          <w:rFonts w:ascii="Times New Roman" w:hAnsi="Times New Roman" w:eastAsia="仿宋"/>
          <w:sz w:val="30"/>
          <w:szCs w:val="30"/>
          <w:lang w:eastAsia="zh-CN"/>
        </w:rPr>
      </w:pPr>
      <w:r>
        <w:rPr>
          <w:rFonts w:ascii="Times New Roman" w:hAnsi="Times New Roman" w:eastAsia="仿宋"/>
          <w:sz w:val="30"/>
          <w:szCs w:val="30"/>
          <w:lang w:eastAsia="zh-CN"/>
        </w:rPr>
        <w:t>附件10总承包人项目管理机构配备人员名册及相应授权</w:t>
      </w:r>
      <w:bookmarkEnd w:id="1586"/>
      <w:bookmarkEnd w:id="1587"/>
      <w:bookmarkEnd w:id="1588"/>
      <w:bookmarkEnd w:id="1589"/>
      <w:bookmarkEnd w:id="1590"/>
      <w:bookmarkEnd w:id="1591"/>
      <w:bookmarkEnd w:id="1592"/>
      <w:bookmarkEnd w:id="1618"/>
      <w:bookmarkEnd w:id="1619"/>
    </w:p>
    <w:permEnd w:id="43"/>
    <w:p w14:paraId="2F3768BC">
      <w:pPr>
        <w:widowControl/>
        <w:autoSpaceDE/>
        <w:autoSpaceDN/>
        <w:adjustRightInd/>
        <w:spacing w:line="560" w:lineRule="exact"/>
        <w:ind w:firstLine="400" w:firstLineChars="200"/>
        <w:rPr>
          <w:rFonts w:ascii="Times New Roman" w:eastAsia="宋体"/>
          <w:sz w:val="20"/>
          <w:lang w:eastAsia="zh-CN"/>
        </w:rPr>
        <w:sectPr>
          <w:footerReference r:id="rId6" w:type="default"/>
          <w:pgSz w:w="11905" w:h="16838"/>
          <w:pgMar w:top="2098" w:right="1531" w:bottom="2098" w:left="1531" w:header="851" w:footer="454" w:gutter="0"/>
          <w:cols w:space="0" w:num="1"/>
          <w:docGrid w:type="linesAndChars" w:linePitch="332" w:charSpace="0"/>
        </w:sectPr>
      </w:pPr>
    </w:p>
    <w:p w14:paraId="7BB9AD9D">
      <w:pPr>
        <w:pStyle w:val="2"/>
        <w:rPr>
          <w:rFonts w:eastAsiaTheme="minorEastAsia"/>
          <w:lang w:eastAsia="zh-CN"/>
        </w:rPr>
      </w:pPr>
    </w:p>
    <w:p w14:paraId="1D465E84">
      <w:pPr>
        <w:rPr>
          <w:rFonts w:eastAsiaTheme="minorEastAsia"/>
          <w:lang w:eastAsia="zh-CN"/>
        </w:rPr>
      </w:pPr>
    </w:p>
    <w:p w14:paraId="2FA4B8CF">
      <w:pPr>
        <w:pStyle w:val="2"/>
        <w:rPr>
          <w:rFonts w:eastAsiaTheme="minorEastAsia"/>
          <w:lang w:eastAsia="zh-CN"/>
        </w:rPr>
      </w:pPr>
    </w:p>
    <w:p w14:paraId="5D52A248">
      <w:pPr>
        <w:rPr>
          <w:rFonts w:eastAsiaTheme="minorEastAsia"/>
          <w:lang w:eastAsia="zh-CN"/>
        </w:rPr>
      </w:pPr>
    </w:p>
    <w:p w14:paraId="46289021">
      <w:pPr>
        <w:pStyle w:val="2"/>
        <w:rPr>
          <w:rFonts w:eastAsiaTheme="minorEastAsia"/>
          <w:lang w:eastAsia="zh-CN"/>
        </w:rPr>
      </w:pPr>
    </w:p>
    <w:p w14:paraId="1D2E1204">
      <w:pPr>
        <w:rPr>
          <w:rFonts w:eastAsiaTheme="minorEastAsia"/>
          <w:lang w:eastAsia="zh-CN"/>
        </w:rPr>
      </w:pPr>
    </w:p>
    <w:p w14:paraId="0B75D6A2">
      <w:pPr>
        <w:pStyle w:val="2"/>
        <w:rPr>
          <w:rFonts w:eastAsiaTheme="minorEastAsia"/>
          <w:lang w:eastAsia="zh-CN"/>
        </w:rPr>
      </w:pPr>
    </w:p>
    <w:p w14:paraId="42B7BAA6">
      <w:pPr>
        <w:rPr>
          <w:rFonts w:eastAsiaTheme="minorEastAsia"/>
          <w:lang w:eastAsia="zh-CN"/>
        </w:rPr>
      </w:pPr>
    </w:p>
    <w:p w14:paraId="1D805C2E">
      <w:pPr>
        <w:pStyle w:val="2"/>
        <w:rPr>
          <w:rFonts w:eastAsiaTheme="minorEastAsia"/>
          <w:lang w:eastAsia="zh-CN"/>
        </w:rPr>
      </w:pPr>
    </w:p>
    <w:p w14:paraId="605D1D70">
      <w:pPr>
        <w:rPr>
          <w:rFonts w:eastAsiaTheme="minorEastAsia"/>
          <w:lang w:eastAsia="zh-CN"/>
        </w:rPr>
      </w:pPr>
    </w:p>
    <w:p w14:paraId="6F3F2B86">
      <w:pPr>
        <w:pStyle w:val="2"/>
        <w:rPr>
          <w:rFonts w:eastAsiaTheme="minorEastAsia"/>
          <w:lang w:eastAsia="zh-CN"/>
        </w:rPr>
      </w:pPr>
    </w:p>
    <w:p w14:paraId="6575ABB6">
      <w:pPr>
        <w:spacing w:line="560" w:lineRule="exact"/>
        <w:ind w:firstLine="640" w:firstLineChars="200"/>
        <w:jc w:val="center"/>
        <w:outlineLvl w:val="0"/>
        <w:rPr>
          <w:rFonts w:ascii="Times New Roman" w:eastAsia="黑体"/>
          <w:bCs/>
          <w:sz w:val="32"/>
          <w:szCs w:val="32"/>
          <w:lang w:eastAsia="zh-CN"/>
        </w:rPr>
      </w:pPr>
      <w:bookmarkStart w:id="1654" w:name="_Toc41574050"/>
      <w:bookmarkStart w:id="1655" w:name="_Toc144742751"/>
      <w:bookmarkStart w:id="1656" w:name="_Toc13579"/>
      <w:bookmarkStart w:id="1657" w:name="_Toc43730963"/>
      <w:bookmarkStart w:id="1658" w:name="_Toc82531225"/>
      <w:bookmarkStart w:id="1659" w:name="_Toc41499781"/>
      <w:r>
        <w:rPr>
          <w:rFonts w:ascii="Times New Roman" w:eastAsia="黑体"/>
          <w:bCs/>
          <w:sz w:val="32"/>
          <w:szCs w:val="32"/>
          <w:lang w:eastAsia="zh-CN"/>
        </w:rPr>
        <w:t>第</w:t>
      </w:r>
      <w:r>
        <w:rPr>
          <w:rFonts w:hint="eastAsia" w:ascii="Times New Roman" w:eastAsia="黑体"/>
          <w:bCs/>
          <w:sz w:val="32"/>
          <w:szCs w:val="32"/>
          <w:lang w:eastAsia="zh-CN"/>
        </w:rPr>
        <w:t>四</w:t>
      </w:r>
      <w:r>
        <w:rPr>
          <w:rFonts w:ascii="Times New Roman" w:eastAsia="黑体"/>
          <w:bCs/>
          <w:sz w:val="32"/>
          <w:szCs w:val="32"/>
          <w:lang w:eastAsia="zh-CN"/>
        </w:rPr>
        <w:t>章</w:t>
      </w:r>
      <w:r>
        <w:rPr>
          <w:rFonts w:hint="eastAsia" w:ascii="Times New Roman" w:eastAsia="黑体"/>
          <w:bCs/>
          <w:sz w:val="32"/>
          <w:szCs w:val="32"/>
          <w:lang w:eastAsia="zh-CN"/>
        </w:rPr>
        <w:t xml:space="preserve">  </w:t>
      </w:r>
      <w:r>
        <w:rPr>
          <w:rFonts w:ascii="Times New Roman" w:eastAsia="黑体"/>
          <w:bCs/>
          <w:sz w:val="32"/>
          <w:szCs w:val="32"/>
          <w:lang w:eastAsia="zh-CN"/>
        </w:rPr>
        <w:t>工程量清单</w:t>
      </w:r>
      <w:bookmarkEnd w:id="1654"/>
      <w:bookmarkEnd w:id="1655"/>
      <w:bookmarkEnd w:id="1656"/>
      <w:bookmarkEnd w:id="1657"/>
      <w:bookmarkEnd w:id="1658"/>
      <w:bookmarkEnd w:id="1659"/>
    </w:p>
    <w:p w14:paraId="6E496504">
      <w:pPr>
        <w:rPr>
          <w:rFonts w:eastAsiaTheme="minorEastAsia"/>
          <w:lang w:eastAsia="zh-CN"/>
        </w:rPr>
      </w:pPr>
    </w:p>
    <w:p w14:paraId="10B54CFB">
      <w:pPr>
        <w:pStyle w:val="2"/>
        <w:rPr>
          <w:rFonts w:eastAsiaTheme="minorEastAsia"/>
          <w:lang w:eastAsia="zh-CN"/>
        </w:rPr>
      </w:pPr>
    </w:p>
    <w:p w14:paraId="1656FCD9">
      <w:pPr>
        <w:rPr>
          <w:rFonts w:eastAsiaTheme="minorEastAsia"/>
          <w:lang w:eastAsia="zh-CN"/>
        </w:rPr>
      </w:pPr>
    </w:p>
    <w:p w14:paraId="222EC522">
      <w:pPr>
        <w:pStyle w:val="2"/>
        <w:rPr>
          <w:rFonts w:eastAsiaTheme="minorEastAsia"/>
          <w:lang w:eastAsia="zh-CN"/>
        </w:rPr>
      </w:pPr>
    </w:p>
    <w:p w14:paraId="774D7AF2">
      <w:pPr>
        <w:rPr>
          <w:rFonts w:eastAsiaTheme="minorEastAsia"/>
          <w:lang w:eastAsia="zh-CN"/>
        </w:rPr>
      </w:pPr>
    </w:p>
    <w:p w14:paraId="72728EB2">
      <w:pPr>
        <w:pStyle w:val="2"/>
        <w:rPr>
          <w:rFonts w:eastAsiaTheme="minorEastAsia"/>
          <w:lang w:eastAsia="zh-CN"/>
        </w:rPr>
      </w:pPr>
    </w:p>
    <w:p w14:paraId="2FD93B60">
      <w:pPr>
        <w:rPr>
          <w:rFonts w:eastAsiaTheme="minorEastAsia"/>
          <w:lang w:eastAsia="zh-CN"/>
        </w:rPr>
      </w:pPr>
    </w:p>
    <w:p w14:paraId="3BC79D54">
      <w:pPr>
        <w:pStyle w:val="2"/>
        <w:rPr>
          <w:rFonts w:eastAsiaTheme="minorEastAsia"/>
          <w:lang w:eastAsia="zh-CN"/>
        </w:rPr>
      </w:pPr>
    </w:p>
    <w:p w14:paraId="73EB75FB">
      <w:pPr>
        <w:rPr>
          <w:rFonts w:eastAsiaTheme="minorEastAsia"/>
          <w:lang w:eastAsia="zh-CN"/>
        </w:rPr>
      </w:pPr>
    </w:p>
    <w:p w14:paraId="2B1A0F8D">
      <w:pPr>
        <w:pStyle w:val="2"/>
        <w:rPr>
          <w:rFonts w:eastAsiaTheme="minorEastAsia"/>
          <w:lang w:eastAsia="zh-CN"/>
        </w:rPr>
      </w:pPr>
    </w:p>
    <w:p w14:paraId="21D36752">
      <w:pPr>
        <w:rPr>
          <w:rFonts w:eastAsiaTheme="minorEastAsia"/>
          <w:lang w:eastAsia="zh-CN"/>
        </w:rPr>
      </w:pPr>
    </w:p>
    <w:p w14:paraId="462F7920">
      <w:pPr>
        <w:pStyle w:val="2"/>
        <w:rPr>
          <w:rFonts w:eastAsiaTheme="minorEastAsia"/>
          <w:lang w:eastAsia="zh-CN"/>
        </w:rPr>
      </w:pPr>
    </w:p>
    <w:p w14:paraId="26468D47">
      <w:pPr>
        <w:rPr>
          <w:rFonts w:eastAsiaTheme="minorEastAsia"/>
          <w:lang w:eastAsia="zh-CN"/>
        </w:rPr>
      </w:pPr>
    </w:p>
    <w:p w14:paraId="7BA6AFA9">
      <w:pPr>
        <w:snapToGrid w:val="0"/>
        <w:spacing w:line="560" w:lineRule="exact"/>
        <w:rPr>
          <w:rFonts w:ascii="Times New Roman" w:eastAsia="仿宋"/>
          <w:sz w:val="30"/>
          <w:szCs w:val="30"/>
          <w:lang w:eastAsia="zh-CN"/>
        </w:rPr>
      </w:pPr>
    </w:p>
    <w:p w14:paraId="44ADE28D">
      <w:pPr>
        <w:pStyle w:val="2"/>
        <w:rPr>
          <w:rFonts w:eastAsiaTheme="minorEastAsia"/>
          <w:lang w:eastAsia="zh-CN"/>
        </w:rPr>
      </w:pPr>
    </w:p>
    <w:p w14:paraId="5DD91450">
      <w:pPr>
        <w:rPr>
          <w:rFonts w:eastAsiaTheme="minorEastAsia"/>
          <w:lang w:eastAsia="zh-CN"/>
        </w:rPr>
      </w:pPr>
    </w:p>
    <w:p w14:paraId="6BED19C6">
      <w:pPr>
        <w:pStyle w:val="2"/>
        <w:rPr>
          <w:rFonts w:eastAsiaTheme="minorEastAsia"/>
          <w:lang w:eastAsia="zh-CN"/>
        </w:rPr>
      </w:pPr>
    </w:p>
    <w:p w14:paraId="0202C389">
      <w:pPr>
        <w:rPr>
          <w:rFonts w:eastAsiaTheme="minorEastAsia"/>
          <w:lang w:eastAsia="zh-CN"/>
        </w:rPr>
      </w:pPr>
    </w:p>
    <w:p w14:paraId="3F1402F6">
      <w:pPr>
        <w:pStyle w:val="2"/>
        <w:rPr>
          <w:rFonts w:eastAsiaTheme="minorEastAsia"/>
          <w:lang w:eastAsia="zh-CN"/>
        </w:rPr>
      </w:pPr>
    </w:p>
    <w:p w14:paraId="7DC266F1">
      <w:pPr>
        <w:rPr>
          <w:rFonts w:eastAsiaTheme="minorEastAsia"/>
          <w:lang w:eastAsia="zh-CN"/>
        </w:rPr>
      </w:pPr>
    </w:p>
    <w:p w14:paraId="25F418A6">
      <w:pPr>
        <w:pStyle w:val="2"/>
        <w:rPr>
          <w:rFonts w:eastAsiaTheme="minorEastAsia"/>
          <w:lang w:eastAsia="zh-CN"/>
        </w:rPr>
      </w:pPr>
    </w:p>
    <w:p w14:paraId="20625DC4">
      <w:pPr>
        <w:rPr>
          <w:rFonts w:eastAsiaTheme="minorEastAsia"/>
          <w:lang w:eastAsia="zh-CN"/>
        </w:rPr>
      </w:pPr>
    </w:p>
    <w:p w14:paraId="78B3EA49">
      <w:pPr>
        <w:pStyle w:val="2"/>
        <w:rPr>
          <w:rFonts w:eastAsiaTheme="minorEastAsia"/>
          <w:lang w:eastAsia="zh-CN"/>
        </w:rPr>
      </w:pPr>
    </w:p>
    <w:p w14:paraId="292FFAAA">
      <w:pPr>
        <w:spacing w:line="560" w:lineRule="exact"/>
        <w:ind w:firstLine="480" w:firstLineChars="200"/>
        <w:jc w:val="center"/>
        <w:outlineLvl w:val="0"/>
        <w:rPr>
          <w:rFonts w:eastAsiaTheme="minorEastAsia"/>
          <w:lang w:eastAsia="zh-CN"/>
        </w:rPr>
      </w:pPr>
      <w:bookmarkStart w:id="1660" w:name="_Toc23638"/>
      <w:bookmarkStart w:id="1661" w:name="_Toc144742752"/>
      <w:bookmarkStart w:id="1662" w:name="_Toc41499782"/>
      <w:bookmarkStart w:id="1663" w:name="_Toc43730964"/>
      <w:bookmarkStart w:id="1664" w:name="_Toc41574051"/>
      <w:bookmarkStart w:id="1665" w:name="_Toc82531226"/>
    </w:p>
    <w:p w14:paraId="30B0273F">
      <w:pPr>
        <w:spacing w:line="560" w:lineRule="exact"/>
        <w:ind w:firstLine="640" w:firstLineChars="200"/>
        <w:jc w:val="center"/>
        <w:outlineLvl w:val="0"/>
        <w:rPr>
          <w:rFonts w:ascii="Times New Roman" w:eastAsia="仿宋"/>
          <w:sz w:val="30"/>
          <w:szCs w:val="30"/>
          <w:lang w:eastAsia="zh-CN"/>
        </w:rPr>
      </w:pPr>
      <w:r>
        <w:rPr>
          <w:rFonts w:ascii="Times New Roman" w:eastAsia="黑体"/>
          <w:bCs/>
          <w:sz w:val="32"/>
          <w:szCs w:val="32"/>
          <w:lang w:eastAsia="zh-CN"/>
        </w:rPr>
        <w:t>第</w:t>
      </w:r>
      <w:r>
        <w:rPr>
          <w:rFonts w:hint="eastAsia" w:ascii="Times New Roman" w:eastAsia="黑体"/>
          <w:bCs/>
          <w:sz w:val="32"/>
          <w:szCs w:val="32"/>
          <w:lang w:eastAsia="zh-CN"/>
        </w:rPr>
        <w:t>五</w:t>
      </w:r>
      <w:r>
        <w:rPr>
          <w:rFonts w:ascii="Times New Roman" w:eastAsia="黑体"/>
          <w:bCs/>
          <w:sz w:val="32"/>
          <w:szCs w:val="32"/>
          <w:lang w:eastAsia="zh-CN"/>
        </w:rPr>
        <w:t>章</w:t>
      </w:r>
      <w:r>
        <w:rPr>
          <w:rFonts w:hint="eastAsia" w:ascii="Times New Roman" w:eastAsia="黑体"/>
          <w:bCs/>
          <w:sz w:val="32"/>
          <w:szCs w:val="32"/>
          <w:lang w:eastAsia="zh-CN"/>
        </w:rPr>
        <w:t xml:space="preserve">  </w:t>
      </w:r>
      <w:r>
        <w:rPr>
          <w:rFonts w:ascii="Times New Roman" w:eastAsia="黑体"/>
          <w:bCs/>
          <w:sz w:val="32"/>
          <w:szCs w:val="32"/>
          <w:lang w:eastAsia="zh-CN"/>
        </w:rPr>
        <w:t>图纸</w:t>
      </w:r>
      <w:bookmarkEnd w:id="1660"/>
      <w:r>
        <w:rPr>
          <w:rFonts w:ascii="Times New Roman" w:eastAsia="黑体"/>
          <w:bCs/>
          <w:sz w:val="32"/>
          <w:szCs w:val="32"/>
          <w:lang w:eastAsia="zh-CN"/>
        </w:rPr>
        <w:t>目录</w:t>
      </w:r>
      <w:bookmarkEnd w:id="1661"/>
      <w:bookmarkEnd w:id="1662"/>
      <w:bookmarkEnd w:id="1663"/>
      <w:bookmarkEnd w:id="1664"/>
      <w:bookmarkEnd w:id="1665"/>
    </w:p>
    <w:p w14:paraId="70DE6D68">
      <w:pPr>
        <w:rPr>
          <w:rFonts w:eastAsiaTheme="minorEastAsia"/>
          <w:lang w:eastAsia="zh-CN"/>
        </w:rPr>
      </w:pPr>
    </w:p>
    <w:p w14:paraId="20182099">
      <w:pPr>
        <w:pStyle w:val="2"/>
        <w:rPr>
          <w:rFonts w:eastAsiaTheme="minorEastAsia"/>
          <w:lang w:eastAsia="zh-CN"/>
        </w:rPr>
      </w:pPr>
    </w:p>
    <w:p w14:paraId="58A7641F">
      <w:pPr>
        <w:rPr>
          <w:rFonts w:eastAsiaTheme="minorEastAsia"/>
          <w:lang w:eastAsia="zh-CN"/>
        </w:rPr>
      </w:pPr>
    </w:p>
    <w:p w14:paraId="28B8F199">
      <w:pPr>
        <w:pStyle w:val="2"/>
        <w:rPr>
          <w:rFonts w:eastAsiaTheme="minorEastAsia"/>
          <w:lang w:eastAsia="zh-CN"/>
        </w:rPr>
      </w:pPr>
    </w:p>
    <w:p w14:paraId="5A19497B">
      <w:pPr>
        <w:rPr>
          <w:rFonts w:eastAsiaTheme="minorEastAsia"/>
          <w:lang w:eastAsia="zh-CN"/>
        </w:rPr>
      </w:pPr>
    </w:p>
    <w:p w14:paraId="1724D7CA">
      <w:pPr>
        <w:pStyle w:val="2"/>
        <w:rPr>
          <w:rFonts w:eastAsiaTheme="minorEastAsia"/>
          <w:lang w:eastAsia="zh-CN"/>
        </w:rPr>
      </w:pPr>
    </w:p>
    <w:p w14:paraId="7B772DA1">
      <w:pPr>
        <w:rPr>
          <w:rFonts w:eastAsiaTheme="minorEastAsia"/>
          <w:lang w:eastAsia="zh-CN"/>
        </w:rPr>
      </w:pPr>
    </w:p>
    <w:p w14:paraId="261E841C">
      <w:pPr>
        <w:pStyle w:val="2"/>
        <w:rPr>
          <w:rFonts w:eastAsiaTheme="minorEastAsia"/>
          <w:lang w:eastAsia="zh-CN"/>
        </w:rPr>
      </w:pPr>
    </w:p>
    <w:p w14:paraId="7BBEDB25">
      <w:pPr>
        <w:rPr>
          <w:rFonts w:eastAsiaTheme="minorEastAsia"/>
          <w:lang w:eastAsia="zh-CN"/>
        </w:rPr>
      </w:pPr>
    </w:p>
    <w:p w14:paraId="63EA0463">
      <w:pPr>
        <w:pStyle w:val="2"/>
        <w:rPr>
          <w:rFonts w:eastAsiaTheme="minorEastAsia"/>
          <w:lang w:eastAsia="zh-CN"/>
        </w:rPr>
      </w:pPr>
    </w:p>
    <w:p w14:paraId="23B7442D">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48BF2FA4">
      <w:pPr>
        <w:pStyle w:val="2"/>
        <w:rPr>
          <w:rFonts w:eastAsiaTheme="minorEastAsia"/>
          <w:lang w:eastAsia="zh-CN"/>
        </w:rPr>
      </w:pPr>
    </w:p>
    <w:p w14:paraId="69937061">
      <w:pPr>
        <w:rPr>
          <w:rFonts w:eastAsiaTheme="minorEastAsia"/>
          <w:lang w:eastAsia="zh-CN"/>
        </w:rPr>
      </w:pPr>
    </w:p>
    <w:p w14:paraId="584B3638">
      <w:pPr>
        <w:pStyle w:val="2"/>
        <w:rPr>
          <w:rFonts w:eastAsiaTheme="minorEastAsia"/>
          <w:lang w:eastAsia="zh-CN"/>
        </w:rPr>
      </w:pPr>
    </w:p>
    <w:p w14:paraId="586BDB48">
      <w:pPr>
        <w:rPr>
          <w:rFonts w:eastAsiaTheme="minorEastAsia"/>
          <w:lang w:eastAsia="zh-CN"/>
        </w:rPr>
      </w:pPr>
    </w:p>
    <w:p w14:paraId="3CC84A4C">
      <w:pPr>
        <w:pStyle w:val="2"/>
        <w:rPr>
          <w:rFonts w:eastAsiaTheme="minorEastAsia"/>
          <w:lang w:eastAsia="zh-CN"/>
        </w:rPr>
      </w:pPr>
    </w:p>
    <w:p w14:paraId="6AD72A16">
      <w:pPr>
        <w:rPr>
          <w:rFonts w:eastAsiaTheme="minorEastAsia"/>
          <w:lang w:eastAsia="zh-CN"/>
        </w:rPr>
      </w:pPr>
    </w:p>
    <w:p w14:paraId="5B767E15">
      <w:pPr>
        <w:pStyle w:val="2"/>
        <w:rPr>
          <w:rFonts w:eastAsiaTheme="minorEastAsia"/>
          <w:lang w:eastAsia="zh-CN"/>
        </w:rPr>
      </w:pPr>
    </w:p>
    <w:p w14:paraId="6BCFE1A3">
      <w:pPr>
        <w:rPr>
          <w:rFonts w:eastAsiaTheme="minorEastAsia"/>
          <w:lang w:eastAsia="zh-CN"/>
        </w:rPr>
      </w:pPr>
    </w:p>
    <w:p w14:paraId="21102DA4">
      <w:pPr>
        <w:pStyle w:val="2"/>
        <w:rPr>
          <w:rFonts w:eastAsiaTheme="minorEastAsia"/>
          <w:lang w:eastAsia="zh-CN"/>
        </w:rPr>
      </w:pPr>
    </w:p>
    <w:p w14:paraId="04B3B723">
      <w:pPr>
        <w:rPr>
          <w:rFonts w:eastAsiaTheme="minorEastAsia"/>
          <w:lang w:eastAsia="zh-CN"/>
        </w:rPr>
      </w:pPr>
    </w:p>
    <w:p w14:paraId="7D8562EC">
      <w:pPr>
        <w:pStyle w:val="2"/>
        <w:jc w:val="center"/>
        <w:rPr>
          <w:rFonts w:eastAsiaTheme="minorEastAsia"/>
          <w:lang w:eastAsia="zh-CN"/>
        </w:rPr>
      </w:pPr>
      <w:bookmarkStart w:id="1666" w:name="_Toc144742753"/>
      <w:r>
        <w:rPr>
          <w:rFonts w:hint="eastAsia" w:ascii="Times New Roman" w:eastAsia="黑体"/>
          <w:bCs/>
          <w:sz w:val="32"/>
          <w:szCs w:val="32"/>
          <w:lang w:eastAsia="zh-CN"/>
        </w:rPr>
        <w:t>第六章 技术标准和要求</w:t>
      </w:r>
      <w:bookmarkEnd w:id="1666"/>
    </w:p>
    <w:p w14:paraId="0130F432">
      <w:pPr>
        <w:rPr>
          <w:rFonts w:eastAsiaTheme="minorEastAsia"/>
          <w:lang w:eastAsia="zh-CN"/>
        </w:rPr>
      </w:pPr>
    </w:p>
    <w:p w14:paraId="4E14CA66">
      <w:pPr>
        <w:pStyle w:val="2"/>
        <w:rPr>
          <w:rFonts w:eastAsiaTheme="minorEastAsia"/>
          <w:lang w:eastAsia="zh-CN"/>
        </w:rPr>
      </w:pPr>
    </w:p>
    <w:p w14:paraId="0EA599A7">
      <w:pPr>
        <w:rPr>
          <w:rFonts w:eastAsiaTheme="minorEastAsia"/>
          <w:lang w:eastAsia="zh-CN"/>
        </w:rPr>
      </w:pPr>
    </w:p>
    <w:p w14:paraId="02045E82">
      <w:pPr>
        <w:pStyle w:val="2"/>
        <w:rPr>
          <w:rFonts w:eastAsiaTheme="minorEastAsia"/>
          <w:lang w:eastAsia="zh-CN"/>
        </w:rPr>
      </w:pPr>
    </w:p>
    <w:p w14:paraId="7CAA5599">
      <w:pPr>
        <w:rPr>
          <w:rFonts w:eastAsiaTheme="minorEastAsia"/>
          <w:lang w:eastAsia="zh-CN"/>
        </w:rPr>
      </w:pPr>
    </w:p>
    <w:p w14:paraId="2DA2CD84">
      <w:pPr>
        <w:pStyle w:val="2"/>
        <w:rPr>
          <w:rFonts w:eastAsiaTheme="minorEastAsia"/>
          <w:lang w:eastAsia="zh-CN"/>
        </w:rPr>
      </w:pPr>
    </w:p>
    <w:p w14:paraId="59B2FFF7">
      <w:pPr>
        <w:rPr>
          <w:rFonts w:eastAsiaTheme="minorEastAsia"/>
          <w:lang w:eastAsia="zh-CN"/>
        </w:rPr>
      </w:pPr>
    </w:p>
    <w:p w14:paraId="43129DB7">
      <w:pPr>
        <w:pStyle w:val="2"/>
        <w:rPr>
          <w:rFonts w:eastAsiaTheme="minorEastAsia"/>
          <w:lang w:eastAsia="zh-CN"/>
        </w:rPr>
      </w:pPr>
    </w:p>
    <w:p w14:paraId="3C396067">
      <w:pPr>
        <w:rPr>
          <w:rFonts w:eastAsiaTheme="minorEastAsia"/>
          <w:lang w:eastAsia="zh-CN"/>
        </w:rPr>
      </w:pPr>
    </w:p>
    <w:p w14:paraId="003430FB">
      <w:pPr>
        <w:pStyle w:val="2"/>
        <w:rPr>
          <w:rFonts w:eastAsiaTheme="minorEastAsia"/>
          <w:lang w:eastAsia="zh-CN"/>
        </w:rPr>
      </w:pPr>
    </w:p>
    <w:p w14:paraId="6D47AD53">
      <w:pPr>
        <w:rPr>
          <w:rFonts w:eastAsiaTheme="minorEastAsia"/>
          <w:lang w:eastAsia="zh-CN"/>
        </w:rPr>
      </w:pPr>
    </w:p>
    <w:p w14:paraId="71D1466E">
      <w:pPr>
        <w:pStyle w:val="2"/>
        <w:rPr>
          <w:rFonts w:eastAsiaTheme="minorEastAsia"/>
          <w:lang w:eastAsia="zh-CN"/>
        </w:rPr>
      </w:pPr>
    </w:p>
    <w:p w14:paraId="0487ED2A">
      <w:pPr>
        <w:rPr>
          <w:rFonts w:eastAsiaTheme="minorEastAsia"/>
          <w:lang w:eastAsia="zh-CN"/>
        </w:rPr>
      </w:pPr>
    </w:p>
    <w:p w14:paraId="6DA219D4">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7EC5D558">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06969093">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593517C4">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64DD952A">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23B059BB">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3F6F1CDF">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24B36ADC">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12173737">
      <w:pPr>
        <w:widowControl/>
        <w:autoSpaceDE/>
        <w:autoSpaceDN/>
        <w:adjustRightInd/>
        <w:spacing w:line="560" w:lineRule="exact"/>
        <w:ind w:firstLine="640" w:firstLineChars="200"/>
        <w:jc w:val="center"/>
        <w:outlineLvl w:val="0"/>
        <w:rPr>
          <w:rFonts w:ascii="Times New Roman" w:eastAsia="黑体"/>
          <w:bCs/>
          <w:sz w:val="32"/>
          <w:szCs w:val="32"/>
          <w:lang w:eastAsia="zh-CN"/>
        </w:rPr>
      </w:pPr>
    </w:p>
    <w:p w14:paraId="1FAE02CA">
      <w:pPr>
        <w:widowControl/>
        <w:autoSpaceDE/>
        <w:autoSpaceDN/>
        <w:adjustRightInd/>
        <w:spacing w:line="560" w:lineRule="exact"/>
        <w:ind w:firstLine="640" w:firstLineChars="200"/>
        <w:jc w:val="center"/>
        <w:outlineLvl w:val="0"/>
        <w:rPr>
          <w:rFonts w:ascii="Times New Roman" w:eastAsia="黑体"/>
          <w:bCs/>
          <w:sz w:val="32"/>
          <w:szCs w:val="32"/>
          <w:lang w:eastAsia="zh-CN"/>
        </w:rPr>
      </w:pPr>
      <w:r>
        <w:rPr>
          <w:rFonts w:ascii="Times New Roman" w:eastAsia="黑体"/>
          <w:bCs/>
          <w:sz w:val="32"/>
          <w:szCs w:val="32"/>
          <w:lang w:eastAsia="zh-CN"/>
        </w:rPr>
        <w:t>第七章</w:t>
      </w:r>
      <w:r>
        <w:rPr>
          <w:rFonts w:hint="eastAsia" w:ascii="Times New Roman" w:eastAsia="黑体"/>
          <w:bCs/>
          <w:sz w:val="32"/>
          <w:szCs w:val="32"/>
          <w:lang w:eastAsia="zh-CN"/>
        </w:rPr>
        <w:t xml:space="preserve"> 中标</w:t>
      </w:r>
      <w:r>
        <w:rPr>
          <w:rFonts w:ascii="Times New Roman" w:eastAsia="黑体"/>
          <w:bCs/>
          <w:sz w:val="32"/>
          <w:szCs w:val="32"/>
          <w:lang w:eastAsia="zh-CN"/>
        </w:rPr>
        <w:t>通知书</w:t>
      </w:r>
    </w:p>
    <w:p w14:paraId="71ADAFA2">
      <w:pPr>
        <w:pStyle w:val="2"/>
        <w:rPr>
          <w:rFonts w:eastAsiaTheme="minorEastAsia"/>
          <w:lang w:eastAsia="zh-CN"/>
        </w:rPr>
      </w:pPr>
    </w:p>
    <w:p w14:paraId="2F37D928">
      <w:pPr>
        <w:rPr>
          <w:rFonts w:eastAsiaTheme="minorEastAsia"/>
          <w:lang w:eastAsia="zh-CN"/>
        </w:rPr>
      </w:pPr>
    </w:p>
    <w:p w14:paraId="0C929E63">
      <w:pPr>
        <w:pStyle w:val="2"/>
        <w:rPr>
          <w:rFonts w:eastAsiaTheme="minorEastAsia"/>
          <w:lang w:eastAsia="zh-CN"/>
        </w:rPr>
      </w:pPr>
    </w:p>
    <w:p w14:paraId="6FD3010C">
      <w:pPr>
        <w:rPr>
          <w:rFonts w:eastAsiaTheme="minorEastAsia"/>
          <w:lang w:eastAsia="zh-CN"/>
        </w:rPr>
      </w:pPr>
    </w:p>
    <w:p w14:paraId="0CDC1556">
      <w:pPr>
        <w:pStyle w:val="2"/>
        <w:rPr>
          <w:rFonts w:eastAsiaTheme="minorEastAsia"/>
          <w:lang w:eastAsia="zh-CN"/>
        </w:rPr>
      </w:pPr>
    </w:p>
    <w:p w14:paraId="722B2DF9">
      <w:pPr>
        <w:rPr>
          <w:rFonts w:eastAsiaTheme="minorEastAsia"/>
          <w:lang w:eastAsia="zh-CN"/>
        </w:rPr>
      </w:pPr>
    </w:p>
    <w:p w14:paraId="7D8FB053">
      <w:pPr>
        <w:pStyle w:val="2"/>
        <w:rPr>
          <w:rFonts w:eastAsiaTheme="minorEastAsia"/>
          <w:lang w:eastAsia="zh-CN"/>
        </w:rPr>
      </w:pPr>
    </w:p>
    <w:p w14:paraId="0C6C5E8F">
      <w:pPr>
        <w:rPr>
          <w:rFonts w:eastAsiaTheme="minorEastAsia"/>
          <w:lang w:eastAsia="zh-CN"/>
        </w:rPr>
      </w:pPr>
    </w:p>
    <w:p w14:paraId="347457E9">
      <w:pPr>
        <w:pStyle w:val="2"/>
        <w:rPr>
          <w:rFonts w:eastAsiaTheme="minorEastAsia"/>
          <w:lang w:eastAsia="zh-CN"/>
        </w:rPr>
      </w:pPr>
    </w:p>
    <w:p w14:paraId="6E5D55D1">
      <w:pPr>
        <w:rPr>
          <w:rFonts w:eastAsiaTheme="minorEastAsia"/>
          <w:lang w:eastAsia="zh-CN"/>
        </w:rPr>
      </w:pPr>
    </w:p>
    <w:p w14:paraId="0DB21A68">
      <w:pPr>
        <w:pStyle w:val="2"/>
        <w:rPr>
          <w:rFonts w:eastAsiaTheme="minorEastAsia"/>
          <w:lang w:eastAsia="zh-CN"/>
        </w:rPr>
      </w:pPr>
    </w:p>
    <w:p w14:paraId="04ABB56B">
      <w:pPr>
        <w:rPr>
          <w:rFonts w:eastAsiaTheme="minorEastAsia"/>
          <w:lang w:eastAsia="zh-CN"/>
        </w:rPr>
      </w:pPr>
    </w:p>
    <w:p w14:paraId="4A5B6EBC">
      <w:pPr>
        <w:pStyle w:val="2"/>
        <w:rPr>
          <w:rFonts w:eastAsiaTheme="minorEastAsia"/>
          <w:lang w:eastAsia="zh-CN"/>
        </w:rPr>
      </w:pPr>
    </w:p>
    <w:p w14:paraId="30B40A39">
      <w:pPr>
        <w:rPr>
          <w:rFonts w:eastAsiaTheme="minorEastAsia"/>
          <w:lang w:eastAsia="zh-CN"/>
        </w:rPr>
      </w:pPr>
    </w:p>
    <w:p w14:paraId="05F90414">
      <w:pPr>
        <w:pStyle w:val="2"/>
        <w:jc w:val="center"/>
        <w:rPr>
          <w:rFonts w:ascii="Times New Roman" w:eastAsia="黑体"/>
          <w:bCs/>
          <w:sz w:val="32"/>
          <w:szCs w:val="32"/>
          <w:lang w:eastAsia="zh-CN"/>
        </w:rPr>
      </w:pPr>
    </w:p>
    <w:p w14:paraId="3D1E1ECD">
      <w:pPr>
        <w:pStyle w:val="2"/>
        <w:jc w:val="center"/>
        <w:rPr>
          <w:rFonts w:ascii="Times New Roman" w:eastAsia="黑体"/>
          <w:bCs/>
          <w:sz w:val="32"/>
          <w:szCs w:val="32"/>
          <w:lang w:eastAsia="zh-CN"/>
        </w:rPr>
      </w:pPr>
    </w:p>
    <w:p w14:paraId="47906667">
      <w:pPr>
        <w:pStyle w:val="2"/>
        <w:jc w:val="center"/>
        <w:rPr>
          <w:rFonts w:ascii="Times New Roman" w:eastAsia="黑体"/>
          <w:bCs/>
          <w:sz w:val="32"/>
          <w:szCs w:val="32"/>
          <w:lang w:eastAsia="zh-CN"/>
        </w:rPr>
      </w:pPr>
    </w:p>
    <w:p w14:paraId="09B565A6">
      <w:pPr>
        <w:pStyle w:val="2"/>
        <w:jc w:val="center"/>
        <w:rPr>
          <w:rFonts w:ascii="Times New Roman" w:eastAsia="黑体"/>
          <w:bCs/>
          <w:sz w:val="32"/>
          <w:szCs w:val="32"/>
          <w:lang w:eastAsia="zh-CN"/>
        </w:rPr>
      </w:pPr>
    </w:p>
    <w:p w14:paraId="0F0937D2">
      <w:pPr>
        <w:pStyle w:val="2"/>
        <w:jc w:val="center"/>
        <w:rPr>
          <w:rFonts w:ascii="Times New Roman" w:eastAsia="黑体"/>
          <w:bCs/>
          <w:sz w:val="32"/>
          <w:szCs w:val="32"/>
          <w:lang w:eastAsia="zh-CN"/>
        </w:rPr>
      </w:pPr>
    </w:p>
    <w:p w14:paraId="6FAF34B3">
      <w:pPr>
        <w:pStyle w:val="2"/>
        <w:jc w:val="center"/>
        <w:rPr>
          <w:rFonts w:ascii="Times New Roman" w:eastAsia="黑体"/>
          <w:bCs/>
          <w:sz w:val="32"/>
          <w:szCs w:val="32"/>
          <w:lang w:eastAsia="zh-CN"/>
        </w:rPr>
      </w:pPr>
    </w:p>
    <w:p w14:paraId="2F85A6D2">
      <w:pPr>
        <w:pStyle w:val="2"/>
        <w:jc w:val="center"/>
        <w:rPr>
          <w:rFonts w:ascii="Times New Roman" w:eastAsia="黑体"/>
          <w:bCs/>
          <w:sz w:val="32"/>
          <w:szCs w:val="32"/>
          <w:lang w:eastAsia="zh-CN"/>
        </w:rPr>
      </w:pPr>
    </w:p>
    <w:p w14:paraId="355DA06E">
      <w:pPr>
        <w:pStyle w:val="2"/>
        <w:jc w:val="center"/>
        <w:rPr>
          <w:rFonts w:ascii="Times New Roman" w:eastAsia="黑体"/>
          <w:bCs/>
          <w:sz w:val="32"/>
          <w:szCs w:val="32"/>
          <w:lang w:eastAsia="zh-CN"/>
        </w:rPr>
      </w:pPr>
    </w:p>
    <w:p w14:paraId="63E06324">
      <w:pPr>
        <w:rPr>
          <w:rFonts w:eastAsiaTheme="minorEastAsia"/>
          <w:lang w:eastAsia="zh-CN"/>
        </w:rPr>
      </w:pPr>
    </w:p>
    <w:p w14:paraId="32484B59">
      <w:pPr>
        <w:pStyle w:val="2"/>
        <w:rPr>
          <w:rFonts w:eastAsiaTheme="minorEastAsia"/>
          <w:lang w:eastAsia="zh-CN"/>
        </w:rPr>
      </w:pPr>
    </w:p>
    <w:p w14:paraId="1A7F650F">
      <w:pPr>
        <w:pStyle w:val="2"/>
        <w:jc w:val="center"/>
        <w:rPr>
          <w:rFonts w:ascii="Times New Roman" w:eastAsia="黑体"/>
          <w:bCs/>
          <w:sz w:val="32"/>
          <w:szCs w:val="32"/>
          <w:lang w:eastAsia="zh-CN"/>
        </w:rPr>
      </w:pPr>
      <w:r>
        <w:rPr>
          <w:rFonts w:ascii="Times New Roman" w:eastAsia="黑体"/>
          <w:bCs/>
          <w:sz w:val="32"/>
          <w:szCs w:val="32"/>
          <w:lang w:eastAsia="zh-CN"/>
        </w:rPr>
        <w:t>第</w:t>
      </w:r>
      <w:r>
        <w:rPr>
          <w:rFonts w:hint="eastAsia" w:ascii="Times New Roman" w:eastAsia="黑体"/>
          <w:bCs/>
          <w:sz w:val="32"/>
          <w:szCs w:val="32"/>
          <w:lang w:eastAsia="zh-CN"/>
        </w:rPr>
        <w:t>八</w:t>
      </w:r>
      <w:r>
        <w:rPr>
          <w:rFonts w:ascii="Times New Roman" w:eastAsia="黑体"/>
          <w:bCs/>
          <w:sz w:val="32"/>
          <w:szCs w:val="32"/>
          <w:lang w:eastAsia="zh-CN"/>
        </w:rPr>
        <w:t>章</w:t>
      </w:r>
      <w:r>
        <w:rPr>
          <w:rFonts w:hint="eastAsia" w:ascii="Times New Roman" w:eastAsia="黑体"/>
          <w:bCs/>
          <w:sz w:val="32"/>
          <w:szCs w:val="32"/>
          <w:lang w:eastAsia="zh-CN"/>
        </w:rPr>
        <w:t xml:space="preserve"> </w:t>
      </w:r>
      <w:r>
        <w:rPr>
          <w:rFonts w:ascii="Times New Roman" w:eastAsia="黑体"/>
          <w:bCs/>
          <w:sz w:val="32"/>
          <w:szCs w:val="32"/>
          <w:lang w:eastAsia="zh-CN"/>
        </w:rPr>
        <w:t>合同签署前的往来函件</w:t>
      </w:r>
    </w:p>
    <w:p w14:paraId="2454AE1E">
      <w:pPr>
        <w:rPr>
          <w:rFonts w:eastAsiaTheme="minorEastAsia"/>
          <w:lang w:eastAsia="zh-CN"/>
        </w:rPr>
      </w:pPr>
    </w:p>
    <w:p w14:paraId="5FA87B2E">
      <w:pPr>
        <w:pStyle w:val="2"/>
        <w:rPr>
          <w:rFonts w:eastAsiaTheme="minorEastAsia"/>
          <w:lang w:eastAsia="zh-CN"/>
        </w:rPr>
      </w:pPr>
    </w:p>
    <w:p w14:paraId="5D8A7C16">
      <w:pPr>
        <w:rPr>
          <w:rFonts w:eastAsiaTheme="minorEastAsia"/>
          <w:lang w:eastAsia="zh-CN"/>
        </w:rPr>
      </w:pPr>
    </w:p>
    <w:p w14:paraId="24C732CF">
      <w:pPr>
        <w:pStyle w:val="2"/>
        <w:rPr>
          <w:rFonts w:eastAsiaTheme="minorEastAsia"/>
          <w:lang w:eastAsia="zh-CN"/>
        </w:rPr>
      </w:pPr>
    </w:p>
    <w:p w14:paraId="08F4E860">
      <w:pPr>
        <w:rPr>
          <w:rFonts w:eastAsiaTheme="minorEastAsia"/>
          <w:lang w:eastAsia="zh-CN"/>
        </w:rPr>
      </w:pPr>
    </w:p>
    <w:p w14:paraId="36834EB1">
      <w:pPr>
        <w:pStyle w:val="2"/>
        <w:rPr>
          <w:rFonts w:eastAsiaTheme="minorEastAsia"/>
          <w:lang w:eastAsia="zh-CN"/>
        </w:rPr>
      </w:pPr>
    </w:p>
    <w:p w14:paraId="666EAF65">
      <w:pPr>
        <w:rPr>
          <w:rFonts w:eastAsiaTheme="minorEastAsia"/>
          <w:lang w:eastAsia="zh-CN"/>
        </w:rPr>
      </w:pPr>
    </w:p>
    <w:p w14:paraId="3F4BA064">
      <w:pPr>
        <w:pStyle w:val="2"/>
        <w:rPr>
          <w:rFonts w:eastAsiaTheme="minorEastAsia"/>
          <w:lang w:eastAsia="zh-CN"/>
        </w:rPr>
      </w:pPr>
    </w:p>
    <w:p w14:paraId="5354E8FB">
      <w:pPr>
        <w:rPr>
          <w:rFonts w:eastAsiaTheme="minorEastAsia"/>
          <w:lang w:eastAsia="zh-CN"/>
        </w:rPr>
      </w:pPr>
    </w:p>
    <w:p w14:paraId="7B7AB80D">
      <w:pPr>
        <w:pStyle w:val="2"/>
        <w:rPr>
          <w:rFonts w:eastAsiaTheme="minorEastAsia"/>
          <w:lang w:eastAsia="zh-CN"/>
        </w:rPr>
      </w:pPr>
    </w:p>
    <w:p w14:paraId="2DF3C6E1">
      <w:pPr>
        <w:rPr>
          <w:rFonts w:eastAsiaTheme="minorEastAsia"/>
          <w:lang w:eastAsia="zh-CN"/>
        </w:rPr>
      </w:pPr>
    </w:p>
    <w:p w14:paraId="7C217ED3">
      <w:pPr>
        <w:pStyle w:val="2"/>
        <w:rPr>
          <w:rFonts w:eastAsiaTheme="minorEastAsia"/>
          <w:lang w:eastAsia="zh-CN"/>
        </w:rPr>
      </w:pPr>
    </w:p>
    <w:p w14:paraId="2C0B63BB">
      <w:pPr>
        <w:rPr>
          <w:rFonts w:eastAsiaTheme="minorEastAsia"/>
          <w:lang w:eastAsia="zh-CN"/>
        </w:rPr>
      </w:pPr>
    </w:p>
    <w:p w14:paraId="4BFDD92B">
      <w:pPr>
        <w:pStyle w:val="2"/>
        <w:rPr>
          <w:rFonts w:eastAsiaTheme="minorEastAsia"/>
          <w:lang w:eastAsia="zh-CN"/>
        </w:rPr>
      </w:pPr>
    </w:p>
    <w:p w14:paraId="64813776">
      <w:pPr>
        <w:rPr>
          <w:rFonts w:eastAsiaTheme="minorEastAsia"/>
          <w:lang w:eastAsia="zh-CN"/>
        </w:rPr>
      </w:pPr>
    </w:p>
    <w:p w14:paraId="4C3998D6">
      <w:pPr>
        <w:pStyle w:val="2"/>
        <w:rPr>
          <w:rFonts w:eastAsiaTheme="minorEastAsia"/>
          <w:lang w:eastAsia="zh-CN"/>
        </w:rPr>
      </w:pPr>
    </w:p>
    <w:p w14:paraId="58A923F4">
      <w:pPr>
        <w:rPr>
          <w:rFonts w:eastAsiaTheme="minorEastAsia"/>
          <w:lang w:eastAsia="zh-CN"/>
        </w:rPr>
      </w:pPr>
    </w:p>
    <w:p w14:paraId="6BD53C27">
      <w:pPr>
        <w:pStyle w:val="2"/>
        <w:rPr>
          <w:rFonts w:eastAsiaTheme="minorEastAsia"/>
          <w:lang w:eastAsia="zh-CN"/>
        </w:rPr>
      </w:pPr>
    </w:p>
    <w:p w14:paraId="6E718F50">
      <w:pPr>
        <w:rPr>
          <w:rFonts w:eastAsiaTheme="minorEastAsia"/>
          <w:lang w:eastAsia="zh-CN"/>
        </w:rPr>
      </w:pPr>
    </w:p>
    <w:p w14:paraId="1593E6AD">
      <w:pPr>
        <w:pStyle w:val="2"/>
        <w:rPr>
          <w:rFonts w:eastAsiaTheme="minorEastAsia"/>
          <w:lang w:eastAsia="zh-CN"/>
        </w:rPr>
      </w:pPr>
    </w:p>
    <w:p w14:paraId="66054300">
      <w:pPr>
        <w:rPr>
          <w:rFonts w:eastAsiaTheme="minorEastAsia"/>
          <w:lang w:eastAsia="zh-CN"/>
        </w:rPr>
      </w:pPr>
    </w:p>
    <w:p w14:paraId="72E85421">
      <w:pPr>
        <w:pStyle w:val="2"/>
        <w:rPr>
          <w:rFonts w:eastAsiaTheme="minorEastAsia"/>
          <w:lang w:eastAsia="zh-CN"/>
        </w:rPr>
      </w:pPr>
    </w:p>
    <w:p w14:paraId="55F05CDD">
      <w:pPr>
        <w:rPr>
          <w:rFonts w:eastAsiaTheme="minorEastAsia"/>
          <w:lang w:eastAsia="zh-CN"/>
        </w:rPr>
      </w:pPr>
    </w:p>
    <w:p w14:paraId="01277344">
      <w:pPr>
        <w:pStyle w:val="2"/>
        <w:rPr>
          <w:rFonts w:eastAsiaTheme="minorEastAsia"/>
          <w:lang w:eastAsia="zh-CN"/>
        </w:rPr>
      </w:pPr>
    </w:p>
    <w:p w14:paraId="617D972C">
      <w:pPr>
        <w:ind w:firstLine="3360" w:firstLineChars="1050"/>
        <w:rPr>
          <w:rFonts w:ascii="Times New Roman" w:hAnsi="Calibri" w:eastAsia="黑体"/>
          <w:bCs/>
          <w:sz w:val="32"/>
          <w:szCs w:val="32"/>
          <w:lang w:eastAsia="zh-CN"/>
        </w:rPr>
      </w:pPr>
      <w:r>
        <w:rPr>
          <w:rFonts w:hint="eastAsia" w:ascii="Times New Roman" w:eastAsia="黑体"/>
          <w:bCs/>
          <w:sz w:val="32"/>
          <w:szCs w:val="32"/>
          <w:lang w:eastAsia="zh-CN"/>
        </w:rPr>
        <w:t>技术标准和要求</w:t>
      </w:r>
      <w:r>
        <w:rPr>
          <w:rFonts w:hint="eastAsia" w:ascii="Times New Roman" w:hAnsi="Calibri" w:eastAsia="黑体"/>
          <w:bCs/>
          <w:sz w:val="32"/>
          <w:szCs w:val="32"/>
          <w:lang w:eastAsia="zh-CN"/>
        </w:rPr>
        <w:t>附件</w:t>
      </w:r>
    </w:p>
    <w:p w14:paraId="2A1D57EA">
      <w:pPr>
        <w:pStyle w:val="2"/>
        <w:rPr>
          <w:rFonts w:eastAsiaTheme="minorEastAsia"/>
          <w:lang w:eastAsia="zh-CN"/>
        </w:rPr>
      </w:pPr>
    </w:p>
    <w:p w14:paraId="42C284A6">
      <w:pPr>
        <w:rPr>
          <w:rFonts w:eastAsiaTheme="minorEastAsia"/>
          <w:lang w:eastAsia="zh-CN"/>
        </w:rPr>
      </w:pPr>
    </w:p>
    <w:p w14:paraId="3B67A993">
      <w:pPr>
        <w:pStyle w:val="2"/>
        <w:rPr>
          <w:rFonts w:eastAsiaTheme="minorEastAsia"/>
          <w:lang w:eastAsia="zh-CN"/>
        </w:rPr>
      </w:pPr>
    </w:p>
    <w:p w14:paraId="12E13B01">
      <w:pPr>
        <w:rPr>
          <w:rFonts w:eastAsiaTheme="minorEastAsia"/>
          <w:lang w:eastAsia="zh-CN"/>
        </w:rPr>
      </w:pPr>
    </w:p>
    <w:p w14:paraId="65A15D98">
      <w:pPr>
        <w:pStyle w:val="2"/>
        <w:rPr>
          <w:rFonts w:eastAsiaTheme="minorEastAsia"/>
          <w:lang w:eastAsia="zh-CN"/>
        </w:rPr>
      </w:pPr>
    </w:p>
    <w:p w14:paraId="7A906DF3">
      <w:pPr>
        <w:rPr>
          <w:rFonts w:eastAsiaTheme="minorEastAsia"/>
          <w:lang w:eastAsia="zh-CN"/>
        </w:rPr>
      </w:pPr>
    </w:p>
    <w:p w14:paraId="11D70C66">
      <w:pPr>
        <w:pStyle w:val="2"/>
        <w:rPr>
          <w:rFonts w:eastAsiaTheme="minorEastAsia"/>
          <w:lang w:eastAsia="zh-CN"/>
        </w:rPr>
      </w:pPr>
    </w:p>
    <w:p w14:paraId="0203681F">
      <w:pPr>
        <w:rPr>
          <w:rFonts w:eastAsiaTheme="minorEastAsia"/>
          <w:lang w:eastAsia="zh-CN"/>
        </w:rPr>
      </w:pPr>
    </w:p>
    <w:p w14:paraId="57BE102D">
      <w:pPr>
        <w:pStyle w:val="2"/>
        <w:rPr>
          <w:rFonts w:eastAsiaTheme="minorEastAsia"/>
          <w:lang w:eastAsia="zh-CN"/>
        </w:rPr>
      </w:pPr>
    </w:p>
    <w:p w14:paraId="317F80EB">
      <w:pPr>
        <w:rPr>
          <w:rFonts w:eastAsiaTheme="minorEastAsia"/>
          <w:lang w:eastAsia="zh-CN"/>
        </w:rPr>
      </w:pPr>
    </w:p>
    <w:p w14:paraId="03817770">
      <w:pPr>
        <w:pStyle w:val="2"/>
        <w:rPr>
          <w:rFonts w:eastAsiaTheme="minorEastAsia"/>
          <w:lang w:eastAsia="zh-CN"/>
        </w:rPr>
      </w:pPr>
    </w:p>
    <w:p w14:paraId="18CFC2C8">
      <w:pPr>
        <w:rPr>
          <w:rFonts w:eastAsiaTheme="minorEastAsia"/>
          <w:lang w:eastAsia="zh-CN"/>
        </w:rPr>
      </w:pPr>
    </w:p>
    <w:p w14:paraId="757023E2">
      <w:pPr>
        <w:pStyle w:val="2"/>
        <w:rPr>
          <w:rFonts w:eastAsiaTheme="minorEastAsia"/>
          <w:lang w:eastAsia="zh-CN"/>
        </w:rPr>
      </w:pPr>
    </w:p>
    <w:p w14:paraId="6A1D7BE7">
      <w:pPr>
        <w:rPr>
          <w:rFonts w:eastAsiaTheme="minorEastAsia"/>
          <w:lang w:eastAsia="zh-CN"/>
        </w:rPr>
      </w:pPr>
    </w:p>
    <w:p w14:paraId="08272EDA">
      <w:pPr>
        <w:pStyle w:val="2"/>
        <w:rPr>
          <w:rFonts w:ascii="Times New Roman" w:eastAsia="黑体"/>
          <w:bCs/>
          <w:sz w:val="32"/>
          <w:szCs w:val="32"/>
          <w:lang w:eastAsia="zh-CN"/>
        </w:rPr>
      </w:pPr>
    </w:p>
    <w:p w14:paraId="623D242E">
      <w:pPr>
        <w:pStyle w:val="2"/>
        <w:rPr>
          <w:rFonts w:ascii="Times New Roman" w:eastAsia="黑体"/>
          <w:bCs/>
          <w:sz w:val="32"/>
          <w:szCs w:val="32"/>
          <w:lang w:eastAsia="zh-CN"/>
        </w:rPr>
      </w:pPr>
    </w:p>
    <w:p w14:paraId="5EA1E162">
      <w:pPr>
        <w:pStyle w:val="2"/>
        <w:rPr>
          <w:rFonts w:ascii="Times New Roman" w:eastAsia="黑体"/>
          <w:bCs/>
          <w:sz w:val="32"/>
          <w:szCs w:val="32"/>
          <w:lang w:eastAsia="zh-CN"/>
        </w:rPr>
      </w:pPr>
    </w:p>
    <w:p w14:paraId="0350634B">
      <w:pPr>
        <w:pStyle w:val="2"/>
        <w:rPr>
          <w:rFonts w:ascii="Times New Roman" w:eastAsia="黑体"/>
          <w:bCs/>
          <w:sz w:val="32"/>
          <w:szCs w:val="32"/>
          <w:lang w:eastAsia="zh-CN"/>
        </w:rPr>
      </w:pPr>
    </w:p>
    <w:p w14:paraId="3DFDDCEF">
      <w:pPr>
        <w:pStyle w:val="2"/>
        <w:rPr>
          <w:rFonts w:ascii="Times New Roman" w:eastAsia="黑体"/>
          <w:bCs/>
          <w:sz w:val="32"/>
          <w:szCs w:val="32"/>
          <w:lang w:eastAsia="zh-CN"/>
        </w:rPr>
      </w:pPr>
    </w:p>
    <w:p w14:paraId="4F118881">
      <w:pPr>
        <w:pStyle w:val="2"/>
        <w:rPr>
          <w:rFonts w:ascii="Times New Roman" w:eastAsia="黑体"/>
          <w:bCs/>
          <w:sz w:val="32"/>
          <w:szCs w:val="32"/>
          <w:lang w:eastAsia="zh-CN"/>
        </w:rPr>
      </w:pPr>
    </w:p>
    <w:p w14:paraId="6EAE98DF">
      <w:pPr>
        <w:pStyle w:val="2"/>
        <w:rPr>
          <w:rFonts w:ascii="Times New Roman" w:eastAsia="黑体"/>
          <w:bCs/>
          <w:sz w:val="32"/>
          <w:szCs w:val="32"/>
          <w:lang w:eastAsia="zh-CN"/>
        </w:rPr>
      </w:pPr>
    </w:p>
    <w:p w14:paraId="3B2BA550">
      <w:pPr>
        <w:pStyle w:val="2"/>
        <w:rPr>
          <w:rFonts w:ascii="Times New Roman" w:eastAsia="黑体"/>
          <w:bCs/>
          <w:sz w:val="32"/>
          <w:szCs w:val="32"/>
          <w:lang w:eastAsia="zh-CN"/>
        </w:rPr>
      </w:pPr>
    </w:p>
    <w:p w14:paraId="1471C31C">
      <w:pPr>
        <w:pStyle w:val="2"/>
        <w:jc w:val="center"/>
        <w:rPr>
          <w:rFonts w:ascii="Times New Roman" w:eastAsia="黑体"/>
          <w:bCs/>
          <w:sz w:val="32"/>
          <w:szCs w:val="32"/>
          <w:lang w:eastAsia="zh-CN"/>
        </w:rPr>
      </w:pPr>
      <w:r>
        <w:rPr>
          <w:rFonts w:hint="eastAsia" w:ascii="Times New Roman" w:eastAsia="黑体"/>
          <w:bCs/>
          <w:sz w:val="32"/>
          <w:szCs w:val="32"/>
          <w:lang w:eastAsia="zh-CN"/>
        </w:rPr>
        <w:t>合同附件</w:t>
      </w:r>
    </w:p>
    <w:p w14:paraId="6B56C2DD">
      <w:pPr>
        <w:rPr>
          <w:rFonts w:eastAsiaTheme="minorEastAsia"/>
          <w:lang w:eastAsia="zh-CN"/>
        </w:rPr>
      </w:pPr>
    </w:p>
    <w:p w14:paraId="7A7E933D">
      <w:pPr>
        <w:pStyle w:val="2"/>
        <w:rPr>
          <w:rFonts w:eastAsiaTheme="minorEastAsia"/>
          <w:lang w:eastAsia="zh-CN"/>
        </w:rPr>
      </w:pPr>
    </w:p>
    <w:p w14:paraId="64E38E35">
      <w:pPr>
        <w:rPr>
          <w:rFonts w:eastAsiaTheme="minorEastAsia"/>
          <w:lang w:eastAsia="zh-CN"/>
        </w:rPr>
      </w:pPr>
    </w:p>
    <w:p w14:paraId="08D37B9F">
      <w:pPr>
        <w:pStyle w:val="2"/>
        <w:rPr>
          <w:rFonts w:eastAsiaTheme="minorEastAsia"/>
          <w:lang w:eastAsia="zh-CN"/>
        </w:rPr>
      </w:pPr>
    </w:p>
    <w:p w14:paraId="343A399C">
      <w:pPr>
        <w:rPr>
          <w:rFonts w:eastAsiaTheme="minorEastAsia"/>
          <w:lang w:eastAsia="zh-CN"/>
        </w:rPr>
      </w:pPr>
    </w:p>
    <w:p w14:paraId="38C0EE03">
      <w:pPr>
        <w:pStyle w:val="2"/>
        <w:rPr>
          <w:rFonts w:eastAsiaTheme="minorEastAsia"/>
          <w:lang w:eastAsia="zh-CN"/>
        </w:rPr>
      </w:pPr>
    </w:p>
    <w:p w14:paraId="5C77C8D9">
      <w:pPr>
        <w:rPr>
          <w:rFonts w:eastAsiaTheme="minorEastAsia"/>
          <w:lang w:eastAsia="zh-CN"/>
        </w:rPr>
      </w:pPr>
    </w:p>
    <w:p w14:paraId="7A610BEA">
      <w:pPr>
        <w:pStyle w:val="2"/>
        <w:rPr>
          <w:rFonts w:eastAsiaTheme="minorEastAsia"/>
          <w:lang w:eastAsia="zh-CN"/>
        </w:rPr>
      </w:pPr>
    </w:p>
    <w:p w14:paraId="7812FD1A">
      <w:pPr>
        <w:rPr>
          <w:rFonts w:eastAsiaTheme="minorEastAsia"/>
          <w:lang w:eastAsia="zh-CN"/>
        </w:rPr>
      </w:pPr>
    </w:p>
    <w:p w14:paraId="0B84BA45">
      <w:pPr>
        <w:pStyle w:val="2"/>
        <w:rPr>
          <w:rFonts w:eastAsiaTheme="minorEastAsia"/>
          <w:lang w:eastAsia="zh-CN"/>
        </w:rPr>
      </w:pPr>
    </w:p>
    <w:p w14:paraId="7DEAAB3A">
      <w:pPr>
        <w:rPr>
          <w:rFonts w:eastAsiaTheme="minorEastAsia"/>
          <w:lang w:eastAsia="zh-CN"/>
        </w:rPr>
      </w:pPr>
    </w:p>
    <w:p w14:paraId="2EB7B8D2">
      <w:pPr>
        <w:pStyle w:val="2"/>
        <w:rPr>
          <w:rFonts w:eastAsiaTheme="minorEastAsia"/>
          <w:lang w:eastAsia="zh-CN"/>
        </w:rPr>
      </w:pPr>
    </w:p>
    <w:p w14:paraId="593A27BB">
      <w:pPr>
        <w:rPr>
          <w:rFonts w:eastAsiaTheme="minorEastAsia"/>
          <w:lang w:eastAsia="zh-CN"/>
        </w:rPr>
      </w:pPr>
    </w:p>
    <w:p w14:paraId="271309CD">
      <w:pPr>
        <w:pStyle w:val="2"/>
        <w:rPr>
          <w:rFonts w:eastAsiaTheme="minorEastAsia"/>
          <w:lang w:eastAsia="zh-CN"/>
        </w:rPr>
      </w:pPr>
    </w:p>
    <w:p w14:paraId="206BC149">
      <w:pPr>
        <w:rPr>
          <w:rFonts w:eastAsiaTheme="minorEastAsia"/>
          <w:lang w:eastAsia="zh-CN"/>
        </w:rPr>
      </w:pPr>
    </w:p>
    <w:p w14:paraId="60E2CFC1">
      <w:pPr>
        <w:pStyle w:val="2"/>
        <w:rPr>
          <w:rFonts w:eastAsiaTheme="minorEastAsia"/>
          <w:lang w:eastAsia="zh-CN"/>
        </w:rPr>
      </w:pPr>
    </w:p>
    <w:p w14:paraId="78490ED4">
      <w:pPr>
        <w:rPr>
          <w:rFonts w:eastAsiaTheme="minorEastAsia"/>
          <w:lang w:eastAsia="zh-CN"/>
        </w:rPr>
      </w:pPr>
    </w:p>
    <w:p w14:paraId="25CAD48D">
      <w:pPr>
        <w:pStyle w:val="2"/>
        <w:rPr>
          <w:rFonts w:eastAsiaTheme="minorEastAsia"/>
          <w:lang w:eastAsia="zh-CN"/>
        </w:rPr>
      </w:pPr>
    </w:p>
    <w:p w14:paraId="7148F0AC">
      <w:pPr>
        <w:rPr>
          <w:rFonts w:eastAsiaTheme="minorEastAsia"/>
          <w:lang w:eastAsia="zh-CN"/>
        </w:rPr>
      </w:pPr>
    </w:p>
    <w:p w14:paraId="1645F351">
      <w:pPr>
        <w:pStyle w:val="2"/>
        <w:rPr>
          <w:rFonts w:eastAsiaTheme="minorEastAsia"/>
          <w:lang w:eastAsia="zh-CN"/>
        </w:rPr>
      </w:pPr>
    </w:p>
    <w:p w14:paraId="14943595">
      <w:pPr>
        <w:rPr>
          <w:rFonts w:eastAsiaTheme="minorEastAsia"/>
          <w:lang w:eastAsia="zh-CN"/>
        </w:rPr>
      </w:pPr>
    </w:p>
    <w:p w14:paraId="14D84FBA">
      <w:pPr>
        <w:pStyle w:val="2"/>
        <w:rPr>
          <w:rFonts w:eastAsiaTheme="minorEastAsia"/>
          <w:lang w:eastAsia="zh-CN"/>
        </w:rPr>
      </w:pPr>
    </w:p>
    <w:p w14:paraId="497747B2">
      <w:pPr>
        <w:rPr>
          <w:rFonts w:eastAsiaTheme="minorEastAsia"/>
          <w:lang w:eastAsia="zh-CN"/>
        </w:rPr>
      </w:pPr>
    </w:p>
    <w:p w14:paraId="00064931">
      <w:pPr>
        <w:pStyle w:val="2"/>
        <w:rPr>
          <w:rFonts w:eastAsiaTheme="minorEastAsia"/>
          <w:lang w:eastAsia="zh-CN"/>
        </w:rPr>
      </w:pPr>
    </w:p>
    <w:p w14:paraId="0C3281E5">
      <w:pPr>
        <w:jc w:val="center"/>
        <w:rPr>
          <w:rFonts w:ascii="Times New Roman" w:hAnsi="Calibri" w:eastAsia="黑体"/>
          <w:bCs/>
          <w:color w:val="FF0000"/>
          <w:sz w:val="32"/>
          <w:szCs w:val="32"/>
          <w:lang w:eastAsia="zh-CN"/>
        </w:rPr>
      </w:pPr>
      <w:r>
        <w:rPr>
          <w:rFonts w:hint="eastAsia" w:ascii="Times New Roman" w:hAnsi="Calibri" w:eastAsia="黑体"/>
          <w:bCs/>
          <w:color w:val="FF0000"/>
          <w:sz w:val="32"/>
          <w:szCs w:val="32"/>
          <w:lang w:eastAsia="zh-CN"/>
        </w:rPr>
        <w:t>附件</w:t>
      </w:r>
      <w:r>
        <w:rPr>
          <w:rFonts w:ascii="Times New Roman" w:hAnsi="Calibri" w:eastAsia="黑体"/>
          <w:bCs/>
          <w:color w:val="FF0000"/>
          <w:sz w:val="32"/>
          <w:szCs w:val="32"/>
          <w:lang w:eastAsia="zh-CN"/>
        </w:rPr>
        <w:t>A-1</w:t>
      </w:r>
      <w:r>
        <w:rPr>
          <w:rFonts w:hint="eastAsia" w:ascii="Times New Roman" w:hAnsi="Calibri" w:eastAsia="黑体"/>
          <w:bCs/>
          <w:color w:val="FF0000"/>
          <w:sz w:val="32"/>
          <w:szCs w:val="32"/>
          <w:lang w:eastAsia="zh-CN"/>
        </w:rPr>
        <w:t xml:space="preserve">  项目设施设备移交清单</w:t>
      </w:r>
    </w:p>
    <w:p w14:paraId="08ADDE4D">
      <w:pPr>
        <w:pStyle w:val="2"/>
        <w:rPr>
          <w:lang w:eastAsia="zh-CN"/>
        </w:rPr>
      </w:pPr>
    </w:p>
    <w:p w14:paraId="1135E245">
      <w:pPr>
        <w:pStyle w:val="2"/>
        <w:rPr>
          <w:rFonts w:eastAsiaTheme="minorEastAsia"/>
          <w:lang w:eastAsia="zh-CN"/>
        </w:rPr>
      </w:pPr>
    </w:p>
    <w:p w14:paraId="5B363E7C">
      <w:pPr>
        <w:rPr>
          <w:rFonts w:eastAsiaTheme="minorEastAsia"/>
          <w:lang w:eastAsia="zh-CN"/>
        </w:rPr>
      </w:pPr>
    </w:p>
    <w:p w14:paraId="4B080563">
      <w:pPr>
        <w:pStyle w:val="2"/>
        <w:rPr>
          <w:rFonts w:eastAsiaTheme="minorEastAsia"/>
          <w:lang w:eastAsia="zh-CN"/>
        </w:rPr>
      </w:pPr>
    </w:p>
    <w:p w14:paraId="0DC395A3">
      <w:pPr>
        <w:rPr>
          <w:rFonts w:eastAsiaTheme="minorEastAsia"/>
          <w:lang w:eastAsia="zh-CN"/>
        </w:rPr>
      </w:pPr>
    </w:p>
    <w:p w14:paraId="23504C8F">
      <w:pPr>
        <w:pStyle w:val="2"/>
        <w:rPr>
          <w:rFonts w:eastAsiaTheme="minorEastAsia"/>
          <w:lang w:eastAsia="zh-CN"/>
        </w:rPr>
      </w:pPr>
    </w:p>
    <w:p w14:paraId="5A95C238">
      <w:pPr>
        <w:rPr>
          <w:rFonts w:eastAsiaTheme="minorEastAsia"/>
          <w:lang w:eastAsia="zh-CN"/>
        </w:rPr>
      </w:pPr>
    </w:p>
    <w:p w14:paraId="3E48C7FE">
      <w:pPr>
        <w:pStyle w:val="2"/>
        <w:rPr>
          <w:rFonts w:eastAsiaTheme="minorEastAsia"/>
          <w:lang w:eastAsia="zh-CN"/>
        </w:rPr>
      </w:pPr>
    </w:p>
    <w:p w14:paraId="092D3976">
      <w:pPr>
        <w:rPr>
          <w:rFonts w:eastAsiaTheme="minorEastAsia"/>
          <w:lang w:eastAsia="zh-CN"/>
        </w:rPr>
      </w:pPr>
    </w:p>
    <w:p w14:paraId="270223B5">
      <w:pPr>
        <w:pStyle w:val="2"/>
        <w:rPr>
          <w:rFonts w:eastAsiaTheme="minorEastAsia"/>
          <w:lang w:eastAsia="zh-CN"/>
        </w:rPr>
      </w:pPr>
    </w:p>
    <w:p w14:paraId="1820A74E">
      <w:pPr>
        <w:rPr>
          <w:rFonts w:eastAsiaTheme="minorEastAsia"/>
          <w:lang w:eastAsia="zh-CN"/>
        </w:rPr>
      </w:pPr>
    </w:p>
    <w:p w14:paraId="37BF18EE">
      <w:pPr>
        <w:pStyle w:val="2"/>
        <w:rPr>
          <w:rFonts w:eastAsiaTheme="minorEastAsia"/>
          <w:lang w:eastAsia="zh-CN"/>
        </w:rPr>
      </w:pPr>
    </w:p>
    <w:p w14:paraId="392C21C7">
      <w:pPr>
        <w:rPr>
          <w:rFonts w:eastAsiaTheme="minorEastAsia"/>
          <w:lang w:eastAsia="zh-CN"/>
        </w:rPr>
      </w:pPr>
    </w:p>
    <w:p w14:paraId="6D18956C">
      <w:pPr>
        <w:pStyle w:val="2"/>
        <w:rPr>
          <w:rFonts w:eastAsiaTheme="minorEastAsia"/>
          <w:lang w:eastAsia="zh-CN"/>
        </w:rPr>
      </w:pPr>
    </w:p>
    <w:p w14:paraId="63295109">
      <w:pPr>
        <w:jc w:val="center"/>
        <w:rPr>
          <w:rFonts w:ascii="Times New Roman" w:hAnsi="Calibri" w:eastAsia="黑体"/>
          <w:bCs/>
          <w:sz w:val="32"/>
          <w:szCs w:val="32"/>
          <w:lang w:eastAsia="zh-CN"/>
        </w:rPr>
      </w:pPr>
    </w:p>
    <w:p w14:paraId="4316A966">
      <w:pPr>
        <w:jc w:val="center"/>
        <w:rPr>
          <w:rFonts w:ascii="Times New Roman" w:hAnsi="Calibri" w:eastAsia="黑体"/>
          <w:bCs/>
          <w:sz w:val="32"/>
          <w:szCs w:val="32"/>
          <w:lang w:eastAsia="zh-CN"/>
        </w:rPr>
      </w:pPr>
    </w:p>
    <w:p w14:paraId="576D93CE">
      <w:pPr>
        <w:jc w:val="center"/>
        <w:rPr>
          <w:rFonts w:ascii="Times New Roman" w:hAnsi="Calibri" w:eastAsia="黑体"/>
          <w:bCs/>
          <w:sz w:val="32"/>
          <w:szCs w:val="32"/>
          <w:lang w:eastAsia="zh-CN"/>
        </w:rPr>
      </w:pPr>
    </w:p>
    <w:p w14:paraId="21CC394D">
      <w:pPr>
        <w:jc w:val="center"/>
        <w:rPr>
          <w:rFonts w:ascii="Times New Roman" w:hAnsi="Calibri" w:eastAsia="黑体"/>
          <w:bCs/>
          <w:sz w:val="32"/>
          <w:szCs w:val="32"/>
          <w:lang w:eastAsia="zh-CN"/>
        </w:rPr>
      </w:pPr>
    </w:p>
    <w:p w14:paraId="32BF154B">
      <w:pPr>
        <w:jc w:val="center"/>
        <w:rPr>
          <w:rFonts w:ascii="Times New Roman" w:hAnsi="Calibri" w:eastAsia="黑体"/>
          <w:bCs/>
          <w:sz w:val="32"/>
          <w:szCs w:val="32"/>
          <w:lang w:eastAsia="zh-CN"/>
        </w:rPr>
      </w:pPr>
    </w:p>
    <w:p w14:paraId="67A09B50">
      <w:pPr>
        <w:jc w:val="center"/>
        <w:rPr>
          <w:rFonts w:ascii="Times New Roman" w:hAnsi="Calibri" w:eastAsia="黑体"/>
          <w:bCs/>
          <w:sz w:val="32"/>
          <w:szCs w:val="32"/>
          <w:lang w:eastAsia="zh-CN"/>
        </w:rPr>
      </w:pPr>
    </w:p>
    <w:p w14:paraId="17732754">
      <w:pPr>
        <w:jc w:val="center"/>
        <w:rPr>
          <w:rFonts w:ascii="Times New Roman" w:hAnsi="Calibri" w:eastAsia="黑体"/>
          <w:bCs/>
          <w:sz w:val="32"/>
          <w:szCs w:val="32"/>
          <w:lang w:eastAsia="zh-CN"/>
        </w:rPr>
      </w:pPr>
    </w:p>
    <w:p w14:paraId="37B87E22">
      <w:pPr>
        <w:jc w:val="center"/>
        <w:rPr>
          <w:rFonts w:ascii="Times New Roman" w:hAnsi="Calibri" w:eastAsia="黑体"/>
          <w:bCs/>
          <w:sz w:val="32"/>
          <w:szCs w:val="32"/>
          <w:lang w:eastAsia="zh-CN"/>
        </w:rPr>
      </w:pPr>
    </w:p>
    <w:p w14:paraId="3BCBB62B">
      <w:pPr>
        <w:jc w:val="center"/>
        <w:rPr>
          <w:rFonts w:ascii="Times New Roman" w:hAnsi="Calibri" w:eastAsia="黑体"/>
          <w:bCs/>
          <w:sz w:val="32"/>
          <w:szCs w:val="32"/>
          <w:lang w:eastAsia="zh-CN"/>
        </w:rPr>
      </w:pPr>
      <w:r>
        <w:rPr>
          <w:rFonts w:hint="eastAsia" w:ascii="Times New Roman" w:hAnsi="Calibri" w:eastAsia="黑体"/>
          <w:bCs/>
          <w:sz w:val="32"/>
          <w:szCs w:val="32"/>
          <w:lang w:eastAsia="zh-CN"/>
        </w:rPr>
        <w:t>附件</w:t>
      </w:r>
      <w:r>
        <w:rPr>
          <w:rFonts w:ascii="Times New Roman" w:hAnsi="Calibri" w:eastAsia="黑体"/>
          <w:bCs/>
          <w:sz w:val="32"/>
          <w:szCs w:val="32"/>
          <w:lang w:eastAsia="zh-CN"/>
        </w:rPr>
        <w:t xml:space="preserve">A-2 </w:t>
      </w:r>
      <w:r>
        <w:rPr>
          <w:rFonts w:hint="eastAsia" w:ascii="Times New Roman" w:hAnsi="Calibri" w:eastAsia="黑体"/>
          <w:bCs/>
          <w:sz w:val="32"/>
          <w:szCs w:val="32"/>
          <w:lang w:eastAsia="zh-CN"/>
        </w:rPr>
        <w:t xml:space="preserve"> 融寓广州体育西店长租公寓项目界面划分</w:t>
      </w:r>
    </w:p>
    <w:p w14:paraId="111864F8">
      <w:pPr>
        <w:pStyle w:val="2"/>
        <w:ind w:firstLine="1680" w:firstLineChars="700"/>
        <w:rPr>
          <w:rFonts w:eastAsiaTheme="minorEastAsia"/>
          <w:color w:val="FF0000"/>
          <w:lang w:eastAsia="zh-CN"/>
        </w:rPr>
      </w:pPr>
      <w:r>
        <w:rPr>
          <w:rFonts w:hint="eastAsia" w:eastAsiaTheme="minorEastAsia"/>
          <w:color w:val="FF0000"/>
          <w:lang w:eastAsia="zh-CN"/>
        </w:rPr>
        <w:t>详见技术标准技术标准和要求附件2-工程界面划分</w:t>
      </w:r>
    </w:p>
    <w:p w14:paraId="6FE62D4C">
      <w:pPr>
        <w:pStyle w:val="2"/>
        <w:rPr>
          <w:color w:val="FF0000"/>
          <w:lang w:eastAsia="zh-CN"/>
        </w:rPr>
      </w:pPr>
    </w:p>
    <w:p w14:paraId="6C64A715">
      <w:pPr>
        <w:pStyle w:val="2"/>
        <w:rPr>
          <w:rFonts w:eastAsiaTheme="minorEastAsia"/>
          <w:lang w:eastAsia="zh-CN"/>
        </w:rPr>
      </w:pPr>
    </w:p>
    <w:p w14:paraId="6C6AAED0">
      <w:pPr>
        <w:rPr>
          <w:rFonts w:eastAsiaTheme="minorEastAsia"/>
          <w:lang w:eastAsia="zh-CN"/>
        </w:rPr>
      </w:pPr>
    </w:p>
    <w:p w14:paraId="53C147D7">
      <w:pPr>
        <w:pStyle w:val="2"/>
        <w:rPr>
          <w:rFonts w:eastAsiaTheme="minorEastAsia"/>
          <w:lang w:eastAsia="zh-CN"/>
        </w:rPr>
      </w:pPr>
    </w:p>
    <w:p w14:paraId="38EDDAB3">
      <w:pPr>
        <w:rPr>
          <w:rFonts w:eastAsiaTheme="minorEastAsia"/>
          <w:lang w:eastAsia="zh-CN"/>
        </w:rPr>
      </w:pPr>
    </w:p>
    <w:p w14:paraId="17EBC578">
      <w:pPr>
        <w:pStyle w:val="2"/>
        <w:rPr>
          <w:rFonts w:eastAsiaTheme="minorEastAsia"/>
          <w:lang w:eastAsia="zh-CN"/>
        </w:rPr>
      </w:pPr>
    </w:p>
    <w:p w14:paraId="4B034829">
      <w:pPr>
        <w:rPr>
          <w:rFonts w:eastAsiaTheme="minorEastAsia"/>
          <w:lang w:eastAsia="zh-CN"/>
        </w:rPr>
      </w:pPr>
    </w:p>
    <w:p w14:paraId="57F4363E">
      <w:pPr>
        <w:pStyle w:val="2"/>
        <w:rPr>
          <w:rFonts w:eastAsiaTheme="minorEastAsia"/>
          <w:lang w:eastAsia="zh-CN"/>
        </w:rPr>
      </w:pPr>
    </w:p>
    <w:p w14:paraId="4ED1D133">
      <w:pPr>
        <w:rPr>
          <w:rFonts w:eastAsiaTheme="minorEastAsia"/>
          <w:lang w:eastAsia="zh-CN"/>
        </w:rPr>
      </w:pPr>
    </w:p>
    <w:p w14:paraId="625361D9">
      <w:pPr>
        <w:pStyle w:val="2"/>
        <w:rPr>
          <w:rFonts w:eastAsiaTheme="minorEastAsia"/>
          <w:lang w:eastAsia="zh-CN"/>
        </w:rPr>
      </w:pPr>
    </w:p>
    <w:p w14:paraId="33DDB73F">
      <w:pPr>
        <w:rPr>
          <w:rFonts w:eastAsiaTheme="minorEastAsia"/>
          <w:lang w:eastAsia="zh-CN"/>
        </w:rPr>
      </w:pPr>
    </w:p>
    <w:p w14:paraId="5BCBB790">
      <w:pPr>
        <w:pStyle w:val="2"/>
        <w:rPr>
          <w:rFonts w:eastAsiaTheme="minorEastAsia"/>
          <w:lang w:eastAsia="zh-CN"/>
        </w:rPr>
      </w:pPr>
    </w:p>
    <w:p w14:paraId="314DFAB0">
      <w:pPr>
        <w:rPr>
          <w:rFonts w:eastAsiaTheme="minorEastAsia"/>
          <w:lang w:eastAsia="zh-CN"/>
        </w:rPr>
      </w:pPr>
    </w:p>
    <w:p w14:paraId="1796F095">
      <w:pPr>
        <w:pStyle w:val="2"/>
        <w:rPr>
          <w:rFonts w:eastAsiaTheme="minorEastAsia"/>
          <w:lang w:eastAsia="zh-CN"/>
        </w:rPr>
      </w:pPr>
    </w:p>
    <w:p w14:paraId="149831EA">
      <w:pPr>
        <w:rPr>
          <w:rFonts w:eastAsiaTheme="minorEastAsia"/>
          <w:lang w:eastAsia="zh-CN"/>
        </w:rPr>
      </w:pPr>
    </w:p>
    <w:p w14:paraId="2DBF90D0">
      <w:pPr>
        <w:pStyle w:val="2"/>
        <w:rPr>
          <w:rFonts w:eastAsiaTheme="minorEastAsia"/>
          <w:lang w:eastAsia="zh-CN"/>
        </w:rPr>
      </w:pPr>
    </w:p>
    <w:p w14:paraId="292334E2">
      <w:pPr>
        <w:rPr>
          <w:rFonts w:eastAsiaTheme="minorEastAsia"/>
          <w:lang w:eastAsia="zh-CN"/>
        </w:rPr>
      </w:pPr>
    </w:p>
    <w:p w14:paraId="46B09A38">
      <w:pPr>
        <w:pStyle w:val="2"/>
        <w:rPr>
          <w:rFonts w:eastAsiaTheme="minorEastAsia"/>
          <w:lang w:eastAsia="zh-CN"/>
        </w:rPr>
      </w:pPr>
    </w:p>
    <w:p w14:paraId="00192134">
      <w:pPr>
        <w:rPr>
          <w:rFonts w:eastAsiaTheme="minorEastAsia"/>
          <w:lang w:eastAsia="zh-CN"/>
        </w:rPr>
      </w:pPr>
    </w:p>
    <w:p w14:paraId="5F1B669C">
      <w:pPr>
        <w:pStyle w:val="2"/>
        <w:rPr>
          <w:rFonts w:eastAsiaTheme="minorEastAsia"/>
          <w:lang w:eastAsia="zh-CN"/>
        </w:rPr>
      </w:pPr>
    </w:p>
    <w:p w14:paraId="393C5AA5">
      <w:pPr>
        <w:rPr>
          <w:rFonts w:eastAsiaTheme="minorEastAsia"/>
          <w:lang w:eastAsia="zh-CN"/>
        </w:rPr>
      </w:pPr>
    </w:p>
    <w:p w14:paraId="5B6E499A">
      <w:pPr>
        <w:pStyle w:val="2"/>
        <w:rPr>
          <w:rFonts w:eastAsiaTheme="minorEastAsia"/>
          <w:lang w:eastAsia="zh-CN"/>
        </w:rPr>
      </w:pPr>
    </w:p>
    <w:p w14:paraId="310A74BC">
      <w:pPr>
        <w:rPr>
          <w:rFonts w:eastAsiaTheme="minorEastAsia"/>
          <w:lang w:eastAsia="zh-CN"/>
        </w:rPr>
      </w:pPr>
    </w:p>
    <w:p w14:paraId="792D1753">
      <w:pPr>
        <w:rPr>
          <w:rFonts w:ascii="Times New Roman" w:hAnsi="Calibri" w:eastAsia="黑体"/>
          <w:bCs/>
          <w:sz w:val="32"/>
          <w:szCs w:val="32"/>
          <w:lang w:eastAsia="zh-CN"/>
        </w:rPr>
      </w:pPr>
    </w:p>
    <w:p w14:paraId="51E4D2D9">
      <w:pPr>
        <w:pStyle w:val="2"/>
        <w:jc w:val="center"/>
        <w:rPr>
          <w:rFonts w:ascii="Times New Roman" w:eastAsia="黑体"/>
          <w:bCs/>
          <w:sz w:val="32"/>
          <w:szCs w:val="32"/>
          <w:lang w:eastAsia="zh-CN"/>
        </w:rPr>
      </w:pPr>
      <w:r>
        <w:rPr>
          <w:rFonts w:hint="eastAsia" w:ascii="Times New Roman" w:eastAsia="黑体"/>
          <w:bCs/>
          <w:sz w:val="32"/>
          <w:szCs w:val="32"/>
          <w:lang w:eastAsia="zh-CN"/>
        </w:rPr>
        <w:t>附件</w:t>
      </w:r>
      <w:r>
        <w:rPr>
          <w:rFonts w:ascii="Times New Roman" w:eastAsia="黑体"/>
          <w:bCs/>
          <w:sz w:val="32"/>
          <w:szCs w:val="32"/>
          <w:lang w:eastAsia="zh-CN"/>
        </w:rPr>
        <w:t xml:space="preserve">B-1 </w:t>
      </w:r>
      <w:r>
        <w:rPr>
          <w:rFonts w:hint="eastAsia" w:ascii="Times New Roman" w:eastAsia="黑体"/>
          <w:bCs/>
          <w:sz w:val="32"/>
          <w:szCs w:val="32"/>
          <w:lang w:eastAsia="zh-CN"/>
        </w:rPr>
        <w:t xml:space="preserve"> </w:t>
      </w:r>
      <w:r>
        <w:rPr>
          <w:rFonts w:ascii="Times New Roman" w:eastAsia="黑体"/>
          <w:bCs/>
          <w:sz w:val="32"/>
          <w:szCs w:val="32"/>
          <w:lang w:eastAsia="zh-CN"/>
        </w:rPr>
        <w:t>202</w:t>
      </w:r>
      <w:r>
        <w:rPr>
          <w:rFonts w:hint="eastAsia" w:ascii="Times New Roman" w:eastAsia="黑体"/>
          <w:bCs/>
          <w:sz w:val="32"/>
          <w:szCs w:val="32"/>
          <w:lang w:eastAsia="zh-CN"/>
        </w:rPr>
        <w:t>5精装改造地产项目第三方评估体系</w:t>
      </w:r>
    </w:p>
    <w:p w14:paraId="5279A6DF">
      <w:pPr>
        <w:rPr>
          <w:rFonts w:eastAsiaTheme="minorEastAsia"/>
          <w:lang w:eastAsia="zh-CN"/>
        </w:rPr>
      </w:pPr>
    </w:p>
    <w:p w14:paraId="2003A343">
      <w:pPr>
        <w:pStyle w:val="2"/>
        <w:ind w:firstLine="1680" w:firstLineChars="700"/>
        <w:rPr>
          <w:rFonts w:eastAsiaTheme="minorEastAsia"/>
          <w:color w:val="FF0000"/>
          <w:lang w:eastAsia="zh-CN"/>
        </w:rPr>
      </w:pPr>
      <w:r>
        <w:rPr>
          <w:rFonts w:hint="eastAsia" w:eastAsiaTheme="minorEastAsia"/>
          <w:color w:val="FF0000"/>
          <w:lang w:eastAsia="zh-CN"/>
        </w:rPr>
        <w:t>详见技术标准和要求附件7-第三方检查文件（25年版）</w:t>
      </w:r>
    </w:p>
    <w:p w14:paraId="469B0A8B">
      <w:pPr>
        <w:rPr>
          <w:rFonts w:eastAsiaTheme="minorEastAsia"/>
          <w:color w:val="FF0000"/>
          <w:lang w:eastAsia="zh-CN"/>
        </w:rPr>
      </w:pPr>
    </w:p>
    <w:p w14:paraId="44F06218">
      <w:pPr>
        <w:pStyle w:val="2"/>
        <w:rPr>
          <w:rFonts w:eastAsiaTheme="minorEastAsia"/>
          <w:color w:val="FF0000"/>
          <w:lang w:eastAsia="zh-CN"/>
        </w:rPr>
      </w:pPr>
    </w:p>
    <w:p w14:paraId="54F00643">
      <w:pPr>
        <w:rPr>
          <w:rFonts w:eastAsiaTheme="minorEastAsia"/>
          <w:lang w:eastAsia="zh-CN"/>
        </w:rPr>
      </w:pPr>
    </w:p>
    <w:p w14:paraId="172D267D">
      <w:pPr>
        <w:pStyle w:val="2"/>
        <w:rPr>
          <w:rFonts w:eastAsiaTheme="minorEastAsia"/>
          <w:lang w:eastAsia="zh-CN"/>
        </w:rPr>
      </w:pPr>
    </w:p>
    <w:p w14:paraId="3A2A3D56">
      <w:pPr>
        <w:rPr>
          <w:rFonts w:eastAsiaTheme="minorEastAsia"/>
          <w:lang w:eastAsia="zh-CN"/>
        </w:rPr>
      </w:pPr>
    </w:p>
    <w:p w14:paraId="017FE15D">
      <w:pPr>
        <w:pStyle w:val="2"/>
        <w:rPr>
          <w:rFonts w:eastAsiaTheme="minorEastAsia"/>
          <w:lang w:eastAsia="zh-CN"/>
        </w:rPr>
      </w:pPr>
    </w:p>
    <w:p w14:paraId="21F56D73">
      <w:pPr>
        <w:rPr>
          <w:rFonts w:eastAsiaTheme="minorEastAsia"/>
          <w:lang w:eastAsia="zh-CN"/>
        </w:rPr>
      </w:pPr>
    </w:p>
    <w:p w14:paraId="5F74A540">
      <w:pPr>
        <w:pStyle w:val="2"/>
        <w:rPr>
          <w:rFonts w:eastAsiaTheme="minorEastAsia"/>
          <w:lang w:eastAsia="zh-CN"/>
        </w:rPr>
      </w:pPr>
    </w:p>
    <w:p w14:paraId="18F470BD">
      <w:pPr>
        <w:rPr>
          <w:rFonts w:eastAsiaTheme="minorEastAsia"/>
          <w:lang w:eastAsia="zh-CN"/>
        </w:rPr>
      </w:pPr>
    </w:p>
    <w:p w14:paraId="7495D4C7">
      <w:pPr>
        <w:pStyle w:val="2"/>
        <w:rPr>
          <w:rFonts w:eastAsiaTheme="minorEastAsia"/>
          <w:lang w:eastAsia="zh-CN"/>
        </w:rPr>
      </w:pPr>
    </w:p>
    <w:p w14:paraId="3310D97E">
      <w:pPr>
        <w:rPr>
          <w:rFonts w:eastAsiaTheme="minorEastAsia"/>
          <w:lang w:eastAsia="zh-CN"/>
        </w:rPr>
      </w:pPr>
    </w:p>
    <w:p w14:paraId="287492B6">
      <w:pPr>
        <w:pStyle w:val="2"/>
        <w:rPr>
          <w:rFonts w:eastAsiaTheme="minorEastAsia"/>
          <w:lang w:eastAsia="zh-CN"/>
        </w:rPr>
      </w:pPr>
    </w:p>
    <w:p w14:paraId="1B2D2517">
      <w:pPr>
        <w:rPr>
          <w:rFonts w:eastAsiaTheme="minorEastAsia"/>
          <w:lang w:eastAsia="zh-CN"/>
        </w:rPr>
      </w:pPr>
    </w:p>
    <w:p w14:paraId="2DF49615">
      <w:pPr>
        <w:pStyle w:val="2"/>
        <w:rPr>
          <w:rFonts w:eastAsiaTheme="minorEastAsia"/>
          <w:lang w:eastAsia="zh-CN"/>
        </w:rPr>
      </w:pPr>
    </w:p>
    <w:p w14:paraId="1B2E7C59">
      <w:pPr>
        <w:rPr>
          <w:rFonts w:eastAsiaTheme="minorEastAsia"/>
          <w:lang w:eastAsia="zh-CN"/>
        </w:rPr>
      </w:pPr>
    </w:p>
    <w:p w14:paraId="61651834">
      <w:pPr>
        <w:pStyle w:val="2"/>
        <w:rPr>
          <w:rFonts w:eastAsiaTheme="minorEastAsia"/>
          <w:lang w:eastAsia="zh-CN"/>
        </w:rPr>
      </w:pPr>
    </w:p>
    <w:p w14:paraId="7E5E73BB">
      <w:pPr>
        <w:rPr>
          <w:rFonts w:eastAsiaTheme="minorEastAsia"/>
          <w:lang w:eastAsia="zh-CN"/>
        </w:rPr>
      </w:pPr>
    </w:p>
    <w:p w14:paraId="088ABBE8">
      <w:pPr>
        <w:pStyle w:val="2"/>
        <w:rPr>
          <w:rFonts w:eastAsiaTheme="minorEastAsia"/>
          <w:lang w:eastAsia="zh-CN"/>
        </w:rPr>
      </w:pPr>
    </w:p>
    <w:p w14:paraId="4D576735">
      <w:pPr>
        <w:rPr>
          <w:rFonts w:eastAsiaTheme="minorEastAsia"/>
          <w:lang w:eastAsia="zh-CN"/>
        </w:rPr>
      </w:pPr>
    </w:p>
    <w:p w14:paraId="2D1F3160">
      <w:pPr>
        <w:pStyle w:val="2"/>
        <w:rPr>
          <w:rFonts w:eastAsiaTheme="minorEastAsia"/>
          <w:lang w:eastAsia="zh-CN"/>
        </w:rPr>
      </w:pPr>
    </w:p>
    <w:p w14:paraId="20B5F08A">
      <w:pPr>
        <w:jc w:val="center"/>
        <w:rPr>
          <w:rFonts w:eastAsiaTheme="minorEastAsia"/>
          <w:lang w:eastAsia="zh-CN"/>
        </w:rPr>
      </w:pPr>
    </w:p>
    <w:p w14:paraId="7ED9AE9A">
      <w:pPr>
        <w:pStyle w:val="2"/>
        <w:jc w:val="center"/>
        <w:rPr>
          <w:rFonts w:ascii="Times New Roman" w:eastAsia="黑体"/>
          <w:bCs/>
          <w:sz w:val="32"/>
          <w:szCs w:val="32"/>
          <w:lang w:eastAsia="zh-CN"/>
        </w:rPr>
      </w:pPr>
      <w:r>
        <w:rPr>
          <w:rFonts w:hint="eastAsia" w:ascii="Times New Roman" w:eastAsia="黑体"/>
          <w:bCs/>
          <w:sz w:val="32"/>
          <w:szCs w:val="32"/>
          <w:lang w:eastAsia="zh-CN"/>
        </w:rPr>
        <w:t>附件B-2 材料品牌表</w:t>
      </w:r>
    </w:p>
    <w:p w14:paraId="000C4D4D">
      <w:pPr>
        <w:jc w:val="center"/>
        <w:rPr>
          <w:rFonts w:eastAsiaTheme="minorEastAsia"/>
          <w:color w:val="FF0000"/>
          <w:lang w:eastAsia="zh-CN"/>
        </w:rPr>
      </w:pPr>
      <w:r>
        <w:rPr>
          <w:rFonts w:hint="eastAsia" w:eastAsiaTheme="minorEastAsia"/>
          <w:color w:val="FF0000"/>
          <w:lang w:eastAsia="zh-CN"/>
        </w:rPr>
        <w:t>详见技术标准和要求附件1-材料设备品牌要求及甲供范围</w:t>
      </w:r>
    </w:p>
    <w:p w14:paraId="72FE201E">
      <w:pPr>
        <w:pStyle w:val="2"/>
        <w:rPr>
          <w:rFonts w:eastAsiaTheme="minorEastAsia"/>
          <w:color w:val="FF0000"/>
          <w:lang w:eastAsia="zh-CN"/>
        </w:rPr>
      </w:pPr>
    </w:p>
    <w:p w14:paraId="1A2311FE">
      <w:pPr>
        <w:rPr>
          <w:rFonts w:eastAsiaTheme="minorEastAsia"/>
          <w:lang w:eastAsia="zh-CN"/>
        </w:rPr>
      </w:pPr>
    </w:p>
    <w:p w14:paraId="4E75FE89">
      <w:pPr>
        <w:pStyle w:val="2"/>
        <w:rPr>
          <w:rFonts w:eastAsiaTheme="minorEastAsia"/>
          <w:lang w:eastAsia="zh-CN"/>
        </w:rPr>
      </w:pPr>
    </w:p>
    <w:p w14:paraId="1FB2AFA1">
      <w:pPr>
        <w:rPr>
          <w:rFonts w:eastAsiaTheme="minorEastAsia"/>
          <w:lang w:eastAsia="zh-CN"/>
        </w:rPr>
      </w:pPr>
    </w:p>
    <w:p w14:paraId="25086F82">
      <w:pPr>
        <w:pStyle w:val="2"/>
        <w:rPr>
          <w:rFonts w:eastAsiaTheme="minorEastAsia"/>
          <w:lang w:eastAsia="zh-CN"/>
        </w:rPr>
      </w:pPr>
    </w:p>
    <w:p w14:paraId="4FAA94A9">
      <w:pPr>
        <w:rPr>
          <w:rFonts w:eastAsiaTheme="minorEastAsia"/>
          <w:lang w:eastAsia="zh-CN"/>
        </w:rPr>
      </w:pPr>
    </w:p>
    <w:p w14:paraId="5E15E757">
      <w:pPr>
        <w:pStyle w:val="2"/>
        <w:rPr>
          <w:rFonts w:eastAsiaTheme="minorEastAsia"/>
          <w:lang w:eastAsia="zh-CN"/>
        </w:rPr>
      </w:pPr>
    </w:p>
    <w:p w14:paraId="0958ED8B">
      <w:pPr>
        <w:rPr>
          <w:rFonts w:eastAsiaTheme="minorEastAsia"/>
          <w:lang w:eastAsia="zh-CN"/>
        </w:rPr>
      </w:pPr>
    </w:p>
    <w:p w14:paraId="339DA76B">
      <w:pPr>
        <w:pStyle w:val="2"/>
        <w:rPr>
          <w:rFonts w:eastAsiaTheme="minorEastAsia"/>
          <w:lang w:eastAsia="zh-CN"/>
        </w:rPr>
      </w:pPr>
    </w:p>
    <w:p w14:paraId="422C7702">
      <w:pPr>
        <w:rPr>
          <w:rFonts w:eastAsiaTheme="minorEastAsia"/>
          <w:lang w:eastAsia="zh-CN"/>
        </w:rPr>
      </w:pPr>
    </w:p>
    <w:p w14:paraId="3EDE57FA">
      <w:pPr>
        <w:pStyle w:val="2"/>
        <w:rPr>
          <w:rFonts w:eastAsiaTheme="minorEastAsia"/>
          <w:lang w:eastAsia="zh-CN"/>
        </w:rPr>
      </w:pPr>
    </w:p>
    <w:p w14:paraId="72E1D9E6">
      <w:pPr>
        <w:rPr>
          <w:rFonts w:eastAsiaTheme="minorEastAsia"/>
          <w:lang w:eastAsia="zh-CN"/>
        </w:rPr>
      </w:pPr>
    </w:p>
    <w:p w14:paraId="5D7142B7">
      <w:pPr>
        <w:pStyle w:val="2"/>
        <w:rPr>
          <w:rFonts w:eastAsiaTheme="minorEastAsia"/>
          <w:lang w:eastAsia="zh-CN"/>
        </w:rPr>
      </w:pPr>
    </w:p>
    <w:p w14:paraId="5D19518D">
      <w:pPr>
        <w:rPr>
          <w:rFonts w:eastAsiaTheme="minorEastAsia"/>
          <w:lang w:eastAsia="zh-CN"/>
        </w:rPr>
      </w:pPr>
    </w:p>
    <w:p w14:paraId="2F5A7DB8">
      <w:pPr>
        <w:pStyle w:val="2"/>
        <w:rPr>
          <w:rFonts w:eastAsiaTheme="minorEastAsia"/>
          <w:lang w:eastAsia="zh-CN"/>
        </w:rPr>
      </w:pPr>
    </w:p>
    <w:p w14:paraId="3D95BA1C">
      <w:pPr>
        <w:rPr>
          <w:rFonts w:eastAsiaTheme="minorEastAsia"/>
          <w:lang w:eastAsia="zh-CN"/>
        </w:rPr>
      </w:pPr>
    </w:p>
    <w:p w14:paraId="34119BD7">
      <w:pPr>
        <w:pStyle w:val="2"/>
        <w:rPr>
          <w:rFonts w:ascii="Times New Roman" w:eastAsia="黑体"/>
          <w:bCs/>
          <w:sz w:val="32"/>
          <w:szCs w:val="32"/>
          <w:lang w:eastAsia="zh-CN"/>
        </w:rPr>
      </w:pPr>
    </w:p>
    <w:p w14:paraId="22944E84">
      <w:pPr>
        <w:rPr>
          <w:rFonts w:eastAsiaTheme="minorEastAsia"/>
          <w:lang w:eastAsia="zh-CN"/>
        </w:rPr>
      </w:pPr>
    </w:p>
    <w:p w14:paraId="2E94D567">
      <w:pPr>
        <w:pStyle w:val="2"/>
        <w:rPr>
          <w:rFonts w:eastAsiaTheme="minorEastAsia"/>
          <w:lang w:eastAsia="zh-CN"/>
        </w:rPr>
      </w:pPr>
    </w:p>
    <w:p w14:paraId="1ECB93C8">
      <w:pPr>
        <w:rPr>
          <w:rFonts w:eastAsiaTheme="minorEastAsia"/>
          <w:lang w:eastAsia="zh-CN"/>
        </w:rPr>
      </w:pPr>
    </w:p>
    <w:p w14:paraId="02F11E73">
      <w:pPr>
        <w:rPr>
          <w:rFonts w:eastAsiaTheme="minorEastAsia"/>
          <w:lang w:eastAsia="zh-CN"/>
        </w:rPr>
      </w:pPr>
    </w:p>
    <w:p w14:paraId="7729DD7E">
      <w:pPr>
        <w:pStyle w:val="2"/>
        <w:jc w:val="center"/>
        <w:rPr>
          <w:rFonts w:ascii="Times New Roman" w:eastAsia="黑体"/>
          <w:bCs/>
          <w:sz w:val="32"/>
          <w:szCs w:val="32"/>
          <w:lang w:eastAsia="zh-CN"/>
        </w:rPr>
      </w:pPr>
      <w:r>
        <w:rPr>
          <w:rFonts w:hint="eastAsia" w:ascii="Times New Roman" w:eastAsia="黑体"/>
          <w:bCs/>
          <w:sz w:val="32"/>
          <w:szCs w:val="32"/>
          <w:lang w:eastAsia="zh-CN"/>
        </w:rPr>
        <w:t>附件</w:t>
      </w:r>
      <w:r>
        <w:rPr>
          <w:rFonts w:ascii="Times New Roman" w:eastAsia="黑体"/>
          <w:bCs/>
          <w:sz w:val="32"/>
          <w:szCs w:val="32"/>
          <w:lang w:eastAsia="zh-CN"/>
        </w:rPr>
        <w:t xml:space="preserve">B-3 </w:t>
      </w:r>
      <w:r>
        <w:rPr>
          <w:rFonts w:hint="eastAsia" w:ascii="Times New Roman" w:eastAsia="黑体"/>
          <w:bCs/>
          <w:sz w:val="32"/>
          <w:szCs w:val="32"/>
          <w:lang w:eastAsia="zh-CN"/>
        </w:rPr>
        <w:t xml:space="preserve"> 需送样封样清单</w:t>
      </w:r>
      <w:r>
        <w:rPr>
          <w:rFonts w:ascii="Times New Roman" w:eastAsia="黑体"/>
          <w:bCs/>
          <w:sz w:val="32"/>
          <w:szCs w:val="32"/>
          <w:lang w:eastAsia="zh-CN"/>
        </w:rPr>
        <w:t>-</w:t>
      </w:r>
      <w:r>
        <w:rPr>
          <w:rFonts w:hint="eastAsia" w:ascii="Times New Roman" w:eastAsia="黑体"/>
          <w:bCs/>
          <w:sz w:val="32"/>
          <w:szCs w:val="32"/>
          <w:lang w:eastAsia="zh-CN"/>
        </w:rPr>
        <w:t>精装物料表</w:t>
      </w:r>
    </w:p>
    <w:p w14:paraId="1C232210">
      <w:pPr>
        <w:jc w:val="center"/>
        <w:rPr>
          <w:rFonts w:eastAsiaTheme="minorEastAsia"/>
          <w:color w:val="FF0000"/>
          <w:lang w:eastAsia="zh-CN"/>
        </w:rPr>
      </w:pPr>
      <w:r>
        <w:rPr>
          <w:rFonts w:hint="eastAsia" w:eastAsiaTheme="minorEastAsia"/>
          <w:color w:val="FF0000"/>
          <w:lang w:eastAsia="zh-CN"/>
        </w:rPr>
        <w:t>详见技术标准和要求附件4-样板管理</w:t>
      </w:r>
    </w:p>
    <w:p w14:paraId="0ADE90F7">
      <w:pPr>
        <w:pStyle w:val="2"/>
        <w:rPr>
          <w:rFonts w:eastAsiaTheme="minorEastAsia"/>
          <w:lang w:eastAsia="zh-CN"/>
        </w:rPr>
      </w:pPr>
    </w:p>
    <w:p w14:paraId="176BFC58">
      <w:pPr>
        <w:rPr>
          <w:rFonts w:eastAsiaTheme="minorEastAsia"/>
          <w:lang w:eastAsia="zh-CN"/>
        </w:rPr>
      </w:pPr>
    </w:p>
    <w:p w14:paraId="24BC80AE">
      <w:pPr>
        <w:pStyle w:val="2"/>
        <w:rPr>
          <w:rFonts w:eastAsiaTheme="minorEastAsia"/>
          <w:lang w:eastAsia="zh-CN"/>
        </w:rPr>
      </w:pPr>
    </w:p>
    <w:p w14:paraId="6EA15C57">
      <w:pPr>
        <w:rPr>
          <w:rFonts w:eastAsiaTheme="minorEastAsia"/>
          <w:lang w:eastAsia="zh-CN"/>
        </w:rPr>
      </w:pPr>
    </w:p>
    <w:p w14:paraId="3F605A3C">
      <w:pPr>
        <w:pStyle w:val="2"/>
        <w:rPr>
          <w:rFonts w:eastAsiaTheme="minorEastAsia"/>
          <w:lang w:eastAsia="zh-CN"/>
        </w:rPr>
      </w:pPr>
    </w:p>
    <w:p w14:paraId="6E728789">
      <w:pPr>
        <w:rPr>
          <w:rFonts w:eastAsiaTheme="minorEastAsia"/>
          <w:lang w:eastAsia="zh-CN"/>
        </w:rPr>
      </w:pPr>
    </w:p>
    <w:p w14:paraId="3AC68782">
      <w:pPr>
        <w:pStyle w:val="2"/>
        <w:rPr>
          <w:rFonts w:eastAsiaTheme="minorEastAsia"/>
          <w:lang w:eastAsia="zh-CN"/>
        </w:rPr>
      </w:pPr>
    </w:p>
    <w:p w14:paraId="6D496010">
      <w:pPr>
        <w:rPr>
          <w:rFonts w:eastAsiaTheme="minorEastAsia"/>
          <w:lang w:eastAsia="zh-CN"/>
        </w:rPr>
      </w:pPr>
    </w:p>
    <w:p w14:paraId="32F73DD9">
      <w:pPr>
        <w:pStyle w:val="2"/>
        <w:rPr>
          <w:rFonts w:eastAsiaTheme="minorEastAsia"/>
          <w:lang w:eastAsia="zh-CN"/>
        </w:rPr>
      </w:pPr>
    </w:p>
    <w:p w14:paraId="520C875F">
      <w:pPr>
        <w:rPr>
          <w:rFonts w:eastAsiaTheme="minorEastAsia"/>
          <w:lang w:eastAsia="zh-CN"/>
        </w:rPr>
      </w:pPr>
    </w:p>
    <w:p w14:paraId="45B223AC">
      <w:pPr>
        <w:pStyle w:val="2"/>
        <w:rPr>
          <w:rFonts w:eastAsiaTheme="minorEastAsia"/>
          <w:lang w:eastAsia="zh-CN"/>
        </w:rPr>
      </w:pPr>
    </w:p>
    <w:p w14:paraId="5E0F675B">
      <w:pPr>
        <w:rPr>
          <w:rFonts w:eastAsiaTheme="minorEastAsia"/>
          <w:lang w:eastAsia="zh-CN"/>
        </w:rPr>
      </w:pPr>
    </w:p>
    <w:p w14:paraId="0FFD0127">
      <w:pPr>
        <w:pStyle w:val="2"/>
        <w:rPr>
          <w:rFonts w:eastAsiaTheme="minorEastAsia"/>
          <w:lang w:eastAsia="zh-CN"/>
        </w:rPr>
      </w:pPr>
    </w:p>
    <w:p w14:paraId="7821E8A4">
      <w:pPr>
        <w:pStyle w:val="2"/>
        <w:jc w:val="center"/>
        <w:rPr>
          <w:rFonts w:ascii="Times New Roman" w:eastAsia="黑体"/>
          <w:bCs/>
          <w:sz w:val="32"/>
          <w:szCs w:val="32"/>
          <w:lang w:eastAsia="zh-CN"/>
        </w:rPr>
      </w:pPr>
    </w:p>
    <w:p w14:paraId="47E6D39D">
      <w:pPr>
        <w:pStyle w:val="2"/>
        <w:jc w:val="center"/>
        <w:rPr>
          <w:rFonts w:ascii="Times New Roman" w:eastAsia="黑体"/>
          <w:bCs/>
          <w:sz w:val="32"/>
          <w:szCs w:val="32"/>
          <w:lang w:eastAsia="zh-CN"/>
        </w:rPr>
      </w:pPr>
    </w:p>
    <w:p w14:paraId="7D510792">
      <w:pPr>
        <w:pStyle w:val="2"/>
        <w:jc w:val="center"/>
        <w:rPr>
          <w:rFonts w:ascii="Times New Roman" w:eastAsia="黑体"/>
          <w:bCs/>
          <w:sz w:val="32"/>
          <w:szCs w:val="32"/>
          <w:lang w:eastAsia="zh-CN"/>
        </w:rPr>
      </w:pPr>
    </w:p>
    <w:p w14:paraId="289C6E91">
      <w:pPr>
        <w:pStyle w:val="2"/>
        <w:jc w:val="center"/>
        <w:rPr>
          <w:rFonts w:ascii="Times New Roman" w:eastAsia="黑体"/>
          <w:bCs/>
          <w:sz w:val="32"/>
          <w:szCs w:val="32"/>
          <w:lang w:eastAsia="zh-CN"/>
        </w:rPr>
      </w:pPr>
    </w:p>
    <w:p w14:paraId="144A7457">
      <w:pPr>
        <w:pStyle w:val="2"/>
        <w:jc w:val="center"/>
        <w:rPr>
          <w:rFonts w:ascii="Times New Roman" w:eastAsia="黑体"/>
          <w:bCs/>
          <w:sz w:val="32"/>
          <w:szCs w:val="32"/>
          <w:lang w:eastAsia="zh-CN"/>
        </w:rPr>
      </w:pPr>
    </w:p>
    <w:p w14:paraId="075DE1E9">
      <w:pPr>
        <w:pStyle w:val="2"/>
        <w:jc w:val="center"/>
        <w:rPr>
          <w:rFonts w:ascii="Times New Roman" w:eastAsia="黑体"/>
          <w:bCs/>
          <w:sz w:val="32"/>
          <w:szCs w:val="32"/>
          <w:lang w:eastAsia="zh-CN"/>
        </w:rPr>
      </w:pPr>
    </w:p>
    <w:p w14:paraId="37B052E1">
      <w:pPr>
        <w:pStyle w:val="2"/>
        <w:jc w:val="center"/>
        <w:rPr>
          <w:rFonts w:ascii="Times New Roman" w:eastAsia="黑体"/>
          <w:bCs/>
          <w:sz w:val="32"/>
          <w:szCs w:val="32"/>
          <w:lang w:eastAsia="zh-CN"/>
        </w:rPr>
      </w:pPr>
    </w:p>
    <w:p w14:paraId="0268542A">
      <w:pPr>
        <w:pStyle w:val="2"/>
        <w:jc w:val="center"/>
        <w:rPr>
          <w:rFonts w:ascii="Times New Roman" w:eastAsia="黑体"/>
          <w:bCs/>
          <w:sz w:val="32"/>
          <w:szCs w:val="32"/>
          <w:lang w:eastAsia="zh-CN"/>
        </w:rPr>
      </w:pPr>
      <w:r>
        <w:rPr>
          <w:rFonts w:hint="eastAsia" w:ascii="Times New Roman" w:eastAsia="黑体"/>
          <w:bCs/>
          <w:sz w:val="32"/>
          <w:szCs w:val="32"/>
          <w:lang w:eastAsia="zh-CN"/>
        </w:rPr>
        <w:t>附件</w:t>
      </w:r>
      <w:r>
        <w:rPr>
          <w:rFonts w:ascii="Times New Roman" w:eastAsia="黑体"/>
          <w:bCs/>
          <w:sz w:val="32"/>
          <w:szCs w:val="32"/>
          <w:lang w:eastAsia="zh-CN"/>
        </w:rPr>
        <w:t xml:space="preserve">B-4 </w:t>
      </w:r>
      <w:r>
        <w:rPr>
          <w:rFonts w:hint="eastAsia" w:ascii="Times New Roman" w:eastAsia="黑体"/>
          <w:bCs/>
          <w:sz w:val="32"/>
          <w:szCs w:val="32"/>
          <w:lang w:eastAsia="zh-CN"/>
        </w:rPr>
        <w:t>成品保护</w:t>
      </w:r>
    </w:p>
    <w:p w14:paraId="77717B3D">
      <w:pPr>
        <w:jc w:val="center"/>
        <w:rPr>
          <w:rFonts w:eastAsiaTheme="minorEastAsia"/>
          <w:color w:val="FF0000"/>
          <w:lang w:eastAsia="zh-CN"/>
        </w:rPr>
      </w:pPr>
      <w:r>
        <w:rPr>
          <w:rFonts w:hint="eastAsia" w:eastAsiaTheme="minorEastAsia"/>
          <w:color w:val="FF0000"/>
          <w:lang w:eastAsia="zh-CN"/>
        </w:rPr>
        <w:t>详见技术标准和要求附件3-成品保护</w:t>
      </w:r>
    </w:p>
    <w:p w14:paraId="5791C4E7">
      <w:pPr>
        <w:pStyle w:val="2"/>
        <w:rPr>
          <w:rFonts w:eastAsiaTheme="minorEastAsia"/>
          <w:color w:val="FF0000"/>
          <w:lang w:eastAsia="zh-CN"/>
        </w:rPr>
      </w:pPr>
    </w:p>
    <w:p w14:paraId="0E3BB880">
      <w:pPr>
        <w:rPr>
          <w:rFonts w:eastAsiaTheme="minorEastAsia"/>
          <w:lang w:eastAsia="zh-CN"/>
        </w:rPr>
      </w:pPr>
    </w:p>
    <w:p w14:paraId="2421AD2A">
      <w:pPr>
        <w:pStyle w:val="2"/>
        <w:rPr>
          <w:rFonts w:eastAsiaTheme="minorEastAsia"/>
          <w:lang w:eastAsia="zh-CN"/>
        </w:rPr>
      </w:pPr>
    </w:p>
    <w:p w14:paraId="3AFCF39C">
      <w:pPr>
        <w:rPr>
          <w:rFonts w:eastAsiaTheme="minorEastAsia"/>
          <w:lang w:eastAsia="zh-CN"/>
        </w:rPr>
      </w:pPr>
    </w:p>
    <w:p w14:paraId="151A68DD">
      <w:pPr>
        <w:pStyle w:val="2"/>
        <w:rPr>
          <w:rFonts w:eastAsiaTheme="minorEastAsia"/>
          <w:lang w:eastAsia="zh-CN"/>
        </w:rPr>
      </w:pPr>
    </w:p>
    <w:p w14:paraId="31359AD0">
      <w:pPr>
        <w:rPr>
          <w:rFonts w:eastAsiaTheme="minorEastAsia"/>
          <w:lang w:eastAsia="zh-CN"/>
        </w:rPr>
      </w:pPr>
    </w:p>
    <w:p w14:paraId="7080DDB3">
      <w:pPr>
        <w:pStyle w:val="2"/>
        <w:rPr>
          <w:rFonts w:eastAsiaTheme="minorEastAsia"/>
          <w:lang w:eastAsia="zh-CN"/>
        </w:rPr>
      </w:pPr>
    </w:p>
    <w:p w14:paraId="1AC60874">
      <w:pPr>
        <w:rPr>
          <w:rFonts w:eastAsiaTheme="minorEastAsia"/>
          <w:lang w:eastAsia="zh-CN"/>
        </w:rPr>
      </w:pPr>
    </w:p>
    <w:p w14:paraId="3A3EF753">
      <w:pPr>
        <w:pStyle w:val="2"/>
        <w:rPr>
          <w:rFonts w:eastAsiaTheme="minorEastAsia"/>
          <w:lang w:eastAsia="zh-CN"/>
        </w:rPr>
      </w:pPr>
    </w:p>
    <w:p w14:paraId="1CA2F2F0">
      <w:pPr>
        <w:rPr>
          <w:rFonts w:eastAsiaTheme="minorEastAsia"/>
          <w:lang w:eastAsia="zh-CN"/>
        </w:rPr>
      </w:pPr>
    </w:p>
    <w:p w14:paraId="324E951D">
      <w:pPr>
        <w:pStyle w:val="2"/>
        <w:rPr>
          <w:rFonts w:eastAsiaTheme="minorEastAsia"/>
          <w:lang w:eastAsia="zh-CN"/>
        </w:rPr>
      </w:pPr>
    </w:p>
    <w:p w14:paraId="0BBB4EA8">
      <w:pPr>
        <w:rPr>
          <w:rFonts w:eastAsiaTheme="minorEastAsia"/>
          <w:lang w:eastAsia="zh-CN"/>
        </w:rPr>
      </w:pPr>
    </w:p>
    <w:p w14:paraId="2BC543B2">
      <w:pPr>
        <w:pStyle w:val="2"/>
        <w:rPr>
          <w:rFonts w:eastAsiaTheme="minorEastAsia"/>
          <w:lang w:eastAsia="zh-CN"/>
        </w:rPr>
      </w:pPr>
    </w:p>
    <w:p w14:paraId="49C2D423">
      <w:pPr>
        <w:rPr>
          <w:rFonts w:eastAsiaTheme="minorEastAsia"/>
          <w:lang w:eastAsia="zh-CN"/>
        </w:rPr>
      </w:pPr>
    </w:p>
    <w:p w14:paraId="52511FB3">
      <w:pPr>
        <w:pStyle w:val="2"/>
        <w:rPr>
          <w:rFonts w:eastAsiaTheme="minorEastAsia"/>
          <w:lang w:eastAsia="zh-CN"/>
        </w:rPr>
      </w:pPr>
    </w:p>
    <w:p w14:paraId="0D39FFD4">
      <w:pPr>
        <w:rPr>
          <w:rFonts w:eastAsiaTheme="minorEastAsia"/>
          <w:lang w:eastAsia="zh-CN"/>
        </w:rPr>
      </w:pPr>
    </w:p>
    <w:p w14:paraId="05182DC7">
      <w:pPr>
        <w:pStyle w:val="2"/>
        <w:rPr>
          <w:rFonts w:eastAsiaTheme="minorEastAsia"/>
          <w:lang w:eastAsia="zh-CN"/>
        </w:rPr>
      </w:pPr>
    </w:p>
    <w:p w14:paraId="0BA0E2E5">
      <w:pPr>
        <w:rPr>
          <w:rFonts w:eastAsiaTheme="minorEastAsia"/>
          <w:lang w:eastAsia="zh-CN"/>
        </w:rPr>
      </w:pPr>
    </w:p>
    <w:p w14:paraId="362D1620">
      <w:pPr>
        <w:pStyle w:val="2"/>
        <w:rPr>
          <w:rFonts w:eastAsiaTheme="minorEastAsia"/>
          <w:lang w:eastAsia="zh-CN"/>
        </w:rPr>
      </w:pPr>
    </w:p>
    <w:p w14:paraId="7AB6A688">
      <w:pPr>
        <w:rPr>
          <w:rFonts w:eastAsiaTheme="minorEastAsia"/>
          <w:lang w:eastAsia="zh-CN"/>
        </w:rPr>
      </w:pPr>
    </w:p>
    <w:p w14:paraId="4C1FB899">
      <w:pPr>
        <w:pStyle w:val="2"/>
        <w:rPr>
          <w:rFonts w:eastAsiaTheme="minorEastAsia"/>
          <w:lang w:eastAsia="zh-CN"/>
        </w:rPr>
      </w:pPr>
    </w:p>
    <w:p w14:paraId="77F9B5E5">
      <w:pPr>
        <w:rPr>
          <w:rFonts w:eastAsiaTheme="minorEastAsia"/>
          <w:lang w:eastAsia="zh-CN"/>
        </w:rPr>
      </w:pPr>
    </w:p>
    <w:p w14:paraId="41C41D1C">
      <w:pPr>
        <w:rPr>
          <w:rFonts w:ascii="Times New Roman" w:hAnsi="Calibri" w:eastAsia="黑体"/>
          <w:bCs/>
          <w:sz w:val="32"/>
          <w:szCs w:val="32"/>
          <w:lang w:eastAsia="zh-CN"/>
        </w:rPr>
      </w:pPr>
      <w:r>
        <w:rPr>
          <w:rFonts w:hint="eastAsia" w:ascii="Times New Roman" w:hAnsi="Calibri" w:eastAsia="黑体"/>
          <w:bCs/>
          <w:sz w:val="32"/>
          <w:szCs w:val="32"/>
          <w:lang w:eastAsia="zh-CN"/>
        </w:rPr>
        <w:tab/>
      </w:r>
      <w:r>
        <w:rPr>
          <w:rFonts w:hint="eastAsia" w:ascii="Times New Roman" w:hAnsi="Calibri" w:eastAsia="黑体"/>
          <w:bCs/>
          <w:sz w:val="32"/>
          <w:szCs w:val="32"/>
          <w:lang w:eastAsia="zh-CN"/>
        </w:rPr>
        <w:t xml:space="preserve">                  合同附件1-10</w:t>
      </w:r>
    </w:p>
    <w:sectPr>
      <w:pgSz w:w="11905" w:h="16838"/>
      <w:pgMar w:top="2098" w:right="1531" w:bottom="2098" w:left="1531" w:header="851" w:footer="454" w:gutter="0"/>
      <w:cols w:space="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E210D4E-CD8C-4C9C-964D-11BC0F8C78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060DE91-F73F-40D0-9026-06F5365A87D7}"/>
  </w:font>
  <w:font w:name="MingLiU">
    <w:panose1 w:val="02020509000000000000"/>
    <w:charset w:val="88"/>
    <w:family w:val="modern"/>
    <w:pitch w:val="default"/>
    <w:sig w:usb0="A00002FF" w:usb1="28CFFCFA" w:usb2="00000016" w:usb3="00000000" w:csb0="00100001" w:csb1="00000000"/>
    <w:embedRegular r:id="rId3" w:fontKey="{15982DAE-97AC-487F-8D45-0D881D6D1044}"/>
  </w:font>
  <w:font w:name="仿宋_GB2312">
    <w:panose1 w:val="02010609030101010101"/>
    <w:charset w:val="86"/>
    <w:family w:val="modern"/>
    <w:pitch w:val="default"/>
    <w:sig w:usb0="00000001" w:usb1="080E0000" w:usb2="00000000" w:usb3="00000000" w:csb0="00040000" w:csb1="00000000"/>
    <w:embedRegular r:id="rId4" w:fontKey="{85B5B13D-FA37-4D7D-A24A-787F92989847}"/>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1E22D0B7-CF29-4308-A278-D1B729D86933}"/>
  </w:font>
  <w:font w:name="方正小标宋简体">
    <w:panose1 w:val="03000509000000000000"/>
    <w:charset w:val="86"/>
    <w:family w:val="auto"/>
    <w:pitch w:val="default"/>
    <w:sig w:usb0="00000001" w:usb1="080E0000" w:usb2="00000000" w:usb3="00000000" w:csb0="00040000" w:csb1="00000000"/>
    <w:embedRegular r:id="rId6" w:fontKey="{FBEBCAFB-DCB5-4E10-A1E0-FA0AAB9E82B7}"/>
  </w:font>
  <w:font w:name="仿宋">
    <w:panose1 w:val="02010609060101010101"/>
    <w:charset w:val="86"/>
    <w:family w:val="modern"/>
    <w:pitch w:val="default"/>
    <w:sig w:usb0="800002BF" w:usb1="38CF7CFA" w:usb2="00000016" w:usb3="00000000" w:csb0="00040001" w:csb1="00000000"/>
    <w:embedRegular r:id="rId7" w:fontKey="{7D985BB5-E16D-4151-BF7C-69FA2982E03C}"/>
  </w:font>
  <w:font w:name="PMingLiU">
    <w:altName w:val="Microsoft JhengHei UI"/>
    <w:panose1 w:val="02010601000101010101"/>
    <w:charset w:val="88"/>
    <w:family w:val="roman"/>
    <w:pitch w:val="default"/>
    <w:sig w:usb0="00000000" w:usb1="00000000" w:usb2="00000016" w:usb3="00000000" w:csb0="00100001" w:csb1="00000000"/>
    <w:embedRegular r:id="rId8" w:fontKey="{50B33EDD-80FC-4D28-B640-19EC24658923}"/>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9114790"/>
    </w:sdtPr>
    <w:sdtEndPr>
      <w:rPr>
        <w:rFonts w:asciiTheme="minorEastAsia" w:hAnsiTheme="minorEastAsia" w:eastAsiaTheme="minorEastAsia"/>
      </w:rPr>
    </w:sdtEndPr>
    <w:sdtContent>
      <w:p w14:paraId="38D14B09">
        <w:pPr>
          <w:pStyle w:val="13"/>
          <w:jc w:val="center"/>
          <w:rPr>
            <w:rFonts w:hint="eastAsia"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PAGE   \* MERGEFORMAT</w:instrText>
        </w:r>
        <w:r>
          <w:rPr>
            <w:rFonts w:asciiTheme="minorEastAsia" w:hAnsiTheme="minorEastAsia" w:eastAsiaTheme="minorEastAsia"/>
          </w:rPr>
          <w:fldChar w:fldCharType="separate"/>
        </w:r>
        <w:r>
          <w:rPr>
            <w:rFonts w:asciiTheme="minorEastAsia" w:hAnsiTheme="minorEastAsia" w:eastAsiaTheme="minorEastAsia"/>
            <w:lang w:val="zh-CN" w:eastAsia="zh-CN"/>
          </w:rPr>
          <w:t>1</w:t>
        </w:r>
        <w:r>
          <w:rPr>
            <w:rFonts w:asciiTheme="minorEastAsia" w:hAnsiTheme="minorEastAsia" w:eastAsiaTheme="minorEastAsia"/>
          </w:rPr>
          <w:fldChar w:fldCharType="end"/>
        </w:r>
      </w:p>
    </w:sdtContent>
  </w:sdt>
  <w:p w14:paraId="5038596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D1BCA">
    <w:pPr>
      <w:pStyle w:val="13"/>
      <w:jc w:val="center"/>
      <w:rPr>
        <w:sz w:val="20"/>
      </w:rPr>
    </w:pPr>
    <w:r>
      <w:rPr>
        <w:sz w:val="20"/>
        <w:lang w:eastAsia="zh-CN"/>
      </w:rPr>
      <mc:AlternateContent>
        <mc:Choice Requires="wps">
          <w:drawing>
            <wp:anchor distT="0" distB="0" distL="114300" distR="114300" simplePos="0" relativeHeight="251659264" behindDoc="0" locked="0" layoutInCell="1" allowOverlap="1">
              <wp:simplePos x="0" y="0"/>
              <wp:positionH relativeFrom="margin">
                <wp:posOffset>2700655</wp:posOffset>
              </wp:positionH>
              <wp:positionV relativeFrom="paragraph">
                <wp:posOffset>-754380</wp:posOffset>
              </wp:positionV>
              <wp:extent cx="556260" cy="304800"/>
              <wp:effectExtent l="0" t="0" r="0" b="0"/>
              <wp:wrapNone/>
              <wp:docPr id="1" name="文本框 20"/>
              <wp:cNvGraphicFramePr/>
              <a:graphic xmlns:a="http://schemas.openxmlformats.org/drawingml/2006/main">
                <a:graphicData uri="http://schemas.microsoft.com/office/word/2010/wordprocessingShape">
                  <wps:wsp>
                    <wps:cNvSpPr txBox="1"/>
                    <wps:spPr>
                      <a:xfrm>
                        <a:off x="0" y="0"/>
                        <a:ext cx="556260" cy="304800"/>
                      </a:xfrm>
                      <a:prstGeom prst="rect">
                        <a:avLst/>
                      </a:prstGeom>
                      <a:noFill/>
                      <a:ln w="6350">
                        <a:noFill/>
                      </a:ln>
                      <a:effectLst/>
                    </wps:spPr>
                    <wps:txbx>
                      <w:txbxContent>
                        <w:p w14:paraId="11752A12">
                          <w:pPr>
                            <w:pStyle w:val="13"/>
                            <w:rPr>
                              <w:rFonts w:ascii="Times New Roman" w:eastAsiaTheme="minorEastAsia"/>
                              <w:spacing w:val="0"/>
                              <w:sz w:val="24"/>
                              <w:szCs w:val="24"/>
                              <w:lang w:eastAsia="zh-CN"/>
                            </w:rPr>
                          </w:pPr>
                          <w:r>
                            <w:rPr>
                              <w:rFonts w:ascii="Times New Roman" w:eastAsiaTheme="minorEastAsia"/>
                              <w:spacing w:val="0"/>
                              <w:sz w:val="24"/>
                              <w:szCs w:val="24"/>
                              <w:lang w:eastAsia="zh-CN"/>
                            </w:rPr>
                            <w:fldChar w:fldCharType="begin"/>
                          </w:r>
                          <w:r>
                            <w:rPr>
                              <w:rFonts w:ascii="Times New Roman" w:eastAsiaTheme="minorEastAsia"/>
                              <w:spacing w:val="0"/>
                              <w:sz w:val="24"/>
                              <w:szCs w:val="24"/>
                              <w:lang w:eastAsia="zh-CN"/>
                            </w:rPr>
                            <w:instrText xml:space="preserve"> PAGE  \* MERGEFORMAT </w:instrText>
                          </w:r>
                          <w:r>
                            <w:rPr>
                              <w:rFonts w:ascii="Times New Roman" w:eastAsiaTheme="minorEastAsia"/>
                              <w:spacing w:val="0"/>
                              <w:sz w:val="24"/>
                              <w:szCs w:val="24"/>
                              <w:lang w:eastAsia="zh-CN"/>
                            </w:rPr>
                            <w:fldChar w:fldCharType="separate"/>
                          </w:r>
                          <w:r>
                            <w:rPr>
                              <w:rFonts w:ascii="Times New Roman" w:eastAsiaTheme="minorEastAsia"/>
                              <w:spacing w:val="0"/>
                              <w:sz w:val="24"/>
                              <w:szCs w:val="24"/>
                              <w:lang w:eastAsia="zh-CN"/>
                            </w:rPr>
                            <w:t>6</w:t>
                          </w:r>
                          <w:r>
                            <w:rPr>
                              <w:rFonts w:ascii="Times New Roman" w:eastAsiaTheme="minorEastAsia"/>
                              <w:spacing w:val="0"/>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0" o:spid="_x0000_s1026" o:spt="202" type="#_x0000_t202" style="position:absolute;left:0pt;margin-left:212.65pt;margin-top:-59.4pt;height:24pt;width:43.8pt;mso-position-horizontal-relative:margin;z-index:251659264;mso-width-relative:page;mso-height-relative:page;" filled="f" stroked="f" coordsize="21600,21600" o:gfxdata="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gxCG/aAAAADAEAAA8AAAAAAAAAAQAgAAAAIgAAAGRycy9kb3du&#10;cmV2LnhtbFBLAQIUABQAAAAIAIdO4kByUvBoNgIAAGQEAAAOAAAAAAAAAAEAIAAAACkBAABkcnMv&#10;ZTJvRG9jLnhtbFBLBQYAAAAABgAGAFkBAADRBQAAAAA=&#10;">
              <v:fill on="f" focussize="0,0"/>
              <v:stroke on="f" weight="0.5pt"/>
              <v:imagedata o:title=""/>
              <o:lock v:ext="edit" aspectratio="f"/>
              <v:textbox inset="0mm,0mm,0mm,0mm">
                <w:txbxContent>
                  <w:p w14:paraId="11752A12">
                    <w:pPr>
                      <w:pStyle w:val="13"/>
                      <w:rPr>
                        <w:rFonts w:ascii="Times New Roman" w:eastAsiaTheme="minorEastAsia"/>
                        <w:spacing w:val="0"/>
                        <w:sz w:val="24"/>
                        <w:szCs w:val="24"/>
                        <w:lang w:eastAsia="zh-CN"/>
                      </w:rPr>
                    </w:pPr>
                    <w:r>
                      <w:rPr>
                        <w:rFonts w:ascii="Times New Roman" w:eastAsiaTheme="minorEastAsia"/>
                        <w:spacing w:val="0"/>
                        <w:sz w:val="24"/>
                        <w:szCs w:val="24"/>
                        <w:lang w:eastAsia="zh-CN"/>
                      </w:rPr>
                      <w:fldChar w:fldCharType="begin"/>
                    </w:r>
                    <w:r>
                      <w:rPr>
                        <w:rFonts w:ascii="Times New Roman" w:eastAsiaTheme="minorEastAsia"/>
                        <w:spacing w:val="0"/>
                        <w:sz w:val="24"/>
                        <w:szCs w:val="24"/>
                        <w:lang w:eastAsia="zh-CN"/>
                      </w:rPr>
                      <w:instrText xml:space="preserve"> PAGE  \* MERGEFORMAT </w:instrText>
                    </w:r>
                    <w:r>
                      <w:rPr>
                        <w:rFonts w:ascii="Times New Roman" w:eastAsiaTheme="minorEastAsia"/>
                        <w:spacing w:val="0"/>
                        <w:sz w:val="24"/>
                        <w:szCs w:val="24"/>
                        <w:lang w:eastAsia="zh-CN"/>
                      </w:rPr>
                      <w:fldChar w:fldCharType="separate"/>
                    </w:r>
                    <w:r>
                      <w:rPr>
                        <w:rFonts w:ascii="Times New Roman" w:eastAsiaTheme="minorEastAsia"/>
                        <w:spacing w:val="0"/>
                        <w:sz w:val="24"/>
                        <w:szCs w:val="24"/>
                        <w:lang w:eastAsia="zh-CN"/>
                      </w:rPr>
                      <w:t>6</w:t>
                    </w:r>
                    <w:r>
                      <w:rPr>
                        <w:rFonts w:ascii="Times New Roman" w:eastAsiaTheme="minorEastAsia"/>
                        <w:spacing w:val="0"/>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FF98D">
    <w:pPr>
      <w:pStyle w:val="14"/>
      <w:pBdr>
        <w:bottom w:val="single" w:color="auto" w:sz="4" w:space="1"/>
      </w:pBdr>
      <w:ind w:right="400"/>
      <w:jc w:val="right"/>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0" distR="0">
          <wp:extent cx="1028700" cy="35941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
                  <a:srcRect/>
                  <a:stretch>
                    <a:fillRect/>
                  </a:stretch>
                </pic:blipFill>
                <pic:spPr>
                  <a:xfrm>
                    <a:off x="0" y="0"/>
                    <a:ext cx="1029136" cy="360000"/>
                  </a:xfrm>
                  <a:prstGeom prst="rect">
                    <a:avLst/>
                  </a:prstGeom>
                  <a:noFill/>
                  <a:ln w="9525">
                    <a:noFill/>
                    <a:miter lim="800000"/>
                    <a:headEnd/>
                    <a:tailEnd/>
                  </a:ln>
                </pic:spPr>
              </pic:pic>
            </a:graphicData>
          </a:graphic>
        </wp:inline>
      </w:drawing>
    </w:r>
    <w:r>
      <w:rPr>
        <w:rFonts w:hint="eastAsia" w:asciiTheme="minorEastAsia" w:hAnsiTheme="minorEastAsia" w:eastAsiaTheme="minorEastAsia"/>
        <w:lang w:eastAsia="zh-CN"/>
      </w:rPr>
      <w:t xml:space="preserve">            融寓广州体育西店项目装修改造总承包工程合同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450F1">
    <w:pPr>
      <w:pStyle w:val="14"/>
      <w:tabs>
        <w:tab w:val="center" w:pos="4153"/>
        <w:tab w:val="right" w:pos="8931"/>
        <w:tab w:val="clear" w:pos="4147"/>
        <w:tab w:val="clear" w:pos="8309"/>
      </w:tabs>
      <w:jc w:val="both"/>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314EEF"/>
    <w:multiLevelType w:val="multilevel"/>
    <w:tmpl w:val="F1314EEF"/>
    <w:lvl w:ilvl="0" w:tentative="0">
      <w:start w:val="2"/>
      <w:numFmt w:val="decimal"/>
      <w:lvlText w:val="%1 "/>
      <w:lvlJc w:val="left"/>
      <w:pPr>
        <w:ind w:left="567" w:hanging="425"/>
      </w:pPr>
      <w:rPr>
        <w:rFonts w:hint="default" w:ascii="Arial" w:hAnsi="Arial" w:cs="Times New Roman"/>
      </w:rPr>
    </w:lvl>
    <w:lvl w:ilvl="1" w:tentative="0">
      <w:start w:val="1"/>
      <w:numFmt w:val="decimal"/>
      <w:lvlText w:val="%1.%2 "/>
      <w:lvlJc w:val="left"/>
      <w:pPr>
        <w:ind w:left="993" w:hanging="567"/>
      </w:pPr>
      <w:rPr>
        <w:rFonts w:hint="default" w:ascii="Arial" w:hAnsi="Arial" w:cs="Times New Roman"/>
        <w:b/>
        <w:sz w:val="30"/>
        <w:szCs w:val="30"/>
      </w:rPr>
    </w:lvl>
    <w:lvl w:ilvl="2" w:tentative="0">
      <w:start w:val="1"/>
      <w:numFmt w:val="decimal"/>
      <w:lvlText w:val="%1.%2.%3 "/>
      <w:lvlJc w:val="left"/>
      <w:pPr>
        <w:ind w:left="826" w:hanging="400"/>
      </w:pPr>
      <w:rPr>
        <w:rFonts w:hint="default" w:ascii="Arial" w:hAnsi="Arial" w:cs="Times New Roman"/>
        <w:b w:val="0"/>
      </w:rPr>
    </w:lvl>
    <w:lvl w:ilvl="3" w:tentative="0">
      <w:start w:val="1"/>
      <w:numFmt w:val="decimal"/>
      <w:lvlText w:val="%1.%2.%3.%4 "/>
      <w:lvlJc w:val="left"/>
      <w:pPr>
        <w:ind w:left="4679" w:hanging="851"/>
      </w:pPr>
      <w:rPr>
        <w:rFonts w:hint="default" w:ascii="Arial" w:hAnsi="Arial" w:cs="Times New Roman"/>
        <w:sz w:val="24"/>
        <w:szCs w:val="24"/>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0E4A68E5"/>
    <w:multiLevelType w:val="multilevel"/>
    <w:tmpl w:val="0E4A68E5"/>
    <w:lvl w:ilvl="0" w:tentative="0">
      <w:start w:val="16"/>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2">
    <w:nsid w:val="11C6156A"/>
    <w:multiLevelType w:val="multilevel"/>
    <w:tmpl w:val="11C6156A"/>
    <w:lvl w:ilvl="0" w:tentative="0">
      <w:start w:val="4"/>
      <w:numFmt w:val="decimal"/>
      <w:lvlText w:val="%1"/>
      <w:lvlJc w:val="left"/>
      <w:pPr>
        <w:ind w:left="492" w:hanging="492"/>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3">
    <w:nsid w:val="162E0B33"/>
    <w:multiLevelType w:val="multilevel"/>
    <w:tmpl w:val="162E0B33"/>
    <w:lvl w:ilvl="0" w:tentative="0">
      <w:start w:val="12"/>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4">
    <w:nsid w:val="1E171D50"/>
    <w:multiLevelType w:val="multilevel"/>
    <w:tmpl w:val="1E171D50"/>
    <w:lvl w:ilvl="0" w:tentative="0">
      <w:start w:val="9"/>
      <w:numFmt w:val="decimal"/>
      <w:lvlText w:val="%1"/>
      <w:lvlJc w:val="left"/>
      <w:pPr>
        <w:ind w:left="492" w:hanging="492"/>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5">
    <w:nsid w:val="20A3496F"/>
    <w:multiLevelType w:val="multilevel"/>
    <w:tmpl w:val="20A3496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
      <w:lvlJc w:val="left"/>
      <w:pPr>
        <w:ind w:left="709" w:hanging="709"/>
      </w:pPr>
      <w:rPr>
        <w:rFonts w:hint="default" w:ascii="Arial" w:hAnsi="Arial" w:cs="Times New Roman"/>
      </w:rPr>
    </w:lvl>
    <w:lvl w:ilvl="3" w:tentative="0">
      <w:start w:val="1"/>
      <w:numFmt w:val="decimal"/>
      <w:lvlText w:val="%1.%2.%3.%4 "/>
      <w:lvlJc w:val="left"/>
      <w:pPr>
        <w:ind w:left="1702" w:hanging="851"/>
      </w:pPr>
      <w:rPr>
        <w:rFonts w:hint="default" w:ascii="Arial" w:hAnsi="Arial" w:cs="Times New Roman"/>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24B86F1D"/>
    <w:multiLevelType w:val="multilevel"/>
    <w:tmpl w:val="24B86F1D"/>
    <w:lvl w:ilvl="0" w:tentative="0">
      <w:start w:val="17"/>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7">
    <w:nsid w:val="29AC778C"/>
    <w:multiLevelType w:val="multilevel"/>
    <w:tmpl w:val="29AC778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2DC5C54"/>
    <w:multiLevelType w:val="multilevel"/>
    <w:tmpl w:val="32DC5C54"/>
    <w:lvl w:ilvl="0" w:tentative="0">
      <w:start w:val="6"/>
      <w:numFmt w:val="decimal"/>
      <w:lvlText w:val="%1"/>
      <w:lvlJc w:val="left"/>
      <w:pPr>
        <w:ind w:left="492" w:hanging="492"/>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9">
    <w:nsid w:val="334E760C"/>
    <w:multiLevelType w:val="multilevel"/>
    <w:tmpl w:val="334E760C"/>
    <w:lvl w:ilvl="0" w:tentative="0">
      <w:start w:val="11"/>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10">
    <w:nsid w:val="42EA4C65"/>
    <w:multiLevelType w:val="multilevel"/>
    <w:tmpl w:val="42EA4C65"/>
    <w:lvl w:ilvl="0" w:tentative="0">
      <w:start w:val="3"/>
      <w:numFmt w:val="decimal"/>
      <w:lvlText w:val="%1"/>
      <w:lvlJc w:val="left"/>
      <w:pPr>
        <w:ind w:left="492" w:hanging="492"/>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11">
    <w:nsid w:val="4C5175C8"/>
    <w:multiLevelType w:val="multilevel"/>
    <w:tmpl w:val="4C5175C8"/>
    <w:lvl w:ilvl="0" w:tentative="0">
      <w:start w:val="1"/>
      <w:numFmt w:val="decimal"/>
      <w:lvlText w:val="%1 "/>
      <w:lvlJc w:val="left"/>
      <w:pPr>
        <w:ind w:left="567" w:hanging="425"/>
      </w:pPr>
      <w:rPr>
        <w:rFonts w:hint="default" w:ascii="Arial" w:hAnsi="Arial" w:cs="Times New Roman"/>
      </w:rPr>
    </w:lvl>
    <w:lvl w:ilvl="1" w:tentative="0">
      <w:start w:val="1"/>
      <w:numFmt w:val="decimal"/>
      <w:lvlText w:val="%1.%2 "/>
      <w:lvlJc w:val="left"/>
      <w:pPr>
        <w:ind w:left="993" w:hanging="567"/>
      </w:pPr>
      <w:rPr>
        <w:rFonts w:hint="default" w:ascii="仿宋" w:hAnsi="仿宋" w:eastAsia="仿宋" w:cs="Times New Roman"/>
        <w:b/>
        <w:sz w:val="30"/>
        <w:szCs w:val="30"/>
      </w:rPr>
    </w:lvl>
    <w:lvl w:ilvl="2" w:tentative="0">
      <w:start w:val="1"/>
      <w:numFmt w:val="decimal"/>
      <w:lvlText w:val="%1.%2.%3 "/>
      <w:lvlJc w:val="left"/>
      <w:pPr>
        <w:ind w:left="826" w:hanging="400"/>
      </w:pPr>
      <w:rPr>
        <w:rFonts w:hint="default" w:ascii="Arial" w:hAnsi="Arial" w:cs="Times New Roman"/>
        <w:b w:val="0"/>
      </w:rPr>
    </w:lvl>
    <w:lvl w:ilvl="3" w:tentative="0">
      <w:start w:val="1"/>
      <w:numFmt w:val="decimal"/>
      <w:lvlText w:val="%1.%2.%3.%4 "/>
      <w:lvlJc w:val="left"/>
      <w:pPr>
        <w:ind w:left="4679" w:hanging="851"/>
      </w:pPr>
      <w:rPr>
        <w:rFonts w:hint="default" w:ascii="Arial" w:hAnsi="Arial" w:cs="Times New Roman"/>
        <w:sz w:val="24"/>
        <w:szCs w:val="24"/>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
    <w:nsid w:val="4E1A01A1"/>
    <w:multiLevelType w:val="multilevel"/>
    <w:tmpl w:val="4E1A01A1"/>
    <w:lvl w:ilvl="0" w:tentative="0">
      <w:start w:val="1"/>
      <w:numFmt w:val="lowerRoman"/>
      <w:lvlText w:val="（%1）"/>
      <w:lvlJc w:val="left"/>
      <w:pPr>
        <w:ind w:left="2263" w:hanging="420"/>
      </w:pPr>
      <w:rPr>
        <w:rFonts w:hint="eastAsia"/>
      </w:rPr>
    </w:lvl>
    <w:lvl w:ilvl="1" w:tentative="0">
      <w:start w:val="1"/>
      <w:numFmt w:val="lowerRoman"/>
      <w:lvlText w:val="（%2）"/>
      <w:lvlJc w:val="left"/>
      <w:pPr>
        <w:ind w:left="2683" w:hanging="420"/>
      </w:pPr>
      <w:rPr>
        <w:rFonts w:hint="eastAsia"/>
      </w:rPr>
    </w:lvl>
    <w:lvl w:ilvl="2" w:tentative="0">
      <w:start w:val="1"/>
      <w:numFmt w:val="decimalEnclosedCircle"/>
      <w:lvlText w:val="%3"/>
      <w:lvlJc w:val="left"/>
      <w:pPr>
        <w:ind w:left="3414" w:hanging="720"/>
      </w:pPr>
      <w:rPr>
        <w:rFonts w:ascii="宋体" w:hAnsi="宋体" w:eastAsia="宋体" w:cs="宋体"/>
      </w:r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3">
    <w:nsid w:val="54131722"/>
    <w:multiLevelType w:val="multilevel"/>
    <w:tmpl w:val="54131722"/>
    <w:lvl w:ilvl="0" w:tentative="0">
      <w:start w:val="18"/>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14">
    <w:nsid w:val="55427CAA"/>
    <w:multiLevelType w:val="multilevel"/>
    <w:tmpl w:val="55427CAA"/>
    <w:lvl w:ilvl="0" w:tentative="0">
      <w:start w:val="15"/>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15">
    <w:nsid w:val="557AAB7D"/>
    <w:multiLevelType w:val="singleLevel"/>
    <w:tmpl w:val="557AAB7D"/>
    <w:lvl w:ilvl="0" w:tentative="0">
      <w:start w:val="1"/>
      <w:numFmt w:val="decimal"/>
      <w:lvlText w:val="(%1)"/>
      <w:lvlJc w:val="left"/>
      <w:pPr>
        <w:tabs>
          <w:tab w:val="left" w:pos="425"/>
        </w:tabs>
        <w:ind w:left="425" w:hanging="425"/>
      </w:pPr>
      <w:rPr>
        <w:rFonts w:hint="default"/>
      </w:rPr>
    </w:lvl>
  </w:abstractNum>
  <w:abstractNum w:abstractNumId="16">
    <w:nsid w:val="570E7099"/>
    <w:multiLevelType w:val="multilevel"/>
    <w:tmpl w:val="570E7099"/>
    <w:lvl w:ilvl="0" w:tentative="0">
      <w:start w:val="7"/>
      <w:numFmt w:val="decimal"/>
      <w:lvlText w:val="%1"/>
      <w:lvlJc w:val="left"/>
      <w:pPr>
        <w:ind w:left="492" w:hanging="492"/>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17">
    <w:nsid w:val="59B94F30"/>
    <w:multiLevelType w:val="multilevel"/>
    <w:tmpl w:val="59B94F30"/>
    <w:lvl w:ilvl="0" w:tentative="0">
      <w:start w:val="1"/>
      <w:numFmt w:val="lowerLetter"/>
      <w:lvlText w:val="%1）"/>
      <w:lvlJc w:val="left"/>
      <w:pPr>
        <w:ind w:left="420" w:hanging="420"/>
      </w:pPr>
      <w:rPr>
        <w:rFonts w:hint="default" w:hAnsi="宋体"/>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B965947"/>
    <w:multiLevelType w:val="multilevel"/>
    <w:tmpl w:val="5B965947"/>
    <w:lvl w:ilvl="0" w:tentative="0">
      <w:start w:val="10"/>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19">
    <w:nsid w:val="5D833FA5"/>
    <w:multiLevelType w:val="multilevel"/>
    <w:tmpl w:val="5D833FA5"/>
    <w:lvl w:ilvl="0" w:tentative="0">
      <w:start w:val="5"/>
      <w:numFmt w:val="decimal"/>
      <w:lvlText w:val="%1"/>
      <w:lvlJc w:val="left"/>
      <w:pPr>
        <w:ind w:left="492" w:hanging="492"/>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20">
    <w:nsid w:val="5FAC0B78"/>
    <w:multiLevelType w:val="multilevel"/>
    <w:tmpl w:val="5FAC0B78"/>
    <w:lvl w:ilvl="0" w:tentative="0">
      <w:start w:val="8"/>
      <w:numFmt w:val="decimal"/>
      <w:lvlText w:val="%1"/>
      <w:lvlJc w:val="left"/>
      <w:pPr>
        <w:ind w:left="492" w:hanging="492"/>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21">
    <w:nsid w:val="5FE46FB6"/>
    <w:multiLevelType w:val="multilevel"/>
    <w:tmpl w:val="5FE46FB6"/>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
      <w:lvlJc w:val="left"/>
      <w:pPr>
        <w:ind w:left="851" w:hanging="851"/>
      </w:pPr>
      <w:rPr>
        <w:rFonts w:hint="default" w:ascii="Arial" w:hAnsi="Arial" w:cs="Times New Roman"/>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71DF392E"/>
    <w:multiLevelType w:val="multilevel"/>
    <w:tmpl w:val="71DF392E"/>
    <w:lvl w:ilvl="0" w:tentative="0">
      <w:start w:val="19"/>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23">
    <w:nsid w:val="7A420659"/>
    <w:multiLevelType w:val="multilevel"/>
    <w:tmpl w:val="7A420659"/>
    <w:lvl w:ilvl="0" w:tentative="0">
      <w:start w:val="14"/>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24">
    <w:nsid w:val="7A9C10D9"/>
    <w:multiLevelType w:val="multilevel"/>
    <w:tmpl w:val="7A9C10D9"/>
    <w:lvl w:ilvl="0" w:tentative="0">
      <w:start w:val="13"/>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abstractNum w:abstractNumId="25">
    <w:nsid w:val="7FD575FD"/>
    <w:multiLevelType w:val="multilevel"/>
    <w:tmpl w:val="7FD575FD"/>
    <w:lvl w:ilvl="0" w:tentative="0">
      <w:start w:val="20"/>
      <w:numFmt w:val="decimal"/>
      <w:lvlText w:val="%1"/>
      <w:lvlJc w:val="left"/>
      <w:pPr>
        <w:ind w:left="636" w:hanging="636"/>
      </w:pPr>
      <w:rPr>
        <w:rFonts w:hint="default"/>
      </w:rPr>
    </w:lvl>
    <w:lvl w:ilvl="1" w:tentative="0">
      <w:start w:val="1"/>
      <w:numFmt w:val="decimal"/>
      <w:lvlText w:val="%1.%2"/>
      <w:lvlJc w:val="left"/>
      <w:pPr>
        <w:ind w:left="1146" w:hanging="720"/>
      </w:pPr>
      <w:rPr>
        <w:rFonts w:hint="default"/>
      </w:rPr>
    </w:lvl>
    <w:lvl w:ilvl="2" w:tentative="0">
      <w:start w:val="1"/>
      <w:numFmt w:val="decimal"/>
      <w:lvlText w:val="%1.%2.%3"/>
      <w:lvlJc w:val="left"/>
      <w:pPr>
        <w:ind w:left="1932" w:hanging="1080"/>
      </w:pPr>
      <w:rPr>
        <w:rFonts w:hint="default"/>
      </w:rPr>
    </w:lvl>
    <w:lvl w:ilvl="3" w:tentative="0">
      <w:start w:val="1"/>
      <w:numFmt w:val="decimal"/>
      <w:lvlText w:val="%1.%2.%3.%4"/>
      <w:lvlJc w:val="left"/>
      <w:pPr>
        <w:ind w:left="2358" w:hanging="1080"/>
      </w:pPr>
      <w:rPr>
        <w:rFonts w:hint="default"/>
      </w:rPr>
    </w:lvl>
    <w:lvl w:ilvl="4" w:tentative="0">
      <w:start w:val="1"/>
      <w:numFmt w:val="decimal"/>
      <w:lvlText w:val="%1.%2.%3.%4.%5"/>
      <w:lvlJc w:val="left"/>
      <w:pPr>
        <w:ind w:left="3144" w:hanging="1440"/>
      </w:pPr>
      <w:rPr>
        <w:rFonts w:hint="default"/>
      </w:rPr>
    </w:lvl>
    <w:lvl w:ilvl="5" w:tentative="0">
      <w:start w:val="1"/>
      <w:numFmt w:val="decimal"/>
      <w:lvlText w:val="%1.%2.%3.%4.%5.%6"/>
      <w:lvlJc w:val="left"/>
      <w:pPr>
        <w:ind w:left="3930" w:hanging="1800"/>
      </w:pPr>
      <w:rPr>
        <w:rFonts w:hint="default"/>
      </w:rPr>
    </w:lvl>
    <w:lvl w:ilvl="6" w:tentative="0">
      <w:start w:val="1"/>
      <w:numFmt w:val="decimal"/>
      <w:lvlText w:val="%1.%2.%3.%4.%5.%6.%7"/>
      <w:lvlJc w:val="left"/>
      <w:pPr>
        <w:ind w:left="4716" w:hanging="2160"/>
      </w:pPr>
      <w:rPr>
        <w:rFonts w:hint="default"/>
      </w:rPr>
    </w:lvl>
    <w:lvl w:ilvl="7" w:tentative="0">
      <w:start w:val="1"/>
      <w:numFmt w:val="decimal"/>
      <w:lvlText w:val="%1.%2.%3.%4.%5.%6.%7.%8"/>
      <w:lvlJc w:val="left"/>
      <w:pPr>
        <w:ind w:left="5502" w:hanging="2520"/>
      </w:pPr>
      <w:rPr>
        <w:rFonts w:hint="default"/>
      </w:rPr>
    </w:lvl>
    <w:lvl w:ilvl="8" w:tentative="0">
      <w:start w:val="1"/>
      <w:numFmt w:val="decimal"/>
      <w:lvlText w:val="%1.%2.%3.%4.%5.%6.%7.%8.%9"/>
      <w:lvlJc w:val="left"/>
      <w:pPr>
        <w:ind w:left="6288" w:hanging="2880"/>
      </w:pPr>
      <w:rPr>
        <w:rFonts w:hint="default"/>
      </w:rPr>
    </w:lvl>
  </w:abstractNum>
  <w:num w:numId="1">
    <w:abstractNumId w:val="7"/>
  </w:num>
  <w:num w:numId="2">
    <w:abstractNumId w:val="15"/>
  </w:num>
  <w:num w:numId="3">
    <w:abstractNumId w:val="11"/>
  </w:num>
  <w:num w:numId="4">
    <w:abstractNumId w:val="5"/>
  </w:num>
  <w:num w:numId="5">
    <w:abstractNumId w:val="21"/>
  </w:num>
  <w:num w:numId="6">
    <w:abstractNumId w:val="0"/>
  </w:num>
  <w:num w:numId="7">
    <w:abstractNumId w:val="10"/>
  </w:num>
  <w:num w:numId="8">
    <w:abstractNumId w:val="17"/>
  </w:num>
  <w:num w:numId="9">
    <w:abstractNumId w:val="12"/>
  </w:num>
  <w:num w:numId="10">
    <w:abstractNumId w:val="2"/>
  </w:num>
  <w:num w:numId="11">
    <w:abstractNumId w:val="19"/>
  </w:num>
  <w:num w:numId="12">
    <w:abstractNumId w:val="8"/>
  </w:num>
  <w:num w:numId="13">
    <w:abstractNumId w:val="16"/>
  </w:num>
  <w:num w:numId="14">
    <w:abstractNumId w:val="20"/>
  </w:num>
  <w:num w:numId="15">
    <w:abstractNumId w:val="4"/>
  </w:num>
  <w:num w:numId="16">
    <w:abstractNumId w:val="18"/>
  </w:num>
  <w:num w:numId="17">
    <w:abstractNumId w:val="9"/>
  </w:num>
  <w:num w:numId="18">
    <w:abstractNumId w:val="3"/>
  </w:num>
  <w:num w:numId="19">
    <w:abstractNumId w:val="24"/>
  </w:num>
  <w:num w:numId="20">
    <w:abstractNumId w:val="23"/>
  </w:num>
  <w:num w:numId="21">
    <w:abstractNumId w:val="14"/>
  </w:num>
  <w:num w:numId="22">
    <w:abstractNumId w:val="1"/>
  </w:num>
  <w:num w:numId="23">
    <w:abstractNumId w:val="6"/>
  </w:num>
  <w:num w:numId="24">
    <w:abstractNumId w:val="13"/>
  </w:num>
  <w:num w:numId="25">
    <w:abstractNumId w:val="2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hideGrammaticalErrors/>
  <w:trackRevisions w:val="1"/>
  <w:documentProtection w:edit="readOnly" w:enforcement="0"/>
  <w:defaultTabStop w:val="420"/>
  <w:drawingGridHorizontalSpacing w:val="24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FkZjlmOGEwODdjNDhjZTg4MDkwMDdhMGI5NmMwZTkifQ=="/>
  </w:docVars>
  <w:rsids>
    <w:rsidRoot w:val="004055A2"/>
    <w:rsid w:val="000000A0"/>
    <w:rsid w:val="0000186D"/>
    <w:rsid w:val="000077B8"/>
    <w:rsid w:val="00011D8B"/>
    <w:rsid w:val="000171E4"/>
    <w:rsid w:val="00020131"/>
    <w:rsid w:val="00031CE7"/>
    <w:rsid w:val="000410C8"/>
    <w:rsid w:val="000427C9"/>
    <w:rsid w:val="00044713"/>
    <w:rsid w:val="00045AD7"/>
    <w:rsid w:val="00046A81"/>
    <w:rsid w:val="00051DD3"/>
    <w:rsid w:val="00060F03"/>
    <w:rsid w:val="00062571"/>
    <w:rsid w:val="00064555"/>
    <w:rsid w:val="0006679B"/>
    <w:rsid w:val="0007021E"/>
    <w:rsid w:val="00073323"/>
    <w:rsid w:val="00074EB3"/>
    <w:rsid w:val="00077B02"/>
    <w:rsid w:val="00083C7B"/>
    <w:rsid w:val="0008429F"/>
    <w:rsid w:val="000843A7"/>
    <w:rsid w:val="00086780"/>
    <w:rsid w:val="00087FC8"/>
    <w:rsid w:val="0009077D"/>
    <w:rsid w:val="000937E3"/>
    <w:rsid w:val="000971AF"/>
    <w:rsid w:val="000A28E0"/>
    <w:rsid w:val="000B236C"/>
    <w:rsid w:val="000C30FD"/>
    <w:rsid w:val="000C3E9A"/>
    <w:rsid w:val="000C44C2"/>
    <w:rsid w:val="000D34C8"/>
    <w:rsid w:val="000D73EC"/>
    <w:rsid w:val="000E16B2"/>
    <w:rsid w:val="000E16D6"/>
    <w:rsid w:val="000E1DD4"/>
    <w:rsid w:val="000E26E5"/>
    <w:rsid w:val="000E3EF3"/>
    <w:rsid w:val="000F00C7"/>
    <w:rsid w:val="000F030B"/>
    <w:rsid w:val="000F0403"/>
    <w:rsid w:val="000F3494"/>
    <w:rsid w:val="000F465F"/>
    <w:rsid w:val="000F6419"/>
    <w:rsid w:val="000F7D3C"/>
    <w:rsid w:val="00103280"/>
    <w:rsid w:val="001067DF"/>
    <w:rsid w:val="00110345"/>
    <w:rsid w:val="001219E6"/>
    <w:rsid w:val="00123A18"/>
    <w:rsid w:val="00123D90"/>
    <w:rsid w:val="00132915"/>
    <w:rsid w:val="00135539"/>
    <w:rsid w:val="00135AC9"/>
    <w:rsid w:val="00144A6A"/>
    <w:rsid w:val="00144C8D"/>
    <w:rsid w:val="00145AA8"/>
    <w:rsid w:val="0015313C"/>
    <w:rsid w:val="0015323B"/>
    <w:rsid w:val="00161752"/>
    <w:rsid w:val="00171A88"/>
    <w:rsid w:val="00174648"/>
    <w:rsid w:val="00176901"/>
    <w:rsid w:val="00176FA4"/>
    <w:rsid w:val="00182534"/>
    <w:rsid w:val="00186E60"/>
    <w:rsid w:val="001926FE"/>
    <w:rsid w:val="0019541D"/>
    <w:rsid w:val="001A0B0F"/>
    <w:rsid w:val="001A163E"/>
    <w:rsid w:val="001A364A"/>
    <w:rsid w:val="001B075D"/>
    <w:rsid w:val="001B12A0"/>
    <w:rsid w:val="001B1E72"/>
    <w:rsid w:val="001C7ABB"/>
    <w:rsid w:val="001D0BEA"/>
    <w:rsid w:val="001D0D7B"/>
    <w:rsid w:val="001D1197"/>
    <w:rsid w:val="001D15EB"/>
    <w:rsid w:val="001D2DFC"/>
    <w:rsid w:val="001D5B7A"/>
    <w:rsid w:val="001D74E9"/>
    <w:rsid w:val="001E049F"/>
    <w:rsid w:val="001E20F9"/>
    <w:rsid w:val="001E3ED2"/>
    <w:rsid w:val="001F0EEA"/>
    <w:rsid w:val="001F3FF5"/>
    <w:rsid w:val="002027C9"/>
    <w:rsid w:val="00203C7C"/>
    <w:rsid w:val="002049F8"/>
    <w:rsid w:val="00205242"/>
    <w:rsid w:val="00210129"/>
    <w:rsid w:val="002106F3"/>
    <w:rsid w:val="002108FF"/>
    <w:rsid w:val="00212283"/>
    <w:rsid w:val="00215621"/>
    <w:rsid w:val="00217F3C"/>
    <w:rsid w:val="002237D7"/>
    <w:rsid w:val="00223EC3"/>
    <w:rsid w:val="00226DC9"/>
    <w:rsid w:val="00237FA0"/>
    <w:rsid w:val="0024484C"/>
    <w:rsid w:val="00244CFA"/>
    <w:rsid w:val="002470B2"/>
    <w:rsid w:val="00251F92"/>
    <w:rsid w:val="00255A17"/>
    <w:rsid w:val="002646FC"/>
    <w:rsid w:val="00264F96"/>
    <w:rsid w:val="00270B2D"/>
    <w:rsid w:val="002710A2"/>
    <w:rsid w:val="00275CD1"/>
    <w:rsid w:val="002760B3"/>
    <w:rsid w:val="00277FEE"/>
    <w:rsid w:val="002800A7"/>
    <w:rsid w:val="002808A3"/>
    <w:rsid w:val="00280DD0"/>
    <w:rsid w:val="00281616"/>
    <w:rsid w:val="00281B27"/>
    <w:rsid w:val="002834B1"/>
    <w:rsid w:val="00284C66"/>
    <w:rsid w:val="002851BE"/>
    <w:rsid w:val="002852D0"/>
    <w:rsid w:val="0029238D"/>
    <w:rsid w:val="002931B6"/>
    <w:rsid w:val="00296102"/>
    <w:rsid w:val="002A37E7"/>
    <w:rsid w:val="002B464D"/>
    <w:rsid w:val="002B466F"/>
    <w:rsid w:val="002B6BC8"/>
    <w:rsid w:val="002C116F"/>
    <w:rsid w:val="002C29C2"/>
    <w:rsid w:val="002C4437"/>
    <w:rsid w:val="002C4E71"/>
    <w:rsid w:val="002C64AD"/>
    <w:rsid w:val="002C6662"/>
    <w:rsid w:val="002C7A51"/>
    <w:rsid w:val="002C7EFB"/>
    <w:rsid w:val="002D6106"/>
    <w:rsid w:val="002D6A28"/>
    <w:rsid w:val="002D6AEA"/>
    <w:rsid w:val="002D6D88"/>
    <w:rsid w:val="002E433E"/>
    <w:rsid w:val="002E514D"/>
    <w:rsid w:val="002E6D98"/>
    <w:rsid w:val="002F41ED"/>
    <w:rsid w:val="002F6B66"/>
    <w:rsid w:val="002F6E13"/>
    <w:rsid w:val="002F786C"/>
    <w:rsid w:val="003061E4"/>
    <w:rsid w:val="00310FE4"/>
    <w:rsid w:val="00312689"/>
    <w:rsid w:val="00315DCA"/>
    <w:rsid w:val="0032026C"/>
    <w:rsid w:val="00321500"/>
    <w:rsid w:val="00321A96"/>
    <w:rsid w:val="00326714"/>
    <w:rsid w:val="0033474F"/>
    <w:rsid w:val="0034003D"/>
    <w:rsid w:val="0034036F"/>
    <w:rsid w:val="00345957"/>
    <w:rsid w:val="00364D12"/>
    <w:rsid w:val="00366752"/>
    <w:rsid w:val="003708DF"/>
    <w:rsid w:val="003769A4"/>
    <w:rsid w:val="00377FCE"/>
    <w:rsid w:val="00384801"/>
    <w:rsid w:val="003A0B4F"/>
    <w:rsid w:val="003A13B0"/>
    <w:rsid w:val="003A17C3"/>
    <w:rsid w:val="003A4623"/>
    <w:rsid w:val="003A52B1"/>
    <w:rsid w:val="003B17D7"/>
    <w:rsid w:val="003C0209"/>
    <w:rsid w:val="003C46EF"/>
    <w:rsid w:val="003C4F6F"/>
    <w:rsid w:val="003C6E07"/>
    <w:rsid w:val="003D067E"/>
    <w:rsid w:val="003D0B47"/>
    <w:rsid w:val="003D3564"/>
    <w:rsid w:val="003E0EC6"/>
    <w:rsid w:val="003E1254"/>
    <w:rsid w:val="003E2201"/>
    <w:rsid w:val="003E2FDA"/>
    <w:rsid w:val="003E364A"/>
    <w:rsid w:val="003E634C"/>
    <w:rsid w:val="003E7702"/>
    <w:rsid w:val="003F241D"/>
    <w:rsid w:val="003F2DAD"/>
    <w:rsid w:val="00402C43"/>
    <w:rsid w:val="00404CEB"/>
    <w:rsid w:val="004055A2"/>
    <w:rsid w:val="00407B03"/>
    <w:rsid w:val="0041251D"/>
    <w:rsid w:val="004149F4"/>
    <w:rsid w:val="00423D7C"/>
    <w:rsid w:val="004346D5"/>
    <w:rsid w:val="00437E61"/>
    <w:rsid w:val="00440A95"/>
    <w:rsid w:val="00440D7D"/>
    <w:rsid w:val="00441C03"/>
    <w:rsid w:val="00443C4B"/>
    <w:rsid w:val="00446F70"/>
    <w:rsid w:val="004477FA"/>
    <w:rsid w:val="0045039A"/>
    <w:rsid w:val="00450B3B"/>
    <w:rsid w:val="00451E01"/>
    <w:rsid w:val="00453912"/>
    <w:rsid w:val="00453B68"/>
    <w:rsid w:val="00455809"/>
    <w:rsid w:val="0046214B"/>
    <w:rsid w:val="004646AF"/>
    <w:rsid w:val="00472158"/>
    <w:rsid w:val="004743C5"/>
    <w:rsid w:val="00476FDC"/>
    <w:rsid w:val="004802ED"/>
    <w:rsid w:val="004813AF"/>
    <w:rsid w:val="0048335B"/>
    <w:rsid w:val="00486706"/>
    <w:rsid w:val="004902A6"/>
    <w:rsid w:val="00492833"/>
    <w:rsid w:val="00493B9B"/>
    <w:rsid w:val="004A2594"/>
    <w:rsid w:val="004A4610"/>
    <w:rsid w:val="004B2A23"/>
    <w:rsid w:val="004B58DE"/>
    <w:rsid w:val="004C2174"/>
    <w:rsid w:val="004C2D41"/>
    <w:rsid w:val="004C5CA6"/>
    <w:rsid w:val="004D0706"/>
    <w:rsid w:val="004D0AAD"/>
    <w:rsid w:val="004D5BD2"/>
    <w:rsid w:val="004E05F7"/>
    <w:rsid w:val="004E42E6"/>
    <w:rsid w:val="004E77F6"/>
    <w:rsid w:val="004E7B76"/>
    <w:rsid w:val="004F14CA"/>
    <w:rsid w:val="004F1F00"/>
    <w:rsid w:val="004F5CCC"/>
    <w:rsid w:val="004F61AB"/>
    <w:rsid w:val="00500ACC"/>
    <w:rsid w:val="005057B1"/>
    <w:rsid w:val="005065E3"/>
    <w:rsid w:val="005075C0"/>
    <w:rsid w:val="005157AD"/>
    <w:rsid w:val="005158CF"/>
    <w:rsid w:val="00517676"/>
    <w:rsid w:val="00517B72"/>
    <w:rsid w:val="00521620"/>
    <w:rsid w:val="00522835"/>
    <w:rsid w:val="00524247"/>
    <w:rsid w:val="00527B8E"/>
    <w:rsid w:val="00532511"/>
    <w:rsid w:val="005329AE"/>
    <w:rsid w:val="005330C1"/>
    <w:rsid w:val="00536A30"/>
    <w:rsid w:val="00541164"/>
    <w:rsid w:val="005448AF"/>
    <w:rsid w:val="005448F2"/>
    <w:rsid w:val="00545189"/>
    <w:rsid w:val="00547E54"/>
    <w:rsid w:val="005506A3"/>
    <w:rsid w:val="00552133"/>
    <w:rsid w:val="00552381"/>
    <w:rsid w:val="00553407"/>
    <w:rsid w:val="00555C86"/>
    <w:rsid w:val="0055665E"/>
    <w:rsid w:val="0055674C"/>
    <w:rsid w:val="00560C95"/>
    <w:rsid w:val="005625EA"/>
    <w:rsid w:val="00562ADF"/>
    <w:rsid w:val="00562DB5"/>
    <w:rsid w:val="005644CF"/>
    <w:rsid w:val="005645F3"/>
    <w:rsid w:val="00570242"/>
    <w:rsid w:val="00571A88"/>
    <w:rsid w:val="005732BA"/>
    <w:rsid w:val="00576315"/>
    <w:rsid w:val="00577592"/>
    <w:rsid w:val="0057799F"/>
    <w:rsid w:val="00583C13"/>
    <w:rsid w:val="00583E46"/>
    <w:rsid w:val="00584DEC"/>
    <w:rsid w:val="00584F8B"/>
    <w:rsid w:val="00584FAE"/>
    <w:rsid w:val="00585F52"/>
    <w:rsid w:val="00587439"/>
    <w:rsid w:val="00590A2C"/>
    <w:rsid w:val="00591BA8"/>
    <w:rsid w:val="00594FA2"/>
    <w:rsid w:val="00597AD4"/>
    <w:rsid w:val="005A1F4B"/>
    <w:rsid w:val="005A4DCD"/>
    <w:rsid w:val="005A5ABD"/>
    <w:rsid w:val="005B156E"/>
    <w:rsid w:val="005B2654"/>
    <w:rsid w:val="005B3D46"/>
    <w:rsid w:val="005C1CD9"/>
    <w:rsid w:val="005C7900"/>
    <w:rsid w:val="005D1393"/>
    <w:rsid w:val="005D1935"/>
    <w:rsid w:val="005D456B"/>
    <w:rsid w:val="005D53B7"/>
    <w:rsid w:val="005D53E0"/>
    <w:rsid w:val="005D57C2"/>
    <w:rsid w:val="005E46C1"/>
    <w:rsid w:val="005E7E3C"/>
    <w:rsid w:val="005F065E"/>
    <w:rsid w:val="005F308A"/>
    <w:rsid w:val="005F3DB3"/>
    <w:rsid w:val="005F6E36"/>
    <w:rsid w:val="005F7E44"/>
    <w:rsid w:val="00600A5E"/>
    <w:rsid w:val="00603E40"/>
    <w:rsid w:val="00607D2F"/>
    <w:rsid w:val="00607DB1"/>
    <w:rsid w:val="00616145"/>
    <w:rsid w:val="006167BC"/>
    <w:rsid w:val="00620ED5"/>
    <w:rsid w:val="00626768"/>
    <w:rsid w:val="00631A80"/>
    <w:rsid w:val="00632030"/>
    <w:rsid w:val="00632A0F"/>
    <w:rsid w:val="00634A3E"/>
    <w:rsid w:val="00644B00"/>
    <w:rsid w:val="00645304"/>
    <w:rsid w:val="00645FB6"/>
    <w:rsid w:val="006505A7"/>
    <w:rsid w:val="006566B5"/>
    <w:rsid w:val="00662310"/>
    <w:rsid w:val="00662BF8"/>
    <w:rsid w:val="00663F28"/>
    <w:rsid w:val="006708B4"/>
    <w:rsid w:val="006735CF"/>
    <w:rsid w:val="00675C5D"/>
    <w:rsid w:val="006762AB"/>
    <w:rsid w:val="00676869"/>
    <w:rsid w:val="00680D5E"/>
    <w:rsid w:val="00684429"/>
    <w:rsid w:val="00684621"/>
    <w:rsid w:val="00686894"/>
    <w:rsid w:val="00690C90"/>
    <w:rsid w:val="00690EE6"/>
    <w:rsid w:val="006932E2"/>
    <w:rsid w:val="00693F54"/>
    <w:rsid w:val="00695557"/>
    <w:rsid w:val="00696412"/>
    <w:rsid w:val="00696753"/>
    <w:rsid w:val="006A20C0"/>
    <w:rsid w:val="006A48C9"/>
    <w:rsid w:val="006B6CE5"/>
    <w:rsid w:val="006B7310"/>
    <w:rsid w:val="006C0ADC"/>
    <w:rsid w:val="006C10C7"/>
    <w:rsid w:val="006C20A1"/>
    <w:rsid w:val="006C2E5C"/>
    <w:rsid w:val="006C3468"/>
    <w:rsid w:val="006C396F"/>
    <w:rsid w:val="006D1910"/>
    <w:rsid w:val="006D53DB"/>
    <w:rsid w:val="006D5817"/>
    <w:rsid w:val="006D7DF6"/>
    <w:rsid w:val="006E143B"/>
    <w:rsid w:val="006E1B13"/>
    <w:rsid w:val="006E2DF2"/>
    <w:rsid w:val="006E53D7"/>
    <w:rsid w:val="006E60B7"/>
    <w:rsid w:val="006E68EA"/>
    <w:rsid w:val="006F26A9"/>
    <w:rsid w:val="006F4ACC"/>
    <w:rsid w:val="006F5FC4"/>
    <w:rsid w:val="00702530"/>
    <w:rsid w:val="00702C0B"/>
    <w:rsid w:val="00704B5A"/>
    <w:rsid w:val="00704BBF"/>
    <w:rsid w:val="0070714C"/>
    <w:rsid w:val="00707CF6"/>
    <w:rsid w:val="00707F2B"/>
    <w:rsid w:val="0071038E"/>
    <w:rsid w:val="00710915"/>
    <w:rsid w:val="00710EFC"/>
    <w:rsid w:val="00712B6E"/>
    <w:rsid w:val="007146FB"/>
    <w:rsid w:val="007147AD"/>
    <w:rsid w:val="00714C39"/>
    <w:rsid w:val="00714D69"/>
    <w:rsid w:val="00721252"/>
    <w:rsid w:val="00725591"/>
    <w:rsid w:val="00727FC7"/>
    <w:rsid w:val="007369E1"/>
    <w:rsid w:val="00737F69"/>
    <w:rsid w:val="00740887"/>
    <w:rsid w:val="00740C36"/>
    <w:rsid w:val="00745F1E"/>
    <w:rsid w:val="007514F2"/>
    <w:rsid w:val="00751826"/>
    <w:rsid w:val="0075206F"/>
    <w:rsid w:val="00755C20"/>
    <w:rsid w:val="00761571"/>
    <w:rsid w:val="00763BFF"/>
    <w:rsid w:val="00765AEB"/>
    <w:rsid w:val="00770594"/>
    <w:rsid w:val="00772D91"/>
    <w:rsid w:val="00781CF1"/>
    <w:rsid w:val="00783A79"/>
    <w:rsid w:val="00790A35"/>
    <w:rsid w:val="00791E0E"/>
    <w:rsid w:val="00795C36"/>
    <w:rsid w:val="007A0A18"/>
    <w:rsid w:val="007B1672"/>
    <w:rsid w:val="007B169F"/>
    <w:rsid w:val="007B2591"/>
    <w:rsid w:val="007B350B"/>
    <w:rsid w:val="007B4257"/>
    <w:rsid w:val="007B6D2A"/>
    <w:rsid w:val="007C08C8"/>
    <w:rsid w:val="007C0F08"/>
    <w:rsid w:val="007C5017"/>
    <w:rsid w:val="007C782C"/>
    <w:rsid w:val="007D44DF"/>
    <w:rsid w:val="007D4599"/>
    <w:rsid w:val="007D5DFB"/>
    <w:rsid w:val="007E358C"/>
    <w:rsid w:val="007E6060"/>
    <w:rsid w:val="007F1F44"/>
    <w:rsid w:val="007F4749"/>
    <w:rsid w:val="007F6480"/>
    <w:rsid w:val="007F71C6"/>
    <w:rsid w:val="00803865"/>
    <w:rsid w:val="00804B37"/>
    <w:rsid w:val="00812451"/>
    <w:rsid w:val="00816882"/>
    <w:rsid w:val="00816D58"/>
    <w:rsid w:val="00823843"/>
    <w:rsid w:val="0082726A"/>
    <w:rsid w:val="00832895"/>
    <w:rsid w:val="00837B19"/>
    <w:rsid w:val="00837CC2"/>
    <w:rsid w:val="00842DF1"/>
    <w:rsid w:val="00846623"/>
    <w:rsid w:val="00855519"/>
    <w:rsid w:val="008569F5"/>
    <w:rsid w:val="008573EF"/>
    <w:rsid w:val="00860B9A"/>
    <w:rsid w:val="00861F63"/>
    <w:rsid w:val="00862CEA"/>
    <w:rsid w:val="00866D03"/>
    <w:rsid w:val="00872F23"/>
    <w:rsid w:val="008755CB"/>
    <w:rsid w:val="0087725D"/>
    <w:rsid w:val="0088097E"/>
    <w:rsid w:val="0088198F"/>
    <w:rsid w:val="00883418"/>
    <w:rsid w:val="00887933"/>
    <w:rsid w:val="00892E5B"/>
    <w:rsid w:val="008930F2"/>
    <w:rsid w:val="0089671F"/>
    <w:rsid w:val="008A08A8"/>
    <w:rsid w:val="008B1423"/>
    <w:rsid w:val="008B1CD0"/>
    <w:rsid w:val="008B60E5"/>
    <w:rsid w:val="008C0FB5"/>
    <w:rsid w:val="008C1179"/>
    <w:rsid w:val="008D599D"/>
    <w:rsid w:val="008D5ACD"/>
    <w:rsid w:val="008D760A"/>
    <w:rsid w:val="008E5602"/>
    <w:rsid w:val="008F5BE9"/>
    <w:rsid w:val="008F7C01"/>
    <w:rsid w:val="0090266B"/>
    <w:rsid w:val="00907F88"/>
    <w:rsid w:val="00911268"/>
    <w:rsid w:val="00911933"/>
    <w:rsid w:val="00916EE6"/>
    <w:rsid w:val="009210C4"/>
    <w:rsid w:val="00922A4C"/>
    <w:rsid w:val="00923847"/>
    <w:rsid w:val="00926C46"/>
    <w:rsid w:val="00927198"/>
    <w:rsid w:val="00931314"/>
    <w:rsid w:val="00931BE7"/>
    <w:rsid w:val="0093230D"/>
    <w:rsid w:val="00932553"/>
    <w:rsid w:val="00932ABC"/>
    <w:rsid w:val="00933764"/>
    <w:rsid w:val="00936825"/>
    <w:rsid w:val="00937A29"/>
    <w:rsid w:val="00942162"/>
    <w:rsid w:val="00945A7B"/>
    <w:rsid w:val="00952C79"/>
    <w:rsid w:val="00952D9B"/>
    <w:rsid w:val="009543E1"/>
    <w:rsid w:val="00961153"/>
    <w:rsid w:val="00961A7C"/>
    <w:rsid w:val="009638A2"/>
    <w:rsid w:val="00963B13"/>
    <w:rsid w:val="00964271"/>
    <w:rsid w:val="00966A00"/>
    <w:rsid w:val="009707D7"/>
    <w:rsid w:val="009724E8"/>
    <w:rsid w:val="0097266A"/>
    <w:rsid w:val="0097582B"/>
    <w:rsid w:val="00976063"/>
    <w:rsid w:val="00980E28"/>
    <w:rsid w:val="009824A0"/>
    <w:rsid w:val="009838BB"/>
    <w:rsid w:val="00990377"/>
    <w:rsid w:val="0099273F"/>
    <w:rsid w:val="00994595"/>
    <w:rsid w:val="009A2F82"/>
    <w:rsid w:val="009B0538"/>
    <w:rsid w:val="009B066A"/>
    <w:rsid w:val="009B437D"/>
    <w:rsid w:val="009B5666"/>
    <w:rsid w:val="009B6894"/>
    <w:rsid w:val="009B6FD1"/>
    <w:rsid w:val="009C2828"/>
    <w:rsid w:val="009C3B5F"/>
    <w:rsid w:val="009C42F9"/>
    <w:rsid w:val="009C4314"/>
    <w:rsid w:val="009C64B6"/>
    <w:rsid w:val="009C6DF1"/>
    <w:rsid w:val="009C7D59"/>
    <w:rsid w:val="009D01D0"/>
    <w:rsid w:val="009D025C"/>
    <w:rsid w:val="009D0757"/>
    <w:rsid w:val="009D7774"/>
    <w:rsid w:val="009E3257"/>
    <w:rsid w:val="009E71EC"/>
    <w:rsid w:val="009F0654"/>
    <w:rsid w:val="009F1749"/>
    <w:rsid w:val="009F2439"/>
    <w:rsid w:val="009F2EF4"/>
    <w:rsid w:val="009F3564"/>
    <w:rsid w:val="00A0669F"/>
    <w:rsid w:val="00A06DC5"/>
    <w:rsid w:val="00A075A3"/>
    <w:rsid w:val="00A13D4D"/>
    <w:rsid w:val="00A161D0"/>
    <w:rsid w:val="00A22533"/>
    <w:rsid w:val="00A229DA"/>
    <w:rsid w:val="00A23620"/>
    <w:rsid w:val="00A27A68"/>
    <w:rsid w:val="00A30CC2"/>
    <w:rsid w:val="00A328B1"/>
    <w:rsid w:val="00A36A8D"/>
    <w:rsid w:val="00A47F5F"/>
    <w:rsid w:val="00A5242B"/>
    <w:rsid w:val="00A54868"/>
    <w:rsid w:val="00A54886"/>
    <w:rsid w:val="00A61BDC"/>
    <w:rsid w:val="00A622B1"/>
    <w:rsid w:val="00A642EB"/>
    <w:rsid w:val="00A6511C"/>
    <w:rsid w:val="00A71963"/>
    <w:rsid w:val="00A7313B"/>
    <w:rsid w:val="00A7416C"/>
    <w:rsid w:val="00A76A7B"/>
    <w:rsid w:val="00A8311C"/>
    <w:rsid w:val="00A83845"/>
    <w:rsid w:val="00A84F53"/>
    <w:rsid w:val="00A963DE"/>
    <w:rsid w:val="00A97CDE"/>
    <w:rsid w:val="00AA22B1"/>
    <w:rsid w:val="00AA7D87"/>
    <w:rsid w:val="00AB239A"/>
    <w:rsid w:val="00AB5447"/>
    <w:rsid w:val="00AB66B9"/>
    <w:rsid w:val="00AB6E4E"/>
    <w:rsid w:val="00AB7DC7"/>
    <w:rsid w:val="00AC1FAD"/>
    <w:rsid w:val="00AC2F7C"/>
    <w:rsid w:val="00AC60A7"/>
    <w:rsid w:val="00AC6131"/>
    <w:rsid w:val="00AC7C9F"/>
    <w:rsid w:val="00AD23F3"/>
    <w:rsid w:val="00AD378B"/>
    <w:rsid w:val="00AD552F"/>
    <w:rsid w:val="00AD5DC2"/>
    <w:rsid w:val="00AE0B6B"/>
    <w:rsid w:val="00AE115F"/>
    <w:rsid w:val="00AE2FE5"/>
    <w:rsid w:val="00AE53BF"/>
    <w:rsid w:val="00AF069E"/>
    <w:rsid w:val="00AF0D60"/>
    <w:rsid w:val="00AF3493"/>
    <w:rsid w:val="00AF3E02"/>
    <w:rsid w:val="00AF5716"/>
    <w:rsid w:val="00AF6F72"/>
    <w:rsid w:val="00B00FE2"/>
    <w:rsid w:val="00B01AA5"/>
    <w:rsid w:val="00B033DA"/>
    <w:rsid w:val="00B03DC1"/>
    <w:rsid w:val="00B06955"/>
    <w:rsid w:val="00B169AC"/>
    <w:rsid w:val="00B22EEA"/>
    <w:rsid w:val="00B30619"/>
    <w:rsid w:val="00B30705"/>
    <w:rsid w:val="00B3153F"/>
    <w:rsid w:val="00B31860"/>
    <w:rsid w:val="00B35819"/>
    <w:rsid w:val="00B44A95"/>
    <w:rsid w:val="00B47445"/>
    <w:rsid w:val="00B47F8F"/>
    <w:rsid w:val="00B47FCA"/>
    <w:rsid w:val="00B5075E"/>
    <w:rsid w:val="00B52BE3"/>
    <w:rsid w:val="00B60A3F"/>
    <w:rsid w:val="00B60E84"/>
    <w:rsid w:val="00B64116"/>
    <w:rsid w:val="00B6600C"/>
    <w:rsid w:val="00B67CC3"/>
    <w:rsid w:val="00B70DFD"/>
    <w:rsid w:val="00B729AB"/>
    <w:rsid w:val="00B751FD"/>
    <w:rsid w:val="00B7693B"/>
    <w:rsid w:val="00B77DAE"/>
    <w:rsid w:val="00B9129E"/>
    <w:rsid w:val="00B93D04"/>
    <w:rsid w:val="00B94D77"/>
    <w:rsid w:val="00B9548D"/>
    <w:rsid w:val="00B9628C"/>
    <w:rsid w:val="00BA0BDF"/>
    <w:rsid w:val="00BA1C16"/>
    <w:rsid w:val="00BA2F5D"/>
    <w:rsid w:val="00BA6AB8"/>
    <w:rsid w:val="00BB3EAE"/>
    <w:rsid w:val="00BB4C55"/>
    <w:rsid w:val="00BB54D5"/>
    <w:rsid w:val="00BC1DFA"/>
    <w:rsid w:val="00BC26CC"/>
    <w:rsid w:val="00BC3012"/>
    <w:rsid w:val="00BC3A75"/>
    <w:rsid w:val="00BC7D1D"/>
    <w:rsid w:val="00BD3AEA"/>
    <w:rsid w:val="00BD4B43"/>
    <w:rsid w:val="00BD6E9D"/>
    <w:rsid w:val="00BD7211"/>
    <w:rsid w:val="00BD7868"/>
    <w:rsid w:val="00BD7BEE"/>
    <w:rsid w:val="00BE012E"/>
    <w:rsid w:val="00BE5442"/>
    <w:rsid w:val="00BE6C92"/>
    <w:rsid w:val="00BE7D2B"/>
    <w:rsid w:val="00C02A9E"/>
    <w:rsid w:val="00C02D8B"/>
    <w:rsid w:val="00C0510B"/>
    <w:rsid w:val="00C051DB"/>
    <w:rsid w:val="00C0533A"/>
    <w:rsid w:val="00C07006"/>
    <w:rsid w:val="00C12FCD"/>
    <w:rsid w:val="00C13F15"/>
    <w:rsid w:val="00C1477F"/>
    <w:rsid w:val="00C14BFD"/>
    <w:rsid w:val="00C15408"/>
    <w:rsid w:val="00C25833"/>
    <w:rsid w:val="00C303A3"/>
    <w:rsid w:val="00C34F36"/>
    <w:rsid w:val="00C4065D"/>
    <w:rsid w:val="00C464F4"/>
    <w:rsid w:val="00C46E18"/>
    <w:rsid w:val="00C474FF"/>
    <w:rsid w:val="00C52B57"/>
    <w:rsid w:val="00C561B5"/>
    <w:rsid w:val="00C6010E"/>
    <w:rsid w:val="00C60280"/>
    <w:rsid w:val="00C618FD"/>
    <w:rsid w:val="00C61B6F"/>
    <w:rsid w:val="00C61DE2"/>
    <w:rsid w:val="00C63329"/>
    <w:rsid w:val="00C64D28"/>
    <w:rsid w:val="00C67977"/>
    <w:rsid w:val="00C707BB"/>
    <w:rsid w:val="00C71DAD"/>
    <w:rsid w:val="00C73205"/>
    <w:rsid w:val="00C73421"/>
    <w:rsid w:val="00C745A0"/>
    <w:rsid w:val="00C77FC2"/>
    <w:rsid w:val="00C81D79"/>
    <w:rsid w:val="00C83739"/>
    <w:rsid w:val="00C84F04"/>
    <w:rsid w:val="00C86751"/>
    <w:rsid w:val="00C90681"/>
    <w:rsid w:val="00C90955"/>
    <w:rsid w:val="00C91FA4"/>
    <w:rsid w:val="00C93472"/>
    <w:rsid w:val="00C9577C"/>
    <w:rsid w:val="00CA07F0"/>
    <w:rsid w:val="00CA4739"/>
    <w:rsid w:val="00CB3CD5"/>
    <w:rsid w:val="00CB468D"/>
    <w:rsid w:val="00CB6714"/>
    <w:rsid w:val="00CC0073"/>
    <w:rsid w:val="00CC0BBE"/>
    <w:rsid w:val="00CC1A73"/>
    <w:rsid w:val="00CD101D"/>
    <w:rsid w:val="00CD2E18"/>
    <w:rsid w:val="00CD5A03"/>
    <w:rsid w:val="00CD6509"/>
    <w:rsid w:val="00CD66A8"/>
    <w:rsid w:val="00CD6AB3"/>
    <w:rsid w:val="00CE1940"/>
    <w:rsid w:val="00CE4CE9"/>
    <w:rsid w:val="00CF0737"/>
    <w:rsid w:val="00CF2F56"/>
    <w:rsid w:val="00CF7669"/>
    <w:rsid w:val="00D01AE5"/>
    <w:rsid w:val="00D022E7"/>
    <w:rsid w:val="00D040E0"/>
    <w:rsid w:val="00D053D4"/>
    <w:rsid w:val="00D058EE"/>
    <w:rsid w:val="00D07933"/>
    <w:rsid w:val="00D1023B"/>
    <w:rsid w:val="00D103AB"/>
    <w:rsid w:val="00D10EBA"/>
    <w:rsid w:val="00D127F1"/>
    <w:rsid w:val="00D1434F"/>
    <w:rsid w:val="00D14B7D"/>
    <w:rsid w:val="00D1607E"/>
    <w:rsid w:val="00D16C44"/>
    <w:rsid w:val="00D230B7"/>
    <w:rsid w:val="00D23786"/>
    <w:rsid w:val="00D2442D"/>
    <w:rsid w:val="00D26202"/>
    <w:rsid w:val="00D264D4"/>
    <w:rsid w:val="00D309FE"/>
    <w:rsid w:val="00D33F18"/>
    <w:rsid w:val="00D361F1"/>
    <w:rsid w:val="00D36E82"/>
    <w:rsid w:val="00D41470"/>
    <w:rsid w:val="00D417DA"/>
    <w:rsid w:val="00D45EB6"/>
    <w:rsid w:val="00D46998"/>
    <w:rsid w:val="00D46C8E"/>
    <w:rsid w:val="00D51297"/>
    <w:rsid w:val="00D5478D"/>
    <w:rsid w:val="00D56E3B"/>
    <w:rsid w:val="00D570EE"/>
    <w:rsid w:val="00D6534D"/>
    <w:rsid w:val="00D71393"/>
    <w:rsid w:val="00D717D5"/>
    <w:rsid w:val="00D71B35"/>
    <w:rsid w:val="00D72E81"/>
    <w:rsid w:val="00D74152"/>
    <w:rsid w:val="00D74871"/>
    <w:rsid w:val="00D74F20"/>
    <w:rsid w:val="00D7620D"/>
    <w:rsid w:val="00D778EC"/>
    <w:rsid w:val="00D77CB3"/>
    <w:rsid w:val="00D81D0D"/>
    <w:rsid w:val="00D83FFB"/>
    <w:rsid w:val="00D85526"/>
    <w:rsid w:val="00D916B4"/>
    <w:rsid w:val="00D93A9E"/>
    <w:rsid w:val="00D972A8"/>
    <w:rsid w:val="00D9756A"/>
    <w:rsid w:val="00D979A6"/>
    <w:rsid w:val="00D97CF0"/>
    <w:rsid w:val="00DA0C83"/>
    <w:rsid w:val="00DA0F96"/>
    <w:rsid w:val="00DA3BDA"/>
    <w:rsid w:val="00DA77F4"/>
    <w:rsid w:val="00DB3DE8"/>
    <w:rsid w:val="00DB60AA"/>
    <w:rsid w:val="00DC1931"/>
    <w:rsid w:val="00DC2930"/>
    <w:rsid w:val="00DC37AA"/>
    <w:rsid w:val="00DD06F2"/>
    <w:rsid w:val="00DD1356"/>
    <w:rsid w:val="00DD1F22"/>
    <w:rsid w:val="00DD4124"/>
    <w:rsid w:val="00DD518B"/>
    <w:rsid w:val="00DE1CED"/>
    <w:rsid w:val="00DE2838"/>
    <w:rsid w:val="00DE3DC4"/>
    <w:rsid w:val="00DE4119"/>
    <w:rsid w:val="00DF0858"/>
    <w:rsid w:val="00DF0951"/>
    <w:rsid w:val="00DF723E"/>
    <w:rsid w:val="00E04936"/>
    <w:rsid w:val="00E04A39"/>
    <w:rsid w:val="00E077AF"/>
    <w:rsid w:val="00E10D60"/>
    <w:rsid w:val="00E1104E"/>
    <w:rsid w:val="00E235A8"/>
    <w:rsid w:val="00E2363E"/>
    <w:rsid w:val="00E24165"/>
    <w:rsid w:val="00E272EB"/>
    <w:rsid w:val="00E3047C"/>
    <w:rsid w:val="00E30FDC"/>
    <w:rsid w:val="00E402A3"/>
    <w:rsid w:val="00E4097B"/>
    <w:rsid w:val="00E423D3"/>
    <w:rsid w:val="00E4280F"/>
    <w:rsid w:val="00E4328F"/>
    <w:rsid w:val="00E4429E"/>
    <w:rsid w:val="00E447BE"/>
    <w:rsid w:val="00E46125"/>
    <w:rsid w:val="00E47642"/>
    <w:rsid w:val="00E50185"/>
    <w:rsid w:val="00E50332"/>
    <w:rsid w:val="00E50ABF"/>
    <w:rsid w:val="00E51D70"/>
    <w:rsid w:val="00E526E7"/>
    <w:rsid w:val="00E5539E"/>
    <w:rsid w:val="00E60F87"/>
    <w:rsid w:val="00E6193C"/>
    <w:rsid w:val="00E64890"/>
    <w:rsid w:val="00E65F71"/>
    <w:rsid w:val="00E775BD"/>
    <w:rsid w:val="00E80CB6"/>
    <w:rsid w:val="00E857CB"/>
    <w:rsid w:val="00E86852"/>
    <w:rsid w:val="00E86CB5"/>
    <w:rsid w:val="00E8755C"/>
    <w:rsid w:val="00E87943"/>
    <w:rsid w:val="00E94923"/>
    <w:rsid w:val="00EA35BA"/>
    <w:rsid w:val="00EA4950"/>
    <w:rsid w:val="00EA4AC8"/>
    <w:rsid w:val="00EA56E3"/>
    <w:rsid w:val="00EA662A"/>
    <w:rsid w:val="00EB1715"/>
    <w:rsid w:val="00EB173A"/>
    <w:rsid w:val="00EB3A8C"/>
    <w:rsid w:val="00EB48BD"/>
    <w:rsid w:val="00EB614A"/>
    <w:rsid w:val="00EC3C7F"/>
    <w:rsid w:val="00EC5691"/>
    <w:rsid w:val="00EC6C86"/>
    <w:rsid w:val="00ED1B3E"/>
    <w:rsid w:val="00ED27F3"/>
    <w:rsid w:val="00ED6AAE"/>
    <w:rsid w:val="00EE0CE3"/>
    <w:rsid w:val="00EF08F6"/>
    <w:rsid w:val="00EF095C"/>
    <w:rsid w:val="00EF09E7"/>
    <w:rsid w:val="00EF4A38"/>
    <w:rsid w:val="00EF5F9F"/>
    <w:rsid w:val="00F003A2"/>
    <w:rsid w:val="00F00457"/>
    <w:rsid w:val="00F0565A"/>
    <w:rsid w:val="00F058F8"/>
    <w:rsid w:val="00F06245"/>
    <w:rsid w:val="00F11FDC"/>
    <w:rsid w:val="00F173E8"/>
    <w:rsid w:val="00F30533"/>
    <w:rsid w:val="00F326C2"/>
    <w:rsid w:val="00F33E98"/>
    <w:rsid w:val="00F40588"/>
    <w:rsid w:val="00F41271"/>
    <w:rsid w:val="00F41C03"/>
    <w:rsid w:val="00F42F2B"/>
    <w:rsid w:val="00F448BC"/>
    <w:rsid w:val="00F54C1F"/>
    <w:rsid w:val="00F57791"/>
    <w:rsid w:val="00F62C27"/>
    <w:rsid w:val="00F64ADF"/>
    <w:rsid w:val="00F65CFB"/>
    <w:rsid w:val="00F70621"/>
    <w:rsid w:val="00F73530"/>
    <w:rsid w:val="00F74569"/>
    <w:rsid w:val="00F75491"/>
    <w:rsid w:val="00F869B5"/>
    <w:rsid w:val="00F87973"/>
    <w:rsid w:val="00F87AA4"/>
    <w:rsid w:val="00F90119"/>
    <w:rsid w:val="00F95FBD"/>
    <w:rsid w:val="00FA4A3B"/>
    <w:rsid w:val="00FA6C8D"/>
    <w:rsid w:val="00FA7905"/>
    <w:rsid w:val="00FB000A"/>
    <w:rsid w:val="00FB089B"/>
    <w:rsid w:val="00FB1C0F"/>
    <w:rsid w:val="00FB3F7A"/>
    <w:rsid w:val="00FB4720"/>
    <w:rsid w:val="00FB5FE2"/>
    <w:rsid w:val="00FC1A0C"/>
    <w:rsid w:val="00FC4B44"/>
    <w:rsid w:val="00FC5E5E"/>
    <w:rsid w:val="00FC6D57"/>
    <w:rsid w:val="00FC73DD"/>
    <w:rsid w:val="00FC7E69"/>
    <w:rsid w:val="00FD052C"/>
    <w:rsid w:val="00FD7725"/>
    <w:rsid w:val="00FD7D27"/>
    <w:rsid w:val="00FE18ED"/>
    <w:rsid w:val="00FE49FA"/>
    <w:rsid w:val="00FE5E72"/>
    <w:rsid w:val="00FE6AA8"/>
    <w:rsid w:val="00FF2A62"/>
    <w:rsid w:val="00FF42B4"/>
    <w:rsid w:val="00FF4738"/>
    <w:rsid w:val="00FF53A8"/>
    <w:rsid w:val="00FF6A82"/>
    <w:rsid w:val="00FF6FCB"/>
    <w:rsid w:val="00FF72F3"/>
    <w:rsid w:val="01764ACB"/>
    <w:rsid w:val="025973CA"/>
    <w:rsid w:val="03F43660"/>
    <w:rsid w:val="04516C15"/>
    <w:rsid w:val="07A70278"/>
    <w:rsid w:val="07E04A57"/>
    <w:rsid w:val="08EA6315"/>
    <w:rsid w:val="08FD5D14"/>
    <w:rsid w:val="09F339EB"/>
    <w:rsid w:val="0A0B669A"/>
    <w:rsid w:val="0A2F210F"/>
    <w:rsid w:val="0A372D79"/>
    <w:rsid w:val="0AAD42BC"/>
    <w:rsid w:val="0D176671"/>
    <w:rsid w:val="0D226913"/>
    <w:rsid w:val="0D472D3D"/>
    <w:rsid w:val="0D5F27FA"/>
    <w:rsid w:val="0DA3109B"/>
    <w:rsid w:val="0E386894"/>
    <w:rsid w:val="0E85245E"/>
    <w:rsid w:val="0EF76E73"/>
    <w:rsid w:val="0F040CF2"/>
    <w:rsid w:val="10736C84"/>
    <w:rsid w:val="110D5D6B"/>
    <w:rsid w:val="11104BEF"/>
    <w:rsid w:val="157F5893"/>
    <w:rsid w:val="17E302C6"/>
    <w:rsid w:val="188A5517"/>
    <w:rsid w:val="18979536"/>
    <w:rsid w:val="195D4B61"/>
    <w:rsid w:val="1AD014C1"/>
    <w:rsid w:val="1B160FFF"/>
    <w:rsid w:val="1B811881"/>
    <w:rsid w:val="1BA069CD"/>
    <w:rsid w:val="1BD1788C"/>
    <w:rsid w:val="1C5116B4"/>
    <w:rsid w:val="1CFB6D3F"/>
    <w:rsid w:val="1D8147EB"/>
    <w:rsid w:val="1E103D90"/>
    <w:rsid w:val="1E564528"/>
    <w:rsid w:val="1EB01BA7"/>
    <w:rsid w:val="1F78636A"/>
    <w:rsid w:val="1FFB0BF8"/>
    <w:rsid w:val="21126DCA"/>
    <w:rsid w:val="211F339F"/>
    <w:rsid w:val="2121014F"/>
    <w:rsid w:val="215E2B0E"/>
    <w:rsid w:val="21CC4D09"/>
    <w:rsid w:val="221913EB"/>
    <w:rsid w:val="22AA13A6"/>
    <w:rsid w:val="23231B14"/>
    <w:rsid w:val="232C4BCA"/>
    <w:rsid w:val="234E1C56"/>
    <w:rsid w:val="23975111"/>
    <w:rsid w:val="23FD48A1"/>
    <w:rsid w:val="24444C5E"/>
    <w:rsid w:val="24FF19CA"/>
    <w:rsid w:val="25061239"/>
    <w:rsid w:val="25AD4FC4"/>
    <w:rsid w:val="25AD582A"/>
    <w:rsid w:val="25B42E53"/>
    <w:rsid w:val="27792C10"/>
    <w:rsid w:val="27B57F8C"/>
    <w:rsid w:val="27DB1481"/>
    <w:rsid w:val="280B2E05"/>
    <w:rsid w:val="295D666C"/>
    <w:rsid w:val="29687977"/>
    <w:rsid w:val="297E73B6"/>
    <w:rsid w:val="2A6E3B60"/>
    <w:rsid w:val="2A8C11C3"/>
    <w:rsid w:val="2ADF0405"/>
    <w:rsid w:val="2B0C7A5B"/>
    <w:rsid w:val="2C41466E"/>
    <w:rsid w:val="2CA0504E"/>
    <w:rsid w:val="2DC34D10"/>
    <w:rsid w:val="2DD95812"/>
    <w:rsid w:val="2E08071F"/>
    <w:rsid w:val="2E606B76"/>
    <w:rsid w:val="2E661399"/>
    <w:rsid w:val="2E7B0106"/>
    <w:rsid w:val="2ED36A96"/>
    <w:rsid w:val="2F5E7F96"/>
    <w:rsid w:val="2F923B67"/>
    <w:rsid w:val="2FD71C09"/>
    <w:rsid w:val="30484C68"/>
    <w:rsid w:val="304A3526"/>
    <w:rsid w:val="31096A41"/>
    <w:rsid w:val="310D4A2D"/>
    <w:rsid w:val="31834DE3"/>
    <w:rsid w:val="31C50138"/>
    <w:rsid w:val="32D9497F"/>
    <w:rsid w:val="330311B5"/>
    <w:rsid w:val="339E766A"/>
    <w:rsid w:val="34523749"/>
    <w:rsid w:val="352630E7"/>
    <w:rsid w:val="359E5331"/>
    <w:rsid w:val="369165A2"/>
    <w:rsid w:val="36EA2DA2"/>
    <w:rsid w:val="37AD3640"/>
    <w:rsid w:val="37E656E5"/>
    <w:rsid w:val="38240661"/>
    <w:rsid w:val="399E2477"/>
    <w:rsid w:val="3A5F1AFF"/>
    <w:rsid w:val="3A9E19F9"/>
    <w:rsid w:val="3AE11ADA"/>
    <w:rsid w:val="3B5B545A"/>
    <w:rsid w:val="3B9D087C"/>
    <w:rsid w:val="3BE455FD"/>
    <w:rsid w:val="3C5C6A63"/>
    <w:rsid w:val="3C790746"/>
    <w:rsid w:val="3DE82CC7"/>
    <w:rsid w:val="3E3FF9E5"/>
    <w:rsid w:val="3F572692"/>
    <w:rsid w:val="3F771CE1"/>
    <w:rsid w:val="3FA44865"/>
    <w:rsid w:val="3FF222CB"/>
    <w:rsid w:val="40234A06"/>
    <w:rsid w:val="406A44A4"/>
    <w:rsid w:val="40B04963"/>
    <w:rsid w:val="40DA1413"/>
    <w:rsid w:val="40E81F18"/>
    <w:rsid w:val="40F275A3"/>
    <w:rsid w:val="41532E63"/>
    <w:rsid w:val="41566EE0"/>
    <w:rsid w:val="41902204"/>
    <w:rsid w:val="41FD4006"/>
    <w:rsid w:val="42A52959"/>
    <w:rsid w:val="4362113A"/>
    <w:rsid w:val="43B5432A"/>
    <w:rsid w:val="442E4AE2"/>
    <w:rsid w:val="455E7C37"/>
    <w:rsid w:val="457C7934"/>
    <w:rsid w:val="458709B5"/>
    <w:rsid w:val="45CA31A0"/>
    <w:rsid w:val="46C148C0"/>
    <w:rsid w:val="46D25539"/>
    <w:rsid w:val="4702107C"/>
    <w:rsid w:val="47027D80"/>
    <w:rsid w:val="47F805DC"/>
    <w:rsid w:val="4875535B"/>
    <w:rsid w:val="492204CF"/>
    <w:rsid w:val="4948356D"/>
    <w:rsid w:val="49E13604"/>
    <w:rsid w:val="4A1308D1"/>
    <w:rsid w:val="4A4461D3"/>
    <w:rsid w:val="4A5D5481"/>
    <w:rsid w:val="4AAF20CC"/>
    <w:rsid w:val="4AF15101"/>
    <w:rsid w:val="4B3A58B4"/>
    <w:rsid w:val="4B496554"/>
    <w:rsid w:val="4C437720"/>
    <w:rsid w:val="4D4954A5"/>
    <w:rsid w:val="4E08130C"/>
    <w:rsid w:val="4EFC28F9"/>
    <w:rsid w:val="4EFE6D7D"/>
    <w:rsid w:val="4F0E5828"/>
    <w:rsid w:val="4F327963"/>
    <w:rsid w:val="4F72040C"/>
    <w:rsid w:val="4F966D1A"/>
    <w:rsid w:val="50093BC1"/>
    <w:rsid w:val="50B86472"/>
    <w:rsid w:val="51037BF7"/>
    <w:rsid w:val="515B0D4C"/>
    <w:rsid w:val="51A803DC"/>
    <w:rsid w:val="51DA05F8"/>
    <w:rsid w:val="51F554B4"/>
    <w:rsid w:val="524D7089"/>
    <w:rsid w:val="52AE6841"/>
    <w:rsid w:val="52BD3B77"/>
    <w:rsid w:val="52C868EB"/>
    <w:rsid w:val="530B2461"/>
    <w:rsid w:val="533351DD"/>
    <w:rsid w:val="54EE748F"/>
    <w:rsid w:val="55DD16CD"/>
    <w:rsid w:val="561A248D"/>
    <w:rsid w:val="588A320E"/>
    <w:rsid w:val="589A4158"/>
    <w:rsid w:val="591B0E58"/>
    <w:rsid w:val="59800225"/>
    <w:rsid w:val="59955876"/>
    <w:rsid w:val="59B32184"/>
    <w:rsid w:val="5AA3112A"/>
    <w:rsid w:val="5AE57ECB"/>
    <w:rsid w:val="5BF55676"/>
    <w:rsid w:val="5CA370D6"/>
    <w:rsid w:val="5E0037A6"/>
    <w:rsid w:val="5EE34A40"/>
    <w:rsid w:val="5F250CA2"/>
    <w:rsid w:val="6128175B"/>
    <w:rsid w:val="62144EB4"/>
    <w:rsid w:val="634D10F4"/>
    <w:rsid w:val="63D01B5B"/>
    <w:rsid w:val="64142208"/>
    <w:rsid w:val="641D19F8"/>
    <w:rsid w:val="642831F1"/>
    <w:rsid w:val="64477B9A"/>
    <w:rsid w:val="64607E58"/>
    <w:rsid w:val="650178F5"/>
    <w:rsid w:val="652C5E03"/>
    <w:rsid w:val="656B36F3"/>
    <w:rsid w:val="65CE3FAE"/>
    <w:rsid w:val="66180315"/>
    <w:rsid w:val="667556D9"/>
    <w:rsid w:val="66C95F18"/>
    <w:rsid w:val="66F0321E"/>
    <w:rsid w:val="672B5B24"/>
    <w:rsid w:val="67BB7C13"/>
    <w:rsid w:val="6A9F1BE5"/>
    <w:rsid w:val="6AA30B0F"/>
    <w:rsid w:val="6AD27B29"/>
    <w:rsid w:val="6B1477D4"/>
    <w:rsid w:val="6C304CA4"/>
    <w:rsid w:val="6C79737C"/>
    <w:rsid w:val="6CB510D3"/>
    <w:rsid w:val="6D7404DF"/>
    <w:rsid w:val="6DDD3117"/>
    <w:rsid w:val="6E051207"/>
    <w:rsid w:val="6E713B4B"/>
    <w:rsid w:val="6EA97031"/>
    <w:rsid w:val="6EF813C2"/>
    <w:rsid w:val="6FC01826"/>
    <w:rsid w:val="713A3E14"/>
    <w:rsid w:val="718638D0"/>
    <w:rsid w:val="72755F72"/>
    <w:rsid w:val="72CA14DD"/>
    <w:rsid w:val="73230ABB"/>
    <w:rsid w:val="73252018"/>
    <w:rsid w:val="732D70BB"/>
    <w:rsid w:val="734F09B2"/>
    <w:rsid w:val="73993431"/>
    <w:rsid w:val="74CF6B5B"/>
    <w:rsid w:val="75106AC6"/>
    <w:rsid w:val="752E33B0"/>
    <w:rsid w:val="759A36AF"/>
    <w:rsid w:val="75AA79FE"/>
    <w:rsid w:val="75B84DC8"/>
    <w:rsid w:val="762D1C6E"/>
    <w:rsid w:val="768D2058"/>
    <w:rsid w:val="770E392C"/>
    <w:rsid w:val="775B2579"/>
    <w:rsid w:val="779C572F"/>
    <w:rsid w:val="77C413E2"/>
    <w:rsid w:val="77C86F9F"/>
    <w:rsid w:val="784A4735"/>
    <w:rsid w:val="784A75D4"/>
    <w:rsid w:val="78D45F63"/>
    <w:rsid w:val="791840D2"/>
    <w:rsid w:val="79764CED"/>
    <w:rsid w:val="7980717B"/>
    <w:rsid w:val="79F2373A"/>
    <w:rsid w:val="79F6707D"/>
    <w:rsid w:val="7A1C629F"/>
    <w:rsid w:val="7A453A1F"/>
    <w:rsid w:val="7B3301BC"/>
    <w:rsid w:val="7B690C98"/>
    <w:rsid w:val="7C9E7B11"/>
    <w:rsid w:val="7CE71758"/>
    <w:rsid w:val="7D295BFA"/>
    <w:rsid w:val="7D766D56"/>
    <w:rsid w:val="7EB31A83"/>
    <w:rsid w:val="7F641A21"/>
    <w:rsid w:val="7FC6B34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MingLiU" w:hAnsi="Times New Roman" w:eastAsia="MingLiU" w:cs="Times New Roman"/>
      <w:sz w:val="24"/>
      <w:lang w:val="en-US" w:eastAsia="zh-TW" w:bidi="ar-SA"/>
    </w:rPr>
  </w:style>
  <w:style w:type="paragraph" w:styleId="3">
    <w:name w:val="heading 1"/>
    <w:basedOn w:val="1"/>
    <w:next w:val="1"/>
    <w:link w:val="28"/>
    <w:qFormat/>
    <w:uiPriority w:val="0"/>
    <w:pPr>
      <w:snapToGrid w:val="0"/>
      <w:spacing w:before="360" w:after="360"/>
      <w:jc w:val="center"/>
      <w:outlineLvl w:val="0"/>
    </w:pPr>
    <w:rPr>
      <w:rFonts w:eastAsia="宋体"/>
      <w:b/>
      <w:sz w:val="48"/>
    </w:rPr>
  </w:style>
  <w:style w:type="paragraph" w:styleId="4">
    <w:name w:val="heading 2"/>
    <w:basedOn w:val="1"/>
    <w:next w:val="1"/>
    <w:link w:val="29"/>
    <w:qFormat/>
    <w:uiPriority w:val="0"/>
    <w:pPr>
      <w:spacing w:line="360" w:lineRule="auto"/>
      <w:jc w:val="center"/>
      <w:outlineLvl w:val="1"/>
    </w:pPr>
    <w:rPr>
      <w:rFonts w:eastAsia="仿宋_GB2312"/>
      <w:b/>
      <w:sz w:val="30"/>
    </w:rPr>
  </w:style>
  <w:style w:type="paragraph" w:styleId="5">
    <w:name w:val="heading 3"/>
    <w:basedOn w:val="1"/>
    <w:next w:val="1"/>
    <w:qFormat/>
    <w:uiPriority w:val="0"/>
    <w:pPr>
      <w:keepNext/>
      <w:keepLines/>
      <w:spacing w:line="360" w:lineRule="auto"/>
      <w:outlineLvl w:val="2"/>
    </w:pPr>
    <w:rPr>
      <w:rFonts w:eastAsia="黑体"/>
      <w:b/>
      <w:bCs/>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unhideWhenUsed/>
    <w:qFormat/>
    <w:uiPriority w:val="99"/>
    <w:rPr>
      <w:rFonts w:ascii="Calibri" w:hAnsi="Calibri"/>
    </w:rPr>
  </w:style>
  <w:style w:type="paragraph" w:styleId="6">
    <w:name w:val="toc 7"/>
    <w:basedOn w:val="1"/>
    <w:next w:val="1"/>
    <w:unhideWhenUsed/>
    <w:qFormat/>
    <w:uiPriority w:val="39"/>
    <w:pPr>
      <w:ind w:left="1440"/>
    </w:pPr>
    <w:rPr>
      <w:rFonts w:asciiTheme="minorHAnsi" w:hAnsiTheme="minorHAnsi" w:cstheme="minorHAnsi"/>
      <w:sz w:val="18"/>
      <w:szCs w:val="18"/>
    </w:rPr>
  </w:style>
  <w:style w:type="paragraph" w:styleId="7">
    <w:name w:val="annotation text"/>
    <w:basedOn w:val="1"/>
    <w:link w:val="35"/>
    <w:unhideWhenUsed/>
    <w:qFormat/>
    <w:uiPriority w:val="99"/>
  </w:style>
  <w:style w:type="paragraph" w:styleId="8">
    <w:name w:val="toc 5"/>
    <w:basedOn w:val="1"/>
    <w:next w:val="1"/>
    <w:unhideWhenUsed/>
    <w:qFormat/>
    <w:uiPriority w:val="39"/>
    <w:pPr>
      <w:ind w:left="960"/>
    </w:pPr>
    <w:rPr>
      <w:rFonts w:asciiTheme="minorHAnsi" w:hAnsiTheme="minorHAnsi" w:cstheme="minorHAnsi"/>
      <w:sz w:val="18"/>
      <w:szCs w:val="18"/>
    </w:rPr>
  </w:style>
  <w:style w:type="paragraph" w:styleId="9">
    <w:name w:val="toc 3"/>
    <w:basedOn w:val="1"/>
    <w:next w:val="1"/>
    <w:unhideWhenUsed/>
    <w:qFormat/>
    <w:uiPriority w:val="39"/>
    <w:pPr>
      <w:ind w:left="480"/>
    </w:pPr>
    <w:rPr>
      <w:rFonts w:asciiTheme="minorHAnsi" w:hAnsiTheme="minorHAnsi" w:cstheme="minorHAnsi"/>
      <w:i/>
      <w:iCs/>
      <w:sz w:val="20"/>
    </w:rPr>
  </w:style>
  <w:style w:type="paragraph" w:styleId="10">
    <w:name w:val="toc 8"/>
    <w:basedOn w:val="1"/>
    <w:next w:val="1"/>
    <w:unhideWhenUsed/>
    <w:qFormat/>
    <w:uiPriority w:val="39"/>
    <w:pPr>
      <w:ind w:left="1680"/>
    </w:pPr>
    <w:rPr>
      <w:rFonts w:asciiTheme="minorHAnsi" w:hAnsiTheme="minorHAnsi" w:cstheme="minorHAnsi"/>
      <w:sz w:val="18"/>
      <w:szCs w:val="18"/>
    </w:rPr>
  </w:style>
  <w:style w:type="paragraph" w:styleId="11">
    <w:name w:val="Date"/>
    <w:basedOn w:val="1"/>
    <w:next w:val="1"/>
    <w:link w:val="42"/>
    <w:unhideWhenUsed/>
    <w:qFormat/>
    <w:uiPriority w:val="99"/>
    <w:pPr>
      <w:ind w:left="100" w:leftChars="2500"/>
    </w:pPr>
  </w:style>
  <w:style w:type="paragraph" w:styleId="12">
    <w:name w:val="Balloon Text"/>
    <w:basedOn w:val="1"/>
    <w:link w:val="34"/>
    <w:unhideWhenUsed/>
    <w:qFormat/>
    <w:uiPriority w:val="99"/>
    <w:rPr>
      <w:sz w:val="18"/>
      <w:szCs w:val="18"/>
    </w:rPr>
  </w:style>
  <w:style w:type="paragraph" w:styleId="13">
    <w:name w:val="footer"/>
    <w:basedOn w:val="1"/>
    <w:link w:val="30"/>
    <w:qFormat/>
    <w:uiPriority w:val="99"/>
    <w:pPr>
      <w:tabs>
        <w:tab w:val="center" w:pos="4153"/>
        <w:tab w:val="right" w:pos="8306"/>
      </w:tabs>
    </w:pPr>
    <w:rPr>
      <w:spacing w:val="60"/>
      <w:sz w:val="22"/>
    </w:rPr>
  </w:style>
  <w:style w:type="paragraph" w:styleId="14">
    <w:name w:val="header"/>
    <w:basedOn w:val="1"/>
    <w:link w:val="31"/>
    <w:qFormat/>
    <w:uiPriority w:val="99"/>
    <w:pPr>
      <w:tabs>
        <w:tab w:val="center" w:pos="4147"/>
        <w:tab w:val="right" w:pos="8309"/>
      </w:tabs>
    </w:pPr>
    <w:rPr>
      <w:sz w:val="20"/>
    </w:rPr>
  </w:style>
  <w:style w:type="paragraph" w:styleId="15">
    <w:name w:val="toc 1"/>
    <w:basedOn w:val="1"/>
    <w:next w:val="1"/>
    <w:unhideWhenUsed/>
    <w:qFormat/>
    <w:uiPriority w:val="39"/>
    <w:pPr>
      <w:spacing w:before="120" w:after="120"/>
    </w:pPr>
    <w:rPr>
      <w:rFonts w:asciiTheme="minorHAnsi" w:hAnsiTheme="minorHAnsi" w:cstheme="minorHAnsi"/>
      <w:b/>
      <w:bCs/>
      <w:caps/>
      <w:sz w:val="20"/>
    </w:rPr>
  </w:style>
  <w:style w:type="paragraph" w:styleId="16">
    <w:name w:val="toc 4"/>
    <w:basedOn w:val="1"/>
    <w:next w:val="1"/>
    <w:unhideWhenUsed/>
    <w:qFormat/>
    <w:uiPriority w:val="39"/>
    <w:pPr>
      <w:ind w:left="720"/>
    </w:pPr>
    <w:rPr>
      <w:rFonts w:asciiTheme="minorHAnsi" w:hAnsiTheme="minorHAnsi" w:cstheme="minorHAnsi"/>
      <w:sz w:val="18"/>
      <w:szCs w:val="18"/>
    </w:rPr>
  </w:style>
  <w:style w:type="paragraph" w:styleId="17">
    <w:name w:val="toc 6"/>
    <w:basedOn w:val="1"/>
    <w:next w:val="1"/>
    <w:unhideWhenUsed/>
    <w:qFormat/>
    <w:uiPriority w:val="39"/>
    <w:pPr>
      <w:ind w:left="1200"/>
    </w:pPr>
    <w:rPr>
      <w:rFonts w:asciiTheme="minorHAnsi" w:hAnsiTheme="minorHAnsi" w:cstheme="minorHAnsi"/>
      <w:sz w:val="18"/>
      <w:szCs w:val="18"/>
    </w:rPr>
  </w:style>
  <w:style w:type="paragraph" w:styleId="18">
    <w:name w:val="toc 2"/>
    <w:basedOn w:val="1"/>
    <w:next w:val="1"/>
    <w:qFormat/>
    <w:uiPriority w:val="39"/>
    <w:pPr>
      <w:ind w:left="240"/>
    </w:pPr>
    <w:rPr>
      <w:rFonts w:asciiTheme="minorHAnsi" w:hAnsiTheme="minorHAnsi" w:cstheme="minorHAnsi"/>
      <w:smallCaps/>
      <w:sz w:val="20"/>
    </w:rPr>
  </w:style>
  <w:style w:type="paragraph" w:styleId="19">
    <w:name w:val="toc 9"/>
    <w:basedOn w:val="1"/>
    <w:next w:val="1"/>
    <w:unhideWhenUsed/>
    <w:qFormat/>
    <w:uiPriority w:val="39"/>
    <w:pPr>
      <w:ind w:left="1920"/>
    </w:pPr>
    <w:rPr>
      <w:rFonts w:asciiTheme="minorHAnsi" w:hAnsiTheme="minorHAnsi" w:cstheme="minorHAnsi"/>
      <w:sz w:val="18"/>
      <w:szCs w:val="18"/>
    </w:rPr>
  </w:style>
  <w:style w:type="paragraph" w:styleId="20">
    <w:name w:val="annotation subject"/>
    <w:basedOn w:val="7"/>
    <w:next w:val="7"/>
    <w:link w:val="36"/>
    <w:unhideWhenUsed/>
    <w:qFormat/>
    <w:uiPriority w:val="99"/>
    <w:rPr>
      <w:b/>
      <w:bCs/>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FollowedHyperlink"/>
    <w:basedOn w:val="23"/>
    <w:unhideWhenUsed/>
    <w:qFormat/>
    <w:uiPriority w:val="99"/>
    <w:rPr>
      <w:color w:val="954F72" w:themeColor="followedHyperlink"/>
      <w:u w:val="single"/>
      <w14:textFill>
        <w14:solidFill>
          <w14:schemeClr w14:val="folHlink"/>
        </w14:solidFill>
      </w14:textFill>
    </w:rPr>
  </w:style>
  <w:style w:type="character" w:styleId="26">
    <w:name w:val="Hyperlink"/>
    <w:qFormat/>
    <w:uiPriority w:val="99"/>
    <w:rPr>
      <w:rFonts w:cs="Times New Roman"/>
      <w:color w:val="0000FF"/>
      <w:u w:val="single"/>
    </w:rPr>
  </w:style>
  <w:style w:type="character" w:styleId="27">
    <w:name w:val="annotation reference"/>
    <w:basedOn w:val="23"/>
    <w:unhideWhenUsed/>
    <w:qFormat/>
    <w:uiPriority w:val="99"/>
    <w:rPr>
      <w:sz w:val="21"/>
      <w:szCs w:val="21"/>
    </w:rPr>
  </w:style>
  <w:style w:type="character" w:customStyle="1" w:styleId="28">
    <w:name w:val="标题 1 字符"/>
    <w:basedOn w:val="23"/>
    <w:link w:val="3"/>
    <w:qFormat/>
    <w:uiPriority w:val="0"/>
    <w:rPr>
      <w:rFonts w:ascii="MingLiU"/>
      <w:b/>
      <w:sz w:val="48"/>
      <w:lang w:eastAsia="zh-TW"/>
    </w:rPr>
  </w:style>
  <w:style w:type="character" w:customStyle="1" w:styleId="29">
    <w:name w:val="标题 2 字符"/>
    <w:basedOn w:val="23"/>
    <w:link w:val="4"/>
    <w:qFormat/>
    <w:uiPriority w:val="0"/>
    <w:rPr>
      <w:rFonts w:ascii="MingLiU" w:eastAsia="仿宋_GB2312"/>
      <w:b/>
      <w:sz w:val="30"/>
      <w:lang w:eastAsia="zh-TW"/>
    </w:rPr>
  </w:style>
  <w:style w:type="character" w:customStyle="1" w:styleId="30">
    <w:name w:val="页脚 字符"/>
    <w:basedOn w:val="23"/>
    <w:link w:val="13"/>
    <w:qFormat/>
    <w:uiPriority w:val="99"/>
    <w:rPr>
      <w:rFonts w:ascii="MingLiU" w:hAnsi="Times New Roman" w:eastAsia="MingLiU" w:cs="Times New Roman"/>
      <w:spacing w:val="60"/>
      <w:kern w:val="0"/>
      <w:sz w:val="22"/>
      <w:szCs w:val="20"/>
      <w:lang w:eastAsia="zh-TW"/>
    </w:rPr>
  </w:style>
  <w:style w:type="character" w:customStyle="1" w:styleId="31">
    <w:name w:val="页眉 字符"/>
    <w:basedOn w:val="23"/>
    <w:link w:val="14"/>
    <w:qFormat/>
    <w:uiPriority w:val="99"/>
    <w:rPr>
      <w:rFonts w:ascii="MingLiU" w:hAnsi="Times New Roman" w:eastAsia="MingLiU" w:cs="Times New Roman"/>
      <w:kern w:val="0"/>
      <w:sz w:val="20"/>
      <w:szCs w:val="20"/>
      <w:lang w:eastAsia="zh-TW"/>
    </w:rPr>
  </w:style>
  <w:style w:type="paragraph" w:customStyle="1" w:styleId="32">
    <w:name w:val="列表段落1"/>
    <w:basedOn w:val="1"/>
    <w:qFormat/>
    <w:uiPriority w:val="34"/>
    <w:pPr>
      <w:ind w:firstLine="420" w:firstLineChars="200"/>
    </w:pPr>
  </w:style>
  <w:style w:type="character" w:customStyle="1" w:styleId="33">
    <w:name w:val="fontstyle01"/>
    <w:basedOn w:val="23"/>
    <w:qFormat/>
    <w:uiPriority w:val="0"/>
    <w:rPr>
      <w:rFonts w:hint="eastAsia" w:ascii="华文细黑" w:hAnsi="华文细黑" w:eastAsia="华文细黑"/>
      <w:color w:val="000000"/>
      <w:sz w:val="22"/>
      <w:szCs w:val="22"/>
    </w:rPr>
  </w:style>
  <w:style w:type="character" w:customStyle="1" w:styleId="34">
    <w:name w:val="批注框文本 字符"/>
    <w:basedOn w:val="23"/>
    <w:link w:val="12"/>
    <w:semiHidden/>
    <w:qFormat/>
    <w:uiPriority w:val="99"/>
    <w:rPr>
      <w:rFonts w:ascii="MingLiU" w:hAnsi="Times New Roman" w:eastAsia="MingLiU" w:cs="Times New Roman"/>
      <w:sz w:val="18"/>
      <w:szCs w:val="18"/>
      <w:lang w:eastAsia="zh-TW"/>
    </w:rPr>
  </w:style>
  <w:style w:type="character" w:customStyle="1" w:styleId="35">
    <w:name w:val="批注文字 字符"/>
    <w:basedOn w:val="23"/>
    <w:link w:val="7"/>
    <w:qFormat/>
    <w:uiPriority w:val="99"/>
    <w:rPr>
      <w:rFonts w:ascii="MingLiU" w:hAnsi="Times New Roman" w:eastAsia="MingLiU" w:cs="Times New Roman"/>
      <w:sz w:val="24"/>
      <w:lang w:eastAsia="zh-TW"/>
    </w:rPr>
  </w:style>
  <w:style w:type="character" w:customStyle="1" w:styleId="36">
    <w:name w:val="批注主题 字符"/>
    <w:basedOn w:val="35"/>
    <w:link w:val="20"/>
    <w:semiHidden/>
    <w:qFormat/>
    <w:uiPriority w:val="99"/>
    <w:rPr>
      <w:rFonts w:ascii="MingLiU" w:hAnsi="Times New Roman" w:eastAsia="MingLiU" w:cs="Times New Roman"/>
      <w:b/>
      <w:bCs/>
      <w:sz w:val="24"/>
      <w:lang w:eastAsia="zh-TW"/>
    </w:rPr>
  </w:style>
  <w:style w:type="paragraph" w:customStyle="1" w:styleId="37">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
    <w:name w:val="Default"/>
    <w:basedOn w:val="1"/>
    <w:qFormat/>
    <w:uiPriority w:val="0"/>
    <w:rPr>
      <w:rFonts w:ascii="宋体" w:hAnsi="等线" w:eastAsia="宋体" w:cs="宋体"/>
      <w:color w:val="000000"/>
      <w:szCs w:val="24"/>
      <w:lang w:eastAsia="zh-CN"/>
    </w:rPr>
  </w:style>
  <w:style w:type="paragraph" w:customStyle="1" w:styleId="40">
    <w:name w:val="CM1"/>
    <w:basedOn w:val="39"/>
    <w:next w:val="39"/>
    <w:semiHidden/>
    <w:qFormat/>
    <w:uiPriority w:val="0"/>
    <w:pPr>
      <w:spacing w:line="468" w:lineRule="atLeast"/>
    </w:pPr>
  </w:style>
  <w:style w:type="paragraph" w:customStyle="1" w:styleId="41">
    <w:name w:val="CM2"/>
    <w:basedOn w:val="39"/>
    <w:next w:val="39"/>
    <w:semiHidden/>
    <w:qFormat/>
    <w:uiPriority w:val="0"/>
    <w:pPr>
      <w:spacing w:line="471" w:lineRule="atLeast"/>
    </w:pPr>
  </w:style>
  <w:style w:type="character" w:customStyle="1" w:styleId="42">
    <w:name w:val="日期 字符"/>
    <w:basedOn w:val="23"/>
    <w:link w:val="11"/>
    <w:semiHidden/>
    <w:qFormat/>
    <w:uiPriority w:val="99"/>
    <w:rPr>
      <w:rFonts w:ascii="MingLiU" w:hAnsi="Times New Roman" w:eastAsia="MingLiU"/>
      <w:sz w:val="24"/>
      <w:lang w:eastAsia="zh-TW"/>
    </w:rPr>
  </w:style>
  <w:style w:type="paragraph" w:customStyle="1" w:styleId="43">
    <w:name w:val="仿宋GB2312"/>
    <w:basedOn w:val="1"/>
    <w:link w:val="44"/>
    <w:qFormat/>
    <w:uiPriority w:val="0"/>
    <w:pPr>
      <w:autoSpaceDE/>
      <w:autoSpaceDN/>
      <w:adjustRightInd/>
      <w:spacing w:line="360" w:lineRule="auto"/>
      <w:jc w:val="both"/>
    </w:pPr>
    <w:rPr>
      <w:rFonts w:ascii="仿宋_GB2312" w:eastAsia="仿宋_GB2312" w:hAnsiTheme="minorHAnsi" w:cstheme="minorBidi"/>
      <w:kern w:val="2"/>
      <w:szCs w:val="24"/>
      <w:lang w:eastAsia="zh-CN"/>
    </w:rPr>
  </w:style>
  <w:style w:type="character" w:customStyle="1" w:styleId="44">
    <w:name w:val="仿宋GB2312 Char"/>
    <w:basedOn w:val="23"/>
    <w:link w:val="43"/>
    <w:qFormat/>
    <w:uiPriority w:val="0"/>
    <w:rPr>
      <w:rFonts w:ascii="仿宋_GB2312" w:eastAsia="仿宋_GB2312" w:hAnsiTheme="minorHAnsi" w:cstheme="minorBidi"/>
      <w:kern w:val="2"/>
      <w:sz w:val="24"/>
      <w:szCs w:val="24"/>
    </w:rPr>
  </w:style>
  <w:style w:type="paragraph" w:customStyle="1" w:styleId="4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6">
    <w:name w:val="Char"/>
    <w:basedOn w:val="1"/>
    <w:qFormat/>
    <w:uiPriority w:val="0"/>
    <w:pPr>
      <w:widowControl/>
      <w:autoSpaceDE/>
      <w:autoSpaceDN/>
      <w:adjustRightInd/>
      <w:spacing w:after="160" w:line="240" w:lineRule="exact"/>
    </w:pPr>
    <w:rPr>
      <w:rFonts w:ascii="Verdana" w:hAnsi="Verdana" w:eastAsia="仿宋_GB2312"/>
      <w:lang w:eastAsia="en-US"/>
    </w:rPr>
  </w:style>
  <w:style w:type="paragraph" w:customStyle="1" w:styleId="47">
    <w:name w:val="TOC 标题1"/>
    <w:basedOn w:val="3"/>
    <w:next w:val="1"/>
    <w:unhideWhenUsed/>
    <w:qFormat/>
    <w:uiPriority w:val="39"/>
    <w:pPr>
      <w:keepNext/>
      <w:keepLines/>
      <w:widowControl/>
      <w:autoSpaceDE/>
      <w:autoSpaceDN/>
      <w:adjustRightInd/>
      <w:spacing w:before="240" w:after="0" w:line="259" w:lineRule="auto"/>
      <w:jc w:val="left"/>
      <w:outlineLvl w:val="9"/>
    </w:pPr>
    <w:rPr>
      <w:rFonts w:asciiTheme="majorHAnsi" w:hAnsiTheme="majorHAnsi" w:eastAsiaTheme="majorEastAsia" w:cstheme="majorBidi"/>
      <w:b w:val="0"/>
      <w:color w:val="2E75B6" w:themeColor="accent1" w:themeShade="BF"/>
      <w:sz w:val="32"/>
      <w:szCs w:val="32"/>
      <w:lang w:eastAsia="zh-CN"/>
    </w:rPr>
  </w:style>
  <w:style w:type="character" w:customStyle="1" w:styleId="48">
    <w:name w:val="未处理的提及1"/>
    <w:basedOn w:val="23"/>
    <w:semiHidden/>
    <w:unhideWhenUsed/>
    <w:qFormat/>
    <w:uiPriority w:val="99"/>
    <w:rPr>
      <w:color w:val="605E5C"/>
      <w:shd w:val="clear" w:color="auto" w:fill="E1DFDD"/>
    </w:rPr>
  </w:style>
  <w:style w:type="paragraph" w:customStyle="1" w:styleId="49">
    <w:name w:val="TOC 标题2"/>
    <w:basedOn w:val="3"/>
    <w:next w:val="1"/>
    <w:unhideWhenUsed/>
    <w:qFormat/>
    <w:uiPriority w:val="39"/>
    <w:pPr>
      <w:keepNext/>
      <w:keepLines/>
      <w:widowControl/>
      <w:autoSpaceDE/>
      <w:autoSpaceDN/>
      <w:adjustRightInd/>
      <w:spacing w:before="240" w:after="0" w:line="259" w:lineRule="auto"/>
      <w:jc w:val="left"/>
      <w:outlineLvl w:val="9"/>
    </w:pPr>
    <w:rPr>
      <w:rFonts w:asciiTheme="majorHAnsi" w:hAnsiTheme="majorHAnsi" w:eastAsiaTheme="majorEastAsia" w:cstheme="majorBidi"/>
      <w:b w:val="0"/>
      <w:color w:val="2E75B6" w:themeColor="accent1" w:themeShade="BF"/>
      <w:sz w:val="32"/>
      <w:szCs w:val="32"/>
      <w:lang w:eastAsia="zh-CN"/>
    </w:rPr>
  </w:style>
  <w:style w:type="paragraph" w:styleId="50">
    <w:name w:val="List Paragraph"/>
    <w:basedOn w:val="1"/>
    <w:qFormat/>
    <w:uiPriority w:val="99"/>
    <w:pPr>
      <w:ind w:firstLine="420" w:firstLineChars="200"/>
    </w:pPr>
  </w:style>
  <w:style w:type="paragraph" w:customStyle="1" w:styleId="51">
    <w:name w:val="修订2"/>
    <w:hidden/>
    <w:semiHidden/>
    <w:qFormat/>
    <w:uiPriority w:val="99"/>
    <w:rPr>
      <w:rFonts w:ascii="MingLiU" w:hAnsi="Times New Roman" w:eastAsia="MingLiU" w:cs="Times New Roman"/>
      <w:sz w:val="24"/>
      <w:lang w:val="en-US" w:eastAsia="zh-TW" w:bidi="ar-SA"/>
    </w:rPr>
  </w:style>
  <w:style w:type="paragraph" w:customStyle="1" w:styleId="52">
    <w:name w:val="修订3"/>
    <w:hidden/>
    <w:unhideWhenUsed/>
    <w:qFormat/>
    <w:uiPriority w:val="99"/>
    <w:rPr>
      <w:rFonts w:ascii="MingLiU" w:hAnsi="Times New Roman" w:eastAsia="MingLiU" w:cs="Times New Roman"/>
      <w:sz w:val="24"/>
      <w:lang w:val="en-US" w:eastAsia="zh-TW" w:bidi="ar-SA"/>
    </w:rPr>
  </w:style>
  <w:style w:type="paragraph" w:customStyle="1" w:styleId="53">
    <w:name w:val="修订4"/>
    <w:hidden/>
    <w:unhideWhenUsed/>
    <w:qFormat/>
    <w:uiPriority w:val="99"/>
    <w:rPr>
      <w:rFonts w:ascii="MingLiU" w:hAnsi="Times New Roman" w:eastAsia="MingLiU" w:cs="Times New Roman"/>
      <w:sz w:val="24"/>
      <w:lang w:val="en-US" w:eastAsia="zh-TW" w:bidi="ar-SA"/>
    </w:rPr>
  </w:style>
  <w:style w:type="paragraph" w:customStyle="1" w:styleId="54">
    <w:name w:val="修订5"/>
    <w:hidden/>
    <w:unhideWhenUsed/>
    <w:qFormat/>
    <w:uiPriority w:val="99"/>
    <w:rPr>
      <w:rFonts w:ascii="MingLiU" w:hAnsi="Times New Roman" w:eastAsia="MingLiU" w:cs="Times New Roman"/>
      <w:sz w:val="24"/>
      <w:lang w:val="en-US" w:eastAsia="zh-TW" w:bidi="ar-SA"/>
    </w:rPr>
  </w:style>
  <w:style w:type="paragraph" w:customStyle="1" w:styleId="55">
    <w:name w:val="修订6"/>
    <w:hidden/>
    <w:unhideWhenUsed/>
    <w:qFormat/>
    <w:uiPriority w:val="99"/>
    <w:rPr>
      <w:rFonts w:ascii="MingLiU" w:hAnsi="Times New Roman" w:eastAsia="MingLiU" w:cs="Times New Roman"/>
      <w:sz w:val="24"/>
      <w:lang w:val="en-US" w:eastAsia="zh-TW" w:bidi="ar-SA"/>
    </w:rPr>
  </w:style>
  <w:style w:type="paragraph" w:customStyle="1" w:styleId="56">
    <w:name w:val="修订7"/>
    <w:hidden/>
    <w:unhideWhenUsed/>
    <w:qFormat/>
    <w:uiPriority w:val="99"/>
    <w:rPr>
      <w:rFonts w:ascii="MingLiU" w:hAnsi="Times New Roman" w:eastAsia="MingLiU" w:cs="Times New Roman"/>
      <w:sz w:val="24"/>
      <w:lang w:val="en-US" w:eastAsia="zh-TW" w:bidi="ar-SA"/>
    </w:rPr>
  </w:style>
  <w:style w:type="paragraph" w:customStyle="1" w:styleId="57">
    <w:name w:val="Revision"/>
    <w:hidden/>
    <w:unhideWhenUsed/>
    <w:qFormat/>
    <w:uiPriority w:val="99"/>
    <w:rPr>
      <w:rFonts w:ascii="MingLiU" w:hAnsi="Times New Roman" w:eastAsia="MingLiU" w:cs="Times New Roman"/>
      <w:sz w:val="24"/>
      <w:lang w:val="en-US" w:eastAsia="zh-TW"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147</Pages>
  <Words>9412</Words>
  <Characters>9601</Characters>
  <Lines>1779</Lines>
  <Paragraphs>1252</Paragraphs>
  <TotalTime>4</TotalTime>
  <ScaleCrop>false</ScaleCrop>
  <LinksUpToDate>false</LinksUpToDate>
  <CharactersWithSpaces>9963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2025-09-04T06:26:00Z</dcterms:created>
  <dc:creator>吴振威</dc:creator>
  <cp:lastModifiedBy>高珺熠</cp:lastModifiedBy>
  <cp:lastPrinted>2020-09-05T18:37:00Z</cp:lastPrinted>
  <dcterms:modified xsi:type="dcterms:W3CDTF">2025-09-17T22:24:40Z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FE83D0589DBB4206AC47F5479B5433F5_13</vt:lpwstr>
  </property>
  <property fmtid="{D5CDD505-2E9C-101B-9397-08002B2CF9AE}" pid="4" name="KSOTemplateDocerSaveRecord">
    <vt:lpwstr>eyJoZGlkIjoiMmJhMTIxZmNlYTMxOTk3MmYzNjJlZTU0OWUwOGFkZGQiLCJ1c2VySWQiOiIxMjcwMzQxNjA5In0=</vt:lpwstr>
  </property>
</Properties>
</file>