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2" w:line="276" w:lineRule="auto"/>
        <w:jc w:val="center"/>
        <w:rPr>
          <w:rFonts w:ascii="宋体" w:hAnsi="宋体"/>
          <w:b/>
          <w:sz w:val="52"/>
          <w:szCs w:val="52"/>
        </w:rPr>
      </w:pPr>
      <w:bookmarkStart w:id="0" w:name="_Hlk122971622"/>
      <w:bookmarkStart w:id="1" w:name="_Toc62570535"/>
    </w:p>
    <w:p>
      <w:pPr>
        <w:spacing w:before="2" w:line="276" w:lineRule="auto"/>
        <w:jc w:val="center"/>
        <w:rPr>
          <w:rFonts w:ascii="宋体" w:hAnsi="宋体"/>
          <w:b/>
          <w:sz w:val="52"/>
          <w:szCs w:val="52"/>
        </w:rPr>
      </w:pPr>
    </w:p>
    <w:p>
      <w:pPr>
        <w:spacing w:before="2" w:line="276" w:lineRule="auto"/>
        <w:jc w:val="center"/>
        <w:rPr>
          <w:rFonts w:ascii="宋体" w:hAnsi="宋体"/>
          <w:b/>
          <w:sz w:val="52"/>
          <w:szCs w:val="52"/>
        </w:rPr>
      </w:pPr>
      <w:r>
        <w:rPr>
          <w:rFonts w:hint="eastAsia" w:ascii="宋体" w:hAnsi="宋体"/>
          <w:b/>
          <w:sz w:val="52"/>
          <w:szCs w:val="52"/>
        </w:rPr>
        <w:t>中南钢铁总部大楼项目设计</w:t>
      </w:r>
    </w:p>
    <w:bookmarkEnd w:id="0"/>
    <w:p>
      <w:pPr>
        <w:rPr>
          <w:rFonts w:ascii="宋体" w:hAnsi="宋体" w:cs="宋体"/>
          <w:b/>
          <w:bCs/>
          <w:sz w:val="20"/>
          <w:szCs w:val="20"/>
        </w:rPr>
      </w:pPr>
    </w:p>
    <w:p>
      <w:pPr>
        <w:rPr>
          <w:rFonts w:ascii="宋体" w:hAnsi="宋体" w:cs="宋体"/>
          <w:b/>
          <w:bCs/>
          <w:sz w:val="20"/>
          <w:szCs w:val="20"/>
        </w:rPr>
      </w:pPr>
    </w:p>
    <w:p>
      <w:pPr>
        <w:rPr>
          <w:rFonts w:ascii="宋体" w:hAnsi="宋体" w:cs="宋体"/>
          <w:b/>
          <w:bCs/>
          <w:sz w:val="20"/>
          <w:szCs w:val="20"/>
        </w:rPr>
      </w:pPr>
    </w:p>
    <w:p>
      <w:pPr>
        <w:rPr>
          <w:rFonts w:ascii="宋体" w:hAnsi="宋体" w:cs="宋体"/>
          <w:b/>
          <w:bCs/>
          <w:sz w:val="20"/>
          <w:szCs w:val="20"/>
        </w:rPr>
      </w:pPr>
    </w:p>
    <w:p>
      <w:pPr>
        <w:pStyle w:val="2"/>
      </w:pPr>
    </w:p>
    <w:p/>
    <w:p>
      <w:pPr>
        <w:jc w:val="center"/>
        <w:rPr>
          <w:rFonts w:ascii="宋体" w:hAnsi="宋体"/>
          <w:b/>
          <w:sz w:val="52"/>
          <w:szCs w:val="52"/>
        </w:rPr>
      </w:pPr>
      <w:r>
        <w:rPr>
          <w:rFonts w:hint="eastAsia" w:ascii="宋体" w:hAnsi="宋体"/>
          <w:b/>
          <w:sz w:val="52"/>
          <w:szCs w:val="52"/>
        </w:rPr>
        <w:t>设计任务书</w:t>
      </w:r>
    </w:p>
    <w:p>
      <w:pPr>
        <w:rPr>
          <w:rFonts w:ascii="宋体" w:hAnsi="宋体" w:cs="宋体"/>
          <w:sz w:val="44"/>
          <w:szCs w:val="44"/>
        </w:rPr>
      </w:pPr>
    </w:p>
    <w:p>
      <w:pPr>
        <w:rPr>
          <w:rFonts w:ascii="宋体" w:hAnsi="宋体" w:cs="宋体"/>
          <w:sz w:val="44"/>
          <w:szCs w:val="44"/>
        </w:rPr>
      </w:pPr>
    </w:p>
    <w:p>
      <w:pPr>
        <w:rPr>
          <w:rFonts w:ascii="宋体" w:hAnsi="宋体" w:cs="宋体"/>
          <w:sz w:val="44"/>
          <w:szCs w:val="44"/>
        </w:rPr>
      </w:pPr>
    </w:p>
    <w:p>
      <w:pPr>
        <w:pStyle w:val="2"/>
      </w:pPr>
    </w:p>
    <w:p>
      <w:pPr>
        <w:pStyle w:val="2"/>
      </w:pPr>
    </w:p>
    <w:p>
      <w:pPr>
        <w:spacing w:before="8"/>
        <w:rPr>
          <w:rFonts w:ascii="宋体" w:hAnsi="宋体" w:cs="宋体"/>
          <w:sz w:val="33"/>
          <w:szCs w:val="33"/>
        </w:rPr>
      </w:pPr>
    </w:p>
    <w:p>
      <w:pPr>
        <w:pStyle w:val="5"/>
      </w:pPr>
    </w:p>
    <w:p>
      <w:pPr>
        <w:spacing w:before="8"/>
        <w:rPr>
          <w:rFonts w:ascii="宋体" w:hAnsi="宋体" w:cs="宋体"/>
          <w:sz w:val="33"/>
          <w:szCs w:val="33"/>
        </w:rPr>
      </w:pPr>
    </w:p>
    <w:p>
      <w:pPr>
        <w:spacing w:line="360" w:lineRule="auto"/>
        <w:ind w:firstLine="964" w:firstLineChars="300"/>
        <w:rPr>
          <w:rFonts w:ascii="宋体" w:hAnsi="宋体"/>
          <w:b/>
          <w:sz w:val="32"/>
          <w:szCs w:val="32"/>
        </w:rPr>
      </w:pPr>
      <w:r>
        <w:rPr>
          <w:rFonts w:hint="eastAsia" w:ascii="宋体" w:hAnsi="宋体"/>
          <w:b/>
          <w:sz w:val="32"/>
          <w:szCs w:val="32"/>
        </w:rPr>
        <w:t>招   标   人：</w:t>
      </w:r>
      <w:r>
        <w:rPr>
          <w:rFonts w:hint="eastAsia" w:ascii="宋体" w:hAnsi="宋体" w:cs="宋体"/>
          <w:b/>
          <w:sz w:val="32"/>
          <w:szCs w:val="32"/>
        </w:rPr>
        <w:t>广州中南产城发展有限公司</w:t>
      </w:r>
    </w:p>
    <w:p>
      <w:pPr>
        <w:tabs>
          <w:tab w:val="left" w:pos="561"/>
        </w:tabs>
        <w:spacing w:line="360" w:lineRule="auto"/>
        <w:ind w:firstLine="964" w:firstLineChars="300"/>
        <w:rPr>
          <w:rFonts w:ascii="宋体" w:hAnsi="宋体"/>
          <w:b/>
          <w:sz w:val="32"/>
          <w:szCs w:val="32"/>
        </w:rPr>
      </w:pPr>
      <w:r>
        <w:rPr>
          <w:rFonts w:hint="eastAsia" w:ascii="宋体" w:hAnsi="宋体"/>
          <w:b/>
          <w:sz w:val="32"/>
          <w:szCs w:val="32"/>
        </w:rPr>
        <w:t>日        期：2023年1月</w:t>
      </w:r>
    </w:p>
    <w:p>
      <w:pPr>
        <w:pStyle w:val="11"/>
      </w:pPr>
      <w:r>
        <w:rPr>
          <w:b w:val="0"/>
        </w:rPr>
        <w:br w:type="page"/>
      </w:r>
      <w:r>
        <w:rPr>
          <w:rFonts w:hint="eastAsia"/>
        </w:rPr>
        <w:t>目录</w:t>
      </w:r>
    </w:p>
    <w:p/>
    <w:p>
      <w:pPr>
        <w:pStyle w:val="11"/>
        <w:rPr>
          <w:rFonts w:cstheme="minorBidi"/>
          <w:kern w:val="2"/>
        </w:rPr>
      </w:pPr>
      <w:r>
        <w:rPr>
          <w:sz w:val="28"/>
        </w:rPr>
        <w:fldChar w:fldCharType="begin"/>
      </w:r>
      <w:r>
        <w:rPr>
          <w:sz w:val="28"/>
        </w:rPr>
        <w:instrText xml:space="preserve"> </w:instrText>
      </w:r>
      <w:r>
        <w:rPr>
          <w:rFonts w:hint="eastAsia"/>
          <w:sz w:val="28"/>
        </w:rPr>
        <w:instrText xml:space="preserve">TOC \o "1-3" \h \z \u</w:instrText>
      </w:r>
      <w:r>
        <w:rPr>
          <w:sz w:val="28"/>
        </w:rPr>
        <w:instrText xml:space="preserve"> </w:instrText>
      </w:r>
      <w:r>
        <w:rPr>
          <w:sz w:val="28"/>
        </w:rPr>
        <w:fldChar w:fldCharType="separate"/>
      </w:r>
      <w:r>
        <w:fldChar w:fldCharType="begin"/>
      </w:r>
      <w:r>
        <w:instrText xml:space="preserve"> HYPERLINK \l "_Toc121692781" </w:instrText>
      </w:r>
      <w:r>
        <w:fldChar w:fldCharType="separate"/>
      </w:r>
      <w:r>
        <w:rPr>
          <w:rStyle w:val="16"/>
          <w:sz w:val="24"/>
          <w:szCs w:val="28"/>
        </w:rPr>
        <w:t>第一章  项目概况</w:t>
      </w:r>
      <w:r>
        <w:tab/>
      </w:r>
      <w:r>
        <w:fldChar w:fldCharType="begin"/>
      </w:r>
      <w:r>
        <w:instrText xml:space="preserve"> PAGEREF _Toc121692781 \h </w:instrText>
      </w:r>
      <w:r>
        <w:fldChar w:fldCharType="separate"/>
      </w:r>
      <w:r>
        <w:t>1</w:t>
      </w:r>
      <w:r>
        <w:fldChar w:fldCharType="end"/>
      </w:r>
      <w:r>
        <w:fldChar w:fldCharType="end"/>
      </w:r>
    </w:p>
    <w:p>
      <w:pPr>
        <w:pStyle w:val="12"/>
        <w:tabs>
          <w:tab w:val="right" w:leader="dot" w:pos="8296"/>
        </w:tabs>
        <w:rPr>
          <w:rFonts w:ascii="宋体" w:hAnsi="宋体" w:eastAsia="宋体" w:cstheme="minorBidi"/>
          <w:kern w:val="2"/>
          <w:sz w:val="24"/>
          <w:szCs w:val="28"/>
        </w:rPr>
      </w:pPr>
      <w:r>
        <w:fldChar w:fldCharType="begin"/>
      </w:r>
      <w:r>
        <w:instrText xml:space="preserve"> HYPERLINK \l "_Toc121692782" </w:instrText>
      </w:r>
      <w:r>
        <w:fldChar w:fldCharType="separate"/>
      </w:r>
      <w:r>
        <w:rPr>
          <w:rStyle w:val="16"/>
          <w:rFonts w:ascii="宋体" w:hAnsi="宋体" w:eastAsia="宋体"/>
          <w:sz w:val="24"/>
          <w:szCs w:val="28"/>
        </w:rPr>
        <w:t>1.1 项目概况</w:t>
      </w:r>
      <w:r>
        <w:rPr>
          <w:rFonts w:ascii="宋体" w:hAnsi="宋体" w:eastAsia="宋体"/>
          <w:sz w:val="24"/>
          <w:szCs w:val="28"/>
        </w:rPr>
        <w:tab/>
      </w:r>
      <w:r>
        <w:rPr>
          <w:rFonts w:ascii="宋体" w:hAnsi="宋体" w:eastAsia="宋体"/>
          <w:sz w:val="24"/>
          <w:szCs w:val="28"/>
        </w:rPr>
        <w:fldChar w:fldCharType="begin"/>
      </w:r>
      <w:r>
        <w:rPr>
          <w:rFonts w:ascii="宋体" w:hAnsi="宋体" w:eastAsia="宋体"/>
          <w:sz w:val="24"/>
          <w:szCs w:val="28"/>
        </w:rPr>
        <w:instrText xml:space="preserve"> PAGEREF _Toc121692782 \h </w:instrText>
      </w:r>
      <w:r>
        <w:rPr>
          <w:rFonts w:ascii="宋体" w:hAnsi="宋体" w:eastAsia="宋体"/>
          <w:sz w:val="24"/>
          <w:szCs w:val="28"/>
        </w:rPr>
        <w:fldChar w:fldCharType="separate"/>
      </w:r>
      <w:r>
        <w:rPr>
          <w:rFonts w:ascii="宋体" w:hAnsi="宋体" w:eastAsia="宋体"/>
          <w:sz w:val="24"/>
          <w:szCs w:val="28"/>
        </w:rPr>
        <w:t>1</w:t>
      </w:r>
      <w:r>
        <w:rPr>
          <w:rFonts w:ascii="宋体" w:hAnsi="宋体" w:eastAsia="宋体"/>
          <w:sz w:val="24"/>
          <w:szCs w:val="28"/>
        </w:rPr>
        <w:fldChar w:fldCharType="end"/>
      </w:r>
      <w:r>
        <w:rPr>
          <w:rFonts w:ascii="宋体" w:hAnsi="宋体" w:eastAsia="宋体"/>
          <w:sz w:val="24"/>
          <w:szCs w:val="28"/>
        </w:rPr>
        <w:fldChar w:fldCharType="end"/>
      </w:r>
    </w:p>
    <w:p>
      <w:pPr>
        <w:pStyle w:val="12"/>
        <w:tabs>
          <w:tab w:val="right" w:leader="dot" w:pos="8296"/>
        </w:tabs>
        <w:rPr>
          <w:rFonts w:ascii="宋体" w:hAnsi="宋体" w:eastAsia="宋体" w:cstheme="minorBidi"/>
          <w:kern w:val="2"/>
          <w:sz w:val="24"/>
          <w:szCs w:val="28"/>
        </w:rPr>
      </w:pPr>
      <w:r>
        <w:fldChar w:fldCharType="begin"/>
      </w:r>
      <w:r>
        <w:instrText xml:space="preserve"> HYPERLINK \l "_Toc121692783" </w:instrText>
      </w:r>
      <w:r>
        <w:fldChar w:fldCharType="separate"/>
      </w:r>
      <w:r>
        <w:rPr>
          <w:rStyle w:val="16"/>
          <w:rFonts w:ascii="宋体" w:hAnsi="宋体" w:eastAsia="宋体"/>
          <w:sz w:val="24"/>
          <w:szCs w:val="28"/>
        </w:rPr>
        <w:t>1.2项目区位</w:t>
      </w:r>
      <w:r>
        <w:rPr>
          <w:rFonts w:ascii="宋体" w:hAnsi="宋体" w:eastAsia="宋体"/>
          <w:sz w:val="24"/>
          <w:szCs w:val="28"/>
        </w:rPr>
        <w:tab/>
      </w:r>
      <w:r>
        <w:rPr>
          <w:rFonts w:ascii="宋体" w:hAnsi="宋体" w:eastAsia="宋体"/>
          <w:sz w:val="24"/>
          <w:szCs w:val="28"/>
        </w:rPr>
        <w:fldChar w:fldCharType="begin"/>
      </w:r>
      <w:r>
        <w:rPr>
          <w:rFonts w:ascii="宋体" w:hAnsi="宋体" w:eastAsia="宋体"/>
          <w:sz w:val="24"/>
          <w:szCs w:val="28"/>
        </w:rPr>
        <w:instrText xml:space="preserve"> PAGEREF _Toc121692783 \h </w:instrText>
      </w:r>
      <w:r>
        <w:rPr>
          <w:rFonts w:ascii="宋体" w:hAnsi="宋体" w:eastAsia="宋体"/>
          <w:sz w:val="24"/>
          <w:szCs w:val="28"/>
        </w:rPr>
        <w:fldChar w:fldCharType="separate"/>
      </w:r>
      <w:r>
        <w:rPr>
          <w:rFonts w:ascii="宋体" w:hAnsi="宋体" w:eastAsia="宋体"/>
          <w:sz w:val="24"/>
          <w:szCs w:val="28"/>
        </w:rPr>
        <w:t>2</w:t>
      </w:r>
      <w:r>
        <w:rPr>
          <w:rFonts w:ascii="宋体" w:hAnsi="宋体" w:eastAsia="宋体"/>
          <w:sz w:val="24"/>
          <w:szCs w:val="28"/>
        </w:rPr>
        <w:fldChar w:fldCharType="end"/>
      </w:r>
      <w:r>
        <w:rPr>
          <w:rFonts w:ascii="宋体" w:hAnsi="宋体" w:eastAsia="宋体"/>
          <w:sz w:val="24"/>
          <w:szCs w:val="28"/>
        </w:rPr>
        <w:fldChar w:fldCharType="end"/>
      </w:r>
    </w:p>
    <w:p>
      <w:pPr>
        <w:pStyle w:val="12"/>
        <w:tabs>
          <w:tab w:val="right" w:leader="dot" w:pos="8296"/>
        </w:tabs>
        <w:rPr>
          <w:rFonts w:ascii="宋体" w:hAnsi="宋体" w:eastAsia="宋体" w:cstheme="minorBidi"/>
          <w:kern w:val="2"/>
          <w:sz w:val="24"/>
          <w:szCs w:val="28"/>
        </w:rPr>
      </w:pPr>
      <w:r>
        <w:fldChar w:fldCharType="begin"/>
      </w:r>
      <w:r>
        <w:instrText xml:space="preserve"> HYPERLINK \l "_Toc121692784" </w:instrText>
      </w:r>
      <w:r>
        <w:fldChar w:fldCharType="separate"/>
      </w:r>
      <w:r>
        <w:rPr>
          <w:rStyle w:val="16"/>
          <w:rFonts w:ascii="宋体" w:hAnsi="宋体" w:eastAsia="宋体"/>
          <w:sz w:val="24"/>
          <w:szCs w:val="28"/>
        </w:rPr>
        <w:t>1.3 交通条件</w:t>
      </w:r>
      <w:r>
        <w:rPr>
          <w:rFonts w:ascii="宋体" w:hAnsi="宋体" w:eastAsia="宋体"/>
          <w:sz w:val="24"/>
          <w:szCs w:val="28"/>
        </w:rPr>
        <w:tab/>
      </w:r>
      <w:r>
        <w:rPr>
          <w:rFonts w:ascii="宋体" w:hAnsi="宋体" w:eastAsia="宋体"/>
          <w:sz w:val="24"/>
          <w:szCs w:val="28"/>
        </w:rPr>
        <w:fldChar w:fldCharType="begin"/>
      </w:r>
      <w:r>
        <w:rPr>
          <w:rFonts w:ascii="宋体" w:hAnsi="宋体" w:eastAsia="宋体"/>
          <w:sz w:val="24"/>
          <w:szCs w:val="28"/>
        </w:rPr>
        <w:instrText xml:space="preserve"> PAGEREF _Toc121692784 \h </w:instrText>
      </w:r>
      <w:r>
        <w:rPr>
          <w:rFonts w:ascii="宋体" w:hAnsi="宋体" w:eastAsia="宋体"/>
          <w:sz w:val="24"/>
          <w:szCs w:val="28"/>
        </w:rPr>
        <w:fldChar w:fldCharType="separate"/>
      </w:r>
      <w:r>
        <w:rPr>
          <w:rFonts w:ascii="宋体" w:hAnsi="宋体" w:eastAsia="宋体"/>
          <w:sz w:val="24"/>
          <w:szCs w:val="28"/>
        </w:rPr>
        <w:t>3</w:t>
      </w:r>
      <w:r>
        <w:rPr>
          <w:rFonts w:ascii="宋体" w:hAnsi="宋体" w:eastAsia="宋体"/>
          <w:sz w:val="24"/>
          <w:szCs w:val="28"/>
        </w:rPr>
        <w:fldChar w:fldCharType="end"/>
      </w:r>
      <w:r>
        <w:rPr>
          <w:rFonts w:ascii="宋体" w:hAnsi="宋体" w:eastAsia="宋体"/>
          <w:sz w:val="24"/>
          <w:szCs w:val="28"/>
        </w:rPr>
        <w:fldChar w:fldCharType="end"/>
      </w:r>
    </w:p>
    <w:p>
      <w:pPr>
        <w:pStyle w:val="12"/>
        <w:tabs>
          <w:tab w:val="right" w:leader="dot" w:pos="8296"/>
        </w:tabs>
        <w:rPr>
          <w:rFonts w:ascii="宋体" w:hAnsi="宋体" w:eastAsia="宋体" w:cstheme="minorBidi"/>
          <w:kern w:val="2"/>
          <w:sz w:val="28"/>
          <w:szCs w:val="28"/>
        </w:rPr>
      </w:pPr>
      <w:r>
        <w:fldChar w:fldCharType="begin"/>
      </w:r>
      <w:r>
        <w:instrText xml:space="preserve"> HYPERLINK \l "_Toc121692785" </w:instrText>
      </w:r>
      <w:r>
        <w:fldChar w:fldCharType="separate"/>
      </w:r>
      <w:r>
        <w:rPr>
          <w:rStyle w:val="16"/>
          <w:rFonts w:ascii="宋体" w:hAnsi="宋体" w:eastAsia="宋体"/>
          <w:sz w:val="24"/>
          <w:szCs w:val="28"/>
        </w:rPr>
        <w:t>1.4 市政条件</w:t>
      </w:r>
      <w:r>
        <w:rPr>
          <w:rFonts w:ascii="宋体" w:hAnsi="宋体" w:eastAsia="宋体"/>
          <w:sz w:val="24"/>
          <w:szCs w:val="28"/>
        </w:rPr>
        <w:tab/>
      </w:r>
      <w:r>
        <w:rPr>
          <w:rFonts w:ascii="宋体" w:hAnsi="宋体" w:eastAsia="宋体"/>
          <w:sz w:val="24"/>
          <w:szCs w:val="28"/>
        </w:rPr>
        <w:fldChar w:fldCharType="begin"/>
      </w:r>
      <w:r>
        <w:rPr>
          <w:rFonts w:ascii="宋体" w:hAnsi="宋体" w:eastAsia="宋体"/>
          <w:sz w:val="24"/>
          <w:szCs w:val="28"/>
        </w:rPr>
        <w:instrText xml:space="preserve"> PAGEREF _Toc121692785 \h </w:instrText>
      </w:r>
      <w:r>
        <w:rPr>
          <w:rFonts w:ascii="宋体" w:hAnsi="宋体" w:eastAsia="宋体"/>
          <w:sz w:val="24"/>
          <w:szCs w:val="28"/>
        </w:rPr>
        <w:fldChar w:fldCharType="separate"/>
      </w:r>
      <w:r>
        <w:rPr>
          <w:rFonts w:ascii="宋体" w:hAnsi="宋体" w:eastAsia="宋体"/>
          <w:sz w:val="24"/>
          <w:szCs w:val="28"/>
        </w:rPr>
        <w:t>3</w:t>
      </w:r>
      <w:r>
        <w:rPr>
          <w:rFonts w:ascii="宋体" w:hAnsi="宋体" w:eastAsia="宋体"/>
          <w:sz w:val="24"/>
          <w:szCs w:val="28"/>
        </w:rPr>
        <w:fldChar w:fldCharType="end"/>
      </w:r>
      <w:r>
        <w:rPr>
          <w:rFonts w:ascii="宋体" w:hAnsi="宋体" w:eastAsia="宋体"/>
          <w:sz w:val="24"/>
          <w:szCs w:val="28"/>
        </w:rPr>
        <w:fldChar w:fldCharType="end"/>
      </w:r>
    </w:p>
    <w:p>
      <w:pPr>
        <w:pStyle w:val="11"/>
        <w:rPr>
          <w:rFonts w:cstheme="minorBidi"/>
          <w:kern w:val="2"/>
        </w:rPr>
      </w:pPr>
      <w:r>
        <w:fldChar w:fldCharType="begin"/>
      </w:r>
      <w:r>
        <w:instrText xml:space="preserve"> HYPERLINK \l "_Toc121692786" </w:instrText>
      </w:r>
      <w:r>
        <w:fldChar w:fldCharType="separate"/>
      </w:r>
      <w:r>
        <w:rPr>
          <w:rStyle w:val="16"/>
          <w:sz w:val="28"/>
          <w:szCs w:val="28"/>
        </w:rPr>
        <w:t>第二章  项目定位</w:t>
      </w:r>
      <w:r>
        <w:tab/>
      </w:r>
      <w:r>
        <w:fldChar w:fldCharType="begin"/>
      </w:r>
      <w:r>
        <w:instrText xml:space="preserve"> PAGEREF _Toc121692786 \h </w:instrText>
      </w:r>
      <w:r>
        <w:fldChar w:fldCharType="separate"/>
      </w:r>
      <w:r>
        <w:t>7</w:t>
      </w:r>
      <w:r>
        <w:fldChar w:fldCharType="end"/>
      </w:r>
      <w:r>
        <w:fldChar w:fldCharType="end"/>
      </w:r>
    </w:p>
    <w:p>
      <w:pPr>
        <w:pStyle w:val="11"/>
        <w:rPr>
          <w:rFonts w:cstheme="minorBidi"/>
          <w:kern w:val="2"/>
        </w:rPr>
      </w:pPr>
      <w:r>
        <w:fldChar w:fldCharType="begin"/>
      </w:r>
      <w:r>
        <w:instrText xml:space="preserve"> HYPERLINK \l "_Toc121692787" </w:instrText>
      </w:r>
      <w:r>
        <w:fldChar w:fldCharType="separate"/>
      </w:r>
      <w:r>
        <w:rPr>
          <w:rStyle w:val="16"/>
          <w:sz w:val="28"/>
          <w:szCs w:val="28"/>
        </w:rPr>
        <w:t>第三章  工作范围</w:t>
      </w:r>
      <w:r>
        <w:tab/>
      </w:r>
      <w:r>
        <w:fldChar w:fldCharType="begin"/>
      </w:r>
      <w:r>
        <w:instrText xml:space="preserve"> PAGEREF _Toc121692787 \h </w:instrText>
      </w:r>
      <w:r>
        <w:fldChar w:fldCharType="separate"/>
      </w:r>
      <w:r>
        <w:t>8</w:t>
      </w:r>
      <w:r>
        <w:fldChar w:fldCharType="end"/>
      </w:r>
      <w:r>
        <w:fldChar w:fldCharType="end"/>
      </w:r>
    </w:p>
    <w:p>
      <w:pPr>
        <w:pStyle w:val="11"/>
        <w:rPr>
          <w:rFonts w:cstheme="minorBidi"/>
          <w:kern w:val="2"/>
        </w:rPr>
      </w:pPr>
      <w:r>
        <w:fldChar w:fldCharType="begin"/>
      </w:r>
      <w:r>
        <w:instrText xml:space="preserve"> HYPERLINK \l "_Toc121692788" </w:instrText>
      </w:r>
      <w:r>
        <w:fldChar w:fldCharType="separate"/>
      </w:r>
      <w:r>
        <w:rPr>
          <w:rStyle w:val="16"/>
          <w:sz w:val="28"/>
          <w:szCs w:val="28"/>
        </w:rPr>
        <w:t>第四章  设计依据</w:t>
      </w:r>
      <w:r>
        <w:tab/>
      </w:r>
      <w:r>
        <w:fldChar w:fldCharType="begin"/>
      </w:r>
      <w:r>
        <w:instrText xml:space="preserve"> PAGEREF _Toc121692788 \h </w:instrText>
      </w:r>
      <w:r>
        <w:fldChar w:fldCharType="separate"/>
      </w:r>
      <w:r>
        <w:t>11</w:t>
      </w:r>
      <w:r>
        <w:fldChar w:fldCharType="end"/>
      </w:r>
      <w:r>
        <w:fldChar w:fldCharType="end"/>
      </w:r>
    </w:p>
    <w:p>
      <w:pPr>
        <w:pStyle w:val="11"/>
        <w:rPr>
          <w:rFonts w:cstheme="minorBidi"/>
          <w:kern w:val="2"/>
        </w:rPr>
      </w:pPr>
      <w:r>
        <w:fldChar w:fldCharType="begin"/>
      </w:r>
      <w:r>
        <w:instrText xml:space="preserve"> HYPERLINK \l "_Toc121692789" </w:instrText>
      </w:r>
      <w:r>
        <w:fldChar w:fldCharType="separate"/>
      </w:r>
      <w:r>
        <w:rPr>
          <w:rStyle w:val="16"/>
          <w:sz w:val="28"/>
          <w:szCs w:val="28"/>
        </w:rPr>
        <w:t>第五章  设计要求</w:t>
      </w:r>
      <w:r>
        <w:tab/>
      </w:r>
      <w:r>
        <w:fldChar w:fldCharType="begin"/>
      </w:r>
      <w:r>
        <w:instrText xml:space="preserve"> PAGEREF _Toc121692789 \h </w:instrText>
      </w:r>
      <w:r>
        <w:fldChar w:fldCharType="separate"/>
      </w:r>
      <w:r>
        <w:t>12</w:t>
      </w:r>
      <w:r>
        <w:fldChar w:fldCharType="end"/>
      </w:r>
      <w:r>
        <w:fldChar w:fldCharType="end"/>
      </w:r>
    </w:p>
    <w:p>
      <w:pPr>
        <w:pStyle w:val="11"/>
        <w:rPr>
          <w:rFonts w:cstheme="minorBidi"/>
          <w:kern w:val="2"/>
        </w:rPr>
      </w:pPr>
      <w:r>
        <w:fldChar w:fldCharType="begin"/>
      </w:r>
      <w:r>
        <w:instrText xml:space="preserve"> HYPERLINK \l "_Toc121692790" </w:instrText>
      </w:r>
      <w:r>
        <w:fldChar w:fldCharType="separate"/>
      </w:r>
      <w:r>
        <w:rPr>
          <w:rStyle w:val="16"/>
          <w:sz w:val="28"/>
          <w:szCs w:val="28"/>
        </w:rPr>
        <w:t>第六章  设计深度要求</w:t>
      </w:r>
      <w:r>
        <w:tab/>
      </w:r>
      <w:r>
        <w:fldChar w:fldCharType="begin"/>
      </w:r>
      <w:r>
        <w:instrText xml:space="preserve"> PAGEREF _Toc121692790 \h </w:instrText>
      </w:r>
      <w:r>
        <w:fldChar w:fldCharType="separate"/>
      </w:r>
      <w:r>
        <w:t>15</w:t>
      </w:r>
      <w:r>
        <w:fldChar w:fldCharType="end"/>
      </w:r>
      <w:r>
        <w:fldChar w:fldCharType="end"/>
      </w:r>
    </w:p>
    <w:p>
      <w:pPr>
        <w:pStyle w:val="11"/>
        <w:rPr>
          <w:rFonts w:cstheme="minorBidi"/>
          <w:kern w:val="2"/>
        </w:rPr>
      </w:pPr>
      <w:r>
        <w:fldChar w:fldCharType="begin"/>
      </w:r>
      <w:r>
        <w:instrText xml:space="preserve"> HYPERLINK \l "_Toc121692791" </w:instrText>
      </w:r>
      <w:r>
        <w:fldChar w:fldCharType="separate"/>
      </w:r>
      <w:r>
        <w:rPr>
          <w:rStyle w:val="16"/>
          <w:sz w:val="28"/>
          <w:szCs w:val="28"/>
        </w:rPr>
        <w:t>第七章  其他设计要求</w:t>
      </w:r>
      <w:bookmarkStart w:id="19" w:name="_GoBack"/>
      <w:bookmarkEnd w:id="19"/>
      <w:r>
        <w:tab/>
      </w:r>
      <w:r>
        <w:fldChar w:fldCharType="begin"/>
      </w:r>
      <w:r>
        <w:instrText xml:space="preserve"> PAGEREF _Toc121692791 \h </w:instrText>
      </w:r>
      <w:r>
        <w:fldChar w:fldCharType="separate"/>
      </w:r>
      <w:r>
        <w:t>16</w:t>
      </w:r>
      <w:r>
        <w:fldChar w:fldCharType="end"/>
      </w:r>
      <w:r>
        <w:fldChar w:fldCharType="end"/>
      </w:r>
    </w:p>
    <w:p>
      <w:pPr>
        <w:pStyle w:val="11"/>
        <w:rPr>
          <w:rFonts w:cstheme="minorBidi"/>
          <w:kern w:val="2"/>
        </w:rPr>
      </w:pPr>
      <w:r>
        <w:fldChar w:fldCharType="begin"/>
      </w:r>
      <w:r>
        <w:instrText xml:space="preserve"> HYPERLINK \l "_Toc121692792" </w:instrText>
      </w:r>
      <w:r>
        <w:fldChar w:fldCharType="separate"/>
      </w:r>
      <w:r>
        <w:rPr>
          <w:rStyle w:val="16"/>
          <w:sz w:val="28"/>
          <w:szCs w:val="28"/>
        </w:rPr>
        <w:t>第八章  设计成果要求</w:t>
      </w:r>
      <w:r>
        <w:tab/>
      </w:r>
      <w:r>
        <w:fldChar w:fldCharType="begin"/>
      </w:r>
      <w:r>
        <w:instrText xml:space="preserve"> PAGEREF _Toc121692792 \h </w:instrText>
      </w:r>
      <w:r>
        <w:fldChar w:fldCharType="separate"/>
      </w:r>
      <w:r>
        <w:t>18</w:t>
      </w:r>
      <w:r>
        <w:fldChar w:fldCharType="end"/>
      </w:r>
      <w:r>
        <w:fldChar w:fldCharType="end"/>
      </w:r>
    </w:p>
    <w:p>
      <w:pPr>
        <w:pStyle w:val="11"/>
        <w:rPr>
          <w:rFonts w:cstheme="minorBidi"/>
          <w:kern w:val="2"/>
        </w:rPr>
      </w:pPr>
      <w:r>
        <w:fldChar w:fldCharType="begin"/>
      </w:r>
      <w:r>
        <w:instrText xml:space="preserve"> HYPERLINK \l "_Toc121692793" </w:instrText>
      </w:r>
      <w:r>
        <w:fldChar w:fldCharType="separate"/>
      </w:r>
      <w:r>
        <w:rPr>
          <w:rStyle w:val="16"/>
          <w:sz w:val="28"/>
          <w:szCs w:val="28"/>
        </w:rPr>
        <w:t>第九章  项目管理要求</w:t>
      </w:r>
      <w:r>
        <w:tab/>
      </w:r>
      <w:r>
        <w:fldChar w:fldCharType="begin"/>
      </w:r>
      <w:r>
        <w:instrText xml:space="preserve"> PAGEREF _Toc121692793 \h </w:instrText>
      </w:r>
      <w:r>
        <w:fldChar w:fldCharType="separate"/>
      </w:r>
      <w:r>
        <w:t>20</w:t>
      </w:r>
      <w:r>
        <w:fldChar w:fldCharType="end"/>
      </w:r>
      <w:r>
        <w:fldChar w:fldCharType="end"/>
      </w:r>
    </w:p>
    <w:p>
      <w:pPr>
        <w:rPr>
          <w:rFonts w:ascii="宋体" w:hAnsi="宋体"/>
          <w:sz w:val="28"/>
          <w:szCs w:val="28"/>
        </w:rPr>
      </w:pPr>
      <w:r>
        <w:rPr>
          <w:rFonts w:ascii="宋体" w:hAnsi="宋体"/>
          <w:sz w:val="28"/>
          <w:szCs w:val="28"/>
        </w:rPr>
        <w:fldChar w:fldCharType="end"/>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ind w:firstLine="0" w:firstLineChars="0"/>
        <w:sectPr>
          <w:footerReference r:id="rId3" w:type="default"/>
          <w:pgSz w:w="11906" w:h="16838"/>
          <w:pgMar w:top="1440" w:right="1800" w:bottom="1440" w:left="1800" w:header="851" w:footer="992" w:gutter="0"/>
          <w:cols w:space="425" w:num="1"/>
          <w:docGrid w:type="lines" w:linePitch="312" w:charSpace="0"/>
        </w:sectPr>
      </w:pPr>
    </w:p>
    <w:p>
      <w:pPr>
        <w:pStyle w:val="13"/>
        <w:spacing w:line="360" w:lineRule="auto"/>
        <w:ind w:firstLine="562"/>
        <w:rPr>
          <w:rFonts w:ascii="宋体" w:hAnsi="宋体" w:eastAsia="宋体"/>
          <w:sz w:val="28"/>
          <w:szCs w:val="21"/>
        </w:rPr>
      </w:pPr>
      <w:bookmarkStart w:id="2" w:name="_Toc121692781"/>
      <w:r>
        <w:rPr>
          <w:rFonts w:hint="eastAsia" w:ascii="宋体" w:hAnsi="宋体" w:eastAsia="宋体"/>
          <w:sz w:val="28"/>
          <w:szCs w:val="21"/>
        </w:rPr>
        <w:t>第一章</w:t>
      </w:r>
      <w:r>
        <w:rPr>
          <w:rFonts w:ascii="宋体" w:hAnsi="宋体" w:eastAsia="宋体"/>
          <w:sz w:val="28"/>
          <w:szCs w:val="21"/>
        </w:rPr>
        <w:t xml:space="preserve">  </w:t>
      </w:r>
      <w:r>
        <w:rPr>
          <w:rFonts w:hint="eastAsia" w:ascii="宋体" w:hAnsi="宋体" w:eastAsia="宋体"/>
          <w:sz w:val="28"/>
          <w:szCs w:val="21"/>
        </w:rPr>
        <w:t>项目概况</w:t>
      </w:r>
      <w:bookmarkEnd w:id="1"/>
      <w:bookmarkEnd w:id="2"/>
    </w:p>
    <w:p>
      <w:pPr>
        <w:pStyle w:val="4"/>
        <w:ind w:firstLine="422"/>
        <w:rPr>
          <w:rFonts w:ascii="宋体" w:hAnsi="宋体"/>
          <w:sz w:val="21"/>
          <w:szCs w:val="21"/>
        </w:rPr>
      </w:pPr>
      <w:bookmarkStart w:id="3" w:name="_Toc121692782"/>
      <w:bookmarkStart w:id="4" w:name="_Toc62570536"/>
      <w:r>
        <w:rPr>
          <w:rFonts w:hint="eastAsia" w:ascii="宋体" w:hAnsi="宋体"/>
          <w:sz w:val="21"/>
          <w:szCs w:val="21"/>
        </w:rPr>
        <w:t>1.1 项目概况</w:t>
      </w:r>
      <w:bookmarkEnd w:id="3"/>
    </w:p>
    <w:p>
      <w:pPr>
        <w:pStyle w:val="2"/>
        <w:snapToGrid w:val="0"/>
        <w:spacing w:before="120" w:after="120" w:line="276" w:lineRule="auto"/>
        <w:rPr>
          <w:rFonts w:ascii="宋体" w:hAnsi="宋体"/>
          <w:szCs w:val="21"/>
        </w:rPr>
      </w:pPr>
      <w:r>
        <w:rPr>
          <w:rFonts w:hint="eastAsia" w:ascii="宋体" w:hAnsi="宋体"/>
          <w:szCs w:val="21"/>
        </w:rPr>
        <w:t>项目名称：中南钢铁总部大楼项目</w:t>
      </w:r>
    </w:p>
    <w:p>
      <w:pPr>
        <w:pStyle w:val="2"/>
        <w:snapToGrid w:val="0"/>
        <w:spacing w:before="120" w:after="120" w:line="276" w:lineRule="auto"/>
        <w:rPr>
          <w:rFonts w:ascii="宋体" w:hAnsi="宋体"/>
          <w:szCs w:val="21"/>
        </w:rPr>
      </w:pPr>
      <w:r>
        <w:rPr>
          <w:rFonts w:hint="eastAsia" w:ascii="宋体" w:hAnsi="宋体"/>
          <w:szCs w:val="21"/>
        </w:rPr>
        <w:t>地址：广州市海珠区琶洲街道海珠区琶洲西区AH040128地块</w:t>
      </w:r>
    </w:p>
    <w:p>
      <w:pPr>
        <w:pStyle w:val="2"/>
        <w:snapToGrid w:val="0"/>
        <w:spacing w:before="120" w:after="120" w:line="276" w:lineRule="auto"/>
        <w:rPr>
          <w:rFonts w:ascii="宋体" w:hAnsi="宋体"/>
          <w:szCs w:val="21"/>
        </w:rPr>
      </w:pPr>
      <w:r>
        <w:rPr>
          <w:rFonts w:hint="eastAsia" w:ascii="宋体" w:hAnsi="宋体"/>
          <w:szCs w:val="21"/>
        </w:rPr>
        <w:t>用地面积：</w:t>
      </w:r>
      <w:r>
        <w:rPr>
          <w:rFonts w:ascii="宋体" w:hAnsi="宋体"/>
          <w:szCs w:val="21"/>
        </w:rPr>
        <w:t>5346平方米</w:t>
      </w:r>
    </w:p>
    <w:p>
      <w:pPr>
        <w:pStyle w:val="2"/>
        <w:snapToGrid w:val="0"/>
        <w:spacing w:before="120" w:after="120" w:line="276" w:lineRule="auto"/>
        <w:rPr>
          <w:rFonts w:ascii="宋体" w:hAnsi="宋体"/>
          <w:szCs w:val="21"/>
        </w:rPr>
      </w:pPr>
      <w:r>
        <w:rPr>
          <w:rFonts w:hint="eastAsia" w:ascii="宋体" w:hAnsi="宋体"/>
          <w:szCs w:val="21"/>
        </w:rPr>
        <w:t>用地性质：商务用地（B</w:t>
      </w:r>
      <w:r>
        <w:rPr>
          <w:rFonts w:ascii="宋体" w:hAnsi="宋体"/>
          <w:szCs w:val="21"/>
        </w:rPr>
        <w:t>2</w:t>
      </w:r>
      <w:r>
        <w:rPr>
          <w:rFonts w:hint="eastAsia" w:ascii="宋体" w:hAnsi="宋体"/>
          <w:szCs w:val="21"/>
        </w:rPr>
        <w:t>），兼容商业用地(</w:t>
      </w:r>
      <w:r>
        <w:rPr>
          <w:rFonts w:ascii="宋体" w:hAnsi="宋体"/>
          <w:szCs w:val="21"/>
        </w:rPr>
        <w:t>B1)</w:t>
      </w:r>
      <w:r>
        <w:rPr>
          <w:rFonts w:hint="eastAsia" w:ascii="宋体" w:hAnsi="宋体"/>
          <w:szCs w:val="21"/>
        </w:rPr>
        <w:t>。主导功能的建筑面积占地块计容建筑面积的比例不得少于</w:t>
      </w:r>
      <w:r>
        <w:rPr>
          <w:rFonts w:ascii="宋体" w:hAnsi="宋体"/>
          <w:szCs w:val="21"/>
        </w:rPr>
        <w:t>75%</w:t>
      </w:r>
    </w:p>
    <w:p>
      <w:pPr>
        <w:pStyle w:val="2"/>
        <w:snapToGrid w:val="0"/>
        <w:spacing w:before="120" w:after="120" w:line="276" w:lineRule="auto"/>
        <w:rPr>
          <w:rFonts w:ascii="宋体" w:hAnsi="宋体"/>
          <w:szCs w:val="21"/>
        </w:rPr>
      </w:pPr>
      <w:r>
        <w:rPr>
          <w:rFonts w:hint="eastAsia" w:ascii="宋体" w:hAnsi="宋体"/>
          <w:szCs w:val="21"/>
        </w:rPr>
        <w:t>容积率：</w:t>
      </w:r>
      <w:r>
        <w:rPr>
          <w:rFonts w:ascii="宋体" w:hAnsi="宋体"/>
          <w:szCs w:val="21"/>
        </w:rPr>
        <w:t>14.0</w:t>
      </w:r>
    </w:p>
    <w:p>
      <w:pPr>
        <w:pStyle w:val="2"/>
        <w:snapToGrid w:val="0"/>
        <w:spacing w:before="120" w:after="120" w:line="276" w:lineRule="auto"/>
        <w:rPr>
          <w:rFonts w:ascii="宋体" w:hAnsi="宋体"/>
          <w:szCs w:val="21"/>
        </w:rPr>
      </w:pPr>
      <w:r>
        <w:rPr>
          <w:rFonts w:hint="eastAsia" w:ascii="宋体" w:hAnsi="宋体"/>
          <w:szCs w:val="21"/>
        </w:rPr>
        <w:t>建筑面积：总建筑面积约9</w:t>
      </w:r>
      <w:r>
        <w:rPr>
          <w:rFonts w:ascii="宋体" w:hAnsi="宋体"/>
          <w:szCs w:val="21"/>
        </w:rPr>
        <w:t>.3</w:t>
      </w:r>
      <w:r>
        <w:rPr>
          <w:rFonts w:hint="eastAsia" w:ascii="宋体" w:hAnsi="宋体"/>
          <w:szCs w:val="21"/>
        </w:rPr>
        <w:t>万平方，其中地上建筑面积约</w:t>
      </w:r>
      <w:r>
        <w:rPr>
          <w:rFonts w:ascii="宋体" w:hAnsi="宋体"/>
          <w:szCs w:val="21"/>
        </w:rPr>
        <w:t>7.</w:t>
      </w:r>
      <w:r>
        <w:rPr>
          <w:rFonts w:hint="eastAsia" w:ascii="宋体" w:hAnsi="宋体"/>
          <w:szCs w:val="21"/>
        </w:rPr>
        <w:t>9万平方米（计容面积</w:t>
      </w:r>
      <w:r>
        <w:rPr>
          <w:rFonts w:ascii="宋体" w:hAnsi="宋体"/>
          <w:szCs w:val="21"/>
        </w:rPr>
        <w:t>74844平方米</w:t>
      </w:r>
      <w:r>
        <w:rPr>
          <w:rFonts w:hint="eastAsia" w:ascii="宋体" w:hAnsi="宋体"/>
          <w:szCs w:val="21"/>
        </w:rPr>
        <w:t>），地下建筑面积约1</w:t>
      </w:r>
      <w:r>
        <w:rPr>
          <w:rFonts w:ascii="宋体" w:hAnsi="宋体"/>
          <w:szCs w:val="21"/>
        </w:rPr>
        <w:t>.</w:t>
      </w:r>
      <w:r>
        <w:rPr>
          <w:rFonts w:hint="eastAsia" w:ascii="宋体" w:hAnsi="宋体"/>
          <w:szCs w:val="21"/>
        </w:rPr>
        <w:t>4万平方米。</w:t>
      </w:r>
    </w:p>
    <w:p>
      <w:pPr>
        <w:pStyle w:val="2"/>
        <w:snapToGrid w:val="0"/>
        <w:spacing w:before="120" w:after="120" w:line="276" w:lineRule="auto"/>
        <w:rPr>
          <w:rFonts w:ascii="宋体" w:hAnsi="宋体"/>
          <w:szCs w:val="21"/>
        </w:rPr>
      </w:pPr>
      <w:r>
        <w:rPr>
          <w:rFonts w:hint="eastAsia" w:ascii="宋体" w:hAnsi="宋体"/>
          <w:szCs w:val="21"/>
        </w:rPr>
        <w:t>建筑控高：≤</w:t>
      </w:r>
      <w:r>
        <w:rPr>
          <w:rFonts w:ascii="宋体" w:hAnsi="宋体"/>
          <w:szCs w:val="21"/>
        </w:rPr>
        <w:t>185米</w:t>
      </w:r>
    </w:p>
    <w:p>
      <w:pPr>
        <w:pStyle w:val="2"/>
        <w:snapToGrid w:val="0"/>
        <w:spacing w:before="120" w:after="120" w:line="276" w:lineRule="auto"/>
        <w:rPr>
          <w:rFonts w:ascii="宋体" w:hAnsi="宋体"/>
          <w:szCs w:val="21"/>
        </w:rPr>
      </w:pPr>
      <w:r>
        <w:rPr>
          <w:rFonts w:hint="eastAsia" w:ascii="宋体" w:hAnsi="宋体"/>
          <w:szCs w:val="21"/>
        </w:rPr>
        <w:t>建筑密度：≥4</w:t>
      </w:r>
      <w:r>
        <w:rPr>
          <w:rFonts w:ascii="宋体" w:hAnsi="宋体"/>
          <w:szCs w:val="21"/>
        </w:rPr>
        <w:t>8</w:t>
      </w:r>
      <w:r>
        <w:rPr>
          <w:rFonts w:hint="eastAsia" w:ascii="宋体" w:hAnsi="宋体"/>
          <w:szCs w:val="21"/>
        </w:rPr>
        <w:t>%，≤7</w:t>
      </w:r>
      <w:r>
        <w:rPr>
          <w:rFonts w:ascii="宋体" w:hAnsi="宋体"/>
          <w:szCs w:val="21"/>
        </w:rPr>
        <w:t>0</w:t>
      </w:r>
      <w:r>
        <w:rPr>
          <w:rFonts w:hint="eastAsia" w:ascii="宋体" w:hAnsi="宋体"/>
          <w:szCs w:val="21"/>
        </w:rPr>
        <w:t>%</w:t>
      </w:r>
    </w:p>
    <w:p>
      <w:pPr>
        <w:pStyle w:val="2"/>
        <w:snapToGrid w:val="0"/>
        <w:spacing w:before="120" w:after="120" w:line="276" w:lineRule="auto"/>
        <w:rPr>
          <w:rFonts w:ascii="宋体" w:hAnsi="宋体"/>
          <w:szCs w:val="21"/>
        </w:rPr>
      </w:pPr>
      <w:r>
        <w:rPr>
          <w:rFonts w:hint="eastAsia" w:ascii="宋体" w:hAnsi="宋体"/>
          <w:szCs w:val="21"/>
        </w:rPr>
        <w:t xml:space="preserve">绿地率： </w:t>
      </w:r>
      <w:r>
        <w:rPr>
          <w:rFonts w:ascii="宋体" w:hAnsi="宋体"/>
          <w:szCs w:val="21"/>
        </w:rPr>
        <w:t xml:space="preserve"> </w:t>
      </w:r>
      <w:r>
        <w:rPr>
          <w:rFonts w:hint="eastAsia" w:ascii="宋体" w:hAnsi="宋体"/>
          <w:szCs w:val="21"/>
        </w:rPr>
        <w:t>≥</w:t>
      </w:r>
      <w:r>
        <w:rPr>
          <w:rFonts w:ascii="宋体" w:hAnsi="宋体"/>
          <w:szCs w:val="21"/>
        </w:rPr>
        <w:t>10</w:t>
      </w:r>
      <w:r>
        <w:rPr>
          <w:rFonts w:hint="eastAsia" w:ascii="宋体" w:hAnsi="宋体"/>
          <w:szCs w:val="21"/>
        </w:rPr>
        <w:t>%，≤</w:t>
      </w:r>
      <w:r>
        <w:rPr>
          <w:rFonts w:ascii="宋体" w:hAnsi="宋体"/>
          <w:szCs w:val="21"/>
        </w:rPr>
        <w:t>20</w:t>
      </w:r>
      <w:r>
        <w:rPr>
          <w:rFonts w:hint="eastAsia" w:ascii="宋体" w:hAnsi="宋体"/>
          <w:szCs w:val="21"/>
        </w:rPr>
        <w:t>%</w:t>
      </w:r>
    </w:p>
    <w:p>
      <w:pPr>
        <w:pStyle w:val="2"/>
        <w:snapToGrid w:val="0"/>
        <w:spacing w:before="120" w:after="120" w:line="276" w:lineRule="auto"/>
        <w:rPr>
          <w:rFonts w:ascii="宋体" w:hAnsi="宋体"/>
          <w:szCs w:val="21"/>
        </w:rPr>
      </w:pPr>
      <w:r>
        <w:rPr>
          <w:rFonts w:hint="eastAsia" w:ascii="宋体" w:hAnsi="宋体"/>
          <w:szCs w:val="21"/>
        </w:rPr>
        <w:t>建筑功能：以为商务办公为主（部分楼层为总部自用），兼容规划要求范围内的配套商业及公共服务配套设施。</w:t>
      </w:r>
    </w:p>
    <w:p>
      <w:pPr>
        <w:pStyle w:val="2"/>
        <w:snapToGrid w:val="0"/>
        <w:spacing w:before="120" w:after="120" w:line="276" w:lineRule="auto"/>
        <w:rPr>
          <w:rFonts w:ascii="宋体" w:hAnsi="宋体"/>
          <w:szCs w:val="21"/>
        </w:rPr>
      </w:pPr>
      <w:r>
        <w:rPr>
          <w:rFonts w:hint="eastAsia" w:ascii="宋体" w:hAnsi="宋体"/>
          <w:szCs w:val="21"/>
        </w:rPr>
        <w:t>绿建要求：绿色建筑三星标准，L</w:t>
      </w:r>
      <w:r>
        <w:rPr>
          <w:rFonts w:ascii="宋体" w:hAnsi="宋体"/>
          <w:szCs w:val="21"/>
        </w:rPr>
        <w:t xml:space="preserve">eed </w:t>
      </w:r>
      <w:r>
        <w:rPr>
          <w:rFonts w:hint="eastAsia" w:ascii="宋体" w:hAnsi="宋体"/>
          <w:szCs w:val="21"/>
        </w:rPr>
        <w:t>Gold认证。</w:t>
      </w:r>
    </w:p>
    <w:p>
      <w:pPr>
        <w:pStyle w:val="2"/>
        <w:snapToGrid w:val="0"/>
        <w:spacing w:before="120" w:after="120" w:line="276" w:lineRule="auto"/>
        <w:rPr>
          <w:rFonts w:ascii="宋体" w:hAnsi="宋体"/>
          <w:szCs w:val="21"/>
        </w:rPr>
      </w:pPr>
      <w:r>
        <w:rPr>
          <w:rFonts w:hint="eastAsia" w:ascii="宋体" w:hAnsi="宋体"/>
          <w:szCs w:val="21"/>
        </w:rPr>
        <w:t>建筑控制界面：</w:t>
      </w:r>
    </w:p>
    <w:p>
      <w:pPr>
        <w:pStyle w:val="2"/>
        <w:snapToGrid w:val="0"/>
        <w:spacing w:before="120" w:after="120" w:line="276" w:lineRule="auto"/>
        <w:rPr>
          <w:rFonts w:ascii="宋体" w:hAnsi="宋体"/>
          <w:szCs w:val="21"/>
        </w:rPr>
      </w:pPr>
      <w:r>
        <w:rPr>
          <w:rFonts w:ascii="宋体" w:hAnsi="宋体"/>
          <w:szCs w:val="21"/>
        </w:rPr>
        <w:drawing>
          <wp:inline distT="0" distB="0" distL="0" distR="0">
            <wp:extent cx="4267200" cy="3173730"/>
            <wp:effectExtent l="0" t="0" r="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5"/>
                    <a:stretch>
                      <a:fillRect/>
                    </a:stretch>
                  </pic:blipFill>
                  <pic:spPr>
                    <a:xfrm>
                      <a:off x="0" y="0"/>
                      <a:ext cx="4295391" cy="3194910"/>
                    </a:xfrm>
                    <a:prstGeom prst="rect">
                      <a:avLst/>
                    </a:prstGeom>
                  </pic:spPr>
                </pic:pic>
              </a:graphicData>
            </a:graphic>
          </wp:inline>
        </w:drawing>
      </w:r>
    </w:p>
    <w:p>
      <w:pPr>
        <w:pStyle w:val="2"/>
        <w:snapToGrid w:val="0"/>
        <w:spacing w:before="120" w:after="120" w:line="276" w:lineRule="auto"/>
        <w:rPr>
          <w:rFonts w:ascii="宋体" w:hAnsi="宋体"/>
          <w:szCs w:val="21"/>
        </w:rPr>
      </w:pPr>
    </w:p>
    <w:p>
      <w:pPr>
        <w:pStyle w:val="2"/>
        <w:snapToGrid w:val="0"/>
        <w:spacing w:before="120" w:after="120" w:line="276" w:lineRule="auto"/>
        <w:rPr>
          <w:rFonts w:ascii="宋体" w:hAnsi="宋体"/>
          <w:szCs w:val="21"/>
        </w:rPr>
      </w:pPr>
    </w:p>
    <w:p>
      <w:pPr>
        <w:pStyle w:val="2"/>
        <w:snapToGrid w:val="0"/>
        <w:spacing w:before="120" w:after="120" w:line="276" w:lineRule="auto"/>
        <w:rPr>
          <w:rFonts w:ascii="宋体" w:hAnsi="宋体"/>
          <w:szCs w:val="21"/>
        </w:rPr>
      </w:pPr>
      <w:r>
        <w:rPr>
          <w:rFonts w:hint="eastAsia" w:ascii="宋体" w:hAnsi="宋体"/>
          <w:szCs w:val="21"/>
        </w:rPr>
        <w:t>概念方案建筑立面：</w:t>
      </w:r>
    </w:p>
    <w:p>
      <w:pPr>
        <w:pStyle w:val="2"/>
        <w:snapToGrid w:val="0"/>
        <w:spacing w:before="120" w:after="120" w:line="276" w:lineRule="auto"/>
        <w:rPr>
          <w:rFonts w:ascii="宋体" w:hAnsi="宋体"/>
          <w:szCs w:val="21"/>
        </w:rPr>
      </w:pPr>
      <w:r>
        <w:rPr>
          <w:rFonts w:ascii="宋体" w:hAnsi="宋体"/>
          <w:szCs w:val="21"/>
        </w:rPr>
        <w:drawing>
          <wp:inline distT="0" distB="0" distL="0" distR="0">
            <wp:extent cx="2470150" cy="4003675"/>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472010" cy="4007083"/>
                    </a:xfrm>
                    <a:prstGeom prst="rect">
                      <a:avLst/>
                    </a:prstGeom>
                    <a:noFill/>
                  </pic:spPr>
                </pic:pic>
              </a:graphicData>
            </a:graphic>
          </wp:inline>
        </w:drawing>
      </w:r>
      <w:r>
        <w:rPr>
          <w:rFonts w:hint="eastAsia" w:ascii="宋体" w:hAnsi="宋体"/>
          <w:szCs w:val="21"/>
        </w:rPr>
        <w:t xml:space="preserve"> </w:t>
      </w:r>
      <w:r>
        <w:rPr>
          <w:rFonts w:ascii="宋体" w:hAnsi="宋体"/>
          <w:szCs w:val="21"/>
        </w:rPr>
        <w:t xml:space="preserve"> </w:t>
      </w:r>
      <w:r>
        <w:rPr>
          <w:rFonts w:ascii="宋体" w:hAnsi="宋体"/>
          <w:szCs w:val="21"/>
        </w:rPr>
        <w:drawing>
          <wp:inline distT="0" distB="0" distL="0" distR="0">
            <wp:extent cx="2336800" cy="3995420"/>
            <wp:effectExtent l="0" t="0" r="6350" b="5080"/>
            <wp:docPr id="5939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5" name="图片 4"/>
                    <pic:cNvPicPr>
                      <a:picLocks noChangeAspect="1" noChangeArrowheads="1"/>
                    </pic:cNvPicPr>
                  </pic:nvPicPr>
                  <pic:blipFill>
                    <a:blip r:embed="rId7" cstate="print">
                      <a:extLst>
                        <a:ext uri="{28A0092B-C50C-407E-A947-70E740481C1C}">
                          <a14:useLocalDpi xmlns:a14="http://schemas.microsoft.com/office/drawing/2010/main" val="0"/>
                        </a:ext>
                      </a:extLst>
                    </a:blip>
                    <a:srcRect l="41577" t="9705" r="22786" b="4134"/>
                    <a:stretch>
                      <a:fillRect/>
                    </a:stretch>
                  </pic:blipFill>
                  <pic:spPr>
                    <a:xfrm>
                      <a:off x="0" y="0"/>
                      <a:ext cx="2338407" cy="3998257"/>
                    </a:xfrm>
                    <a:prstGeom prst="rect">
                      <a:avLst/>
                    </a:prstGeom>
                    <a:noFill/>
                    <a:ln>
                      <a:noFill/>
                    </a:ln>
                  </pic:spPr>
                </pic:pic>
              </a:graphicData>
            </a:graphic>
          </wp:inline>
        </w:drawing>
      </w:r>
    </w:p>
    <w:p>
      <w:pPr>
        <w:pStyle w:val="2"/>
        <w:snapToGrid w:val="0"/>
        <w:spacing w:before="120" w:after="120" w:line="276" w:lineRule="auto"/>
        <w:rPr>
          <w:rFonts w:ascii="宋体" w:hAnsi="宋体"/>
          <w:szCs w:val="21"/>
        </w:rPr>
      </w:pPr>
    </w:p>
    <w:p>
      <w:pPr>
        <w:pStyle w:val="4"/>
        <w:ind w:firstLine="422"/>
        <w:rPr>
          <w:rFonts w:ascii="宋体" w:hAnsi="宋体"/>
          <w:sz w:val="21"/>
          <w:szCs w:val="21"/>
        </w:rPr>
      </w:pPr>
      <w:bookmarkStart w:id="5" w:name="_Toc121692783"/>
      <w:r>
        <w:rPr>
          <w:rFonts w:ascii="宋体" w:hAnsi="宋体"/>
          <w:sz w:val="21"/>
          <w:szCs w:val="21"/>
        </w:rPr>
        <w:t xml:space="preserve">1.2 </w:t>
      </w:r>
      <w:r>
        <w:rPr>
          <w:rFonts w:hint="eastAsia" w:ascii="宋体" w:hAnsi="宋体"/>
          <w:sz w:val="21"/>
          <w:szCs w:val="21"/>
        </w:rPr>
        <w:t>项目区位</w:t>
      </w:r>
      <w:bookmarkEnd w:id="4"/>
      <w:bookmarkEnd w:id="5"/>
    </w:p>
    <w:p>
      <w:pPr>
        <w:pStyle w:val="21"/>
        <w:autoSpaceDE w:val="0"/>
        <w:autoSpaceDN w:val="0"/>
        <w:spacing w:line="360" w:lineRule="auto"/>
        <w:ind w:firstLine="480" w:firstLineChars="0"/>
        <w:rPr>
          <w:rFonts w:ascii="宋体" w:hAnsi="宋体" w:eastAsia="宋体"/>
          <w:sz w:val="21"/>
          <w:szCs w:val="21"/>
        </w:rPr>
      </w:pPr>
      <w:r>
        <w:rPr>
          <w:rFonts w:hint="eastAsia" w:ascii="宋体" w:hAnsi="宋体" w:eastAsia="宋体"/>
          <w:sz w:val="21"/>
          <w:szCs w:val="21"/>
        </w:rPr>
        <w:t>本项目拟建设为以中南钢铁总部基地为依托的商办类项目，辅以少量商业配套的业态。项目基地位于广东省广州市海珠区，华南快速大道以西、珠江以南，南临已建成投入营运的宝地广场。具体区位见下图。</w:t>
      </w:r>
    </w:p>
    <w:p>
      <w:pPr>
        <w:pStyle w:val="21"/>
        <w:autoSpaceDE w:val="0"/>
        <w:autoSpaceDN w:val="0"/>
        <w:spacing w:line="360" w:lineRule="auto"/>
        <w:ind w:firstLine="480" w:firstLineChars="0"/>
        <w:rPr>
          <w:rFonts w:ascii="宋体" w:hAnsi="宋体" w:eastAsia="宋体"/>
          <w:sz w:val="21"/>
          <w:szCs w:val="21"/>
        </w:rPr>
      </w:pPr>
      <w:r>
        <w:rPr>
          <w:rFonts w:ascii="宋体" w:hAnsi="宋体" w:eastAsia="宋体"/>
          <w:sz w:val="21"/>
          <w:szCs w:val="21"/>
        </w:rPr>
        <w:drawing>
          <wp:inline distT="0" distB="0" distL="0" distR="0">
            <wp:extent cx="4799330" cy="3212465"/>
            <wp:effectExtent l="0" t="0" r="1270"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8"/>
                    <a:srcRect t="4348"/>
                    <a:stretch>
                      <a:fillRect/>
                    </a:stretch>
                  </pic:blipFill>
                  <pic:spPr>
                    <a:xfrm>
                      <a:off x="0" y="0"/>
                      <a:ext cx="4810303" cy="3219564"/>
                    </a:xfrm>
                    <a:prstGeom prst="rect">
                      <a:avLst/>
                    </a:prstGeom>
                    <a:ln>
                      <a:noFill/>
                    </a:ln>
                  </pic:spPr>
                </pic:pic>
              </a:graphicData>
            </a:graphic>
          </wp:inline>
        </w:drawing>
      </w:r>
    </w:p>
    <w:p>
      <w:pPr>
        <w:pStyle w:val="4"/>
        <w:ind w:firstLine="422"/>
        <w:rPr>
          <w:rFonts w:ascii="宋体" w:hAnsi="宋体"/>
          <w:sz w:val="21"/>
          <w:szCs w:val="21"/>
        </w:rPr>
      </w:pPr>
      <w:bookmarkStart w:id="6" w:name="_Toc121692784"/>
      <w:bookmarkStart w:id="7" w:name="_Toc62570537"/>
      <w:r>
        <w:rPr>
          <w:rFonts w:hint="eastAsia" w:ascii="宋体" w:hAnsi="宋体"/>
          <w:sz w:val="21"/>
          <w:szCs w:val="21"/>
        </w:rPr>
        <w:t>1.</w:t>
      </w:r>
      <w:r>
        <w:rPr>
          <w:rFonts w:ascii="宋体" w:hAnsi="宋体"/>
          <w:sz w:val="21"/>
          <w:szCs w:val="21"/>
        </w:rPr>
        <w:t>3</w:t>
      </w:r>
      <w:r>
        <w:rPr>
          <w:rFonts w:hint="eastAsia" w:ascii="宋体" w:hAnsi="宋体"/>
          <w:sz w:val="21"/>
          <w:szCs w:val="21"/>
        </w:rPr>
        <w:t xml:space="preserve"> 交通条件</w:t>
      </w:r>
      <w:bookmarkEnd w:id="6"/>
      <w:bookmarkEnd w:id="7"/>
    </w:p>
    <w:p>
      <w:pPr>
        <w:pStyle w:val="21"/>
        <w:autoSpaceDE w:val="0"/>
        <w:autoSpaceDN w:val="0"/>
        <w:spacing w:line="360" w:lineRule="auto"/>
        <w:ind w:firstLine="480" w:firstLineChars="0"/>
        <w:rPr>
          <w:rFonts w:ascii="宋体" w:hAnsi="宋体" w:eastAsia="宋体"/>
          <w:sz w:val="21"/>
          <w:szCs w:val="21"/>
        </w:rPr>
      </w:pPr>
      <w:r>
        <w:rPr>
          <w:rFonts w:hint="eastAsia" w:ascii="宋体" w:hAnsi="宋体" w:eastAsia="宋体"/>
          <w:sz w:val="21"/>
          <w:szCs w:val="21"/>
        </w:rPr>
        <w:t>该地块位于广州人工智能和数字经济试验区的琶洲核心区，地块东侧紧临城市次干道海洲路，南侧面邻城市支路琶洲大街西（现为芳园路），西侧直通规划20米市政道路，北侧面邻宽城市支路琶洲北街西；北侧江边300米围已开通观光地铁，南侧500米范围已开通地铁8号线磨碟沙站，西侧约1公里范围已开通地铁3号线广州塔站，东南紧临在建地铁18号线琶洲西站（与磨碟沙站地下相通）约200米，南侧200米范围内规划地铁28号线立项待建，50米范围内规划环琶洲岛有轨电车；未来还将开通2条城际轨道线路（广佛环线、穗莞深支线）、港澳水线航线、建设大型综合枢纽和城市综合航站楼。届时，可实现10分至达广州南站、20分钟到达白云机场、坐船2小时到达港澳。。</w:t>
      </w:r>
    </w:p>
    <w:p>
      <w:pPr>
        <w:pStyle w:val="4"/>
        <w:ind w:firstLine="422"/>
        <w:rPr>
          <w:rFonts w:ascii="宋体" w:hAnsi="宋体"/>
          <w:sz w:val="21"/>
          <w:szCs w:val="21"/>
        </w:rPr>
      </w:pPr>
      <w:bookmarkStart w:id="8" w:name="_Toc121692785"/>
      <w:bookmarkStart w:id="9" w:name="_Toc62570538"/>
      <w:r>
        <w:rPr>
          <w:rFonts w:hint="eastAsia" w:ascii="宋体" w:hAnsi="宋体"/>
          <w:sz w:val="21"/>
          <w:szCs w:val="21"/>
        </w:rPr>
        <w:t>1.</w:t>
      </w:r>
      <w:r>
        <w:rPr>
          <w:rFonts w:ascii="宋体" w:hAnsi="宋体"/>
          <w:sz w:val="21"/>
          <w:szCs w:val="21"/>
        </w:rPr>
        <w:t>4</w:t>
      </w:r>
      <w:r>
        <w:rPr>
          <w:rFonts w:hint="eastAsia" w:ascii="宋体" w:hAnsi="宋体"/>
          <w:sz w:val="21"/>
          <w:szCs w:val="21"/>
        </w:rPr>
        <w:t xml:space="preserve"> 市政条件</w:t>
      </w:r>
      <w:bookmarkEnd w:id="8"/>
      <w:bookmarkEnd w:id="9"/>
    </w:p>
    <w:p>
      <w:pPr>
        <w:pStyle w:val="21"/>
        <w:autoSpaceDE w:val="0"/>
        <w:autoSpaceDN w:val="0"/>
        <w:spacing w:line="360" w:lineRule="auto"/>
        <w:ind w:firstLine="480" w:firstLineChars="0"/>
        <w:rPr>
          <w:rFonts w:ascii="宋体" w:hAnsi="宋体" w:eastAsia="宋体"/>
          <w:sz w:val="21"/>
          <w:szCs w:val="21"/>
        </w:rPr>
      </w:pPr>
      <w:r>
        <w:rPr>
          <w:rFonts w:hint="eastAsia" w:ascii="宋体" w:hAnsi="宋体" w:eastAsia="宋体"/>
          <w:sz w:val="21"/>
          <w:szCs w:val="21"/>
        </w:rPr>
        <w:t>1.3.1供电情况</w:t>
      </w:r>
    </w:p>
    <w:p>
      <w:pPr>
        <w:pStyle w:val="21"/>
        <w:autoSpaceDE w:val="0"/>
        <w:autoSpaceDN w:val="0"/>
        <w:adjustRightInd w:val="0"/>
        <w:snapToGrid w:val="0"/>
        <w:spacing w:line="360" w:lineRule="auto"/>
        <w:ind w:firstLine="480" w:firstLineChars="0"/>
        <w:rPr>
          <w:rFonts w:ascii="宋体" w:hAnsi="宋体" w:eastAsia="宋体"/>
          <w:sz w:val="21"/>
          <w:szCs w:val="21"/>
        </w:rPr>
      </w:pPr>
      <w:r>
        <w:rPr>
          <w:rFonts w:ascii="宋体" w:hAnsi="宋体" w:eastAsia="宋体"/>
          <w:sz w:val="21"/>
          <w:szCs w:val="21"/>
        </w:rPr>
        <w:t>琶洲片区供电情况主要分以下几个方面：220kV及110kV变电站布点、220kV及110kV高压电缆路由及规模、10kV配电网电缆路由及规模。</w:t>
      </w:r>
    </w:p>
    <w:p>
      <w:pPr>
        <w:adjustRightInd w:val="0"/>
        <w:snapToGrid w:val="0"/>
        <w:spacing w:line="360" w:lineRule="auto"/>
        <w:ind w:firstLine="480"/>
        <w:rPr>
          <w:rFonts w:ascii="宋体" w:hAnsi="宋体"/>
          <w:szCs w:val="21"/>
        </w:rPr>
      </w:pPr>
      <w:r>
        <w:rPr>
          <w:rFonts w:ascii="宋体" w:hAnsi="宋体"/>
          <w:szCs w:val="21"/>
        </w:rPr>
        <w:t>（</w:t>
      </w:r>
      <w:r>
        <w:rPr>
          <w:rFonts w:hint="eastAsia" w:ascii="宋体" w:hAnsi="宋体"/>
          <w:szCs w:val="21"/>
        </w:rPr>
        <w:t>1</w:t>
      </w:r>
      <w:r>
        <w:rPr>
          <w:rFonts w:ascii="宋体" w:hAnsi="宋体"/>
          <w:szCs w:val="21"/>
        </w:rPr>
        <w:t>）220kV变电站情况</w:t>
      </w:r>
    </w:p>
    <w:p>
      <w:pPr>
        <w:pStyle w:val="21"/>
        <w:autoSpaceDE w:val="0"/>
        <w:autoSpaceDN w:val="0"/>
        <w:adjustRightInd w:val="0"/>
        <w:snapToGrid w:val="0"/>
        <w:spacing w:line="360" w:lineRule="auto"/>
        <w:ind w:firstLine="480" w:firstLineChars="0"/>
        <w:rPr>
          <w:rFonts w:ascii="宋体" w:hAnsi="宋体" w:eastAsia="宋体"/>
          <w:sz w:val="21"/>
          <w:szCs w:val="21"/>
        </w:rPr>
      </w:pPr>
      <w:r>
        <w:rPr>
          <w:rFonts w:ascii="宋体" w:hAnsi="宋体" w:eastAsia="宋体"/>
          <w:sz w:val="21"/>
          <w:szCs w:val="21"/>
        </w:rPr>
        <w:t>现状琶洲片区无运营的220kV变电站，在华南快速以西，新港东路以北正在建设220kV磨碟</w:t>
      </w:r>
      <w:r>
        <w:rPr>
          <w:rFonts w:hint="eastAsia" w:ascii="宋体" w:hAnsi="宋体" w:eastAsia="宋体"/>
          <w:sz w:val="21"/>
          <w:szCs w:val="21"/>
        </w:rPr>
        <w:t>洲</w:t>
      </w:r>
      <w:r>
        <w:rPr>
          <w:rFonts w:ascii="宋体" w:hAnsi="宋体" w:eastAsia="宋体"/>
          <w:sz w:val="21"/>
          <w:szCs w:val="21"/>
        </w:rPr>
        <w:t>变电站</w:t>
      </w:r>
      <w:r>
        <w:rPr>
          <w:rFonts w:hint="eastAsia" w:ascii="宋体" w:hAnsi="宋体" w:eastAsia="宋体"/>
          <w:sz w:val="21"/>
          <w:szCs w:val="21"/>
        </w:rPr>
        <w:t>（2019年10月开工建设）</w:t>
      </w:r>
      <w:r>
        <w:rPr>
          <w:rFonts w:ascii="宋体" w:hAnsi="宋体" w:eastAsia="宋体"/>
          <w:sz w:val="21"/>
          <w:szCs w:val="21"/>
        </w:rPr>
        <w:t>，建成后将成为琶洲片区的主电源，以确保琶洲</w:t>
      </w:r>
      <w:r>
        <w:rPr>
          <w:rFonts w:hint="eastAsia" w:ascii="宋体" w:hAnsi="宋体" w:eastAsia="宋体"/>
          <w:sz w:val="21"/>
          <w:szCs w:val="21"/>
        </w:rPr>
        <w:t>西</w:t>
      </w:r>
      <w:r>
        <w:rPr>
          <w:rFonts w:ascii="宋体" w:hAnsi="宋体" w:eastAsia="宋体"/>
          <w:sz w:val="21"/>
          <w:szCs w:val="21"/>
        </w:rPr>
        <w:t>区及B1区的供电负荷。</w:t>
      </w:r>
    </w:p>
    <w:p>
      <w:pPr>
        <w:adjustRightInd w:val="0"/>
        <w:snapToGrid w:val="0"/>
        <w:spacing w:line="360" w:lineRule="auto"/>
        <w:ind w:firstLine="480"/>
        <w:rPr>
          <w:rFonts w:ascii="宋体" w:hAnsi="宋体"/>
          <w:szCs w:val="21"/>
        </w:rPr>
      </w:pPr>
      <w:r>
        <w:rPr>
          <w:rFonts w:ascii="宋体" w:hAnsi="宋体"/>
          <w:szCs w:val="21"/>
        </w:rPr>
        <w:t>（</w:t>
      </w:r>
      <w:r>
        <w:rPr>
          <w:rFonts w:hint="eastAsia" w:ascii="宋体" w:hAnsi="宋体"/>
          <w:szCs w:val="21"/>
        </w:rPr>
        <w:t>2</w:t>
      </w:r>
      <w:r>
        <w:rPr>
          <w:rFonts w:ascii="宋体" w:hAnsi="宋体"/>
          <w:szCs w:val="21"/>
        </w:rPr>
        <w:t>）110kV变电站情况</w:t>
      </w:r>
    </w:p>
    <w:p>
      <w:pPr>
        <w:pStyle w:val="21"/>
        <w:autoSpaceDE w:val="0"/>
        <w:autoSpaceDN w:val="0"/>
        <w:adjustRightInd w:val="0"/>
        <w:snapToGrid w:val="0"/>
        <w:spacing w:line="360" w:lineRule="auto"/>
        <w:ind w:firstLine="480" w:firstLineChars="0"/>
        <w:rPr>
          <w:rFonts w:ascii="宋体" w:hAnsi="宋体" w:eastAsia="宋体"/>
          <w:sz w:val="21"/>
          <w:szCs w:val="21"/>
        </w:rPr>
      </w:pPr>
      <w:r>
        <w:rPr>
          <w:rFonts w:ascii="宋体" w:hAnsi="宋体" w:eastAsia="宋体"/>
          <w:sz w:val="21"/>
          <w:szCs w:val="21"/>
        </w:rPr>
        <w:t>现状琶洲片区有</w:t>
      </w:r>
      <w:r>
        <w:rPr>
          <w:rFonts w:hint="eastAsia" w:ascii="宋体" w:hAnsi="宋体" w:eastAsia="宋体"/>
          <w:sz w:val="21"/>
          <w:szCs w:val="21"/>
        </w:rPr>
        <w:t>4</w:t>
      </w:r>
      <w:r>
        <w:rPr>
          <w:rFonts w:ascii="宋体" w:hAnsi="宋体" w:eastAsia="宋体"/>
          <w:sz w:val="21"/>
          <w:szCs w:val="21"/>
        </w:rPr>
        <w:t>座110kV变电站，分别为会展变电站、琶洲变电站、保利变电</w:t>
      </w:r>
      <w:r>
        <w:rPr>
          <w:rFonts w:hint="eastAsia" w:ascii="宋体" w:hAnsi="宋体" w:eastAsia="宋体"/>
          <w:sz w:val="21"/>
          <w:szCs w:val="21"/>
        </w:rPr>
        <w:t>站、艺苑变电站（</w:t>
      </w:r>
      <w:r>
        <w:rPr>
          <w:rFonts w:hint="eastAsia" w:ascii="宋体" w:hAnsi="宋体" w:eastAsia="宋体" w:cs="Arial"/>
          <w:sz w:val="21"/>
          <w:szCs w:val="21"/>
          <w:shd w:val="clear" w:color="auto" w:fill="FFFFFF"/>
        </w:rPr>
        <w:t>供电范围主要包括珠江帝景小区、紫龙府小区、琶洲安置新社区以及广州塔、广州国际媒体港、广州日报社、琶洲互联网创新集聚区）</w:t>
      </w:r>
      <w:r>
        <w:rPr>
          <w:rFonts w:ascii="宋体" w:hAnsi="宋体" w:eastAsia="宋体"/>
          <w:sz w:val="21"/>
          <w:szCs w:val="21"/>
        </w:rPr>
        <w:t>，规划将在华南快速以西，新港东路以北与220kV磨碟变电站相邻建设110kV亲水变电站</w:t>
      </w:r>
      <w:r>
        <w:rPr>
          <w:rFonts w:hint="eastAsia" w:ascii="宋体" w:hAnsi="宋体" w:eastAsia="宋体"/>
          <w:sz w:val="21"/>
          <w:szCs w:val="21"/>
        </w:rPr>
        <w:t>。</w:t>
      </w:r>
    </w:p>
    <w:p>
      <w:pPr>
        <w:adjustRightInd w:val="0"/>
        <w:snapToGrid w:val="0"/>
        <w:spacing w:line="360" w:lineRule="auto"/>
        <w:ind w:firstLine="480"/>
        <w:rPr>
          <w:rFonts w:ascii="宋体" w:hAnsi="宋体"/>
          <w:szCs w:val="21"/>
        </w:rPr>
      </w:pPr>
      <w:r>
        <w:rPr>
          <w:rFonts w:ascii="宋体" w:hAnsi="宋体"/>
          <w:szCs w:val="21"/>
        </w:rPr>
        <w:t>（</w:t>
      </w:r>
      <w:r>
        <w:rPr>
          <w:rFonts w:hint="eastAsia" w:ascii="宋体" w:hAnsi="宋体"/>
          <w:szCs w:val="21"/>
        </w:rPr>
        <w:t>3</w:t>
      </w:r>
      <w:r>
        <w:rPr>
          <w:rFonts w:ascii="宋体" w:hAnsi="宋体"/>
          <w:szCs w:val="21"/>
        </w:rPr>
        <w:t>）220kV高压电缆路由情况</w:t>
      </w:r>
    </w:p>
    <w:p>
      <w:pPr>
        <w:pStyle w:val="21"/>
        <w:autoSpaceDE w:val="0"/>
        <w:autoSpaceDN w:val="0"/>
        <w:adjustRightInd w:val="0"/>
        <w:snapToGrid w:val="0"/>
        <w:spacing w:line="360" w:lineRule="auto"/>
        <w:ind w:firstLine="480" w:firstLineChars="0"/>
        <w:rPr>
          <w:rFonts w:ascii="宋体" w:hAnsi="宋体" w:eastAsia="宋体"/>
          <w:sz w:val="21"/>
          <w:szCs w:val="21"/>
        </w:rPr>
      </w:pPr>
      <w:r>
        <w:rPr>
          <w:rFonts w:ascii="宋体" w:hAnsi="宋体" w:eastAsia="宋体"/>
          <w:sz w:val="21"/>
          <w:szCs w:val="21"/>
        </w:rPr>
        <w:t>从赤岗方向衔接琶洲片区的220kV高压电缆沿双塔路敷设至在建的220kV磨碟</w:t>
      </w:r>
      <w:r>
        <w:rPr>
          <w:rFonts w:hint="eastAsia" w:ascii="宋体" w:hAnsi="宋体" w:eastAsia="宋体"/>
          <w:sz w:val="21"/>
          <w:szCs w:val="21"/>
        </w:rPr>
        <w:t>洲</w:t>
      </w:r>
      <w:r>
        <w:rPr>
          <w:rFonts w:ascii="宋体" w:hAnsi="宋体" w:eastAsia="宋体"/>
          <w:sz w:val="21"/>
          <w:szCs w:val="21"/>
        </w:rPr>
        <w:t>变电站，并沿凤浦中路继续敷设至琶洲C区规划220kV变电站。另外在科韵路结合地铁11号线综合管廊向南预留220kV主电源接至海珠区。</w:t>
      </w:r>
    </w:p>
    <w:p>
      <w:pPr>
        <w:adjustRightInd w:val="0"/>
        <w:snapToGrid w:val="0"/>
        <w:spacing w:line="360" w:lineRule="auto"/>
        <w:ind w:firstLine="480"/>
        <w:rPr>
          <w:rFonts w:ascii="宋体" w:hAnsi="宋体"/>
          <w:szCs w:val="21"/>
        </w:rPr>
      </w:pPr>
      <w:r>
        <w:rPr>
          <w:rFonts w:ascii="宋体" w:hAnsi="宋体"/>
          <w:szCs w:val="21"/>
        </w:rPr>
        <w:t>（</w:t>
      </w:r>
      <w:r>
        <w:rPr>
          <w:rFonts w:hint="eastAsia" w:ascii="宋体" w:hAnsi="宋体"/>
          <w:szCs w:val="21"/>
        </w:rPr>
        <w:t>4</w:t>
      </w:r>
      <w:r>
        <w:rPr>
          <w:rFonts w:ascii="宋体" w:hAnsi="宋体"/>
          <w:szCs w:val="21"/>
        </w:rPr>
        <w:t>）110kV高压电缆路由情况</w:t>
      </w:r>
    </w:p>
    <w:p>
      <w:pPr>
        <w:pStyle w:val="21"/>
        <w:autoSpaceDE w:val="0"/>
        <w:autoSpaceDN w:val="0"/>
        <w:adjustRightInd w:val="0"/>
        <w:snapToGrid w:val="0"/>
        <w:spacing w:line="360" w:lineRule="auto"/>
        <w:ind w:firstLine="480" w:firstLineChars="0"/>
        <w:rPr>
          <w:rFonts w:ascii="宋体" w:hAnsi="宋体" w:eastAsia="宋体"/>
          <w:sz w:val="21"/>
          <w:szCs w:val="21"/>
        </w:rPr>
      </w:pPr>
      <w:r>
        <w:rPr>
          <w:rFonts w:ascii="宋体" w:hAnsi="宋体" w:eastAsia="宋体"/>
          <w:sz w:val="21"/>
          <w:szCs w:val="21"/>
        </w:rPr>
        <w:t>现状</w:t>
      </w:r>
      <w:r>
        <w:rPr>
          <w:rFonts w:hint="eastAsia" w:ascii="宋体" w:hAnsi="宋体" w:eastAsia="宋体"/>
          <w:sz w:val="21"/>
          <w:szCs w:val="21"/>
        </w:rPr>
        <w:t>4</w:t>
      </w:r>
      <w:r>
        <w:rPr>
          <w:rFonts w:ascii="宋体" w:hAnsi="宋体" w:eastAsia="宋体"/>
          <w:sz w:val="21"/>
          <w:szCs w:val="21"/>
        </w:rPr>
        <w:t>座110kV变电站的电源来自琶洲大桥以北的220kV变电站、赤岗方向的220kV变电站及琶洲大桥以南的220kV赤沙变电站</w:t>
      </w:r>
      <w:r>
        <w:rPr>
          <w:rFonts w:hint="eastAsia" w:ascii="宋体" w:hAnsi="宋体" w:eastAsia="宋体"/>
          <w:sz w:val="21"/>
          <w:szCs w:val="21"/>
        </w:rPr>
        <w:t>，</w:t>
      </w:r>
      <w:r>
        <w:rPr>
          <w:rFonts w:ascii="宋体" w:hAnsi="宋体" w:eastAsia="宋体"/>
          <w:sz w:val="21"/>
          <w:szCs w:val="21"/>
        </w:rPr>
        <w:t>琶洲西区综合管廊建设方案均保证其预留通道和空间，将在双塔路、华快西侧规划路、凤浦中路隧道及规划凤浦东路设置110kV高压电缆路由。</w:t>
      </w:r>
    </w:p>
    <w:p>
      <w:pPr>
        <w:adjustRightInd w:val="0"/>
        <w:snapToGrid w:val="0"/>
        <w:spacing w:line="360" w:lineRule="auto"/>
        <w:ind w:firstLine="480"/>
        <w:rPr>
          <w:rFonts w:ascii="宋体" w:hAnsi="宋体"/>
          <w:szCs w:val="21"/>
        </w:rPr>
      </w:pPr>
      <w:r>
        <w:rPr>
          <w:rFonts w:ascii="宋体" w:hAnsi="宋体"/>
          <w:szCs w:val="21"/>
        </w:rPr>
        <w:t>（</w:t>
      </w:r>
      <w:r>
        <w:rPr>
          <w:rFonts w:hint="eastAsia" w:ascii="宋体" w:hAnsi="宋体"/>
          <w:szCs w:val="21"/>
        </w:rPr>
        <w:t>5</w:t>
      </w:r>
      <w:r>
        <w:rPr>
          <w:rFonts w:ascii="宋体" w:hAnsi="宋体"/>
          <w:szCs w:val="21"/>
        </w:rPr>
        <w:t>）10kV高压电缆路由情况</w:t>
      </w:r>
    </w:p>
    <w:p>
      <w:pPr>
        <w:pStyle w:val="21"/>
        <w:autoSpaceDE w:val="0"/>
        <w:autoSpaceDN w:val="0"/>
        <w:adjustRightInd w:val="0"/>
        <w:snapToGrid w:val="0"/>
        <w:spacing w:line="360" w:lineRule="auto"/>
        <w:ind w:firstLine="480" w:firstLineChars="0"/>
        <w:rPr>
          <w:rFonts w:ascii="宋体" w:hAnsi="宋体" w:eastAsia="宋体"/>
          <w:sz w:val="21"/>
          <w:szCs w:val="21"/>
        </w:rPr>
      </w:pPr>
      <w:r>
        <w:rPr>
          <w:rFonts w:ascii="宋体" w:hAnsi="宋体" w:eastAsia="宋体"/>
          <w:sz w:val="21"/>
          <w:szCs w:val="21"/>
        </w:rPr>
        <w:t>10kV配电网电缆路由以广州市供电局提供的最新琶洲片区10kV供电路由资料为准，</w:t>
      </w:r>
      <w:r>
        <w:rPr>
          <w:rFonts w:hint="eastAsia" w:ascii="宋体" w:hAnsi="宋体" w:eastAsia="宋体"/>
          <w:sz w:val="21"/>
          <w:szCs w:val="21"/>
        </w:rPr>
        <w:t>通过</w:t>
      </w:r>
      <w:r>
        <w:rPr>
          <w:rFonts w:ascii="宋体" w:hAnsi="宋体" w:eastAsia="宋体"/>
          <w:sz w:val="21"/>
          <w:szCs w:val="21"/>
        </w:rPr>
        <w:t>综合管廊均预留10kV电缆敷设的空间，未计划建设管廊的路段将采用电缆沟的形式。</w:t>
      </w:r>
    </w:p>
    <w:p>
      <w:pPr>
        <w:pStyle w:val="21"/>
        <w:autoSpaceDE w:val="0"/>
        <w:autoSpaceDN w:val="0"/>
        <w:spacing w:line="360" w:lineRule="auto"/>
        <w:ind w:firstLine="480" w:firstLineChars="0"/>
        <w:rPr>
          <w:rFonts w:ascii="宋体" w:hAnsi="宋体" w:eastAsia="宋体"/>
          <w:sz w:val="21"/>
          <w:szCs w:val="21"/>
        </w:rPr>
      </w:pPr>
      <w:r>
        <w:rPr>
          <w:rFonts w:hint="eastAsia" w:ascii="宋体" w:hAnsi="宋体" w:eastAsia="宋体"/>
          <w:sz w:val="21"/>
          <w:szCs w:val="21"/>
        </w:rPr>
        <w:t>（6）</w:t>
      </w:r>
      <w:r>
        <w:rPr>
          <w:rFonts w:ascii="宋体" w:hAnsi="宋体" w:eastAsia="宋体"/>
          <w:sz w:val="21"/>
          <w:szCs w:val="21"/>
        </w:rPr>
        <w:t>琶洲西区10kV配电网电缆线路现状及规划图</w:t>
      </w:r>
    </w:p>
    <w:p>
      <w:pPr>
        <w:pStyle w:val="21"/>
        <w:autoSpaceDE w:val="0"/>
        <w:autoSpaceDN w:val="0"/>
        <w:spacing w:line="360" w:lineRule="auto"/>
        <w:ind w:firstLine="480" w:firstLineChars="0"/>
        <w:rPr>
          <w:rFonts w:ascii="宋体" w:hAnsi="宋体" w:eastAsia="宋体"/>
          <w:sz w:val="21"/>
          <w:szCs w:val="21"/>
        </w:rPr>
      </w:pPr>
    </w:p>
    <w:p>
      <w:pPr>
        <w:pStyle w:val="21"/>
        <w:autoSpaceDE w:val="0"/>
        <w:autoSpaceDN w:val="0"/>
        <w:spacing w:line="360" w:lineRule="auto"/>
        <w:ind w:firstLine="480" w:firstLineChars="0"/>
        <w:rPr>
          <w:rFonts w:ascii="宋体" w:hAnsi="宋体" w:eastAsia="宋体"/>
          <w:sz w:val="21"/>
          <w:szCs w:val="21"/>
        </w:rPr>
      </w:pPr>
      <w:r>
        <w:rPr>
          <w:rFonts w:hint="eastAsia" w:ascii="宋体" w:hAnsi="宋体" w:eastAsia="宋体"/>
          <w:sz w:val="21"/>
          <w:szCs w:val="21"/>
        </w:rPr>
        <w:drawing>
          <wp:inline distT="0" distB="0" distL="0" distR="0">
            <wp:extent cx="4540250" cy="3289300"/>
            <wp:effectExtent l="0" t="0" r="0" b="6350"/>
            <wp:docPr id="2" name="图片 2" descr="1608536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0853638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548662" cy="3295181"/>
                    </a:xfrm>
                    <a:prstGeom prst="rect">
                      <a:avLst/>
                    </a:prstGeom>
                    <a:noFill/>
                    <a:ln>
                      <a:noFill/>
                    </a:ln>
                  </pic:spPr>
                </pic:pic>
              </a:graphicData>
            </a:graphic>
          </wp:inline>
        </w:drawing>
      </w:r>
    </w:p>
    <w:p>
      <w:pPr>
        <w:pStyle w:val="21"/>
        <w:autoSpaceDE w:val="0"/>
        <w:autoSpaceDN w:val="0"/>
        <w:spacing w:line="360" w:lineRule="auto"/>
        <w:ind w:firstLine="480" w:firstLineChars="0"/>
        <w:rPr>
          <w:rFonts w:ascii="宋体" w:hAnsi="宋体" w:eastAsia="宋体"/>
          <w:sz w:val="21"/>
          <w:szCs w:val="21"/>
        </w:rPr>
      </w:pPr>
      <w:r>
        <w:rPr>
          <w:rFonts w:hint="eastAsia" w:ascii="宋体" w:hAnsi="宋体" w:eastAsia="宋体"/>
          <w:sz w:val="21"/>
          <w:szCs w:val="21"/>
        </w:rPr>
        <w:t>备注：艺苑变电站已于2019年3月建成投产</w:t>
      </w:r>
    </w:p>
    <w:p>
      <w:pPr>
        <w:pStyle w:val="21"/>
        <w:autoSpaceDE w:val="0"/>
        <w:autoSpaceDN w:val="0"/>
        <w:spacing w:line="360" w:lineRule="auto"/>
        <w:ind w:firstLine="480" w:firstLineChars="0"/>
        <w:rPr>
          <w:rFonts w:ascii="宋体" w:hAnsi="宋体" w:eastAsia="宋体"/>
          <w:sz w:val="21"/>
          <w:szCs w:val="21"/>
        </w:rPr>
      </w:pPr>
    </w:p>
    <w:p>
      <w:pPr>
        <w:pStyle w:val="21"/>
        <w:autoSpaceDE w:val="0"/>
        <w:autoSpaceDN w:val="0"/>
        <w:spacing w:line="360" w:lineRule="auto"/>
        <w:ind w:firstLine="480" w:firstLineChars="0"/>
        <w:rPr>
          <w:rFonts w:ascii="宋体" w:hAnsi="宋体" w:eastAsia="宋体"/>
          <w:sz w:val="21"/>
          <w:szCs w:val="21"/>
        </w:rPr>
      </w:pPr>
      <w:r>
        <w:rPr>
          <w:rFonts w:hint="eastAsia" w:ascii="宋体" w:hAnsi="宋体" w:eastAsia="宋体"/>
          <w:sz w:val="21"/>
          <w:szCs w:val="21"/>
        </w:rPr>
        <w:t>1.3.2 供水情况</w:t>
      </w:r>
    </w:p>
    <w:p>
      <w:pPr>
        <w:spacing w:line="360" w:lineRule="auto"/>
        <w:ind w:firstLine="480"/>
        <w:rPr>
          <w:rFonts w:ascii="宋体" w:hAnsi="宋体"/>
          <w:szCs w:val="21"/>
        </w:rPr>
      </w:pPr>
      <w:r>
        <w:rPr>
          <w:rFonts w:ascii="宋体" w:hAnsi="宋体"/>
          <w:szCs w:val="21"/>
        </w:rPr>
        <w:t>琶洲西区已建设了一定规模的现状给水管网。水源均来自南洲水厂，主要通过沿华南快速干线穿越珠江向北敷设的DN1600输水干管、新港东路敷设的DN800现状给水管向整个琶洲片区供水。琶洲西区内则通过东西向的新港东路及阅江路现状DN600-DN800供水管进行连通转输，并辅以支线供水管及用户接驳管，片区内已建成区域实现了自来水供应全覆盖</w:t>
      </w:r>
      <w:r>
        <w:rPr>
          <w:rFonts w:hint="eastAsia" w:ascii="宋体" w:hAnsi="宋体"/>
          <w:szCs w:val="21"/>
        </w:rPr>
        <w:t>。</w:t>
      </w:r>
      <w:r>
        <w:rPr>
          <w:rFonts w:ascii="宋体" w:hAnsi="宋体"/>
          <w:szCs w:val="21"/>
        </w:rPr>
        <w:t>琶洲西区规划平均日用水量为2.1万m3/d，规划保留现状供水主管并沿主要规划道路敷设DN400～DN600供水主管，使供水管网成环，提高供水安全性。</w:t>
      </w:r>
    </w:p>
    <w:p>
      <w:pPr>
        <w:pStyle w:val="2"/>
        <w:rPr>
          <w:rFonts w:ascii="宋体" w:hAnsi="宋体"/>
          <w:szCs w:val="21"/>
        </w:rPr>
      </w:pPr>
      <w:r>
        <w:rPr>
          <w:rFonts w:ascii="宋体" w:hAnsi="宋体"/>
          <w:szCs w:val="21"/>
        </w:rPr>
        <w:drawing>
          <wp:inline distT="0" distB="0" distL="0" distR="0">
            <wp:extent cx="4944110" cy="3092450"/>
            <wp:effectExtent l="0" t="0" r="889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961971" cy="3103451"/>
                    </a:xfrm>
                    <a:prstGeom prst="rect">
                      <a:avLst/>
                    </a:prstGeom>
                    <a:noFill/>
                  </pic:spPr>
                </pic:pic>
              </a:graphicData>
            </a:graphic>
          </wp:inline>
        </w:drawing>
      </w:r>
    </w:p>
    <w:p>
      <w:pPr>
        <w:pStyle w:val="2"/>
        <w:rPr>
          <w:rFonts w:ascii="宋体" w:hAnsi="宋体"/>
          <w:szCs w:val="21"/>
        </w:rPr>
      </w:pPr>
    </w:p>
    <w:p>
      <w:pPr>
        <w:pStyle w:val="21"/>
        <w:autoSpaceDE w:val="0"/>
        <w:autoSpaceDN w:val="0"/>
        <w:spacing w:line="360" w:lineRule="auto"/>
        <w:ind w:firstLine="480" w:firstLineChars="0"/>
        <w:rPr>
          <w:rFonts w:ascii="宋体" w:hAnsi="宋体" w:eastAsia="宋体"/>
          <w:sz w:val="21"/>
          <w:szCs w:val="21"/>
        </w:rPr>
      </w:pPr>
      <w:r>
        <w:rPr>
          <w:rFonts w:hint="eastAsia" w:ascii="宋体" w:hAnsi="宋体" w:eastAsia="宋体"/>
          <w:sz w:val="21"/>
          <w:szCs w:val="21"/>
        </w:rPr>
        <w:t>1.3.3供气情况</w:t>
      </w:r>
    </w:p>
    <w:p>
      <w:pPr>
        <w:pStyle w:val="21"/>
        <w:autoSpaceDE w:val="0"/>
        <w:autoSpaceDN w:val="0"/>
        <w:spacing w:line="360" w:lineRule="auto"/>
        <w:ind w:firstLine="480" w:firstLineChars="0"/>
        <w:rPr>
          <w:rFonts w:ascii="宋体" w:hAnsi="宋体" w:eastAsia="宋体"/>
          <w:sz w:val="21"/>
          <w:szCs w:val="21"/>
        </w:rPr>
      </w:pPr>
      <w:r>
        <w:rPr>
          <w:rFonts w:ascii="宋体" w:hAnsi="宋体" w:eastAsia="宋体"/>
          <w:sz w:val="21"/>
          <w:szCs w:val="21"/>
        </w:rPr>
        <w:t>琶洲片区燃气管线引自吉山中高压调压站，现状DN500中压燃气管沿琶洲大桥自北向南接入琶洲片区，沿新港东路向东、向西敷设中压燃气管道管径DN300～DN500，并沿会展东路、阅江中路敷设DN200中压燃气支管。为保障琶洲片区供气安全，沿东西走向主次干道阅江西路、阅江东路、双塔路、新港东路、凤浦东路等敷设DN150～DN250中压燃气支管，并沿南北走向的主次干道海洲路、磨碟沙路、规划二路等敷设DN200～DN300中压燃气支管，实现燃气管道在琶洲片区全覆盖。</w:t>
      </w:r>
    </w:p>
    <w:p>
      <w:pPr>
        <w:pStyle w:val="21"/>
        <w:autoSpaceDE w:val="0"/>
        <w:autoSpaceDN w:val="0"/>
        <w:spacing w:line="360" w:lineRule="auto"/>
        <w:ind w:firstLine="480" w:firstLineChars="0"/>
        <w:rPr>
          <w:rFonts w:ascii="宋体" w:hAnsi="宋体" w:eastAsia="宋体"/>
          <w:sz w:val="21"/>
          <w:szCs w:val="21"/>
        </w:rPr>
      </w:pPr>
      <w:r>
        <w:rPr>
          <w:rFonts w:hint="eastAsia" w:ascii="宋体" w:hAnsi="宋体" w:eastAsia="宋体"/>
          <w:sz w:val="21"/>
          <w:szCs w:val="21"/>
        </w:rPr>
        <w:drawing>
          <wp:inline distT="0" distB="0" distL="0" distR="0">
            <wp:extent cx="4902200" cy="2984500"/>
            <wp:effectExtent l="0" t="0" r="0" b="6350"/>
            <wp:docPr id="1" name="图片 1" descr="1608537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08537146(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904421" cy="2985852"/>
                    </a:xfrm>
                    <a:prstGeom prst="rect">
                      <a:avLst/>
                    </a:prstGeom>
                    <a:noFill/>
                    <a:ln>
                      <a:noFill/>
                    </a:ln>
                  </pic:spPr>
                </pic:pic>
              </a:graphicData>
            </a:graphic>
          </wp:inline>
        </w:drawing>
      </w:r>
    </w:p>
    <w:p>
      <w:pPr>
        <w:pStyle w:val="21"/>
        <w:autoSpaceDE w:val="0"/>
        <w:autoSpaceDN w:val="0"/>
        <w:spacing w:line="360" w:lineRule="auto"/>
        <w:ind w:firstLine="480" w:firstLineChars="0"/>
        <w:rPr>
          <w:rFonts w:ascii="宋体" w:hAnsi="宋体" w:eastAsia="宋体"/>
          <w:sz w:val="21"/>
          <w:szCs w:val="21"/>
        </w:rPr>
      </w:pPr>
    </w:p>
    <w:p>
      <w:pPr>
        <w:pStyle w:val="21"/>
        <w:autoSpaceDE w:val="0"/>
        <w:autoSpaceDN w:val="0"/>
        <w:spacing w:line="360" w:lineRule="auto"/>
        <w:ind w:firstLine="480" w:firstLineChars="0"/>
        <w:rPr>
          <w:rFonts w:ascii="宋体" w:hAnsi="宋体" w:eastAsia="宋体"/>
          <w:b/>
          <w:bCs/>
          <w:sz w:val="21"/>
          <w:szCs w:val="21"/>
        </w:rPr>
      </w:pPr>
      <w:r>
        <w:rPr>
          <w:rFonts w:hint="eastAsia" w:ascii="宋体" w:hAnsi="宋体" w:eastAsia="宋体"/>
          <w:sz w:val="21"/>
          <w:szCs w:val="21"/>
        </w:rPr>
        <w:t>1.3.4琶洲西区综合管廊建设</w:t>
      </w:r>
    </w:p>
    <w:p>
      <w:pPr>
        <w:spacing w:line="360" w:lineRule="auto"/>
        <w:ind w:firstLine="480"/>
        <w:rPr>
          <w:rFonts w:ascii="宋体" w:hAnsi="宋体"/>
          <w:szCs w:val="21"/>
        </w:rPr>
      </w:pPr>
      <w:r>
        <w:rPr>
          <w:rFonts w:hint="eastAsia" w:ascii="宋体" w:hAnsi="宋体"/>
          <w:szCs w:val="21"/>
        </w:rPr>
        <w:t>根据广州市批复的琶洲西区综合</w:t>
      </w:r>
      <w:r>
        <w:rPr>
          <w:rFonts w:ascii="宋体" w:hAnsi="宋体"/>
          <w:szCs w:val="21"/>
        </w:rPr>
        <w:t>综合管廊</w:t>
      </w:r>
      <w:r>
        <w:rPr>
          <w:rFonts w:hint="eastAsia" w:ascii="宋体" w:hAnsi="宋体"/>
          <w:szCs w:val="21"/>
        </w:rPr>
        <w:t>建设可研报告，琶洲西综合管廊</w:t>
      </w:r>
      <w:r>
        <w:rPr>
          <w:rFonts w:ascii="宋体" w:hAnsi="宋体"/>
          <w:szCs w:val="21"/>
        </w:rPr>
        <w:t>布局方案采用“一环两横三纵”的形式，其中一环指沿</w:t>
      </w:r>
      <w:r>
        <w:rPr>
          <w:rFonts w:hint="eastAsia" w:ascii="宋体" w:hAnsi="宋体"/>
          <w:szCs w:val="21"/>
        </w:rPr>
        <w:t>江</w:t>
      </w:r>
      <w:r>
        <w:rPr>
          <w:rFonts w:ascii="宋体" w:hAnsi="宋体"/>
          <w:szCs w:val="21"/>
        </w:rPr>
        <w:t>海大道、琶洲北大街、规划五路、规划九路、规划二路、琶洲南大街形成的环路，两横为双塔路（华南快速路到猎德大桥段，以下简称东段）、琶洲大街西，三纵为磨碟沙路、海洲路、华南快速西侧规划路。</w:t>
      </w:r>
    </w:p>
    <w:p>
      <w:pPr>
        <w:spacing w:line="360" w:lineRule="auto"/>
        <w:ind w:firstLine="480"/>
        <w:rPr>
          <w:rFonts w:ascii="宋体" w:hAnsi="宋体"/>
          <w:szCs w:val="21"/>
        </w:rPr>
      </w:pPr>
      <w:r>
        <w:rPr>
          <w:rFonts w:ascii="宋体" w:hAnsi="宋体"/>
          <w:szCs w:val="21"/>
        </w:rPr>
        <w:t>该管廊布置路由以服务琶洲西区范围内三大核心地下空间（琶洲大街西地段公共地下空间、琶洲南大街地段公共地下空间、互联网创新集聚区公共地下空间）为主，尽可能覆盖片区内的主要用户，将三大地下空间片区的市政管线与两横三纵的市政管线主网相连，实现琶洲西区核心区域综合管廊全覆盖，避免今后各类管线问题对区域正常运作的影响，全面提升区域基础设施水平，增强片区整体竞争力。电力、通信、给水、中水、燃气作为标准入廊管线，与区域综合管廊规划匹配建设；污水管线由于不满足管廊竖向，不纳入综合管廊。</w:t>
      </w:r>
    </w:p>
    <w:p>
      <w:pPr>
        <w:ind w:firstLine="480"/>
        <w:rPr>
          <w:rFonts w:ascii="宋体" w:hAnsi="宋体"/>
          <w:szCs w:val="21"/>
        </w:rPr>
      </w:pPr>
      <w:r>
        <w:rPr>
          <w:rFonts w:ascii="宋体" w:hAnsi="宋体"/>
          <w:szCs w:val="21"/>
        </w:rPr>
        <w:drawing>
          <wp:inline distT="0" distB="0" distL="0" distR="0">
            <wp:extent cx="4988560" cy="3105150"/>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993870" cy="3108455"/>
                    </a:xfrm>
                    <a:prstGeom prst="rect">
                      <a:avLst/>
                    </a:prstGeom>
                    <a:noFill/>
                  </pic:spPr>
                </pic:pic>
              </a:graphicData>
            </a:graphic>
          </wp:inline>
        </w:drawing>
      </w:r>
    </w:p>
    <w:p>
      <w:pPr>
        <w:pStyle w:val="2"/>
      </w:pPr>
    </w:p>
    <w:p>
      <w:pPr>
        <w:pStyle w:val="13"/>
        <w:ind w:firstLine="422"/>
        <w:rPr>
          <w:rFonts w:ascii="宋体" w:hAnsi="宋体" w:eastAsia="宋体"/>
          <w:sz w:val="21"/>
          <w:szCs w:val="21"/>
        </w:rPr>
      </w:pPr>
      <w:bookmarkStart w:id="10" w:name="_Toc62570539"/>
    </w:p>
    <w:p>
      <w:pPr>
        <w:pStyle w:val="13"/>
        <w:ind w:firstLine="562"/>
        <w:rPr>
          <w:rFonts w:ascii="宋体" w:hAnsi="宋体" w:eastAsia="宋体"/>
          <w:sz w:val="28"/>
          <w:szCs w:val="21"/>
        </w:rPr>
      </w:pPr>
      <w:bookmarkStart w:id="11" w:name="_Toc121692786"/>
      <w:r>
        <w:rPr>
          <w:rFonts w:hint="eastAsia" w:ascii="宋体" w:hAnsi="宋体" w:eastAsia="宋体"/>
          <w:sz w:val="28"/>
          <w:szCs w:val="21"/>
        </w:rPr>
        <w:t>第二章</w:t>
      </w:r>
      <w:r>
        <w:rPr>
          <w:rFonts w:ascii="宋体" w:hAnsi="宋体" w:eastAsia="宋体"/>
          <w:sz w:val="28"/>
          <w:szCs w:val="21"/>
        </w:rPr>
        <w:t xml:space="preserve">  </w:t>
      </w:r>
      <w:bookmarkEnd w:id="10"/>
      <w:r>
        <w:rPr>
          <w:rFonts w:hint="eastAsia" w:ascii="宋体" w:hAnsi="宋体" w:eastAsia="宋体"/>
          <w:sz w:val="28"/>
          <w:szCs w:val="21"/>
        </w:rPr>
        <w:t>项目定位</w:t>
      </w:r>
      <w:bookmarkEnd w:id="11"/>
    </w:p>
    <w:p>
      <w:pPr>
        <w:pStyle w:val="21"/>
        <w:autoSpaceDE w:val="0"/>
        <w:autoSpaceDN w:val="0"/>
        <w:spacing w:line="360" w:lineRule="auto"/>
        <w:ind w:firstLineChars="0"/>
        <w:rPr>
          <w:rFonts w:ascii="宋体" w:hAnsi="宋体" w:eastAsia="宋体" w:cs="宋体"/>
          <w:sz w:val="21"/>
          <w:szCs w:val="21"/>
        </w:rPr>
      </w:pPr>
    </w:p>
    <w:p>
      <w:pPr>
        <w:pStyle w:val="21"/>
        <w:autoSpaceDE w:val="0"/>
        <w:autoSpaceDN w:val="0"/>
        <w:spacing w:line="360" w:lineRule="auto"/>
        <w:ind w:firstLineChars="0"/>
        <w:rPr>
          <w:rFonts w:ascii="宋体" w:hAnsi="宋体" w:eastAsia="宋体" w:cs="宋体"/>
          <w:sz w:val="21"/>
          <w:szCs w:val="21"/>
        </w:rPr>
      </w:pPr>
      <w:r>
        <w:rPr>
          <w:rFonts w:hint="eastAsia" w:ascii="宋体" w:hAnsi="宋体" w:eastAsia="宋体" w:cs="宋体"/>
          <w:sz w:val="21"/>
          <w:szCs w:val="21"/>
        </w:rPr>
        <w:t>一、本项目整体定位为甲级综合商务总部大楼并符合市场主流需求，形象定位简洁、大方、富有活力，与现宝地广场整体协调，与周边建筑、空间有一定差异标识性，大楼主进入口标识性突出；楼层空间利用率高、垂直运输安全便捷、电梯对应分布合理、出入（含停车场）动线安全便捷，目标市场为总部办公、人工智能、数字经济创新、互联网、电子商务、金融，客群定位为世界500强区域总部、行业龙头企业、省市龙头企业（风格由设计发挥）。</w:t>
      </w:r>
    </w:p>
    <w:p>
      <w:pPr>
        <w:spacing w:line="360" w:lineRule="auto"/>
        <w:ind w:firstLine="371" w:firstLineChars="177"/>
        <w:rPr>
          <w:rFonts w:ascii="宋体" w:hAnsi="宋体"/>
          <w:szCs w:val="21"/>
        </w:rPr>
      </w:pPr>
      <w:r>
        <w:rPr>
          <w:rFonts w:hint="eastAsia" w:ascii="宋体" w:hAnsi="宋体"/>
          <w:szCs w:val="21"/>
        </w:rPr>
        <w:t>1、办公定位：本项目为超甲级办公，功能主要为租赁办公、共享办公，部分楼层考虑总部办公（中南钢铁总部）。具体的定位要求详见附件中本项目的《定位报告》</w:t>
      </w:r>
    </w:p>
    <w:p>
      <w:pPr>
        <w:spacing w:line="360" w:lineRule="auto"/>
        <w:ind w:firstLine="371" w:firstLineChars="177"/>
        <w:rPr>
          <w:rFonts w:ascii="宋体" w:hAnsi="宋体"/>
          <w:szCs w:val="21"/>
        </w:rPr>
      </w:pPr>
      <w:r>
        <w:rPr>
          <w:rFonts w:ascii="宋体" w:hAnsi="宋体"/>
          <w:szCs w:val="21"/>
        </w:rPr>
        <w:t>3</w:t>
      </w:r>
      <w:r>
        <w:rPr>
          <w:rFonts w:hint="eastAsia" w:ascii="宋体" w:hAnsi="宋体"/>
          <w:szCs w:val="21"/>
        </w:rPr>
        <w:t>、商业配套定位：本项目与南侧宝地广场共享商业，除规划要求以及楼宇基本配置外，不另设商业建筑空间。</w:t>
      </w:r>
    </w:p>
    <w:p>
      <w:pPr>
        <w:spacing w:line="360" w:lineRule="auto"/>
        <w:ind w:firstLine="371" w:firstLineChars="177"/>
        <w:rPr>
          <w:rFonts w:ascii="宋体" w:hAnsi="宋体"/>
          <w:szCs w:val="21"/>
        </w:rPr>
      </w:pPr>
      <w:r>
        <w:rPr>
          <w:rFonts w:ascii="宋体" w:hAnsi="宋体"/>
          <w:szCs w:val="21"/>
        </w:rPr>
        <w:t>4</w:t>
      </w:r>
      <w:r>
        <w:rPr>
          <w:rFonts w:hint="eastAsia" w:ascii="宋体" w:hAnsi="宋体"/>
          <w:szCs w:val="21"/>
        </w:rPr>
        <w:t>、公共配套定位：</w:t>
      </w:r>
    </w:p>
    <w:p>
      <w:pPr>
        <w:spacing w:line="360" w:lineRule="auto"/>
        <w:ind w:firstLine="371" w:firstLineChars="177"/>
        <w:rPr>
          <w:rFonts w:ascii="宋体" w:hAnsi="宋体"/>
          <w:szCs w:val="21"/>
        </w:rPr>
      </w:pPr>
      <w:r>
        <w:rPr>
          <w:rFonts w:hint="eastAsia" w:ascii="宋体" w:hAnsi="宋体"/>
          <w:szCs w:val="21"/>
        </w:rPr>
        <w:t>（1）社区配套</w:t>
      </w:r>
      <w:r>
        <w:rPr>
          <w:rFonts w:ascii="宋体" w:hAnsi="宋体"/>
          <w:szCs w:val="21"/>
        </w:rPr>
        <w:t>43</w:t>
      </w:r>
      <w:r>
        <w:rPr>
          <w:rFonts w:hint="eastAsia" w:ascii="宋体" w:hAnsi="宋体"/>
          <w:szCs w:val="21"/>
        </w:rPr>
        <w:t>00平方。其中图书馆1</w:t>
      </w:r>
      <w:r>
        <w:rPr>
          <w:rFonts w:ascii="宋体" w:hAnsi="宋体"/>
          <w:szCs w:val="21"/>
        </w:rPr>
        <w:t>200</w:t>
      </w:r>
      <w:r>
        <w:rPr>
          <w:rFonts w:hint="eastAsia" w:ascii="宋体" w:hAnsi="宋体"/>
          <w:szCs w:val="21"/>
        </w:rPr>
        <w:t>平方、文化活动中心1</w:t>
      </w:r>
      <w:r>
        <w:rPr>
          <w:rFonts w:ascii="宋体" w:hAnsi="宋体"/>
          <w:szCs w:val="21"/>
        </w:rPr>
        <w:t>800</w:t>
      </w:r>
      <w:r>
        <w:rPr>
          <w:rFonts w:hint="eastAsia" w:ascii="宋体" w:hAnsi="宋体"/>
          <w:szCs w:val="21"/>
        </w:rPr>
        <w:t>平方、健身中心1</w:t>
      </w:r>
      <w:r>
        <w:rPr>
          <w:rFonts w:ascii="宋体" w:hAnsi="宋体"/>
          <w:szCs w:val="21"/>
        </w:rPr>
        <w:t>300</w:t>
      </w:r>
      <w:r>
        <w:rPr>
          <w:rFonts w:hint="eastAsia" w:ascii="宋体" w:hAnsi="宋体"/>
          <w:szCs w:val="21"/>
        </w:rPr>
        <w:t>平方，根据招商运营的需要，结合地块建筑布局灵活设置，不限定楼层、位置要求。</w:t>
      </w:r>
    </w:p>
    <w:p>
      <w:pPr>
        <w:spacing w:line="360" w:lineRule="auto"/>
        <w:ind w:firstLine="371" w:firstLineChars="177"/>
        <w:rPr>
          <w:rFonts w:ascii="宋体" w:hAnsi="宋体"/>
          <w:szCs w:val="21"/>
        </w:rPr>
      </w:pPr>
      <w:r>
        <w:rPr>
          <w:rFonts w:hint="eastAsia" w:ascii="宋体" w:hAnsi="宋体"/>
          <w:szCs w:val="21"/>
        </w:rPr>
        <w:t>（2）公共厕所1</w:t>
      </w:r>
      <w:r>
        <w:rPr>
          <w:rFonts w:ascii="宋体" w:hAnsi="宋体"/>
          <w:szCs w:val="21"/>
        </w:rPr>
        <w:t>00</w:t>
      </w:r>
      <w:r>
        <w:rPr>
          <w:rFonts w:hint="eastAsia" w:ascii="宋体" w:hAnsi="宋体"/>
          <w:szCs w:val="21"/>
        </w:rPr>
        <w:t>平方。宜临宽度大于15m的道路，应设置在建筑首层且24小时对外开放，应易于识别。</w:t>
      </w:r>
    </w:p>
    <w:p>
      <w:pPr>
        <w:spacing w:line="360" w:lineRule="auto"/>
        <w:ind w:firstLine="371" w:firstLineChars="177"/>
        <w:rPr>
          <w:rFonts w:ascii="宋体" w:hAnsi="宋体"/>
          <w:szCs w:val="21"/>
        </w:rPr>
      </w:pPr>
      <w:r>
        <w:rPr>
          <w:rFonts w:hint="eastAsia" w:ascii="宋体" w:hAnsi="宋体"/>
          <w:szCs w:val="21"/>
        </w:rPr>
        <w:t>（3）咖啡厅2</w:t>
      </w:r>
      <w:r>
        <w:rPr>
          <w:rFonts w:ascii="宋体" w:hAnsi="宋体"/>
          <w:szCs w:val="21"/>
        </w:rPr>
        <w:t>00</w:t>
      </w:r>
      <w:r>
        <w:rPr>
          <w:rFonts w:hint="eastAsia" w:ascii="宋体" w:hAnsi="宋体"/>
          <w:szCs w:val="21"/>
        </w:rPr>
        <w:t>平方（不限楼层）、便利店1</w:t>
      </w:r>
      <w:r>
        <w:rPr>
          <w:rFonts w:ascii="宋体" w:hAnsi="宋体"/>
          <w:szCs w:val="21"/>
        </w:rPr>
        <w:t>00</w:t>
      </w:r>
      <w:r>
        <w:rPr>
          <w:rFonts w:hint="eastAsia" w:ascii="宋体" w:hAnsi="宋体"/>
          <w:szCs w:val="21"/>
        </w:rPr>
        <w:t>平方（宜设在首层）、快递自提点50平方（宜设在首层）。</w:t>
      </w:r>
    </w:p>
    <w:p>
      <w:pPr>
        <w:spacing w:line="360" w:lineRule="auto"/>
        <w:ind w:firstLine="371" w:firstLineChars="177"/>
        <w:rPr>
          <w:rFonts w:ascii="宋体" w:hAnsi="宋体"/>
          <w:szCs w:val="21"/>
        </w:rPr>
      </w:pPr>
      <w:r>
        <w:rPr>
          <w:rFonts w:hint="eastAsia" w:ascii="宋体" w:hAnsi="宋体"/>
          <w:szCs w:val="21"/>
        </w:rPr>
        <w:t>（4）垃圾收集点一处。</w:t>
      </w:r>
    </w:p>
    <w:p>
      <w:pPr>
        <w:spacing w:line="360" w:lineRule="auto"/>
        <w:ind w:firstLine="371" w:firstLineChars="177"/>
        <w:rPr>
          <w:rFonts w:ascii="宋体" w:hAnsi="宋体"/>
          <w:szCs w:val="21"/>
        </w:rPr>
      </w:pPr>
      <w:r>
        <w:rPr>
          <w:rFonts w:hint="eastAsia" w:ascii="宋体" w:hAnsi="宋体"/>
          <w:szCs w:val="21"/>
        </w:rPr>
        <w:t>（5）规模为2</w:t>
      </w:r>
      <w:r>
        <w:rPr>
          <w:rFonts w:ascii="宋体" w:hAnsi="宋体"/>
          <w:szCs w:val="21"/>
        </w:rPr>
        <w:t>83</w:t>
      </w:r>
      <w:r>
        <w:rPr>
          <w:rFonts w:hint="eastAsia" w:ascii="宋体" w:hAnsi="宋体"/>
          <w:szCs w:val="21"/>
        </w:rPr>
        <w:t>立方的雨水调蓄设施一处。</w:t>
      </w:r>
    </w:p>
    <w:p>
      <w:pPr>
        <w:pStyle w:val="21"/>
        <w:autoSpaceDE w:val="0"/>
        <w:autoSpaceDN w:val="0"/>
        <w:spacing w:line="360" w:lineRule="auto"/>
        <w:ind w:firstLineChars="0"/>
        <w:rPr>
          <w:rFonts w:ascii="宋体" w:hAnsi="宋体" w:eastAsia="宋体" w:cs="宋体"/>
          <w:sz w:val="21"/>
          <w:szCs w:val="21"/>
        </w:rPr>
      </w:pPr>
      <w:r>
        <w:rPr>
          <w:rFonts w:hint="eastAsia" w:ascii="宋体" w:hAnsi="宋体" w:eastAsia="宋体"/>
          <w:sz w:val="21"/>
          <w:szCs w:val="21"/>
        </w:rPr>
        <w:t>（6）根据停车场要求配置充电桩，并依据《广州市居住区配套公共服务设施管理暂</w:t>
      </w:r>
      <w:r>
        <w:rPr>
          <w:rFonts w:hint="eastAsia" w:ascii="宋体" w:hAnsi="宋体" w:eastAsia="宋体" w:cs="宋体"/>
          <w:sz w:val="21"/>
          <w:szCs w:val="21"/>
        </w:rPr>
        <w:t>行规定》进行规划、建设和移交。</w:t>
      </w:r>
    </w:p>
    <w:p>
      <w:pPr>
        <w:pStyle w:val="21"/>
        <w:autoSpaceDE w:val="0"/>
        <w:autoSpaceDN w:val="0"/>
        <w:spacing w:line="360" w:lineRule="auto"/>
        <w:ind w:firstLineChars="0"/>
        <w:rPr>
          <w:rFonts w:ascii="宋体" w:hAnsi="宋体" w:eastAsia="宋体" w:cs="宋体"/>
          <w:sz w:val="21"/>
          <w:szCs w:val="21"/>
        </w:rPr>
      </w:pPr>
      <w:r>
        <w:rPr>
          <w:rFonts w:hint="eastAsia" w:ascii="宋体" w:hAnsi="宋体" w:eastAsia="宋体" w:cs="宋体"/>
          <w:sz w:val="21"/>
          <w:szCs w:val="21"/>
        </w:rPr>
        <w:t>二、本项目应体现“绿色、智慧、人机互动”的特点，同时应建立本项目在区域内的“标志性”。</w:t>
      </w:r>
    </w:p>
    <w:p>
      <w:pPr>
        <w:pStyle w:val="21"/>
        <w:autoSpaceDE w:val="0"/>
        <w:autoSpaceDN w:val="0"/>
        <w:spacing w:line="360" w:lineRule="auto"/>
        <w:ind w:firstLineChars="0"/>
        <w:rPr>
          <w:rFonts w:ascii="宋体" w:hAnsi="宋体" w:eastAsia="宋体" w:cs="宋体"/>
          <w:sz w:val="21"/>
          <w:szCs w:val="21"/>
        </w:rPr>
      </w:pPr>
    </w:p>
    <w:p>
      <w:pPr>
        <w:pStyle w:val="13"/>
        <w:ind w:firstLine="562"/>
        <w:rPr>
          <w:rFonts w:ascii="宋体" w:hAnsi="宋体" w:eastAsia="宋体"/>
          <w:sz w:val="28"/>
          <w:szCs w:val="21"/>
        </w:rPr>
      </w:pPr>
      <w:bookmarkStart w:id="12" w:name="_Toc121692787"/>
      <w:r>
        <w:rPr>
          <w:rFonts w:hint="eastAsia" w:ascii="宋体" w:hAnsi="宋体" w:eastAsia="宋体"/>
          <w:sz w:val="28"/>
          <w:szCs w:val="21"/>
        </w:rPr>
        <w:t>第三章</w:t>
      </w:r>
      <w:r>
        <w:rPr>
          <w:rFonts w:ascii="宋体" w:hAnsi="宋体" w:eastAsia="宋体"/>
          <w:sz w:val="28"/>
          <w:szCs w:val="21"/>
        </w:rPr>
        <w:t xml:space="preserve">  </w:t>
      </w:r>
      <w:r>
        <w:rPr>
          <w:rFonts w:hint="eastAsia" w:ascii="宋体" w:hAnsi="宋体" w:eastAsia="宋体"/>
          <w:sz w:val="28"/>
          <w:szCs w:val="21"/>
        </w:rPr>
        <w:t>工作范围</w:t>
      </w:r>
      <w:bookmarkEnd w:id="12"/>
    </w:p>
    <w:p>
      <w:pPr>
        <w:pStyle w:val="21"/>
        <w:autoSpaceDE w:val="0"/>
        <w:autoSpaceDN w:val="0"/>
        <w:spacing w:line="360" w:lineRule="auto"/>
        <w:ind w:firstLineChars="0"/>
        <w:rPr>
          <w:rFonts w:ascii="宋体" w:hAnsi="宋体" w:eastAsia="宋体"/>
          <w:sz w:val="21"/>
          <w:szCs w:val="21"/>
        </w:rPr>
      </w:pPr>
      <w:r>
        <w:rPr>
          <w:rFonts w:ascii="宋体" w:hAnsi="宋体" w:eastAsia="宋体"/>
          <w:sz w:val="21"/>
          <w:szCs w:val="21"/>
        </w:rPr>
        <w:t xml:space="preserve">3.1 </w:t>
      </w:r>
      <w:r>
        <w:rPr>
          <w:rFonts w:hint="eastAsia" w:ascii="宋体" w:hAnsi="宋体" w:eastAsia="宋体"/>
          <w:sz w:val="21"/>
          <w:szCs w:val="21"/>
        </w:rPr>
        <w:t>本任务书为全过程、全专业的设计总包，</w:t>
      </w:r>
      <w:r>
        <w:rPr>
          <w:rFonts w:ascii="宋体" w:hAnsi="宋体" w:eastAsia="宋体"/>
          <w:sz w:val="21"/>
          <w:szCs w:val="21"/>
        </w:rPr>
        <w:t>设计工作内容包括但不限</w:t>
      </w:r>
      <w:r>
        <w:rPr>
          <w:rFonts w:hint="eastAsia" w:ascii="宋体" w:hAnsi="宋体" w:eastAsia="宋体"/>
          <w:sz w:val="21"/>
          <w:szCs w:val="21"/>
        </w:rPr>
        <w:t>于</w:t>
      </w:r>
      <w:r>
        <w:rPr>
          <w:rFonts w:ascii="宋体" w:hAnsi="宋体" w:eastAsia="宋体"/>
          <w:sz w:val="21"/>
          <w:szCs w:val="21"/>
        </w:rPr>
        <w:t>以下内容：</w:t>
      </w:r>
    </w:p>
    <w:tbl>
      <w:tblPr>
        <w:tblStyle w:val="23"/>
        <w:tblW w:w="978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980"/>
        <w:gridCol w:w="992"/>
        <w:gridCol w:w="992"/>
        <w:gridCol w:w="993"/>
        <w:gridCol w:w="1134"/>
        <w:gridCol w:w="1134"/>
        <w:gridCol w:w="25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72" w:hRule="atLeast"/>
          <w:jc w:val="center"/>
        </w:trPr>
        <w:tc>
          <w:tcPr>
            <w:tcW w:w="1980" w:type="dxa"/>
            <w:vAlign w:val="center"/>
          </w:tcPr>
          <w:p>
            <w:pPr>
              <w:pStyle w:val="25"/>
              <w:ind w:firstLine="480"/>
              <w:jc w:val="center"/>
              <w:rPr>
                <w:sz w:val="21"/>
                <w:szCs w:val="21"/>
                <w:lang w:eastAsia="zh-CN"/>
              </w:rPr>
            </w:pPr>
          </w:p>
          <w:p>
            <w:pPr>
              <w:pStyle w:val="25"/>
              <w:spacing w:before="1"/>
              <w:jc w:val="center"/>
              <w:rPr>
                <w:sz w:val="21"/>
                <w:szCs w:val="21"/>
              </w:rPr>
            </w:pPr>
            <w:r>
              <w:rPr>
                <w:color w:val="2D2D2F"/>
                <w:w w:val="110"/>
                <w:sz w:val="21"/>
                <w:szCs w:val="21"/>
              </w:rPr>
              <w:t>项目名称</w:t>
            </w:r>
          </w:p>
        </w:tc>
        <w:tc>
          <w:tcPr>
            <w:tcW w:w="992" w:type="dxa"/>
            <w:vAlign w:val="center"/>
          </w:tcPr>
          <w:p>
            <w:pPr>
              <w:pStyle w:val="25"/>
              <w:spacing w:before="11" w:line="388" w:lineRule="exact"/>
              <w:ind w:left="195" w:right="157"/>
              <w:rPr>
                <w:sz w:val="21"/>
                <w:szCs w:val="21"/>
              </w:rPr>
            </w:pPr>
            <w:r>
              <w:rPr>
                <w:color w:val="2D2D2F"/>
                <w:w w:val="105"/>
                <w:sz w:val="21"/>
                <w:szCs w:val="21"/>
              </w:rPr>
              <w:t>方案设计</w:t>
            </w:r>
          </w:p>
        </w:tc>
        <w:tc>
          <w:tcPr>
            <w:tcW w:w="992" w:type="dxa"/>
            <w:vAlign w:val="center"/>
          </w:tcPr>
          <w:p>
            <w:pPr>
              <w:pStyle w:val="25"/>
              <w:spacing w:before="11" w:line="388" w:lineRule="exact"/>
              <w:ind w:left="190" w:right="155"/>
              <w:rPr>
                <w:sz w:val="21"/>
                <w:szCs w:val="21"/>
              </w:rPr>
            </w:pPr>
            <w:r>
              <w:rPr>
                <w:color w:val="2D2D2F"/>
                <w:w w:val="105"/>
                <w:sz w:val="21"/>
                <w:szCs w:val="21"/>
              </w:rPr>
              <w:t>初步设计</w:t>
            </w:r>
          </w:p>
        </w:tc>
        <w:tc>
          <w:tcPr>
            <w:tcW w:w="993" w:type="dxa"/>
            <w:vAlign w:val="center"/>
          </w:tcPr>
          <w:p>
            <w:pPr>
              <w:pStyle w:val="25"/>
              <w:spacing w:before="1" w:line="394" w:lineRule="exact"/>
              <w:ind w:right="104"/>
              <w:rPr>
                <w:sz w:val="21"/>
                <w:szCs w:val="21"/>
              </w:rPr>
            </w:pPr>
            <w:r>
              <w:rPr>
                <w:color w:val="2D2D2F"/>
                <w:w w:val="105"/>
                <w:sz w:val="21"/>
                <w:szCs w:val="21"/>
              </w:rPr>
              <w:t>施工图</w:t>
            </w:r>
            <w:r>
              <w:rPr>
                <w:color w:val="2D2D2F"/>
                <w:w w:val="110"/>
                <w:sz w:val="21"/>
                <w:szCs w:val="21"/>
              </w:rPr>
              <w:t>设计</w:t>
            </w:r>
          </w:p>
        </w:tc>
        <w:tc>
          <w:tcPr>
            <w:tcW w:w="1134" w:type="dxa"/>
            <w:vAlign w:val="center"/>
          </w:tcPr>
          <w:p>
            <w:pPr>
              <w:pStyle w:val="25"/>
              <w:spacing w:before="14" w:line="384" w:lineRule="exact"/>
              <w:ind w:left="154" w:right="62"/>
              <w:rPr>
                <w:sz w:val="21"/>
                <w:szCs w:val="21"/>
              </w:rPr>
            </w:pPr>
            <w:r>
              <w:rPr>
                <w:color w:val="2D2D2F"/>
                <w:w w:val="110"/>
                <w:sz w:val="21"/>
                <w:szCs w:val="21"/>
              </w:rPr>
              <w:t>设计</w:t>
            </w:r>
            <w:r>
              <w:rPr>
                <w:rFonts w:hint="eastAsia"/>
                <w:color w:val="2D2D2F"/>
                <w:w w:val="110"/>
                <w:sz w:val="21"/>
                <w:szCs w:val="21"/>
                <w:lang w:eastAsia="zh-CN"/>
              </w:rPr>
              <w:t>总</w:t>
            </w:r>
            <w:r>
              <w:rPr>
                <w:color w:val="2D2D2F"/>
                <w:w w:val="110"/>
                <w:sz w:val="21"/>
                <w:szCs w:val="21"/>
              </w:rPr>
              <w:t>承</w:t>
            </w:r>
            <w:r>
              <w:rPr>
                <w:color w:val="2D2D2F"/>
                <w:w w:val="105"/>
                <w:sz w:val="21"/>
                <w:szCs w:val="21"/>
              </w:rPr>
              <w:t>包管理</w:t>
            </w:r>
          </w:p>
        </w:tc>
        <w:tc>
          <w:tcPr>
            <w:tcW w:w="1134" w:type="dxa"/>
            <w:vAlign w:val="center"/>
          </w:tcPr>
          <w:p>
            <w:pPr>
              <w:pStyle w:val="25"/>
              <w:spacing w:before="11" w:line="388" w:lineRule="exact"/>
              <w:ind w:left="257" w:right="65"/>
              <w:rPr>
                <w:color w:val="2D2D2F"/>
                <w:w w:val="110"/>
                <w:sz w:val="21"/>
                <w:szCs w:val="21"/>
              </w:rPr>
            </w:pPr>
            <w:r>
              <w:rPr>
                <w:rFonts w:hint="eastAsia"/>
                <w:color w:val="2D2D2F"/>
                <w:w w:val="110"/>
                <w:sz w:val="21"/>
                <w:szCs w:val="21"/>
                <w:lang w:eastAsia="zh-CN"/>
              </w:rPr>
              <w:t>终版</w:t>
            </w:r>
            <w:r>
              <w:rPr>
                <w:color w:val="2D2D2F"/>
                <w:w w:val="110"/>
                <w:sz w:val="21"/>
                <w:szCs w:val="21"/>
              </w:rPr>
              <w:t>图编制</w:t>
            </w:r>
          </w:p>
        </w:tc>
        <w:tc>
          <w:tcPr>
            <w:tcW w:w="2562" w:type="dxa"/>
            <w:vAlign w:val="center"/>
          </w:tcPr>
          <w:p>
            <w:pPr>
              <w:pStyle w:val="25"/>
              <w:spacing w:before="1"/>
              <w:ind w:right="1003"/>
              <w:rPr>
                <w:color w:val="2D2D2F"/>
                <w:w w:val="105"/>
                <w:sz w:val="21"/>
                <w:szCs w:val="21"/>
              </w:rPr>
            </w:pPr>
          </w:p>
          <w:p>
            <w:pPr>
              <w:pStyle w:val="25"/>
              <w:spacing w:before="1"/>
              <w:ind w:right="1003" w:firstLine="440" w:firstLineChars="200"/>
              <w:jc w:val="center"/>
              <w:rPr>
                <w:sz w:val="21"/>
                <w:szCs w:val="21"/>
              </w:rPr>
            </w:pPr>
            <w:r>
              <w:rPr>
                <w:color w:val="2D2D2F"/>
                <w:w w:val="105"/>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11" w:hRule="atLeast"/>
          <w:jc w:val="center"/>
        </w:trPr>
        <w:tc>
          <w:tcPr>
            <w:tcW w:w="1980" w:type="dxa"/>
            <w:vAlign w:val="center"/>
          </w:tcPr>
          <w:p>
            <w:pPr>
              <w:pStyle w:val="25"/>
              <w:spacing w:before="167"/>
              <w:jc w:val="center"/>
              <w:rPr>
                <w:sz w:val="21"/>
                <w:szCs w:val="21"/>
              </w:rPr>
            </w:pPr>
            <w:r>
              <w:rPr>
                <w:color w:val="2D2D2F"/>
                <w:w w:val="110"/>
                <w:sz w:val="21"/>
                <w:szCs w:val="21"/>
              </w:rPr>
              <w:t>总平面设计</w:t>
            </w:r>
          </w:p>
        </w:tc>
        <w:tc>
          <w:tcPr>
            <w:tcW w:w="992" w:type="dxa"/>
            <w:vAlign w:val="center"/>
          </w:tcPr>
          <w:p>
            <w:pPr>
              <w:pStyle w:val="25"/>
              <w:spacing w:before="157"/>
              <w:ind w:left="365"/>
              <w:rPr>
                <w:sz w:val="21"/>
                <w:szCs w:val="21"/>
              </w:rPr>
            </w:pPr>
            <w:r>
              <w:rPr>
                <w:color w:val="2D2D2F"/>
                <w:w w:val="108"/>
                <w:sz w:val="21"/>
                <w:szCs w:val="21"/>
              </w:rPr>
              <w:sym w:font="Wingdings 2" w:char="F050"/>
            </w:r>
          </w:p>
        </w:tc>
        <w:tc>
          <w:tcPr>
            <w:tcW w:w="992" w:type="dxa"/>
            <w:vAlign w:val="center"/>
          </w:tcPr>
          <w:p>
            <w:pPr>
              <w:pStyle w:val="25"/>
              <w:spacing w:before="157"/>
              <w:ind w:left="20" w:firstLine="496"/>
              <w:rPr>
                <w:sz w:val="21"/>
                <w:szCs w:val="21"/>
              </w:rPr>
            </w:pPr>
            <w:r>
              <w:rPr>
                <w:color w:val="2D2D2F"/>
                <w:w w:val="108"/>
                <w:sz w:val="21"/>
                <w:szCs w:val="21"/>
              </w:rPr>
              <w:sym w:font="Wingdings 2" w:char="F050"/>
            </w:r>
          </w:p>
        </w:tc>
        <w:tc>
          <w:tcPr>
            <w:tcW w:w="993" w:type="dxa"/>
            <w:vAlign w:val="center"/>
          </w:tcPr>
          <w:p>
            <w:pPr>
              <w:pStyle w:val="25"/>
              <w:spacing w:before="157"/>
              <w:ind w:left="29" w:firstLine="496"/>
              <w:rPr>
                <w:sz w:val="21"/>
                <w:szCs w:val="21"/>
              </w:rPr>
            </w:pPr>
            <w:r>
              <w:rPr>
                <w:color w:val="2D2D2F"/>
                <w:w w:val="108"/>
                <w:sz w:val="21"/>
                <w:szCs w:val="21"/>
              </w:rPr>
              <w:sym w:font="Wingdings 2" w:char="F050"/>
            </w:r>
          </w:p>
        </w:tc>
        <w:tc>
          <w:tcPr>
            <w:tcW w:w="1134" w:type="dxa"/>
            <w:vAlign w:val="center"/>
          </w:tcPr>
          <w:p>
            <w:pPr>
              <w:pStyle w:val="25"/>
              <w:spacing w:before="153"/>
              <w:jc w:val="center"/>
              <w:rPr>
                <w:sz w:val="21"/>
                <w:szCs w:val="21"/>
              </w:rPr>
            </w:pPr>
            <w:r>
              <w:rPr>
                <w:color w:val="2D2D2F"/>
                <w:w w:val="108"/>
                <w:sz w:val="21"/>
                <w:szCs w:val="21"/>
              </w:rPr>
              <w:sym w:font="Wingdings 2" w:char="F050"/>
            </w:r>
          </w:p>
        </w:tc>
        <w:tc>
          <w:tcPr>
            <w:tcW w:w="1134" w:type="dxa"/>
            <w:vAlign w:val="center"/>
          </w:tcPr>
          <w:p>
            <w:pPr>
              <w:pStyle w:val="25"/>
              <w:ind w:firstLine="400"/>
              <w:jc w:val="center"/>
              <w:rPr>
                <w:color w:val="2D2D2F"/>
                <w:w w:val="108"/>
                <w:sz w:val="21"/>
                <w:szCs w:val="21"/>
              </w:rPr>
            </w:pPr>
          </w:p>
          <w:p>
            <w:pPr>
              <w:pStyle w:val="25"/>
              <w:jc w:val="center"/>
              <w:rPr>
                <w:sz w:val="21"/>
                <w:szCs w:val="21"/>
              </w:rPr>
            </w:pPr>
            <w:r>
              <w:rPr>
                <w:color w:val="2D2D2F"/>
                <w:w w:val="108"/>
                <w:sz w:val="21"/>
                <w:szCs w:val="21"/>
              </w:rPr>
              <w:sym w:font="Wingdings 2" w:char="F050"/>
            </w:r>
          </w:p>
        </w:tc>
        <w:tc>
          <w:tcPr>
            <w:tcW w:w="2562" w:type="dxa"/>
            <w:vAlign w:val="center"/>
          </w:tcPr>
          <w:p>
            <w:pPr>
              <w:pStyle w:val="25"/>
              <w:ind w:firstLine="400"/>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32" w:hRule="atLeast"/>
          <w:jc w:val="center"/>
        </w:trPr>
        <w:tc>
          <w:tcPr>
            <w:tcW w:w="1980" w:type="dxa"/>
            <w:vAlign w:val="center"/>
          </w:tcPr>
          <w:p>
            <w:pPr>
              <w:pStyle w:val="25"/>
              <w:spacing w:before="8"/>
              <w:ind w:firstLine="280"/>
              <w:jc w:val="center"/>
              <w:rPr>
                <w:sz w:val="21"/>
                <w:szCs w:val="21"/>
              </w:rPr>
            </w:pPr>
          </w:p>
          <w:p>
            <w:pPr>
              <w:pStyle w:val="25"/>
              <w:spacing w:before="1"/>
              <w:jc w:val="center"/>
              <w:rPr>
                <w:sz w:val="21"/>
                <w:szCs w:val="21"/>
              </w:rPr>
            </w:pPr>
            <w:r>
              <w:rPr>
                <w:color w:val="2D2D2F"/>
                <w:w w:val="105"/>
                <w:sz w:val="21"/>
                <w:szCs w:val="21"/>
              </w:rPr>
              <w:t>建筑设计</w:t>
            </w:r>
          </w:p>
        </w:tc>
        <w:tc>
          <w:tcPr>
            <w:tcW w:w="992" w:type="dxa"/>
            <w:vAlign w:val="center"/>
          </w:tcPr>
          <w:p>
            <w:pPr>
              <w:pStyle w:val="25"/>
              <w:ind w:firstLine="400"/>
              <w:rPr>
                <w:sz w:val="21"/>
                <w:szCs w:val="21"/>
              </w:rPr>
            </w:pPr>
            <w:r>
              <w:rPr>
                <w:color w:val="2D2D2F"/>
                <w:w w:val="108"/>
                <w:sz w:val="21"/>
                <w:szCs w:val="21"/>
              </w:rPr>
              <w:sym w:font="Wingdings 2" w:char="F050"/>
            </w:r>
          </w:p>
        </w:tc>
        <w:tc>
          <w:tcPr>
            <w:tcW w:w="992" w:type="dxa"/>
            <w:vAlign w:val="center"/>
          </w:tcPr>
          <w:p>
            <w:pPr>
              <w:pStyle w:val="25"/>
              <w:spacing w:before="179"/>
              <w:ind w:left="19" w:firstLine="492"/>
              <w:rPr>
                <w:sz w:val="21"/>
                <w:szCs w:val="21"/>
              </w:rPr>
            </w:pPr>
            <w:r>
              <w:rPr>
                <w:color w:val="2D2D2F"/>
                <w:w w:val="108"/>
                <w:sz w:val="21"/>
                <w:szCs w:val="21"/>
              </w:rPr>
              <w:sym w:font="Wingdings 2" w:char="F050"/>
            </w:r>
          </w:p>
        </w:tc>
        <w:tc>
          <w:tcPr>
            <w:tcW w:w="993" w:type="dxa"/>
            <w:vAlign w:val="center"/>
          </w:tcPr>
          <w:p>
            <w:pPr>
              <w:pStyle w:val="25"/>
              <w:spacing w:before="179"/>
              <w:ind w:left="28" w:firstLine="492"/>
              <w:rPr>
                <w:sz w:val="21"/>
                <w:szCs w:val="21"/>
              </w:rPr>
            </w:pPr>
            <w:r>
              <w:rPr>
                <w:color w:val="2D2D2F"/>
                <w:w w:val="108"/>
                <w:sz w:val="21"/>
                <w:szCs w:val="21"/>
              </w:rPr>
              <w:sym w:font="Wingdings 2" w:char="F050"/>
            </w:r>
          </w:p>
        </w:tc>
        <w:tc>
          <w:tcPr>
            <w:tcW w:w="1134" w:type="dxa"/>
            <w:vAlign w:val="center"/>
          </w:tcPr>
          <w:p>
            <w:pPr>
              <w:pStyle w:val="25"/>
              <w:spacing w:before="174"/>
              <w:jc w:val="center"/>
              <w:rPr>
                <w:sz w:val="21"/>
                <w:szCs w:val="21"/>
              </w:rPr>
            </w:pPr>
            <w:r>
              <w:rPr>
                <w:color w:val="2D2D2F"/>
                <w:w w:val="108"/>
                <w:sz w:val="21"/>
                <w:szCs w:val="21"/>
              </w:rPr>
              <w:sym w:font="Wingdings 2" w:char="F050"/>
            </w:r>
          </w:p>
        </w:tc>
        <w:tc>
          <w:tcPr>
            <w:tcW w:w="1134" w:type="dxa"/>
            <w:vAlign w:val="center"/>
          </w:tcPr>
          <w:p>
            <w:pPr>
              <w:pStyle w:val="25"/>
              <w:spacing w:before="179"/>
              <w:jc w:val="center"/>
              <w:rPr>
                <w:sz w:val="21"/>
                <w:szCs w:val="21"/>
              </w:rPr>
            </w:pPr>
            <w:r>
              <w:rPr>
                <w:color w:val="2D2D2F"/>
                <w:w w:val="108"/>
                <w:sz w:val="21"/>
                <w:szCs w:val="21"/>
              </w:rPr>
              <w:sym w:font="Wingdings 2" w:char="F050"/>
            </w:r>
          </w:p>
        </w:tc>
        <w:tc>
          <w:tcPr>
            <w:tcW w:w="2562" w:type="dxa"/>
            <w:vAlign w:val="center"/>
          </w:tcPr>
          <w:p>
            <w:pPr>
              <w:pStyle w:val="25"/>
              <w:rPr>
                <w:sz w:val="21"/>
                <w:szCs w:val="21"/>
                <w:lang w:eastAsia="zh-CN"/>
              </w:rPr>
            </w:pPr>
            <w:r>
              <w:rPr>
                <w:color w:val="2D2D2F"/>
                <w:w w:val="105"/>
                <w:sz w:val="21"/>
                <w:szCs w:val="21"/>
                <w:lang w:eastAsia="zh-CN"/>
              </w:rPr>
              <w:t>包含地上、地下墙体砌筑图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72" w:hRule="atLeast"/>
          <w:jc w:val="center"/>
        </w:trPr>
        <w:tc>
          <w:tcPr>
            <w:tcW w:w="1980" w:type="dxa"/>
            <w:vAlign w:val="center"/>
          </w:tcPr>
          <w:p>
            <w:pPr>
              <w:pStyle w:val="25"/>
              <w:spacing w:before="5" w:line="380" w:lineRule="atLeast"/>
              <w:ind w:left="113" w:right="121"/>
              <w:jc w:val="center"/>
              <w:rPr>
                <w:color w:val="2D2D2F"/>
                <w:w w:val="105"/>
                <w:sz w:val="21"/>
                <w:szCs w:val="21"/>
                <w:lang w:eastAsia="zh-CN"/>
              </w:rPr>
            </w:pPr>
            <w:r>
              <w:rPr>
                <w:color w:val="2D2D2F"/>
                <w:w w:val="105"/>
                <w:sz w:val="21"/>
                <w:szCs w:val="21"/>
                <w:lang w:eastAsia="zh-CN"/>
              </w:rPr>
              <w:t>结构设计／</w:t>
            </w:r>
          </w:p>
          <w:p>
            <w:pPr>
              <w:pStyle w:val="25"/>
              <w:spacing w:before="5" w:line="380" w:lineRule="atLeast"/>
              <w:ind w:left="113" w:right="121"/>
              <w:jc w:val="center"/>
              <w:rPr>
                <w:sz w:val="21"/>
                <w:szCs w:val="21"/>
                <w:lang w:eastAsia="zh-CN"/>
              </w:rPr>
            </w:pPr>
            <w:r>
              <w:rPr>
                <w:color w:val="2D2D2F"/>
                <w:w w:val="105"/>
                <w:sz w:val="21"/>
                <w:szCs w:val="21"/>
                <w:lang w:eastAsia="zh-CN"/>
              </w:rPr>
              <w:t>钢结构设计</w:t>
            </w:r>
          </w:p>
        </w:tc>
        <w:tc>
          <w:tcPr>
            <w:tcW w:w="992" w:type="dxa"/>
            <w:vAlign w:val="center"/>
          </w:tcPr>
          <w:p>
            <w:pPr>
              <w:pStyle w:val="25"/>
              <w:jc w:val="center"/>
              <w:rPr>
                <w:sz w:val="21"/>
                <w:szCs w:val="21"/>
              </w:rPr>
            </w:pPr>
            <w:r>
              <w:rPr>
                <w:color w:val="2D2D2F"/>
                <w:w w:val="108"/>
                <w:sz w:val="21"/>
                <w:szCs w:val="21"/>
              </w:rPr>
              <w:sym w:font="Wingdings 2" w:char="F050"/>
            </w:r>
          </w:p>
        </w:tc>
        <w:tc>
          <w:tcPr>
            <w:tcW w:w="992" w:type="dxa"/>
            <w:vAlign w:val="center"/>
          </w:tcPr>
          <w:p>
            <w:pPr>
              <w:pStyle w:val="25"/>
              <w:ind w:left="8" w:firstLine="488"/>
              <w:rPr>
                <w:sz w:val="21"/>
                <w:szCs w:val="21"/>
              </w:rPr>
            </w:pPr>
            <w:r>
              <w:rPr>
                <w:color w:val="2D2D2F"/>
                <w:w w:val="108"/>
                <w:sz w:val="21"/>
                <w:szCs w:val="21"/>
              </w:rPr>
              <w:sym w:font="Wingdings 2" w:char="F050"/>
            </w:r>
          </w:p>
        </w:tc>
        <w:tc>
          <w:tcPr>
            <w:tcW w:w="993" w:type="dxa"/>
            <w:vAlign w:val="center"/>
          </w:tcPr>
          <w:p>
            <w:pPr>
              <w:pStyle w:val="25"/>
              <w:ind w:left="18" w:firstLine="488"/>
              <w:rPr>
                <w:sz w:val="21"/>
                <w:szCs w:val="21"/>
              </w:rPr>
            </w:pPr>
            <w:r>
              <w:rPr>
                <w:color w:val="2D2D2F"/>
                <w:w w:val="108"/>
                <w:sz w:val="21"/>
                <w:szCs w:val="21"/>
              </w:rPr>
              <w:sym w:font="Wingdings 2" w:char="F050"/>
            </w:r>
          </w:p>
        </w:tc>
        <w:tc>
          <w:tcPr>
            <w:tcW w:w="1134" w:type="dxa"/>
            <w:vAlign w:val="center"/>
          </w:tcPr>
          <w:p>
            <w:pPr>
              <w:pStyle w:val="25"/>
              <w:jc w:val="center"/>
              <w:rPr>
                <w:sz w:val="21"/>
                <w:szCs w:val="21"/>
              </w:rPr>
            </w:pPr>
            <w:r>
              <w:rPr>
                <w:color w:val="2D2D2F"/>
                <w:w w:val="108"/>
                <w:sz w:val="21"/>
                <w:szCs w:val="21"/>
              </w:rPr>
              <w:sym w:font="Wingdings 2" w:char="F050"/>
            </w:r>
          </w:p>
        </w:tc>
        <w:tc>
          <w:tcPr>
            <w:tcW w:w="1134" w:type="dxa"/>
            <w:vAlign w:val="center"/>
          </w:tcPr>
          <w:p>
            <w:pPr>
              <w:pStyle w:val="25"/>
              <w:spacing w:before="12"/>
              <w:jc w:val="center"/>
              <w:rPr>
                <w:sz w:val="21"/>
                <w:szCs w:val="21"/>
              </w:rPr>
            </w:pPr>
            <w:r>
              <w:rPr>
                <w:color w:val="2D2D2F"/>
                <w:w w:val="108"/>
                <w:sz w:val="21"/>
                <w:szCs w:val="21"/>
              </w:rPr>
              <w:sym w:font="Wingdings 2" w:char="F050"/>
            </w:r>
          </w:p>
        </w:tc>
        <w:tc>
          <w:tcPr>
            <w:tcW w:w="2562" w:type="dxa"/>
            <w:vAlign w:val="center"/>
          </w:tcPr>
          <w:p>
            <w:pPr>
              <w:pStyle w:val="25"/>
              <w:rPr>
                <w:sz w:val="21"/>
                <w:szCs w:val="21"/>
              </w:rPr>
            </w:pPr>
            <w:r>
              <w:rPr>
                <w:color w:val="2D2D2F"/>
                <w:w w:val="105"/>
                <w:sz w:val="21"/>
                <w:szCs w:val="21"/>
                <w:lang w:eastAsia="zh-CN"/>
              </w:rPr>
              <w:t>包含风洞试验</w:t>
            </w:r>
            <w:r>
              <w:rPr>
                <w:rFonts w:hint="eastAsia"/>
                <w:color w:val="2D2D2F"/>
                <w:w w:val="105"/>
                <w:sz w:val="21"/>
                <w:szCs w:val="21"/>
                <w:lang w:eastAsia="zh-CN"/>
              </w:rPr>
              <w:t>、超限审查。（若有）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72" w:hRule="atLeast"/>
          <w:jc w:val="center"/>
        </w:trPr>
        <w:tc>
          <w:tcPr>
            <w:tcW w:w="1980" w:type="dxa"/>
            <w:vAlign w:val="center"/>
          </w:tcPr>
          <w:p>
            <w:pPr>
              <w:pStyle w:val="25"/>
              <w:spacing w:before="5" w:line="380" w:lineRule="atLeast"/>
              <w:ind w:right="121"/>
              <w:jc w:val="center"/>
              <w:rPr>
                <w:color w:val="2D2D2F"/>
                <w:w w:val="105"/>
                <w:sz w:val="21"/>
                <w:szCs w:val="21"/>
                <w:lang w:eastAsia="zh-CN"/>
              </w:rPr>
            </w:pPr>
            <w:r>
              <w:rPr>
                <w:rFonts w:hint="eastAsia"/>
                <w:color w:val="2D2D2F"/>
                <w:w w:val="105"/>
                <w:sz w:val="21"/>
                <w:szCs w:val="21"/>
                <w:lang w:eastAsia="zh-CN"/>
              </w:rPr>
              <w:t>室内外装修设计</w:t>
            </w:r>
          </w:p>
        </w:tc>
        <w:tc>
          <w:tcPr>
            <w:tcW w:w="992" w:type="dxa"/>
            <w:vAlign w:val="center"/>
          </w:tcPr>
          <w:p>
            <w:pPr>
              <w:pStyle w:val="25"/>
              <w:spacing w:before="12"/>
              <w:jc w:val="center"/>
              <w:rPr>
                <w:sz w:val="21"/>
                <w:szCs w:val="21"/>
                <w:lang w:eastAsia="zh-CN"/>
              </w:rPr>
            </w:pPr>
          </w:p>
        </w:tc>
        <w:tc>
          <w:tcPr>
            <w:tcW w:w="992" w:type="dxa"/>
            <w:vAlign w:val="center"/>
          </w:tcPr>
          <w:p>
            <w:pPr>
              <w:pStyle w:val="25"/>
              <w:ind w:left="8" w:firstLine="488"/>
              <w:rPr>
                <w:color w:val="2D2D2F"/>
                <w:w w:val="108"/>
                <w:sz w:val="21"/>
                <w:szCs w:val="21"/>
              </w:rPr>
            </w:pPr>
            <w:r>
              <w:rPr>
                <w:color w:val="2D2D2F"/>
                <w:w w:val="108"/>
                <w:sz w:val="21"/>
                <w:szCs w:val="21"/>
              </w:rPr>
              <w:sym w:font="Wingdings 2" w:char="F050"/>
            </w:r>
          </w:p>
        </w:tc>
        <w:tc>
          <w:tcPr>
            <w:tcW w:w="993" w:type="dxa"/>
            <w:vAlign w:val="center"/>
          </w:tcPr>
          <w:p>
            <w:pPr>
              <w:pStyle w:val="25"/>
              <w:ind w:left="18" w:firstLine="488"/>
              <w:rPr>
                <w:color w:val="2D2D2F"/>
                <w:w w:val="108"/>
                <w:sz w:val="21"/>
                <w:szCs w:val="21"/>
              </w:rPr>
            </w:pPr>
            <w:r>
              <w:rPr>
                <w:color w:val="2D2D2F"/>
                <w:w w:val="108"/>
                <w:sz w:val="21"/>
                <w:szCs w:val="21"/>
              </w:rPr>
              <w:sym w:font="Wingdings 2" w:char="F050"/>
            </w:r>
          </w:p>
        </w:tc>
        <w:tc>
          <w:tcPr>
            <w:tcW w:w="1134" w:type="dxa"/>
            <w:vAlign w:val="center"/>
          </w:tcPr>
          <w:p>
            <w:pPr>
              <w:pStyle w:val="25"/>
              <w:jc w:val="center"/>
              <w:rPr>
                <w:color w:val="2D2D2F"/>
                <w:w w:val="108"/>
                <w:sz w:val="21"/>
                <w:szCs w:val="21"/>
              </w:rPr>
            </w:pPr>
            <w:r>
              <w:rPr>
                <w:color w:val="2D2D2F"/>
                <w:w w:val="108"/>
                <w:sz w:val="21"/>
                <w:szCs w:val="21"/>
              </w:rPr>
              <w:sym w:font="Wingdings 2" w:char="F050"/>
            </w:r>
          </w:p>
        </w:tc>
        <w:tc>
          <w:tcPr>
            <w:tcW w:w="1134" w:type="dxa"/>
            <w:vAlign w:val="center"/>
          </w:tcPr>
          <w:p>
            <w:pPr>
              <w:pStyle w:val="25"/>
              <w:spacing w:before="12"/>
              <w:jc w:val="center"/>
              <w:rPr>
                <w:color w:val="2D2D2F"/>
                <w:w w:val="108"/>
                <w:sz w:val="21"/>
                <w:szCs w:val="21"/>
              </w:rPr>
            </w:pPr>
            <w:r>
              <w:rPr>
                <w:color w:val="2D2D2F"/>
                <w:w w:val="108"/>
                <w:sz w:val="21"/>
                <w:szCs w:val="21"/>
              </w:rPr>
              <w:sym w:font="Wingdings 2" w:char="F050"/>
            </w:r>
          </w:p>
        </w:tc>
        <w:tc>
          <w:tcPr>
            <w:tcW w:w="2562" w:type="dxa"/>
            <w:vAlign w:val="center"/>
          </w:tcPr>
          <w:p>
            <w:pPr>
              <w:pStyle w:val="25"/>
              <w:rPr>
                <w:color w:val="2D2D2F"/>
                <w:w w:val="105"/>
                <w:sz w:val="21"/>
                <w:szCs w:val="21"/>
                <w:lang w:eastAsia="zh-CN"/>
              </w:rPr>
            </w:pPr>
            <w:r>
              <w:rPr>
                <w:rFonts w:hint="eastAsia"/>
                <w:color w:val="2D2D2F"/>
                <w:w w:val="105"/>
                <w:sz w:val="21"/>
                <w:szCs w:val="21"/>
                <w:lang w:eastAsia="zh-CN"/>
              </w:rPr>
              <w:t>达到最终交付使用的全部室内装修设计。包括但不限于以下内容：</w:t>
            </w:r>
          </w:p>
          <w:p>
            <w:pPr>
              <w:pStyle w:val="25"/>
              <w:rPr>
                <w:color w:val="2D2D2F"/>
                <w:w w:val="105"/>
                <w:sz w:val="21"/>
                <w:szCs w:val="21"/>
                <w:lang w:eastAsia="zh-CN"/>
              </w:rPr>
            </w:pPr>
            <w:r>
              <w:rPr>
                <w:rFonts w:hint="eastAsia"/>
                <w:color w:val="2D2D2F"/>
                <w:w w:val="105"/>
                <w:sz w:val="21"/>
                <w:szCs w:val="21"/>
                <w:lang w:eastAsia="zh-CN"/>
              </w:rPr>
              <w:t>室内重点部位，硬装达到施工图深度，软装达到明确选型和采购。</w:t>
            </w:r>
          </w:p>
          <w:p>
            <w:pPr>
              <w:pStyle w:val="25"/>
              <w:rPr>
                <w:color w:val="2D2D2F"/>
                <w:w w:val="105"/>
                <w:sz w:val="21"/>
                <w:szCs w:val="21"/>
                <w:lang w:eastAsia="zh-CN"/>
              </w:rPr>
            </w:pPr>
            <w:r>
              <w:rPr>
                <w:color w:val="2D2D2F"/>
                <w:w w:val="105"/>
                <w:sz w:val="21"/>
                <w:szCs w:val="21"/>
                <w:lang w:eastAsia="zh-CN"/>
              </w:rPr>
              <w:t>1.</w:t>
            </w:r>
            <w:r>
              <w:rPr>
                <w:rFonts w:hint="eastAsia"/>
                <w:color w:val="2D2D2F"/>
                <w:w w:val="105"/>
                <w:sz w:val="21"/>
                <w:szCs w:val="21"/>
                <w:lang w:eastAsia="zh-CN"/>
              </w:rPr>
              <w:t>室内平面布置方案设计</w:t>
            </w:r>
          </w:p>
          <w:p>
            <w:pPr>
              <w:pStyle w:val="25"/>
              <w:rPr>
                <w:color w:val="2D2D2F"/>
                <w:w w:val="105"/>
                <w:sz w:val="21"/>
                <w:szCs w:val="21"/>
                <w:lang w:eastAsia="zh-CN"/>
              </w:rPr>
            </w:pPr>
            <w:r>
              <w:rPr>
                <w:color w:val="2D2D2F"/>
                <w:w w:val="105"/>
                <w:sz w:val="21"/>
                <w:szCs w:val="21"/>
                <w:lang w:eastAsia="zh-CN"/>
              </w:rPr>
              <w:t>2.</w:t>
            </w:r>
            <w:r>
              <w:rPr>
                <w:rFonts w:hint="eastAsia"/>
                <w:color w:val="2D2D2F"/>
                <w:w w:val="105"/>
                <w:sz w:val="21"/>
                <w:szCs w:val="21"/>
                <w:lang w:eastAsia="zh-CN"/>
              </w:rPr>
              <w:t>重点部位效果图</w:t>
            </w:r>
          </w:p>
          <w:p>
            <w:pPr>
              <w:pStyle w:val="25"/>
              <w:rPr>
                <w:color w:val="2D2D2F"/>
                <w:w w:val="105"/>
                <w:sz w:val="21"/>
                <w:szCs w:val="21"/>
                <w:lang w:eastAsia="zh-CN"/>
              </w:rPr>
            </w:pPr>
            <w:r>
              <w:rPr>
                <w:color w:val="2D2D2F"/>
                <w:w w:val="105"/>
                <w:sz w:val="21"/>
                <w:szCs w:val="21"/>
                <w:lang w:eastAsia="zh-CN"/>
              </w:rPr>
              <w:t>3.</w:t>
            </w:r>
            <w:r>
              <w:rPr>
                <w:rFonts w:hint="eastAsia"/>
                <w:color w:val="2D2D2F"/>
                <w:w w:val="105"/>
                <w:sz w:val="21"/>
                <w:szCs w:val="21"/>
                <w:lang w:eastAsia="zh-CN"/>
              </w:rPr>
              <w:t>装饰方案扩初图 ， 水电暖通系统、装饰材料</w:t>
            </w:r>
          </w:p>
          <w:p>
            <w:pPr>
              <w:pStyle w:val="25"/>
              <w:rPr>
                <w:color w:val="2D2D2F"/>
                <w:w w:val="105"/>
                <w:sz w:val="21"/>
                <w:szCs w:val="21"/>
                <w:lang w:eastAsia="zh-CN"/>
              </w:rPr>
            </w:pPr>
            <w:r>
              <w:rPr>
                <w:color w:val="2D2D2F"/>
                <w:w w:val="105"/>
                <w:sz w:val="21"/>
                <w:szCs w:val="21"/>
                <w:lang w:eastAsia="zh-CN"/>
              </w:rPr>
              <w:t>4.</w:t>
            </w:r>
            <w:r>
              <w:rPr>
                <w:rFonts w:hint="eastAsia"/>
                <w:color w:val="2D2D2F"/>
                <w:w w:val="105"/>
                <w:sz w:val="21"/>
                <w:szCs w:val="21"/>
                <w:lang w:eastAsia="zh-CN"/>
              </w:rPr>
              <w:t>室内装饰硬装、给排水系统、强弱电系统、空调系统、智能化系统</w:t>
            </w:r>
          </w:p>
          <w:p>
            <w:pPr>
              <w:pStyle w:val="25"/>
              <w:rPr>
                <w:color w:val="2D2D2F"/>
                <w:w w:val="105"/>
                <w:sz w:val="21"/>
                <w:szCs w:val="21"/>
                <w:lang w:eastAsia="zh-CN"/>
              </w:rPr>
            </w:pPr>
            <w:r>
              <w:rPr>
                <w:color w:val="2D2D2F"/>
                <w:w w:val="105"/>
                <w:sz w:val="21"/>
                <w:szCs w:val="21"/>
                <w:lang w:eastAsia="zh-CN"/>
              </w:rPr>
              <w:t>5.</w:t>
            </w:r>
            <w:r>
              <w:rPr>
                <w:rFonts w:hint="eastAsia"/>
                <w:color w:val="2D2D2F"/>
                <w:w w:val="105"/>
                <w:sz w:val="21"/>
                <w:szCs w:val="21"/>
                <w:lang w:eastAsia="zh-CN"/>
              </w:rPr>
              <w:t>室内软装的配合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72" w:hRule="atLeast"/>
          <w:jc w:val="center"/>
        </w:trPr>
        <w:tc>
          <w:tcPr>
            <w:tcW w:w="1980" w:type="dxa"/>
            <w:vAlign w:val="center"/>
          </w:tcPr>
          <w:p>
            <w:pPr>
              <w:pStyle w:val="25"/>
              <w:spacing w:before="5" w:line="380" w:lineRule="atLeast"/>
              <w:ind w:right="121"/>
              <w:jc w:val="center"/>
              <w:rPr>
                <w:color w:val="2D2D2F"/>
                <w:w w:val="105"/>
                <w:sz w:val="21"/>
                <w:szCs w:val="21"/>
                <w:lang w:eastAsia="zh-CN"/>
              </w:rPr>
            </w:pPr>
            <w:r>
              <w:rPr>
                <w:rFonts w:hint="eastAsia"/>
                <w:color w:val="2D2D2F"/>
                <w:w w:val="105"/>
                <w:sz w:val="21"/>
                <w:szCs w:val="21"/>
                <w:lang w:eastAsia="zh-CN"/>
              </w:rPr>
              <w:t>人防工程设计</w:t>
            </w:r>
          </w:p>
        </w:tc>
        <w:tc>
          <w:tcPr>
            <w:tcW w:w="992" w:type="dxa"/>
            <w:vAlign w:val="center"/>
          </w:tcPr>
          <w:p>
            <w:pPr>
              <w:pStyle w:val="25"/>
              <w:spacing w:before="12"/>
              <w:jc w:val="center"/>
              <w:rPr>
                <w:sz w:val="21"/>
                <w:szCs w:val="21"/>
                <w:lang w:eastAsia="zh-CN"/>
              </w:rPr>
            </w:pPr>
            <w:r>
              <w:rPr>
                <w:color w:val="2D2D2F"/>
                <w:w w:val="108"/>
                <w:sz w:val="21"/>
                <w:szCs w:val="21"/>
              </w:rPr>
              <w:sym w:font="Wingdings 2" w:char="F050"/>
            </w:r>
          </w:p>
        </w:tc>
        <w:tc>
          <w:tcPr>
            <w:tcW w:w="992" w:type="dxa"/>
            <w:vAlign w:val="center"/>
          </w:tcPr>
          <w:p>
            <w:pPr>
              <w:pStyle w:val="25"/>
              <w:ind w:left="8" w:firstLine="488"/>
              <w:rPr>
                <w:color w:val="2D2D2F"/>
                <w:w w:val="108"/>
                <w:sz w:val="21"/>
                <w:szCs w:val="21"/>
              </w:rPr>
            </w:pPr>
            <w:r>
              <w:rPr>
                <w:color w:val="2D2D2F"/>
                <w:w w:val="108"/>
                <w:sz w:val="21"/>
                <w:szCs w:val="21"/>
              </w:rPr>
              <w:sym w:font="Wingdings 2" w:char="F050"/>
            </w:r>
          </w:p>
        </w:tc>
        <w:tc>
          <w:tcPr>
            <w:tcW w:w="993" w:type="dxa"/>
            <w:vAlign w:val="center"/>
          </w:tcPr>
          <w:p>
            <w:pPr>
              <w:pStyle w:val="25"/>
              <w:ind w:left="18" w:firstLine="488"/>
              <w:rPr>
                <w:color w:val="2D2D2F"/>
                <w:w w:val="108"/>
                <w:sz w:val="21"/>
                <w:szCs w:val="21"/>
              </w:rPr>
            </w:pPr>
            <w:r>
              <w:rPr>
                <w:color w:val="2D2D2F"/>
                <w:w w:val="108"/>
                <w:sz w:val="21"/>
                <w:szCs w:val="21"/>
              </w:rPr>
              <w:sym w:font="Wingdings 2" w:char="F050"/>
            </w:r>
          </w:p>
        </w:tc>
        <w:tc>
          <w:tcPr>
            <w:tcW w:w="1134" w:type="dxa"/>
            <w:vAlign w:val="center"/>
          </w:tcPr>
          <w:p>
            <w:pPr>
              <w:pStyle w:val="25"/>
              <w:jc w:val="center"/>
              <w:rPr>
                <w:color w:val="2D2D2F"/>
                <w:w w:val="108"/>
                <w:sz w:val="21"/>
                <w:szCs w:val="21"/>
              </w:rPr>
            </w:pPr>
            <w:r>
              <w:rPr>
                <w:color w:val="2D2D2F"/>
                <w:w w:val="108"/>
                <w:sz w:val="21"/>
                <w:szCs w:val="21"/>
              </w:rPr>
              <w:sym w:font="Wingdings 2" w:char="F050"/>
            </w:r>
          </w:p>
        </w:tc>
        <w:tc>
          <w:tcPr>
            <w:tcW w:w="1134" w:type="dxa"/>
            <w:vAlign w:val="center"/>
          </w:tcPr>
          <w:p>
            <w:pPr>
              <w:pStyle w:val="25"/>
              <w:spacing w:before="12"/>
              <w:jc w:val="center"/>
              <w:rPr>
                <w:color w:val="2D2D2F"/>
                <w:w w:val="108"/>
                <w:sz w:val="21"/>
                <w:szCs w:val="21"/>
              </w:rPr>
            </w:pPr>
            <w:r>
              <w:rPr>
                <w:color w:val="2D2D2F"/>
                <w:w w:val="108"/>
                <w:sz w:val="21"/>
                <w:szCs w:val="21"/>
              </w:rPr>
              <w:sym w:font="Wingdings 2" w:char="F050"/>
            </w:r>
          </w:p>
        </w:tc>
        <w:tc>
          <w:tcPr>
            <w:tcW w:w="2562" w:type="dxa"/>
            <w:vAlign w:val="center"/>
          </w:tcPr>
          <w:p>
            <w:pPr>
              <w:pStyle w:val="25"/>
              <w:rPr>
                <w:color w:val="2D2D2F"/>
                <w:w w:val="105"/>
                <w:sz w:val="21"/>
                <w:szCs w:val="21"/>
                <w:lang w:eastAsia="zh-CN"/>
              </w:rPr>
            </w:pPr>
            <w:r>
              <w:rPr>
                <w:rFonts w:hint="eastAsia"/>
                <w:color w:val="2D2D2F"/>
                <w:w w:val="105"/>
                <w:sz w:val="21"/>
                <w:szCs w:val="21"/>
                <w:lang w:eastAsia="zh-CN"/>
              </w:rPr>
              <w:t>如承包人无人防工程相应的设计资质，则由承包人将地下人防工程委托具备相应资质的单位进行设计。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72" w:hRule="atLeast"/>
          <w:jc w:val="center"/>
        </w:trPr>
        <w:tc>
          <w:tcPr>
            <w:tcW w:w="1980" w:type="dxa"/>
            <w:vAlign w:val="center"/>
          </w:tcPr>
          <w:p>
            <w:pPr>
              <w:pStyle w:val="25"/>
              <w:spacing w:before="5" w:line="380" w:lineRule="atLeast"/>
              <w:ind w:right="121"/>
              <w:jc w:val="center"/>
              <w:rPr>
                <w:color w:val="2D2D2F"/>
                <w:w w:val="105"/>
                <w:sz w:val="21"/>
                <w:szCs w:val="21"/>
                <w:lang w:eastAsia="zh-CN"/>
              </w:rPr>
            </w:pPr>
            <w:r>
              <w:rPr>
                <w:rFonts w:hint="eastAsia"/>
                <w:color w:val="2D2D2F"/>
                <w:w w:val="105"/>
                <w:sz w:val="21"/>
                <w:szCs w:val="21"/>
                <w:lang w:eastAsia="zh-CN"/>
              </w:rPr>
              <w:t>基坑围护设计</w:t>
            </w:r>
          </w:p>
        </w:tc>
        <w:tc>
          <w:tcPr>
            <w:tcW w:w="992" w:type="dxa"/>
            <w:vAlign w:val="center"/>
          </w:tcPr>
          <w:p>
            <w:pPr>
              <w:pStyle w:val="25"/>
              <w:spacing w:before="12"/>
              <w:jc w:val="center"/>
              <w:rPr>
                <w:sz w:val="21"/>
                <w:szCs w:val="21"/>
                <w:lang w:eastAsia="zh-CN"/>
              </w:rPr>
            </w:pPr>
            <w:r>
              <w:rPr>
                <w:color w:val="2D2D2F"/>
                <w:w w:val="108"/>
                <w:sz w:val="21"/>
                <w:szCs w:val="21"/>
              </w:rPr>
              <w:sym w:font="Wingdings 2" w:char="F050"/>
            </w:r>
          </w:p>
        </w:tc>
        <w:tc>
          <w:tcPr>
            <w:tcW w:w="992" w:type="dxa"/>
            <w:vAlign w:val="center"/>
          </w:tcPr>
          <w:p>
            <w:pPr>
              <w:pStyle w:val="25"/>
              <w:ind w:left="8" w:firstLine="488"/>
              <w:rPr>
                <w:color w:val="2D2D2F"/>
                <w:w w:val="108"/>
                <w:sz w:val="21"/>
                <w:szCs w:val="21"/>
              </w:rPr>
            </w:pPr>
            <w:r>
              <w:rPr>
                <w:color w:val="2D2D2F"/>
                <w:w w:val="108"/>
                <w:sz w:val="21"/>
                <w:szCs w:val="21"/>
              </w:rPr>
              <w:sym w:font="Wingdings 2" w:char="F050"/>
            </w:r>
          </w:p>
        </w:tc>
        <w:tc>
          <w:tcPr>
            <w:tcW w:w="993" w:type="dxa"/>
            <w:vAlign w:val="center"/>
          </w:tcPr>
          <w:p>
            <w:pPr>
              <w:pStyle w:val="25"/>
              <w:ind w:left="18" w:firstLine="488"/>
              <w:rPr>
                <w:color w:val="2D2D2F"/>
                <w:w w:val="108"/>
                <w:sz w:val="21"/>
                <w:szCs w:val="21"/>
              </w:rPr>
            </w:pPr>
            <w:r>
              <w:rPr>
                <w:color w:val="2D2D2F"/>
                <w:w w:val="108"/>
                <w:sz w:val="21"/>
                <w:szCs w:val="21"/>
              </w:rPr>
              <w:sym w:font="Wingdings 2" w:char="F050"/>
            </w:r>
          </w:p>
        </w:tc>
        <w:tc>
          <w:tcPr>
            <w:tcW w:w="1134" w:type="dxa"/>
            <w:vAlign w:val="center"/>
          </w:tcPr>
          <w:p>
            <w:pPr>
              <w:pStyle w:val="25"/>
              <w:jc w:val="center"/>
              <w:rPr>
                <w:color w:val="2D2D2F"/>
                <w:w w:val="108"/>
                <w:sz w:val="21"/>
                <w:szCs w:val="21"/>
              </w:rPr>
            </w:pPr>
            <w:r>
              <w:rPr>
                <w:color w:val="2D2D2F"/>
                <w:w w:val="108"/>
                <w:sz w:val="21"/>
                <w:szCs w:val="21"/>
              </w:rPr>
              <w:sym w:font="Wingdings 2" w:char="F050"/>
            </w:r>
          </w:p>
        </w:tc>
        <w:tc>
          <w:tcPr>
            <w:tcW w:w="1134" w:type="dxa"/>
            <w:vAlign w:val="center"/>
          </w:tcPr>
          <w:p>
            <w:pPr>
              <w:pStyle w:val="25"/>
              <w:spacing w:before="12"/>
              <w:jc w:val="center"/>
              <w:rPr>
                <w:color w:val="2D2D2F"/>
                <w:w w:val="108"/>
                <w:sz w:val="21"/>
                <w:szCs w:val="21"/>
              </w:rPr>
            </w:pPr>
            <w:r>
              <w:rPr>
                <w:color w:val="2D2D2F"/>
                <w:w w:val="108"/>
                <w:sz w:val="21"/>
                <w:szCs w:val="21"/>
              </w:rPr>
              <w:sym w:font="Wingdings 2" w:char="F050"/>
            </w:r>
          </w:p>
        </w:tc>
        <w:tc>
          <w:tcPr>
            <w:tcW w:w="2562" w:type="dxa"/>
            <w:vAlign w:val="center"/>
          </w:tcPr>
          <w:p>
            <w:pPr>
              <w:pStyle w:val="25"/>
              <w:rPr>
                <w:color w:val="2D2D2F"/>
                <w:w w:val="105"/>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72" w:hRule="atLeast"/>
          <w:jc w:val="center"/>
        </w:trPr>
        <w:tc>
          <w:tcPr>
            <w:tcW w:w="1980" w:type="dxa"/>
            <w:vAlign w:val="center"/>
          </w:tcPr>
          <w:p>
            <w:pPr>
              <w:pStyle w:val="25"/>
              <w:spacing w:before="5" w:line="380" w:lineRule="atLeast"/>
              <w:ind w:right="121"/>
              <w:jc w:val="center"/>
              <w:rPr>
                <w:color w:val="2D2D2F"/>
                <w:w w:val="105"/>
                <w:sz w:val="21"/>
                <w:szCs w:val="21"/>
                <w:lang w:eastAsia="zh-CN"/>
              </w:rPr>
            </w:pPr>
            <w:r>
              <w:rPr>
                <w:rFonts w:hint="eastAsia"/>
                <w:color w:val="2D2D2F"/>
                <w:w w:val="105"/>
                <w:sz w:val="21"/>
                <w:szCs w:val="21"/>
                <w:lang w:eastAsia="zh-CN"/>
              </w:rPr>
              <w:t>幕墙方案及深化设计</w:t>
            </w:r>
          </w:p>
        </w:tc>
        <w:tc>
          <w:tcPr>
            <w:tcW w:w="992" w:type="dxa"/>
            <w:vAlign w:val="center"/>
          </w:tcPr>
          <w:p>
            <w:pPr>
              <w:pStyle w:val="25"/>
              <w:spacing w:before="12"/>
              <w:jc w:val="center"/>
              <w:rPr>
                <w:sz w:val="21"/>
                <w:szCs w:val="21"/>
                <w:lang w:eastAsia="zh-CN"/>
              </w:rPr>
            </w:pPr>
            <w:r>
              <w:rPr>
                <w:color w:val="2D2D2F"/>
                <w:w w:val="108"/>
                <w:sz w:val="21"/>
                <w:szCs w:val="21"/>
              </w:rPr>
              <w:sym w:font="Wingdings 2" w:char="F050"/>
            </w:r>
          </w:p>
        </w:tc>
        <w:tc>
          <w:tcPr>
            <w:tcW w:w="992" w:type="dxa"/>
            <w:vAlign w:val="center"/>
          </w:tcPr>
          <w:p>
            <w:pPr>
              <w:pStyle w:val="25"/>
              <w:ind w:left="8" w:firstLine="488"/>
              <w:rPr>
                <w:color w:val="2D2D2F"/>
                <w:w w:val="108"/>
                <w:sz w:val="21"/>
                <w:szCs w:val="21"/>
              </w:rPr>
            </w:pPr>
            <w:r>
              <w:rPr>
                <w:color w:val="2D2D2F"/>
                <w:w w:val="108"/>
                <w:sz w:val="21"/>
                <w:szCs w:val="21"/>
              </w:rPr>
              <w:sym w:font="Wingdings 2" w:char="F050"/>
            </w:r>
          </w:p>
        </w:tc>
        <w:tc>
          <w:tcPr>
            <w:tcW w:w="993" w:type="dxa"/>
            <w:vAlign w:val="center"/>
          </w:tcPr>
          <w:p>
            <w:pPr>
              <w:pStyle w:val="25"/>
              <w:ind w:left="18" w:firstLine="488"/>
              <w:rPr>
                <w:color w:val="2D2D2F"/>
                <w:w w:val="108"/>
                <w:sz w:val="21"/>
                <w:szCs w:val="21"/>
              </w:rPr>
            </w:pPr>
            <w:r>
              <w:rPr>
                <w:color w:val="2D2D2F"/>
                <w:w w:val="108"/>
                <w:sz w:val="21"/>
                <w:szCs w:val="21"/>
              </w:rPr>
              <w:sym w:font="Wingdings 2" w:char="F050"/>
            </w:r>
          </w:p>
        </w:tc>
        <w:tc>
          <w:tcPr>
            <w:tcW w:w="1134" w:type="dxa"/>
            <w:vAlign w:val="center"/>
          </w:tcPr>
          <w:p>
            <w:pPr>
              <w:pStyle w:val="25"/>
              <w:jc w:val="center"/>
              <w:rPr>
                <w:color w:val="2D2D2F"/>
                <w:w w:val="108"/>
                <w:sz w:val="21"/>
                <w:szCs w:val="21"/>
              </w:rPr>
            </w:pPr>
            <w:r>
              <w:rPr>
                <w:color w:val="2D2D2F"/>
                <w:w w:val="108"/>
                <w:sz w:val="21"/>
                <w:szCs w:val="21"/>
              </w:rPr>
              <w:sym w:font="Wingdings 2" w:char="F050"/>
            </w:r>
          </w:p>
        </w:tc>
        <w:tc>
          <w:tcPr>
            <w:tcW w:w="1134" w:type="dxa"/>
            <w:vAlign w:val="center"/>
          </w:tcPr>
          <w:p>
            <w:pPr>
              <w:pStyle w:val="25"/>
              <w:spacing w:before="12"/>
              <w:jc w:val="center"/>
              <w:rPr>
                <w:color w:val="2D2D2F"/>
                <w:w w:val="108"/>
                <w:sz w:val="21"/>
                <w:szCs w:val="21"/>
              </w:rPr>
            </w:pPr>
            <w:r>
              <w:rPr>
                <w:color w:val="2D2D2F"/>
                <w:w w:val="108"/>
                <w:sz w:val="21"/>
                <w:szCs w:val="21"/>
              </w:rPr>
              <w:sym w:font="Wingdings 2" w:char="F050"/>
            </w:r>
          </w:p>
        </w:tc>
        <w:tc>
          <w:tcPr>
            <w:tcW w:w="2562" w:type="dxa"/>
            <w:vAlign w:val="center"/>
          </w:tcPr>
          <w:p>
            <w:pPr>
              <w:pStyle w:val="25"/>
              <w:rPr>
                <w:color w:val="2D2D2F"/>
                <w:w w:val="105"/>
                <w:sz w:val="21"/>
                <w:szCs w:val="21"/>
                <w:lang w:eastAsia="zh-CN"/>
              </w:rPr>
            </w:pPr>
            <w:r>
              <w:rPr>
                <w:rFonts w:hint="eastAsia"/>
                <w:color w:val="2D2D2F"/>
                <w:w w:val="105"/>
                <w:sz w:val="21"/>
                <w:szCs w:val="21"/>
                <w:lang w:eastAsia="zh-CN"/>
              </w:rPr>
              <w:t>含幕墙光评、安评等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72" w:hRule="atLeast"/>
          <w:jc w:val="center"/>
        </w:trPr>
        <w:tc>
          <w:tcPr>
            <w:tcW w:w="1980" w:type="dxa"/>
            <w:vAlign w:val="center"/>
          </w:tcPr>
          <w:p>
            <w:pPr>
              <w:pStyle w:val="25"/>
              <w:spacing w:before="5" w:line="380" w:lineRule="atLeast"/>
              <w:ind w:right="121"/>
              <w:jc w:val="center"/>
              <w:rPr>
                <w:color w:val="2D2D2F"/>
                <w:w w:val="105"/>
                <w:sz w:val="21"/>
                <w:szCs w:val="21"/>
                <w:lang w:eastAsia="zh-CN"/>
              </w:rPr>
            </w:pPr>
            <w:r>
              <w:rPr>
                <w:rFonts w:hint="eastAsia"/>
                <w:color w:val="2D2D2F"/>
                <w:w w:val="105"/>
                <w:sz w:val="21"/>
                <w:szCs w:val="21"/>
                <w:lang w:eastAsia="zh-CN"/>
              </w:rPr>
              <w:t>建筑电气设计</w:t>
            </w:r>
          </w:p>
        </w:tc>
        <w:tc>
          <w:tcPr>
            <w:tcW w:w="992" w:type="dxa"/>
            <w:vAlign w:val="center"/>
          </w:tcPr>
          <w:p>
            <w:pPr>
              <w:pStyle w:val="25"/>
              <w:spacing w:before="12"/>
              <w:jc w:val="center"/>
              <w:rPr>
                <w:sz w:val="21"/>
                <w:szCs w:val="21"/>
                <w:lang w:eastAsia="zh-CN"/>
              </w:rPr>
            </w:pPr>
            <w:r>
              <w:rPr>
                <w:color w:val="2D2D2F"/>
                <w:w w:val="108"/>
                <w:sz w:val="21"/>
                <w:szCs w:val="21"/>
              </w:rPr>
              <w:sym w:font="Wingdings 2" w:char="F050"/>
            </w:r>
          </w:p>
        </w:tc>
        <w:tc>
          <w:tcPr>
            <w:tcW w:w="992" w:type="dxa"/>
            <w:vAlign w:val="center"/>
          </w:tcPr>
          <w:p>
            <w:pPr>
              <w:pStyle w:val="25"/>
              <w:ind w:left="8" w:firstLine="488"/>
              <w:rPr>
                <w:color w:val="2D2D2F"/>
                <w:w w:val="108"/>
                <w:sz w:val="21"/>
                <w:szCs w:val="21"/>
              </w:rPr>
            </w:pPr>
            <w:r>
              <w:rPr>
                <w:color w:val="2D2D2F"/>
                <w:w w:val="108"/>
                <w:sz w:val="21"/>
                <w:szCs w:val="21"/>
              </w:rPr>
              <w:sym w:font="Wingdings 2" w:char="F050"/>
            </w:r>
          </w:p>
        </w:tc>
        <w:tc>
          <w:tcPr>
            <w:tcW w:w="993" w:type="dxa"/>
            <w:vAlign w:val="center"/>
          </w:tcPr>
          <w:p>
            <w:pPr>
              <w:pStyle w:val="25"/>
              <w:ind w:left="18" w:firstLine="488"/>
              <w:rPr>
                <w:color w:val="2D2D2F"/>
                <w:w w:val="108"/>
                <w:sz w:val="21"/>
                <w:szCs w:val="21"/>
              </w:rPr>
            </w:pPr>
            <w:r>
              <w:rPr>
                <w:color w:val="2D2D2F"/>
                <w:w w:val="108"/>
                <w:sz w:val="21"/>
                <w:szCs w:val="21"/>
              </w:rPr>
              <w:sym w:font="Wingdings 2" w:char="F050"/>
            </w:r>
          </w:p>
        </w:tc>
        <w:tc>
          <w:tcPr>
            <w:tcW w:w="1134" w:type="dxa"/>
            <w:vAlign w:val="center"/>
          </w:tcPr>
          <w:p>
            <w:pPr>
              <w:pStyle w:val="25"/>
              <w:jc w:val="center"/>
              <w:rPr>
                <w:color w:val="2D2D2F"/>
                <w:w w:val="108"/>
                <w:sz w:val="21"/>
                <w:szCs w:val="21"/>
              </w:rPr>
            </w:pPr>
            <w:r>
              <w:rPr>
                <w:color w:val="2D2D2F"/>
                <w:w w:val="108"/>
                <w:sz w:val="21"/>
                <w:szCs w:val="21"/>
              </w:rPr>
              <w:sym w:font="Wingdings 2" w:char="F050"/>
            </w:r>
          </w:p>
        </w:tc>
        <w:tc>
          <w:tcPr>
            <w:tcW w:w="1134" w:type="dxa"/>
            <w:vAlign w:val="center"/>
          </w:tcPr>
          <w:p>
            <w:pPr>
              <w:pStyle w:val="25"/>
              <w:spacing w:before="12"/>
              <w:jc w:val="center"/>
              <w:rPr>
                <w:color w:val="2D2D2F"/>
                <w:w w:val="108"/>
                <w:sz w:val="21"/>
                <w:szCs w:val="21"/>
              </w:rPr>
            </w:pPr>
            <w:r>
              <w:rPr>
                <w:color w:val="2D2D2F"/>
                <w:w w:val="108"/>
                <w:sz w:val="21"/>
                <w:szCs w:val="21"/>
              </w:rPr>
              <w:sym w:font="Wingdings 2" w:char="F050"/>
            </w:r>
          </w:p>
        </w:tc>
        <w:tc>
          <w:tcPr>
            <w:tcW w:w="2562" w:type="dxa"/>
            <w:vAlign w:val="center"/>
          </w:tcPr>
          <w:p>
            <w:pPr>
              <w:pStyle w:val="25"/>
              <w:rPr>
                <w:color w:val="2D2D2F"/>
                <w:w w:val="105"/>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72" w:hRule="atLeast"/>
          <w:jc w:val="center"/>
        </w:trPr>
        <w:tc>
          <w:tcPr>
            <w:tcW w:w="1980" w:type="dxa"/>
            <w:vAlign w:val="center"/>
          </w:tcPr>
          <w:p>
            <w:pPr>
              <w:pStyle w:val="25"/>
              <w:spacing w:before="5" w:line="380" w:lineRule="atLeast"/>
              <w:ind w:right="121"/>
              <w:jc w:val="center"/>
              <w:rPr>
                <w:color w:val="2D2D2F"/>
                <w:w w:val="105"/>
                <w:sz w:val="21"/>
                <w:szCs w:val="21"/>
                <w:lang w:eastAsia="zh-CN"/>
              </w:rPr>
            </w:pPr>
            <w:r>
              <w:rPr>
                <w:rFonts w:hint="eastAsia"/>
                <w:color w:val="2D2D2F"/>
                <w:w w:val="105"/>
                <w:sz w:val="21"/>
                <w:szCs w:val="21"/>
                <w:lang w:eastAsia="zh-CN"/>
              </w:rPr>
              <w:t>弱电系统设计</w:t>
            </w:r>
          </w:p>
        </w:tc>
        <w:tc>
          <w:tcPr>
            <w:tcW w:w="992" w:type="dxa"/>
            <w:vAlign w:val="center"/>
          </w:tcPr>
          <w:p>
            <w:pPr>
              <w:pStyle w:val="25"/>
              <w:spacing w:before="12"/>
              <w:jc w:val="center"/>
              <w:rPr>
                <w:sz w:val="21"/>
                <w:szCs w:val="21"/>
                <w:lang w:eastAsia="zh-CN"/>
              </w:rPr>
            </w:pPr>
            <w:r>
              <w:rPr>
                <w:color w:val="2D2D2F"/>
                <w:w w:val="108"/>
                <w:sz w:val="21"/>
                <w:szCs w:val="21"/>
              </w:rPr>
              <w:sym w:font="Wingdings 2" w:char="F050"/>
            </w:r>
          </w:p>
        </w:tc>
        <w:tc>
          <w:tcPr>
            <w:tcW w:w="992" w:type="dxa"/>
            <w:vAlign w:val="center"/>
          </w:tcPr>
          <w:p>
            <w:pPr>
              <w:pStyle w:val="25"/>
              <w:ind w:left="8" w:firstLine="488"/>
              <w:rPr>
                <w:color w:val="2D2D2F"/>
                <w:w w:val="108"/>
                <w:sz w:val="21"/>
                <w:szCs w:val="21"/>
              </w:rPr>
            </w:pPr>
            <w:r>
              <w:rPr>
                <w:color w:val="2D2D2F"/>
                <w:w w:val="108"/>
                <w:sz w:val="21"/>
                <w:szCs w:val="21"/>
              </w:rPr>
              <w:sym w:font="Wingdings 2" w:char="F050"/>
            </w:r>
          </w:p>
        </w:tc>
        <w:tc>
          <w:tcPr>
            <w:tcW w:w="993" w:type="dxa"/>
            <w:vAlign w:val="center"/>
          </w:tcPr>
          <w:p>
            <w:pPr>
              <w:pStyle w:val="25"/>
              <w:ind w:left="18" w:firstLine="488"/>
              <w:rPr>
                <w:color w:val="2D2D2F"/>
                <w:w w:val="108"/>
                <w:sz w:val="21"/>
                <w:szCs w:val="21"/>
              </w:rPr>
            </w:pPr>
            <w:r>
              <w:rPr>
                <w:color w:val="2D2D2F"/>
                <w:w w:val="108"/>
                <w:sz w:val="21"/>
                <w:szCs w:val="21"/>
              </w:rPr>
              <w:sym w:font="Wingdings 2" w:char="F050"/>
            </w:r>
          </w:p>
        </w:tc>
        <w:tc>
          <w:tcPr>
            <w:tcW w:w="1134" w:type="dxa"/>
            <w:vAlign w:val="center"/>
          </w:tcPr>
          <w:p>
            <w:pPr>
              <w:pStyle w:val="25"/>
              <w:jc w:val="center"/>
              <w:rPr>
                <w:color w:val="2D2D2F"/>
                <w:w w:val="108"/>
                <w:sz w:val="21"/>
                <w:szCs w:val="21"/>
              </w:rPr>
            </w:pPr>
            <w:r>
              <w:rPr>
                <w:color w:val="2D2D2F"/>
                <w:w w:val="108"/>
                <w:sz w:val="21"/>
                <w:szCs w:val="21"/>
              </w:rPr>
              <w:sym w:font="Wingdings 2" w:char="F050"/>
            </w:r>
          </w:p>
        </w:tc>
        <w:tc>
          <w:tcPr>
            <w:tcW w:w="1134" w:type="dxa"/>
            <w:vAlign w:val="center"/>
          </w:tcPr>
          <w:p>
            <w:pPr>
              <w:pStyle w:val="25"/>
              <w:spacing w:before="12"/>
              <w:jc w:val="center"/>
              <w:rPr>
                <w:color w:val="2D2D2F"/>
                <w:w w:val="108"/>
                <w:sz w:val="21"/>
                <w:szCs w:val="21"/>
              </w:rPr>
            </w:pPr>
            <w:r>
              <w:rPr>
                <w:color w:val="2D2D2F"/>
                <w:w w:val="108"/>
                <w:sz w:val="21"/>
                <w:szCs w:val="21"/>
              </w:rPr>
              <w:sym w:font="Wingdings 2" w:char="F050"/>
            </w:r>
          </w:p>
        </w:tc>
        <w:tc>
          <w:tcPr>
            <w:tcW w:w="2562" w:type="dxa"/>
            <w:vAlign w:val="center"/>
          </w:tcPr>
          <w:p>
            <w:pPr>
              <w:pStyle w:val="25"/>
              <w:rPr>
                <w:color w:val="2D2D2F"/>
                <w:w w:val="105"/>
                <w:sz w:val="21"/>
                <w:szCs w:val="21"/>
                <w:lang w:eastAsia="zh-CN"/>
              </w:rPr>
            </w:pPr>
            <w:r>
              <w:rPr>
                <w:rFonts w:hint="eastAsia"/>
                <w:color w:val="2D2D2F"/>
                <w:w w:val="105"/>
                <w:sz w:val="21"/>
                <w:szCs w:val="21"/>
                <w:lang w:eastAsia="zh-CN"/>
              </w:rPr>
              <w:t>包括但不限于以下内容：</w:t>
            </w:r>
          </w:p>
          <w:p>
            <w:pPr>
              <w:pStyle w:val="25"/>
              <w:rPr>
                <w:color w:val="2D2D2F"/>
                <w:w w:val="105"/>
                <w:sz w:val="21"/>
                <w:szCs w:val="21"/>
                <w:lang w:eastAsia="zh-CN"/>
              </w:rPr>
            </w:pPr>
            <w:r>
              <w:rPr>
                <w:rFonts w:hint="eastAsia"/>
                <w:color w:val="2D2D2F"/>
                <w:w w:val="105"/>
                <w:sz w:val="21"/>
                <w:szCs w:val="21"/>
                <w:lang w:eastAsia="zh-CN"/>
              </w:rPr>
              <w:t>光纤到户系统（四网合一） 综合布线系统</w:t>
            </w:r>
          </w:p>
          <w:p>
            <w:pPr>
              <w:pStyle w:val="25"/>
              <w:rPr>
                <w:color w:val="2D2D2F"/>
                <w:w w:val="105"/>
                <w:sz w:val="21"/>
                <w:szCs w:val="21"/>
                <w:lang w:eastAsia="zh-CN"/>
              </w:rPr>
            </w:pPr>
            <w:r>
              <w:rPr>
                <w:rFonts w:hint="eastAsia"/>
                <w:color w:val="2D2D2F"/>
                <w:w w:val="105"/>
                <w:sz w:val="21"/>
                <w:szCs w:val="21"/>
                <w:lang w:eastAsia="zh-CN"/>
              </w:rPr>
              <w:t>计算机网络系统( WIFI 信号覆盖系统）</w:t>
            </w:r>
          </w:p>
          <w:p>
            <w:pPr>
              <w:pStyle w:val="25"/>
              <w:rPr>
                <w:color w:val="2D2D2F"/>
                <w:w w:val="105"/>
                <w:sz w:val="21"/>
                <w:szCs w:val="21"/>
                <w:lang w:eastAsia="zh-CN"/>
              </w:rPr>
            </w:pPr>
            <w:r>
              <w:rPr>
                <w:rFonts w:hint="eastAsia"/>
                <w:color w:val="2D2D2F"/>
                <w:w w:val="105"/>
                <w:sz w:val="21"/>
                <w:szCs w:val="21"/>
                <w:lang w:eastAsia="zh-CN"/>
              </w:rPr>
              <w:t>卫星电视系统卫星通讯系统</w:t>
            </w:r>
          </w:p>
          <w:p>
            <w:pPr>
              <w:pStyle w:val="25"/>
              <w:rPr>
                <w:color w:val="2D2D2F"/>
                <w:w w:val="105"/>
                <w:sz w:val="21"/>
                <w:szCs w:val="21"/>
                <w:lang w:eastAsia="zh-CN"/>
              </w:rPr>
            </w:pPr>
            <w:r>
              <w:rPr>
                <w:rFonts w:hint="eastAsia"/>
                <w:color w:val="2D2D2F"/>
                <w:w w:val="105"/>
                <w:sz w:val="21"/>
                <w:szCs w:val="21"/>
                <w:lang w:eastAsia="zh-CN"/>
              </w:rPr>
              <w:t>无线对讲系统</w:t>
            </w:r>
          </w:p>
          <w:p>
            <w:pPr>
              <w:pStyle w:val="25"/>
              <w:rPr>
                <w:color w:val="2D2D2F"/>
                <w:w w:val="105"/>
                <w:sz w:val="21"/>
                <w:szCs w:val="21"/>
                <w:lang w:eastAsia="zh-CN"/>
              </w:rPr>
            </w:pPr>
            <w:r>
              <w:rPr>
                <w:rFonts w:hint="eastAsia"/>
                <w:color w:val="2D2D2F"/>
                <w:w w:val="105"/>
                <w:sz w:val="21"/>
                <w:szCs w:val="21"/>
                <w:lang w:eastAsia="zh-CN"/>
              </w:rPr>
              <w:t>信息发布系统</w:t>
            </w:r>
          </w:p>
          <w:p>
            <w:pPr>
              <w:pStyle w:val="25"/>
              <w:rPr>
                <w:color w:val="2D2D2F"/>
                <w:w w:val="105"/>
                <w:sz w:val="21"/>
                <w:szCs w:val="21"/>
                <w:lang w:eastAsia="zh-CN"/>
              </w:rPr>
            </w:pPr>
            <w:r>
              <w:rPr>
                <w:rFonts w:hint="eastAsia"/>
                <w:color w:val="2D2D2F"/>
                <w:w w:val="105"/>
                <w:sz w:val="21"/>
                <w:szCs w:val="21"/>
                <w:lang w:eastAsia="zh-CN"/>
              </w:rPr>
              <w:t>公共广播系统</w:t>
            </w:r>
          </w:p>
          <w:p>
            <w:pPr>
              <w:pStyle w:val="25"/>
              <w:rPr>
                <w:color w:val="2D2D2F"/>
                <w:w w:val="105"/>
                <w:sz w:val="21"/>
                <w:szCs w:val="21"/>
                <w:lang w:eastAsia="zh-CN"/>
              </w:rPr>
            </w:pPr>
            <w:r>
              <w:rPr>
                <w:rFonts w:hint="eastAsia"/>
                <w:color w:val="2D2D2F"/>
                <w:w w:val="105"/>
                <w:sz w:val="21"/>
                <w:szCs w:val="21"/>
                <w:lang w:eastAsia="zh-CN"/>
              </w:rPr>
              <w:t>电梯五方对讲系统</w:t>
            </w:r>
          </w:p>
          <w:p>
            <w:pPr>
              <w:pStyle w:val="25"/>
              <w:rPr>
                <w:color w:val="2D2D2F"/>
                <w:w w:val="105"/>
                <w:sz w:val="21"/>
                <w:szCs w:val="21"/>
                <w:lang w:eastAsia="zh-CN"/>
              </w:rPr>
            </w:pPr>
            <w:r>
              <w:rPr>
                <w:rFonts w:hint="eastAsia"/>
                <w:color w:val="2D2D2F"/>
                <w:w w:val="105"/>
                <w:sz w:val="21"/>
                <w:szCs w:val="21"/>
                <w:lang w:eastAsia="zh-CN"/>
              </w:rPr>
              <w:t>时钟系统</w:t>
            </w:r>
          </w:p>
          <w:p>
            <w:pPr>
              <w:pStyle w:val="25"/>
              <w:rPr>
                <w:color w:val="2D2D2F"/>
                <w:w w:val="105"/>
                <w:sz w:val="21"/>
                <w:szCs w:val="21"/>
                <w:lang w:eastAsia="zh-CN"/>
              </w:rPr>
            </w:pPr>
            <w:r>
              <w:rPr>
                <w:rFonts w:hint="eastAsia"/>
                <w:color w:val="2D2D2F"/>
                <w:w w:val="105"/>
                <w:sz w:val="21"/>
                <w:szCs w:val="21"/>
                <w:lang w:eastAsia="zh-CN"/>
              </w:rPr>
              <w:t>会议系统</w:t>
            </w:r>
          </w:p>
          <w:p>
            <w:pPr>
              <w:pStyle w:val="25"/>
              <w:rPr>
                <w:color w:val="2D2D2F"/>
                <w:w w:val="105"/>
                <w:sz w:val="21"/>
                <w:szCs w:val="21"/>
                <w:lang w:eastAsia="zh-CN"/>
              </w:rPr>
            </w:pPr>
            <w:r>
              <w:rPr>
                <w:rFonts w:hint="eastAsia"/>
                <w:color w:val="2D2D2F"/>
                <w:w w:val="105"/>
                <w:sz w:val="21"/>
                <w:szCs w:val="21"/>
                <w:lang w:eastAsia="zh-CN"/>
              </w:rPr>
              <w:t>安防综合管理系统</w:t>
            </w:r>
          </w:p>
          <w:p>
            <w:pPr>
              <w:pStyle w:val="25"/>
              <w:rPr>
                <w:color w:val="2D2D2F"/>
                <w:w w:val="105"/>
                <w:sz w:val="21"/>
                <w:szCs w:val="21"/>
                <w:lang w:eastAsia="zh-CN"/>
              </w:rPr>
            </w:pPr>
            <w:r>
              <w:rPr>
                <w:rFonts w:hint="eastAsia"/>
                <w:color w:val="2D2D2F"/>
                <w:w w:val="105"/>
                <w:sz w:val="21"/>
                <w:szCs w:val="21"/>
                <w:lang w:eastAsia="zh-CN"/>
              </w:rPr>
              <w:t>（视频监控系统、出入口控制系统、入侵及紧急报警系统、离线巡更系统）</w:t>
            </w:r>
          </w:p>
          <w:p>
            <w:pPr>
              <w:pStyle w:val="25"/>
              <w:rPr>
                <w:color w:val="2D2D2F"/>
                <w:w w:val="105"/>
                <w:sz w:val="21"/>
                <w:szCs w:val="21"/>
                <w:lang w:eastAsia="zh-CN"/>
              </w:rPr>
            </w:pPr>
            <w:r>
              <w:rPr>
                <w:rFonts w:hint="eastAsia"/>
                <w:color w:val="2D2D2F"/>
                <w:w w:val="105"/>
                <w:sz w:val="21"/>
                <w:szCs w:val="21"/>
                <w:lang w:eastAsia="zh-CN"/>
              </w:rPr>
              <w:t>人行通道闸及访客管理系统</w:t>
            </w:r>
          </w:p>
          <w:p>
            <w:pPr>
              <w:pStyle w:val="25"/>
              <w:rPr>
                <w:color w:val="2D2D2F"/>
                <w:w w:val="105"/>
                <w:sz w:val="21"/>
                <w:szCs w:val="21"/>
                <w:lang w:eastAsia="zh-CN"/>
              </w:rPr>
            </w:pPr>
            <w:r>
              <w:rPr>
                <w:rFonts w:hint="eastAsia"/>
                <w:color w:val="2D2D2F"/>
                <w:w w:val="105"/>
                <w:sz w:val="21"/>
                <w:szCs w:val="21"/>
                <w:lang w:eastAsia="zh-CN"/>
              </w:rPr>
              <w:t>停车场管理系统</w:t>
            </w:r>
          </w:p>
          <w:p>
            <w:pPr>
              <w:pStyle w:val="25"/>
              <w:rPr>
                <w:color w:val="2D2D2F"/>
                <w:w w:val="105"/>
                <w:sz w:val="21"/>
                <w:szCs w:val="21"/>
                <w:lang w:eastAsia="zh-CN"/>
              </w:rPr>
            </w:pPr>
            <w:r>
              <w:rPr>
                <w:rFonts w:hint="eastAsia"/>
                <w:color w:val="2D2D2F"/>
                <w:w w:val="105"/>
                <w:sz w:val="21"/>
                <w:szCs w:val="21"/>
                <w:lang w:eastAsia="zh-CN"/>
              </w:rPr>
              <w:t>车位引导及反向寻车系统应急响应系统</w:t>
            </w:r>
          </w:p>
          <w:p>
            <w:pPr>
              <w:pStyle w:val="25"/>
              <w:rPr>
                <w:color w:val="2D2D2F"/>
                <w:w w:val="105"/>
                <w:sz w:val="21"/>
                <w:szCs w:val="21"/>
                <w:lang w:eastAsia="zh-CN"/>
              </w:rPr>
            </w:pPr>
            <w:r>
              <w:rPr>
                <w:rFonts w:hint="eastAsia"/>
                <w:color w:val="2D2D2F"/>
                <w:w w:val="105"/>
                <w:sz w:val="21"/>
                <w:szCs w:val="21"/>
                <w:lang w:eastAsia="zh-CN"/>
              </w:rPr>
              <w:t>楼宇设备监控系统能源管理系统</w:t>
            </w:r>
          </w:p>
          <w:p>
            <w:pPr>
              <w:pStyle w:val="25"/>
              <w:rPr>
                <w:color w:val="2D2D2F"/>
                <w:w w:val="105"/>
                <w:sz w:val="21"/>
                <w:szCs w:val="21"/>
                <w:lang w:eastAsia="zh-CN"/>
              </w:rPr>
            </w:pPr>
            <w:r>
              <w:rPr>
                <w:rFonts w:hint="eastAsia"/>
                <w:color w:val="2D2D2F"/>
                <w:w w:val="105"/>
                <w:sz w:val="21"/>
                <w:szCs w:val="21"/>
                <w:lang w:eastAsia="zh-CN"/>
              </w:rPr>
              <w:t>智能照明系统客房控制系统</w:t>
            </w:r>
          </w:p>
          <w:p>
            <w:pPr>
              <w:pStyle w:val="25"/>
              <w:rPr>
                <w:color w:val="2D2D2F"/>
                <w:w w:val="105"/>
                <w:sz w:val="21"/>
                <w:szCs w:val="21"/>
                <w:lang w:eastAsia="zh-CN"/>
              </w:rPr>
            </w:pPr>
            <w:r>
              <w:rPr>
                <w:rFonts w:hint="eastAsia"/>
                <w:color w:val="2D2D2F"/>
                <w:w w:val="105"/>
                <w:sz w:val="21"/>
                <w:szCs w:val="21"/>
                <w:lang w:eastAsia="zh-CN"/>
              </w:rPr>
              <w:t>环境监测系统</w:t>
            </w:r>
          </w:p>
          <w:p>
            <w:pPr>
              <w:pStyle w:val="25"/>
              <w:rPr>
                <w:color w:val="2D2D2F"/>
                <w:w w:val="105"/>
                <w:sz w:val="21"/>
                <w:szCs w:val="21"/>
                <w:lang w:eastAsia="zh-CN"/>
              </w:rPr>
            </w:pPr>
            <w:r>
              <w:rPr>
                <w:rFonts w:hint="eastAsia"/>
                <w:color w:val="2D2D2F"/>
                <w:w w:val="105"/>
                <w:sz w:val="21"/>
                <w:szCs w:val="21"/>
                <w:lang w:eastAsia="zh-CN"/>
              </w:rPr>
              <w:t>平台智慧服务平台</w:t>
            </w:r>
          </w:p>
          <w:p>
            <w:pPr>
              <w:pStyle w:val="25"/>
              <w:rPr>
                <w:color w:val="2D2D2F"/>
                <w:w w:val="105"/>
                <w:sz w:val="21"/>
                <w:szCs w:val="21"/>
                <w:lang w:eastAsia="zh-CN"/>
              </w:rPr>
            </w:pPr>
            <w:r>
              <w:rPr>
                <w:rFonts w:hint="eastAsia"/>
                <w:color w:val="2D2D2F"/>
                <w:w w:val="105"/>
                <w:sz w:val="21"/>
                <w:szCs w:val="21"/>
                <w:lang w:eastAsia="zh-CN"/>
              </w:rPr>
              <w:t>基于BIM 模型的运营管理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72" w:hRule="atLeast"/>
          <w:jc w:val="center"/>
        </w:trPr>
        <w:tc>
          <w:tcPr>
            <w:tcW w:w="1980" w:type="dxa"/>
            <w:vAlign w:val="center"/>
          </w:tcPr>
          <w:p>
            <w:pPr>
              <w:pStyle w:val="25"/>
              <w:spacing w:before="5" w:line="380" w:lineRule="atLeast"/>
              <w:ind w:right="121"/>
              <w:jc w:val="center"/>
              <w:rPr>
                <w:color w:val="2D2D2F"/>
                <w:w w:val="105"/>
                <w:sz w:val="21"/>
                <w:szCs w:val="21"/>
                <w:lang w:eastAsia="zh-CN"/>
              </w:rPr>
            </w:pPr>
            <w:r>
              <w:rPr>
                <w:color w:val="343638"/>
                <w:w w:val="115"/>
                <w:sz w:val="21"/>
                <w:szCs w:val="21"/>
              </w:rPr>
              <w:t>给排水及消防设计</w:t>
            </w:r>
          </w:p>
        </w:tc>
        <w:tc>
          <w:tcPr>
            <w:tcW w:w="992" w:type="dxa"/>
            <w:vAlign w:val="center"/>
          </w:tcPr>
          <w:p>
            <w:pPr>
              <w:pStyle w:val="25"/>
              <w:jc w:val="center"/>
              <w:rPr>
                <w:sz w:val="21"/>
                <w:szCs w:val="21"/>
              </w:rPr>
            </w:pPr>
            <w:r>
              <w:rPr>
                <w:color w:val="2D2D2F"/>
                <w:w w:val="108"/>
                <w:sz w:val="21"/>
                <w:szCs w:val="21"/>
              </w:rPr>
              <w:sym w:font="Wingdings 2" w:char="F050"/>
            </w:r>
          </w:p>
        </w:tc>
        <w:tc>
          <w:tcPr>
            <w:tcW w:w="992" w:type="dxa"/>
            <w:vAlign w:val="center"/>
          </w:tcPr>
          <w:p>
            <w:pPr>
              <w:pStyle w:val="25"/>
              <w:ind w:left="8" w:firstLine="488"/>
              <w:rPr>
                <w:sz w:val="21"/>
                <w:szCs w:val="21"/>
              </w:rPr>
            </w:pPr>
            <w:r>
              <w:rPr>
                <w:color w:val="2D2D2F"/>
                <w:w w:val="108"/>
                <w:sz w:val="21"/>
                <w:szCs w:val="21"/>
              </w:rPr>
              <w:sym w:font="Wingdings 2" w:char="F050"/>
            </w:r>
          </w:p>
        </w:tc>
        <w:tc>
          <w:tcPr>
            <w:tcW w:w="993" w:type="dxa"/>
            <w:vAlign w:val="center"/>
          </w:tcPr>
          <w:p>
            <w:pPr>
              <w:pStyle w:val="25"/>
              <w:ind w:left="18" w:firstLine="488"/>
              <w:rPr>
                <w:sz w:val="21"/>
                <w:szCs w:val="21"/>
              </w:rPr>
            </w:pPr>
            <w:r>
              <w:rPr>
                <w:color w:val="2D2D2F"/>
                <w:w w:val="108"/>
                <w:sz w:val="21"/>
                <w:szCs w:val="21"/>
              </w:rPr>
              <w:sym w:font="Wingdings 2" w:char="F050"/>
            </w:r>
          </w:p>
        </w:tc>
        <w:tc>
          <w:tcPr>
            <w:tcW w:w="1134" w:type="dxa"/>
            <w:vAlign w:val="center"/>
          </w:tcPr>
          <w:p>
            <w:pPr>
              <w:pStyle w:val="25"/>
              <w:jc w:val="center"/>
              <w:rPr>
                <w:sz w:val="21"/>
                <w:szCs w:val="21"/>
              </w:rPr>
            </w:pPr>
            <w:r>
              <w:rPr>
                <w:color w:val="2D2D2F"/>
                <w:w w:val="108"/>
                <w:sz w:val="21"/>
                <w:szCs w:val="21"/>
              </w:rPr>
              <w:sym w:font="Wingdings 2" w:char="F050"/>
            </w:r>
          </w:p>
        </w:tc>
        <w:tc>
          <w:tcPr>
            <w:tcW w:w="1134" w:type="dxa"/>
            <w:vAlign w:val="center"/>
          </w:tcPr>
          <w:p>
            <w:pPr>
              <w:pStyle w:val="25"/>
              <w:spacing w:before="12"/>
              <w:jc w:val="center"/>
              <w:rPr>
                <w:sz w:val="21"/>
                <w:szCs w:val="21"/>
              </w:rPr>
            </w:pPr>
            <w:r>
              <w:rPr>
                <w:color w:val="2D2D2F"/>
                <w:w w:val="108"/>
                <w:sz w:val="21"/>
                <w:szCs w:val="21"/>
              </w:rPr>
              <w:sym w:font="Wingdings 2" w:char="F050"/>
            </w:r>
          </w:p>
        </w:tc>
        <w:tc>
          <w:tcPr>
            <w:tcW w:w="2562" w:type="dxa"/>
            <w:vAlign w:val="center"/>
          </w:tcPr>
          <w:p>
            <w:pPr>
              <w:pStyle w:val="25"/>
              <w:rPr>
                <w:color w:val="2D2D2F"/>
                <w:w w:val="105"/>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72" w:hRule="atLeast"/>
          <w:jc w:val="center"/>
        </w:trPr>
        <w:tc>
          <w:tcPr>
            <w:tcW w:w="1980" w:type="dxa"/>
            <w:vAlign w:val="center"/>
          </w:tcPr>
          <w:p>
            <w:pPr>
              <w:pStyle w:val="25"/>
              <w:spacing w:before="5" w:line="380" w:lineRule="atLeast"/>
              <w:ind w:right="121"/>
              <w:jc w:val="center"/>
              <w:rPr>
                <w:color w:val="2D2D2F"/>
                <w:w w:val="105"/>
                <w:sz w:val="21"/>
                <w:szCs w:val="21"/>
                <w:lang w:eastAsia="zh-CN"/>
              </w:rPr>
            </w:pPr>
            <w:r>
              <w:rPr>
                <w:rFonts w:hint="eastAsia"/>
                <w:color w:val="2D2D2F"/>
                <w:w w:val="105"/>
                <w:sz w:val="21"/>
                <w:szCs w:val="21"/>
                <w:lang w:eastAsia="zh-CN"/>
              </w:rPr>
              <w:t>采暖通风与空气调节设计</w:t>
            </w:r>
          </w:p>
        </w:tc>
        <w:tc>
          <w:tcPr>
            <w:tcW w:w="992" w:type="dxa"/>
            <w:vAlign w:val="center"/>
          </w:tcPr>
          <w:p>
            <w:pPr>
              <w:pStyle w:val="25"/>
              <w:jc w:val="center"/>
              <w:rPr>
                <w:sz w:val="21"/>
                <w:szCs w:val="21"/>
              </w:rPr>
            </w:pPr>
            <w:r>
              <w:rPr>
                <w:color w:val="2D2D2F"/>
                <w:w w:val="108"/>
                <w:sz w:val="21"/>
                <w:szCs w:val="21"/>
              </w:rPr>
              <w:sym w:font="Wingdings 2" w:char="F050"/>
            </w:r>
          </w:p>
        </w:tc>
        <w:tc>
          <w:tcPr>
            <w:tcW w:w="992" w:type="dxa"/>
            <w:vAlign w:val="center"/>
          </w:tcPr>
          <w:p>
            <w:pPr>
              <w:pStyle w:val="25"/>
              <w:ind w:left="8" w:firstLine="488"/>
              <w:rPr>
                <w:sz w:val="21"/>
                <w:szCs w:val="21"/>
              </w:rPr>
            </w:pPr>
            <w:r>
              <w:rPr>
                <w:color w:val="2D2D2F"/>
                <w:w w:val="108"/>
                <w:sz w:val="21"/>
                <w:szCs w:val="21"/>
              </w:rPr>
              <w:sym w:font="Wingdings 2" w:char="F050"/>
            </w:r>
          </w:p>
        </w:tc>
        <w:tc>
          <w:tcPr>
            <w:tcW w:w="993" w:type="dxa"/>
            <w:vAlign w:val="center"/>
          </w:tcPr>
          <w:p>
            <w:pPr>
              <w:pStyle w:val="25"/>
              <w:ind w:left="18" w:firstLine="488"/>
              <w:rPr>
                <w:sz w:val="21"/>
                <w:szCs w:val="21"/>
              </w:rPr>
            </w:pPr>
            <w:r>
              <w:rPr>
                <w:color w:val="2D2D2F"/>
                <w:w w:val="108"/>
                <w:sz w:val="21"/>
                <w:szCs w:val="21"/>
              </w:rPr>
              <w:sym w:font="Wingdings 2" w:char="F050"/>
            </w:r>
          </w:p>
        </w:tc>
        <w:tc>
          <w:tcPr>
            <w:tcW w:w="1134" w:type="dxa"/>
            <w:vAlign w:val="center"/>
          </w:tcPr>
          <w:p>
            <w:pPr>
              <w:pStyle w:val="25"/>
              <w:jc w:val="center"/>
              <w:rPr>
                <w:sz w:val="21"/>
                <w:szCs w:val="21"/>
              </w:rPr>
            </w:pPr>
            <w:r>
              <w:rPr>
                <w:color w:val="2D2D2F"/>
                <w:w w:val="108"/>
                <w:sz w:val="21"/>
                <w:szCs w:val="21"/>
              </w:rPr>
              <w:sym w:font="Wingdings 2" w:char="F050"/>
            </w:r>
          </w:p>
        </w:tc>
        <w:tc>
          <w:tcPr>
            <w:tcW w:w="1134" w:type="dxa"/>
            <w:vAlign w:val="center"/>
          </w:tcPr>
          <w:p>
            <w:pPr>
              <w:pStyle w:val="25"/>
              <w:spacing w:before="12"/>
              <w:jc w:val="center"/>
              <w:rPr>
                <w:sz w:val="21"/>
                <w:szCs w:val="21"/>
              </w:rPr>
            </w:pPr>
            <w:r>
              <w:rPr>
                <w:color w:val="2D2D2F"/>
                <w:w w:val="108"/>
                <w:sz w:val="21"/>
                <w:szCs w:val="21"/>
              </w:rPr>
              <w:sym w:font="Wingdings 2" w:char="F050"/>
            </w:r>
          </w:p>
        </w:tc>
        <w:tc>
          <w:tcPr>
            <w:tcW w:w="2562" w:type="dxa"/>
            <w:vAlign w:val="center"/>
          </w:tcPr>
          <w:p>
            <w:pPr>
              <w:pStyle w:val="25"/>
              <w:rPr>
                <w:color w:val="2D2D2F"/>
                <w:w w:val="105"/>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72" w:hRule="atLeast"/>
          <w:jc w:val="center"/>
        </w:trPr>
        <w:tc>
          <w:tcPr>
            <w:tcW w:w="1980" w:type="dxa"/>
            <w:vAlign w:val="center"/>
          </w:tcPr>
          <w:p>
            <w:pPr>
              <w:pStyle w:val="25"/>
              <w:spacing w:before="5" w:line="380" w:lineRule="atLeast"/>
              <w:ind w:right="121"/>
              <w:jc w:val="center"/>
              <w:rPr>
                <w:color w:val="2D2D2F"/>
                <w:w w:val="105"/>
                <w:sz w:val="21"/>
                <w:szCs w:val="21"/>
                <w:lang w:eastAsia="zh-CN"/>
              </w:rPr>
            </w:pPr>
            <w:r>
              <w:rPr>
                <w:rFonts w:hint="eastAsia"/>
                <w:color w:val="2D2D2F"/>
                <w:w w:val="105"/>
                <w:sz w:val="21"/>
                <w:szCs w:val="21"/>
                <w:lang w:eastAsia="zh-CN"/>
              </w:rPr>
              <w:t>通信系统设计</w:t>
            </w:r>
          </w:p>
        </w:tc>
        <w:tc>
          <w:tcPr>
            <w:tcW w:w="992" w:type="dxa"/>
            <w:vAlign w:val="center"/>
          </w:tcPr>
          <w:p>
            <w:pPr>
              <w:pStyle w:val="25"/>
              <w:jc w:val="center"/>
              <w:rPr>
                <w:sz w:val="21"/>
                <w:szCs w:val="21"/>
              </w:rPr>
            </w:pPr>
            <w:r>
              <w:rPr>
                <w:color w:val="2D2D2F"/>
                <w:w w:val="108"/>
                <w:sz w:val="21"/>
                <w:szCs w:val="21"/>
              </w:rPr>
              <w:sym w:font="Wingdings 2" w:char="F050"/>
            </w:r>
          </w:p>
        </w:tc>
        <w:tc>
          <w:tcPr>
            <w:tcW w:w="992" w:type="dxa"/>
            <w:vAlign w:val="center"/>
          </w:tcPr>
          <w:p>
            <w:pPr>
              <w:pStyle w:val="25"/>
              <w:ind w:left="8" w:firstLine="488"/>
              <w:rPr>
                <w:sz w:val="21"/>
                <w:szCs w:val="21"/>
              </w:rPr>
            </w:pPr>
            <w:r>
              <w:rPr>
                <w:color w:val="2D2D2F"/>
                <w:w w:val="108"/>
                <w:sz w:val="21"/>
                <w:szCs w:val="21"/>
              </w:rPr>
              <w:sym w:font="Wingdings 2" w:char="F050"/>
            </w:r>
          </w:p>
        </w:tc>
        <w:tc>
          <w:tcPr>
            <w:tcW w:w="993" w:type="dxa"/>
            <w:vAlign w:val="center"/>
          </w:tcPr>
          <w:p>
            <w:pPr>
              <w:pStyle w:val="25"/>
              <w:ind w:left="18" w:firstLine="488"/>
              <w:rPr>
                <w:sz w:val="21"/>
                <w:szCs w:val="21"/>
              </w:rPr>
            </w:pPr>
            <w:r>
              <w:rPr>
                <w:color w:val="2D2D2F"/>
                <w:w w:val="108"/>
                <w:sz w:val="21"/>
                <w:szCs w:val="21"/>
              </w:rPr>
              <w:sym w:font="Wingdings 2" w:char="F050"/>
            </w:r>
          </w:p>
        </w:tc>
        <w:tc>
          <w:tcPr>
            <w:tcW w:w="1134" w:type="dxa"/>
            <w:vAlign w:val="center"/>
          </w:tcPr>
          <w:p>
            <w:pPr>
              <w:pStyle w:val="25"/>
              <w:jc w:val="center"/>
              <w:rPr>
                <w:sz w:val="21"/>
                <w:szCs w:val="21"/>
              </w:rPr>
            </w:pPr>
            <w:r>
              <w:rPr>
                <w:color w:val="2D2D2F"/>
                <w:w w:val="108"/>
                <w:sz w:val="21"/>
                <w:szCs w:val="21"/>
              </w:rPr>
              <w:sym w:font="Wingdings 2" w:char="F050"/>
            </w:r>
          </w:p>
        </w:tc>
        <w:tc>
          <w:tcPr>
            <w:tcW w:w="1134" w:type="dxa"/>
            <w:vAlign w:val="center"/>
          </w:tcPr>
          <w:p>
            <w:pPr>
              <w:pStyle w:val="25"/>
              <w:spacing w:before="12"/>
              <w:jc w:val="center"/>
              <w:rPr>
                <w:sz w:val="21"/>
                <w:szCs w:val="21"/>
              </w:rPr>
            </w:pPr>
            <w:r>
              <w:rPr>
                <w:color w:val="2D2D2F"/>
                <w:w w:val="108"/>
                <w:sz w:val="21"/>
                <w:szCs w:val="21"/>
              </w:rPr>
              <w:sym w:font="Wingdings 2" w:char="F050"/>
            </w:r>
          </w:p>
        </w:tc>
        <w:tc>
          <w:tcPr>
            <w:tcW w:w="2562" w:type="dxa"/>
            <w:vAlign w:val="center"/>
          </w:tcPr>
          <w:p>
            <w:pPr>
              <w:pStyle w:val="25"/>
              <w:rPr>
                <w:color w:val="2D2D2F"/>
                <w:w w:val="105"/>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72" w:hRule="atLeast"/>
          <w:jc w:val="center"/>
        </w:trPr>
        <w:tc>
          <w:tcPr>
            <w:tcW w:w="1980" w:type="dxa"/>
            <w:vAlign w:val="center"/>
          </w:tcPr>
          <w:p>
            <w:pPr>
              <w:pStyle w:val="25"/>
              <w:spacing w:before="5" w:line="380" w:lineRule="atLeast"/>
              <w:ind w:right="121"/>
              <w:jc w:val="center"/>
              <w:rPr>
                <w:color w:val="2D2D2F"/>
                <w:w w:val="105"/>
                <w:sz w:val="21"/>
                <w:szCs w:val="21"/>
                <w:lang w:eastAsia="zh-CN"/>
              </w:rPr>
            </w:pPr>
            <w:r>
              <w:rPr>
                <w:rFonts w:hint="eastAsia"/>
                <w:color w:val="2D2D2F"/>
                <w:w w:val="105"/>
                <w:sz w:val="21"/>
                <w:szCs w:val="21"/>
                <w:lang w:eastAsia="zh-CN"/>
              </w:rPr>
              <w:t>绿色建筑设计</w:t>
            </w:r>
          </w:p>
        </w:tc>
        <w:tc>
          <w:tcPr>
            <w:tcW w:w="992" w:type="dxa"/>
            <w:vAlign w:val="center"/>
          </w:tcPr>
          <w:p>
            <w:pPr>
              <w:pStyle w:val="25"/>
              <w:jc w:val="center"/>
              <w:rPr>
                <w:sz w:val="21"/>
                <w:szCs w:val="21"/>
              </w:rPr>
            </w:pPr>
            <w:r>
              <w:rPr>
                <w:color w:val="2D2D2F"/>
                <w:w w:val="108"/>
                <w:sz w:val="21"/>
                <w:szCs w:val="21"/>
              </w:rPr>
              <w:sym w:font="Wingdings 2" w:char="F050"/>
            </w:r>
          </w:p>
        </w:tc>
        <w:tc>
          <w:tcPr>
            <w:tcW w:w="992" w:type="dxa"/>
            <w:vAlign w:val="center"/>
          </w:tcPr>
          <w:p>
            <w:pPr>
              <w:pStyle w:val="25"/>
              <w:ind w:left="8" w:firstLine="488"/>
              <w:rPr>
                <w:sz w:val="21"/>
                <w:szCs w:val="21"/>
              </w:rPr>
            </w:pPr>
            <w:r>
              <w:rPr>
                <w:color w:val="2D2D2F"/>
                <w:w w:val="108"/>
                <w:sz w:val="21"/>
                <w:szCs w:val="21"/>
              </w:rPr>
              <w:sym w:font="Wingdings 2" w:char="F050"/>
            </w:r>
          </w:p>
        </w:tc>
        <w:tc>
          <w:tcPr>
            <w:tcW w:w="993" w:type="dxa"/>
            <w:vAlign w:val="center"/>
          </w:tcPr>
          <w:p>
            <w:pPr>
              <w:pStyle w:val="25"/>
              <w:ind w:left="18" w:firstLine="488"/>
              <w:rPr>
                <w:sz w:val="21"/>
                <w:szCs w:val="21"/>
              </w:rPr>
            </w:pPr>
            <w:r>
              <w:rPr>
                <w:color w:val="2D2D2F"/>
                <w:w w:val="108"/>
                <w:sz w:val="21"/>
                <w:szCs w:val="21"/>
              </w:rPr>
              <w:sym w:font="Wingdings 2" w:char="F050"/>
            </w:r>
          </w:p>
        </w:tc>
        <w:tc>
          <w:tcPr>
            <w:tcW w:w="1134" w:type="dxa"/>
            <w:vAlign w:val="center"/>
          </w:tcPr>
          <w:p>
            <w:pPr>
              <w:pStyle w:val="25"/>
              <w:jc w:val="center"/>
              <w:rPr>
                <w:sz w:val="21"/>
                <w:szCs w:val="21"/>
              </w:rPr>
            </w:pPr>
            <w:r>
              <w:rPr>
                <w:color w:val="2D2D2F"/>
                <w:w w:val="108"/>
                <w:sz w:val="21"/>
                <w:szCs w:val="21"/>
              </w:rPr>
              <w:sym w:font="Wingdings 2" w:char="F050"/>
            </w:r>
          </w:p>
        </w:tc>
        <w:tc>
          <w:tcPr>
            <w:tcW w:w="1134" w:type="dxa"/>
            <w:vAlign w:val="center"/>
          </w:tcPr>
          <w:p>
            <w:pPr>
              <w:pStyle w:val="25"/>
              <w:spacing w:before="12"/>
              <w:jc w:val="center"/>
              <w:rPr>
                <w:sz w:val="21"/>
                <w:szCs w:val="21"/>
              </w:rPr>
            </w:pPr>
            <w:r>
              <w:rPr>
                <w:color w:val="2D2D2F"/>
                <w:w w:val="108"/>
                <w:sz w:val="21"/>
                <w:szCs w:val="21"/>
              </w:rPr>
              <w:sym w:font="Wingdings 2" w:char="F050"/>
            </w:r>
          </w:p>
        </w:tc>
        <w:tc>
          <w:tcPr>
            <w:tcW w:w="2562" w:type="dxa"/>
            <w:vAlign w:val="center"/>
          </w:tcPr>
          <w:p>
            <w:pPr>
              <w:pStyle w:val="25"/>
              <w:rPr>
                <w:color w:val="2D2D2F"/>
                <w:w w:val="105"/>
                <w:sz w:val="21"/>
                <w:szCs w:val="21"/>
                <w:lang w:eastAsia="zh-CN"/>
              </w:rPr>
            </w:pPr>
            <w:r>
              <w:rPr>
                <w:rFonts w:hint="eastAsia"/>
                <w:color w:val="2D2D2F"/>
                <w:w w:val="105"/>
                <w:sz w:val="21"/>
                <w:szCs w:val="21"/>
                <w:lang w:eastAsia="zh-CN"/>
              </w:rPr>
              <w:t>绿色建筑三星级设计标识Leed Gold认证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72" w:hRule="atLeast"/>
          <w:jc w:val="center"/>
        </w:trPr>
        <w:tc>
          <w:tcPr>
            <w:tcW w:w="1980" w:type="dxa"/>
            <w:vAlign w:val="center"/>
          </w:tcPr>
          <w:p>
            <w:pPr>
              <w:pStyle w:val="25"/>
              <w:spacing w:before="5" w:line="380" w:lineRule="atLeast"/>
              <w:ind w:right="121"/>
              <w:jc w:val="center"/>
              <w:rPr>
                <w:color w:val="2D2D2F"/>
                <w:w w:val="105"/>
                <w:sz w:val="21"/>
                <w:szCs w:val="21"/>
                <w:lang w:eastAsia="zh-CN"/>
              </w:rPr>
            </w:pPr>
            <w:r>
              <w:rPr>
                <w:rFonts w:hint="eastAsia"/>
                <w:color w:val="2D2D2F"/>
                <w:w w:val="105"/>
                <w:sz w:val="21"/>
                <w:szCs w:val="21"/>
                <w:lang w:eastAsia="zh-CN"/>
              </w:rPr>
              <w:t>环保、 卫生与节能设计</w:t>
            </w:r>
          </w:p>
        </w:tc>
        <w:tc>
          <w:tcPr>
            <w:tcW w:w="992" w:type="dxa"/>
            <w:vAlign w:val="center"/>
          </w:tcPr>
          <w:p>
            <w:pPr>
              <w:pStyle w:val="25"/>
              <w:jc w:val="center"/>
              <w:rPr>
                <w:sz w:val="21"/>
                <w:szCs w:val="21"/>
              </w:rPr>
            </w:pPr>
            <w:r>
              <w:rPr>
                <w:color w:val="2D2D2F"/>
                <w:w w:val="108"/>
                <w:sz w:val="21"/>
                <w:szCs w:val="21"/>
              </w:rPr>
              <w:sym w:font="Wingdings 2" w:char="F050"/>
            </w:r>
          </w:p>
        </w:tc>
        <w:tc>
          <w:tcPr>
            <w:tcW w:w="992" w:type="dxa"/>
            <w:vAlign w:val="center"/>
          </w:tcPr>
          <w:p>
            <w:pPr>
              <w:pStyle w:val="25"/>
              <w:ind w:left="8" w:firstLine="488"/>
              <w:rPr>
                <w:sz w:val="21"/>
                <w:szCs w:val="21"/>
              </w:rPr>
            </w:pPr>
            <w:r>
              <w:rPr>
                <w:color w:val="2D2D2F"/>
                <w:w w:val="108"/>
                <w:sz w:val="21"/>
                <w:szCs w:val="21"/>
              </w:rPr>
              <w:sym w:font="Wingdings 2" w:char="F050"/>
            </w:r>
          </w:p>
        </w:tc>
        <w:tc>
          <w:tcPr>
            <w:tcW w:w="993" w:type="dxa"/>
            <w:vAlign w:val="center"/>
          </w:tcPr>
          <w:p>
            <w:pPr>
              <w:pStyle w:val="25"/>
              <w:ind w:left="18" w:firstLine="488"/>
              <w:rPr>
                <w:sz w:val="21"/>
                <w:szCs w:val="21"/>
              </w:rPr>
            </w:pPr>
            <w:r>
              <w:rPr>
                <w:color w:val="2D2D2F"/>
                <w:w w:val="108"/>
                <w:sz w:val="21"/>
                <w:szCs w:val="21"/>
              </w:rPr>
              <w:sym w:font="Wingdings 2" w:char="F050"/>
            </w:r>
          </w:p>
        </w:tc>
        <w:tc>
          <w:tcPr>
            <w:tcW w:w="1134" w:type="dxa"/>
            <w:vAlign w:val="center"/>
          </w:tcPr>
          <w:p>
            <w:pPr>
              <w:pStyle w:val="25"/>
              <w:jc w:val="center"/>
              <w:rPr>
                <w:sz w:val="21"/>
                <w:szCs w:val="21"/>
              </w:rPr>
            </w:pPr>
            <w:r>
              <w:rPr>
                <w:color w:val="2D2D2F"/>
                <w:w w:val="108"/>
                <w:sz w:val="21"/>
                <w:szCs w:val="21"/>
              </w:rPr>
              <w:sym w:font="Wingdings 2" w:char="F050"/>
            </w:r>
          </w:p>
        </w:tc>
        <w:tc>
          <w:tcPr>
            <w:tcW w:w="1134" w:type="dxa"/>
            <w:vAlign w:val="center"/>
          </w:tcPr>
          <w:p>
            <w:pPr>
              <w:pStyle w:val="25"/>
              <w:spacing w:before="12"/>
              <w:jc w:val="center"/>
              <w:rPr>
                <w:sz w:val="21"/>
                <w:szCs w:val="21"/>
              </w:rPr>
            </w:pPr>
            <w:r>
              <w:rPr>
                <w:color w:val="2D2D2F"/>
                <w:w w:val="108"/>
                <w:sz w:val="21"/>
                <w:szCs w:val="21"/>
              </w:rPr>
              <w:sym w:font="Wingdings 2" w:char="F050"/>
            </w:r>
          </w:p>
        </w:tc>
        <w:tc>
          <w:tcPr>
            <w:tcW w:w="2562" w:type="dxa"/>
            <w:vAlign w:val="center"/>
          </w:tcPr>
          <w:p>
            <w:pPr>
              <w:pStyle w:val="25"/>
              <w:rPr>
                <w:color w:val="2D2D2F"/>
                <w:w w:val="105"/>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72" w:hRule="atLeast"/>
          <w:jc w:val="center"/>
        </w:trPr>
        <w:tc>
          <w:tcPr>
            <w:tcW w:w="1980" w:type="dxa"/>
            <w:vAlign w:val="center"/>
          </w:tcPr>
          <w:p>
            <w:pPr>
              <w:pStyle w:val="25"/>
              <w:spacing w:before="5" w:line="380" w:lineRule="atLeast"/>
              <w:ind w:right="121"/>
              <w:jc w:val="center"/>
              <w:rPr>
                <w:color w:val="2D2D2F"/>
                <w:w w:val="105"/>
                <w:sz w:val="21"/>
                <w:szCs w:val="21"/>
                <w:lang w:eastAsia="zh-CN"/>
              </w:rPr>
            </w:pPr>
            <w:r>
              <w:rPr>
                <w:rFonts w:hint="eastAsia"/>
                <w:color w:val="2D2D2F"/>
                <w:w w:val="105"/>
                <w:sz w:val="21"/>
                <w:szCs w:val="21"/>
                <w:lang w:eastAsia="zh-CN"/>
              </w:rPr>
              <w:t>设备选型意见</w:t>
            </w:r>
          </w:p>
        </w:tc>
        <w:tc>
          <w:tcPr>
            <w:tcW w:w="992" w:type="dxa"/>
            <w:vAlign w:val="center"/>
          </w:tcPr>
          <w:p>
            <w:pPr>
              <w:pStyle w:val="25"/>
              <w:jc w:val="center"/>
              <w:rPr>
                <w:sz w:val="21"/>
                <w:szCs w:val="21"/>
              </w:rPr>
            </w:pPr>
            <w:r>
              <w:rPr>
                <w:color w:val="2D2D2F"/>
                <w:w w:val="108"/>
                <w:sz w:val="21"/>
                <w:szCs w:val="21"/>
              </w:rPr>
              <w:sym w:font="Wingdings 2" w:char="F050"/>
            </w:r>
          </w:p>
        </w:tc>
        <w:tc>
          <w:tcPr>
            <w:tcW w:w="992" w:type="dxa"/>
            <w:vAlign w:val="center"/>
          </w:tcPr>
          <w:p>
            <w:pPr>
              <w:pStyle w:val="25"/>
              <w:ind w:left="8" w:firstLine="488"/>
              <w:rPr>
                <w:sz w:val="21"/>
                <w:szCs w:val="21"/>
              </w:rPr>
            </w:pPr>
            <w:r>
              <w:rPr>
                <w:color w:val="2D2D2F"/>
                <w:w w:val="108"/>
                <w:sz w:val="21"/>
                <w:szCs w:val="21"/>
              </w:rPr>
              <w:sym w:font="Wingdings 2" w:char="F050"/>
            </w:r>
          </w:p>
        </w:tc>
        <w:tc>
          <w:tcPr>
            <w:tcW w:w="993" w:type="dxa"/>
            <w:vAlign w:val="center"/>
          </w:tcPr>
          <w:p>
            <w:pPr>
              <w:pStyle w:val="25"/>
              <w:ind w:left="18" w:firstLine="488"/>
              <w:rPr>
                <w:sz w:val="21"/>
                <w:szCs w:val="21"/>
              </w:rPr>
            </w:pPr>
            <w:r>
              <w:rPr>
                <w:color w:val="2D2D2F"/>
                <w:w w:val="108"/>
                <w:sz w:val="21"/>
                <w:szCs w:val="21"/>
              </w:rPr>
              <w:sym w:font="Wingdings 2" w:char="F050"/>
            </w:r>
          </w:p>
        </w:tc>
        <w:tc>
          <w:tcPr>
            <w:tcW w:w="1134" w:type="dxa"/>
            <w:vAlign w:val="center"/>
          </w:tcPr>
          <w:p>
            <w:pPr>
              <w:pStyle w:val="25"/>
              <w:jc w:val="center"/>
              <w:rPr>
                <w:sz w:val="21"/>
                <w:szCs w:val="21"/>
              </w:rPr>
            </w:pPr>
            <w:r>
              <w:rPr>
                <w:color w:val="2D2D2F"/>
                <w:w w:val="108"/>
                <w:sz w:val="21"/>
                <w:szCs w:val="21"/>
              </w:rPr>
              <w:sym w:font="Wingdings 2" w:char="F050"/>
            </w:r>
          </w:p>
        </w:tc>
        <w:tc>
          <w:tcPr>
            <w:tcW w:w="1134" w:type="dxa"/>
            <w:vAlign w:val="center"/>
          </w:tcPr>
          <w:p>
            <w:pPr>
              <w:pStyle w:val="25"/>
              <w:spacing w:before="12"/>
              <w:jc w:val="center"/>
              <w:rPr>
                <w:sz w:val="21"/>
                <w:szCs w:val="21"/>
              </w:rPr>
            </w:pPr>
            <w:r>
              <w:rPr>
                <w:color w:val="2D2D2F"/>
                <w:w w:val="108"/>
                <w:sz w:val="21"/>
                <w:szCs w:val="21"/>
              </w:rPr>
              <w:sym w:font="Wingdings 2" w:char="F050"/>
            </w:r>
          </w:p>
        </w:tc>
        <w:tc>
          <w:tcPr>
            <w:tcW w:w="2562" w:type="dxa"/>
            <w:vAlign w:val="center"/>
          </w:tcPr>
          <w:p>
            <w:pPr>
              <w:pStyle w:val="25"/>
              <w:rPr>
                <w:color w:val="2D2D2F"/>
                <w:w w:val="105"/>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72" w:hRule="atLeast"/>
          <w:jc w:val="center"/>
        </w:trPr>
        <w:tc>
          <w:tcPr>
            <w:tcW w:w="1980" w:type="dxa"/>
          </w:tcPr>
          <w:p>
            <w:pPr>
              <w:pStyle w:val="25"/>
              <w:spacing w:before="5" w:line="380" w:lineRule="atLeast"/>
              <w:ind w:right="121"/>
              <w:jc w:val="center"/>
              <w:rPr>
                <w:color w:val="2D2D2F"/>
                <w:w w:val="105"/>
                <w:sz w:val="21"/>
                <w:szCs w:val="21"/>
                <w:lang w:eastAsia="zh-CN"/>
              </w:rPr>
            </w:pPr>
            <w:r>
              <w:rPr>
                <w:color w:val="2D2D2F"/>
                <w:w w:val="105"/>
                <w:sz w:val="21"/>
                <w:szCs w:val="21"/>
                <w:lang w:eastAsia="zh-CN"/>
              </w:rPr>
              <w:t>项目用地范围内基础配套设施工程设计</w:t>
            </w:r>
          </w:p>
        </w:tc>
        <w:tc>
          <w:tcPr>
            <w:tcW w:w="992" w:type="dxa"/>
            <w:vAlign w:val="center"/>
          </w:tcPr>
          <w:p>
            <w:pPr>
              <w:pStyle w:val="25"/>
              <w:jc w:val="center"/>
              <w:rPr>
                <w:sz w:val="21"/>
                <w:szCs w:val="21"/>
              </w:rPr>
            </w:pPr>
            <w:r>
              <w:rPr>
                <w:color w:val="2D2D2F"/>
                <w:w w:val="108"/>
                <w:sz w:val="21"/>
                <w:szCs w:val="21"/>
              </w:rPr>
              <w:sym w:font="Wingdings 2" w:char="F050"/>
            </w:r>
          </w:p>
        </w:tc>
        <w:tc>
          <w:tcPr>
            <w:tcW w:w="992" w:type="dxa"/>
            <w:vAlign w:val="center"/>
          </w:tcPr>
          <w:p>
            <w:pPr>
              <w:pStyle w:val="25"/>
              <w:ind w:left="8" w:firstLine="488"/>
              <w:rPr>
                <w:sz w:val="21"/>
                <w:szCs w:val="21"/>
              </w:rPr>
            </w:pPr>
            <w:r>
              <w:rPr>
                <w:color w:val="2D2D2F"/>
                <w:w w:val="108"/>
                <w:sz w:val="21"/>
                <w:szCs w:val="21"/>
              </w:rPr>
              <w:sym w:font="Wingdings 2" w:char="F050"/>
            </w:r>
          </w:p>
        </w:tc>
        <w:tc>
          <w:tcPr>
            <w:tcW w:w="993" w:type="dxa"/>
            <w:vAlign w:val="center"/>
          </w:tcPr>
          <w:p>
            <w:pPr>
              <w:pStyle w:val="25"/>
              <w:ind w:left="18" w:firstLine="488"/>
              <w:rPr>
                <w:sz w:val="21"/>
                <w:szCs w:val="21"/>
              </w:rPr>
            </w:pPr>
            <w:r>
              <w:rPr>
                <w:color w:val="2D2D2F"/>
                <w:w w:val="108"/>
                <w:sz w:val="21"/>
                <w:szCs w:val="21"/>
              </w:rPr>
              <w:sym w:font="Wingdings 2" w:char="F050"/>
            </w:r>
          </w:p>
        </w:tc>
        <w:tc>
          <w:tcPr>
            <w:tcW w:w="1134" w:type="dxa"/>
            <w:vAlign w:val="center"/>
          </w:tcPr>
          <w:p>
            <w:pPr>
              <w:pStyle w:val="25"/>
              <w:jc w:val="center"/>
              <w:rPr>
                <w:sz w:val="21"/>
                <w:szCs w:val="21"/>
              </w:rPr>
            </w:pPr>
            <w:r>
              <w:rPr>
                <w:color w:val="2D2D2F"/>
                <w:w w:val="108"/>
                <w:sz w:val="21"/>
                <w:szCs w:val="21"/>
              </w:rPr>
              <w:sym w:font="Wingdings 2" w:char="F050"/>
            </w:r>
          </w:p>
        </w:tc>
        <w:tc>
          <w:tcPr>
            <w:tcW w:w="1134" w:type="dxa"/>
            <w:vAlign w:val="center"/>
          </w:tcPr>
          <w:p>
            <w:pPr>
              <w:pStyle w:val="25"/>
              <w:spacing w:before="12"/>
              <w:jc w:val="center"/>
              <w:rPr>
                <w:sz w:val="21"/>
                <w:szCs w:val="21"/>
              </w:rPr>
            </w:pPr>
            <w:r>
              <w:rPr>
                <w:color w:val="2D2D2F"/>
                <w:w w:val="108"/>
                <w:sz w:val="21"/>
                <w:szCs w:val="21"/>
              </w:rPr>
              <w:sym w:font="Wingdings 2" w:char="F050"/>
            </w:r>
          </w:p>
        </w:tc>
        <w:tc>
          <w:tcPr>
            <w:tcW w:w="2562" w:type="dxa"/>
            <w:vAlign w:val="center"/>
          </w:tcPr>
          <w:p>
            <w:pPr>
              <w:pStyle w:val="25"/>
              <w:rPr>
                <w:color w:val="2D2D2F"/>
                <w:w w:val="105"/>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72" w:hRule="atLeast"/>
          <w:jc w:val="center"/>
        </w:trPr>
        <w:tc>
          <w:tcPr>
            <w:tcW w:w="1980" w:type="dxa"/>
          </w:tcPr>
          <w:p>
            <w:pPr>
              <w:pStyle w:val="25"/>
              <w:spacing w:before="5" w:line="380" w:lineRule="atLeast"/>
              <w:ind w:right="121"/>
              <w:jc w:val="center"/>
              <w:rPr>
                <w:color w:val="2D2D2F"/>
                <w:w w:val="105"/>
                <w:sz w:val="21"/>
                <w:szCs w:val="21"/>
                <w:lang w:eastAsia="zh-CN"/>
              </w:rPr>
            </w:pPr>
            <w:r>
              <w:rPr>
                <w:color w:val="2D2D2F"/>
                <w:w w:val="105"/>
                <w:sz w:val="21"/>
                <w:szCs w:val="21"/>
                <w:lang w:eastAsia="zh-CN"/>
              </w:rPr>
              <w:t>室内外管线综合平衡设计</w:t>
            </w:r>
          </w:p>
        </w:tc>
        <w:tc>
          <w:tcPr>
            <w:tcW w:w="992" w:type="dxa"/>
            <w:vAlign w:val="center"/>
          </w:tcPr>
          <w:p>
            <w:pPr>
              <w:pStyle w:val="25"/>
              <w:jc w:val="center"/>
              <w:rPr>
                <w:sz w:val="21"/>
                <w:szCs w:val="21"/>
              </w:rPr>
            </w:pPr>
            <w:r>
              <w:rPr>
                <w:color w:val="2D2D2F"/>
                <w:w w:val="108"/>
                <w:sz w:val="21"/>
                <w:szCs w:val="21"/>
              </w:rPr>
              <w:sym w:font="Wingdings 2" w:char="F050"/>
            </w:r>
          </w:p>
        </w:tc>
        <w:tc>
          <w:tcPr>
            <w:tcW w:w="992" w:type="dxa"/>
            <w:vAlign w:val="center"/>
          </w:tcPr>
          <w:p>
            <w:pPr>
              <w:pStyle w:val="25"/>
              <w:ind w:left="8" w:firstLine="488"/>
              <w:rPr>
                <w:sz w:val="21"/>
                <w:szCs w:val="21"/>
              </w:rPr>
            </w:pPr>
            <w:r>
              <w:rPr>
                <w:color w:val="2D2D2F"/>
                <w:w w:val="108"/>
                <w:sz w:val="21"/>
                <w:szCs w:val="21"/>
              </w:rPr>
              <w:sym w:font="Wingdings 2" w:char="F050"/>
            </w:r>
          </w:p>
        </w:tc>
        <w:tc>
          <w:tcPr>
            <w:tcW w:w="993" w:type="dxa"/>
            <w:vAlign w:val="center"/>
          </w:tcPr>
          <w:p>
            <w:pPr>
              <w:pStyle w:val="25"/>
              <w:ind w:left="18" w:firstLine="488"/>
              <w:rPr>
                <w:sz w:val="21"/>
                <w:szCs w:val="21"/>
              </w:rPr>
            </w:pPr>
            <w:r>
              <w:rPr>
                <w:color w:val="2D2D2F"/>
                <w:w w:val="108"/>
                <w:sz w:val="21"/>
                <w:szCs w:val="21"/>
              </w:rPr>
              <w:sym w:font="Wingdings 2" w:char="F050"/>
            </w:r>
          </w:p>
        </w:tc>
        <w:tc>
          <w:tcPr>
            <w:tcW w:w="1134" w:type="dxa"/>
            <w:vAlign w:val="center"/>
          </w:tcPr>
          <w:p>
            <w:pPr>
              <w:pStyle w:val="25"/>
              <w:jc w:val="center"/>
              <w:rPr>
                <w:sz w:val="21"/>
                <w:szCs w:val="21"/>
              </w:rPr>
            </w:pPr>
            <w:r>
              <w:rPr>
                <w:color w:val="2D2D2F"/>
                <w:w w:val="108"/>
                <w:sz w:val="21"/>
                <w:szCs w:val="21"/>
              </w:rPr>
              <w:sym w:font="Wingdings 2" w:char="F050"/>
            </w:r>
          </w:p>
        </w:tc>
        <w:tc>
          <w:tcPr>
            <w:tcW w:w="1134" w:type="dxa"/>
            <w:vAlign w:val="center"/>
          </w:tcPr>
          <w:p>
            <w:pPr>
              <w:pStyle w:val="25"/>
              <w:spacing w:before="12"/>
              <w:jc w:val="center"/>
              <w:rPr>
                <w:sz w:val="21"/>
                <w:szCs w:val="21"/>
              </w:rPr>
            </w:pPr>
            <w:r>
              <w:rPr>
                <w:color w:val="2D2D2F"/>
                <w:w w:val="108"/>
                <w:sz w:val="21"/>
                <w:szCs w:val="21"/>
              </w:rPr>
              <w:sym w:font="Wingdings 2" w:char="F050"/>
            </w:r>
          </w:p>
        </w:tc>
        <w:tc>
          <w:tcPr>
            <w:tcW w:w="2562" w:type="dxa"/>
            <w:vAlign w:val="center"/>
          </w:tcPr>
          <w:p>
            <w:pPr>
              <w:pStyle w:val="25"/>
              <w:rPr>
                <w:color w:val="2D2D2F"/>
                <w:w w:val="105"/>
                <w:sz w:val="21"/>
                <w:szCs w:val="21"/>
                <w:lang w:eastAsia="zh-CN"/>
              </w:rPr>
            </w:pPr>
            <w:r>
              <w:rPr>
                <w:rFonts w:hint="eastAsia"/>
                <w:color w:val="2D2D2F"/>
                <w:w w:val="105"/>
                <w:sz w:val="21"/>
                <w:szCs w:val="21"/>
                <w:lang w:eastAsia="zh-CN"/>
              </w:rPr>
              <w:t>室外小市政管线综合，室内管线综合（一二次机电管线综合）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72" w:hRule="atLeast"/>
          <w:jc w:val="center"/>
        </w:trPr>
        <w:tc>
          <w:tcPr>
            <w:tcW w:w="1980" w:type="dxa"/>
          </w:tcPr>
          <w:p>
            <w:pPr>
              <w:pStyle w:val="25"/>
              <w:spacing w:before="5" w:line="380" w:lineRule="atLeast"/>
              <w:ind w:right="121"/>
              <w:jc w:val="center"/>
              <w:rPr>
                <w:color w:val="2D2D2F"/>
                <w:w w:val="105"/>
                <w:sz w:val="21"/>
                <w:szCs w:val="21"/>
                <w:lang w:eastAsia="zh-CN"/>
              </w:rPr>
            </w:pPr>
            <w:r>
              <w:rPr>
                <w:color w:val="2D2D2F"/>
                <w:w w:val="105"/>
                <w:sz w:val="21"/>
                <w:szCs w:val="21"/>
                <w:lang w:eastAsia="zh-CN"/>
              </w:rPr>
              <w:t>室内外体育设施设计</w:t>
            </w:r>
          </w:p>
        </w:tc>
        <w:tc>
          <w:tcPr>
            <w:tcW w:w="992" w:type="dxa"/>
            <w:vAlign w:val="center"/>
          </w:tcPr>
          <w:p>
            <w:pPr>
              <w:pStyle w:val="25"/>
              <w:jc w:val="center"/>
              <w:rPr>
                <w:sz w:val="21"/>
                <w:szCs w:val="21"/>
              </w:rPr>
            </w:pPr>
            <w:r>
              <w:rPr>
                <w:color w:val="2D2D2F"/>
                <w:w w:val="108"/>
                <w:sz w:val="21"/>
                <w:szCs w:val="21"/>
              </w:rPr>
              <w:sym w:font="Wingdings 2" w:char="F050"/>
            </w:r>
          </w:p>
        </w:tc>
        <w:tc>
          <w:tcPr>
            <w:tcW w:w="992" w:type="dxa"/>
            <w:vAlign w:val="center"/>
          </w:tcPr>
          <w:p>
            <w:pPr>
              <w:pStyle w:val="25"/>
              <w:ind w:left="8" w:firstLine="488"/>
              <w:rPr>
                <w:sz w:val="21"/>
                <w:szCs w:val="21"/>
              </w:rPr>
            </w:pPr>
            <w:r>
              <w:rPr>
                <w:color w:val="2D2D2F"/>
                <w:w w:val="108"/>
                <w:sz w:val="21"/>
                <w:szCs w:val="21"/>
              </w:rPr>
              <w:sym w:font="Wingdings 2" w:char="F050"/>
            </w:r>
          </w:p>
        </w:tc>
        <w:tc>
          <w:tcPr>
            <w:tcW w:w="993" w:type="dxa"/>
            <w:vAlign w:val="center"/>
          </w:tcPr>
          <w:p>
            <w:pPr>
              <w:pStyle w:val="25"/>
              <w:ind w:left="18" w:firstLine="488"/>
              <w:rPr>
                <w:sz w:val="21"/>
                <w:szCs w:val="21"/>
              </w:rPr>
            </w:pPr>
            <w:r>
              <w:rPr>
                <w:color w:val="2D2D2F"/>
                <w:w w:val="108"/>
                <w:sz w:val="21"/>
                <w:szCs w:val="21"/>
              </w:rPr>
              <w:sym w:font="Wingdings 2" w:char="F050"/>
            </w:r>
          </w:p>
        </w:tc>
        <w:tc>
          <w:tcPr>
            <w:tcW w:w="1134" w:type="dxa"/>
            <w:vAlign w:val="center"/>
          </w:tcPr>
          <w:p>
            <w:pPr>
              <w:pStyle w:val="25"/>
              <w:jc w:val="center"/>
              <w:rPr>
                <w:sz w:val="21"/>
                <w:szCs w:val="21"/>
              </w:rPr>
            </w:pPr>
            <w:r>
              <w:rPr>
                <w:color w:val="2D2D2F"/>
                <w:w w:val="108"/>
                <w:sz w:val="21"/>
                <w:szCs w:val="21"/>
              </w:rPr>
              <w:sym w:font="Wingdings 2" w:char="F050"/>
            </w:r>
          </w:p>
        </w:tc>
        <w:tc>
          <w:tcPr>
            <w:tcW w:w="1134" w:type="dxa"/>
            <w:vAlign w:val="center"/>
          </w:tcPr>
          <w:p>
            <w:pPr>
              <w:pStyle w:val="25"/>
              <w:spacing w:before="12"/>
              <w:jc w:val="center"/>
              <w:rPr>
                <w:sz w:val="21"/>
                <w:szCs w:val="21"/>
              </w:rPr>
            </w:pPr>
            <w:r>
              <w:rPr>
                <w:color w:val="2D2D2F"/>
                <w:w w:val="108"/>
                <w:sz w:val="21"/>
                <w:szCs w:val="21"/>
              </w:rPr>
              <w:sym w:font="Wingdings 2" w:char="F050"/>
            </w:r>
          </w:p>
        </w:tc>
        <w:tc>
          <w:tcPr>
            <w:tcW w:w="2562" w:type="dxa"/>
            <w:vAlign w:val="center"/>
          </w:tcPr>
          <w:p>
            <w:pPr>
              <w:pStyle w:val="25"/>
              <w:rPr>
                <w:color w:val="2D2D2F"/>
                <w:w w:val="105"/>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72" w:hRule="atLeast"/>
          <w:jc w:val="center"/>
        </w:trPr>
        <w:tc>
          <w:tcPr>
            <w:tcW w:w="1980" w:type="dxa"/>
          </w:tcPr>
          <w:p>
            <w:pPr>
              <w:pStyle w:val="25"/>
              <w:spacing w:before="5" w:line="380" w:lineRule="atLeast"/>
              <w:ind w:right="121"/>
              <w:jc w:val="center"/>
              <w:rPr>
                <w:color w:val="2D2D2F"/>
                <w:w w:val="105"/>
                <w:sz w:val="21"/>
                <w:szCs w:val="21"/>
                <w:lang w:eastAsia="zh-CN"/>
              </w:rPr>
            </w:pPr>
            <w:r>
              <w:rPr>
                <w:color w:val="2D2D2F"/>
                <w:w w:val="105"/>
                <w:sz w:val="21"/>
                <w:szCs w:val="21"/>
                <w:lang w:eastAsia="zh-CN"/>
              </w:rPr>
              <w:t>室外市政（道路设计、管线设计）</w:t>
            </w:r>
          </w:p>
        </w:tc>
        <w:tc>
          <w:tcPr>
            <w:tcW w:w="992" w:type="dxa"/>
            <w:vAlign w:val="center"/>
          </w:tcPr>
          <w:p>
            <w:pPr>
              <w:pStyle w:val="25"/>
              <w:jc w:val="center"/>
              <w:rPr>
                <w:sz w:val="21"/>
                <w:szCs w:val="21"/>
              </w:rPr>
            </w:pPr>
            <w:r>
              <w:rPr>
                <w:color w:val="2D2D2F"/>
                <w:w w:val="108"/>
                <w:sz w:val="21"/>
                <w:szCs w:val="21"/>
              </w:rPr>
              <w:sym w:font="Wingdings 2" w:char="F050"/>
            </w:r>
          </w:p>
        </w:tc>
        <w:tc>
          <w:tcPr>
            <w:tcW w:w="992" w:type="dxa"/>
            <w:vAlign w:val="center"/>
          </w:tcPr>
          <w:p>
            <w:pPr>
              <w:pStyle w:val="25"/>
              <w:ind w:left="8" w:firstLine="488"/>
              <w:rPr>
                <w:sz w:val="21"/>
                <w:szCs w:val="21"/>
              </w:rPr>
            </w:pPr>
            <w:r>
              <w:rPr>
                <w:color w:val="2D2D2F"/>
                <w:w w:val="108"/>
                <w:sz w:val="21"/>
                <w:szCs w:val="21"/>
              </w:rPr>
              <w:sym w:font="Wingdings 2" w:char="F050"/>
            </w:r>
          </w:p>
        </w:tc>
        <w:tc>
          <w:tcPr>
            <w:tcW w:w="993" w:type="dxa"/>
            <w:vAlign w:val="center"/>
          </w:tcPr>
          <w:p>
            <w:pPr>
              <w:pStyle w:val="25"/>
              <w:ind w:left="18" w:firstLine="488"/>
              <w:rPr>
                <w:sz w:val="21"/>
                <w:szCs w:val="21"/>
              </w:rPr>
            </w:pPr>
            <w:r>
              <w:rPr>
                <w:color w:val="2D2D2F"/>
                <w:w w:val="108"/>
                <w:sz w:val="21"/>
                <w:szCs w:val="21"/>
              </w:rPr>
              <w:sym w:font="Wingdings 2" w:char="F050"/>
            </w:r>
          </w:p>
        </w:tc>
        <w:tc>
          <w:tcPr>
            <w:tcW w:w="1134" w:type="dxa"/>
            <w:vAlign w:val="center"/>
          </w:tcPr>
          <w:p>
            <w:pPr>
              <w:pStyle w:val="25"/>
              <w:jc w:val="center"/>
              <w:rPr>
                <w:sz w:val="21"/>
                <w:szCs w:val="21"/>
              </w:rPr>
            </w:pPr>
            <w:r>
              <w:rPr>
                <w:color w:val="2D2D2F"/>
                <w:w w:val="108"/>
                <w:sz w:val="21"/>
                <w:szCs w:val="21"/>
              </w:rPr>
              <w:sym w:font="Wingdings 2" w:char="F050"/>
            </w:r>
          </w:p>
        </w:tc>
        <w:tc>
          <w:tcPr>
            <w:tcW w:w="1134" w:type="dxa"/>
            <w:vAlign w:val="center"/>
          </w:tcPr>
          <w:p>
            <w:pPr>
              <w:pStyle w:val="25"/>
              <w:spacing w:before="12"/>
              <w:jc w:val="center"/>
              <w:rPr>
                <w:sz w:val="21"/>
                <w:szCs w:val="21"/>
              </w:rPr>
            </w:pPr>
            <w:r>
              <w:rPr>
                <w:color w:val="2D2D2F"/>
                <w:w w:val="108"/>
                <w:sz w:val="21"/>
                <w:szCs w:val="21"/>
              </w:rPr>
              <w:sym w:font="Wingdings 2" w:char="F050"/>
            </w:r>
          </w:p>
        </w:tc>
        <w:tc>
          <w:tcPr>
            <w:tcW w:w="2562" w:type="dxa"/>
            <w:vAlign w:val="center"/>
          </w:tcPr>
          <w:p>
            <w:pPr>
              <w:pStyle w:val="25"/>
              <w:rPr>
                <w:color w:val="2D2D2F"/>
                <w:w w:val="105"/>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72" w:hRule="atLeast"/>
          <w:jc w:val="center"/>
        </w:trPr>
        <w:tc>
          <w:tcPr>
            <w:tcW w:w="1980" w:type="dxa"/>
          </w:tcPr>
          <w:p>
            <w:pPr>
              <w:pStyle w:val="25"/>
              <w:spacing w:before="5" w:line="380" w:lineRule="atLeast"/>
              <w:ind w:right="121"/>
              <w:jc w:val="center"/>
              <w:rPr>
                <w:color w:val="2D2D2F"/>
                <w:w w:val="105"/>
                <w:sz w:val="21"/>
                <w:szCs w:val="21"/>
                <w:lang w:eastAsia="zh-CN"/>
              </w:rPr>
            </w:pPr>
            <w:r>
              <w:rPr>
                <w:color w:val="2D2D2F"/>
                <w:w w:val="105"/>
                <w:sz w:val="21"/>
                <w:szCs w:val="21"/>
                <w:lang w:eastAsia="zh-CN"/>
              </w:rPr>
              <w:t>室内外标识</w:t>
            </w:r>
          </w:p>
          <w:p>
            <w:pPr>
              <w:pStyle w:val="25"/>
              <w:spacing w:before="5" w:line="380" w:lineRule="atLeast"/>
              <w:ind w:right="121"/>
              <w:jc w:val="center"/>
              <w:rPr>
                <w:color w:val="2D2D2F"/>
                <w:w w:val="105"/>
                <w:sz w:val="21"/>
                <w:szCs w:val="21"/>
                <w:lang w:eastAsia="zh-CN"/>
              </w:rPr>
            </w:pPr>
            <w:r>
              <w:rPr>
                <w:color w:val="2D2D2F"/>
                <w:w w:val="105"/>
                <w:sz w:val="21"/>
                <w:szCs w:val="21"/>
                <w:lang w:eastAsia="zh-CN"/>
              </w:rPr>
              <w:t>系统设计</w:t>
            </w:r>
          </w:p>
        </w:tc>
        <w:tc>
          <w:tcPr>
            <w:tcW w:w="992" w:type="dxa"/>
            <w:vAlign w:val="center"/>
          </w:tcPr>
          <w:p>
            <w:pPr>
              <w:pStyle w:val="25"/>
              <w:jc w:val="center"/>
              <w:rPr>
                <w:sz w:val="21"/>
                <w:szCs w:val="21"/>
              </w:rPr>
            </w:pPr>
            <w:r>
              <w:rPr>
                <w:color w:val="2D2D2F"/>
                <w:w w:val="108"/>
                <w:sz w:val="21"/>
                <w:szCs w:val="21"/>
              </w:rPr>
              <w:sym w:font="Wingdings 2" w:char="F050"/>
            </w:r>
          </w:p>
        </w:tc>
        <w:tc>
          <w:tcPr>
            <w:tcW w:w="992" w:type="dxa"/>
            <w:vAlign w:val="center"/>
          </w:tcPr>
          <w:p>
            <w:pPr>
              <w:pStyle w:val="25"/>
              <w:ind w:left="8" w:firstLine="488"/>
              <w:rPr>
                <w:sz w:val="21"/>
                <w:szCs w:val="21"/>
              </w:rPr>
            </w:pPr>
            <w:r>
              <w:rPr>
                <w:color w:val="2D2D2F"/>
                <w:w w:val="108"/>
                <w:sz w:val="21"/>
                <w:szCs w:val="21"/>
              </w:rPr>
              <w:sym w:font="Wingdings 2" w:char="F050"/>
            </w:r>
          </w:p>
        </w:tc>
        <w:tc>
          <w:tcPr>
            <w:tcW w:w="993" w:type="dxa"/>
            <w:vAlign w:val="center"/>
          </w:tcPr>
          <w:p>
            <w:pPr>
              <w:pStyle w:val="25"/>
              <w:ind w:left="18" w:firstLine="488"/>
              <w:rPr>
                <w:sz w:val="21"/>
                <w:szCs w:val="21"/>
              </w:rPr>
            </w:pPr>
            <w:r>
              <w:rPr>
                <w:color w:val="2D2D2F"/>
                <w:w w:val="108"/>
                <w:sz w:val="21"/>
                <w:szCs w:val="21"/>
              </w:rPr>
              <w:sym w:font="Wingdings 2" w:char="F050"/>
            </w:r>
          </w:p>
        </w:tc>
        <w:tc>
          <w:tcPr>
            <w:tcW w:w="1134" w:type="dxa"/>
            <w:vAlign w:val="center"/>
          </w:tcPr>
          <w:p>
            <w:pPr>
              <w:pStyle w:val="25"/>
              <w:jc w:val="center"/>
              <w:rPr>
                <w:sz w:val="21"/>
                <w:szCs w:val="21"/>
              </w:rPr>
            </w:pPr>
            <w:r>
              <w:rPr>
                <w:color w:val="2D2D2F"/>
                <w:w w:val="108"/>
                <w:sz w:val="21"/>
                <w:szCs w:val="21"/>
              </w:rPr>
              <w:sym w:font="Wingdings 2" w:char="F050"/>
            </w:r>
          </w:p>
        </w:tc>
        <w:tc>
          <w:tcPr>
            <w:tcW w:w="1134" w:type="dxa"/>
            <w:vAlign w:val="center"/>
          </w:tcPr>
          <w:p>
            <w:pPr>
              <w:pStyle w:val="25"/>
              <w:spacing w:before="12"/>
              <w:jc w:val="center"/>
              <w:rPr>
                <w:sz w:val="21"/>
                <w:szCs w:val="21"/>
              </w:rPr>
            </w:pPr>
            <w:r>
              <w:rPr>
                <w:color w:val="2D2D2F"/>
                <w:w w:val="108"/>
                <w:sz w:val="21"/>
                <w:szCs w:val="21"/>
              </w:rPr>
              <w:sym w:font="Wingdings 2" w:char="F050"/>
            </w:r>
          </w:p>
        </w:tc>
        <w:tc>
          <w:tcPr>
            <w:tcW w:w="2562" w:type="dxa"/>
            <w:vAlign w:val="center"/>
          </w:tcPr>
          <w:p>
            <w:pPr>
              <w:pStyle w:val="25"/>
              <w:rPr>
                <w:color w:val="2D2D2F"/>
                <w:w w:val="105"/>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72" w:hRule="atLeast"/>
          <w:jc w:val="center"/>
        </w:trPr>
        <w:tc>
          <w:tcPr>
            <w:tcW w:w="1980" w:type="dxa"/>
          </w:tcPr>
          <w:p>
            <w:pPr>
              <w:pStyle w:val="25"/>
              <w:spacing w:before="5" w:line="380" w:lineRule="atLeast"/>
              <w:ind w:right="121"/>
              <w:jc w:val="center"/>
              <w:rPr>
                <w:color w:val="2D2D2F"/>
                <w:w w:val="105"/>
                <w:sz w:val="21"/>
                <w:szCs w:val="21"/>
                <w:lang w:eastAsia="zh-CN"/>
              </w:rPr>
            </w:pPr>
            <w:r>
              <w:rPr>
                <w:color w:val="2D2D2F"/>
                <w:w w:val="105"/>
                <w:sz w:val="21"/>
                <w:szCs w:val="21"/>
                <w:lang w:eastAsia="zh-CN"/>
              </w:rPr>
              <w:t>景观</w:t>
            </w:r>
            <w:r>
              <w:rPr>
                <w:rFonts w:hint="eastAsia"/>
                <w:color w:val="2D2D2F"/>
                <w:w w:val="105"/>
                <w:sz w:val="21"/>
                <w:szCs w:val="21"/>
                <w:lang w:eastAsia="zh-CN"/>
              </w:rPr>
              <w:t>设计</w:t>
            </w:r>
          </w:p>
        </w:tc>
        <w:tc>
          <w:tcPr>
            <w:tcW w:w="992" w:type="dxa"/>
            <w:vAlign w:val="center"/>
          </w:tcPr>
          <w:p>
            <w:pPr>
              <w:pStyle w:val="25"/>
              <w:jc w:val="center"/>
              <w:rPr>
                <w:sz w:val="21"/>
                <w:szCs w:val="21"/>
              </w:rPr>
            </w:pPr>
          </w:p>
        </w:tc>
        <w:tc>
          <w:tcPr>
            <w:tcW w:w="992" w:type="dxa"/>
            <w:vAlign w:val="center"/>
          </w:tcPr>
          <w:p>
            <w:pPr>
              <w:pStyle w:val="25"/>
              <w:ind w:left="8" w:firstLine="488"/>
              <w:rPr>
                <w:sz w:val="21"/>
                <w:szCs w:val="21"/>
              </w:rPr>
            </w:pPr>
            <w:r>
              <w:rPr>
                <w:color w:val="2D2D2F"/>
                <w:w w:val="108"/>
                <w:sz w:val="21"/>
                <w:szCs w:val="21"/>
              </w:rPr>
              <w:sym w:font="Wingdings 2" w:char="F050"/>
            </w:r>
          </w:p>
        </w:tc>
        <w:tc>
          <w:tcPr>
            <w:tcW w:w="993" w:type="dxa"/>
            <w:vAlign w:val="center"/>
          </w:tcPr>
          <w:p>
            <w:pPr>
              <w:pStyle w:val="25"/>
              <w:ind w:left="18" w:firstLine="488"/>
              <w:rPr>
                <w:sz w:val="21"/>
                <w:szCs w:val="21"/>
              </w:rPr>
            </w:pPr>
            <w:r>
              <w:rPr>
                <w:color w:val="2D2D2F"/>
                <w:w w:val="108"/>
                <w:sz w:val="21"/>
                <w:szCs w:val="21"/>
              </w:rPr>
              <w:sym w:font="Wingdings 2" w:char="F050"/>
            </w:r>
          </w:p>
        </w:tc>
        <w:tc>
          <w:tcPr>
            <w:tcW w:w="1134" w:type="dxa"/>
            <w:vAlign w:val="center"/>
          </w:tcPr>
          <w:p>
            <w:pPr>
              <w:pStyle w:val="25"/>
              <w:jc w:val="center"/>
              <w:rPr>
                <w:sz w:val="21"/>
                <w:szCs w:val="21"/>
              </w:rPr>
            </w:pPr>
            <w:r>
              <w:rPr>
                <w:color w:val="2D2D2F"/>
                <w:w w:val="108"/>
                <w:sz w:val="21"/>
                <w:szCs w:val="21"/>
              </w:rPr>
              <w:sym w:font="Wingdings 2" w:char="F050"/>
            </w:r>
          </w:p>
        </w:tc>
        <w:tc>
          <w:tcPr>
            <w:tcW w:w="1134" w:type="dxa"/>
            <w:vAlign w:val="center"/>
          </w:tcPr>
          <w:p>
            <w:pPr>
              <w:pStyle w:val="25"/>
              <w:spacing w:before="12"/>
              <w:jc w:val="center"/>
              <w:rPr>
                <w:sz w:val="21"/>
                <w:szCs w:val="21"/>
              </w:rPr>
            </w:pPr>
            <w:r>
              <w:rPr>
                <w:color w:val="2D2D2F"/>
                <w:w w:val="108"/>
                <w:sz w:val="21"/>
                <w:szCs w:val="21"/>
              </w:rPr>
              <w:sym w:font="Wingdings 2" w:char="F050"/>
            </w:r>
          </w:p>
        </w:tc>
        <w:tc>
          <w:tcPr>
            <w:tcW w:w="2562" w:type="dxa"/>
            <w:vAlign w:val="center"/>
          </w:tcPr>
          <w:p>
            <w:pPr>
              <w:pStyle w:val="25"/>
              <w:rPr>
                <w:color w:val="2D2D2F"/>
                <w:w w:val="105"/>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72" w:hRule="atLeast"/>
          <w:jc w:val="center"/>
        </w:trPr>
        <w:tc>
          <w:tcPr>
            <w:tcW w:w="1980" w:type="dxa"/>
          </w:tcPr>
          <w:p>
            <w:pPr>
              <w:pStyle w:val="25"/>
              <w:spacing w:before="5" w:line="380" w:lineRule="atLeast"/>
              <w:ind w:right="121"/>
              <w:jc w:val="center"/>
              <w:rPr>
                <w:color w:val="2D2D2F"/>
                <w:w w:val="105"/>
                <w:sz w:val="21"/>
                <w:szCs w:val="21"/>
                <w:lang w:eastAsia="zh-CN"/>
              </w:rPr>
            </w:pPr>
            <w:r>
              <w:rPr>
                <w:color w:val="2D2D2F"/>
                <w:w w:val="105"/>
                <w:sz w:val="21"/>
                <w:szCs w:val="21"/>
                <w:lang w:eastAsia="zh-CN"/>
              </w:rPr>
              <w:t>泛光照明设计</w:t>
            </w:r>
          </w:p>
        </w:tc>
        <w:tc>
          <w:tcPr>
            <w:tcW w:w="992" w:type="dxa"/>
            <w:vAlign w:val="center"/>
          </w:tcPr>
          <w:p>
            <w:pPr>
              <w:pStyle w:val="25"/>
              <w:jc w:val="center"/>
              <w:rPr>
                <w:sz w:val="21"/>
                <w:szCs w:val="21"/>
              </w:rPr>
            </w:pPr>
            <w:r>
              <w:rPr>
                <w:color w:val="2D2D2F"/>
                <w:w w:val="108"/>
                <w:sz w:val="21"/>
                <w:szCs w:val="21"/>
              </w:rPr>
              <w:sym w:font="Wingdings 2" w:char="F050"/>
            </w:r>
          </w:p>
        </w:tc>
        <w:tc>
          <w:tcPr>
            <w:tcW w:w="992" w:type="dxa"/>
            <w:vAlign w:val="center"/>
          </w:tcPr>
          <w:p>
            <w:pPr>
              <w:pStyle w:val="25"/>
              <w:ind w:left="8" w:firstLine="488"/>
              <w:rPr>
                <w:sz w:val="21"/>
                <w:szCs w:val="21"/>
              </w:rPr>
            </w:pPr>
            <w:r>
              <w:rPr>
                <w:color w:val="2D2D2F"/>
                <w:w w:val="108"/>
                <w:sz w:val="21"/>
                <w:szCs w:val="21"/>
              </w:rPr>
              <w:sym w:font="Wingdings 2" w:char="F050"/>
            </w:r>
          </w:p>
        </w:tc>
        <w:tc>
          <w:tcPr>
            <w:tcW w:w="993" w:type="dxa"/>
            <w:vAlign w:val="center"/>
          </w:tcPr>
          <w:p>
            <w:pPr>
              <w:pStyle w:val="25"/>
              <w:ind w:left="18" w:firstLine="488"/>
              <w:rPr>
                <w:sz w:val="21"/>
                <w:szCs w:val="21"/>
              </w:rPr>
            </w:pPr>
            <w:r>
              <w:rPr>
                <w:color w:val="2D2D2F"/>
                <w:w w:val="108"/>
                <w:sz w:val="21"/>
                <w:szCs w:val="21"/>
              </w:rPr>
              <w:sym w:font="Wingdings 2" w:char="F050"/>
            </w:r>
          </w:p>
        </w:tc>
        <w:tc>
          <w:tcPr>
            <w:tcW w:w="1134" w:type="dxa"/>
            <w:vAlign w:val="center"/>
          </w:tcPr>
          <w:p>
            <w:pPr>
              <w:pStyle w:val="25"/>
              <w:jc w:val="center"/>
              <w:rPr>
                <w:sz w:val="21"/>
                <w:szCs w:val="21"/>
              </w:rPr>
            </w:pPr>
            <w:r>
              <w:rPr>
                <w:color w:val="2D2D2F"/>
                <w:w w:val="108"/>
                <w:sz w:val="21"/>
                <w:szCs w:val="21"/>
              </w:rPr>
              <w:sym w:font="Wingdings 2" w:char="F050"/>
            </w:r>
          </w:p>
        </w:tc>
        <w:tc>
          <w:tcPr>
            <w:tcW w:w="1134" w:type="dxa"/>
            <w:vAlign w:val="center"/>
          </w:tcPr>
          <w:p>
            <w:pPr>
              <w:pStyle w:val="25"/>
              <w:spacing w:before="12"/>
              <w:jc w:val="center"/>
              <w:rPr>
                <w:sz w:val="21"/>
                <w:szCs w:val="21"/>
              </w:rPr>
            </w:pPr>
            <w:r>
              <w:rPr>
                <w:color w:val="2D2D2F"/>
                <w:w w:val="108"/>
                <w:sz w:val="21"/>
                <w:szCs w:val="21"/>
              </w:rPr>
              <w:sym w:font="Wingdings 2" w:char="F050"/>
            </w:r>
          </w:p>
        </w:tc>
        <w:tc>
          <w:tcPr>
            <w:tcW w:w="2562" w:type="dxa"/>
            <w:vAlign w:val="center"/>
          </w:tcPr>
          <w:p>
            <w:pPr>
              <w:pStyle w:val="25"/>
              <w:rPr>
                <w:color w:val="2D2D2F"/>
                <w:w w:val="105"/>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72" w:hRule="atLeast"/>
          <w:jc w:val="center"/>
        </w:trPr>
        <w:tc>
          <w:tcPr>
            <w:tcW w:w="1980" w:type="dxa"/>
          </w:tcPr>
          <w:p>
            <w:pPr>
              <w:pStyle w:val="25"/>
              <w:spacing w:before="5" w:line="380" w:lineRule="atLeast"/>
              <w:ind w:right="121"/>
              <w:jc w:val="center"/>
              <w:rPr>
                <w:color w:val="2D2D2F"/>
                <w:w w:val="105"/>
                <w:sz w:val="21"/>
                <w:szCs w:val="21"/>
                <w:lang w:eastAsia="zh-CN"/>
              </w:rPr>
            </w:pPr>
            <w:r>
              <w:rPr>
                <w:rFonts w:hint="eastAsia"/>
                <w:color w:val="2D2D2F"/>
                <w:w w:val="105"/>
                <w:sz w:val="21"/>
                <w:szCs w:val="21"/>
                <w:lang w:eastAsia="zh-CN"/>
              </w:rPr>
              <w:t>其他配套专业（包括油烟处理工程、太阳能热水系统、雨水收集系统、发电机组、燃气工程）工程设计</w:t>
            </w:r>
          </w:p>
        </w:tc>
        <w:tc>
          <w:tcPr>
            <w:tcW w:w="992" w:type="dxa"/>
            <w:vAlign w:val="center"/>
          </w:tcPr>
          <w:p>
            <w:pPr>
              <w:pStyle w:val="25"/>
              <w:jc w:val="center"/>
              <w:rPr>
                <w:sz w:val="21"/>
                <w:szCs w:val="21"/>
              </w:rPr>
            </w:pPr>
            <w:r>
              <w:rPr>
                <w:color w:val="2D2D2F"/>
                <w:w w:val="108"/>
                <w:sz w:val="21"/>
                <w:szCs w:val="21"/>
              </w:rPr>
              <w:sym w:font="Wingdings 2" w:char="F050"/>
            </w:r>
          </w:p>
        </w:tc>
        <w:tc>
          <w:tcPr>
            <w:tcW w:w="992" w:type="dxa"/>
            <w:vAlign w:val="center"/>
          </w:tcPr>
          <w:p>
            <w:pPr>
              <w:pStyle w:val="25"/>
              <w:ind w:left="8" w:firstLine="488"/>
              <w:rPr>
                <w:sz w:val="21"/>
                <w:szCs w:val="21"/>
              </w:rPr>
            </w:pPr>
            <w:r>
              <w:rPr>
                <w:color w:val="2D2D2F"/>
                <w:w w:val="108"/>
                <w:sz w:val="21"/>
                <w:szCs w:val="21"/>
              </w:rPr>
              <w:sym w:font="Wingdings 2" w:char="F050"/>
            </w:r>
          </w:p>
        </w:tc>
        <w:tc>
          <w:tcPr>
            <w:tcW w:w="993" w:type="dxa"/>
            <w:vAlign w:val="center"/>
          </w:tcPr>
          <w:p>
            <w:pPr>
              <w:pStyle w:val="25"/>
              <w:ind w:left="18" w:firstLine="488"/>
              <w:rPr>
                <w:sz w:val="21"/>
                <w:szCs w:val="21"/>
              </w:rPr>
            </w:pPr>
            <w:r>
              <w:rPr>
                <w:color w:val="2D2D2F"/>
                <w:w w:val="108"/>
                <w:sz w:val="21"/>
                <w:szCs w:val="21"/>
              </w:rPr>
              <w:sym w:font="Wingdings 2" w:char="F050"/>
            </w:r>
          </w:p>
        </w:tc>
        <w:tc>
          <w:tcPr>
            <w:tcW w:w="1134" w:type="dxa"/>
            <w:vAlign w:val="center"/>
          </w:tcPr>
          <w:p>
            <w:pPr>
              <w:pStyle w:val="25"/>
              <w:jc w:val="center"/>
              <w:rPr>
                <w:sz w:val="21"/>
                <w:szCs w:val="21"/>
              </w:rPr>
            </w:pPr>
            <w:r>
              <w:rPr>
                <w:color w:val="2D2D2F"/>
                <w:w w:val="108"/>
                <w:sz w:val="21"/>
                <w:szCs w:val="21"/>
              </w:rPr>
              <w:sym w:font="Wingdings 2" w:char="F050"/>
            </w:r>
          </w:p>
        </w:tc>
        <w:tc>
          <w:tcPr>
            <w:tcW w:w="1134" w:type="dxa"/>
            <w:vAlign w:val="center"/>
          </w:tcPr>
          <w:p>
            <w:pPr>
              <w:pStyle w:val="25"/>
              <w:spacing w:before="12"/>
              <w:jc w:val="center"/>
              <w:rPr>
                <w:sz w:val="21"/>
                <w:szCs w:val="21"/>
              </w:rPr>
            </w:pPr>
            <w:r>
              <w:rPr>
                <w:color w:val="2D2D2F"/>
                <w:w w:val="108"/>
                <w:sz w:val="21"/>
                <w:szCs w:val="21"/>
              </w:rPr>
              <w:sym w:font="Wingdings 2" w:char="F050"/>
            </w:r>
          </w:p>
        </w:tc>
        <w:tc>
          <w:tcPr>
            <w:tcW w:w="2562" w:type="dxa"/>
            <w:vAlign w:val="center"/>
          </w:tcPr>
          <w:p>
            <w:pPr>
              <w:pStyle w:val="25"/>
              <w:rPr>
                <w:color w:val="2D2D2F"/>
                <w:w w:val="105"/>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72" w:hRule="atLeast"/>
          <w:jc w:val="center"/>
        </w:trPr>
        <w:tc>
          <w:tcPr>
            <w:tcW w:w="1980" w:type="dxa"/>
          </w:tcPr>
          <w:p>
            <w:pPr>
              <w:pStyle w:val="25"/>
              <w:spacing w:before="5" w:line="380" w:lineRule="atLeast"/>
              <w:ind w:right="121"/>
              <w:jc w:val="center"/>
              <w:rPr>
                <w:color w:val="2D2D2F"/>
                <w:w w:val="105"/>
                <w:sz w:val="21"/>
                <w:szCs w:val="21"/>
                <w:lang w:eastAsia="zh-CN"/>
              </w:rPr>
            </w:pPr>
            <w:r>
              <w:rPr>
                <w:rFonts w:hint="eastAsia"/>
                <w:color w:val="2D2D2F"/>
                <w:w w:val="105"/>
                <w:sz w:val="21"/>
                <w:szCs w:val="21"/>
                <w:lang w:eastAsia="zh-CN"/>
              </w:rPr>
              <w:t>红线范围外保证建筑物正常使用的必要的其他专业（包括；外接供水排水管、高低压配电等）工程设计</w:t>
            </w:r>
          </w:p>
        </w:tc>
        <w:tc>
          <w:tcPr>
            <w:tcW w:w="992" w:type="dxa"/>
            <w:vAlign w:val="center"/>
          </w:tcPr>
          <w:p>
            <w:pPr>
              <w:pStyle w:val="25"/>
              <w:jc w:val="center"/>
              <w:rPr>
                <w:sz w:val="21"/>
                <w:szCs w:val="21"/>
              </w:rPr>
            </w:pPr>
            <w:r>
              <w:rPr>
                <w:color w:val="2D2D2F"/>
                <w:w w:val="108"/>
                <w:sz w:val="21"/>
                <w:szCs w:val="21"/>
              </w:rPr>
              <w:sym w:font="Wingdings 2" w:char="F050"/>
            </w:r>
          </w:p>
        </w:tc>
        <w:tc>
          <w:tcPr>
            <w:tcW w:w="992" w:type="dxa"/>
            <w:vAlign w:val="center"/>
          </w:tcPr>
          <w:p>
            <w:pPr>
              <w:pStyle w:val="25"/>
              <w:ind w:left="8" w:firstLine="488"/>
              <w:rPr>
                <w:sz w:val="21"/>
                <w:szCs w:val="21"/>
              </w:rPr>
            </w:pPr>
            <w:r>
              <w:rPr>
                <w:color w:val="2D2D2F"/>
                <w:w w:val="108"/>
                <w:sz w:val="21"/>
                <w:szCs w:val="21"/>
              </w:rPr>
              <w:sym w:font="Wingdings 2" w:char="F050"/>
            </w:r>
          </w:p>
        </w:tc>
        <w:tc>
          <w:tcPr>
            <w:tcW w:w="993" w:type="dxa"/>
            <w:vAlign w:val="center"/>
          </w:tcPr>
          <w:p>
            <w:pPr>
              <w:pStyle w:val="25"/>
              <w:ind w:left="18" w:firstLine="488"/>
              <w:rPr>
                <w:sz w:val="21"/>
                <w:szCs w:val="21"/>
              </w:rPr>
            </w:pPr>
            <w:r>
              <w:rPr>
                <w:color w:val="2D2D2F"/>
                <w:w w:val="108"/>
                <w:sz w:val="21"/>
                <w:szCs w:val="21"/>
              </w:rPr>
              <w:sym w:font="Wingdings 2" w:char="F050"/>
            </w:r>
          </w:p>
        </w:tc>
        <w:tc>
          <w:tcPr>
            <w:tcW w:w="1134" w:type="dxa"/>
            <w:vAlign w:val="center"/>
          </w:tcPr>
          <w:p>
            <w:pPr>
              <w:pStyle w:val="25"/>
              <w:jc w:val="center"/>
              <w:rPr>
                <w:sz w:val="21"/>
                <w:szCs w:val="21"/>
              </w:rPr>
            </w:pPr>
            <w:r>
              <w:rPr>
                <w:color w:val="2D2D2F"/>
                <w:w w:val="108"/>
                <w:sz w:val="21"/>
                <w:szCs w:val="21"/>
              </w:rPr>
              <w:sym w:font="Wingdings 2" w:char="F050"/>
            </w:r>
          </w:p>
        </w:tc>
        <w:tc>
          <w:tcPr>
            <w:tcW w:w="1134" w:type="dxa"/>
            <w:vAlign w:val="center"/>
          </w:tcPr>
          <w:p>
            <w:pPr>
              <w:pStyle w:val="25"/>
              <w:spacing w:before="12"/>
              <w:jc w:val="center"/>
              <w:rPr>
                <w:sz w:val="21"/>
                <w:szCs w:val="21"/>
              </w:rPr>
            </w:pPr>
            <w:r>
              <w:rPr>
                <w:color w:val="2D2D2F"/>
                <w:w w:val="108"/>
                <w:sz w:val="21"/>
                <w:szCs w:val="21"/>
              </w:rPr>
              <w:sym w:font="Wingdings 2" w:char="F050"/>
            </w:r>
          </w:p>
        </w:tc>
        <w:tc>
          <w:tcPr>
            <w:tcW w:w="2562" w:type="dxa"/>
            <w:vAlign w:val="center"/>
          </w:tcPr>
          <w:p>
            <w:pPr>
              <w:pStyle w:val="25"/>
              <w:rPr>
                <w:color w:val="2D2D2F"/>
                <w:w w:val="105"/>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72" w:hRule="atLeast"/>
          <w:jc w:val="center"/>
        </w:trPr>
        <w:tc>
          <w:tcPr>
            <w:tcW w:w="1980" w:type="dxa"/>
          </w:tcPr>
          <w:p>
            <w:pPr>
              <w:pStyle w:val="25"/>
              <w:spacing w:before="5" w:line="380" w:lineRule="atLeast"/>
              <w:ind w:right="121"/>
              <w:jc w:val="center"/>
              <w:rPr>
                <w:color w:val="2D2D2F"/>
                <w:w w:val="105"/>
                <w:sz w:val="21"/>
                <w:szCs w:val="21"/>
                <w:lang w:eastAsia="zh-CN"/>
              </w:rPr>
            </w:pPr>
            <w:r>
              <w:rPr>
                <w:rFonts w:hint="eastAsia"/>
                <w:color w:val="2D2D2F"/>
                <w:w w:val="105"/>
                <w:sz w:val="21"/>
                <w:szCs w:val="21"/>
                <w:lang w:eastAsia="zh-CN"/>
              </w:rPr>
              <w:t>燃气、海绵城市等专业深化设计</w:t>
            </w:r>
          </w:p>
        </w:tc>
        <w:tc>
          <w:tcPr>
            <w:tcW w:w="992" w:type="dxa"/>
            <w:vAlign w:val="center"/>
          </w:tcPr>
          <w:p>
            <w:pPr>
              <w:pStyle w:val="25"/>
              <w:jc w:val="center"/>
              <w:rPr>
                <w:sz w:val="21"/>
                <w:szCs w:val="21"/>
              </w:rPr>
            </w:pPr>
            <w:r>
              <w:rPr>
                <w:color w:val="2D2D2F"/>
                <w:w w:val="108"/>
                <w:sz w:val="21"/>
                <w:szCs w:val="21"/>
              </w:rPr>
              <w:sym w:font="Wingdings 2" w:char="F050"/>
            </w:r>
          </w:p>
        </w:tc>
        <w:tc>
          <w:tcPr>
            <w:tcW w:w="992" w:type="dxa"/>
            <w:vAlign w:val="center"/>
          </w:tcPr>
          <w:p>
            <w:pPr>
              <w:pStyle w:val="25"/>
              <w:ind w:left="8" w:firstLine="488"/>
              <w:rPr>
                <w:sz w:val="21"/>
                <w:szCs w:val="21"/>
              </w:rPr>
            </w:pPr>
            <w:r>
              <w:rPr>
                <w:color w:val="2D2D2F"/>
                <w:w w:val="108"/>
                <w:sz w:val="21"/>
                <w:szCs w:val="21"/>
              </w:rPr>
              <w:sym w:font="Wingdings 2" w:char="F050"/>
            </w:r>
          </w:p>
        </w:tc>
        <w:tc>
          <w:tcPr>
            <w:tcW w:w="993" w:type="dxa"/>
            <w:vAlign w:val="center"/>
          </w:tcPr>
          <w:p>
            <w:pPr>
              <w:pStyle w:val="25"/>
              <w:ind w:left="18" w:firstLine="488"/>
              <w:rPr>
                <w:sz w:val="21"/>
                <w:szCs w:val="21"/>
              </w:rPr>
            </w:pPr>
            <w:r>
              <w:rPr>
                <w:color w:val="2D2D2F"/>
                <w:w w:val="108"/>
                <w:sz w:val="21"/>
                <w:szCs w:val="21"/>
              </w:rPr>
              <w:sym w:font="Wingdings 2" w:char="F050"/>
            </w:r>
          </w:p>
        </w:tc>
        <w:tc>
          <w:tcPr>
            <w:tcW w:w="1134" w:type="dxa"/>
            <w:vAlign w:val="center"/>
          </w:tcPr>
          <w:p>
            <w:pPr>
              <w:pStyle w:val="25"/>
              <w:jc w:val="center"/>
              <w:rPr>
                <w:sz w:val="21"/>
                <w:szCs w:val="21"/>
              </w:rPr>
            </w:pPr>
            <w:r>
              <w:rPr>
                <w:color w:val="2D2D2F"/>
                <w:w w:val="108"/>
                <w:sz w:val="21"/>
                <w:szCs w:val="21"/>
              </w:rPr>
              <w:sym w:font="Wingdings 2" w:char="F050"/>
            </w:r>
          </w:p>
        </w:tc>
        <w:tc>
          <w:tcPr>
            <w:tcW w:w="1134" w:type="dxa"/>
            <w:vAlign w:val="center"/>
          </w:tcPr>
          <w:p>
            <w:pPr>
              <w:pStyle w:val="25"/>
              <w:spacing w:before="12"/>
              <w:jc w:val="center"/>
              <w:rPr>
                <w:sz w:val="21"/>
                <w:szCs w:val="21"/>
              </w:rPr>
            </w:pPr>
            <w:r>
              <w:rPr>
                <w:color w:val="2D2D2F"/>
                <w:w w:val="108"/>
                <w:sz w:val="21"/>
                <w:szCs w:val="21"/>
              </w:rPr>
              <w:sym w:font="Wingdings 2" w:char="F050"/>
            </w:r>
          </w:p>
        </w:tc>
        <w:tc>
          <w:tcPr>
            <w:tcW w:w="2562" w:type="dxa"/>
            <w:vAlign w:val="center"/>
          </w:tcPr>
          <w:p>
            <w:pPr>
              <w:pStyle w:val="25"/>
              <w:rPr>
                <w:color w:val="2D2D2F"/>
                <w:w w:val="105"/>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72" w:hRule="atLeast"/>
          <w:jc w:val="center"/>
        </w:trPr>
        <w:tc>
          <w:tcPr>
            <w:tcW w:w="1980" w:type="dxa"/>
            <w:vAlign w:val="center"/>
          </w:tcPr>
          <w:p>
            <w:pPr>
              <w:pStyle w:val="25"/>
              <w:spacing w:before="5" w:line="380" w:lineRule="atLeast"/>
              <w:ind w:right="121"/>
              <w:jc w:val="center"/>
              <w:rPr>
                <w:color w:val="2D2D2F"/>
                <w:w w:val="105"/>
                <w:sz w:val="21"/>
                <w:szCs w:val="21"/>
                <w:lang w:eastAsia="zh-CN"/>
              </w:rPr>
            </w:pPr>
            <w:r>
              <w:rPr>
                <w:rFonts w:hint="eastAsia"/>
                <w:color w:val="2D2D2F"/>
                <w:w w:val="105"/>
                <w:sz w:val="21"/>
                <w:szCs w:val="21"/>
                <w:lang w:eastAsia="zh-CN"/>
              </w:rPr>
              <w:t>BIM设计</w:t>
            </w:r>
          </w:p>
        </w:tc>
        <w:tc>
          <w:tcPr>
            <w:tcW w:w="992" w:type="dxa"/>
            <w:vAlign w:val="center"/>
          </w:tcPr>
          <w:p>
            <w:pPr>
              <w:pStyle w:val="25"/>
              <w:jc w:val="center"/>
              <w:rPr>
                <w:sz w:val="21"/>
                <w:szCs w:val="21"/>
              </w:rPr>
            </w:pPr>
            <w:r>
              <w:rPr>
                <w:color w:val="2D2D2F"/>
                <w:w w:val="108"/>
                <w:sz w:val="21"/>
                <w:szCs w:val="21"/>
              </w:rPr>
              <w:sym w:font="Wingdings 2" w:char="F050"/>
            </w:r>
          </w:p>
        </w:tc>
        <w:tc>
          <w:tcPr>
            <w:tcW w:w="992" w:type="dxa"/>
            <w:vAlign w:val="center"/>
          </w:tcPr>
          <w:p>
            <w:pPr>
              <w:pStyle w:val="25"/>
              <w:ind w:left="8" w:firstLine="488"/>
              <w:jc w:val="center"/>
              <w:rPr>
                <w:sz w:val="21"/>
                <w:szCs w:val="21"/>
              </w:rPr>
            </w:pPr>
            <w:r>
              <w:rPr>
                <w:color w:val="2D2D2F"/>
                <w:w w:val="108"/>
                <w:sz w:val="21"/>
                <w:szCs w:val="21"/>
              </w:rPr>
              <w:sym w:font="Wingdings 2" w:char="F050"/>
            </w:r>
          </w:p>
        </w:tc>
        <w:tc>
          <w:tcPr>
            <w:tcW w:w="993" w:type="dxa"/>
            <w:vAlign w:val="center"/>
          </w:tcPr>
          <w:p>
            <w:pPr>
              <w:pStyle w:val="25"/>
              <w:ind w:left="18" w:firstLine="488"/>
              <w:jc w:val="center"/>
              <w:rPr>
                <w:sz w:val="21"/>
                <w:szCs w:val="21"/>
              </w:rPr>
            </w:pPr>
            <w:r>
              <w:rPr>
                <w:color w:val="2D2D2F"/>
                <w:w w:val="108"/>
                <w:sz w:val="21"/>
                <w:szCs w:val="21"/>
              </w:rPr>
              <w:sym w:font="Wingdings 2" w:char="F050"/>
            </w:r>
          </w:p>
        </w:tc>
        <w:tc>
          <w:tcPr>
            <w:tcW w:w="1134" w:type="dxa"/>
            <w:vAlign w:val="center"/>
          </w:tcPr>
          <w:p>
            <w:pPr>
              <w:pStyle w:val="25"/>
              <w:jc w:val="center"/>
              <w:rPr>
                <w:sz w:val="21"/>
                <w:szCs w:val="21"/>
              </w:rPr>
            </w:pPr>
            <w:r>
              <w:rPr>
                <w:color w:val="2D2D2F"/>
                <w:w w:val="108"/>
                <w:sz w:val="21"/>
                <w:szCs w:val="21"/>
              </w:rPr>
              <w:sym w:font="Wingdings 2" w:char="F050"/>
            </w:r>
          </w:p>
        </w:tc>
        <w:tc>
          <w:tcPr>
            <w:tcW w:w="1134" w:type="dxa"/>
            <w:vAlign w:val="center"/>
          </w:tcPr>
          <w:p>
            <w:pPr>
              <w:pStyle w:val="25"/>
              <w:spacing w:before="12"/>
              <w:jc w:val="center"/>
              <w:rPr>
                <w:sz w:val="21"/>
                <w:szCs w:val="21"/>
              </w:rPr>
            </w:pPr>
            <w:r>
              <w:rPr>
                <w:color w:val="2D2D2F"/>
                <w:w w:val="108"/>
                <w:sz w:val="21"/>
                <w:szCs w:val="21"/>
              </w:rPr>
              <w:sym w:font="Wingdings 2" w:char="F050"/>
            </w:r>
          </w:p>
        </w:tc>
        <w:tc>
          <w:tcPr>
            <w:tcW w:w="2562" w:type="dxa"/>
            <w:vAlign w:val="center"/>
          </w:tcPr>
          <w:p>
            <w:pPr>
              <w:pStyle w:val="25"/>
              <w:jc w:val="center"/>
              <w:rPr>
                <w:color w:val="2D2D2F"/>
                <w:w w:val="105"/>
                <w:sz w:val="21"/>
                <w:szCs w:val="21"/>
                <w:lang w:eastAsia="zh-CN"/>
              </w:rPr>
            </w:pPr>
          </w:p>
        </w:tc>
      </w:tr>
    </w:tbl>
    <w:p>
      <w:pPr>
        <w:pStyle w:val="7"/>
        <w:spacing w:before="2"/>
        <w:rPr>
          <w:sz w:val="21"/>
          <w:szCs w:val="21"/>
          <w:lang w:eastAsia="zh-CN"/>
        </w:rPr>
      </w:pPr>
    </w:p>
    <w:p>
      <w:pPr>
        <w:pStyle w:val="25"/>
        <w:spacing w:before="5" w:line="380" w:lineRule="atLeast"/>
        <w:ind w:right="121"/>
        <w:rPr>
          <w:color w:val="2D2D2F"/>
          <w:w w:val="105"/>
          <w:sz w:val="21"/>
          <w:szCs w:val="21"/>
          <w:lang w:eastAsia="zh-CN"/>
        </w:rPr>
      </w:pPr>
      <w:r>
        <w:rPr>
          <w:rFonts w:hint="eastAsia"/>
          <w:color w:val="2D2D2F"/>
          <w:w w:val="105"/>
          <w:sz w:val="21"/>
          <w:szCs w:val="21"/>
          <w:lang w:eastAsia="zh-CN"/>
        </w:rPr>
        <w:t>注：</w:t>
      </w:r>
    </w:p>
    <w:p>
      <w:pPr>
        <w:pStyle w:val="25"/>
        <w:spacing w:before="5" w:line="380" w:lineRule="atLeast"/>
        <w:ind w:right="121"/>
        <w:rPr>
          <w:color w:val="2D2D2F"/>
          <w:w w:val="105"/>
          <w:sz w:val="21"/>
          <w:szCs w:val="21"/>
          <w:lang w:eastAsia="zh-CN"/>
        </w:rPr>
      </w:pPr>
      <w:r>
        <w:rPr>
          <w:rFonts w:hint="eastAsia"/>
          <w:color w:val="2D2D2F"/>
          <w:w w:val="105"/>
          <w:sz w:val="21"/>
          <w:szCs w:val="21"/>
          <w:lang w:eastAsia="zh-CN"/>
        </w:rPr>
        <w:t>l 、 以上所有专业的设计均应满足国家和各行业规范， 地方法规、各行政主管部门的要求和意见。必要时，根据发包人或主管部门要求，各阶段图纸应送相关主管部门审核并取得盖章确认。提供各专业设计计算书。</w:t>
      </w:r>
    </w:p>
    <w:p>
      <w:pPr>
        <w:pStyle w:val="25"/>
        <w:spacing w:before="5" w:line="380" w:lineRule="atLeast"/>
        <w:ind w:right="121"/>
        <w:rPr>
          <w:color w:val="2D2D2F"/>
          <w:w w:val="105"/>
          <w:sz w:val="21"/>
          <w:szCs w:val="21"/>
          <w:lang w:eastAsia="zh-CN"/>
        </w:rPr>
      </w:pPr>
      <w:r>
        <w:rPr>
          <w:rFonts w:hint="eastAsia"/>
          <w:color w:val="2D2D2F"/>
          <w:w w:val="105"/>
          <w:sz w:val="21"/>
          <w:szCs w:val="21"/>
          <w:lang w:eastAsia="zh-CN"/>
        </w:rPr>
        <w:t>2、精装修设计应根据装修方案完成二次机电各专业设计图纸、隔墙位置等的调整等，并对一次机电、土建隔墙等设计文件进行修正、完善、办 理相应设计变更、指导施工（包括且不限于：设备数量及参数的调整、一二次机电接驳位置及尺寸、机电管线路由调整、地上地下砌筑位置及尺寸调整）完成相应修改。</w:t>
      </w:r>
    </w:p>
    <w:p>
      <w:pPr>
        <w:pStyle w:val="25"/>
        <w:spacing w:before="5" w:line="380" w:lineRule="atLeast"/>
        <w:ind w:right="121"/>
        <w:rPr>
          <w:color w:val="2D2D2F"/>
          <w:w w:val="105"/>
          <w:sz w:val="21"/>
          <w:szCs w:val="21"/>
          <w:lang w:eastAsia="zh-CN"/>
        </w:rPr>
      </w:pPr>
      <w:r>
        <w:rPr>
          <w:rFonts w:hint="eastAsia"/>
          <w:color w:val="2D2D2F"/>
          <w:w w:val="105"/>
          <w:sz w:val="21"/>
          <w:szCs w:val="21"/>
          <w:lang w:eastAsia="zh-CN"/>
        </w:rPr>
        <w:t>3、乙方还应提供与上述设计工作相关的报批和报建配合、施工配合及竣工验收及归档配合等配合性工作（含资料提供及签字、签章），以及与本项目其他专项设计的配合与协调工作（包含由此引起的图纸修改）。</w:t>
      </w:r>
    </w:p>
    <w:p>
      <w:pPr>
        <w:pStyle w:val="25"/>
        <w:spacing w:before="5" w:line="380" w:lineRule="atLeast"/>
        <w:ind w:right="121"/>
        <w:rPr>
          <w:color w:val="2D2D2F"/>
          <w:w w:val="105"/>
          <w:sz w:val="21"/>
          <w:szCs w:val="21"/>
          <w:lang w:eastAsia="zh-CN"/>
        </w:rPr>
      </w:pPr>
    </w:p>
    <w:p>
      <w:pPr>
        <w:pStyle w:val="13"/>
        <w:ind w:firstLine="562"/>
        <w:rPr>
          <w:rFonts w:ascii="宋体" w:hAnsi="宋体" w:eastAsia="宋体"/>
          <w:sz w:val="28"/>
          <w:szCs w:val="21"/>
        </w:rPr>
      </w:pPr>
      <w:bookmarkStart w:id="13" w:name="_Toc121692788"/>
      <w:r>
        <w:rPr>
          <w:rFonts w:hint="eastAsia" w:ascii="宋体" w:hAnsi="宋体" w:eastAsia="宋体"/>
          <w:sz w:val="28"/>
          <w:szCs w:val="21"/>
        </w:rPr>
        <w:t>第四章</w:t>
      </w:r>
      <w:r>
        <w:rPr>
          <w:rFonts w:ascii="宋体" w:hAnsi="宋体" w:eastAsia="宋体"/>
          <w:sz w:val="28"/>
          <w:szCs w:val="21"/>
        </w:rPr>
        <w:t xml:space="preserve">  </w:t>
      </w:r>
      <w:r>
        <w:rPr>
          <w:rFonts w:hint="eastAsia" w:ascii="宋体" w:hAnsi="宋体" w:eastAsia="宋体"/>
          <w:sz w:val="28"/>
          <w:szCs w:val="21"/>
        </w:rPr>
        <w:t>设计依据</w:t>
      </w:r>
      <w:bookmarkEnd w:id="13"/>
    </w:p>
    <w:p>
      <w:pPr>
        <w:pStyle w:val="25"/>
        <w:spacing w:before="5" w:line="380" w:lineRule="atLeast"/>
        <w:ind w:right="121"/>
        <w:rPr>
          <w:color w:val="2D2D2F"/>
          <w:w w:val="105"/>
          <w:sz w:val="21"/>
          <w:szCs w:val="21"/>
          <w:lang w:eastAsia="zh-CN"/>
        </w:rPr>
      </w:pPr>
    </w:p>
    <w:p>
      <w:pPr>
        <w:pStyle w:val="25"/>
        <w:spacing w:before="5" w:line="380" w:lineRule="atLeast"/>
        <w:ind w:right="121"/>
        <w:rPr>
          <w:color w:val="2D2D2F"/>
          <w:w w:val="105"/>
          <w:sz w:val="21"/>
          <w:szCs w:val="21"/>
          <w:lang w:eastAsia="zh-CN"/>
        </w:rPr>
      </w:pPr>
      <w:r>
        <w:rPr>
          <w:rFonts w:hint="eastAsia"/>
          <w:color w:val="2D2D2F"/>
          <w:w w:val="105"/>
          <w:sz w:val="21"/>
          <w:szCs w:val="21"/>
          <w:lang w:eastAsia="zh-CN"/>
        </w:rPr>
        <w:t>1、  国家与地方现行各种规范、规程、标准图集及强制性条文。政府有关批文（规划主管部门、消防、人防、水、电、煤气、市政等有关部门的意见和要求）及项目各阶段内地方政府的相 应法律法规；</w:t>
      </w:r>
    </w:p>
    <w:p>
      <w:pPr>
        <w:pStyle w:val="25"/>
        <w:spacing w:before="5" w:line="380" w:lineRule="atLeast"/>
        <w:ind w:right="121"/>
        <w:rPr>
          <w:color w:val="2D2D2F"/>
          <w:w w:val="105"/>
          <w:sz w:val="21"/>
          <w:szCs w:val="21"/>
          <w:lang w:eastAsia="zh-CN"/>
        </w:rPr>
      </w:pPr>
      <w:r>
        <w:rPr>
          <w:rFonts w:hint="eastAsia"/>
          <w:color w:val="2D2D2F"/>
          <w:w w:val="105"/>
          <w:sz w:val="21"/>
          <w:szCs w:val="21"/>
          <w:lang w:eastAsia="zh-CN"/>
        </w:rPr>
        <w:t>2、规划主管部门给定的规划设计条件和已批复的详细规划图纸 ；</w:t>
      </w:r>
    </w:p>
    <w:p>
      <w:pPr>
        <w:pStyle w:val="25"/>
        <w:spacing w:before="5" w:line="380" w:lineRule="atLeast"/>
        <w:ind w:right="121"/>
        <w:rPr>
          <w:color w:val="2D2D2F"/>
          <w:w w:val="105"/>
          <w:sz w:val="21"/>
          <w:szCs w:val="21"/>
          <w:lang w:eastAsia="zh-CN"/>
        </w:rPr>
      </w:pPr>
      <w:r>
        <w:rPr>
          <w:rFonts w:hint="eastAsia"/>
          <w:color w:val="2D2D2F"/>
          <w:w w:val="105"/>
          <w:sz w:val="21"/>
          <w:szCs w:val="21"/>
          <w:lang w:eastAsia="zh-CN"/>
        </w:rPr>
        <w:t>3、测绘部门提供的实测地形图和地质水文勘测资料；</w:t>
      </w:r>
    </w:p>
    <w:p>
      <w:pPr>
        <w:pStyle w:val="25"/>
        <w:spacing w:before="5" w:line="380" w:lineRule="atLeast"/>
        <w:ind w:right="121"/>
        <w:rPr>
          <w:color w:val="2D2D2F"/>
          <w:w w:val="105"/>
          <w:sz w:val="21"/>
          <w:szCs w:val="21"/>
          <w:lang w:eastAsia="zh-CN"/>
        </w:rPr>
      </w:pPr>
      <w:r>
        <w:rPr>
          <w:rFonts w:hint="eastAsia"/>
          <w:color w:val="2D2D2F"/>
          <w:w w:val="105"/>
          <w:sz w:val="21"/>
          <w:szCs w:val="21"/>
          <w:lang w:eastAsia="zh-CN"/>
        </w:rPr>
        <w:t>4、项目地块内及周边现状的管网综合外线图 ；</w:t>
      </w:r>
    </w:p>
    <w:p>
      <w:pPr>
        <w:pStyle w:val="25"/>
        <w:spacing w:before="5" w:line="380" w:lineRule="atLeast"/>
        <w:ind w:right="121"/>
        <w:rPr>
          <w:color w:val="2D2D2F"/>
          <w:w w:val="105"/>
          <w:sz w:val="21"/>
          <w:szCs w:val="21"/>
          <w:lang w:eastAsia="zh-CN"/>
        </w:rPr>
      </w:pPr>
      <w:r>
        <w:rPr>
          <w:rFonts w:hint="eastAsia"/>
          <w:color w:val="2D2D2F"/>
          <w:w w:val="105"/>
          <w:sz w:val="21"/>
          <w:szCs w:val="21"/>
          <w:lang w:eastAsia="zh-CN"/>
        </w:rPr>
        <w:t>5、设计任务书；</w:t>
      </w:r>
    </w:p>
    <w:p>
      <w:pPr>
        <w:pStyle w:val="25"/>
        <w:spacing w:before="5" w:line="380" w:lineRule="atLeast"/>
        <w:ind w:right="121"/>
        <w:rPr>
          <w:color w:val="2D2D2F"/>
          <w:w w:val="105"/>
          <w:sz w:val="21"/>
          <w:szCs w:val="21"/>
          <w:lang w:eastAsia="zh-CN"/>
        </w:rPr>
      </w:pPr>
      <w:r>
        <w:rPr>
          <w:rFonts w:hint="eastAsia"/>
          <w:color w:val="2D2D2F"/>
          <w:w w:val="105"/>
          <w:sz w:val="21"/>
          <w:szCs w:val="21"/>
          <w:lang w:eastAsia="zh-CN"/>
        </w:rPr>
        <w:t>6、双方签定的设计合同内所包含的服务性条款及要求（详见设计合同）</w:t>
      </w:r>
      <w:r>
        <w:rPr>
          <w:rFonts w:hint="eastAsia"/>
          <w:color w:val="2D2D2F"/>
          <w:w w:val="105"/>
          <w:sz w:val="21"/>
          <w:szCs w:val="21"/>
          <w:lang w:eastAsia="zh-CN"/>
        </w:rPr>
        <w:tab/>
      </w:r>
      <w:r>
        <w:rPr>
          <w:rFonts w:hint="eastAsia"/>
          <w:color w:val="2D2D2F"/>
          <w:w w:val="105"/>
          <w:sz w:val="21"/>
          <w:szCs w:val="21"/>
          <w:lang w:eastAsia="zh-CN"/>
        </w:rPr>
        <w:t>；</w:t>
      </w:r>
    </w:p>
    <w:p>
      <w:pPr>
        <w:pStyle w:val="25"/>
        <w:spacing w:before="5" w:line="380" w:lineRule="atLeast"/>
        <w:ind w:right="121"/>
        <w:rPr>
          <w:color w:val="2D2D2F"/>
          <w:w w:val="105"/>
          <w:sz w:val="21"/>
          <w:szCs w:val="21"/>
          <w:lang w:eastAsia="zh-CN"/>
        </w:rPr>
      </w:pPr>
      <w:r>
        <w:rPr>
          <w:rFonts w:hint="eastAsia"/>
          <w:color w:val="2D2D2F"/>
          <w:w w:val="105"/>
          <w:sz w:val="21"/>
          <w:szCs w:val="21"/>
          <w:lang w:eastAsia="zh-CN"/>
        </w:rPr>
        <w:t>7、 《中华人民共和国城市规划法》及相关行业规划设计标准；</w:t>
      </w:r>
    </w:p>
    <w:p>
      <w:pPr>
        <w:pStyle w:val="25"/>
        <w:spacing w:before="5" w:line="380" w:lineRule="atLeast"/>
        <w:ind w:right="121"/>
        <w:rPr>
          <w:color w:val="2D2D2F"/>
          <w:w w:val="105"/>
          <w:sz w:val="21"/>
          <w:szCs w:val="21"/>
          <w:lang w:eastAsia="zh-CN"/>
        </w:rPr>
      </w:pPr>
      <w:r>
        <w:rPr>
          <w:rFonts w:hint="eastAsia"/>
          <w:color w:val="2D2D2F"/>
          <w:w w:val="105"/>
          <w:sz w:val="21"/>
          <w:szCs w:val="21"/>
          <w:lang w:eastAsia="zh-CN"/>
        </w:rPr>
        <w:t>8、《民用建筑通用规范》（GB</w:t>
      </w:r>
      <w:r>
        <w:rPr>
          <w:color w:val="2D2D2F"/>
          <w:w w:val="105"/>
          <w:sz w:val="21"/>
          <w:szCs w:val="21"/>
          <w:lang w:eastAsia="zh-CN"/>
        </w:rPr>
        <w:t>55031</w:t>
      </w:r>
      <w:r>
        <w:rPr>
          <w:rFonts w:hint="eastAsia"/>
          <w:color w:val="2D2D2F"/>
          <w:w w:val="105"/>
          <w:sz w:val="21"/>
          <w:szCs w:val="21"/>
          <w:lang w:eastAsia="zh-CN"/>
        </w:rPr>
        <w:t>-</w:t>
      </w:r>
      <w:r>
        <w:rPr>
          <w:color w:val="2D2D2F"/>
          <w:w w:val="105"/>
          <w:sz w:val="21"/>
          <w:szCs w:val="21"/>
          <w:lang w:eastAsia="zh-CN"/>
        </w:rPr>
        <w:t>2022</w:t>
      </w:r>
      <w:r>
        <w:rPr>
          <w:rFonts w:hint="eastAsia"/>
          <w:color w:val="2D2D2F"/>
          <w:w w:val="105"/>
          <w:sz w:val="21"/>
          <w:szCs w:val="21"/>
          <w:lang w:eastAsia="zh-CN"/>
        </w:rPr>
        <w:t>）；</w:t>
      </w:r>
    </w:p>
    <w:p>
      <w:pPr>
        <w:pStyle w:val="25"/>
        <w:spacing w:before="5" w:line="380" w:lineRule="atLeast"/>
        <w:ind w:right="121"/>
        <w:rPr>
          <w:color w:val="2D2D2F"/>
          <w:w w:val="105"/>
          <w:sz w:val="21"/>
          <w:szCs w:val="21"/>
          <w:lang w:eastAsia="zh-CN"/>
        </w:rPr>
      </w:pPr>
      <w:r>
        <w:rPr>
          <w:color w:val="2D2D2F"/>
          <w:w w:val="105"/>
          <w:sz w:val="21"/>
          <w:szCs w:val="21"/>
          <w:lang w:eastAsia="zh-CN"/>
        </w:rPr>
        <w:t>9</w:t>
      </w:r>
      <w:r>
        <w:rPr>
          <w:rFonts w:hint="eastAsia"/>
          <w:color w:val="2D2D2F"/>
          <w:w w:val="105"/>
          <w:sz w:val="21"/>
          <w:szCs w:val="21"/>
          <w:lang w:eastAsia="zh-CN"/>
        </w:rPr>
        <w:t>、《办公建筑设计规范》</w:t>
      </w:r>
      <w:r>
        <w:rPr>
          <w:rFonts w:hint="eastAsia"/>
          <w:color w:val="2D2D2F"/>
          <w:w w:val="105"/>
          <w:sz w:val="21"/>
          <w:szCs w:val="21"/>
          <w:lang w:eastAsia="zh-CN"/>
        </w:rPr>
        <w:tab/>
      </w:r>
      <w:r>
        <w:rPr>
          <w:rFonts w:hint="eastAsia"/>
          <w:color w:val="2D2D2F"/>
          <w:w w:val="105"/>
          <w:sz w:val="21"/>
          <w:szCs w:val="21"/>
          <w:lang w:eastAsia="zh-CN"/>
        </w:rPr>
        <w:t>(JGJ</w:t>
      </w:r>
      <w:r>
        <w:rPr>
          <w:color w:val="2D2D2F"/>
          <w:w w:val="105"/>
          <w:sz w:val="21"/>
          <w:szCs w:val="21"/>
          <w:lang w:eastAsia="zh-CN"/>
        </w:rPr>
        <w:t>/</w:t>
      </w:r>
      <w:r>
        <w:rPr>
          <w:rFonts w:hint="eastAsia"/>
          <w:color w:val="2D2D2F"/>
          <w:w w:val="105"/>
          <w:sz w:val="21"/>
          <w:szCs w:val="21"/>
          <w:lang w:eastAsia="zh-CN"/>
        </w:rPr>
        <w:t>T 67</w:t>
      </w:r>
      <w:r>
        <w:rPr>
          <w:color w:val="2D2D2F"/>
          <w:w w:val="105"/>
          <w:sz w:val="21"/>
          <w:szCs w:val="21"/>
          <w:lang w:eastAsia="zh-CN"/>
        </w:rPr>
        <w:t>-</w:t>
      </w:r>
      <w:r>
        <w:rPr>
          <w:rFonts w:hint="eastAsia"/>
          <w:color w:val="2D2D2F"/>
          <w:w w:val="105"/>
          <w:sz w:val="21"/>
          <w:szCs w:val="21"/>
          <w:lang w:eastAsia="zh-CN"/>
        </w:rPr>
        <w:t>2019 ) ;</w:t>
      </w:r>
    </w:p>
    <w:p>
      <w:pPr>
        <w:pStyle w:val="25"/>
        <w:spacing w:before="5" w:line="380" w:lineRule="atLeast"/>
        <w:ind w:right="121"/>
        <w:rPr>
          <w:color w:val="2D2D2F"/>
          <w:w w:val="105"/>
          <w:sz w:val="21"/>
          <w:szCs w:val="21"/>
          <w:lang w:eastAsia="zh-CN"/>
        </w:rPr>
      </w:pPr>
      <w:r>
        <w:rPr>
          <w:rFonts w:hint="eastAsia"/>
          <w:color w:val="2D2D2F"/>
          <w:w w:val="105"/>
          <w:sz w:val="21"/>
          <w:szCs w:val="21"/>
          <w:lang w:eastAsia="zh-CN"/>
        </w:rPr>
        <w:t>1</w:t>
      </w:r>
      <w:r>
        <w:rPr>
          <w:color w:val="2D2D2F"/>
          <w:w w:val="105"/>
          <w:sz w:val="21"/>
          <w:szCs w:val="21"/>
          <w:lang w:eastAsia="zh-CN"/>
        </w:rPr>
        <w:t>0</w:t>
      </w:r>
      <w:r>
        <w:rPr>
          <w:rFonts w:hint="eastAsia"/>
          <w:color w:val="2D2D2F"/>
          <w:w w:val="105"/>
          <w:sz w:val="21"/>
          <w:szCs w:val="21"/>
          <w:lang w:eastAsia="zh-CN"/>
        </w:rPr>
        <w:t>、《建筑设计防火规范》</w:t>
      </w:r>
      <w:r>
        <w:rPr>
          <w:rFonts w:hint="eastAsia"/>
          <w:color w:val="2D2D2F"/>
          <w:w w:val="105"/>
          <w:sz w:val="21"/>
          <w:szCs w:val="21"/>
          <w:lang w:eastAsia="zh-CN"/>
        </w:rPr>
        <w:tab/>
      </w:r>
      <w:r>
        <w:rPr>
          <w:rFonts w:hint="eastAsia"/>
          <w:color w:val="2D2D2F"/>
          <w:w w:val="105"/>
          <w:sz w:val="21"/>
          <w:szCs w:val="21"/>
          <w:lang w:eastAsia="zh-CN"/>
        </w:rPr>
        <w:t>(GB50016-2014   2018 版）；</w:t>
      </w:r>
    </w:p>
    <w:p>
      <w:pPr>
        <w:pStyle w:val="25"/>
        <w:spacing w:before="5" w:line="380" w:lineRule="atLeast"/>
        <w:ind w:right="121"/>
        <w:rPr>
          <w:color w:val="2D2D2F"/>
          <w:w w:val="105"/>
          <w:sz w:val="21"/>
          <w:szCs w:val="21"/>
          <w:lang w:eastAsia="zh-CN"/>
        </w:rPr>
      </w:pPr>
      <w:r>
        <w:rPr>
          <w:rFonts w:hint="eastAsia"/>
          <w:color w:val="2D2D2F"/>
          <w:w w:val="105"/>
          <w:sz w:val="21"/>
          <w:szCs w:val="21"/>
          <w:lang w:eastAsia="zh-CN"/>
        </w:rPr>
        <w:t>1</w:t>
      </w:r>
      <w:r>
        <w:rPr>
          <w:color w:val="2D2D2F"/>
          <w:w w:val="105"/>
          <w:sz w:val="21"/>
          <w:szCs w:val="21"/>
          <w:lang w:eastAsia="zh-CN"/>
        </w:rPr>
        <w:t>1</w:t>
      </w:r>
      <w:r>
        <w:rPr>
          <w:rFonts w:hint="eastAsia"/>
          <w:color w:val="2D2D2F"/>
          <w:w w:val="105"/>
          <w:sz w:val="21"/>
          <w:szCs w:val="21"/>
          <w:lang w:eastAsia="zh-CN"/>
        </w:rPr>
        <w:t>、《车库建筑设计规范》</w:t>
      </w:r>
      <w:r>
        <w:rPr>
          <w:rFonts w:hint="eastAsia"/>
          <w:color w:val="2D2D2F"/>
          <w:w w:val="105"/>
          <w:sz w:val="21"/>
          <w:szCs w:val="21"/>
          <w:lang w:eastAsia="zh-CN"/>
        </w:rPr>
        <w:tab/>
      </w:r>
      <w:r>
        <w:rPr>
          <w:rFonts w:hint="eastAsia"/>
          <w:color w:val="2D2D2F"/>
          <w:w w:val="105"/>
          <w:sz w:val="21"/>
          <w:szCs w:val="21"/>
          <w:lang w:eastAsia="zh-CN"/>
        </w:rPr>
        <w:t>(JGJ lOO-2015 ) :</w:t>
      </w:r>
    </w:p>
    <w:p>
      <w:pPr>
        <w:pStyle w:val="25"/>
        <w:spacing w:before="5" w:line="380" w:lineRule="atLeast"/>
        <w:ind w:right="121"/>
        <w:rPr>
          <w:color w:val="2D2D2F"/>
          <w:w w:val="105"/>
          <w:sz w:val="21"/>
          <w:szCs w:val="21"/>
          <w:lang w:eastAsia="zh-CN"/>
        </w:rPr>
      </w:pPr>
      <w:r>
        <w:rPr>
          <w:rFonts w:hint="eastAsia"/>
          <w:color w:val="2D2D2F"/>
          <w:w w:val="105"/>
          <w:sz w:val="21"/>
          <w:szCs w:val="21"/>
          <w:lang w:eastAsia="zh-CN"/>
        </w:rPr>
        <w:t>1</w:t>
      </w:r>
      <w:r>
        <w:rPr>
          <w:color w:val="2D2D2F"/>
          <w:w w:val="105"/>
          <w:sz w:val="21"/>
          <w:szCs w:val="21"/>
          <w:lang w:eastAsia="zh-CN"/>
        </w:rPr>
        <w:t>2</w:t>
      </w:r>
      <w:r>
        <w:rPr>
          <w:rFonts w:hint="eastAsia"/>
          <w:color w:val="2D2D2F"/>
          <w:w w:val="105"/>
          <w:sz w:val="21"/>
          <w:szCs w:val="21"/>
          <w:lang w:eastAsia="zh-CN"/>
        </w:rPr>
        <w:t>、《公共建筑节能设计标准》</w:t>
      </w:r>
      <w:r>
        <w:rPr>
          <w:rFonts w:hint="eastAsia"/>
          <w:color w:val="2D2D2F"/>
          <w:w w:val="105"/>
          <w:sz w:val="21"/>
          <w:szCs w:val="21"/>
          <w:lang w:eastAsia="zh-CN"/>
        </w:rPr>
        <w:tab/>
      </w:r>
      <w:r>
        <w:rPr>
          <w:color w:val="2D2D2F"/>
          <w:w w:val="105"/>
          <w:sz w:val="21"/>
          <w:szCs w:val="21"/>
          <w:lang w:eastAsia="zh-CN"/>
        </w:rPr>
        <w:t>(</w:t>
      </w:r>
      <w:r>
        <w:rPr>
          <w:rFonts w:hint="eastAsia"/>
          <w:color w:val="2D2D2F"/>
          <w:w w:val="105"/>
          <w:sz w:val="21"/>
          <w:szCs w:val="21"/>
          <w:lang w:eastAsia="zh-CN"/>
        </w:rPr>
        <w:t xml:space="preserve"> GB500189-2019 ) ;</w:t>
      </w:r>
    </w:p>
    <w:p>
      <w:pPr>
        <w:pStyle w:val="25"/>
        <w:spacing w:before="5" w:line="380" w:lineRule="atLeast"/>
        <w:ind w:right="121"/>
        <w:rPr>
          <w:color w:val="2D2D2F"/>
          <w:w w:val="105"/>
          <w:sz w:val="21"/>
          <w:szCs w:val="21"/>
          <w:lang w:eastAsia="zh-CN"/>
        </w:rPr>
      </w:pPr>
      <w:r>
        <w:rPr>
          <w:rFonts w:hint="eastAsia"/>
          <w:color w:val="2D2D2F"/>
          <w:w w:val="105"/>
          <w:sz w:val="21"/>
          <w:szCs w:val="21"/>
          <w:lang w:eastAsia="zh-CN"/>
        </w:rPr>
        <w:t>1</w:t>
      </w:r>
      <w:r>
        <w:rPr>
          <w:color w:val="2D2D2F"/>
          <w:w w:val="105"/>
          <w:sz w:val="21"/>
          <w:szCs w:val="21"/>
          <w:lang w:eastAsia="zh-CN"/>
        </w:rPr>
        <w:t>3</w:t>
      </w:r>
      <w:r>
        <w:rPr>
          <w:rFonts w:hint="eastAsia"/>
          <w:color w:val="2D2D2F"/>
          <w:w w:val="105"/>
          <w:sz w:val="21"/>
          <w:szCs w:val="21"/>
          <w:lang w:eastAsia="zh-CN"/>
        </w:rPr>
        <w:t>、《建筑与市政工程无障碍通用规范》</w:t>
      </w:r>
      <w:r>
        <w:rPr>
          <w:rFonts w:hint="eastAsia"/>
          <w:color w:val="2D2D2F"/>
          <w:w w:val="105"/>
          <w:sz w:val="21"/>
          <w:szCs w:val="21"/>
          <w:lang w:eastAsia="zh-CN"/>
        </w:rPr>
        <w:tab/>
      </w:r>
      <w:r>
        <w:rPr>
          <w:rFonts w:hint="eastAsia"/>
          <w:color w:val="2D2D2F"/>
          <w:w w:val="105"/>
          <w:sz w:val="21"/>
          <w:szCs w:val="21"/>
          <w:lang w:eastAsia="zh-CN"/>
        </w:rPr>
        <w:t>(GB</w:t>
      </w:r>
      <w:r>
        <w:rPr>
          <w:color w:val="2D2D2F"/>
          <w:w w:val="105"/>
          <w:sz w:val="21"/>
          <w:szCs w:val="21"/>
          <w:lang w:eastAsia="zh-CN"/>
        </w:rPr>
        <w:t>55019-2021</w:t>
      </w:r>
      <w:r>
        <w:rPr>
          <w:rFonts w:hint="eastAsia"/>
          <w:color w:val="2D2D2F"/>
          <w:w w:val="105"/>
          <w:sz w:val="21"/>
          <w:szCs w:val="21"/>
          <w:lang w:eastAsia="zh-CN"/>
        </w:rPr>
        <w:t>) ;</w:t>
      </w:r>
    </w:p>
    <w:p>
      <w:pPr>
        <w:pStyle w:val="25"/>
        <w:spacing w:before="5" w:line="380" w:lineRule="atLeast"/>
        <w:ind w:right="121"/>
        <w:rPr>
          <w:color w:val="2D2D2F"/>
          <w:w w:val="105"/>
          <w:sz w:val="21"/>
          <w:szCs w:val="21"/>
          <w:lang w:eastAsia="zh-CN"/>
        </w:rPr>
      </w:pPr>
      <w:r>
        <w:rPr>
          <w:rFonts w:hint="eastAsia"/>
          <w:color w:val="2D2D2F"/>
          <w:w w:val="105"/>
          <w:sz w:val="21"/>
          <w:szCs w:val="21"/>
          <w:lang w:eastAsia="zh-CN"/>
        </w:rPr>
        <w:t>1</w:t>
      </w:r>
      <w:r>
        <w:rPr>
          <w:color w:val="2D2D2F"/>
          <w:w w:val="105"/>
          <w:sz w:val="21"/>
          <w:szCs w:val="21"/>
          <w:lang w:eastAsia="zh-CN"/>
        </w:rPr>
        <w:t>4</w:t>
      </w:r>
      <w:r>
        <w:rPr>
          <w:rFonts w:hint="eastAsia"/>
          <w:color w:val="2D2D2F"/>
          <w:w w:val="105"/>
          <w:sz w:val="21"/>
          <w:szCs w:val="21"/>
          <w:lang w:eastAsia="zh-CN"/>
        </w:rPr>
        <w:t>、《城市公共厕所设计标准》（CJJ14-2016）</w:t>
      </w:r>
    </w:p>
    <w:p>
      <w:pPr>
        <w:pStyle w:val="25"/>
        <w:spacing w:before="5" w:line="380" w:lineRule="atLeast"/>
        <w:ind w:right="121"/>
        <w:rPr>
          <w:color w:val="2D2D2F"/>
          <w:w w:val="105"/>
          <w:sz w:val="21"/>
          <w:szCs w:val="21"/>
          <w:lang w:eastAsia="zh-CN"/>
        </w:rPr>
      </w:pPr>
      <w:r>
        <w:rPr>
          <w:rFonts w:hint="eastAsia"/>
          <w:color w:val="2D2D2F"/>
          <w:w w:val="105"/>
          <w:sz w:val="21"/>
          <w:szCs w:val="21"/>
          <w:lang w:eastAsia="zh-CN"/>
        </w:rPr>
        <w:t>1</w:t>
      </w:r>
      <w:r>
        <w:rPr>
          <w:color w:val="2D2D2F"/>
          <w:w w:val="105"/>
          <w:sz w:val="21"/>
          <w:szCs w:val="21"/>
          <w:lang w:eastAsia="zh-CN"/>
        </w:rPr>
        <w:t>5</w:t>
      </w:r>
      <w:r>
        <w:rPr>
          <w:rFonts w:hint="eastAsia"/>
          <w:color w:val="2D2D2F"/>
          <w:w w:val="105"/>
          <w:sz w:val="21"/>
          <w:szCs w:val="21"/>
          <w:lang w:eastAsia="zh-CN"/>
        </w:rPr>
        <w:t>、《绿色建筑评价标准》 (GB/T 5 0378-2019) ;</w:t>
      </w:r>
    </w:p>
    <w:p>
      <w:pPr>
        <w:pStyle w:val="25"/>
        <w:spacing w:before="5" w:line="380" w:lineRule="atLeast"/>
        <w:ind w:right="121"/>
        <w:rPr>
          <w:color w:val="2D2D2F"/>
          <w:w w:val="105"/>
          <w:sz w:val="21"/>
          <w:szCs w:val="21"/>
          <w:lang w:eastAsia="zh-CN"/>
        </w:rPr>
      </w:pPr>
      <w:r>
        <w:rPr>
          <w:rFonts w:hint="eastAsia"/>
          <w:color w:val="2D2D2F"/>
          <w:w w:val="105"/>
          <w:sz w:val="21"/>
          <w:szCs w:val="21"/>
          <w:lang w:eastAsia="zh-CN"/>
        </w:rPr>
        <w:t>1</w:t>
      </w:r>
      <w:r>
        <w:rPr>
          <w:color w:val="2D2D2F"/>
          <w:w w:val="105"/>
          <w:sz w:val="21"/>
          <w:szCs w:val="21"/>
          <w:lang w:eastAsia="zh-CN"/>
        </w:rPr>
        <w:t>6</w:t>
      </w:r>
      <w:r>
        <w:rPr>
          <w:rFonts w:hint="eastAsia"/>
          <w:color w:val="2D2D2F"/>
          <w:w w:val="105"/>
          <w:sz w:val="21"/>
          <w:szCs w:val="21"/>
          <w:lang w:eastAsia="zh-CN"/>
        </w:rPr>
        <w:t>、《广东省建筑信息模型应用统一标准》(DBJ/T15-142-2018) ;</w:t>
      </w:r>
    </w:p>
    <w:p>
      <w:pPr>
        <w:pStyle w:val="25"/>
        <w:spacing w:before="5" w:line="380" w:lineRule="atLeast"/>
        <w:ind w:right="121"/>
        <w:rPr>
          <w:color w:val="2D2D2F"/>
          <w:w w:val="105"/>
          <w:sz w:val="21"/>
          <w:szCs w:val="21"/>
          <w:lang w:eastAsia="zh-CN"/>
        </w:rPr>
      </w:pPr>
      <w:r>
        <w:rPr>
          <w:rFonts w:hint="eastAsia"/>
          <w:color w:val="2D2D2F"/>
          <w:w w:val="105"/>
          <w:sz w:val="21"/>
          <w:szCs w:val="21"/>
          <w:lang w:eastAsia="zh-CN"/>
        </w:rPr>
        <w:t>1</w:t>
      </w:r>
      <w:r>
        <w:rPr>
          <w:color w:val="2D2D2F"/>
          <w:w w:val="105"/>
          <w:sz w:val="21"/>
          <w:szCs w:val="21"/>
          <w:lang w:eastAsia="zh-CN"/>
        </w:rPr>
        <w:t>7</w:t>
      </w:r>
      <w:r>
        <w:rPr>
          <w:rFonts w:hint="eastAsia"/>
          <w:color w:val="2D2D2F"/>
          <w:w w:val="105"/>
          <w:sz w:val="21"/>
          <w:szCs w:val="21"/>
          <w:lang w:eastAsia="zh-CN"/>
        </w:rPr>
        <w:t>、《商务楼宇等级划分要求》</w:t>
      </w:r>
      <w:r>
        <w:rPr>
          <w:rFonts w:hint="eastAsia"/>
          <w:color w:val="2D2D2F"/>
          <w:w w:val="105"/>
          <w:sz w:val="21"/>
          <w:szCs w:val="21"/>
          <w:lang w:eastAsia="zh-CN"/>
        </w:rPr>
        <w:tab/>
      </w:r>
      <w:r>
        <w:rPr>
          <w:rFonts w:hint="eastAsia"/>
          <w:color w:val="2D2D2F"/>
          <w:w w:val="105"/>
          <w:sz w:val="21"/>
          <w:szCs w:val="21"/>
          <w:lang w:eastAsia="zh-CN"/>
        </w:rPr>
        <w:t>CGB/T 39069-2020)</w:t>
      </w:r>
    </w:p>
    <w:p>
      <w:pPr>
        <w:pStyle w:val="25"/>
        <w:spacing w:before="5" w:line="380" w:lineRule="atLeast"/>
        <w:ind w:right="121"/>
        <w:rPr>
          <w:color w:val="2D2D2F"/>
          <w:w w:val="105"/>
          <w:sz w:val="21"/>
          <w:szCs w:val="21"/>
          <w:lang w:eastAsia="zh-CN"/>
        </w:rPr>
      </w:pPr>
      <w:r>
        <w:rPr>
          <w:color w:val="2D2D2F"/>
          <w:w w:val="105"/>
          <w:sz w:val="21"/>
          <w:szCs w:val="21"/>
          <w:lang w:eastAsia="zh-CN"/>
        </w:rPr>
        <w:t>18</w:t>
      </w:r>
      <w:r>
        <w:rPr>
          <w:rFonts w:hint="eastAsia"/>
          <w:color w:val="2D2D2F"/>
          <w:w w:val="105"/>
          <w:sz w:val="21"/>
          <w:szCs w:val="21"/>
          <w:lang w:eastAsia="zh-CN"/>
        </w:rPr>
        <w:t>、发包人对本工程的有关设计意见和要求及提供的相关资料。</w:t>
      </w:r>
    </w:p>
    <w:p>
      <w:pPr>
        <w:pStyle w:val="25"/>
        <w:spacing w:before="5" w:line="380" w:lineRule="atLeast"/>
        <w:ind w:right="121"/>
        <w:rPr>
          <w:color w:val="2D2D2F"/>
          <w:w w:val="105"/>
          <w:sz w:val="21"/>
          <w:szCs w:val="21"/>
          <w:lang w:eastAsia="zh-CN"/>
        </w:rPr>
      </w:pPr>
      <w:r>
        <w:rPr>
          <w:rFonts w:hint="eastAsia"/>
          <w:color w:val="2D2D2F"/>
          <w:w w:val="105"/>
          <w:sz w:val="21"/>
          <w:szCs w:val="21"/>
          <w:lang w:eastAsia="zh-CN"/>
        </w:rPr>
        <w:t>等。</w:t>
      </w:r>
    </w:p>
    <w:p>
      <w:pPr>
        <w:pStyle w:val="25"/>
        <w:spacing w:before="5" w:line="380" w:lineRule="atLeast"/>
        <w:ind w:right="121"/>
        <w:rPr>
          <w:color w:val="2D2D2F"/>
          <w:w w:val="105"/>
          <w:sz w:val="21"/>
          <w:szCs w:val="21"/>
          <w:lang w:eastAsia="zh-CN"/>
        </w:rPr>
      </w:pPr>
    </w:p>
    <w:p>
      <w:pPr>
        <w:pStyle w:val="13"/>
        <w:ind w:firstLine="562"/>
        <w:rPr>
          <w:rFonts w:ascii="宋体" w:hAnsi="宋体" w:eastAsia="宋体"/>
          <w:sz w:val="28"/>
          <w:szCs w:val="21"/>
        </w:rPr>
      </w:pPr>
      <w:bookmarkStart w:id="14" w:name="_Toc121692789"/>
      <w:r>
        <w:rPr>
          <w:rFonts w:hint="eastAsia" w:ascii="宋体" w:hAnsi="宋体" w:eastAsia="宋体"/>
          <w:sz w:val="28"/>
          <w:szCs w:val="21"/>
        </w:rPr>
        <w:t>第五章</w:t>
      </w:r>
      <w:r>
        <w:rPr>
          <w:rFonts w:ascii="宋体" w:hAnsi="宋体" w:eastAsia="宋体"/>
          <w:sz w:val="28"/>
          <w:szCs w:val="21"/>
        </w:rPr>
        <w:t xml:space="preserve">  </w:t>
      </w:r>
      <w:r>
        <w:rPr>
          <w:rFonts w:hint="eastAsia" w:ascii="宋体" w:hAnsi="宋体" w:eastAsia="宋体"/>
          <w:sz w:val="28"/>
          <w:szCs w:val="21"/>
        </w:rPr>
        <w:t>设计要求</w:t>
      </w:r>
      <w:bookmarkEnd w:id="14"/>
    </w:p>
    <w:p>
      <w:pPr>
        <w:pStyle w:val="25"/>
        <w:spacing w:before="5" w:line="380" w:lineRule="atLeast"/>
        <w:ind w:right="121"/>
        <w:rPr>
          <w:color w:val="2D2D2F"/>
          <w:w w:val="105"/>
          <w:sz w:val="21"/>
          <w:szCs w:val="21"/>
          <w:lang w:eastAsia="zh-CN"/>
        </w:rPr>
      </w:pPr>
      <w:r>
        <w:rPr>
          <w:rFonts w:hint="eastAsia"/>
          <w:color w:val="2D2D2F"/>
          <w:w w:val="105"/>
          <w:sz w:val="21"/>
          <w:szCs w:val="21"/>
          <w:lang w:eastAsia="zh-CN"/>
        </w:rPr>
        <w:t>5</w:t>
      </w:r>
      <w:r>
        <w:rPr>
          <w:color w:val="2D2D2F"/>
          <w:w w:val="105"/>
          <w:sz w:val="21"/>
          <w:szCs w:val="21"/>
          <w:lang w:eastAsia="zh-CN"/>
        </w:rPr>
        <w:t xml:space="preserve">.1 </w:t>
      </w:r>
      <w:r>
        <w:rPr>
          <w:rFonts w:hint="eastAsia"/>
          <w:color w:val="2D2D2F"/>
          <w:w w:val="105"/>
          <w:sz w:val="21"/>
          <w:szCs w:val="21"/>
          <w:lang w:eastAsia="zh-CN"/>
        </w:rPr>
        <w:t>以概念方案为蓝本，根据规划要求、项目定位对概念方案进行优化并开展方案设计。</w:t>
      </w:r>
    </w:p>
    <w:p>
      <w:pPr>
        <w:pStyle w:val="25"/>
        <w:spacing w:before="5" w:line="380" w:lineRule="atLeast"/>
        <w:ind w:right="121"/>
        <w:rPr>
          <w:color w:val="2D2D2F"/>
          <w:w w:val="105"/>
          <w:sz w:val="21"/>
          <w:szCs w:val="21"/>
          <w:lang w:eastAsia="zh-CN"/>
        </w:rPr>
      </w:pPr>
      <w:r>
        <w:rPr>
          <w:color w:val="2D2D2F"/>
          <w:w w:val="105"/>
          <w:sz w:val="21"/>
          <w:szCs w:val="21"/>
          <w:lang w:eastAsia="zh-CN"/>
        </w:rPr>
        <w:t>5.2</w:t>
      </w:r>
      <w:r>
        <w:rPr>
          <w:rFonts w:hint="eastAsia"/>
          <w:color w:val="2D2D2F"/>
          <w:w w:val="105"/>
          <w:sz w:val="21"/>
          <w:szCs w:val="21"/>
          <w:lang w:eastAsia="zh-CN"/>
        </w:rPr>
        <w:t xml:space="preserve"> 规划设计要求</w:t>
      </w:r>
    </w:p>
    <w:p>
      <w:pPr>
        <w:pStyle w:val="25"/>
        <w:spacing w:before="5" w:line="380" w:lineRule="atLeast"/>
        <w:ind w:right="121"/>
        <w:rPr>
          <w:color w:val="2D2D2F"/>
          <w:w w:val="105"/>
          <w:sz w:val="21"/>
          <w:szCs w:val="21"/>
          <w:lang w:eastAsia="zh-CN"/>
        </w:rPr>
      </w:pPr>
      <w:r>
        <w:rPr>
          <w:color w:val="2D2D2F"/>
          <w:w w:val="105"/>
          <w:sz w:val="21"/>
          <w:szCs w:val="21"/>
          <w:lang w:eastAsia="zh-CN"/>
        </w:rPr>
        <w:t xml:space="preserve">5.2.1 </w:t>
      </w:r>
      <w:r>
        <w:rPr>
          <w:rFonts w:hint="eastAsia"/>
          <w:color w:val="2D2D2F"/>
          <w:w w:val="105"/>
          <w:sz w:val="21"/>
          <w:szCs w:val="21"/>
          <w:lang w:eastAsia="zh-CN"/>
        </w:rPr>
        <w:t>总体规划必须符合城市规划、符合海珠区琶洲西区AH040128地块控制性详细规划的要求。</w:t>
      </w:r>
    </w:p>
    <w:p>
      <w:pPr>
        <w:pStyle w:val="25"/>
        <w:spacing w:before="5" w:line="380" w:lineRule="atLeast"/>
        <w:ind w:right="121"/>
        <w:rPr>
          <w:color w:val="2D2D2F"/>
          <w:w w:val="105"/>
          <w:sz w:val="21"/>
          <w:szCs w:val="21"/>
          <w:lang w:eastAsia="zh-CN"/>
        </w:rPr>
      </w:pPr>
      <w:r>
        <w:rPr>
          <w:color w:val="2D2D2F"/>
          <w:w w:val="105"/>
          <w:sz w:val="21"/>
          <w:szCs w:val="21"/>
          <w:lang w:eastAsia="zh-CN"/>
        </w:rPr>
        <w:t xml:space="preserve">5.2.2 </w:t>
      </w:r>
      <w:r>
        <w:rPr>
          <w:rFonts w:hint="eastAsia"/>
          <w:color w:val="2D2D2F"/>
          <w:w w:val="105"/>
          <w:sz w:val="21"/>
          <w:szCs w:val="21"/>
          <w:lang w:eastAsia="zh-CN"/>
        </w:rPr>
        <w:t xml:space="preserve"> 规划设计方案应综合考虑周边环境、路网结构、建筑群体布局、绿地系统及空间环境等关系，应结合地块自然景观条件。</w:t>
      </w:r>
    </w:p>
    <w:p>
      <w:pPr>
        <w:pStyle w:val="25"/>
        <w:spacing w:before="5" w:line="380" w:lineRule="atLeast"/>
        <w:ind w:right="121"/>
        <w:rPr>
          <w:color w:val="2D2D2F"/>
          <w:w w:val="105"/>
          <w:sz w:val="21"/>
          <w:szCs w:val="21"/>
          <w:lang w:eastAsia="zh-CN"/>
        </w:rPr>
      </w:pPr>
      <w:r>
        <w:rPr>
          <w:color w:val="2D2D2F"/>
          <w:w w:val="105"/>
          <w:sz w:val="21"/>
          <w:szCs w:val="21"/>
          <w:lang w:eastAsia="zh-CN"/>
        </w:rPr>
        <w:t xml:space="preserve">5.2.3 </w:t>
      </w:r>
      <w:r>
        <w:rPr>
          <w:rFonts w:hint="eastAsia"/>
          <w:color w:val="2D2D2F"/>
          <w:w w:val="105"/>
          <w:sz w:val="21"/>
          <w:szCs w:val="21"/>
          <w:lang w:eastAsia="zh-CN"/>
        </w:rPr>
        <w:t>建筑形态与采光、通风紧密结合， 与项目周边建筑形成有机联系。建筑群的空间形象组织应有利于丰富整体城市天际线，确保主干道沿线的美观，符合区域整体规划。</w:t>
      </w:r>
    </w:p>
    <w:p>
      <w:pPr>
        <w:pStyle w:val="25"/>
        <w:spacing w:before="5" w:line="380" w:lineRule="atLeast"/>
        <w:ind w:right="121"/>
        <w:rPr>
          <w:color w:val="2D2D2F"/>
          <w:w w:val="105"/>
          <w:sz w:val="21"/>
          <w:szCs w:val="21"/>
          <w:lang w:eastAsia="zh-CN"/>
        </w:rPr>
      </w:pPr>
      <w:r>
        <w:rPr>
          <w:color w:val="2D2D2F"/>
          <w:w w:val="105"/>
          <w:sz w:val="21"/>
          <w:szCs w:val="21"/>
          <w:lang w:eastAsia="zh-CN"/>
        </w:rPr>
        <w:t xml:space="preserve">5.2.4 </w:t>
      </w:r>
      <w:r>
        <w:rPr>
          <w:rFonts w:hint="eastAsia"/>
          <w:color w:val="2D2D2F"/>
          <w:w w:val="105"/>
          <w:sz w:val="21"/>
          <w:szCs w:val="21"/>
          <w:lang w:eastAsia="zh-CN"/>
        </w:rPr>
        <w:t>整体布局应满足原项目整体空间布局，合理进行功能分区，做到各功能区相对独立，并通过盖板及建筑立体设计达到有机联系。</w:t>
      </w:r>
    </w:p>
    <w:p>
      <w:pPr>
        <w:pStyle w:val="25"/>
        <w:spacing w:before="5" w:line="380" w:lineRule="atLeast"/>
        <w:ind w:right="121"/>
        <w:rPr>
          <w:color w:val="2D2D2F"/>
          <w:w w:val="105"/>
          <w:sz w:val="21"/>
          <w:szCs w:val="21"/>
          <w:lang w:eastAsia="zh-CN"/>
        </w:rPr>
      </w:pPr>
      <w:r>
        <w:rPr>
          <w:color w:val="2D2D2F"/>
          <w:w w:val="105"/>
          <w:sz w:val="21"/>
          <w:szCs w:val="21"/>
          <w:lang w:eastAsia="zh-CN"/>
        </w:rPr>
        <w:t xml:space="preserve">5.2.5 </w:t>
      </w:r>
      <w:r>
        <w:rPr>
          <w:rFonts w:hint="eastAsia"/>
          <w:color w:val="2D2D2F"/>
          <w:w w:val="105"/>
          <w:sz w:val="21"/>
          <w:szCs w:val="21"/>
          <w:lang w:eastAsia="zh-CN"/>
        </w:rPr>
        <w:t>合理设计人行和车流动线， 营造共享、交流、安全和活力空间， 构建交流工作平台， 并为公众和企业提供全方位便捷、高效服务。</w:t>
      </w:r>
    </w:p>
    <w:p>
      <w:pPr>
        <w:pStyle w:val="25"/>
        <w:spacing w:before="5" w:line="380" w:lineRule="atLeast"/>
        <w:ind w:right="121"/>
        <w:rPr>
          <w:color w:val="2D2D2F"/>
          <w:w w:val="105"/>
          <w:sz w:val="21"/>
          <w:szCs w:val="21"/>
          <w:lang w:eastAsia="zh-CN"/>
        </w:rPr>
      </w:pPr>
      <w:r>
        <w:rPr>
          <w:color w:val="2D2D2F"/>
          <w:w w:val="105"/>
          <w:sz w:val="21"/>
          <w:szCs w:val="21"/>
          <w:lang w:eastAsia="zh-CN"/>
        </w:rPr>
        <w:t xml:space="preserve">5.2.6 </w:t>
      </w:r>
      <w:r>
        <w:rPr>
          <w:rFonts w:hint="eastAsia"/>
          <w:color w:val="2D2D2F"/>
          <w:w w:val="105"/>
          <w:sz w:val="21"/>
          <w:szCs w:val="21"/>
          <w:lang w:eastAsia="zh-CN"/>
        </w:rPr>
        <w:t>对项目主要空间节点、建筑主入口等应进行艺术处理、增加空间的设计创意； 鼓励设置艺术小品提升空间活时力及吸引力；选用与公共空间风貌相匹配的街道家具，提升地区文化品质。</w:t>
      </w:r>
    </w:p>
    <w:p>
      <w:pPr>
        <w:pStyle w:val="25"/>
        <w:spacing w:before="5" w:line="380" w:lineRule="atLeast"/>
        <w:ind w:right="121"/>
        <w:rPr>
          <w:color w:val="2D2D2F"/>
          <w:w w:val="105"/>
          <w:sz w:val="21"/>
          <w:szCs w:val="21"/>
          <w:lang w:eastAsia="zh-CN"/>
        </w:rPr>
      </w:pPr>
      <w:r>
        <w:rPr>
          <w:color w:val="2D2D2F"/>
          <w:w w:val="105"/>
          <w:sz w:val="21"/>
          <w:szCs w:val="21"/>
          <w:lang w:eastAsia="zh-CN"/>
        </w:rPr>
        <w:t xml:space="preserve">5.2.7 </w:t>
      </w:r>
      <w:r>
        <w:rPr>
          <w:rFonts w:hint="eastAsia"/>
          <w:color w:val="2D2D2F"/>
          <w:w w:val="105"/>
          <w:sz w:val="21"/>
          <w:szCs w:val="21"/>
          <w:lang w:eastAsia="zh-CN"/>
        </w:rPr>
        <w:t>建筑退让规划道路边线、规划河涌边线、高压线的距离、建筑间距、退界应按照《广州市城乡规划技术规定》执行，需满足我国现行建筑设计、建筑防火等规范要求，消防和防火安全间距应在本用地红线内落实。</w:t>
      </w:r>
    </w:p>
    <w:p>
      <w:pPr>
        <w:pStyle w:val="25"/>
        <w:spacing w:before="5" w:line="380" w:lineRule="atLeast"/>
        <w:ind w:right="121"/>
        <w:rPr>
          <w:color w:val="2D2D2F"/>
          <w:w w:val="105"/>
          <w:sz w:val="21"/>
          <w:szCs w:val="21"/>
          <w:lang w:eastAsia="zh-CN"/>
        </w:rPr>
      </w:pPr>
      <w:r>
        <w:rPr>
          <w:color w:val="2D2D2F"/>
          <w:w w:val="105"/>
          <w:sz w:val="21"/>
          <w:szCs w:val="21"/>
          <w:lang w:eastAsia="zh-CN"/>
        </w:rPr>
        <w:t xml:space="preserve">5.2.8 </w:t>
      </w:r>
      <w:r>
        <w:rPr>
          <w:rFonts w:hint="eastAsia"/>
          <w:color w:val="2D2D2F"/>
          <w:w w:val="105"/>
          <w:sz w:val="21"/>
          <w:szCs w:val="21"/>
          <w:lang w:eastAsia="zh-CN"/>
        </w:rPr>
        <w:t>开展精细无障碍设计、满足安全、舒适的运行要求。场地与建筑的无障碍设计须满足《无障碍设计规范》的相关要求。</w:t>
      </w:r>
    </w:p>
    <w:p>
      <w:pPr>
        <w:pStyle w:val="25"/>
        <w:spacing w:before="5" w:line="380" w:lineRule="atLeast"/>
        <w:ind w:right="121"/>
        <w:rPr>
          <w:color w:val="2D2D2F"/>
          <w:w w:val="105"/>
          <w:sz w:val="21"/>
          <w:szCs w:val="21"/>
          <w:lang w:eastAsia="zh-CN"/>
        </w:rPr>
      </w:pPr>
      <w:r>
        <w:rPr>
          <w:color w:val="2D2D2F"/>
          <w:w w:val="105"/>
          <w:sz w:val="21"/>
          <w:szCs w:val="21"/>
          <w:lang w:eastAsia="zh-CN"/>
        </w:rPr>
        <w:t xml:space="preserve">5.2.9 </w:t>
      </w:r>
      <w:r>
        <w:rPr>
          <w:rFonts w:hint="eastAsia"/>
          <w:color w:val="2D2D2F"/>
          <w:w w:val="105"/>
          <w:sz w:val="21"/>
          <w:szCs w:val="21"/>
          <w:lang w:eastAsia="zh-CN"/>
        </w:rPr>
        <w:t>竖向设计应遵循自然地形， 控制建筑室外地坪标高。</w:t>
      </w:r>
    </w:p>
    <w:p>
      <w:pPr>
        <w:pStyle w:val="25"/>
        <w:spacing w:before="5" w:line="380" w:lineRule="atLeast"/>
        <w:ind w:right="121"/>
        <w:rPr>
          <w:color w:val="2D2D2F"/>
          <w:w w:val="105"/>
          <w:sz w:val="21"/>
          <w:szCs w:val="21"/>
          <w:lang w:eastAsia="zh-CN"/>
        </w:rPr>
      </w:pPr>
      <w:r>
        <w:rPr>
          <w:color w:val="2D2D2F"/>
          <w:w w:val="105"/>
          <w:sz w:val="21"/>
          <w:szCs w:val="21"/>
          <w:lang w:eastAsia="zh-CN"/>
        </w:rPr>
        <w:t xml:space="preserve">5.2.10 </w:t>
      </w:r>
      <w:r>
        <w:rPr>
          <w:rFonts w:hint="eastAsia"/>
          <w:color w:val="2D2D2F"/>
          <w:w w:val="105"/>
          <w:sz w:val="21"/>
          <w:szCs w:val="21"/>
          <w:lang w:eastAsia="zh-CN"/>
        </w:rPr>
        <w:t>室内外装修需按发包人需求，结合周边的风貌，提供经济合理的设计方案。</w:t>
      </w:r>
    </w:p>
    <w:p>
      <w:pPr>
        <w:pStyle w:val="25"/>
        <w:spacing w:before="5" w:line="380" w:lineRule="atLeast"/>
        <w:ind w:right="121"/>
        <w:rPr>
          <w:color w:val="2D2D2F"/>
          <w:w w:val="105"/>
          <w:sz w:val="21"/>
          <w:szCs w:val="21"/>
          <w:lang w:eastAsia="zh-CN"/>
        </w:rPr>
      </w:pPr>
    </w:p>
    <w:p>
      <w:pPr>
        <w:pStyle w:val="25"/>
        <w:spacing w:before="5" w:line="380" w:lineRule="atLeast"/>
        <w:ind w:right="121"/>
        <w:rPr>
          <w:color w:val="2D2D2F"/>
          <w:w w:val="105"/>
          <w:sz w:val="21"/>
          <w:szCs w:val="21"/>
          <w:lang w:eastAsia="zh-CN"/>
        </w:rPr>
      </w:pPr>
      <w:r>
        <w:rPr>
          <w:color w:val="2D2D2F"/>
          <w:w w:val="105"/>
          <w:sz w:val="21"/>
          <w:szCs w:val="21"/>
          <w:lang w:eastAsia="zh-CN"/>
        </w:rPr>
        <w:t xml:space="preserve">5.3 </w:t>
      </w:r>
      <w:r>
        <w:rPr>
          <w:rFonts w:hint="eastAsia"/>
          <w:color w:val="2D2D2F"/>
          <w:w w:val="105"/>
          <w:sz w:val="21"/>
          <w:szCs w:val="21"/>
          <w:lang w:eastAsia="zh-CN"/>
        </w:rPr>
        <w:t>交通设计要求</w:t>
      </w:r>
    </w:p>
    <w:p>
      <w:pPr>
        <w:pStyle w:val="25"/>
        <w:spacing w:before="5" w:line="380" w:lineRule="atLeast"/>
        <w:ind w:right="121"/>
        <w:rPr>
          <w:color w:val="2D2D2F"/>
          <w:w w:val="105"/>
          <w:sz w:val="21"/>
          <w:szCs w:val="21"/>
          <w:lang w:eastAsia="zh-CN"/>
        </w:rPr>
      </w:pPr>
      <w:r>
        <w:rPr>
          <w:rFonts w:hint="eastAsia"/>
          <w:color w:val="2D2D2F"/>
          <w:w w:val="105"/>
          <w:sz w:val="21"/>
          <w:szCs w:val="21"/>
          <w:lang w:eastAsia="zh-CN"/>
        </w:rPr>
        <w:t>交通组织重要的原则：根据功能分区安排各种出入口和场地内部的交通组织，重要的原则应做到人车分流、 交通流畅，道路布置应便于人员进出、货物运送、装卸和消防疏散。应合理安排大巴、汽车、出租车、货车等的出入和停车路线，提供客户和后勤货运各自分开的车辆走向线路。</w:t>
      </w:r>
    </w:p>
    <w:p>
      <w:pPr>
        <w:pStyle w:val="25"/>
        <w:spacing w:before="5" w:line="380" w:lineRule="atLeast"/>
        <w:ind w:right="121"/>
        <w:rPr>
          <w:color w:val="2D2D2F"/>
          <w:w w:val="105"/>
          <w:sz w:val="21"/>
          <w:szCs w:val="21"/>
          <w:lang w:eastAsia="zh-CN"/>
        </w:rPr>
      </w:pPr>
    </w:p>
    <w:p>
      <w:pPr>
        <w:pStyle w:val="25"/>
        <w:spacing w:before="5" w:line="380" w:lineRule="atLeast"/>
        <w:ind w:right="121"/>
        <w:rPr>
          <w:color w:val="2D2D2F"/>
          <w:w w:val="105"/>
          <w:sz w:val="21"/>
          <w:szCs w:val="21"/>
          <w:lang w:eastAsia="zh-CN"/>
        </w:rPr>
      </w:pPr>
      <w:r>
        <w:rPr>
          <w:color w:val="2D2D2F"/>
          <w:w w:val="105"/>
          <w:sz w:val="21"/>
          <w:szCs w:val="21"/>
          <w:lang w:eastAsia="zh-CN"/>
        </w:rPr>
        <w:t>5.4</w:t>
      </w:r>
      <w:r>
        <w:rPr>
          <w:rFonts w:hint="eastAsia"/>
          <w:color w:val="2D2D2F"/>
          <w:w w:val="105"/>
          <w:sz w:val="21"/>
          <w:szCs w:val="21"/>
          <w:lang w:eastAsia="zh-CN"/>
        </w:rPr>
        <w:t xml:space="preserve"> 建筑设计要求</w:t>
      </w:r>
    </w:p>
    <w:p>
      <w:pPr>
        <w:pStyle w:val="25"/>
        <w:spacing w:before="5" w:line="380" w:lineRule="atLeast"/>
        <w:ind w:right="121"/>
        <w:rPr>
          <w:color w:val="2D2D2F"/>
          <w:w w:val="105"/>
          <w:sz w:val="21"/>
          <w:szCs w:val="21"/>
          <w:lang w:eastAsia="zh-CN"/>
        </w:rPr>
      </w:pPr>
      <w:r>
        <w:rPr>
          <w:color w:val="2D2D2F"/>
          <w:w w:val="105"/>
          <w:sz w:val="21"/>
          <w:szCs w:val="21"/>
          <w:lang w:eastAsia="zh-CN"/>
        </w:rPr>
        <w:t xml:space="preserve">5.4.1 </w:t>
      </w:r>
      <w:r>
        <w:rPr>
          <w:rFonts w:hint="eastAsia"/>
          <w:color w:val="2D2D2F"/>
          <w:w w:val="105"/>
          <w:sz w:val="21"/>
          <w:szCs w:val="21"/>
          <w:lang w:eastAsia="zh-CN"/>
        </w:rPr>
        <w:t>办公建筑及空间要求</w:t>
      </w:r>
    </w:p>
    <w:p>
      <w:pPr>
        <w:pStyle w:val="25"/>
        <w:spacing w:before="5" w:line="380" w:lineRule="atLeast"/>
        <w:ind w:right="121"/>
        <w:rPr>
          <w:color w:val="2D2D2F"/>
          <w:w w:val="105"/>
          <w:sz w:val="21"/>
          <w:szCs w:val="21"/>
          <w:lang w:eastAsia="zh-CN"/>
        </w:rPr>
      </w:pPr>
      <w:r>
        <w:rPr>
          <w:rFonts w:hint="eastAsia"/>
          <w:color w:val="2D2D2F"/>
          <w:w w:val="105"/>
          <w:sz w:val="21"/>
          <w:szCs w:val="21"/>
          <w:lang w:eastAsia="zh-CN"/>
        </w:rPr>
        <w:t>(1)</w:t>
      </w:r>
      <w:r>
        <w:rPr>
          <w:rFonts w:hint="eastAsia"/>
          <w:color w:val="2D2D2F"/>
          <w:w w:val="105"/>
          <w:sz w:val="21"/>
          <w:szCs w:val="21"/>
          <w:lang w:eastAsia="zh-CN"/>
        </w:rPr>
        <w:tab/>
      </w:r>
      <w:r>
        <w:rPr>
          <w:rFonts w:hint="eastAsia"/>
          <w:color w:val="2D2D2F"/>
          <w:w w:val="105"/>
          <w:sz w:val="21"/>
          <w:szCs w:val="21"/>
          <w:lang w:eastAsia="zh-CN"/>
        </w:rPr>
        <w:t>本项目定义为超甲级办公楼，建筑造型简约大气、体现宝武文化，平面布局方正、结构经济实用，内外装修设计经济美观，符合市场需求、具有一定的前瞻性；</w:t>
      </w:r>
    </w:p>
    <w:p>
      <w:pPr>
        <w:pStyle w:val="25"/>
        <w:spacing w:before="5" w:line="380" w:lineRule="atLeast"/>
        <w:ind w:right="121"/>
        <w:rPr>
          <w:color w:val="2D2D2F"/>
          <w:w w:val="105"/>
          <w:sz w:val="21"/>
          <w:szCs w:val="21"/>
          <w:lang w:eastAsia="zh-CN"/>
        </w:rPr>
      </w:pPr>
      <w:r>
        <w:rPr>
          <w:rFonts w:hint="eastAsia"/>
          <w:color w:val="2D2D2F"/>
          <w:w w:val="105"/>
          <w:sz w:val="21"/>
          <w:szCs w:val="21"/>
          <w:lang w:eastAsia="zh-CN"/>
        </w:rPr>
        <w:t>(2)</w:t>
      </w:r>
      <w:r>
        <w:rPr>
          <w:rFonts w:hint="eastAsia"/>
          <w:color w:val="2D2D2F"/>
          <w:w w:val="105"/>
          <w:sz w:val="21"/>
          <w:szCs w:val="21"/>
          <w:lang w:eastAsia="zh-CN"/>
        </w:rPr>
        <w:tab/>
      </w:r>
      <w:r>
        <w:rPr>
          <w:rFonts w:hint="eastAsia"/>
          <w:color w:val="2D2D2F"/>
          <w:w w:val="105"/>
          <w:sz w:val="21"/>
          <w:szCs w:val="21"/>
          <w:lang w:eastAsia="zh-CN"/>
        </w:rPr>
        <w:t>办公内部空间应适合集约式功能布局，灵活的空间组合，为不同功能、不同尺度及局部变化的空间组合提供可能性。各种空间单元开放自由、有机组合，形成“弹性、高效、可变”的聚落形态；</w:t>
      </w:r>
    </w:p>
    <w:p>
      <w:pPr>
        <w:pStyle w:val="25"/>
        <w:spacing w:before="5" w:line="380" w:lineRule="atLeast"/>
        <w:ind w:right="121"/>
        <w:rPr>
          <w:color w:val="2D2D2F"/>
          <w:w w:val="105"/>
          <w:sz w:val="21"/>
          <w:szCs w:val="21"/>
          <w:lang w:eastAsia="zh-CN"/>
        </w:rPr>
      </w:pPr>
      <w:r>
        <w:rPr>
          <w:rFonts w:hint="eastAsia"/>
          <w:color w:val="2D2D2F"/>
          <w:w w:val="105"/>
          <w:sz w:val="21"/>
          <w:szCs w:val="21"/>
          <w:lang w:eastAsia="zh-CN"/>
        </w:rPr>
        <w:t>(3)</w:t>
      </w:r>
      <w:r>
        <w:rPr>
          <w:rFonts w:hint="eastAsia"/>
          <w:color w:val="2D2D2F"/>
          <w:w w:val="105"/>
          <w:sz w:val="21"/>
          <w:szCs w:val="21"/>
          <w:lang w:eastAsia="zh-CN"/>
        </w:rPr>
        <w:tab/>
      </w:r>
      <w:r>
        <w:rPr>
          <w:rFonts w:hint="eastAsia"/>
          <w:color w:val="2D2D2F"/>
          <w:w w:val="105"/>
          <w:sz w:val="21"/>
          <w:szCs w:val="21"/>
          <w:lang w:eastAsia="zh-CN"/>
        </w:rPr>
        <w:t>办公应适合办公、研究、实验等多功能组合的办公需求 ；</w:t>
      </w:r>
    </w:p>
    <w:p>
      <w:pPr>
        <w:pStyle w:val="25"/>
        <w:spacing w:before="5" w:line="380" w:lineRule="atLeast"/>
        <w:ind w:right="121"/>
        <w:rPr>
          <w:color w:val="2D2D2F"/>
          <w:w w:val="105"/>
          <w:sz w:val="21"/>
          <w:szCs w:val="21"/>
          <w:lang w:eastAsia="zh-CN"/>
        </w:rPr>
      </w:pPr>
      <w:r>
        <w:rPr>
          <w:rFonts w:hint="eastAsia"/>
          <w:color w:val="2D2D2F"/>
          <w:w w:val="105"/>
          <w:sz w:val="21"/>
          <w:szCs w:val="21"/>
          <w:lang w:eastAsia="zh-CN"/>
        </w:rPr>
        <w:t>(4)</w:t>
      </w:r>
      <w:r>
        <w:rPr>
          <w:rFonts w:hint="eastAsia"/>
          <w:color w:val="2D2D2F"/>
          <w:w w:val="105"/>
          <w:sz w:val="21"/>
          <w:szCs w:val="21"/>
          <w:lang w:eastAsia="zh-CN"/>
        </w:rPr>
        <w:tab/>
      </w:r>
      <w:r>
        <w:rPr>
          <w:rFonts w:hint="eastAsia"/>
          <w:color w:val="2D2D2F"/>
          <w:w w:val="105"/>
          <w:sz w:val="21"/>
          <w:szCs w:val="21"/>
          <w:lang w:eastAsia="zh-CN"/>
        </w:rPr>
        <w:t>办公内部应营造尺度宜人、舒适自然的绿化空间；</w:t>
      </w:r>
    </w:p>
    <w:p>
      <w:pPr>
        <w:pStyle w:val="25"/>
        <w:spacing w:before="5" w:line="380" w:lineRule="atLeast"/>
        <w:ind w:right="121"/>
        <w:rPr>
          <w:color w:val="2D2D2F"/>
          <w:w w:val="105"/>
          <w:sz w:val="21"/>
          <w:szCs w:val="21"/>
          <w:lang w:eastAsia="zh-CN"/>
        </w:rPr>
      </w:pPr>
      <w:r>
        <w:rPr>
          <w:rFonts w:hint="eastAsia"/>
          <w:color w:val="2D2D2F"/>
          <w:w w:val="105"/>
          <w:sz w:val="21"/>
          <w:szCs w:val="21"/>
          <w:lang w:eastAsia="zh-CN"/>
        </w:rPr>
        <w:t>(5)</w:t>
      </w:r>
      <w:r>
        <w:rPr>
          <w:rFonts w:hint="eastAsia"/>
          <w:color w:val="2D2D2F"/>
          <w:w w:val="105"/>
          <w:sz w:val="21"/>
          <w:szCs w:val="21"/>
          <w:lang w:eastAsia="zh-CN"/>
        </w:rPr>
        <w:tab/>
      </w:r>
      <w:r>
        <w:rPr>
          <w:rFonts w:hint="eastAsia"/>
          <w:color w:val="2D2D2F"/>
          <w:w w:val="105"/>
          <w:sz w:val="21"/>
          <w:szCs w:val="21"/>
          <w:lang w:eastAsia="zh-CN"/>
        </w:rPr>
        <w:t>办公空间与文化休闲场所、自由交流空间、配套商业互相融合， 营造轻松舒适的办公环境。</w:t>
      </w:r>
    </w:p>
    <w:p>
      <w:pPr>
        <w:pStyle w:val="25"/>
        <w:spacing w:before="5" w:line="380" w:lineRule="atLeast"/>
        <w:ind w:right="121"/>
        <w:rPr>
          <w:color w:val="2D2D2F"/>
          <w:w w:val="105"/>
          <w:sz w:val="21"/>
          <w:szCs w:val="21"/>
          <w:lang w:eastAsia="zh-CN"/>
        </w:rPr>
      </w:pPr>
      <w:r>
        <w:rPr>
          <w:rFonts w:hint="eastAsia"/>
          <w:color w:val="2D2D2F"/>
          <w:w w:val="105"/>
          <w:sz w:val="21"/>
          <w:szCs w:val="21"/>
          <w:lang w:eastAsia="zh-CN"/>
        </w:rPr>
        <w:t>（6）根据中南钢铁的总部办公需求，对总部的功能分布、办公环境做研究和设计。</w:t>
      </w:r>
    </w:p>
    <w:p>
      <w:pPr>
        <w:pStyle w:val="25"/>
        <w:spacing w:before="5" w:line="380" w:lineRule="atLeast"/>
        <w:ind w:right="121"/>
        <w:rPr>
          <w:color w:val="2D2D2F"/>
          <w:w w:val="105"/>
          <w:sz w:val="21"/>
          <w:szCs w:val="21"/>
          <w:lang w:eastAsia="zh-CN"/>
        </w:rPr>
      </w:pPr>
      <w:r>
        <w:rPr>
          <w:color w:val="2D2D2F"/>
          <w:w w:val="105"/>
          <w:sz w:val="21"/>
          <w:szCs w:val="21"/>
          <w:lang w:eastAsia="zh-CN"/>
        </w:rPr>
        <w:t xml:space="preserve">5.4.2 </w:t>
      </w:r>
      <w:r>
        <w:rPr>
          <w:rFonts w:hint="eastAsia"/>
          <w:color w:val="2D2D2F"/>
          <w:w w:val="105"/>
          <w:sz w:val="21"/>
          <w:szCs w:val="21"/>
          <w:lang w:eastAsia="zh-CN"/>
        </w:rPr>
        <w:t>配套商业建筑及空间要求</w:t>
      </w:r>
    </w:p>
    <w:p>
      <w:pPr>
        <w:pStyle w:val="25"/>
        <w:spacing w:before="5" w:line="380" w:lineRule="atLeast"/>
        <w:ind w:right="121"/>
        <w:rPr>
          <w:color w:val="2D2D2F"/>
          <w:w w:val="105"/>
          <w:sz w:val="21"/>
          <w:szCs w:val="21"/>
          <w:lang w:eastAsia="zh-CN"/>
        </w:rPr>
      </w:pPr>
      <w:r>
        <w:rPr>
          <w:rFonts w:hint="eastAsia"/>
          <w:color w:val="2D2D2F"/>
          <w:w w:val="105"/>
          <w:sz w:val="21"/>
          <w:szCs w:val="21"/>
          <w:lang w:eastAsia="zh-CN"/>
        </w:rPr>
        <w:t>本项目与南侧宝地广场共享商业，除规划要求以及楼宇基本配置外，不另设商业建筑空间。</w:t>
      </w:r>
    </w:p>
    <w:p>
      <w:pPr>
        <w:pStyle w:val="25"/>
        <w:spacing w:before="5" w:line="380" w:lineRule="atLeast"/>
        <w:ind w:right="121"/>
        <w:rPr>
          <w:color w:val="2D2D2F"/>
          <w:w w:val="105"/>
          <w:sz w:val="21"/>
          <w:szCs w:val="21"/>
          <w:lang w:eastAsia="zh-CN"/>
        </w:rPr>
      </w:pPr>
      <w:r>
        <w:rPr>
          <w:color w:val="2D2D2F"/>
          <w:w w:val="105"/>
          <w:sz w:val="21"/>
          <w:szCs w:val="21"/>
          <w:lang w:eastAsia="zh-CN"/>
        </w:rPr>
        <w:t xml:space="preserve">5.4.3 </w:t>
      </w:r>
      <w:r>
        <w:rPr>
          <w:rFonts w:hint="eastAsia"/>
          <w:color w:val="2D2D2F"/>
          <w:w w:val="105"/>
          <w:sz w:val="21"/>
          <w:szCs w:val="21"/>
          <w:lang w:eastAsia="zh-CN"/>
        </w:rPr>
        <w:t>公共配套要求</w:t>
      </w:r>
    </w:p>
    <w:p>
      <w:pPr>
        <w:pStyle w:val="25"/>
        <w:spacing w:before="5" w:line="380" w:lineRule="atLeast"/>
        <w:ind w:right="121"/>
        <w:rPr>
          <w:color w:val="2D2D2F"/>
          <w:w w:val="105"/>
          <w:sz w:val="21"/>
          <w:szCs w:val="21"/>
          <w:lang w:eastAsia="zh-CN"/>
        </w:rPr>
      </w:pPr>
      <w:r>
        <w:rPr>
          <w:rFonts w:hint="eastAsia"/>
          <w:color w:val="2D2D2F"/>
          <w:w w:val="105"/>
          <w:sz w:val="21"/>
          <w:szCs w:val="21"/>
          <w:lang w:eastAsia="zh-CN"/>
        </w:rPr>
        <w:t>满足规划设计要求，根据项目整体定位合理规划动线及楼层。</w:t>
      </w:r>
    </w:p>
    <w:p>
      <w:pPr>
        <w:pStyle w:val="25"/>
        <w:spacing w:before="5" w:line="380" w:lineRule="atLeast"/>
        <w:ind w:right="121"/>
        <w:rPr>
          <w:color w:val="2D2D2F"/>
          <w:w w:val="105"/>
          <w:sz w:val="21"/>
          <w:szCs w:val="21"/>
          <w:lang w:eastAsia="zh-CN"/>
        </w:rPr>
      </w:pPr>
      <w:r>
        <w:rPr>
          <w:color w:val="2D2D2F"/>
          <w:w w:val="105"/>
          <w:sz w:val="21"/>
          <w:szCs w:val="21"/>
          <w:lang w:eastAsia="zh-CN"/>
        </w:rPr>
        <w:t xml:space="preserve">5.5 </w:t>
      </w:r>
      <w:r>
        <w:rPr>
          <w:rFonts w:hint="eastAsia"/>
          <w:color w:val="2D2D2F"/>
          <w:w w:val="105"/>
          <w:sz w:val="21"/>
          <w:szCs w:val="21"/>
          <w:lang w:eastAsia="zh-CN"/>
        </w:rPr>
        <w:t>其他专业设计要求</w:t>
      </w:r>
    </w:p>
    <w:p>
      <w:pPr>
        <w:pStyle w:val="25"/>
        <w:spacing w:before="5" w:line="380" w:lineRule="atLeast"/>
        <w:ind w:right="121"/>
        <w:rPr>
          <w:color w:val="2D2D2F"/>
          <w:w w:val="105"/>
          <w:sz w:val="21"/>
          <w:szCs w:val="21"/>
          <w:lang w:eastAsia="zh-CN"/>
        </w:rPr>
      </w:pPr>
      <w:r>
        <w:rPr>
          <w:color w:val="2D2D2F"/>
          <w:w w:val="105"/>
          <w:sz w:val="21"/>
          <w:szCs w:val="21"/>
          <w:lang w:eastAsia="zh-CN"/>
        </w:rPr>
        <w:t xml:space="preserve">5.5.1 </w:t>
      </w:r>
      <w:r>
        <w:rPr>
          <w:rFonts w:hint="eastAsia"/>
          <w:color w:val="2D2D2F"/>
          <w:w w:val="105"/>
          <w:sz w:val="21"/>
          <w:szCs w:val="21"/>
          <w:lang w:eastAsia="zh-CN"/>
        </w:rPr>
        <w:t>绿色建筑设计要求：本项目按绿色建筑三星建设标准、Leed Gold认证标准进行设计（含BIM 设计）</w:t>
      </w:r>
    </w:p>
    <w:p>
      <w:pPr>
        <w:pStyle w:val="25"/>
        <w:spacing w:before="5" w:line="380" w:lineRule="atLeast"/>
        <w:ind w:right="121"/>
        <w:rPr>
          <w:color w:val="2D2D2F"/>
          <w:w w:val="105"/>
          <w:sz w:val="21"/>
          <w:szCs w:val="21"/>
          <w:lang w:eastAsia="zh-CN"/>
        </w:rPr>
      </w:pPr>
      <w:r>
        <w:rPr>
          <w:color w:val="2D2D2F"/>
          <w:w w:val="105"/>
          <w:sz w:val="21"/>
          <w:szCs w:val="21"/>
          <w:lang w:eastAsia="zh-CN"/>
        </w:rPr>
        <w:t>5.5.2</w:t>
      </w:r>
      <w:r>
        <w:rPr>
          <w:rFonts w:hint="eastAsia"/>
          <w:color w:val="2D2D2F"/>
          <w:w w:val="105"/>
          <w:sz w:val="21"/>
          <w:szCs w:val="21"/>
          <w:lang w:eastAsia="zh-CN"/>
        </w:rPr>
        <w:t>装修设计要求： 本项目装修设计及设计范围需满足绿色建筑等相关的要求，并满足甲方相关部门的具体要求。</w:t>
      </w:r>
    </w:p>
    <w:p>
      <w:pPr>
        <w:pStyle w:val="25"/>
        <w:spacing w:before="5" w:line="380" w:lineRule="atLeast"/>
        <w:ind w:right="121"/>
        <w:rPr>
          <w:color w:val="2D2D2F"/>
          <w:w w:val="105"/>
          <w:sz w:val="21"/>
          <w:szCs w:val="21"/>
          <w:lang w:eastAsia="zh-CN"/>
        </w:rPr>
      </w:pPr>
      <w:r>
        <w:rPr>
          <w:color w:val="2D2D2F"/>
          <w:w w:val="105"/>
          <w:sz w:val="21"/>
          <w:szCs w:val="21"/>
          <w:lang w:eastAsia="zh-CN"/>
        </w:rPr>
        <w:t xml:space="preserve">5.5.3 </w:t>
      </w:r>
      <w:r>
        <w:rPr>
          <w:rFonts w:hint="eastAsia"/>
          <w:color w:val="2D2D2F"/>
          <w:w w:val="105"/>
          <w:sz w:val="21"/>
          <w:szCs w:val="21"/>
          <w:lang w:eastAsia="zh-CN"/>
        </w:rPr>
        <w:t>结构设计要求： 安全、经济合理， 满足建筑功能需求。</w:t>
      </w:r>
    </w:p>
    <w:p>
      <w:pPr>
        <w:pStyle w:val="25"/>
        <w:spacing w:before="5" w:line="380" w:lineRule="atLeast"/>
        <w:ind w:right="121"/>
        <w:rPr>
          <w:color w:val="2D2D2F"/>
          <w:w w:val="105"/>
          <w:sz w:val="21"/>
          <w:szCs w:val="21"/>
          <w:lang w:eastAsia="zh-CN"/>
        </w:rPr>
      </w:pPr>
      <w:r>
        <w:rPr>
          <w:color w:val="2D2D2F"/>
          <w:w w:val="105"/>
          <w:sz w:val="21"/>
          <w:szCs w:val="21"/>
          <w:lang w:eastAsia="zh-CN"/>
        </w:rPr>
        <w:t xml:space="preserve">5.5.4 </w:t>
      </w:r>
      <w:r>
        <w:rPr>
          <w:rFonts w:hint="eastAsia"/>
          <w:color w:val="2D2D2F"/>
          <w:w w:val="105"/>
          <w:sz w:val="21"/>
          <w:szCs w:val="21"/>
          <w:lang w:eastAsia="zh-CN"/>
        </w:rPr>
        <w:t>景观绿化设计要求： 与主体建筑风格统一协调 ， 与场地高差相协调 ， 软硬景比例经济合理，满足消防相关要求。</w:t>
      </w:r>
    </w:p>
    <w:p>
      <w:pPr>
        <w:pStyle w:val="25"/>
        <w:spacing w:before="5" w:line="380" w:lineRule="atLeast"/>
        <w:ind w:right="121"/>
        <w:rPr>
          <w:color w:val="2D2D2F"/>
          <w:w w:val="105"/>
          <w:sz w:val="21"/>
          <w:szCs w:val="21"/>
          <w:lang w:eastAsia="zh-CN"/>
        </w:rPr>
      </w:pPr>
      <w:r>
        <w:rPr>
          <w:color w:val="2D2D2F"/>
          <w:w w:val="105"/>
          <w:sz w:val="21"/>
          <w:szCs w:val="21"/>
          <w:lang w:eastAsia="zh-CN"/>
        </w:rPr>
        <w:t xml:space="preserve">5.5.5 </w:t>
      </w:r>
      <w:r>
        <w:rPr>
          <w:rFonts w:hint="eastAsia"/>
          <w:color w:val="2D2D2F"/>
          <w:w w:val="105"/>
          <w:sz w:val="21"/>
          <w:szCs w:val="21"/>
          <w:lang w:eastAsia="zh-CN"/>
        </w:rPr>
        <w:tab/>
      </w:r>
      <w:r>
        <w:rPr>
          <w:rFonts w:hint="eastAsia"/>
          <w:color w:val="2D2D2F"/>
          <w:w w:val="105"/>
          <w:sz w:val="21"/>
          <w:szCs w:val="21"/>
          <w:lang w:eastAsia="zh-CN"/>
        </w:rPr>
        <w:t>海绵城市设计要求： 依据规划条件落实海绵城市建设要求。</w:t>
      </w:r>
    </w:p>
    <w:p>
      <w:pPr>
        <w:pStyle w:val="25"/>
        <w:spacing w:before="5" w:line="380" w:lineRule="atLeast"/>
        <w:ind w:right="121"/>
        <w:rPr>
          <w:color w:val="2D2D2F"/>
          <w:w w:val="105"/>
          <w:sz w:val="21"/>
          <w:szCs w:val="21"/>
          <w:lang w:eastAsia="zh-CN"/>
        </w:rPr>
      </w:pPr>
      <w:r>
        <w:rPr>
          <w:color w:val="2D2D2F"/>
          <w:w w:val="105"/>
          <w:sz w:val="21"/>
          <w:szCs w:val="21"/>
          <w:lang w:eastAsia="zh-CN"/>
        </w:rPr>
        <w:t xml:space="preserve">5.5.6 </w:t>
      </w:r>
      <w:r>
        <w:rPr>
          <w:rFonts w:hint="eastAsia"/>
          <w:color w:val="2D2D2F"/>
          <w:w w:val="105"/>
          <w:sz w:val="21"/>
          <w:szCs w:val="21"/>
          <w:lang w:eastAsia="zh-CN"/>
        </w:rPr>
        <w:t>装配率要求： 按政府主管部门要求满足装配率设计要求。</w:t>
      </w:r>
    </w:p>
    <w:p>
      <w:pPr>
        <w:pStyle w:val="25"/>
        <w:spacing w:before="5" w:line="380" w:lineRule="atLeast"/>
        <w:ind w:right="121"/>
        <w:rPr>
          <w:color w:val="2D2D2F"/>
          <w:w w:val="105"/>
          <w:sz w:val="21"/>
          <w:szCs w:val="21"/>
          <w:lang w:eastAsia="zh-CN"/>
        </w:rPr>
      </w:pPr>
      <w:r>
        <w:rPr>
          <w:color w:val="2D2D2F"/>
          <w:w w:val="105"/>
          <w:sz w:val="21"/>
          <w:szCs w:val="21"/>
          <w:lang w:eastAsia="zh-CN"/>
        </w:rPr>
        <w:t xml:space="preserve">5.5.7 </w:t>
      </w:r>
      <w:r>
        <w:rPr>
          <w:rFonts w:hint="eastAsia"/>
          <w:color w:val="2D2D2F"/>
          <w:w w:val="105"/>
          <w:sz w:val="21"/>
          <w:szCs w:val="21"/>
          <w:lang w:eastAsia="zh-CN"/>
        </w:rPr>
        <w:t>限额设计： 设计估算应严格控制在发包人发布的控制价范围内，建筑设计需对项目层高净高进行专项分析，对幕墙形式分隔及材料选用做专项经济性分析。</w:t>
      </w:r>
    </w:p>
    <w:p>
      <w:pPr>
        <w:pStyle w:val="25"/>
        <w:spacing w:before="5" w:line="380" w:lineRule="atLeast"/>
        <w:ind w:right="121"/>
        <w:rPr>
          <w:color w:val="2D2D2F"/>
          <w:w w:val="105"/>
          <w:sz w:val="21"/>
          <w:szCs w:val="21"/>
          <w:lang w:eastAsia="zh-CN"/>
        </w:rPr>
      </w:pPr>
      <w:r>
        <w:rPr>
          <w:color w:val="2D2D2F"/>
          <w:w w:val="105"/>
          <w:sz w:val="21"/>
          <w:szCs w:val="21"/>
          <w:lang w:eastAsia="zh-CN"/>
        </w:rPr>
        <w:t xml:space="preserve">5.5.8 </w:t>
      </w:r>
      <w:r>
        <w:rPr>
          <w:rFonts w:hint="eastAsia"/>
          <w:color w:val="2D2D2F"/>
          <w:w w:val="105"/>
          <w:sz w:val="21"/>
          <w:szCs w:val="21"/>
          <w:lang w:eastAsia="zh-CN"/>
        </w:rPr>
        <w:t>对建筑层高的控制需满足如下要求，如有特殊情况无法满足，需双方协商解决：</w:t>
      </w:r>
    </w:p>
    <w:p>
      <w:pPr>
        <w:pStyle w:val="25"/>
        <w:spacing w:before="5" w:line="380" w:lineRule="atLeast"/>
        <w:ind w:right="121"/>
        <w:rPr>
          <w:color w:val="2D2D2F"/>
          <w:w w:val="105"/>
          <w:sz w:val="21"/>
          <w:szCs w:val="21"/>
          <w:lang w:eastAsia="zh-CN"/>
        </w:rPr>
      </w:pPr>
      <w:r>
        <w:rPr>
          <w:color w:val="2D2D2F"/>
          <w:w w:val="105"/>
          <w:sz w:val="21"/>
          <w:szCs w:val="21"/>
          <w:lang w:eastAsia="zh-CN"/>
        </w:rPr>
        <w:t xml:space="preserve">5.5.9 </w:t>
      </w:r>
      <w:r>
        <w:rPr>
          <w:rFonts w:hint="eastAsia"/>
          <w:color w:val="2D2D2F"/>
          <w:w w:val="105"/>
          <w:sz w:val="21"/>
          <w:szCs w:val="21"/>
          <w:lang w:eastAsia="zh-CN"/>
        </w:rPr>
        <w:t>办公建筑标准层层高</w:t>
      </w:r>
      <w:r>
        <w:rPr>
          <w:color w:val="2D2D2F"/>
          <w:w w:val="105"/>
          <w:sz w:val="21"/>
          <w:szCs w:val="21"/>
          <w:lang w:eastAsia="zh-CN"/>
        </w:rPr>
        <w:t>4.5</w:t>
      </w:r>
      <w:r>
        <w:rPr>
          <w:rFonts w:hint="eastAsia"/>
          <w:color w:val="2D2D2F"/>
          <w:w w:val="105"/>
          <w:sz w:val="21"/>
          <w:szCs w:val="21"/>
          <w:lang w:eastAsia="zh-CN"/>
        </w:rPr>
        <w:t>M，办公室内主要区域完成净高不得低于</w:t>
      </w:r>
      <w:r>
        <w:rPr>
          <w:color w:val="2D2D2F"/>
          <w:w w:val="105"/>
          <w:sz w:val="21"/>
          <w:szCs w:val="21"/>
          <w:lang w:eastAsia="zh-CN"/>
        </w:rPr>
        <w:t>3.2</w:t>
      </w:r>
      <w:r>
        <w:rPr>
          <w:rFonts w:hint="eastAsia"/>
          <w:color w:val="2D2D2F"/>
          <w:w w:val="105"/>
          <w:sz w:val="21"/>
          <w:szCs w:val="21"/>
          <w:lang w:eastAsia="zh-CN"/>
        </w:rPr>
        <w:t>M，通廊、走廊净高不得低于2.8M。</w:t>
      </w:r>
    </w:p>
    <w:p>
      <w:pPr>
        <w:pStyle w:val="25"/>
        <w:spacing w:before="5" w:line="380" w:lineRule="atLeast"/>
        <w:ind w:right="121"/>
        <w:rPr>
          <w:color w:val="2D2D2F"/>
          <w:w w:val="105"/>
          <w:sz w:val="21"/>
          <w:szCs w:val="21"/>
          <w:lang w:eastAsia="zh-CN"/>
        </w:rPr>
      </w:pPr>
      <w:r>
        <w:rPr>
          <w:color w:val="2D2D2F"/>
          <w:w w:val="105"/>
          <w:sz w:val="21"/>
          <w:szCs w:val="21"/>
          <w:lang w:eastAsia="zh-CN"/>
        </w:rPr>
        <w:t xml:space="preserve">5.5.10 </w:t>
      </w:r>
      <w:r>
        <w:rPr>
          <w:rFonts w:hint="eastAsia"/>
          <w:color w:val="2D2D2F"/>
          <w:w w:val="105"/>
          <w:sz w:val="21"/>
          <w:szCs w:val="21"/>
          <w:lang w:eastAsia="zh-CN"/>
        </w:rPr>
        <w:t>本项目规划要求机动车及非机动车停车数量各不少于3</w:t>
      </w:r>
      <w:r>
        <w:rPr>
          <w:color w:val="2D2D2F"/>
          <w:w w:val="105"/>
          <w:sz w:val="21"/>
          <w:szCs w:val="21"/>
          <w:lang w:eastAsia="zh-CN"/>
        </w:rPr>
        <w:t>19</w:t>
      </w:r>
      <w:r>
        <w:rPr>
          <w:rFonts w:hint="eastAsia"/>
          <w:color w:val="2D2D2F"/>
          <w:w w:val="105"/>
          <w:sz w:val="21"/>
          <w:szCs w:val="21"/>
          <w:lang w:eastAsia="zh-CN"/>
        </w:rPr>
        <w:t>个，地下室主要功能为停车和设备用房，总体设计三层地下室，局部考虑机械停车。</w:t>
      </w:r>
    </w:p>
    <w:p>
      <w:pPr>
        <w:pStyle w:val="25"/>
        <w:spacing w:before="5" w:line="380" w:lineRule="atLeast"/>
        <w:ind w:right="121"/>
        <w:rPr>
          <w:color w:val="2D2D2F"/>
          <w:w w:val="105"/>
          <w:sz w:val="21"/>
          <w:szCs w:val="21"/>
          <w:lang w:eastAsia="zh-CN"/>
        </w:rPr>
      </w:pPr>
      <w:r>
        <w:rPr>
          <w:color w:val="2D2D2F"/>
          <w:w w:val="105"/>
          <w:sz w:val="21"/>
          <w:szCs w:val="21"/>
          <w:lang w:eastAsia="zh-CN"/>
        </w:rPr>
        <w:t xml:space="preserve">5.5.11 </w:t>
      </w:r>
      <w:r>
        <w:rPr>
          <w:rFonts w:hint="eastAsia"/>
          <w:color w:val="2D2D2F"/>
          <w:w w:val="105"/>
          <w:sz w:val="21"/>
          <w:szCs w:val="21"/>
          <w:lang w:eastAsia="zh-CN"/>
        </w:rPr>
        <w:t>电梯（核心筒）： 知名品牌， 5分钟运送能力在 12％以上，候梯时间不超过 3</w:t>
      </w:r>
      <w:r>
        <w:rPr>
          <w:color w:val="2D2D2F"/>
          <w:w w:val="105"/>
          <w:sz w:val="21"/>
          <w:szCs w:val="21"/>
          <w:lang w:eastAsia="zh-CN"/>
        </w:rPr>
        <w:t>5</w:t>
      </w:r>
      <w:r>
        <w:rPr>
          <w:rFonts w:hint="eastAsia"/>
          <w:color w:val="2D2D2F"/>
          <w:w w:val="105"/>
          <w:sz w:val="21"/>
          <w:szCs w:val="21"/>
          <w:lang w:eastAsia="zh-CN"/>
        </w:rPr>
        <w:t>秒， 载重量 1.6 吨／台（预留装修荷载500kg) ，梯厢空顶高度 3.</w:t>
      </w:r>
      <w:r>
        <w:rPr>
          <w:rFonts w:hint="eastAsia"/>
          <w:color w:val="2D2D2F"/>
          <w:w w:val="105"/>
          <w:sz w:val="21"/>
          <w:szCs w:val="21"/>
          <w:lang w:val="en-US" w:eastAsia="zh-CN"/>
        </w:rPr>
        <w:t>2</w:t>
      </w:r>
      <w:r>
        <w:rPr>
          <w:rFonts w:hint="eastAsia"/>
          <w:color w:val="2D2D2F"/>
          <w:w w:val="105"/>
          <w:sz w:val="21"/>
          <w:szCs w:val="21"/>
          <w:lang w:eastAsia="zh-CN"/>
        </w:rPr>
        <w:t xml:space="preserve"> 米（净高不小于</w:t>
      </w:r>
      <w:r>
        <w:rPr>
          <w:rFonts w:hint="eastAsia"/>
          <w:color w:val="2D2D2F"/>
          <w:w w:val="105"/>
          <w:sz w:val="21"/>
          <w:szCs w:val="21"/>
          <w:lang w:val="en-US" w:eastAsia="zh-CN"/>
        </w:rPr>
        <w:t>2.8</w:t>
      </w:r>
      <w:r>
        <w:rPr>
          <w:rFonts w:hint="eastAsia"/>
          <w:color w:val="2D2D2F"/>
          <w:w w:val="105"/>
          <w:sz w:val="21"/>
          <w:szCs w:val="21"/>
          <w:lang w:eastAsia="zh-CN"/>
        </w:rPr>
        <w:t xml:space="preserve"> 米）。货梯、消防梯的相关要求根据实际需要确定。</w:t>
      </w:r>
    </w:p>
    <w:p>
      <w:pPr>
        <w:pStyle w:val="25"/>
        <w:spacing w:before="5" w:line="380" w:lineRule="atLeast"/>
        <w:ind w:right="121"/>
        <w:rPr>
          <w:color w:val="2D2D2F"/>
          <w:w w:val="105"/>
          <w:sz w:val="21"/>
          <w:szCs w:val="21"/>
          <w:lang w:eastAsia="zh-CN"/>
        </w:rPr>
      </w:pPr>
      <w:r>
        <w:rPr>
          <w:color w:val="2D2D2F"/>
          <w:w w:val="105"/>
          <w:sz w:val="21"/>
          <w:szCs w:val="21"/>
          <w:lang w:eastAsia="zh-CN"/>
        </w:rPr>
        <w:t>5.5.1</w:t>
      </w:r>
      <w:r>
        <w:rPr>
          <w:rFonts w:hint="eastAsia"/>
          <w:color w:val="2D2D2F"/>
          <w:w w:val="105"/>
          <w:sz w:val="21"/>
          <w:szCs w:val="21"/>
          <w:lang w:eastAsia="zh-CN"/>
        </w:rPr>
        <w:t>2</w:t>
      </w:r>
      <w:r>
        <w:rPr>
          <w:color w:val="2D2D2F"/>
          <w:w w:val="105"/>
          <w:sz w:val="21"/>
          <w:szCs w:val="21"/>
          <w:lang w:eastAsia="zh-CN"/>
        </w:rPr>
        <w:t xml:space="preserve"> 结构设计： 设计人在保证设计质量的前提下 ，应遵循功能适用、标准合理、经济合理的原则开展设计工作，需对“核心筒、外框柱、楼盖形式、塔冠、地下室楼盖、基础形式”进行多方案比选，实行限额设计，确保工程概预算不突破限额目标。本项目需按照以下数据完成限额设计要求：</w:t>
      </w:r>
    </w:p>
    <w:p>
      <w:pPr>
        <w:spacing w:before="120" w:after="120" w:line="400" w:lineRule="exact"/>
        <w:ind w:firstLine="420" w:firstLineChars="200"/>
        <w:rPr>
          <w:rFonts w:ascii="宋体" w:hAnsi="宋体" w:cs="宋体"/>
          <w:szCs w:val="21"/>
        </w:rPr>
      </w:pPr>
      <w:r>
        <w:rPr>
          <w:rFonts w:hint="eastAsia" w:ascii="宋体" w:hAnsi="宋体" w:cs="宋体"/>
          <w:szCs w:val="21"/>
        </w:rPr>
        <w:t>（1）地上塔楼（不含室外连廊）：砼指标0.30m3/m2，钢结构、钢筋指标155kg/m2。</w:t>
      </w:r>
    </w:p>
    <w:p>
      <w:pPr>
        <w:spacing w:before="120" w:after="120" w:line="400" w:lineRule="exact"/>
        <w:ind w:firstLine="420" w:firstLineChars="200"/>
        <w:rPr>
          <w:rFonts w:ascii="宋体" w:hAnsi="宋体" w:cs="宋体"/>
          <w:szCs w:val="21"/>
        </w:rPr>
      </w:pPr>
      <w:r>
        <w:rPr>
          <w:rFonts w:hint="eastAsia" w:ascii="宋体" w:hAnsi="宋体" w:cs="宋体"/>
          <w:szCs w:val="21"/>
        </w:rPr>
        <w:t>指标说明：</w:t>
      </w:r>
    </w:p>
    <w:p>
      <w:pPr>
        <w:spacing w:before="120" w:after="120" w:line="400" w:lineRule="exact"/>
        <w:ind w:firstLine="420" w:firstLineChars="200"/>
        <w:rPr>
          <w:rFonts w:ascii="宋体" w:hAnsi="宋体" w:cs="宋体"/>
          <w:szCs w:val="21"/>
        </w:rPr>
      </w:pPr>
      <w:r>
        <w:rPr>
          <w:rFonts w:hint="eastAsia" w:ascii="宋体" w:hAnsi="宋体" w:cs="宋体"/>
          <w:szCs w:val="21"/>
        </w:rPr>
        <w:t>①指标以地上塔楼建筑面积为计算基数，不包含室外连廊部分。</w:t>
      </w:r>
    </w:p>
    <w:p>
      <w:pPr>
        <w:spacing w:before="120" w:after="120" w:line="400" w:lineRule="exact"/>
        <w:ind w:firstLine="420" w:firstLineChars="200"/>
        <w:rPr>
          <w:rFonts w:ascii="宋体" w:hAnsi="宋体" w:cs="宋体"/>
          <w:szCs w:val="21"/>
        </w:rPr>
      </w:pPr>
      <w:r>
        <w:rPr>
          <w:rFonts w:hint="eastAsia" w:ascii="宋体" w:hAnsi="宋体" w:cs="宋体"/>
          <w:szCs w:val="21"/>
        </w:rPr>
        <w:t>②钢结构、钢筋指标为地上塔楼的钢结构与钢筋含量之和，不包含地下室钢插柱工程量，不包含桁架楼承板本体自带钢筋工程量。</w:t>
      </w:r>
    </w:p>
    <w:p>
      <w:pPr>
        <w:spacing w:before="120" w:after="120" w:line="400" w:lineRule="exact"/>
        <w:ind w:firstLine="440" w:firstLineChars="200"/>
        <w:rPr>
          <w:rFonts w:ascii="宋体" w:hAnsi="宋体" w:cs="宋体"/>
          <w:szCs w:val="21"/>
        </w:rPr>
      </w:pPr>
      <w:r>
        <w:rPr>
          <w:rFonts w:hint="eastAsia" w:ascii="宋体" w:hAnsi="宋体" w:cs="Times New Roman"/>
          <w:color w:val="2D2D2F"/>
          <w:w w:val="105"/>
          <w:szCs w:val="21"/>
        </w:rPr>
        <w:t>③</w:t>
      </w:r>
      <w:r>
        <w:rPr>
          <w:rFonts w:hint="eastAsia" w:ascii="宋体" w:hAnsi="宋体" w:cs="宋体"/>
          <w:szCs w:val="21"/>
        </w:rPr>
        <w:t>不包含二次结构钢筋工程量。</w:t>
      </w:r>
    </w:p>
    <w:p>
      <w:pPr>
        <w:spacing w:before="120" w:after="120" w:line="400" w:lineRule="exact"/>
        <w:ind w:firstLine="420" w:firstLineChars="200"/>
        <w:rPr>
          <w:rFonts w:ascii="宋体" w:hAnsi="宋体" w:cs="宋体"/>
          <w:szCs w:val="21"/>
        </w:rPr>
      </w:pPr>
      <w:r>
        <w:rPr>
          <w:rFonts w:hint="eastAsia" w:ascii="宋体" w:hAnsi="宋体" w:cs="宋体"/>
          <w:szCs w:val="21"/>
        </w:rPr>
        <w:t>（2）地下室：砼指标1.00 m3/m2，钢筋指标155kg/m2。</w:t>
      </w:r>
    </w:p>
    <w:p>
      <w:pPr>
        <w:spacing w:before="120" w:after="120" w:line="400" w:lineRule="exact"/>
        <w:ind w:firstLine="420" w:firstLineChars="200"/>
        <w:rPr>
          <w:rFonts w:ascii="宋体" w:hAnsi="宋体" w:cs="宋体"/>
          <w:szCs w:val="21"/>
        </w:rPr>
      </w:pPr>
      <w:r>
        <w:rPr>
          <w:rFonts w:hint="eastAsia" w:ascii="宋体" w:hAnsi="宋体" w:cs="宋体"/>
          <w:szCs w:val="21"/>
        </w:rPr>
        <w:t>指标说明：</w:t>
      </w:r>
    </w:p>
    <w:p>
      <w:pPr>
        <w:spacing w:before="120" w:after="120" w:line="400" w:lineRule="exact"/>
        <w:ind w:firstLine="420" w:firstLineChars="200"/>
        <w:rPr>
          <w:rFonts w:ascii="宋体" w:hAnsi="宋体" w:cs="宋体"/>
          <w:szCs w:val="21"/>
        </w:rPr>
      </w:pPr>
      <w:r>
        <w:rPr>
          <w:rFonts w:hint="eastAsia" w:ascii="宋体" w:hAnsi="宋体" w:cs="宋体"/>
          <w:szCs w:val="21"/>
        </w:rPr>
        <w:t>①指标以地下室建筑面积为计算基数，包含人防区域和非人防区域。</w:t>
      </w:r>
    </w:p>
    <w:p>
      <w:pPr>
        <w:spacing w:before="120" w:after="120" w:line="400" w:lineRule="exact"/>
        <w:ind w:firstLine="420" w:firstLineChars="200"/>
        <w:rPr>
          <w:rFonts w:ascii="宋体" w:hAnsi="宋体" w:cs="宋体"/>
          <w:szCs w:val="21"/>
        </w:rPr>
      </w:pPr>
      <w:r>
        <w:rPr>
          <w:rFonts w:hint="eastAsia" w:ascii="宋体" w:hAnsi="宋体" w:cs="宋体"/>
          <w:szCs w:val="21"/>
        </w:rPr>
        <w:t>②钢筋指标为地下室钢筋与地下室钢插柱含量之和。</w:t>
      </w:r>
    </w:p>
    <w:p>
      <w:pPr>
        <w:spacing w:before="120" w:after="120" w:line="400" w:lineRule="exact"/>
        <w:ind w:firstLine="440" w:firstLineChars="200"/>
        <w:rPr>
          <w:rFonts w:ascii="宋体" w:hAnsi="宋体" w:cs="宋体"/>
          <w:szCs w:val="21"/>
        </w:rPr>
      </w:pPr>
      <w:r>
        <w:rPr>
          <w:rFonts w:hint="eastAsia" w:ascii="宋体" w:hAnsi="宋体" w:cs="Times New Roman"/>
          <w:color w:val="2D2D2F"/>
          <w:w w:val="105"/>
          <w:szCs w:val="21"/>
        </w:rPr>
        <w:t>③</w:t>
      </w:r>
      <w:r>
        <w:rPr>
          <w:rFonts w:hint="eastAsia" w:ascii="宋体" w:hAnsi="宋体" w:cs="宋体"/>
          <w:szCs w:val="21"/>
        </w:rPr>
        <w:t>指标不包含基础垫层、桩基、地基处理、基坑支护和二次结构工程量。</w:t>
      </w:r>
    </w:p>
    <w:p>
      <w:pPr>
        <w:pStyle w:val="25"/>
        <w:spacing w:before="5" w:line="380" w:lineRule="atLeast"/>
        <w:ind w:right="121"/>
        <w:rPr>
          <w:color w:val="2D2D2F"/>
          <w:w w:val="105"/>
          <w:sz w:val="21"/>
          <w:szCs w:val="21"/>
          <w:lang w:eastAsia="zh-CN"/>
        </w:rPr>
      </w:pPr>
      <w:r>
        <w:rPr>
          <w:rFonts w:hint="eastAsia"/>
          <w:color w:val="2D2D2F"/>
          <w:w w:val="105"/>
          <w:sz w:val="21"/>
          <w:szCs w:val="21"/>
          <w:lang w:eastAsia="zh-CN"/>
        </w:rPr>
        <w:t xml:space="preserve">   （3）限额设计值将根据最终稳定方案进行调整，最终值以双方书面确认为准。</w:t>
      </w:r>
    </w:p>
    <w:p>
      <w:pPr>
        <w:pStyle w:val="25"/>
        <w:spacing w:before="5" w:line="380" w:lineRule="atLeast"/>
        <w:ind w:right="121"/>
        <w:rPr>
          <w:color w:val="2D2D2F"/>
          <w:w w:val="105"/>
          <w:sz w:val="21"/>
          <w:szCs w:val="21"/>
          <w:lang w:eastAsia="zh-CN"/>
        </w:rPr>
      </w:pPr>
      <w:r>
        <w:rPr>
          <w:rFonts w:hint="eastAsia"/>
          <w:color w:val="2D2D2F"/>
          <w:w w:val="105"/>
          <w:sz w:val="21"/>
          <w:szCs w:val="21"/>
          <w:lang w:eastAsia="zh-CN"/>
        </w:rPr>
        <w:t>5</w:t>
      </w:r>
      <w:r>
        <w:rPr>
          <w:color w:val="2D2D2F"/>
          <w:w w:val="105"/>
          <w:sz w:val="21"/>
          <w:szCs w:val="21"/>
          <w:lang w:eastAsia="zh-CN"/>
        </w:rPr>
        <w:t>.5.1</w:t>
      </w:r>
      <w:r>
        <w:rPr>
          <w:rFonts w:hint="eastAsia"/>
          <w:color w:val="2D2D2F"/>
          <w:w w:val="105"/>
          <w:sz w:val="21"/>
          <w:szCs w:val="21"/>
          <w:lang w:eastAsia="zh-CN"/>
        </w:rPr>
        <w:t>3基坑围护设计：在确保基坑安全的前提下，研究经济合理，具有施工可行性的基坑围护方案。</w:t>
      </w:r>
    </w:p>
    <w:p>
      <w:pPr>
        <w:pStyle w:val="25"/>
        <w:spacing w:before="5" w:line="380" w:lineRule="atLeast"/>
        <w:ind w:right="121"/>
        <w:rPr>
          <w:color w:val="2D2D2F"/>
          <w:w w:val="105"/>
          <w:sz w:val="21"/>
          <w:szCs w:val="21"/>
          <w:lang w:eastAsia="zh-CN"/>
        </w:rPr>
      </w:pPr>
      <w:r>
        <w:rPr>
          <w:rFonts w:hint="eastAsia"/>
          <w:color w:val="2D2D2F"/>
          <w:w w:val="105"/>
          <w:sz w:val="21"/>
          <w:szCs w:val="21"/>
          <w:lang w:eastAsia="zh-CN"/>
        </w:rPr>
        <w:t>5</w:t>
      </w:r>
      <w:r>
        <w:rPr>
          <w:color w:val="2D2D2F"/>
          <w:w w:val="105"/>
          <w:sz w:val="21"/>
          <w:szCs w:val="21"/>
          <w:lang w:eastAsia="zh-CN"/>
        </w:rPr>
        <w:t>.5.1</w:t>
      </w:r>
      <w:r>
        <w:rPr>
          <w:rFonts w:hint="eastAsia"/>
          <w:color w:val="2D2D2F"/>
          <w:w w:val="105"/>
          <w:sz w:val="21"/>
          <w:szCs w:val="21"/>
          <w:lang w:eastAsia="zh-CN"/>
        </w:rPr>
        <w:t>4</w:t>
      </w:r>
      <w:r>
        <w:rPr>
          <w:color w:val="2D2D2F"/>
          <w:w w:val="105"/>
          <w:sz w:val="21"/>
          <w:szCs w:val="21"/>
          <w:lang w:eastAsia="zh-CN"/>
        </w:rPr>
        <w:t xml:space="preserve"> </w:t>
      </w:r>
      <w:r>
        <w:rPr>
          <w:rFonts w:hint="eastAsia"/>
          <w:color w:val="2D2D2F"/>
          <w:w w:val="105"/>
          <w:sz w:val="21"/>
          <w:szCs w:val="21"/>
          <w:lang w:eastAsia="zh-CN"/>
        </w:rPr>
        <w:t>幕墙的方案及深化设计：幕墙设计应开展多方案比选，满足大楼定位，体现宝武文化，并与周边环境相协调，满足相关的安全性评价、光学影响评价以及经济性评价等。</w:t>
      </w:r>
    </w:p>
    <w:p>
      <w:pPr>
        <w:pStyle w:val="25"/>
        <w:spacing w:before="5" w:line="380" w:lineRule="atLeast"/>
        <w:ind w:right="121"/>
        <w:rPr>
          <w:color w:val="2D2D2F"/>
          <w:w w:val="105"/>
          <w:sz w:val="21"/>
          <w:szCs w:val="21"/>
          <w:lang w:eastAsia="zh-CN"/>
        </w:rPr>
      </w:pPr>
      <w:r>
        <w:rPr>
          <w:rFonts w:hint="eastAsia"/>
          <w:color w:val="2D2D2F"/>
          <w:w w:val="105"/>
          <w:sz w:val="21"/>
          <w:szCs w:val="21"/>
          <w:lang w:eastAsia="zh-CN"/>
        </w:rPr>
        <w:t>5</w:t>
      </w:r>
      <w:r>
        <w:rPr>
          <w:color w:val="2D2D2F"/>
          <w:w w:val="105"/>
          <w:sz w:val="21"/>
          <w:szCs w:val="21"/>
          <w:lang w:eastAsia="zh-CN"/>
        </w:rPr>
        <w:t>.5.1</w:t>
      </w:r>
      <w:r>
        <w:rPr>
          <w:rFonts w:hint="eastAsia"/>
          <w:color w:val="2D2D2F"/>
          <w:w w:val="105"/>
          <w:sz w:val="21"/>
          <w:szCs w:val="21"/>
          <w:lang w:eastAsia="zh-CN"/>
        </w:rPr>
        <w:t>5</w:t>
      </w:r>
      <w:r>
        <w:rPr>
          <w:color w:val="2D2D2F"/>
          <w:w w:val="105"/>
          <w:sz w:val="21"/>
          <w:szCs w:val="21"/>
          <w:lang w:eastAsia="zh-CN"/>
        </w:rPr>
        <w:t xml:space="preserve"> </w:t>
      </w:r>
      <w:r>
        <w:rPr>
          <w:rFonts w:hint="eastAsia"/>
          <w:color w:val="2D2D2F"/>
          <w:w w:val="105"/>
          <w:sz w:val="21"/>
          <w:szCs w:val="21"/>
          <w:lang w:eastAsia="zh-CN"/>
        </w:rPr>
        <w:t>智能化系统： 达到 5A 级标准。</w:t>
      </w:r>
    </w:p>
    <w:p>
      <w:pPr>
        <w:pStyle w:val="25"/>
        <w:spacing w:before="5" w:line="380" w:lineRule="atLeast"/>
        <w:ind w:right="121"/>
        <w:rPr>
          <w:color w:val="2D2D2F"/>
          <w:w w:val="105"/>
          <w:sz w:val="21"/>
          <w:szCs w:val="21"/>
          <w:lang w:eastAsia="zh-CN"/>
        </w:rPr>
      </w:pPr>
      <w:r>
        <w:rPr>
          <w:rFonts w:hint="eastAsia"/>
          <w:color w:val="2D2D2F"/>
          <w:w w:val="105"/>
          <w:sz w:val="21"/>
          <w:szCs w:val="21"/>
          <w:lang w:eastAsia="zh-CN"/>
        </w:rPr>
        <w:t>5</w:t>
      </w:r>
      <w:r>
        <w:rPr>
          <w:color w:val="2D2D2F"/>
          <w:w w:val="105"/>
          <w:sz w:val="21"/>
          <w:szCs w:val="21"/>
          <w:lang w:eastAsia="zh-CN"/>
        </w:rPr>
        <w:t>.5.1</w:t>
      </w:r>
      <w:r>
        <w:rPr>
          <w:rFonts w:hint="eastAsia"/>
          <w:color w:val="2D2D2F"/>
          <w:w w:val="105"/>
          <w:sz w:val="21"/>
          <w:szCs w:val="21"/>
          <w:lang w:eastAsia="zh-CN"/>
        </w:rPr>
        <w:t>6</w:t>
      </w:r>
      <w:r>
        <w:rPr>
          <w:color w:val="2D2D2F"/>
          <w:w w:val="105"/>
          <w:sz w:val="21"/>
          <w:szCs w:val="21"/>
          <w:lang w:eastAsia="zh-CN"/>
        </w:rPr>
        <w:t xml:space="preserve"> </w:t>
      </w:r>
      <w:r>
        <w:rPr>
          <w:rFonts w:hint="eastAsia"/>
          <w:color w:val="2D2D2F"/>
          <w:w w:val="105"/>
          <w:sz w:val="21"/>
          <w:szCs w:val="21"/>
          <w:lang w:eastAsia="zh-CN"/>
        </w:rPr>
        <w:t>机电配置要求（最终以发包人确认为准）</w:t>
      </w:r>
    </w:p>
    <w:p>
      <w:pPr>
        <w:pStyle w:val="25"/>
        <w:spacing w:before="5" w:line="380" w:lineRule="atLeast"/>
        <w:ind w:right="121"/>
        <w:rPr>
          <w:color w:val="2D2D2F"/>
          <w:w w:val="105"/>
          <w:sz w:val="21"/>
          <w:szCs w:val="21"/>
          <w:lang w:eastAsia="zh-CN"/>
        </w:rPr>
      </w:pPr>
      <w:r>
        <w:rPr>
          <w:color w:val="2D2D2F"/>
          <w:w w:val="105"/>
          <w:sz w:val="21"/>
          <w:szCs w:val="21"/>
          <w:lang w:eastAsia="zh-CN"/>
        </w:rPr>
        <w:t>5.5.1</w:t>
      </w:r>
      <w:r>
        <w:rPr>
          <w:rFonts w:hint="eastAsia"/>
          <w:color w:val="2D2D2F"/>
          <w:w w:val="105"/>
          <w:sz w:val="21"/>
          <w:szCs w:val="21"/>
          <w:lang w:eastAsia="zh-CN"/>
        </w:rPr>
        <w:t>7</w:t>
      </w:r>
      <w:r>
        <w:rPr>
          <w:color w:val="2D2D2F"/>
          <w:w w:val="105"/>
          <w:sz w:val="21"/>
          <w:szCs w:val="21"/>
          <w:lang w:eastAsia="zh-CN"/>
        </w:rPr>
        <w:t xml:space="preserve"> </w:t>
      </w:r>
      <w:r>
        <w:rPr>
          <w:rFonts w:hint="eastAsia"/>
          <w:color w:val="2D2D2F"/>
          <w:w w:val="105"/>
          <w:sz w:val="21"/>
          <w:szCs w:val="21"/>
          <w:lang w:eastAsia="zh-CN"/>
        </w:rPr>
        <w:t>配合业主完成设计阶段的各项专项审查，并承担相关费用（含专家评审费）。</w:t>
      </w:r>
    </w:p>
    <w:p>
      <w:pPr>
        <w:pStyle w:val="25"/>
        <w:spacing w:before="5" w:line="380" w:lineRule="atLeast"/>
        <w:ind w:right="121"/>
        <w:rPr>
          <w:color w:val="2D2D2F"/>
          <w:w w:val="105"/>
          <w:sz w:val="21"/>
          <w:szCs w:val="21"/>
          <w:lang w:eastAsia="zh-CN"/>
        </w:rPr>
      </w:pPr>
    </w:p>
    <w:p>
      <w:pPr>
        <w:pStyle w:val="13"/>
        <w:ind w:firstLine="562"/>
        <w:rPr>
          <w:rFonts w:ascii="宋体" w:hAnsi="宋体" w:eastAsia="宋体"/>
          <w:sz w:val="28"/>
          <w:szCs w:val="21"/>
        </w:rPr>
      </w:pPr>
      <w:bookmarkStart w:id="15" w:name="_Toc121692790"/>
      <w:r>
        <w:rPr>
          <w:rFonts w:hint="eastAsia" w:ascii="宋体" w:hAnsi="宋体" w:eastAsia="宋体"/>
          <w:sz w:val="28"/>
          <w:szCs w:val="21"/>
        </w:rPr>
        <w:t>第六章</w:t>
      </w:r>
      <w:r>
        <w:rPr>
          <w:rFonts w:ascii="宋体" w:hAnsi="宋体" w:eastAsia="宋体"/>
          <w:sz w:val="28"/>
          <w:szCs w:val="21"/>
        </w:rPr>
        <w:t xml:space="preserve">  </w:t>
      </w:r>
      <w:r>
        <w:rPr>
          <w:rFonts w:hint="eastAsia" w:ascii="宋体" w:hAnsi="宋体" w:eastAsia="宋体"/>
          <w:sz w:val="28"/>
          <w:szCs w:val="21"/>
        </w:rPr>
        <w:t>设计深度要求</w:t>
      </w:r>
      <w:bookmarkEnd w:id="15"/>
    </w:p>
    <w:p>
      <w:pPr>
        <w:pStyle w:val="25"/>
        <w:spacing w:before="5" w:line="380" w:lineRule="atLeast"/>
        <w:ind w:right="121"/>
        <w:rPr>
          <w:color w:val="2D2D2F"/>
          <w:w w:val="105"/>
          <w:sz w:val="21"/>
          <w:szCs w:val="21"/>
          <w:lang w:eastAsia="zh-CN"/>
        </w:rPr>
      </w:pPr>
      <w:r>
        <w:rPr>
          <w:color w:val="2D2D2F"/>
          <w:w w:val="105"/>
          <w:sz w:val="21"/>
          <w:szCs w:val="21"/>
          <w:lang w:eastAsia="zh-CN"/>
        </w:rPr>
        <w:t xml:space="preserve">6.1 </w:t>
      </w:r>
      <w:r>
        <w:rPr>
          <w:rFonts w:hint="eastAsia"/>
          <w:color w:val="2D2D2F"/>
          <w:w w:val="105"/>
          <w:sz w:val="21"/>
          <w:szCs w:val="21"/>
          <w:lang w:eastAsia="zh-CN"/>
        </w:rPr>
        <w:t>对各阶段设计文件设计深度的要求</w:t>
      </w:r>
    </w:p>
    <w:p>
      <w:pPr>
        <w:pStyle w:val="25"/>
        <w:spacing w:before="5" w:line="380" w:lineRule="atLeast"/>
        <w:ind w:right="121"/>
        <w:rPr>
          <w:color w:val="2D2D2F"/>
          <w:w w:val="105"/>
          <w:sz w:val="21"/>
          <w:szCs w:val="21"/>
          <w:lang w:eastAsia="zh-CN"/>
        </w:rPr>
      </w:pPr>
      <w:r>
        <w:rPr>
          <w:rFonts w:hint="eastAsia"/>
          <w:color w:val="2D2D2F"/>
          <w:w w:val="105"/>
          <w:sz w:val="21"/>
          <w:szCs w:val="21"/>
          <w:lang w:eastAsia="zh-CN"/>
        </w:rPr>
        <w:t>6</w:t>
      </w:r>
      <w:r>
        <w:rPr>
          <w:color w:val="2D2D2F"/>
          <w:w w:val="105"/>
          <w:sz w:val="21"/>
          <w:szCs w:val="21"/>
          <w:lang w:eastAsia="zh-CN"/>
        </w:rPr>
        <w:t xml:space="preserve">.1.1 </w:t>
      </w:r>
      <w:r>
        <w:rPr>
          <w:rFonts w:hint="eastAsia"/>
          <w:color w:val="2D2D2F"/>
          <w:w w:val="105"/>
          <w:sz w:val="21"/>
          <w:szCs w:val="21"/>
          <w:lang w:eastAsia="zh-CN"/>
        </w:rPr>
        <w:t>设计文件的设计深度，应符合国家和当地政府相关主管部门对各阶段、各专业设计文件编制深度并满足建筑专业报建及单体报建的图纸深度。</w:t>
      </w:r>
    </w:p>
    <w:p>
      <w:pPr>
        <w:pStyle w:val="25"/>
        <w:spacing w:before="5" w:line="380" w:lineRule="atLeast"/>
        <w:ind w:right="121"/>
        <w:rPr>
          <w:color w:val="2D2D2F"/>
          <w:w w:val="105"/>
          <w:sz w:val="21"/>
          <w:szCs w:val="21"/>
          <w:lang w:eastAsia="zh-CN"/>
        </w:rPr>
      </w:pPr>
      <w:r>
        <w:rPr>
          <w:rFonts w:hint="eastAsia"/>
          <w:color w:val="2D2D2F"/>
          <w:w w:val="105"/>
          <w:sz w:val="21"/>
          <w:szCs w:val="21"/>
          <w:lang w:eastAsia="zh-CN"/>
        </w:rPr>
        <w:t>6</w:t>
      </w:r>
      <w:r>
        <w:rPr>
          <w:color w:val="2D2D2F"/>
          <w:w w:val="105"/>
          <w:sz w:val="21"/>
          <w:szCs w:val="21"/>
          <w:lang w:eastAsia="zh-CN"/>
        </w:rPr>
        <w:t xml:space="preserve">.1.2 </w:t>
      </w:r>
      <w:r>
        <w:rPr>
          <w:rFonts w:hint="eastAsia"/>
          <w:color w:val="2D2D2F"/>
          <w:w w:val="105"/>
          <w:sz w:val="21"/>
          <w:szCs w:val="21"/>
          <w:lang w:eastAsia="zh-CN"/>
        </w:rPr>
        <w:t>规划设计应满足城市规划的管理要求，并满足规划推演的合理性要求（城市环境协调要求、商业界面强制要求、交通界面强制要求等）。立面形式在尊重概念方案的基础上进行合理优化，并需要获得概念方案主创设计的同意。总体规划布局及产品应满足发包人及相应股权方的过程审查的意见及要求。并无偿修改至发包人主管单位的确认。</w:t>
      </w:r>
    </w:p>
    <w:p>
      <w:pPr>
        <w:pStyle w:val="25"/>
        <w:spacing w:before="5" w:line="380" w:lineRule="atLeast"/>
        <w:ind w:right="121"/>
        <w:rPr>
          <w:color w:val="2D2D2F"/>
          <w:w w:val="105"/>
          <w:sz w:val="21"/>
          <w:szCs w:val="21"/>
          <w:lang w:eastAsia="zh-CN"/>
        </w:rPr>
      </w:pPr>
      <w:r>
        <w:rPr>
          <w:color w:val="2D2D2F"/>
          <w:w w:val="105"/>
          <w:sz w:val="21"/>
          <w:szCs w:val="21"/>
          <w:lang w:eastAsia="zh-CN"/>
        </w:rPr>
        <w:t xml:space="preserve">6.2 </w:t>
      </w:r>
      <w:r>
        <w:rPr>
          <w:rFonts w:hint="eastAsia"/>
          <w:color w:val="2D2D2F"/>
          <w:w w:val="105"/>
          <w:sz w:val="21"/>
          <w:szCs w:val="21"/>
          <w:lang w:eastAsia="zh-CN"/>
        </w:rPr>
        <w:t>方案设计文件</w:t>
      </w:r>
    </w:p>
    <w:p>
      <w:pPr>
        <w:pStyle w:val="25"/>
        <w:spacing w:before="5" w:line="380" w:lineRule="atLeast"/>
        <w:ind w:right="121"/>
        <w:rPr>
          <w:color w:val="2D2D2F"/>
          <w:w w:val="105"/>
          <w:sz w:val="21"/>
          <w:szCs w:val="21"/>
          <w:lang w:eastAsia="zh-CN"/>
        </w:rPr>
      </w:pPr>
      <w:r>
        <w:rPr>
          <w:rFonts w:hint="eastAsia"/>
          <w:color w:val="2D2D2F"/>
          <w:w w:val="105"/>
          <w:sz w:val="21"/>
          <w:szCs w:val="21"/>
          <w:lang w:eastAsia="zh-CN"/>
        </w:rPr>
        <w:t>6.2.1根据外方设计单位的概念方案，结合运营方的功能需求以及方案本身的合理性、经济性和实施性，对概念方案进行优化；根据审批部门的规划要求、建设要求及地方规范、标准格式等相关要求完成报审文件的制作；并根据审批过程中的意见对建筑方案进行调整和深化，直到获得甲方以及政府部门的批准为止。</w:t>
      </w:r>
    </w:p>
    <w:p>
      <w:pPr>
        <w:pStyle w:val="25"/>
        <w:spacing w:before="5" w:line="380" w:lineRule="atLeast"/>
        <w:ind w:right="121"/>
        <w:rPr>
          <w:color w:val="2D2D2F"/>
          <w:w w:val="105"/>
          <w:sz w:val="21"/>
          <w:szCs w:val="21"/>
          <w:lang w:eastAsia="zh-CN"/>
        </w:rPr>
      </w:pPr>
      <w:r>
        <w:rPr>
          <w:color w:val="2D2D2F"/>
          <w:w w:val="105"/>
          <w:sz w:val="21"/>
          <w:szCs w:val="21"/>
          <w:lang w:eastAsia="zh-CN"/>
        </w:rPr>
        <w:t xml:space="preserve">6.2.2 </w:t>
      </w:r>
      <w:r>
        <w:rPr>
          <w:rFonts w:hint="eastAsia"/>
          <w:color w:val="2D2D2F"/>
          <w:w w:val="105"/>
          <w:sz w:val="21"/>
          <w:szCs w:val="21"/>
          <w:lang w:eastAsia="zh-CN"/>
        </w:rPr>
        <w:t>方案设计文件应包括方案建筑设计总说明和建筑方案推演图纸。</w:t>
      </w:r>
    </w:p>
    <w:p>
      <w:pPr>
        <w:pStyle w:val="25"/>
        <w:spacing w:before="5" w:line="380" w:lineRule="atLeast"/>
        <w:ind w:right="121"/>
        <w:rPr>
          <w:color w:val="2D2D2F"/>
          <w:w w:val="105"/>
          <w:sz w:val="21"/>
          <w:szCs w:val="21"/>
          <w:lang w:eastAsia="zh-CN"/>
        </w:rPr>
      </w:pPr>
      <w:r>
        <w:rPr>
          <w:color w:val="2D2D2F"/>
          <w:w w:val="105"/>
          <w:sz w:val="21"/>
          <w:szCs w:val="21"/>
          <w:lang w:eastAsia="zh-CN"/>
        </w:rPr>
        <w:t xml:space="preserve">6.2.3 </w:t>
      </w:r>
      <w:r>
        <w:rPr>
          <w:rFonts w:hint="eastAsia"/>
          <w:color w:val="2D2D2F"/>
          <w:w w:val="105"/>
          <w:sz w:val="21"/>
          <w:szCs w:val="21"/>
          <w:lang w:eastAsia="zh-CN"/>
        </w:rPr>
        <w:t>方案设计应对建筑、结构、设备进行多方案技术经比济较， 实施性方案建筑专业应达到并满足初步设计的要求。明确结构体系并经过计算，确保结构 方案的安全可靠。</w:t>
      </w:r>
    </w:p>
    <w:p>
      <w:pPr>
        <w:pStyle w:val="25"/>
        <w:spacing w:before="5" w:line="380" w:lineRule="atLeast"/>
        <w:ind w:right="121"/>
        <w:rPr>
          <w:color w:val="2D2D2F"/>
          <w:w w:val="105"/>
          <w:sz w:val="21"/>
          <w:szCs w:val="21"/>
          <w:lang w:eastAsia="zh-CN"/>
        </w:rPr>
      </w:pPr>
      <w:r>
        <w:rPr>
          <w:color w:val="2D2D2F"/>
          <w:w w:val="105"/>
          <w:sz w:val="21"/>
          <w:szCs w:val="21"/>
          <w:lang w:eastAsia="zh-CN"/>
        </w:rPr>
        <w:t xml:space="preserve">6.3 </w:t>
      </w:r>
      <w:r>
        <w:rPr>
          <w:rFonts w:hint="eastAsia"/>
          <w:color w:val="2D2D2F"/>
          <w:w w:val="105"/>
          <w:sz w:val="21"/>
          <w:szCs w:val="21"/>
          <w:lang w:eastAsia="zh-CN"/>
        </w:rPr>
        <w:t>初步设计文件</w:t>
      </w:r>
    </w:p>
    <w:p>
      <w:pPr>
        <w:pStyle w:val="25"/>
        <w:spacing w:before="5" w:line="380" w:lineRule="atLeast"/>
        <w:ind w:right="121"/>
        <w:rPr>
          <w:color w:val="2D2D2F"/>
          <w:w w:val="105"/>
          <w:sz w:val="21"/>
          <w:szCs w:val="21"/>
          <w:lang w:eastAsia="zh-CN"/>
        </w:rPr>
      </w:pPr>
      <w:r>
        <w:rPr>
          <w:color w:val="2D2D2F"/>
          <w:w w:val="105"/>
          <w:sz w:val="21"/>
          <w:szCs w:val="21"/>
          <w:lang w:eastAsia="zh-CN"/>
        </w:rPr>
        <w:t xml:space="preserve">6.3.1 </w:t>
      </w:r>
      <w:r>
        <w:rPr>
          <w:rFonts w:hint="eastAsia"/>
          <w:color w:val="2D2D2F"/>
          <w:w w:val="105"/>
          <w:sz w:val="21"/>
          <w:szCs w:val="21"/>
          <w:lang w:eastAsia="zh-CN"/>
        </w:rPr>
        <w:t>初步设计文件应包括设计总说明书和各专业的设计说明书、各专业设计图纸、主要设备和材料表、工程概算书。初步设计文件均以各工程子项为编制</w:t>
      </w:r>
    </w:p>
    <w:p>
      <w:pPr>
        <w:pStyle w:val="25"/>
        <w:spacing w:before="5" w:line="380" w:lineRule="atLeast"/>
        <w:ind w:right="121"/>
        <w:rPr>
          <w:color w:val="2D2D2F"/>
          <w:w w:val="105"/>
          <w:sz w:val="21"/>
          <w:szCs w:val="21"/>
          <w:lang w:eastAsia="zh-CN"/>
        </w:rPr>
      </w:pPr>
      <w:r>
        <w:rPr>
          <w:rFonts w:hint="eastAsia"/>
          <w:color w:val="2D2D2F"/>
          <w:w w:val="105"/>
          <w:sz w:val="21"/>
          <w:szCs w:val="21"/>
          <w:lang w:eastAsia="zh-CN"/>
        </w:rPr>
        <w:t>单位。</w:t>
      </w:r>
    </w:p>
    <w:p>
      <w:pPr>
        <w:pStyle w:val="25"/>
        <w:spacing w:before="5" w:line="380" w:lineRule="atLeast"/>
        <w:ind w:right="121"/>
        <w:rPr>
          <w:color w:val="2D2D2F"/>
          <w:w w:val="105"/>
          <w:sz w:val="21"/>
          <w:szCs w:val="21"/>
          <w:lang w:eastAsia="zh-CN"/>
        </w:rPr>
      </w:pPr>
      <w:r>
        <w:rPr>
          <w:color w:val="2D2D2F"/>
          <w:w w:val="105"/>
          <w:sz w:val="21"/>
          <w:szCs w:val="21"/>
          <w:lang w:eastAsia="zh-CN"/>
        </w:rPr>
        <w:t xml:space="preserve">6.3.2 </w:t>
      </w:r>
      <w:r>
        <w:rPr>
          <w:rFonts w:hint="eastAsia"/>
          <w:color w:val="2D2D2F"/>
          <w:w w:val="105"/>
          <w:sz w:val="21"/>
          <w:szCs w:val="21"/>
          <w:lang w:eastAsia="zh-CN"/>
        </w:rPr>
        <w:t>初步设计阶段须对结构体系、主要设备选型进行多方案技术经济，比较使设计具备技术先进性、可行性和经济合理性。初步设计文件应满足以下要求：</w:t>
      </w:r>
    </w:p>
    <w:p>
      <w:pPr>
        <w:pStyle w:val="25"/>
        <w:spacing w:before="5" w:line="380" w:lineRule="atLeast"/>
        <w:ind w:right="121"/>
        <w:rPr>
          <w:color w:val="2D2D2F"/>
          <w:w w:val="105"/>
          <w:sz w:val="21"/>
          <w:szCs w:val="21"/>
          <w:lang w:eastAsia="zh-CN"/>
        </w:rPr>
      </w:pPr>
      <w:r>
        <w:rPr>
          <w:color w:val="2D2D2F"/>
          <w:w w:val="105"/>
          <w:sz w:val="21"/>
          <w:szCs w:val="21"/>
          <w:lang w:eastAsia="zh-CN"/>
        </w:rPr>
        <w:t>L</w:t>
      </w:r>
      <w:r>
        <w:rPr>
          <w:rFonts w:hint="eastAsia"/>
          <w:color w:val="2D2D2F"/>
          <w:w w:val="105"/>
          <w:sz w:val="21"/>
          <w:szCs w:val="21"/>
          <w:lang w:eastAsia="zh-CN"/>
        </w:rPr>
        <w:t>） 符合经过审批和甲方同意的最终方案及专家评审意见；</w:t>
      </w:r>
    </w:p>
    <w:p>
      <w:pPr>
        <w:pStyle w:val="25"/>
        <w:spacing w:before="5" w:line="380" w:lineRule="atLeast"/>
        <w:ind w:right="121"/>
        <w:rPr>
          <w:color w:val="2D2D2F"/>
          <w:w w:val="105"/>
          <w:sz w:val="21"/>
          <w:szCs w:val="21"/>
          <w:lang w:eastAsia="zh-CN"/>
        </w:rPr>
      </w:pPr>
      <w:r>
        <w:rPr>
          <w:rFonts w:hint="eastAsia"/>
          <w:color w:val="2D2D2F"/>
          <w:w w:val="105"/>
          <w:sz w:val="21"/>
          <w:szCs w:val="21"/>
          <w:lang w:eastAsia="zh-CN"/>
        </w:rPr>
        <w:t>2） 能据以准备本项目施工的主要建筑材料、构配件和设备；</w:t>
      </w:r>
    </w:p>
    <w:p>
      <w:pPr>
        <w:pStyle w:val="25"/>
        <w:spacing w:before="5" w:line="380" w:lineRule="atLeast"/>
        <w:ind w:right="121"/>
        <w:rPr>
          <w:color w:val="2D2D2F"/>
          <w:w w:val="105"/>
          <w:sz w:val="21"/>
          <w:szCs w:val="21"/>
          <w:lang w:eastAsia="zh-CN"/>
        </w:rPr>
      </w:pPr>
      <w:r>
        <w:rPr>
          <w:rFonts w:hint="eastAsia"/>
          <w:color w:val="2D2D2F"/>
          <w:w w:val="105"/>
          <w:sz w:val="21"/>
          <w:szCs w:val="21"/>
          <w:lang w:eastAsia="zh-CN"/>
        </w:rPr>
        <w:t>3） 能据以编制、审核本项目的投资概算，工程概算书应符合甲方的格式和深度要求；</w:t>
      </w:r>
    </w:p>
    <w:p>
      <w:pPr>
        <w:pStyle w:val="25"/>
        <w:spacing w:before="5" w:line="380" w:lineRule="atLeast"/>
        <w:ind w:right="121"/>
        <w:rPr>
          <w:color w:val="2D2D2F"/>
          <w:w w:val="105"/>
          <w:sz w:val="21"/>
          <w:szCs w:val="21"/>
          <w:lang w:eastAsia="zh-CN"/>
        </w:rPr>
      </w:pPr>
      <w:r>
        <w:rPr>
          <w:color w:val="2D2D2F"/>
          <w:w w:val="105"/>
          <w:sz w:val="21"/>
          <w:szCs w:val="21"/>
          <w:lang w:eastAsia="zh-CN"/>
        </w:rPr>
        <w:t>4</w:t>
      </w:r>
      <w:r>
        <w:rPr>
          <w:rFonts w:hint="eastAsia"/>
          <w:color w:val="2D2D2F"/>
          <w:w w:val="105"/>
          <w:sz w:val="21"/>
          <w:szCs w:val="21"/>
          <w:lang w:eastAsia="zh-CN"/>
        </w:rPr>
        <w:t>） 能作为本项目各专业施工图设计的依据；</w:t>
      </w:r>
    </w:p>
    <w:p>
      <w:pPr>
        <w:pStyle w:val="25"/>
        <w:spacing w:before="5" w:line="380" w:lineRule="atLeast"/>
        <w:ind w:right="121"/>
        <w:rPr>
          <w:color w:val="2D2D2F"/>
          <w:w w:val="105"/>
          <w:sz w:val="21"/>
          <w:szCs w:val="21"/>
          <w:lang w:eastAsia="zh-CN"/>
        </w:rPr>
      </w:pPr>
      <w:r>
        <w:rPr>
          <w:color w:val="2D2D2F"/>
          <w:w w:val="105"/>
          <w:sz w:val="21"/>
          <w:szCs w:val="21"/>
          <w:lang w:eastAsia="zh-CN"/>
        </w:rPr>
        <w:t xml:space="preserve">6.3.3 </w:t>
      </w:r>
      <w:r>
        <w:rPr>
          <w:rFonts w:hint="eastAsia"/>
          <w:color w:val="2D2D2F"/>
          <w:w w:val="105"/>
          <w:sz w:val="21"/>
          <w:szCs w:val="21"/>
          <w:lang w:eastAsia="zh-CN"/>
        </w:rPr>
        <w:t>初步设计文件中的结构设计文件</w:t>
      </w:r>
      <w:r>
        <w:rPr>
          <w:rFonts w:hint="eastAsia"/>
          <w:color w:val="2D2D2F"/>
          <w:w w:val="105"/>
          <w:sz w:val="21"/>
          <w:szCs w:val="21"/>
          <w:lang w:eastAsia="zh-CN"/>
        </w:rPr>
        <w:tab/>
      </w:r>
      <w:r>
        <w:rPr>
          <w:rFonts w:hint="eastAsia"/>
          <w:color w:val="2D2D2F"/>
          <w:w w:val="105"/>
          <w:sz w:val="21"/>
          <w:szCs w:val="21"/>
          <w:lang w:eastAsia="zh-CN"/>
        </w:rPr>
        <w:t>， 应对结构的选型、布置、计算截面尺寸、材料用量等予以明确和量化， 应符合设计技术标准、规范的要求。</w:t>
      </w:r>
    </w:p>
    <w:p>
      <w:pPr>
        <w:pStyle w:val="25"/>
        <w:spacing w:before="5" w:line="380" w:lineRule="atLeast"/>
        <w:ind w:right="121"/>
        <w:rPr>
          <w:color w:val="2D2D2F"/>
          <w:w w:val="105"/>
          <w:sz w:val="21"/>
          <w:szCs w:val="21"/>
          <w:lang w:eastAsia="zh-CN"/>
        </w:rPr>
      </w:pPr>
      <w:r>
        <w:rPr>
          <w:color w:val="2D2D2F"/>
          <w:w w:val="105"/>
          <w:sz w:val="21"/>
          <w:szCs w:val="21"/>
          <w:lang w:eastAsia="zh-CN"/>
        </w:rPr>
        <w:t xml:space="preserve">6.4 </w:t>
      </w:r>
      <w:r>
        <w:rPr>
          <w:rFonts w:hint="eastAsia"/>
          <w:color w:val="2D2D2F"/>
          <w:w w:val="105"/>
          <w:sz w:val="21"/>
          <w:szCs w:val="21"/>
          <w:lang w:eastAsia="zh-CN"/>
        </w:rPr>
        <w:t>施工图设计文件</w:t>
      </w:r>
    </w:p>
    <w:p>
      <w:pPr>
        <w:pStyle w:val="25"/>
        <w:spacing w:before="5" w:line="380" w:lineRule="atLeast"/>
        <w:ind w:right="121"/>
        <w:rPr>
          <w:color w:val="2D2D2F"/>
          <w:w w:val="105"/>
          <w:sz w:val="21"/>
          <w:szCs w:val="21"/>
          <w:lang w:eastAsia="zh-CN"/>
        </w:rPr>
      </w:pPr>
      <w:r>
        <w:rPr>
          <w:color w:val="2D2D2F"/>
          <w:w w:val="105"/>
          <w:sz w:val="21"/>
          <w:szCs w:val="21"/>
          <w:lang w:eastAsia="zh-CN"/>
        </w:rPr>
        <w:t xml:space="preserve">6.4.1 </w:t>
      </w:r>
      <w:r>
        <w:rPr>
          <w:rFonts w:hint="eastAsia"/>
          <w:color w:val="2D2D2F"/>
          <w:w w:val="105"/>
          <w:sz w:val="21"/>
          <w:szCs w:val="21"/>
          <w:lang w:eastAsia="zh-CN"/>
        </w:rPr>
        <w:t>施工图设计文件应根据设计管理部门批准的初步设计文件进行编，制内容应包括各专业的说明书、图纸等。施工图设计文件均以各工程子项为编制单位。</w:t>
      </w:r>
    </w:p>
    <w:p>
      <w:pPr>
        <w:pStyle w:val="25"/>
        <w:spacing w:before="5" w:line="380" w:lineRule="atLeast"/>
        <w:ind w:right="121"/>
        <w:rPr>
          <w:color w:val="2D2D2F"/>
          <w:w w:val="105"/>
          <w:sz w:val="21"/>
          <w:szCs w:val="21"/>
          <w:lang w:eastAsia="zh-CN"/>
        </w:rPr>
      </w:pPr>
      <w:r>
        <w:rPr>
          <w:color w:val="2D2D2F"/>
          <w:w w:val="105"/>
          <w:sz w:val="21"/>
          <w:szCs w:val="21"/>
          <w:lang w:eastAsia="zh-CN"/>
        </w:rPr>
        <w:t xml:space="preserve">6.4.2 </w:t>
      </w:r>
      <w:r>
        <w:rPr>
          <w:rFonts w:hint="eastAsia"/>
          <w:color w:val="2D2D2F"/>
          <w:w w:val="105"/>
          <w:sz w:val="21"/>
          <w:szCs w:val="21"/>
          <w:lang w:eastAsia="zh-CN"/>
        </w:rPr>
        <w:t>施工图设计文件的深度应满足以下要：求能据以编制本项目施工图预算；</w:t>
      </w:r>
    </w:p>
    <w:p>
      <w:pPr>
        <w:pStyle w:val="25"/>
        <w:spacing w:before="5" w:line="380" w:lineRule="atLeast"/>
        <w:ind w:right="121"/>
        <w:rPr>
          <w:color w:val="2D2D2F"/>
          <w:w w:val="105"/>
          <w:sz w:val="21"/>
          <w:szCs w:val="21"/>
          <w:lang w:eastAsia="zh-CN"/>
        </w:rPr>
      </w:pPr>
      <w:r>
        <w:rPr>
          <w:rFonts w:hint="eastAsia"/>
          <w:color w:val="2D2D2F"/>
          <w:w w:val="105"/>
          <w:sz w:val="21"/>
          <w:szCs w:val="21"/>
          <w:lang w:eastAsia="zh-CN"/>
        </w:rPr>
        <w:t>能据以安排本项目建筑材料、构配件和设备的订货及非标准设备的制作； 能据以进行本项目的施工和安装；能据以进行本项目施工各阶段的验收，包括但不限千隐蔽工程验收和竣工验收等。</w:t>
      </w:r>
    </w:p>
    <w:p>
      <w:pPr>
        <w:pStyle w:val="25"/>
        <w:spacing w:before="5" w:line="380" w:lineRule="atLeast"/>
        <w:ind w:right="121"/>
        <w:rPr>
          <w:color w:val="2D2D2F"/>
          <w:w w:val="105"/>
          <w:sz w:val="21"/>
          <w:szCs w:val="21"/>
          <w:lang w:eastAsia="zh-CN"/>
        </w:rPr>
      </w:pPr>
      <w:r>
        <w:rPr>
          <w:color w:val="2D2D2F"/>
          <w:w w:val="105"/>
          <w:sz w:val="21"/>
          <w:szCs w:val="21"/>
          <w:lang w:eastAsia="zh-CN"/>
        </w:rPr>
        <w:t xml:space="preserve">6.5 </w:t>
      </w:r>
      <w:r>
        <w:rPr>
          <w:rFonts w:hint="eastAsia"/>
          <w:color w:val="2D2D2F"/>
          <w:w w:val="105"/>
          <w:sz w:val="21"/>
          <w:szCs w:val="21"/>
          <w:lang w:eastAsia="zh-CN"/>
        </w:rPr>
        <w:t>市政配套、景观和装修等专业工程设计文件的设计深度，应符合国家和当地政府相关主管部门对各阶段、各专业设计文件编制深度。</w:t>
      </w:r>
    </w:p>
    <w:p>
      <w:pPr>
        <w:pStyle w:val="25"/>
        <w:spacing w:before="5" w:line="380" w:lineRule="atLeast"/>
        <w:ind w:right="121"/>
        <w:rPr>
          <w:color w:val="2D2D2F"/>
          <w:w w:val="105"/>
          <w:sz w:val="21"/>
          <w:szCs w:val="21"/>
          <w:lang w:eastAsia="zh-CN"/>
        </w:rPr>
      </w:pPr>
      <w:r>
        <w:rPr>
          <w:color w:val="2D2D2F"/>
          <w:w w:val="105"/>
          <w:sz w:val="21"/>
          <w:szCs w:val="21"/>
          <w:lang w:eastAsia="zh-CN"/>
        </w:rPr>
        <w:t xml:space="preserve">6.6 </w:t>
      </w:r>
      <w:r>
        <w:rPr>
          <w:rFonts w:hint="eastAsia"/>
          <w:color w:val="2D2D2F"/>
          <w:w w:val="105"/>
          <w:sz w:val="21"/>
          <w:szCs w:val="21"/>
          <w:lang w:eastAsia="zh-CN"/>
        </w:rPr>
        <w:t>对本项目设计质量的要求</w:t>
      </w:r>
    </w:p>
    <w:p>
      <w:pPr>
        <w:pStyle w:val="25"/>
        <w:spacing w:before="5" w:line="380" w:lineRule="atLeast"/>
        <w:ind w:right="121"/>
        <w:rPr>
          <w:color w:val="2D2D2F"/>
          <w:w w:val="105"/>
          <w:sz w:val="21"/>
          <w:szCs w:val="21"/>
          <w:lang w:eastAsia="zh-CN"/>
        </w:rPr>
      </w:pPr>
      <w:r>
        <w:rPr>
          <w:rFonts w:hint="eastAsia"/>
          <w:color w:val="2D2D2F"/>
          <w:w w:val="105"/>
          <w:sz w:val="21"/>
          <w:szCs w:val="21"/>
          <w:lang w:eastAsia="zh-CN"/>
        </w:rPr>
        <w:t>(1)</w:t>
      </w:r>
      <w:r>
        <w:rPr>
          <w:rFonts w:hint="eastAsia"/>
          <w:color w:val="2D2D2F"/>
          <w:w w:val="105"/>
          <w:sz w:val="21"/>
          <w:szCs w:val="21"/>
          <w:lang w:eastAsia="zh-CN"/>
        </w:rPr>
        <w:tab/>
      </w:r>
      <w:r>
        <w:rPr>
          <w:rFonts w:hint="eastAsia"/>
          <w:color w:val="2D2D2F"/>
          <w:w w:val="105"/>
          <w:sz w:val="21"/>
          <w:szCs w:val="21"/>
          <w:lang w:eastAsia="zh-CN"/>
        </w:rPr>
        <w:t>设计应充分体现发包人的建设意图 ， 满足本项目的功能需求， 在控制投资的同时，做到适用、安全、美观、经济，并具备良好的环保特性，取得良好的 社会效益。</w:t>
      </w:r>
    </w:p>
    <w:p>
      <w:pPr>
        <w:pStyle w:val="25"/>
        <w:spacing w:before="5" w:line="380" w:lineRule="atLeast"/>
        <w:ind w:right="121"/>
        <w:rPr>
          <w:color w:val="2D2D2F"/>
          <w:w w:val="105"/>
          <w:sz w:val="21"/>
          <w:szCs w:val="21"/>
          <w:lang w:eastAsia="zh-CN"/>
        </w:rPr>
      </w:pPr>
      <w:r>
        <w:rPr>
          <w:rFonts w:hint="eastAsia"/>
          <w:color w:val="2D2D2F"/>
          <w:w w:val="105"/>
          <w:sz w:val="21"/>
          <w:szCs w:val="21"/>
          <w:lang w:eastAsia="zh-CN"/>
        </w:rPr>
        <w:t>(2)</w:t>
      </w:r>
      <w:r>
        <w:rPr>
          <w:rFonts w:hint="eastAsia"/>
          <w:color w:val="2D2D2F"/>
          <w:w w:val="105"/>
          <w:sz w:val="21"/>
          <w:szCs w:val="21"/>
          <w:lang w:eastAsia="zh-CN"/>
        </w:rPr>
        <w:tab/>
      </w:r>
      <w:r>
        <w:rPr>
          <w:rFonts w:hint="eastAsia"/>
          <w:color w:val="2D2D2F"/>
          <w:w w:val="105"/>
          <w:sz w:val="21"/>
          <w:szCs w:val="21"/>
          <w:lang w:eastAsia="zh-CN"/>
        </w:rPr>
        <w:t>承包人应根据技术管理部门及发包人对设计文件的审查意见 ， 在本项目设计范围内对设计文件进行修改和完善。</w:t>
      </w:r>
    </w:p>
    <w:p>
      <w:pPr>
        <w:pStyle w:val="25"/>
        <w:spacing w:before="5" w:line="380" w:lineRule="atLeast"/>
        <w:ind w:right="121"/>
        <w:rPr>
          <w:color w:val="2D2D2F"/>
          <w:w w:val="105"/>
          <w:sz w:val="21"/>
          <w:szCs w:val="21"/>
          <w:lang w:eastAsia="zh-CN"/>
        </w:rPr>
      </w:pPr>
      <w:r>
        <w:rPr>
          <w:rFonts w:hint="eastAsia"/>
          <w:color w:val="2D2D2F"/>
          <w:w w:val="105"/>
          <w:sz w:val="21"/>
          <w:szCs w:val="21"/>
          <w:lang w:eastAsia="zh-CN"/>
        </w:rPr>
        <w:t>(3)</w:t>
      </w:r>
      <w:r>
        <w:rPr>
          <w:rFonts w:hint="eastAsia"/>
          <w:color w:val="2D2D2F"/>
          <w:w w:val="105"/>
          <w:sz w:val="21"/>
          <w:szCs w:val="21"/>
          <w:lang w:eastAsia="zh-CN"/>
        </w:rPr>
        <w:tab/>
      </w:r>
      <w:r>
        <w:rPr>
          <w:rFonts w:hint="eastAsia"/>
          <w:color w:val="2D2D2F"/>
          <w:w w:val="105"/>
          <w:sz w:val="21"/>
          <w:szCs w:val="21"/>
          <w:lang w:eastAsia="zh-CN"/>
        </w:rPr>
        <w:t>承包人提交的设计文件不符合本合同约定的 ， 承包人应在发包人书面通知明确的期限内将符合本合同约定的设计文件交付发包人。</w:t>
      </w:r>
    </w:p>
    <w:p>
      <w:pPr>
        <w:pStyle w:val="25"/>
        <w:spacing w:before="5" w:line="380" w:lineRule="atLeast"/>
        <w:ind w:right="121"/>
        <w:rPr>
          <w:color w:val="2D2D2F"/>
          <w:w w:val="105"/>
          <w:sz w:val="21"/>
          <w:szCs w:val="21"/>
          <w:lang w:eastAsia="zh-CN"/>
        </w:rPr>
      </w:pPr>
      <w:r>
        <w:rPr>
          <w:rFonts w:hint="eastAsia"/>
          <w:color w:val="2D2D2F"/>
          <w:w w:val="105"/>
          <w:sz w:val="21"/>
          <w:szCs w:val="21"/>
          <w:lang w:eastAsia="zh-CN"/>
        </w:rPr>
        <w:t>(4)</w:t>
      </w:r>
      <w:r>
        <w:rPr>
          <w:rFonts w:hint="eastAsia"/>
          <w:color w:val="2D2D2F"/>
          <w:w w:val="105"/>
          <w:sz w:val="21"/>
          <w:szCs w:val="21"/>
          <w:lang w:eastAsia="zh-CN"/>
        </w:rPr>
        <w:tab/>
      </w:r>
      <w:r>
        <w:rPr>
          <w:rFonts w:hint="eastAsia"/>
          <w:color w:val="2D2D2F"/>
          <w:w w:val="105"/>
          <w:sz w:val="21"/>
          <w:szCs w:val="21"/>
          <w:lang w:eastAsia="zh-CN"/>
        </w:rPr>
        <w:t>本项目主体结构设计合理使用年限应符合国家有关规定。</w:t>
      </w:r>
    </w:p>
    <w:p>
      <w:pPr>
        <w:pStyle w:val="25"/>
        <w:spacing w:before="5" w:line="380" w:lineRule="atLeast"/>
        <w:ind w:right="121"/>
        <w:rPr>
          <w:color w:val="2D2D2F"/>
          <w:w w:val="105"/>
          <w:sz w:val="21"/>
          <w:szCs w:val="21"/>
          <w:lang w:eastAsia="zh-CN"/>
        </w:rPr>
      </w:pPr>
    </w:p>
    <w:p>
      <w:pPr>
        <w:pStyle w:val="13"/>
        <w:ind w:firstLine="562"/>
        <w:rPr>
          <w:rFonts w:ascii="宋体" w:hAnsi="宋体" w:eastAsia="宋体"/>
          <w:sz w:val="28"/>
          <w:szCs w:val="21"/>
        </w:rPr>
      </w:pPr>
      <w:bookmarkStart w:id="16" w:name="_Toc121692791"/>
      <w:r>
        <w:rPr>
          <w:rFonts w:hint="eastAsia" w:ascii="宋体" w:hAnsi="宋体" w:eastAsia="宋体"/>
          <w:sz w:val="28"/>
          <w:szCs w:val="21"/>
        </w:rPr>
        <w:t>第七章</w:t>
      </w:r>
      <w:r>
        <w:rPr>
          <w:rFonts w:ascii="宋体" w:hAnsi="宋体" w:eastAsia="宋体"/>
          <w:sz w:val="28"/>
          <w:szCs w:val="21"/>
        </w:rPr>
        <w:t xml:space="preserve">  </w:t>
      </w:r>
      <w:r>
        <w:rPr>
          <w:rFonts w:hint="eastAsia" w:ascii="宋体" w:hAnsi="宋体" w:eastAsia="宋体"/>
          <w:sz w:val="28"/>
          <w:szCs w:val="21"/>
        </w:rPr>
        <w:t>其他设计要求</w:t>
      </w:r>
      <w:bookmarkEnd w:id="16"/>
    </w:p>
    <w:p>
      <w:pPr>
        <w:pStyle w:val="25"/>
        <w:spacing w:before="5" w:line="380" w:lineRule="atLeast"/>
        <w:ind w:right="121"/>
        <w:rPr>
          <w:color w:val="2D2D2F"/>
          <w:w w:val="105"/>
          <w:sz w:val="21"/>
          <w:szCs w:val="21"/>
          <w:lang w:eastAsia="zh-CN"/>
        </w:rPr>
      </w:pPr>
    </w:p>
    <w:p>
      <w:pPr>
        <w:pStyle w:val="25"/>
        <w:spacing w:before="5" w:line="380" w:lineRule="atLeast"/>
        <w:ind w:right="121"/>
        <w:rPr>
          <w:color w:val="2D2D2F"/>
          <w:w w:val="105"/>
          <w:sz w:val="21"/>
          <w:szCs w:val="21"/>
          <w:lang w:eastAsia="zh-CN"/>
        </w:rPr>
      </w:pPr>
      <w:r>
        <w:rPr>
          <w:color w:val="2D2D2F"/>
          <w:w w:val="105"/>
          <w:sz w:val="21"/>
          <w:szCs w:val="21"/>
          <w:lang w:eastAsia="zh-CN"/>
        </w:rPr>
        <w:t xml:space="preserve">7.1 </w:t>
      </w:r>
      <w:r>
        <w:rPr>
          <w:rFonts w:hint="eastAsia"/>
          <w:color w:val="2D2D2F"/>
          <w:w w:val="105"/>
          <w:sz w:val="21"/>
          <w:szCs w:val="21"/>
          <w:lang w:eastAsia="zh-CN"/>
        </w:rPr>
        <w:t>整体要求</w:t>
      </w:r>
    </w:p>
    <w:p>
      <w:pPr>
        <w:pStyle w:val="25"/>
        <w:spacing w:before="5" w:line="380" w:lineRule="atLeast"/>
        <w:ind w:right="121"/>
        <w:rPr>
          <w:color w:val="2D2D2F"/>
          <w:w w:val="105"/>
          <w:sz w:val="21"/>
          <w:szCs w:val="21"/>
          <w:lang w:eastAsia="zh-CN"/>
        </w:rPr>
      </w:pPr>
      <w:r>
        <w:rPr>
          <w:color w:val="2D2D2F"/>
          <w:w w:val="105"/>
          <w:sz w:val="21"/>
          <w:szCs w:val="21"/>
          <w:lang w:eastAsia="zh-CN"/>
        </w:rPr>
        <w:t xml:space="preserve">7.1.1 </w:t>
      </w:r>
      <w:r>
        <w:rPr>
          <w:rFonts w:hint="eastAsia"/>
          <w:color w:val="2D2D2F"/>
          <w:w w:val="105"/>
          <w:sz w:val="21"/>
          <w:szCs w:val="21"/>
          <w:lang w:eastAsia="zh-CN"/>
        </w:rPr>
        <w:t>各阶段图纸深度除应达到国家建设部颁布的《建筑工程设计文件编制深度规定》要求深度外，还应满足如下要求：</w:t>
      </w:r>
    </w:p>
    <w:p>
      <w:pPr>
        <w:pStyle w:val="25"/>
        <w:spacing w:before="5" w:line="380" w:lineRule="atLeast"/>
        <w:ind w:right="121"/>
        <w:rPr>
          <w:color w:val="2D2D2F"/>
          <w:w w:val="105"/>
          <w:sz w:val="21"/>
          <w:szCs w:val="21"/>
          <w:lang w:eastAsia="zh-CN"/>
        </w:rPr>
      </w:pPr>
      <w:r>
        <w:rPr>
          <w:rFonts w:hint="eastAsia"/>
          <w:color w:val="2D2D2F"/>
          <w:w w:val="105"/>
          <w:sz w:val="21"/>
          <w:szCs w:val="21"/>
          <w:lang w:eastAsia="zh-CN"/>
        </w:rPr>
        <w:t>(1)</w:t>
      </w:r>
      <w:r>
        <w:rPr>
          <w:rFonts w:hint="eastAsia"/>
          <w:color w:val="2D2D2F"/>
          <w:w w:val="105"/>
          <w:sz w:val="21"/>
          <w:szCs w:val="21"/>
          <w:lang w:eastAsia="zh-CN"/>
        </w:rPr>
        <w:tab/>
      </w:r>
      <w:r>
        <w:rPr>
          <w:rFonts w:hint="eastAsia"/>
          <w:color w:val="2D2D2F"/>
          <w:w w:val="105"/>
          <w:sz w:val="21"/>
          <w:szCs w:val="21"/>
          <w:lang w:eastAsia="zh-CN"/>
        </w:rPr>
        <w:t>消火栓箱、配电箱等设备设施位置或留洞、留槽必须在建筑平面图中反 映；前期出图中，各专业的预留预埋孔洞及特殊做法，必须在建筑及结构图中反映。</w:t>
      </w:r>
    </w:p>
    <w:p>
      <w:pPr>
        <w:pStyle w:val="25"/>
        <w:spacing w:before="5" w:line="380" w:lineRule="atLeast"/>
        <w:ind w:right="121"/>
        <w:rPr>
          <w:color w:val="2D2D2F"/>
          <w:w w:val="105"/>
          <w:sz w:val="21"/>
          <w:szCs w:val="21"/>
          <w:lang w:eastAsia="zh-CN"/>
        </w:rPr>
      </w:pPr>
      <w:r>
        <w:rPr>
          <w:rFonts w:hint="eastAsia"/>
          <w:color w:val="2D2D2F"/>
          <w:w w:val="105"/>
          <w:sz w:val="21"/>
          <w:szCs w:val="21"/>
          <w:lang w:eastAsia="zh-CN"/>
        </w:rPr>
        <w:t>(2)</w:t>
      </w:r>
      <w:r>
        <w:rPr>
          <w:rFonts w:hint="eastAsia"/>
          <w:color w:val="2D2D2F"/>
          <w:w w:val="105"/>
          <w:sz w:val="21"/>
          <w:szCs w:val="21"/>
          <w:lang w:eastAsia="zh-CN"/>
        </w:rPr>
        <w:tab/>
      </w:r>
      <w:r>
        <w:rPr>
          <w:rFonts w:hint="eastAsia"/>
          <w:color w:val="2D2D2F"/>
          <w:w w:val="105"/>
          <w:sz w:val="21"/>
          <w:szCs w:val="21"/>
          <w:lang w:eastAsia="zh-CN"/>
        </w:rPr>
        <w:t>屋顶平面图中， 必须标示出所有屋顶设备设施、出屋面管井、管道的位置等，各种管井、管道、设备设施组织排放整齐，满足甲方的美化要求。</w:t>
      </w:r>
    </w:p>
    <w:p>
      <w:pPr>
        <w:pStyle w:val="25"/>
        <w:spacing w:before="5" w:line="380" w:lineRule="atLeast"/>
        <w:ind w:right="121"/>
        <w:rPr>
          <w:color w:val="2D2D2F"/>
          <w:w w:val="105"/>
          <w:sz w:val="21"/>
          <w:szCs w:val="21"/>
          <w:lang w:eastAsia="zh-CN"/>
        </w:rPr>
      </w:pPr>
      <w:r>
        <w:rPr>
          <w:rFonts w:hint="eastAsia"/>
          <w:color w:val="2D2D2F"/>
          <w:w w:val="105"/>
          <w:sz w:val="21"/>
          <w:szCs w:val="21"/>
          <w:lang w:eastAsia="zh-CN"/>
        </w:rPr>
        <w:t>(3)</w:t>
      </w:r>
      <w:r>
        <w:rPr>
          <w:rFonts w:hint="eastAsia"/>
          <w:color w:val="2D2D2F"/>
          <w:w w:val="105"/>
          <w:sz w:val="21"/>
          <w:szCs w:val="21"/>
          <w:lang w:eastAsia="zh-CN"/>
        </w:rPr>
        <w:tab/>
      </w:r>
      <w:r>
        <w:rPr>
          <w:rFonts w:hint="eastAsia"/>
          <w:color w:val="2D2D2F"/>
          <w:w w:val="105"/>
          <w:sz w:val="21"/>
          <w:szCs w:val="21"/>
          <w:lang w:eastAsia="zh-CN"/>
        </w:rPr>
        <w:t>必须提供地上、地下层管线综合图并须满足发包人要求。</w:t>
      </w:r>
    </w:p>
    <w:p>
      <w:pPr>
        <w:pStyle w:val="25"/>
        <w:spacing w:before="5" w:line="380" w:lineRule="atLeast"/>
        <w:ind w:right="121"/>
        <w:rPr>
          <w:color w:val="2D2D2F"/>
          <w:w w:val="105"/>
          <w:sz w:val="21"/>
          <w:szCs w:val="21"/>
          <w:lang w:eastAsia="zh-CN"/>
        </w:rPr>
      </w:pPr>
      <w:r>
        <w:rPr>
          <w:rFonts w:hint="eastAsia"/>
          <w:color w:val="2D2D2F"/>
          <w:w w:val="105"/>
          <w:sz w:val="21"/>
          <w:szCs w:val="21"/>
          <w:lang w:eastAsia="zh-CN"/>
        </w:rPr>
        <w:t>(4)</w:t>
      </w:r>
      <w:r>
        <w:rPr>
          <w:rFonts w:hint="eastAsia"/>
          <w:color w:val="2D2D2F"/>
          <w:w w:val="105"/>
          <w:sz w:val="21"/>
          <w:szCs w:val="21"/>
          <w:lang w:eastAsia="zh-CN"/>
        </w:rPr>
        <w:tab/>
      </w:r>
      <w:r>
        <w:rPr>
          <w:rFonts w:hint="eastAsia"/>
          <w:color w:val="2D2D2F"/>
          <w:w w:val="105"/>
          <w:sz w:val="21"/>
          <w:szCs w:val="21"/>
          <w:lang w:eastAsia="zh-CN"/>
        </w:rPr>
        <w:t>对综合管线进行有机的组织， 尽量将检查井、雨水井、通风井等设于隐蔽处或结合景观设计巧妙处理。</w:t>
      </w:r>
    </w:p>
    <w:p>
      <w:pPr>
        <w:pStyle w:val="25"/>
        <w:spacing w:before="5" w:line="380" w:lineRule="atLeast"/>
        <w:ind w:right="121"/>
        <w:rPr>
          <w:color w:val="2D2D2F"/>
          <w:w w:val="105"/>
          <w:sz w:val="21"/>
          <w:szCs w:val="21"/>
          <w:lang w:eastAsia="zh-CN"/>
        </w:rPr>
      </w:pPr>
      <w:r>
        <w:rPr>
          <w:rFonts w:hint="eastAsia"/>
          <w:color w:val="2D2D2F"/>
          <w:w w:val="105"/>
          <w:sz w:val="21"/>
          <w:szCs w:val="21"/>
          <w:lang w:eastAsia="zh-CN"/>
        </w:rPr>
        <w:t>(5)</w:t>
      </w:r>
      <w:r>
        <w:rPr>
          <w:rFonts w:hint="eastAsia"/>
          <w:color w:val="2D2D2F"/>
          <w:w w:val="105"/>
          <w:sz w:val="21"/>
          <w:szCs w:val="21"/>
          <w:lang w:eastAsia="zh-CN"/>
        </w:rPr>
        <w:tab/>
      </w:r>
      <w:r>
        <w:rPr>
          <w:rFonts w:hint="eastAsia"/>
          <w:color w:val="2D2D2F"/>
          <w:w w:val="105"/>
          <w:sz w:val="21"/>
          <w:szCs w:val="21"/>
          <w:lang w:eastAsia="zh-CN"/>
        </w:rPr>
        <w:t>景观设计需密切配合建筑设计， 一是有利千环境、交通、等整体设计， 达到最佳效果；二是便于功能与标高的整体解决，减少设计上不必要的冲突和  反复。</w:t>
      </w:r>
    </w:p>
    <w:p>
      <w:pPr>
        <w:pStyle w:val="25"/>
        <w:spacing w:before="5" w:line="380" w:lineRule="atLeast"/>
        <w:ind w:right="121"/>
        <w:rPr>
          <w:color w:val="2D2D2F"/>
          <w:w w:val="105"/>
          <w:sz w:val="21"/>
          <w:szCs w:val="21"/>
          <w:lang w:eastAsia="zh-CN"/>
        </w:rPr>
      </w:pPr>
      <w:r>
        <w:rPr>
          <w:rFonts w:hint="eastAsia"/>
          <w:color w:val="2D2D2F"/>
          <w:w w:val="105"/>
          <w:sz w:val="21"/>
          <w:szCs w:val="21"/>
          <w:lang w:eastAsia="zh-CN"/>
        </w:rPr>
        <w:t>(6)</w:t>
      </w:r>
      <w:r>
        <w:rPr>
          <w:rFonts w:hint="eastAsia"/>
          <w:color w:val="2D2D2F"/>
          <w:w w:val="105"/>
          <w:sz w:val="21"/>
          <w:szCs w:val="21"/>
          <w:lang w:eastAsia="zh-CN"/>
        </w:rPr>
        <w:tab/>
      </w:r>
      <w:r>
        <w:rPr>
          <w:rFonts w:hint="eastAsia"/>
          <w:color w:val="2D2D2F"/>
          <w:w w:val="105"/>
          <w:sz w:val="21"/>
          <w:szCs w:val="21"/>
          <w:lang w:eastAsia="zh-CN"/>
        </w:rPr>
        <w:t>地下室及人防出地面部分采光井、疏散口等构筑物， 需尽量隐蔽， 并结合环境进行设计。</w:t>
      </w:r>
    </w:p>
    <w:p>
      <w:pPr>
        <w:pStyle w:val="25"/>
        <w:spacing w:before="5" w:line="380" w:lineRule="atLeast"/>
        <w:ind w:right="121"/>
        <w:rPr>
          <w:color w:val="2D2D2F"/>
          <w:w w:val="105"/>
          <w:sz w:val="21"/>
          <w:szCs w:val="21"/>
          <w:lang w:eastAsia="zh-CN"/>
        </w:rPr>
      </w:pPr>
      <w:r>
        <w:rPr>
          <w:rFonts w:hint="eastAsia"/>
          <w:color w:val="2D2D2F"/>
          <w:w w:val="105"/>
          <w:sz w:val="21"/>
          <w:szCs w:val="21"/>
          <w:lang w:eastAsia="zh-CN"/>
        </w:rPr>
        <w:t>(7)</w:t>
      </w:r>
      <w:r>
        <w:rPr>
          <w:rFonts w:hint="eastAsia"/>
          <w:color w:val="2D2D2F"/>
          <w:w w:val="105"/>
          <w:sz w:val="21"/>
          <w:szCs w:val="21"/>
          <w:lang w:eastAsia="zh-CN"/>
        </w:rPr>
        <w:tab/>
      </w:r>
      <w:r>
        <w:rPr>
          <w:rFonts w:hint="eastAsia"/>
          <w:color w:val="2D2D2F"/>
          <w:w w:val="105"/>
          <w:sz w:val="21"/>
          <w:szCs w:val="21"/>
          <w:lang w:eastAsia="zh-CN"/>
        </w:rPr>
        <w:t>地下车道通道位置， 有防火卷帘位置， 务必注意防火卷帘安装后的净空高度不低于相关使用功能需求。</w:t>
      </w:r>
    </w:p>
    <w:p>
      <w:pPr>
        <w:pStyle w:val="25"/>
        <w:spacing w:before="5" w:line="380" w:lineRule="atLeast"/>
        <w:ind w:right="121"/>
        <w:rPr>
          <w:color w:val="2D2D2F"/>
          <w:w w:val="105"/>
          <w:sz w:val="21"/>
          <w:szCs w:val="21"/>
          <w:lang w:eastAsia="zh-CN"/>
        </w:rPr>
      </w:pPr>
      <w:r>
        <w:rPr>
          <w:color w:val="2D2D2F"/>
          <w:w w:val="105"/>
          <w:sz w:val="21"/>
          <w:szCs w:val="21"/>
          <w:lang w:eastAsia="zh-CN"/>
        </w:rPr>
        <w:t xml:space="preserve">7.1.2 </w:t>
      </w:r>
      <w:r>
        <w:rPr>
          <w:rFonts w:hint="eastAsia"/>
          <w:color w:val="2D2D2F"/>
          <w:w w:val="105"/>
          <w:sz w:val="21"/>
          <w:szCs w:val="21"/>
          <w:lang w:eastAsia="zh-CN"/>
        </w:rPr>
        <w:t>如项目边设计边施工， 施工图设计应根据施工配合需求分版本和阶段完成。设计图纸必须符合发包人管控文件的要求。</w:t>
      </w:r>
    </w:p>
    <w:p>
      <w:pPr>
        <w:pStyle w:val="25"/>
        <w:spacing w:before="5" w:line="380" w:lineRule="atLeast"/>
        <w:ind w:right="121"/>
        <w:rPr>
          <w:color w:val="2D2D2F"/>
          <w:w w:val="105"/>
          <w:sz w:val="21"/>
          <w:szCs w:val="21"/>
          <w:lang w:eastAsia="zh-CN"/>
        </w:rPr>
      </w:pPr>
      <w:r>
        <w:rPr>
          <w:color w:val="2D2D2F"/>
          <w:w w:val="105"/>
          <w:sz w:val="21"/>
          <w:szCs w:val="21"/>
          <w:lang w:eastAsia="zh-CN"/>
        </w:rPr>
        <w:t xml:space="preserve">7.1.3 </w:t>
      </w:r>
      <w:r>
        <w:rPr>
          <w:rFonts w:hint="eastAsia"/>
          <w:color w:val="2D2D2F"/>
          <w:w w:val="105"/>
          <w:sz w:val="21"/>
          <w:szCs w:val="21"/>
          <w:lang w:eastAsia="zh-CN"/>
        </w:rPr>
        <w:t>各专业出图前必须互相会审图纸（土建初设与立面、景观、幕墙、室内等单位的合图会， 5 次以上； 土建施工图与立面、幕墙等单位的合图会 ， 3 次以上。），如因现场原因先出图纸，则必须在出图后完成内部各专业的图纸会审。   设计文件中还需包含：消防安全设计专篇、节能设计专篇、场地综合图。场地综合图包含：图示所有地面及消防登高面、地下构筑物、设计物，包括管井、出地 面风井、灯杆、绿地、雕塑等，并综合确认设计可行性。 （例如绿地预留覆土厚度、雕塑下承载力、火景设备管道、灯具铀固强度等）。</w:t>
      </w:r>
    </w:p>
    <w:p>
      <w:pPr>
        <w:pStyle w:val="25"/>
        <w:spacing w:before="5" w:line="380" w:lineRule="atLeast"/>
        <w:ind w:right="121"/>
        <w:rPr>
          <w:color w:val="2D2D2F"/>
          <w:w w:val="105"/>
          <w:sz w:val="21"/>
          <w:szCs w:val="21"/>
          <w:lang w:eastAsia="zh-CN"/>
        </w:rPr>
      </w:pPr>
      <w:r>
        <w:rPr>
          <w:color w:val="2D2D2F"/>
          <w:w w:val="105"/>
          <w:sz w:val="21"/>
          <w:szCs w:val="21"/>
          <w:lang w:eastAsia="zh-CN"/>
        </w:rPr>
        <w:t xml:space="preserve">7.1.4 </w:t>
      </w:r>
      <w:r>
        <w:rPr>
          <w:rFonts w:hint="eastAsia"/>
          <w:color w:val="2D2D2F"/>
          <w:w w:val="105"/>
          <w:sz w:val="21"/>
          <w:szCs w:val="21"/>
          <w:lang w:eastAsia="zh-CN"/>
        </w:rPr>
        <w:t>重点考虑在进行单体建筑施工图设计时的综合管网与市政系统的衔接，明细各系统的管网综合并出具管线综合平面图及高程图。</w:t>
      </w:r>
    </w:p>
    <w:p>
      <w:pPr>
        <w:pStyle w:val="25"/>
        <w:spacing w:before="5" w:line="380" w:lineRule="atLeast"/>
        <w:ind w:right="121"/>
        <w:rPr>
          <w:color w:val="2D2D2F"/>
          <w:w w:val="105"/>
          <w:sz w:val="21"/>
          <w:szCs w:val="21"/>
          <w:lang w:eastAsia="zh-CN"/>
        </w:rPr>
      </w:pPr>
      <w:r>
        <w:rPr>
          <w:color w:val="2D2D2F"/>
          <w:w w:val="105"/>
          <w:sz w:val="21"/>
          <w:szCs w:val="21"/>
          <w:lang w:eastAsia="zh-CN"/>
        </w:rPr>
        <w:t xml:space="preserve">7.2 </w:t>
      </w:r>
      <w:r>
        <w:rPr>
          <w:rFonts w:hint="eastAsia"/>
          <w:color w:val="2D2D2F"/>
          <w:w w:val="105"/>
          <w:sz w:val="21"/>
          <w:szCs w:val="21"/>
          <w:lang w:eastAsia="zh-CN"/>
        </w:rPr>
        <w:t>机电图纸设计成果要求</w:t>
      </w:r>
    </w:p>
    <w:p>
      <w:pPr>
        <w:pStyle w:val="25"/>
        <w:spacing w:before="5" w:line="380" w:lineRule="atLeast"/>
        <w:ind w:right="121"/>
        <w:rPr>
          <w:color w:val="2D2D2F"/>
          <w:w w:val="105"/>
          <w:sz w:val="21"/>
          <w:szCs w:val="21"/>
          <w:lang w:eastAsia="zh-CN"/>
        </w:rPr>
      </w:pPr>
      <w:r>
        <w:rPr>
          <w:color w:val="2D2D2F"/>
          <w:w w:val="105"/>
          <w:sz w:val="21"/>
          <w:szCs w:val="21"/>
          <w:lang w:eastAsia="zh-CN"/>
        </w:rPr>
        <w:t>7.2.1</w:t>
      </w:r>
      <w:r>
        <w:rPr>
          <w:rFonts w:hint="eastAsia"/>
          <w:color w:val="2D2D2F"/>
          <w:w w:val="105"/>
          <w:sz w:val="21"/>
          <w:szCs w:val="21"/>
          <w:lang w:eastAsia="zh-CN"/>
        </w:rPr>
        <w:t xml:space="preserve"> 初步设计成果： 设计图纸成果及计算书应按发包人计划时间节点提交发包人及第三方顾问审核。</w:t>
      </w:r>
    </w:p>
    <w:p>
      <w:pPr>
        <w:pStyle w:val="25"/>
        <w:spacing w:before="5" w:line="380" w:lineRule="atLeast"/>
        <w:ind w:right="121"/>
        <w:rPr>
          <w:color w:val="2D2D2F"/>
          <w:w w:val="105"/>
          <w:sz w:val="21"/>
          <w:szCs w:val="21"/>
          <w:lang w:eastAsia="zh-CN"/>
        </w:rPr>
      </w:pPr>
      <w:r>
        <w:rPr>
          <w:rFonts w:hint="eastAsia"/>
          <w:color w:val="2D2D2F"/>
          <w:w w:val="105"/>
          <w:sz w:val="21"/>
          <w:szCs w:val="21"/>
          <w:lang w:eastAsia="zh-CN"/>
        </w:rPr>
        <w:t>初步设计成果应包括：设计说明、系统图、主要设备材料表（所列设备及 材料的参数需包含设备参数、规格、材料要求、所配附件等）、平面图、管道 进、出核心筒位置剖面图、专业机房设计图纸（包含设备布置图，设备接管图）、主要竖井大样图、配合土建预留预埋图、机电各专业的计算书（包括电 力容量计算、柴油发电机选型计算书、设备选型计算，系统容量计算，冷热负  荷计算等）等。</w:t>
      </w:r>
    </w:p>
    <w:p>
      <w:pPr>
        <w:pStyle w:val="25"/>
        <w:spacing w:before="5" w:line="380" w:lineRule="atLeast"/>
        <w:ind w:right="121"/>
        <w:rPr>
          <w:color w:val="2D2D2F"/>
          <w:w w:val="105"/>
          <w:sz w:val="21"/>
          <w:szCs w:val="21"/>
          <w:lang w:eastAsia="zh-CN"/>
        </w:rPr>
      </w:pPr>
      <w:r>
        <w:rPr>
          <w:color w:val="2D2D2F"/>
          <w:w w:val="105"/>
          <w:sz w:val="21"/>
          <w:szCs w:val="21"/>
          <w:lang w:eastAsia="zh-CN"/>
        </w:rPr>
        <w:t xml:space="preserve">7.2.2 </w:t>
      </w:r>
      <w:r>
        <w:rPr>
          <w:rFonts w:hint="eastAsia"/>
          <w:color w:val="2D2D2F"/>
          <w:w w:val="105"/>
          <w:sz w:val="21"/>
          <w:szCs w:val="21"/>
          <w:lang w:eastAsia="zh-CN"/>
        </w:rPr>
        <w:t>一次机电施工图设计成果应包括 ： 设计说明、系统图、设备材料表（所列设备及材料的参数需满足招标要求，即包含设备参数、规格、材料要  求、所配附件等）、平面图、专业机房设计图纸（包含设备布置阳，设备接管 图，主要管线密集交叉处及地形变化复杂处管线综合剖面图，能够表达所含管 线的所有规格尺寸、安装标高）、各竖井大样图、室内及屋面管线综合图、主 要设备的安装图（包含机组安装剖面图、功能段详图）、二次控制要求、配合 土建预留预埋图、各专业的计算书（包括电力容量计算、柴油发电机选型计算 书、设备选型计算，系统容量计算，管路水力计算，冷热负荷计算等）等。施 工图纸中所有管井、风道均需注明服务对象并编号。</w:t>
      </w:r>
    </w:p>
    <w:p>
      <w:pPr>
        <w:pStyle w:val="25"/>
        <w:spacing w:before="5" w:line="380" w:lineRule="atLeast"/>
        <w:ind w:right="121"/>
        <w:rPr>
          <w:color w:val="2D2D2F"/>
          <w:w w:val="105"/>
          <w:sz w:val="21"/>
          <w:szCs w:val="21"/>
          <w:lang w:eastAsia="zh-CN"/>
        </w:rPr>
      </w:pPr>
      <w:r>
        <w:rPr>
          <w:color w:val="2D2D2F"/>
          <w:w w:val="105"/>
          <w:sz w:val="21"/>
          <w:szCs w:val="21"/>
          <w:lang w:eastAsia="zh-CN"/>
        </w:rPr>
        <w:t xml:space="preserve">7.2.3 </w:t>
      </w:r>
      <w:r>
        <w:rPr>
          <w:rFonts w:hint="eastAsia"/>
          <w:color w:val="2D2D2F"/>
          <w:w w:val="105"/>
          <w:sz w:val="21"/>
          <w:szCs w:val="21"/>
          <w:lang w:eastAsia="zh-CN"/>
        </w:rPr>
        <w:t xml:space="preserve"> 二次机电施工图设计成果 ： 深度应满足现行国家设计深度的要求。室内区域必须套入发包人签确的室内设计带家具平面图。所有设备机房、管井 等一次机电设计完善，可直接用于一次机电施工。二次机电施工图必须通过发 包人和相关部门的审核并书面确认，才可视为该阶段工作完成。</w:t>
      </w:r>
    </w:p>
    <w:p>
      <w:pPr>
        <w:pStyle w:val="25"/>
        <w:spacing w:before="5" w:line="380" w:lineRule="atLeast"/>
        <w:ind w:right="121"/>
        <w:rPr>
          <w:color w:val="2D2D2F"/>
          <w:w w:val="105"/>
          <w:sz w:val="21"/>
          <w:szCs w:val="21"/>
          <w:lang w:eastAsia="zh-CN"/>
        </w:rPr>
      </w:pPr>
      <w:r>
        <w:rPr>
          <w:rFonts w:hint="eastAsia"/>
          <w:color w:val="2D2D2F"/>
          <w:w w:val="105"/>
          <w:sz w:val="21"/>
          <w:szCs w:val="21"/>
          <w:lang w:eastAsia="zh-CN"/>
        </w:rPr>
        <w:t>二次机电施工图设计成果应包括：设计说明、系统图、设备材料表（所列 设备及材料的参数需包含设备参数、规格、材料要求、所配附件等）、平面图、专业机房设计图纸（包含设备布置图，设备接管图，主要管线密集交叉处  及地形变化复杂处管线综合剖面图， 能够表达所含管线的所有规格尺寸、安装标高）、各竖井大样图、室内及屋面管线综合图、主要设备的安装图（包含机 组安装详图，机组安装剖面图、功能段详图）、二次控制要求、配合土建预留 预埋图、各专业的计算书（包括电力容量计算、柴油发电机选型计算书、设备 选型计算， 系统容量计算， 管路水力计算， 冷热负荷计算等）等。施工图纸中所有管井、风道均需注明服务对象并编号。提供界面划分、接口条件、楼控点 表等。</w:t>
      </w:r>
    </w:p>
    <w:p>
      <w:pPr>
        <w:pStyle w:val="25"/>
        <w:spacing w:before="5" w:line="380" w:lineRule="atLeast"/>
        <w:ind w:right="121"/>
        <w:rPr>
          <w:color w:val="2D2D2F"/>
          <w:w w:val="105"/>
          <w:sz w:val="21"/>
          <w:szCs w:val="21"/>
          <w:lang w:eastAsia="zh-CN"/>
        </w:rPr>
      </w:pPr>
      <w:r>
        <w:rPr>
          <w:color w:val="2D2D2F"/>
          <w:w w:val="105"/>
          <w:sz w:val="21"/>
          <w:szCs w:val="21"/>
          <w:lang w:eastAsia="zh-CN"/>
        </w:rPr>
        <w:t xml:space="preserve">7.2.4 </w:t>
      </w:r>
      <w:r>
        <w:rPr>
          <w:rFonts w:hint="eastAsia"/>
          <w:color w:val="2D2D2F"/>
          <w:w w:val="105"/>
          <w:sz w:val="21"/>
          <w:szCs w:val="21"/>
          <w:lang w:eastAsia="zh-CN"/>
        </w:rPr>
        <w:t>对于有精装修需求的区域应在室内精装修施工图的基础之上，复核综合室内、厨洗、后勤各专业平面，设计成果应包括：</w:t>
      </w:r>
    </w:p>
    <w:p>
      <w:pPr>
        <w:pStyle w:val="25"/>
        <w:spacing w:before="5" w:line="380" w:lineRule="atLeast"/>
        <w:ind w:right="121"/>
        <w:rPr>
          <w:color w:val="2D2D2F"/>
          <w:w w:val="105"/>
          <w:sz w:val="21"/>
          <w:szCs w:val="21"/>
          <w:lang w:eastAsia="zh-CN"/>
        </w:rPr>
      </w:pPr>
      <w:r>
        <w:rPr>
          <w:rFonts w:hint="eastAsia"/>
          <w:color w:val="2D2D2F"/>
          <w:w w:val="105"/>
          <w:sz w:val="21"/>
          <w:szCs w:val="21"/>
          <w:lang w:eastAsia="zh-CN"/>
        </w:rPr>
        <w:t>(1)</w:t>
      </w:r>
      <w:r>
        <w:rPr>
          <w:rFonts w:hint="eastAsia"/>
          <w:color w:val="2D2D2F"/>
          <w:w w:val="105"/>
          <w:sz w:val="21"/>
          <w:szCs w:val="21"/>
          <w:lang w:eastAsia="zh-CN"/>
        </w:rPr>
        <w:tab/>
      </w:r>
      <w:r>
        <w:rPr>
          <w:rFonts w:hint="eastAsia"/>
          <w:color w:val="2D2D2F"/>
          <w:w w:val="105"/>
          <w:sz w:val="21"/>
          <w:szCs w:val="21"/>
          <w:lang w:eastAsia="zh-CN"/>
        </w:rPr>
        <w:t>砌筑图应表示区域内， 二次土建砌筑隔墙， 应与结构柱、剪力墙等区分，不表示室内装修龙骨隔墙、玻璃或金属隔墙、活动屏风或活动隔断。</w:t>
      </w:r>
    </w:p>
    <w:p>
      <w:pPr>
        <w:pStyle w:val="25"/>
        <w:spacing w:before="5" w:line="380" w:lineRule="atLeast"/>
        <w:ind w:right="121"/>
        <w:rPr>
          <w:color w:val="2D2D2F"/>
          <w:w w:val="105"/>
          <w:sz w:val="21"/>
          <w:szCs w:val="21"/>
          <w:lang w:eastAsia="zh-CN"/>
        </w:rPr>
      </w:pPr>
      <w:r>
        <w:rPr>
          <w:rFonts w:hint="eastAsia"/>
          <w:color w:val="2D2D2F"/>
          <w:w w:val="105"/>
          <w:sz w:val="21"/>
          <w:szCs w:val="21"/>
          <w:lang w:eastAsia="zh-CN"/>
        </w:rPr>
        <w:t>(2)</w:t>
      </w:r>
      <w:r>
        <w:rPr>
          <w:rFonts w:hint="eastAsia"/>
          <w:color w:val="2D2D2F"/>
          <w:w w:val="105"/>
          <w:sz w:val="21"/>
          <w:szCs w:val="21"/>
          <w:lang w:eastAsia="zh-CN"/>
        </w:rPr>
        <w:tab/>
      </w:r>
      <w:r>
        <w:rPr>
          <w:rFonts w:hint="eastAsia"/>
          <w:color w:val="2D2D2F"/>
          <w:w w:val="105"/>
          <w:sz w:val="21"/>
          <w:szCs w:val="21"/>
          <w:lang w:eastAsia="zh-CN"/>
        </w:rPr>
        <w:t>砌筑图应表示墙体的平面定位及厚度、门窗洞口尺寸（洞口高度、宽度）、消防栓位置， 防火门洞口高度应满足国家规范。</w:t>
      </w:r>
    </w:p>
    <w:p>
      <w:pPr>
        <w:pStyle w:val="25"/>
        <w:spacing w:before="5" w:line="380" w:lineRule="atLeast"/>
        <w:ind w:right="121"/>
        <w:rPr>
          <w:color w:val="2D2D2F"/>
          <w:w w:val="105"/>
          <w:sz w:val="21"/>
          <w:szCs w:val="21"/>
          <w:lang w:eastAsia="zh-CN"/>
        </w:rPr>
      </w:pPr>
      <w:r>
        <w:rPr>
          <w:rFonts w:hint="eastAsia"/>
          <w:color w:val="2D2D2F"/>
          <w:w w:val="105"/>
          <w:sz w:val="21"/>
          <w:szCs w:val="21"/>
          <w:lang w:eastAsia="zh-CN"/>
        </w:rPr>
        <w:t>(3)</w:t>
      </w:r>
      <w:r>
        <w:rPr>
          <w:rFonts w:hint="eastAsia"/>
          <w:color w:val="2D2D2F"/>
          <w:w w:val="105"/>
          <w:sz w:val="21"/>
          <w:szCs w:val="21"/>
          <w:lang w:eastAsia="zh-CN"/>
        </w:rPr>
        <w:tab/>
      </w:r>
      <w:r>
        <w:rPr>
          <w:rFonts w:hint="eastAsia"/>
          <w:color w:val="2D2D2F"/>
          <w:w w:val="105"/>
          <w:sz w:val="21"/>
          <w:szCs w:val="21"/>
          <w:lang w:eastAsia="zh-CN"/>
        </w:rPr>
        <w:t>砌筑图应表示墙体高度 ， 高度应结合消防要求比如防火分区， 室内吊顶高度等确定。</w:t>
      </w:r>
    </w:p>
    <w:p>
      <w:pPr>
        <w:pStyle w:val="25"/>
        <w:spacing w:before="5" w:line="380" w:lineRule="atLeast"/>
        <w:ind w:right="121"/>
        <w:rPr>
          <w:color w:val="2D2D2F"/>
          <w:w w:val="105"/>
          <w:sz w:val="21"/>
          <w:szCs w:val="21"/>
          <w:lang w:eastAsia="zh-CN"/>
        </w:rPr>
      </w:pPr>
      <w:r>
        <w:rPr>
          <w:rFonts w:hint="eastAsia"/>
          <w:color w:val="2D2D2F"/>
          <w:w w:val="105"/>
          <w:sz w:val="21"/>
          <w:szCs w:val="21"/>
          <w:lang w:eastAsia="zh-CN"/>
        </w:rPr>
        <w:t>(4)</w:t>
      </w:r>
      <w:r>
        <w:rPr>
          <w:rFonts w:hint="eastAsia"/>
          <w:color w:val="2D2D2F"/>
          <w:w w:val="105"/>
          <w:sz w:val="21"/>
          <w:szCs w:val="21"/>
          <w:lang w:eastAsia="zh-CN"/>
        </w:rPr>
        <w:tab/>
      </w:r>
      <w:r>
        <w:rPr>
          <w:rFonts w:hint="eastAsia"/>
          <w:color w:val="2D2D2F"/>
          <w:w w:val="105"/>
          <w:sz w:val="21"/>
          <w:szCs w:val="21"/>
          <w:lang w:eastAsia="zh-CN"/>
        </w:rPr>
        <w:t>砌筑图应表示隔墙砌筑的构造做法和说明 ， 比如地垄梁、构造柱、圈梁等。</w:t>
      </w:r>
    </w:p>
    <w:p>
      <w:pPr>
        <w:pStyle w:val="25"/>
        <w:spacing w:before="5" w:line="380" w:lineRule="atLeast"/>
        <w:ind w:right="121"/>
        <w:rPr>
          <w:color w:val="2D2D2F"/>
          <w:w w:val="105"/>
          <w:sz w:val="21"/>
          <w:szCs w:val="21"/>
          <w:lang w:eastAsia="zh-CN"/>
        </w:rPr>
      </w:pPr>
      <w:r>
        <w:rPr>
          <w:rFonts w:hint="eastAsia"/>
          <w:color w:val="2D2D2F"/>
          <w:w w:val="105"/>
          <w:sz w:val="21"/>
          <w:szCs w:val="21"/>
          <w:lang w:eastAsia="zh-CN"/>
        </w:rPr>
        <w:t>(5)</w:t>
      </w:r>
      <w:r>
        <w:rPr>
          <w:rFonts w:hint="eastAsia"/>
          <w:color w:val="2D2D2F"/>
          <w:w w:val="105"/>
          <w:sz w:val="21"/>
          <w:szCs w:val="21"/>
          <w:lang w:eastAsia="zh-CN"/>
        </w:rPr>
        <w:tab/>
      </w:r>
      <w:r>
        <w:rPr>
          <w:rFonts w:hint="eastAsia"/>
          <w:color w:val="2D2D2F"/>
          <w:w w:val="105"/>
          <w:sz w:val="21"/>
          <w:szCs w:val="21"/>
          <w:lang w:eastAsia="zh-CN"/>
        </w:rPr>
        <w:t>砌筑图应考虑一次机电设备运输通道、安装需求等， 初步确定墙体后砌位置等。</w:t>
      </w:r>
    </w:p>
    <w:p>
      <w:pPr>
        <w:pStyle w:val="25"/>
        <w:spacing w:before="5" w:line="380" w:lineRule="atLeast"/>
        <w:ind w:right="121"/>
        <w:rPr>
          <w:color w:val="2D2D2F"/>
          <w:w w:val="105"/>
          <w:sz w:val="21"/>
          <w:szCs w:val="21"/>
          <w:lang w:eastAsia="zh-CN"/>
        </w:rPr>
      </w:pPr>
      <w:r>
        <w:rPr>
          <w:rFonts w:hint="eastAsia"/>
          <w:color w:val="2D2D2F"/>
          <w:w w:val="105"/>
          <w:sz w:val="21"/>
          <w:szCs w:val="21"/>
          <w:lang w:eastAsia="zh-CN"/>
        </w:rPr>
        <w:t>(6)</w:t>
      </w:r>
      <w:r>
        <w:rPr>
          <w:rFonts w:hint="eastAsia"/>
          <w:color w:val="2D2D2F"/>
          <w:w w:val="105"/>
          <w:sz w:val="21"/>
          <w:szCs w:val="21"/>
          <w:lang w:eastAsia="zh-CN"/>
        </w:rPr>
        <w:tab/>
      </w:r>
      <w:r>
        <w:rPr>
          <w:rFonts w:hint="eastAsia"/>
          <w:color w:val="2D2D2F"/>
          <w:w w:val="105"/>
          <w:sz w:val="21"/>
          <w:szCs w:val="21"/>
          <w:lang w:eastAsia="zh-CN"/>
        </w:rPr>
        <w:t>在不能确定二次砌筑墙体位置及高度时 ， 砌筑图应标注说明。</w:t>
      </w:r>
    </w:p>
    <w:p>
      <w:pPr>
        <w:pStyle w:val="25"/>
        <w:spacing w:before="5" w:line="380" w:lineRule="atLeast"/>
        <w:ind w:right="121"/>
        <w:rPr>
          <w:color w:val="2D2D2F"/>
          <w:w w:val="105"/>
          <w:sz w:val="21"/>
          <w:szCs w:val="21"/>
          <w:lang w:eastAsia="zh-CN"/>
        </w:rPr>
      </w:pPr>
      <w:r>
        <w:rPr>
          <w:color w:val="2D2D2F"/>
          <w:w w:val="105"/>
          <w:sz w:val="21"/>
          <w:szCs w:val="21"/>
          <w:lang w:eastAsia="zh-CN"/>
        </w:rPr>
        <w:t xml:space="preserve">7.2.5 </w:t>
      </w:r>
      <w:r>
        <w:rPr>
          <w:rFonts w:hint="eastAsia"/>
          <w:color w:val="2D2D2F"/>
          <w:w w:val="105"/>
          <w:sz w:val="21"/>
          <w:szCs w:val="21"/>
          <w:lang w:eastAsia="zh-CN"/>
        </w:rPr>
        <w:t>机电各专业以及建筑、 景观、幕墙和结构等专业之间应相互协调 ， 避免建筑与绿化种植的冲突、避免管线冲突、遗漏和偏差。空调机房、换热机房、 设备层、客房走廊及主要管线密集处应绘制整体综合剖面（包含各专业管线， 并能留有一定检修空间， 与各专业平面布置一致， 标高合理）。</w:t>
      </w:r>
    </w:p>
    <w:p>
      <w:pPr>
        <w:pStyle w:val="25"/>
        <w:spacing w:before="5" w:line="380" w:lineRule="atLeast"/>
        <w:ind w:right="121"/>
        <w:rPr>
          <w:color w:val="2D2D2F"/>
          <w:w w:val="105"/>
          <w:sz w:val="21"/>
          <w:szCs w:val="21"/>
          <w:lang w:eastAsia="zh-CN"/>
        </w:rPr>
      </w:pPr>
      <w:r>
        <w:rPr>
          <w:color w:val="2D2D2F"/>
          <w:w w:val="105"/>
          <w:sz w:val="21"/>
          <w:szCs w:val="21"/>
          <w:lang w:eastAsia="zh-CN"/>
        </w:rPr>
        <w:t xml:space="preserve">7.2.6 </w:t>
      </w:r>
      <w:r>
        <w:rPr>
          <w:rFonts w:hint="eastAsia"/>
          <w:color w:val="2D2D2F"/>
          <w:w w:val="105"/>
          <w:sz w:val="21"/>
          <w:szCs w:val="21"/>
          <w:lang w:eastAsia="zh-CN"/>
        </w:rPr>
        <w:t>二次机电施工图设计中若涉及到一次机电施工图修改， 承包人须根据装修进行二次机电设计 ， 修改一次机电施工图设计并指导施工 。（包括且不限于：设备数量及参数的调整、一二次机电接驳位置及尺寸，机电管线路由调 整、外墙百叶位置及尺寸调整等）</w:t>
      </w:r>
    </w:p>
    <w:p>
      <w:pPr>
        <w:pStyle w:val="25"/>
        <w:spacing w:before="5" w:line="380" w:lineRule="atLeast"/>
        <w:ind w:right="121"/>
        <w:rPr>
          <w:color w:val="2D2D2F"/>
          <w:w w:val="105"/>
          <w:sz w:val="21"/>
          <w:szCs w:val="21"/>
          <w:lang w:eastAsia="zh-CN"/>
        </w:rPr>
      </w:pPr>
      <w:r>
        <w:rPr>
          <w:color w:val="2D2D2F"/>
          <w:w w:val="105"/>
          <w:sz w:val="21"/>
          <w:szCs w:val="21"/>
          <w:lang w:eastAsia="zh-CN"/>
        </w:rPr>
        <w:t>7.3</w:t>
      </w:r>
      <w:r>
        <w:rPr>
          <w:rFonts w:hint="eastAsia"/>
          <w:color w:val="2D2D2F"/>
          <w:w w:val="105"/>
          <w:sz w:val="21"/>
          <w:szCs w:val="21"/>
          <w:lang w:eastAsia="zh-CN"/>
        </w:rPr>
        <w:t>消防及人防</w:t>
      </w:r>
    </w:p>
    <w:p>
      <w:pPr>
        <w:pStyle w:val="25"/>
        <w:spacing w:before="5" w:line="380" w:lineRule="atLeast"/>
        <w:ind w:right="121"/>
        <w:rPr>
          <w:color w:val="2D2D2F"/>
          <w:w w:val="105"/>
          <w:sz w:val="21"/>
          <w:szCs w:val="21"/>
          <w:lang w:eastAsia="zh-CN"/>
        </w:rPr>
      </w:pPr>
      <w:r>
        <w:rPr>
          <w:color w:val="2D2D2F"/>
          <w:w w:val="105"/>
          <w:sz w:val="21"/>
          <w:szCs w:val="21"/>
          <w:lang w:eastAsia="zh-CN"/>
        </w:rPr>
        <w:t xml:space="preserve"> 7.3.1 </w:t>
      </w:r>
      <w:r>
        <w:rPr>
          <w:rFonts w:hint="eastAsia"/>
          <w:color w:val="2D2D2F"/>
          <w:w w:val="105"/>
          <w:sz w:val="21"/>
          <w:szCs w:val="21"/>
          <w:lang w:eastAsia="zh-CN"/>
        </w:rPr>
        <w:t>消防设计： 满足民用建筑高层防火设计规范及项目所在地消防主管部门的消防设计要求；</w:t>
      </w:r>
    </w:p>
    <w:p>
      <w:pPr>
        <w:pStyle w:val="25"/>
        <w:spacing w:before="5" w:line="380" w:lineRule="atLeast"/>
        <w:ind w:right="121"/>
        <w:rPr>
          <w:color w:val="2D2D2F"/>
          <w:w w:val="105"/>
          <w:sz w:val="21"/>
          <w:szCs w:val="21"/>
          <w:lang w:eastAsia="zh-CN"/>
        </w:rPr>
      </w:pPr>
      <w:r>
        <w:rPr>
          <w:color w:val="2D2D2F"/>
          <w:w w:val="105"/>
          <w:sz w:val="21"/>
          <w:szCs w:val="21"/>
          <w:lang w:eastAsia="zh-CN"/>
        </w:rPr>
        <w:t xml:space="preserve">7.3.2 </w:t>
      </w:r>
      <w:r>
        <w:rPr>
          <w:rFonts w:hint="eastAsia"/>
          <w:color w:val="2D2D2F"/>
          <w:w w:val="105"/>
          <w:sz w:val="21"/>
          <w:szCs w:val="21"/>
          <w:lang w:eastAsia="zh-CN"/>
        </w:rPr>
        <w:t>人防设计： 按照人防部门的批文及人防部门沟通所提出的意见进行修改深化设计，最终人防面积按跟人防部门沟通所确定的面积为准。</w:t>
      </w:r>
    </w:p>
    <w:p>
      <w:pPr>
        <w:pStyle w:val="25"/>
        <w:spacing w:before="5" w:line="380" w:lineRule="atLeast"/>
        <w:ind w:right="121"/>
        <w:rPr>
          <w:color w:val="2D2D2F"/>
          <w:w w:val="105"/>
          <w:sz w:val="21"/>
          <w:szCs w:val="21"/>
          <w:lang w:eastAsia="zh-CN"/>
        </w:rPr>
      </w:pPr>
      <w:r>
        <w:rPr>
          <w:color w:val="2D2D2F"/>
          <w:w w:val="105"/>
          <w:sz w:val="21"/>
          <w:szCs w:val="21"/>
          <w:lang w:eastAsia="zh-CN"/>
        </w:rPr>
        <w:t xml:space="preserve">7.3.3 </w:t>
      </w:r>
      <w:r>
        <w:rPr>
          <w:rFonts w:hint="eastAsia"/>
          <w:color w:val="2D2D2F"/>
          <w:w w:val="105"/>
          <w:sz w:val="21"/>
          <w:szCs w:val="21"/>
          <w:lang w:eastAsia="zh-CN"/>
        </w:rPr>
        <w:t>人防部分图纸应有人防专篇 ，图纸包括与人防有关的所有图纸， 人防疏散楼梯能跟平时疏散楼梯合用的尽量跟平时人防楼梯合用，另外加的人防疏散楼梯，注意地面上出入口的设计应尽量减少对环境及交通的影响，出地面管井尽量减少对商户及办公的影响。</w:t>
      </w:r>
    </w:p>
    <w:p>
      <w:pPr>
        <w:pStyle w:val="25"/>
        <w:spacing w:before="5" w:line="380" w:lineRule="atLeast"/>
        <w:ind w:right="121"/>
        <w:rPr>
          <w:color w:val="2D2D2F"/>
          <w:w w:val="105"/>
          <w:sz w:val="21"/>
          <w:szCs w:val="21"/>
          <w:lang w:eastAsia="zh-CN"/>
        </w:rPr>
      </w:pPr>
      <w:r>
        <w:rPr>
          <w:color w:val="2D2D2F"/>
          <w:w w:val="105"/>
          <w:sz w:val="21"/>
          <w:szCs w:val="21"/>
          <w:lang w:eastAsia="zh-CN"/>
        </w:rPr>
        <w:t xml:space="preserve">7.3.4 </w:t>
      </w:r>
      <w:r>
        <w:rPr>
          <w:rFonts w:hint="eastAsia"/>
          <w:color w:val="2D2D2F"/>
          <w:w w:val="105"/>
          <w:sz w:val="21"/>
          <w:szCs w:val="21"/>
          <w:lang w:eastAsia="zh-CN"/>
        </w:rPr>
        <w:t>人防的布置尽量不影响车道，少影响车位。</w:t>
      </w:r>
    </w:p>
    <w:p>
      <w:pPr>
        <w:pStyle w:val="13"/>
        <w:ind w:firstLine="562"/>
        <w:rPr>
          <w:rFonts w:ascii="宋体" w:hAnsi="宋体" w:eastAsia="宋体"/>
          <w:sz w:val="28"/>
          <w:szCs w:val="21"/>
        </w:rPr>
      </w:pPr>
      <w:bookmarkStart w:id="17" w:name="_Toc121692792"/>
      <w:r>
        <w:rPr>
          <w:rFonts w:hint="eastAsia" w:ascii="宋体" w:hAnsi="宋体" w:eastAsia="宋体"/>
          <w:sz w:val="28"/>
          <w:szCs w:val="21"/>
        </w:rPr>
        <w:t>第八章</w:t>
      </w:r>
      <w:r>
        <w:rPr>
          <w:rFonts w:ascii="宋体" w:hAnsi="宋体" w:eastAsia="宋体"/>
          <w:sz w:val="28"/>
          <w:szCs w:val="21"/>
        </w:rPr>
        <w:t xml:space="preserve">  </w:t>
      </w:r>
      <w:r>
        <w:rPr>
          <w:rFonts w:hint="eastAsia" w:ascii="宋体" w:hAnsi="宋体" w:eastAsia="宋体"/>
          <w:sz w:val="28"/>
          <w:szCs w:val="21"/>
        </w:rPr>
        <w:t>设计成果要求</w:t>
      </w:r>
      <w:bookmarkEnd w:id="17"/>
    </w:p>
    <w:p>
      <w:pPr>
        <w:pStyle w:val="25"/>
        <w:spacing w:before="5" w:line="380" w:lineRule="atLeast"/>
        <w:ind w:right="121"/>
        <w:rPr>
          <w:color w:val="2D2D2F"/>
          <w:w w:val="105"/>
          <w:sz w:val="21"/>
          <w:szCs w:val="21"/>
          <w:lang w:eastAsia="zh-CN"/>
        </w:rPr>
      </w:pPr>
    </w:p>
    <w:p>
      <w:pPr>
        <w:pStyle w:val="25"/>
        <w:spacing w:before="5" w:line="380" w:lineRule="atLeast"/>
        <w:ind w:right="121"/>
        <w:rPr>
          <w:color w:val="2D2D2F"/>
          <w:w w:val="105"/>
          <w:sz w:val="21"/>
          <w:szCs w:val="21"/>
          <w:lang w:eastAsia="zh-CN"/>
        </w:rPr>
      </w:pPr>
      <w:r>
        <w:rPr>
          <w:color w:val="2D2D2F"/>
          <w:w w:val="105"/>
          <w:sz w:val="21"/>
          <w:szCs w:val="21"/>
          <w:lang w:eastAsia="zh-CN"/>
        </w:rPr>
        <w:t xml:space="preserve">8.1 </w:t>
      </w:r>
      <w:r>
        <w:rPr>
          <w:rFonts w:hint="eastAsia"/>
          <w:color w:val="2D2D2F"/>
          <w:w w:val="105"/>
          <w:sz w:val="21"/>
          <w:szCs w:val="21"/>
          <w:lang w:eastAsia="zh-CN"/>
        </w:rPr>
        <w:t>所有的设计必须采用国际标准的计量单位</w:t>
      </w:r>
    </w:p>
    <w:p>
      <w:pPr>
        <w:pStyle w:val="25"/>
        <w:spacing w:before="5" w:line="380" w:lineRule="atLeast"/>
        <w:ind w:right="121"/>
        <w:rPr>
          <w:color w:val="2D2D2F"/>
          <w:w w:val="105"/>
          <w:sz w:val="21"/>
          <w:szCs w:val="21"/>
          <w:lang w:eastAsia="zh-CN"/>
        </w:rPr>
      </w:pPr>
      <w:r>
        <w:rPr>
          <w:rFonts w:hint="eastAsia"/>
          <w:color w:val="2D2D2F"/>
          <w:w w:val="105"/>
          <w:sz w:val="21"/>
          <w:szCs w:val="21"/>
          <w:lang w:eastAsia="zh-CN"/>
        </w:rPr>
        <w:t>l、长度单位： 总体规划标注以米为单位， 单体建筑设计标注以毫米为单位 ；</w:t>
      </w:r>
    </w:p>
    <w:p>
      <w:pPr>
        <w:pStyle w:val="25"/>
        <w:spacing w:before="5" w:line="380" w:lineRule="atLeast"/>
        <w:ind w:right="121"/>
        <w:rPr>
          <w:color w:val="2D2D2F"/>
          <w:w w:val="105"/>
          <w:sz w:val="21"/>
          <w:szCs w:val="21"/>
          <w:lang w:eastAsia="zh-CN"/>
        </w:rPr>
      </w:pPr>
      <w:r>
        <w:rPr>
          <w:rFonts w:hint="eastAsia"/>
          <w:color w:val="2D2D2F"/>
          <w:w w:val="105"/>
          <w:sz w:val="21"/>
          <w:szCs w:val="21"/>
          <w:lang w:eastAsia="zh-CN"/>
        </w:rPr>
        <w:t>2、高程单位 ： 标高以米为单位；</w:t>
      </w:r>
    </w:p>
    <w:p>
      <w:pPr>
        <w:pStyle w:val="25"/>
        <w:spacing w:before="5" w:line="380" w:lineRule="atLeast"/>
        <w:ind w:right="121"/>
        <w:rPr>
          <w:color w:val="2D2D2F"/>
          <w:w w:val="105"/>
          <w:sz w:val="21"/>
          <w:szCs w:val="21"/>
          <w:lang w:eastAsia="zh-CN"/>
        </w:rPr>
      </w:pPr>
      <w:r>
        <w:rPr>
          <w:rFonts w:hint="eastAsia"/>
          <w:color w:val="2D2D2F"/>
          <w:w w:val="105"/>
          <w:sz w:val="21"/>
          <w:szCs w:val="21"/>
          <w:lang w:eastAsia="zh-CN"/>
        </w:rPr>
        <w:t>3、面积单位： 面积以平方米为单位。</w:t>
      </w:r>
    </w:p>
    <w:p>
      <w:pPr>
        <w:pStyle w:val="25"/>
        <w:spacing w:before="5" w:line="380" w:lineRule="atLeast"/>
        <w:ind w:right="121"/>
        <w:rPr>
          <w:color w:val="2D2D2F"/>
          <w:w w:val="105"/>
          <w:sz w:val="21"/>
          <w:szCs w:val="21"/>
          <w:lang w:eastAsia="zh-CN"/>
        </w:rPr>
      </w:pPr>
      <w:r>
        <w:rPr>
          <w:rFonts w:hint="eastAsia"/>
          <w:color w:val="2D2D2F"/>
          <w:w w:val="105"/>
          <w:sz w:val="21"/>
          <w:szCs w:val="21"/>
          <w:lang w:eastAsia="zh-CN"/>
        </w:rPr>
        <w:t>4、具体按政府主管部门要求执行。</w:t>
      </w:r>
    </w:p>
    <w:p>
      <w:pPr>
        <w:pStyle w:val="25"/>
        <w:spacing w:before="5" w:line="380" w:lineRule="atLeast"/>
        <w:ind w:right="121"/>
        <w:rPr>
          <w:color w:val="2D2D2F"/>
          <w:w w:val="105"/>
          <w:sz w:val="21"/>
          <w:szCs w:val="21"/>
          <w:lang w:eastAsia="zh-CN"/>
        </w:rPr>
      </w:pPr>
      <w:r>
        <w:rPr>
          <w:color w:val="2D2D2F"/>
          <w:w w:val="105"/>
          <w:sz w:val="21"/>
          <w:szCs w:val="21"/>
          <w:lang w:eastAsia="zh-CN"/>
        </w:rPr>
        <w:t xml:space="preserve">8.2 </w:t>
      </w:r>
      <w:r>
        <w:rPr>
          <w:rFonts w:hint="eastAsia"/>
          <w:color w:val="2D2D2F"/>
          <w:w w:val="105"/>
          <w:sz w:val="21"/>
          <w:szCs w:val="21"/>
          <w:lang w:eastAsia="zh-CN"/>
        </w:rPr>
        <w:t>设计说明</w:t>
      </w:r>
    </w:p>
    <w:p>
      <w:pPr>
        <w:pStyle w:val="25"/>
        <w:spacing w:before="5" w:line="380" w:lineRule="atLeast"/>
        <w:ind w:right="121"/>
        <w:rPr>
          <w:color w:val="2D2D2F"/>
          <w:w w:val="105"/>
          <w:sz w:val="21"/>
          <w:szCs w:val="21"/>
          <w:lang w:eastAsia="zh-CN"/>
        </w:rPr>
      </w:pPr>
      <w:r>
        <w:rPr>
          <w:rFonts w:hint="eastAsia"/>
          <w:color w:val="2D2D2F"/>
          <w:w w:val="105"/>
          <w:sz w:val="21"/>
          <w:szCs w:val="21"/>
          <w:lang w:eastAsia="zh-CN"/>
        </w:rPr>
        <w:t>（1）方案总体构思</w:t>
      </w:r>
    </w:p>
    <w:p>
      <w:pPr>
        <w:pStyle w:val="25"/>
        <w:spacing w:before="5" w:line="380" w:lineRule="atLeast"/>
        <w:ind w:right="121"/>
        <w:rPr>
          <w:color w:val="2D2D2F"/>
          <w:w w:val="105"/>
          <w:sz w:val="21"/>
          <w:szCs w:val="21"/>
          <w:lang w:eastAsia="zh-CN"/>
        </w:rPr>
      </w:pPr>
      <w:r>
        <w:rPr>
          <w:rFonts w:hint="eastAsia"/>
          <w:color w:val="2D2D2F"/>
          <w:w w:val="105"/>
          <w:sz w:val="21"/>
          <w:szCs w:val="21"/>
          <w:lang w:eastAsia="zh-CN"/>
        </w:rPr>
        <w:t>包括但不限于项目定位、总体构思、设计概念及相应设计表达。</w:t>
      </w:r>
    </w:p>
    <w:p>
      <w:pPr>
        <w:pStyle w:val="25"/>
        <w:spacing w:before="5" w:line="380" w:lineRule="atLeast"/>
        <w:ind w:right="121"/>
        <w:rPr>
          <w:color w:val="2D2D2F"/>
          <w:w w:val="105"/>
          <w:sz w:val="21"/>
          <w:szCs w:val="21"/>
          <w:lang w:eastAsia="zh-CN"/>
        </w:rPr>
      </w:pPr>
      <w:r>
        <w:rPr>
          <w:rFonts w:hint="eastAsia"/>
          <w:color w:val="2D2D2F"/>
          <w:w w:val="105"/>
          <w:sz w:val="21"/>
          <w:szCs w:val="21"/>
          <w:lang w:eastAsia="zh-CN"/>
        </w:rPr>
        <w:t>（2）设计说明</w:t>
      </w:r>
    </w:p>
    <w:p>
      <w:pPr>
        <w:pStyle w:val="25"/>
        <w:spacing w:before="5" w:line="380" w:lineRule="atLeast"/>
        <w:ind w:right="121"/>
        <w:rPr>
          <w:color w:val="2D2D2F"/>
          <w:w w:val="105"/>
          <w:sz w:val="21"/>
          <w:szCs w:val="21"/>
          <w:lang w:eastAsia="zh-CN"/>
        </w:rPr>
      </w:pPr>
      <w:r>
        <w:rPr>
          <w:rFonts w:hint="eastAsia"/>
          <w:color w:val="2D2D2F"/>
          <w:w w:val="105"/>
          <w:sz w:val="21"/>
          <w:szCs w:val="21"/>
          <w:lang w:eastAsia="zh-CN"/>
        </w:rPr>
        <w:t>包括但不限于案例研究、案例总结、功能组织、产业分布、交通组织、开放 空间系统、建筑造型、天际线控制、景观设计、结构设计、机电设备专篇、绿建、节能设计、设计创新和特点、主要经济技术指标等。最终以满足政府审批的要求和深度为准。</w:t>
      </w:r>
    </w:p>
    <w:p>
      <w:pPr>
        <w:pStyle w:val="25"/>
        <w:spacing w:before="5" w:line="380" w:lineRule="atLeast"/>
        <w:ind w:right="121"/>
        <w:rPr>
          <w:color w:val="2D2D2F"/>
          <w:w w:val="105"/>
          <w:sz w:val="21"/>
          <w:szCs w:val="21"/>
          <w:lang w:eastAsia="zh-CN"/>
        </w:rPr>
      </w:pPr>
      <w:r>
        <w:rPr>
          <w:color w:val="2D2D2F"/>
          <w:w w:val="105"/>
          <w:sz w:val="21"/>
          <w:szCs w:val="21"/>
          <w:lang w:eastAsia="zh-CN"/>
        </w:rPr>
        <w:t xml:space="preserve">8.3 </w:t>
      </w:r>
      <w:r>
        <w:rPr>
          <w:rFonts w:hint="eastAsia"/>
          <w:color w:val="2D2D2F"/>
          <w:w w:val="105"/>
          <w:sz w:val="21"/>
          <w:szCs w:val="21"/>
          <w:lang w:eastAsia="zh-CN"/>
        </w:rPr>
        <w:t xml:space="preserve"> 技术图纸</w:t>
      </w:r>
    </w:p>
    <w:p>
      <w:pPr>
        <w:pStyle w:val="25"/>
        <w:spacing w:before="5" w:line="380" w:lineRule="atLeast"/>
        <w:ind w:right="121"/>
        <w:rPr>
          <w:color w:val="2D2D2F"/>
          <w:w w:val="105"/>
          <w:sz w:val="21"/>
          <w:szCs w:val="21"/>
          <w:lang w:eastAsia="zh-CN"/>
        </w:rPr>
      </w:pPr>
      <w:r>
        <w:rPr>
          <w:rFonts w:hint="eastAsia"/>
          <w:color w:val="2D2D2F"/>
          <w:w w:val="105"/>
          <w:sz w:val="21"/>
          <w:szCs w:val="21"/>
          <w:lang w:eastAsia="zh-CN"/>
        </w:rPr>
        <w:t>（1）总平面图</w:t>
      </w:r>
    </w:p>
    <w:p>
      <w:pPr>
        <w:pStyle w:val="25"/>
        <w:spacing w:before="5" w:line="380" w:lineRule="atLeast"/>
        <w:ind w:right="121"/>
        <w:rPr>
          <w:color w:val="2D2D2F"/>
          <w:w w:val="105"/>
          <w:sz w:val="21"/>
          <w:szCs w:val="21"/>
          <w:lang w:eastAsia="zh-CN"/>
        </w:rPr>
      </w:pPr>
      <w:r>
        <w:rPr>
          <w:rFonts w:hint="eastAsia"/>
          <w:color w:val="2D2D2F"/>
          <w:w w:val="105"/>
          <w:sz w:val="21"/>
          <w:szCs w:val="21"/>
          <w:lang w:eastAsia="zh-CN"/>
        </w:rPr>
        <w:t>应明确表示建筑物位置及周边状况。</w:t>
      </w:r>
    </w:p>
    <w:p>
      <w:pPr>
        <w:pStyle w:val="25"/>
        <w:spacing w:before="5" w:line="380" w:lineRule="atLeast"/>
        <w:ind w:right="121"/>
        <w:rPr>
          <w:color w:val="2D2D2F"/>
          <w:w w:val="105"/>
          <w:sz w:val="21"/>
          <w:szCs w:val="21"/>
          <w:lang w:eastAsia="zh-CN"/>
        </w:rPr>
      </w:pPr>
      <w:r>
        <w:rPr>
          <w:rFonts w:hint="eastAsia"/>
          <w:color w:val="2D2D2F"/>
          <w:w w:val="105"/>
          <w:sz w:val="21"/>
          <w:szCs w:val="21"/>
          <w:lang w:eastAsia="zh-CN"/>
        </w:rPr>
        <w:t>（2）设计分析图 ， 包括不限于土方平衡， 消防与交通分析等</w:t>
      </w:r>
    </w:p>
    <w:p>
      <w:pPr>
        <w:pStyle w:val="25"/>
        <w:spacing w:before="5" w:line="380" w:lineRule="atLeast"/>
        <w:ind w:right="121"/>
        <w:rPr>
          <w:color w:val="2D2D2F"/>
          <w:w w:val="105"/>
          <w:sz w:val="21"/>
          <w:szCs w:val="21"/>
          <w:lang w:eastAsia="zh-CN"/>
        </w:rPr>
      </w:pPr>
      <w:r>
        <w:rPr>
          <w:rFonts w:hint="eastAsia"/>
          <w:color w:val="2D2D2F"/>
          <w:w w:val="105"/>
          <w:sz w:val="21"/>
          <w:szCs w:val="21"/>
          <w:lang w:eastAsia="zh-CN"/>
        </w:rPr>
        <w:t>（3）各层平面图、立面图、剖面图，重要节点图。</w:t>
      </w:r>
    </w:p>
    <w:p>
      <w:pPr>
        <w:pStyle w:val="25"/>
        <w:spacing w:before="5" w:line="380" w:lineRule="atLeast"/>
        <w:ind w:right="121"/>
        <w:rPr>
          <w:color w:val="2D2D2F"/>
          <w:w w:val="105"/>
          <w:sz w:val="21"/>
          <w:szCs w:val="21"/>
          <w:lang w:eastAsia="zh-CN"/>
        </w:rPr>
      </w:pPr>
      <w:r>
        <w:rPr>
          <w:rFonts w:hint="eastAsia"/>
          <w:color w:val="2D2D2F"/>
          <w:w w:val="105"/>
          <w:sz w:val="21"/>
          <w:szCs w:val="21"/>
          <w:lang w:eastAsia="zh-CN"/>
        </w:rPr>
        <w:t>（4）建筑效果图，包括但不限于整体鸟瞰图，主要沿街面、主要出入口低点透视图</w:t>
      </w:r>
    </w:p>
    <w:p>
      <w:pPr>
        <w:pStyle w:val="25"/>
        <w:spacing w:before="5" w:line="380" w:lineRule="atLeast"/>
        <w:ind w:right="121"/>
        <w:rPr>
          <w:color w:val="2D2D2F"/>
          <w:w w:val="105"/>
          <w:sz w:val="21"/>
          <w:szCs w:val="21"/>
          <w:lang w:eastAsia="zh-CN"/>
        </w:rPr>
      </w:pPr>
      <w:r>
        <w:rPr>
          <w:rFonts w:hint="eastAsia"/>
          <w:color w:val="2D2D2F"/>
          <w:w w:val="105"/>
          <w:sz w:val="21"/>
          <w:szCs w:val="21"/>
          <w:lang w:eastAsia="zh-CN"/>
        </w:rPr>
        <w:t>（5）其它国家规定的各阶段图纸及专业报建需要的图纸。并需配合发包人因相关报建及营销等工作进行图纸修改 。</w:t>
      </w:r>
    </w:p>
    <w:p>
      <w:pPr>
        <w:pStyle w:val="25"/>
        <w:spacing w:before="5" w:line="380" w:lineRule="atLeast"/>
        <w:ind w:right="121"/>
        <w:rPr>
          <w:color w:val="2D2D2F"/>
          <w:w w:val="105"/>
          <w:sz w:val="21"/>
          <w:szCs w:val="21"/>
          <w:lang w:eastAsia="zh-CN"/>
        </w:rPr>
      </w:pPr>
      <w:r>
        <w:rPr>
          <w:color w:val="2D2D2F"/>
          <w:w w:val="105"/>
          <w:sz w:val="21"/>
          <w:szCs w:val="21"/>
          <w:lang w:eastAsia="zh-CN"/>
        </w:rPr>
        <w:t xml:space="preserve">8.4 </w:t>
      </w:r>
      <w:r>
        <w:rPr>
          <w:rFonts w:hint="eastAsia"/>
          <w:color w:val="2D2D2F"/>
          <w:w w:val="105"/>
          <w:sz w:val="21"/>
          <w:szCs w:val="21"/>
          <w:lang w:eastAsia="zh-CN"/>
        </w:rPr>
        <w:t>设计成果形式及数量</w:t>
      </w:r>
    </w:p>
    <w:p>
      <w:pPr>
        <w:pStyle w:val="25"/>
        <w:spacing w:before="5" w:line="380" w:lineRule="atLeast"/>
        <w:ind w:right="121"/>
        <w:rPr>
          <w:color w:val="2D2D2F"/>
          <w:w w:val="105"/>
          <w:sz w:val="21"/>
          <w:szCs w:val="21"/>
          <w:lang w:eastAsia="zh-CN"/>
        </w:rPr>
      </w:pPr>
      <w:r>
        <w:rPr>
          <w:rFonts w:hint="eastAsia"/>
          <w:color w:val="2D2D2F"/>
          <w:w w:val="105"/>
          <w:sz w:val="21"/>
          <w:szCs w:val="21"/>
          <w:lang w:eastAsia="zh-CN"/>
        </w:rPr>
        <w:t>（1）设计文本。A3 文本装订成册， 一正本六副本。</w:t>
      </w:r>
    </w:p>
    <w:p>
      <w:pPr>
        <w:pStyle w:val="25"/>
        <w:spacing w:before="5" w:line="380" w:lineRule="atLeast"/>
        <w:ind w:right="121"/>
        <w:rPr>
          <w:color w:val="2D2D2F"/>
          <w:w w:val="105"/>
          <w:sz w:val="21"/>
          <w:szCs w:val="21"/>
          <w:lang w:eastAsia="zh-CN"/>
        </w:rPr>
      </w:pPr>
      <w:r>
        <w:rPr>
          <w:rFonts w:hint="eastAsia"/>
          <w:color w:val="2D2D2F"/>
          <w:w w:val="105"/>
          <w:sz w:val="21"/>
          <w:szCs w:val="21"/>
          <w:lang w:eastAsia="zh-CN"/>
        </w:rPr>
        <w:t>全部文本图册成果以 A3 规格缩印编排装订成册。文本封面右上角注明“ 正本”、 “ 副本” 字样， 如正本与副本内容不 一致者， 以正本为准。</w:t>
      </w:r>
    </w:p>
    <w:p>
      <w:pPr>
        <w:pStyle w:val="25"/>
        <w:spacing w:before="5" w:line="380" w:lineRule="atLeast"/>
        <w:ind w:right="121"/>
        <w:rPr>
          <w:color w:val="2D2D2F"/>
          <w:w w:val="105"/>
          <w:sz w:val="21"/>
          <w:szCs w:val="21"/>
          <w:lang w:eastAsia="zh-CN"/>
        </w:rPr>
      </w:pPr>
      <w:r>
        <w:rPr>
          <w:rFonts w:hint="eastAsia"/>
          <w:color w:val="2D2D2F"/>
          <w:w w:val="105"/>
          <w:sz w:val="21"/>
          <w:szCs w:val="21"/>
          <w:lang w:eastAsia="zh-CN"/>
        </w:rPr>
        <w:t>（2）设计成果电子文件 3 份（含方案效果图、文本、技术图纸文件、BIM模型）， 提交形式为 DVD 光盘。</w:t>
      </w:r>
    </w:p>
    <w:p>
      <w:pPr>
        <w:pStyle w:val="25"/>
        <w:spacing w:before="5" w:line="380" w:lineRule="atLeast"/>
        <w:ind w:right="121"/>
        <w:rPr>
          <w:color w:val="2D2D2F"/>
          <w:w w:val="105"/>
          <w:sz w:val="21"/>
          <w:szCs w:val="21"/>
          <w:lang w:eastAsia="zh-CN"/>
        </w:rPr>
      </w:pPr>
      <w:r>
        <w:rPr>
          <w:rFonts w:hint="eastAsia"/>
          <w:color w:val="2D2D2F"/>
          <w:w w:val="105"/>
          <w:sz w:val="21"/>
          <w:szCs w:val="21"/>
          <w:lang w:eastAsia="zh-CN"/>
        </w:rPr>
        <w:t>电子文件格式： 文本部分采用 “. PDF" 格式； 设计图纸需同时提供 “. dwg" 格式及 “. PDF" 格式。如有电脑动画或电脑渲染图的电子文件应采用当前较为普及的应用软件，所有电子文档制作成光盘以便备案存档，效果图规格像素可打印 大幅面室外广告要求。</w:t>
      </w:r>
    </w:p>
    <w:p>
      <w:pPr>
        <w:pStyle w:val="25"/>
        <w:spacing w:before="5" w:line="380" w:lineRule="atLeast"/>
        <w:ind w:right="121"/>
        <w:rPr>
          <w:color w:val="2D2D2F"/>
          <w:w w:val="105"/>
          <w:sz w:val="21"/>
          <w:szCs w:val="21"/>
          <w:lang w:eastAsia="zh-CN"/>
        </w:rPr>
      </w:pPr>
      <w:r>
        <w:rPr>
          <w:rFonts w:hint="eastAsia"/>
          <w:color w:val="2D2D2F"/>
          <w:w w:val="105"/>
          <w:sz w:val="21"/>
          <w:szCs w:val="21"/>
          <w:lang w:eastAsia="zh-CN"/>
        </w:rPr>
        <w:t xml:space="preserve">（3）中标后需提供设计模型规格需满足发包人要求 ， 暂定为 1 : </w:t>
      </w:r>
      <w:r>
        <w:rPr>
          <w:color w:val="2D2D2F"/>
          <w:w w:val="105"/>
          <w:sz w:val="21"/>
          <w:szCs w:val="21"/>
          <w:lang w:eastAsia="zh-CN"/>
        </w:rPr>
        <w:t>25</w:t>
      </w:r>
      <w:r>
        <w:rPr>
          <w:rFonts w:hint="eastAsia"/>
          <w:color w:val="2D2D2F"/>
          <w:w w:val="105"/>
          <w:sz w:val="21"/>
          <w:szCs w:val="21"/>
          <w:lang w:eastAsia="zh-CN"/>
        </w:rPr>
        <w:t>0 的比例。并提供 AO 号轻质展示图板 l 套， 每套不少于 5 张包括但不限于以下内容：</w:t>
      </w:r>
    </w:p>
    <w:p>
      <w:pPr>
        <w:pStyle w:val="25"/>
        <w:spacing w:before="5" w:line="380" w:lineRule="atLeast"/>
        <w:ind w:right="121"/>
        <w:rPr>
          <w:color w:val="2D2D2F"/>
          <w:w w:val="105"/>
          <w:sz w:val="21"/>
          <w:szCs w:val="21"/>
          <w:lang w:eastAsia="zh-CN"/>
        </w:rPr>
      </w:pPr>
      <w:r>
        <w:rPr>
          <w:rFonts w:hint="eastAsia"/>
          <w:color w:val="2D2D2F"/>
          <w:w w:val="105"/>
          <w:sz w:val="21"/>
          <w:szCs w:val="21"/>
          <w:lang w:eastAsia="zh-CN"/>
        </w:rPr>
        <w:t>a ) 总平面图</w:t>
      </w:r>
    </w:p>
    <w:p>
      <w:pPr>
        <w:pStyle w:val="25"/>
        <w:spacing w:before="5" w:line="380" w:lineRule="atLeast"/>
        <w:ind w:right="121"/>
        <w:rPr>
          <w:color w:val="2D2D2F"/>
          <w:w w:val="105"/>
          <w:sz w:val="21"/>
          <w:szCs w:val="21"/>
          <w:lang w:eastAsia="zh-CN"/>
        </w:rPr>
      </w:pPr>
      <w:r>
        <w:rPr>
          <w:rFonts w:hint="eastAsia"/>
          <w:color w:val="2D2D2F"/>
          <w:w w:val="105"/>
          <w:sz w:val="21"/>
          <w:szCs w:val="21"/>
          <w:lang w:eastAsia="zh-CN"/>
        </w:rPr>
        <w:t>b)</w:t>
      </w:r>
      <w:r>
        <w:rPr>
          <w:rFonts w:hint="eastAsia"/>
          <w:color w:val="2D2D2F"/>
          <w:w w:val="105"/>
          <w:sz w:val="21"/>
          <w:szCs w:val="21"/>
          <w:lang w:eastAsia="zh-CN"/>
        </w:rPr>
        <w:tab/>
      </w:r>
      <w:r>
        <w:rPr>
          <w:rFonts w:hint="eastAsia"/>
          <w:color w:val="2D2D2F"/>
          <w:w w:val="105"/>
          <w:sz w:val="21"/>
          <w:szCs w:val="21"/>
          <w:lang w:eastAsia="zh-CN"/>
        </w:rPr>
        <w:t>彩色效果图</w:t>
      </w:r>
    </w:p>
    <w:p>
      <w:pPr>
        <w:pStyle w:val="25"/>
        <w:spacing w:before="5" w:line="380" w:lineRule="atLeast"/>
        <w:ind w:right="121"/>
        <w:rPr>
          <w:color w:val="2D2D2F"/>
          <w:w w:val="105"/>
          <w:sz w:val="21"/>
          <w:szCs w:val="21"/>
          <w:lang w:eastAsia="zh-CN"/>
        </w:rPr>
      </w:pPr>
      <w:r>
        <w:rPr>
          <w:rFonts w:hint="eastAsia"/>
          <w:color w:val="2D2D2F"/>
          <w:w w:val="105"/>
          <w:sz w:val="21"/>
          <w:szCs w:val="21"/>
          <w:lang w:eastAsia="zh-CN"/>
        </w:rPr>
        <w:t>c)</w:t>
      </w:r>
      <w:r>
        <w:rPr>
          <w:rFonts w:hint="eastAsia"/>
          <w:color w:val="2D2D2F"/>
          <w:w w:val="105"/>
          <w:sz w:val="21"/>
          <w:szCs w:val="21"/>
          <w:lang w:eastAsia="zh-CN"/>
        </w:rPr>
        <w:tab/>
      </w:r>
      <w:r>
        <w:rPr>
          <w:rFonts w:hint="eastAsia"/>
          <w:color w:val="2D2D2F"/>
          <w:w w:val="105"/>
          <w:sz w:val="21"/>
          <w:szCs w:val="21"/>
          <w:lang w:eastAsia="zh-CN"/>
        </w:rPr>
        <w:t>设计分析图</w:t>
      </w:r>
    </w:p>
    <w:p>
      <w:pPr>
        <w:pStyle w:val="25"/>
        <w:spacing w:before="5" w:line="380" w:lineRule="atLeast"/>
        <w:ind w:right="121"/>
        <w:rPr>
          <w:color w:val="2D2D2F"/>
          <w:w w:val="105"/>
          <w:sz w:val="21"/>
          <w:szCs w:val="21"/>
          <w:lang w:eastAsia="zh-CN"/>
        </w:rPr>
      </w:pPr>
      <w:r>
        <w:rPr>
          <w:rFonts w:hint="eastAsia"/>
          <w:color w:val="2D2D2F"/>
          <w:w w:val="105"/>
          <w:sz w:val="21"/>
          <w:szCs w:val="21"/>
          <w:lang w:eastAsia="zh-CN"/>
        </w:rPr>
        <w:t>各阶段政府报批报审及发包人要求的其他效果或展示图纸 。</w:t>
      </w:r>
    </w:p>
    <w:p>
      <w:pPr>
        <w:pStyle w:val="25"/>
        <w:spacing w:before="5" w:line="380" w:lineRule="atLeast"/>
        <w:ind w:right="121"/>
        <w:rPr>
          <w:color w:val="2D2D2F"/>
          <w:w w:val="105"/>
          <w:sz w:val="21"/>
          <w:szCs w:val="21"/>
          <w:lang w:eastAsia="zh-CN"/>
        </w:rPr>
      </w:pPr>
      <w:r>
        <w:rPr>
          <w:rFonts w:hint="eastAsia"/>
          <w:color w:val="2D2D2F"/>
          <w:w w:val="105"/>
          <w:sz w:val="21"/>
          <w:szCs w:val="21"/>
          <w:lang w:eastAsia="zh-CN"/>
        </w:rPr>
        <w:t>报建图、初步设计及施工图图纸具体数量按相关部门要求数量及合同约定执行。</w:t>
      </w:r>
    </w:p>
    <w:p>
      <w:pPr>
        <w:pStyle w:val="25"/>
        <w:spacing w:before="5" w:line="380" w:lineRule="atLeast"/>
        <w:ind w:right="121"/>
        <w:rPr>
          <w:color w:val="2D2D2F"/>
          <w:w w:val="105"/>
          <w:sz w:val="21"/>
          <w:szCs w:val="21"/>
          <w:lang w:eastAsia="zh-CN"/>
        </w:rPr>
      </w:pPr>
      <w:r>
        <w:rPr>
          <w:color w:val="2D2D2F"/>
          <w:w w:val="105"/>
          <w:sz w:val="21"/>
          <w:szCs w:val="21"/>
          <w:lang w:eastAsia="zh-CN"/>
        </w:rPr>
        <w:t xml:space="preserve">8.5 </w:t>
      </w:r>
      <w:r>
        <w:rPr>
          <w:rFonts w:hint="eastAsia"/>
          <w:color w:val="2D2D2F"/>
          <w:w w:val="105"/>
          <w:sz w:val="21"/>
          <w:szCs w:val="21"/>
          <w:lang w:eastAsia="zh-CN"/>
        </w:rPr>
        <w:t>其他要求</w:t>
      </w:r>
    </w:p>
    <w:p>
      <w:pPr>
        <w:pStyle w:val="25"/>
        <w:spacing w:before="5" w:line="380" w:lineRule="atLeast"/>
        <w:ind w:right="121"/>
        <w:rPr>
          <w:color w:val="2D2D2F"/>
          <w:w w:val="105"/>
          <w:sz w:val="21"/>
          <w:szCs w:val="21"/>
          <w:lang w:eastAsia="zh-CN"/>
        </w:rPr>
      </w:pPr>
      <w:r>
        <w:rPr>
          <w:rFonts w:hint="eastAsia"/>
          <w:color w:val="2D2D2F"/>
          <w:w w:val="105"/>
          <w:sz w:val="21"/>
          <w:szCs w:val="21"/>
          <w:lang w:eastAsia="zh-CN"/>
        </w:rPr>
        <w:t>（1）在设计前， 应向建设单位提交设计文件档案管理方案 。应对所有设计文件进行统一编码及有适宜的签批手续 ， 约定设计文件生效的唯一识别依据。应保证所有设计文件编码的唯一性。</w:t>
      </w:r>
    </w:p>
    <w:p>
      <w:pPr>
        <w:pStyle w:val="25"/>
        <w:spacing w:before="5" w:line="380" w:lineRule="atLeast"/>
        <w:ind w:right="121"/>
        <w:rPr>
          <w:color w:val="2D2D2F"/>
          <w:w w:val="105"/>
          <w:sz w:val="21"/>
          <w:szCs w:val="21"/>
          <w:lang w:eastAsia="zh-CN"/>
        </w:rPr>
      </w:pPr>
      <w:r>
        <w:rPr>
          <w:rFonts w:hint="eastAsia"/>
          <w:color w:val="2D2D2F"/>
          <w:w w:val="105"/>
          <w:sz w:val="21"/>
          <w:szCs w:val="21"/>
          <w:lang w:eastAsia="zh-CN"/>
        </w:rPr>
        <w:t>（2）相关图纸可分步编制， 但出图时间及顺序应能保证符合建设单位工程施工计划的需求，不得延误施工工期。</w:t>
      </w:r>
    </w:p>
    <w:p>
      <w:pPr>
        <w:pStyle w:val="25"/>
        <w:spacing w:before="5" w:line="380" w:lineRule="atLeast"/>
        <w:ind w:right="121"/>
        <w:rPr>
          <w:color w:val="2D2D2F"/>
          <w:w w:val="105"/>
          <w:sz w:val="21"/>
          <w:szCs w:val="21"/>
          <w:lang w:eastAsia="zh-CN"/>
        </w:rPr>
      </w:pPr>
      <w:r>
        <w:rPr>
          <w:rFonts w:hint="eastAsia"/>
          <w:color w:val="2D2D2F"/>
          <w:w w:val="105"/>
          <w:sz w:val="21"/>
          <w:szCs w:val="21"/>
          <w:lang w:eastAsia="zh-CN"/>
        </w:rPr>
        <w:t>（3）在相应设计阶段应提供装配式咨询以及设计服务（如有） ， 设计需满足相应绿建评分要求，完成标准层及地下室及室外管网的管线综合 BIM 设计工作， 并提交碰撞修改成果文件及组织相关设计汇报。</w:t>
      </w:r>
    </w:p>
    <w:p>
      <w:pPr>
        <w:pStyle w:val="25"/>
        <w:spacing w:before="5" w:line="380" w:lineRule="atLeast"/>
        <w:ind w:right="121"/>
        <w:rPr>
          <w:color w:val="2D2D2F"/>
          <w:w w:val="105"/>
          <w:sz w:val="21"/>
          <w:szCs w:val="21"/>
          <w:lang w:eastAsia="zh-CN"/>
        </w:rPr>
      </w:pPr>
    </w:p>
    <w:p>
      <w:pPr>
        <w:pStyle w:val="13"/>
        <w:ind w:firstLine="562"/>
        <w:rPr>
          <w:rFonts w:ascii="宋体" w:hAnsi="宋体" w:eastAsia="宋体"/>
          <w:sz w:val="28"/>
          <w:szCs w:val="21"/>
        </w:rPr>
      </w:pPr>
      <w:bookmarkStart w:id="18" w:name="_Toc121692793"/>
      <w:r>
        <w:rPr>
          <w:rFonts w:hint="eastAsia" w:ascii="宋体" w:hAnsi="宋体" w:eastAsia="宋体"/>
          <w:sz w:val="28"/>
          <w:szCs w:val="21"/>
        </w:rPr>
        <w:t>第九章</w:t>
      </w:r>
      <w:r>
        <w:rPr>
          <w:rFonts w:ascii="宋体" w:hAnsi="宋体" w:eastAsia="宋体"/>
          <w:sz w:val="28"/>
          <w:szCs w:val="21"/>
        </w:rPr>
        <w:t xml:space="preserve">  </w:t>
      </w:r>
      <w:r>
        <w:rPr>
          <w:rFonts w:hint="eastAsia" w:ascii="宋体" w:hAnsi="宋体" w:eastAsia="宋体"/>
          <w:sz w:val="28"/>
          <w:szCs w:val="21"/>
        </w:rPr>
        <w:t>项目管理要求</w:t>
      </w:r>
      <w:bookmarkEnd w:id="18"/>
    </w:p>
    <w:p>
      <w:pPr>
        <w:pStyle w:val="25"/>
        <w:spacing w:before="5" w:line="380" w:lineRule="atLeast"/>
        <w:ind w:right="121"/>
        <w:rPr>
          <w:color w:val="2D2D2F"/>
          <w:w w:val="105"/>
          <w:sz w:val="21"/>
          <w:szCs w:val="21"/>
          <w:lang w:eastAsia="zh-CN"/>
        </w:rPr>
      </w:pPr>
    </w:p>
    <w:p>
      <w:pPr>
        <w:pStyle w:val="25"/>
        <w:spacing w:before="5" w:line="380" w:lineRule="atLeast"/>
        <w:ind w:right="121"/>
        <w:rPr>
          <w:color w:val="2D2D2F"/>
          <w:w w:val="105"/>
          <w:sz w:val="21"/>
          <w:szCs w:val="21"/>
          <w:lang w:eastAsia="zh-CN"/>
        </w:rPr>
      </w:pPr>
      <w:r>
        <w:rPr>
          <w:rFonts w:hint="eastAsia"/>
          <w:color w:val="2D2D2F"/>
          <w:w w:val="105"/>
          <w:sz w:val="21"/>
          <w:szCs w:val="21"/>
          <w:lang w:eastAsia="zh-CN"/>
        </w:rPr>
        <w:t>1、各阶段的设计成果深度及质量除满足相关规范规定以外，还应满足任务书要求，并获得甲方确认。</w:t>
      </w:r>
    </w:p>
    <w:p>
      <w:pPr>
        <w:pStyle w:val="25"/>
        <w:spacing w:before="5" w:line="380" w:lineRule="atLeast"/>
        <w:ind w:right="121"/>
        <w:rPr>
          <w:color w:val="2D2D2F"/>
          <w:w w:val="105"/>
          <w:sz w:val="21"/>
          <w:szCs w:val="21"/>
          <w:lang w:eastAsia="zh-CN"/>
        </w:rPr>
      </w:pPr>
      <w:r>
        <w:rPr>
          <w:color w:val="2D2D2F"/>
          <w:w w:val="105"/>
          <w:sz w:val="21"/>
          <w:szCs w:val="21"/>
          <w:lang w:eastAsia="zh-CN"/>
        </w:rPr>
        <w:t>2</w:t>
      </w:r>
      <w:r>
        <w:rPr>
          <w:rFonts w:hint="eastAsia"/>
          <w:color w:val="2D2D2F"/>
          <w:w w:val="105"/>
          <w:sz w:val="21"/>
          <w:szCs w:val="21"/>
          <w:lang w:eastAsia="zh-CN"/>
        </w:rPr>
        <w:t>、各阶段请款必须满足合同约定的付款条件、成果要求，除提交合同要求的请款单、成果确认单、发票以外，还应提交符合成果要求的所有文件，包括纸质文档和电子文档（即对应纸质文件的电子档( dwg、pdf)），并更新图纸清单，含纸质档和电子档。</w:t>
      </w:r>
    </w:p>
    <w:p>
      <w:pPr>
        <w:pStyle w:val="25"/>
        <w:spacing w:before="5" w:line="380" w:lineRule="atLeast"/>
        <w:ind w:right="121"/>
        <w:rPr>
          <w:color w:val="2D2D2F"/>
          <w:w w:val="105"/>
          <w:sz w:val="21"/>
          <w:szCs w:val="21"/>
          <w:lang w:eastAsia="zh-CN"/>
        </w:rPr>
      </w:pPr>
      <w:r>
        <w:rPr>
          <w:color w:val="2D2D2F"/>
          <w:w w:val="105"/>
          <w:sz w:val="21"/>
          <w:szCs w:val="21"/>
          <w:lang w:eastAsia="zh-CN"/>
        </w:rPr>
        <w:t>3</w:t>
      </w:r>
      <w:r>
        <w:rPr>
          <w:rFonts w:hint="eastAsia"/>
          <w:color w:val="2D2D2F"/>
          <w:w w:val="105"/>
          <w:sz w:val="21"/>
          <w:szCs w:val="21"/>
          <w:lang w:eastAsia="zh-CN"/>
        </w:rPr>
        <w:t>、配合竣工验收、档案归档所要求的资料提交以及电子签章、实体盖章等。</w:t>
      </w:r>
    </w:p>
    <w:p/>
    <w:sectPr>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华文细黑">
    <w:panose1 w:val="02010600040101010101"/>
    <w:charset w:val="86"/>
    <w:family w:val="auto"/>
    <w:pitch w:val="default"/>
    <w:sig w:usb0="00000287" w:usb1="080F0000" w:usb2="00000000" w:usb3="00000000" w:csb0="0004009F" w:csb1="DFD70000"/>
  </w:font>
  <w:font w:name="楷体_GB2312">
    <w:altName w:val="楷体"/>
    <w:panose1 w:val="00000000000000000000"/>
    <w:charset w:val="86"/>
    <w:family w:val="modern"/>
    <w:pitch w:val="default"/>
    <w:sig w:usb0="00000000" w:usb1="00000000" w:usb2="00000000" w:usb3="00000000" w:csb0="00040000" w:csb1="00000000"/>
  </w:font>
  <w:font w:name="Arial">
    <w:panose1 w:val="020B0604020202020204"/>
    <w:charset w:val="00"/>
    <w:family w:val="swiss"/>
    <w:pitch w:val="default"/>
    <w:sig w:usb0="E0002EFF" w:usb1="C000785B" w:usb2="00000009" w:usb3="00000000" w:csb0="400001FF" w:csb1="FFFF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92807944"/>
    </w:sdtPr>
    <w:sdtContent>
      <w:p>
        <w:pPr>
          <w:pStyle w:val="9"/>
          <w:jc w:val="center"/>
        </w:pPr>
        <w:r>
          <w:fldChar w:fldCharType="begin"/>
        </w:r>
        <w:r>
          <w:instrText xml:space="preserve">PAGE   \* MERGEFORMAT</w:instrText>
        </w:r>
        <w:r>
          <w:fldChar w:fldCharType="separate"/>
        </w:r>
        <w:r>
          <w:rPr>
            <w:lang w:val="zh-CN"/>
          </w:rPr>
          <w:t>20</w:t>
        </w:r>
        <w:r>
          <w:fldChar w:fldCharType="end"/>
        </w:r>
      </w:p>
    </w:sdtContent>
  </w:sdt>
  <w:p>
    <w:pPr>
      <w:pStyle w:val="7"/>
      <w:spacing w:line="14" w:lineRule="auto"/>
      <w:rPr>
        <w:sz w:val="20"/>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639C"/>
    <w:rsid w:val="00002ED5"/>
    <w:rsid w:val="0003032F"/>
    <w:rsid w:val="00034B60"/>
    <w:rsid w:val="000543C6"/>
    <w:rsid w:val="00096023"/>
    <w:rsid w:val="000E3489"/>
    <w:rsid w:val="000F09F0"/>
    <w:rsid w:val="000F639C"/>
    <w:rsid w:val="000F651A"/>
    <w:rsid w:val="00100224"/>
    <w:rsid w:val="00111EF2"/>
    <w:rsid w:val="00130EC5"/>
    <w:rsid w:val="00133E80"/>
    <w:rsid w:val="00176EAE"/>
    <w:rsid w:val="00183DB3"/>
    <w:rsid w:val="001842FE"/>
    <w:rsid w:val="001D319C"/>
    <w:rsid w:val="001D6D27"/>
    <w:rsid w:val="001E1FE0"/>
    <w:rsid w:val="001F194A"/>
    <w:rsid w:val="001F50DB"/>
    <w:rsid w:val="00227389"/>
    <w:rsid w:val="00245054"/>
    <w:rsid w:val="00246DF4"/>
    <w:rsid w:val="00251E6E"/>
    <w:rsid w:val="00265F4C"/>
    <w:rsid w:val="00296B9F"/>
    <w:rsid w:val="002B2960"/>
    <w:rsid w:val="002F0C94"/>
    <w:rsid w:val="002F5CB0"/>
    <w:rsid w:val="00332C35"/>
    <w:rsid w:val="00370E41"/>
    <w:rsid w:val="00375AF2"/>
    <w:rsid w:val="003817CE"/>
    <w:rsid w:val="003B0A46"/>
    <w:rsid w:val="00424547"/>
    <w:rsid w:val="004365C3"/>
    <w:rsid w:val="00465CF8"/>
    <w:rsid w:val="00482180"/>
    <w:rsid w:val="004939EB"/>
    <w:rsid w:val="004C1D90"/>
    <w:rsid w:val="004F7939"/>
    <w:rsid w:val="00511521"/>
    <w:rsid w:val="005929BF"/>
    <w:rsid w:val="005B660E"/>
    <w:rsid w:val="005D2CA8"/>
    <w:rsid w:val="005E1440"/>
    <w:rsid w:val="00602FE3"/>
    <w:rsid w:val="00607478"/>
    <w:rsid w:val="006117BE"/>
    <w:rsid w:val="00666865"/>
    <w:rsid w:val="00676195"/>
    <w:rsid w:val="006B61E2"/>
    <w:rsid w:val="006C2A62"/>
    <w:rsid w:val="006D75D8"/>
    <w:rsid w:val="007159B2"/>
    <w:rsid w:val="00771D58"/>
    <w:rsid w:val="007B51B3"/>
    <w:rsid w:val="007B53B7"/>
    <w:rsid w:val="007B644A"/>
    <w:rsid w:val="00830603"/>
    <w:rsid w:val="008310AC"/>
    <w:rsid w:val="00833ECE"/>
    <w:rsid w:val="00877F18"/>
    <w:rsid w:val="00896FC1"/>
    <w:rsid w:val="008C0A2F"/>
    <w:rsid w:val="008C3F1A"/>
    <w:rsid w:val="008C6F27"/>
    <w:rsid w:val="008D23F6"/>
    <w:rsid w:val="008D6B88"/>
    <w:rsid w:val="00941D9D"/>
    <w:rsid w:val="0095616B"/>
    <w:rsid w:val="00960AA2"/>
    <w:rsid w:val="00966AC8"/>
    <w:rsid w:val="0098365F"/>
    <w:rsid w:val="00993156"/>
    <w:rsid w:val="00A0667C"/>
    <w:rsid w:val="00A223FB"/>
    <w:rsid w:val="00A2762E"/>
    <w:rsid w:val="00A52AAC"/>
    <w:rsid w:val="00A6070D"/>
    <w:rsid w:val="00A71918"/>
    <w:rsid w:val="00A82932"/>
    <w:rsid w:val="00A86693"/>
    <w:rsid w:val="00AD337E"/>
    <w:rsid w:val="00AD65D8"/>
    <w:rsid w:val="00B2553F"/>
    <w:rsid w:val="00B318D1"/>
    <w:rsid w:val="00B70F39"/>
    <w:rsid w:val="00B75FB4"/>
    <w:rsid w:val="00BA3450"/>
    <w:rsid w:val="00BA46A2"/>
    <w:rsid w:val="00BB2B7E"/>
    <w:rsid w:val="00BF0175"/>
    <w:rsid w:val="00C20C84"/>
    <w:rsid w:val="00C54ACB"/>
    <w:rsid w:val="00CB2A02"/>
    <w:rsid w:val="00CB6C15"/>
    <w:rsid w:val="00CC5692"/>
    <w:rsid w:val="00D315D2"/>
    <w:rsid w:val="00D53B62"/>
    <w:rsid w:val="00D97514"/>
    <w:rsid w:val="00DB2C3F"/>
    <w:rsid w:val="00DD5D79"/>
    <w:rsid w:val="00DF33B9"/>
    <w:rsid w:val="00E10C22"/>
    <w:rsid w:val="00E205EE"/>
    <w:rsid w:val="00E543B4"/>
    <w:rsid w:val="00E60DDB"/>
    <w:rsid w:val="00EC497D"/>
    <w:rsid w:val="00ED1589"/>
    <w:rsid w:val="00F23250"/>
    <w:rsid w:val="00F51EA7"/>
    <w:rsid w:val="00F54FBA"/>
    <w:rsid w:val="00F66AEF"/>
    <w:rsid w:val="00FA27E3"/>
    <w:rsid w:val="00FA4840"/>
    <w:rsid w:val="00FF7313"/>
    <w:rsid w:val="038C0FD0"/>
    <w:rsid w:val="04D87C33"/>
    <w:rsid w:val="078732C7"/>
    <w:rsid w:val="08147D65"/>
    <w:rsid w:val="0971335E"/>
    <w:rsid w:val="0D283ADD"/>
    <w:rsid w:val="0ECE2F40"/>
    <w:rsid w:val="0F0F12AE"/>
    <w:rsid w:val="0FF66E18"/>
    <w:rsid w:val="106C5C9A"/>
    <w:rsid w:val="11557253"/>
    <w:rsid w:val="11A43398"/>
    <w:rsid w:val="11F2236C"/>
    <w:rsid w:val="13A73AC4"/>
    <w:rsid w:val="17937383"/>
    <w:rsid w:val="188465B3"/>
    <w:rsid w:val="1D3147FC"/>
    <w:rsid w:val="2097391F"/>
    <w:rsid w:val="24550666"/>
    <w:rsid w:val="26081E60"/>
    <w:rsid w:val="26A96D92"/>
    <w:rsid w:val="27A27859"/>
    <w:rsid w:val="2AE662EE"/>
    <w:rsid w:val="2D833217"/>
    <w:rsid w:val="30046A1B"/>
    <w:rsid w:val="3055605B"/>
    <w:rsid w:val="307C0A73"/>
    <w:rsid w:val="370858A2"/>
    <w:rsid w:val="37DE7DDF"/>
    <w:rsid w:val="384C03E9"/>
    <w:rsid w:val="386C426E"/>
    <w:rsid w:val="38EB1109"/>
    <w:rsid w:val="39AA49DF"/>
    <w:rsid w:val="3E5D15BF"/>
    <w:rsid w:val="404B1502"/>
    <w:rsid w:val="45C238E2"/>
    <w:rsid w:val="48A910C0"/>
    <w:rsid w:val="4A192696"/>
    <w:rsid w:val="4F606902"/>
    <w:rsid w:val="54F11036"/>
    <w:rsid w:val="5521743F"/>
    <w:rsid w:val="570E6909"/>
    <w:rsid w:val="58342EE9"/>
    <w:rsid w:val="5A0B3436"/>
    <w:rsid w:val="5A505D14"/>
    <w:rsid w:val="5ACA3A69"/>
    <w:rsid w:val="5B0059FC"/>
    <w:rsid w:val="5B527883"/>
    <w:rsid w:val="604E1863"/>
    <w:rsid w:val="60A073D2"/>
    <w:rsid w:val="616724D5"/>
    <w:rsid w:val="62DB5CA2"/>
    <w:rsid w:val="64A31F4A"/>
    <w:rsid w:val="64C050AF"/>
    <w:rsid w:val="68A84128"/>
    <w:rsid w:val="6A9074A8"/>
    <w:rsid w:val="6C6E2909"/>
    <w:rsid w:val="739D0608"/>
    <w:rsid w:val="778D6D5D"/>
    <w:rsid w:val="7AF34CE8"/>
    <w:rsid w:val="7BF574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0" w:semiHidden="0"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黑体"/>
      <w:kern w:val="2"/>
      <w:sz w:val="21"/>
      <w:szCs w:val="22"/>
      <w:lang w:val="en-US" w:eastAsia="zh-CN" w:bidi="ar-SA"/>
    </w:rPr>
  </w:style>
  <w:style w:type="paragraph" w:styleId="3">
    <w:name w:val="heading 1"/>
    <w:basedOn w:val="1"/>
    <w:next w:val="1"/>
    <w:link w:val="28"/>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19"/>
    <w:qFormat/>
    <w:uiPriority w:val="0"/>
    <w:pPr>
      <w:keepNext/>
      <w:keepLines/>
      <w:spacing w:before="260" w:after="260" w:line="416" w:lineRule="atLeast"/>
      <w:ind w:firstLine="200" w:firstLineChars="200"/>
      <w:jc w:val="left"/>
      <w:outlineLvl w:val="1"/>
    </w:pPr>
    <w:rPr>
      <w:rFonts w:ascii="Cambria" w:hAnsi="Cambria" w:cs="Times New Roman"/>
      <w:b/>
      <w:bCs/>
      <w:sz w:val="32"/>
      <w:szCs w:val="32"/>
      <w:lang w:val="zh-CN"/>
    </w:rPr>
  </w:style>
  <w:style w:type="paragraph" w:styleId="5">
    <w:name w:val="heading 4"/>
    <w:basedOn w:val="1"/>
    <w:next w:val="1"/>
    <w:link w:val="30"/>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5">
    <w:name w:val="Default Paragraph Font"/>
    <w:semiHidden/>
    <w:unhideWhenUsed/>
    <w:uiPriority w:val="1"/>
  </w:style>
  <w:style w:type="table" w:default="1" w:styleId="14">
    <w:name w:val="Normal Table"/>
    <w:semiHidden/>
    <w:unhideWhenUsed/>
    <w:qFormat/>
    <w:uiPriority w:val="99"/>
    <w:tblPr>
      <w:tblLayout w:type="fixed"/>
      <w:tblCellMar>
        <w:top w:w="0" w:type="dxa"/>
        <w:left w:w="108" w:type="dxa"/>
        <w:bottom w:w="0" w:type="dxa"/>
        <w:right w:w="108" w:type="dxa"/>
      </w:tblCellMar>
    </w:tblPr>
  </w:style>
  <w:style w:type="paragraph" w:styleId="2">
    <w:name w:val="Normal Indent"/>
    <w:basedOn w:val="1"/>
    <w:link w:val="22"/>
    <w:unhideWhenUsed/>
    <w:qFormat/>
    <w:uiPriority w:val="0"/>
    <w:pPr>
      <w:ind w:firstLine="420" w:firstLineChars="200"/>
    </w:pPr>
  </w:style>
  <w:style w:type="paragraph" w:styleId="6">
    <w:name w:val="annotation text"/>
    <w:basedOn w:val="1"/>
    <w:semiHidden/>
    <w:unhideWhenUsed/>
    <w:qFormat/>
    <w:uiPriority w:val="99"/>
    <w:pPr>
      <w:jc w:val="left"/>
    </w:pPr>
  </w:style>
  <w:style w:type="paragraph" w:styleId="7">
    <w:name w:val="Body Text"/>
    <w:basedOn w:val="1"/>
    <w:link w:val="24"/>
    <w:qFormat/>
    <w:uiPriority w:val="1"/>
    <w:pPr>
      <w:autoSpaceDE w:val="0"/>
      <w:autoSpaceDN w:val="0"/>
      <w:jc w:val="left"/>
    </w:pPr>
    <w:rPr>
      <w:rFonts w:ascii="宋体" w:hAnsi="宋体" w:cs="宋体"/>
      <w:kern w:val="0"/>
      <w:sz w:val="22"/>
      <w:lang w:eastAsia="en-US"/>
    </w:rPr>
  </w:style>
  <w:style w:type="paragraph" w:styleId="8">
    <w:name w:val="toc 3"/>
    <w:basedOn w:val="1"/>
    <w:next w:val="1"/>
    <w:unhideWhenUsed/>
    <w:qFormat/>
    <w:uiPriority w:val="39"/>
    <w:pPr>
      <w:widowControl/>
      <w:spacing w:after="100" w:line="259" w:lineRule="auto"/>
      <w:ind w:left="440"/>
      <w:jc w:val="left"/>
    </w:pPr>
    <w:rPr>
      <w:rFonts w:cs="Times New Roman" w:asciiTheme="minorHAnsi" w:hAnsiTheme="minorHAnsi" w:eastAsiaTheme="minorEastAsia"/>
      <w:kern w:val="0"/>
      <w:sz w:val="22"/>
    </w:rPr>
  </w:style>
  <w:style w:type="paragraph" w:styleId="9">
    <w:name w:val="footer"/>
    <w:basedOn w:val="1"/>
    <w:link w:val="27"/>
    <w:unhideWhenUsed/>
    <w:qFormat/>
    <w:uiPriority w:val="99"/>
    <w:pPr>
      <w:tabs>
        <w:tab w:val="center" w:pos="4153"/>
        <w:tab w:val="right" w:pos="8306"/>
      </w:tabs>
      <w:snapToGrid w:val="0"/>
      <w:jc w:val="left"/>
    </w:pPr>
    <w:rPr>
      <w:sz w:val="18"/>
      <w:szCs w:val="18"/>
    </w:rPr>
  </w:style>
  <w:style w:type="paragraph" w:styleId="10">
    <w:name w:val="header"/>
    <w:basedOn w:val="1"/>
    <w:link w:val="26"/>
    <w:unhideWhenUsed/>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pPr>
      <w:widowControl/>
      <w:tabs>
        <w:tab w:val="right" w:leader="dot" w:pos="8296"/>
      </w:tabs>
      <w:spacing w:after="100" w:line="259" w:lineRule="auto"/>
      <w:jc w:val="center"/>
    </w:pPr>
    <w:rPr>
      <w:rFonts w:ascii="宋体" w:hAnsi="宋体" w:cs="Times New Roman"/>
      <w:b/>
      <w:kern w:val="0"/>
      <w:sz w:val="32"/>
      <w:szCs w:val="32"/>
    </w:rPr>
  </w:style>
  <w:style w:type="paragraph" w:styleId="12">
    <w:name w:val="toc 2"/>
    <w:basedOn w:val="1"/>
    <w:next w:val="1"/>
    <w:unhideWhenUsed/>
    <w:qFormat/>
    <w:uiPriority w:val="39"/>
    <w:pPr>
      <w:widowControl/>
      <w:spacing w:after="100" w:line="259" w:lineRule="auto"/>
      <w:ind w:left="220"/>
      <w:jc w:val="left"/>
    </w:pPr>
    <w:rPr>
      <w:rFonts w:cs="Times New Roman" w:asciiTheme="minorHAnsi" w:hAnsiTheme="minorHAnsi" w:eastAsiaTheme="minorEastAsia"/>
      <w:kern w:val="0"/>
      <w:sz w:val="22"/>
    </w:rPr>
  </w:style>
  <w:style w:type="paragraph" w:styleId="13">
    <w:name w:val="Title"/>
    <w:basedOn w:val="1"/>
    <w:next w:val="1"/>
    <w:link w:val="18"/>
    <w:qFormat/>
    <w:uiPriority w:val="0"/>
    <w:pPr>
      <w:spacing w:before="240" w:after="60" w:line="640" w:lineRule="exact"/>
      <w:ind w:firstLine="200" w:firstLineChars="200"/>
      <w:jc w:val="center"/>
      <w:outlineLvl w:val="0"/>
    </w:pPr>
    <w:rPr>
      <w:rFonts w:ascii="Cambria" w:hAnsi="Cambria" w:eastAsiaTheme="minorEastAsia" w:cstheme="minorBidi"/>
      <w:b/>
      <w:bCs/>
      <w:sz w:val="32"/>
      <w:szCs w:val="32"/>
    </w:rPr>
  </w:style>
  <w:style w:type="character" w:styleId="16">
    <w:name w:val="Hyperlink"/>
    <w:basedOn w:val="15"/>
    <w:unhideWhenUsed/>
    <w:qFormat/>
    <w:uiPriority w:val="99"/>
    <w:rPr>
      <w:color w:val="0563C1" w:themeColor="hyperlink"/>
      <w:u w:val="single"/>
      <w14:textFill>
        <w14:solidFill>
          <w14:schemeClr w14:val="hlink"/>
        </w14:solidFill>
      </w14:textFill>
    </w:rPr>
  </w:style>
  <w:style w:type="character" w:customStyle="1" w:styleId="17">
    <w:name w:val="标题 2 字符"/>
    <w:basedOn w:val="15"/>
    <w:semiHidden/>
    <w:qFormat/>
    <w:uiPriority w:val="9"/>
    <w:rPr>
      <w:rFonts w:asciiTheme="majorHAnsi" w:hAnsiTheme="majorHAnsi" w:eastAsiaTheme="majorEastAsia" w:cstheme="majorBidi"/>
      <w:b/>
      <w:bCs/>
      <w:sz w:val="32"/>
      <w:szCs w:val="32"/>
    </w:rPr>
  </w:style>
  <w:style w:type="character" w:customStyle="1" w:styleId="18">
    <w:name w:val="标题 字符1"/>
    <w:link w:val="13"/>
    <w:qFormat/>
    <w:uiPriority w:val="0"/>
    <w:rPr>
      <w:rFonts w:ascii="Cambria" w:hAnsi="Cambria"/>
      <w:b/>
      <w:bCs/>
      <w:sz w:val="32"/>
      <w:szCs w:val="32"/>
    </w:rPr>
  </w:style>
  <w:style w:type="character" w:customStyle="1" w:styleId="19">
    <w:name w:val="标题 2 字符1"/>
    <w:link w:val="4"/>
    <w:qFormat/>
    <w:uiPriority w:val="0"/>
    <w:rPr>
      <w:rFonts w:ascii="Cambria" w:hAnsi="Cambria" w:eastAsia="宋体" w:cs="Times New Roman"/>
      <w:b/>
      <w:bCs/>
      <w:sz w:val="32"/>
      <w:szCs w:val="32"/>
      <w:lang w:val="zh-CN" w:eastAsia="zh-CN"/>
    </w:rPr>
  </w:style>
  <w:style w:type="character" w:customStyle="1" w:styleId="20">
    <w:name w:val="标题 字符"/>
    <w:basedOn w:val="15"/>
    <w:qFormat/>
    <w:uiPriority w:val="10"/>
    <w:rPr>
      <w:rFonts w:asciiTheme="majorHAnsi" w:hAnsiTheme="majorHAnsi" w:eastAsiaTheme="majorEastAsia" w:cstheme="majorBidi"/>
      <w:b/>
      <w:bCs/>
      <w:sz w:val="32"/>
      <w:szCs w:val="32"/>
    </w:rPr>
  </w:style>
  <w:style w:type="paragraph" w:customStyle="1" w:styleId="21">
    <w:name w:val="列出段落1"/>
    <w:basedOn w:val="1"/>
    <w:qFormat/>
    <w:uiPriority w:val="99"/>
    <w:pPr>
      <w:spacing w:line="640" w:lineRule="exact"/>
      <w:ind w:firstLine="420" w:firstLineChars="200"/>
      <w:jc w:val="left"/>
    </w:pPr>
    <w:rPr>
      <w:rFonts w:ascii="华文细黑" w:hAnsi="华文细黑" w:eastAsia="楷体_GB2312" w:cs="Times New Roman"/>
      <w:sz w:val="28"/>
      <w:szCs w:val="24"/>
    </w:rPr>
  </w:style>
  <w:style w:type="character" w:customStyle="1" w:styleId="22">
    <w:name w:val="正文缩进 字符"/>
    <w:link w:val="2"/>
    <w:qFormat/>
    <w:locked/>
    <w:uiPriority w:val="0"/>
    <w:rPr>
      <w:rFonts w:ascii="Calibri" w:hAnsi="Calibri" w:eastAsia="宋体" w:cs="黑体"/>
    </w:rPr>
  </w:style>
  <w:style w:type="table" w:customStyle="1" w:styleId="23">
    <w:name w:val="Table Normal"/>
    <w:semiHidden/>
    <w:unhideWhenUsed/>
    <w:qFormat/>
    <w:uiPriority w:val="2"/>
    <w:pPr>
      <w:widowControl w:val="0"/>
      <w:autoSpaceDE w:val="0"/>
      <w:autoSpaceDN w:val="0"/>
    </w:pPr>
    <w:rPr>
      <w:sz w:val="22"/>
      <w:lang w:eastAsia="en-US"/>
    </w:rPr>
    <w:tblPr>
      <w:tblLayout w:type="fixed"/>
      <w:tblCellMar>
        <w:top w:w="0" w:type="dxa"/>
        <w:left w:w="0" w:type="dxa"/>
        <w:bottom w:w="0" w:type="dxa"/>
        <w:right w:w="0" w:type="dxa"/>
      </w:tblCellMar>
    </w:tblPr>
  </w:style>
  <w:style w:type="character" w:customStyle="1" w:styleId="24">
    <w:name w:val="正文文本 字符"/>
    <w:basedOn w:val="15"/>
    <w:link w:val="7"/>
    <w:qFormat/>
    <w:uiPriority w:val="1"/>
    <w:rPr>
      <w:rFonts w:ascii="宋体" w:hAnsi="宋体" w:eastAsia="宋体" w:cs="宋体"/>
      <w:kern w:val="0"/>
      <w:sz w:val="22"/>
      <w:lang w:eastAsia="en-US"/>
    </w:rPr>
  </w:style>
  <w:style w:type="paragraph" w:customStyle="1" w:styleId="25">
    <w:name w:val="Table Paragraph"/>
    <w:basedOn w:val="1"/>
    <w:qFormat/>
    <w:uiPriority w:val="1"/>
    <w:pPr>
      <w:autoSpaceDE w:val="0"/>
      <w:autoSpaceDN w:val="0"/>
      <w:jc w:val="left"/>
    </w:pPr>
    <w:rPr>
      <w:rFonts w:ascii="宋体" w:hAnsi="宋体" w:cs="宋体"/>
      <w:kern w:val="0"/>
      <w:sz w:val="22"/>
      <w:lang w:eastAsia="en-US"/>
    </w:rPr>
  </w:style>
  <w:style w:type="character" w:customStyle="1" w:styleId="26">
    <w:name w:val="页眉 字符"/>
    <w:basedOn w:val="15"/>
    <w:link w:val="10"/>
    <w:qFormat/>
    <w:uiPriority w:val="0"/>
    <w:rPr>
      <w:rFonts w:ascii="Calibri" w:hAnsi="Calibri" w:eastAsia="宋体" w:cs="黑体"/>
      <w:sz w:val="18"/>
      <w:szCs w:val="18"/>
    </w:rPr>
  </w:style>
  <w:style w:type="character" w:customStyle="1" w:styleId="27">
    <w:name w:val="页脚 字符"/>
    <w:basedOn w:val="15"/>
    <w:link w:val="9"/>
    <w:qFormat/>
    <w:uiPriority w:val="99"/>
    <w:rPr>
      <w:rFonts w:ascii="Calibri" w:hAnsi="Calibri" w:eastAsia="宋体" w:cs="黑体"/>
      <w:sz w:val="18"/>
      <w:szCs w:val="18"/>
    </w:rPr>
  </w:style>
  <w:style w:type="character" w:customStyle="1" w:styleId="28">
    <w:name w:val="标题 1 字符"/>
    <w:basedOn w:val="15"/>
    <w:link w:val="3"/>
    <w:qFormat/>
    <w:uiPriority w:val="9"/>
    <w:rPr>
      <w:rFonts w:ascii="Calibri" w:hAnsi="Calibri" w:eastAsia="宋体" w:cs="黑体"/>
      <w:b/>
      <w:bCs/>
      <w:kern w:val="44"/>
      <w:sz w:val="44"/>
      <w:szCs w:val="44"/>
    </w:rPr>
  </w:style>
  <w:style w:type="paragraph" w:customStyle="1" w:styleId="29">
    <w:name w:val="TOC 标题1"/>
    <w:basedOn w:val="3"/>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30">
    <w:name w:val="标题 4 字符"/>
    <w:basedOn w:val="15"/>
    <w:link w:val="5"/>
    <w:semiHidden/>
    <w:qFormat/>
    <w:uiPriority w:val="9"/>
    <w:rPr>
      <w:rFonts w:asciiTheme="majorHAnsi" w:hAnsiTheme="majorHAnsi" w:eastAsiaTheme="majorEastAsia" w:cstheme="majorBidi"/>
      <w:b/>
      <w:bCs/>
      <w:sz w:val="28"/>
      <w:szCs w:val="28"/>
    </w:rPr>
  </w:style>
  <w:style w:type="paragraph" w:customStyle="1" w:styleId="31">
    <w:name w:val="Revision"/>
    <w:hidden/>
    <w:semiHidden/>
    <w:qFormat/>
    <w:uiPriority w:val="99"/>
    <w:rPr>
      <w:rFonts w:ascii="Calibri" w:hAnsi="Calibri" w:eastAsia="宋体" w:cs="黑体"/>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customXml" Target="../customXml/item1.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C8243C3-EAC8-4B59-ABCC-B9EA5CD63B7F}">
  <ds:schemaRefs/>
</ds:datastoreItem>
</file>

<file path=docProps/app.xml><?xml version="1.0" encoding="utf-8"?>
<Properties xmlns="http://schemas.openxmlformats.org/officeDocument/2006/extended-properties" xmlns:vt="http://schemas.openxmlformats.org/officeDocument/2006/docPropsVTypes">
  <Template>Normal</Template>
  <Pages>22</Pages>
  <Words>2190</Words>
  <Characters>12485</Characters>
  <Lines>104</Lines>
  <Paragraphs>29</Paragraphs>
  <TotalTime>14</TotalTime>
  <ScaleCrop>false</ScaleCrop>
  <LinksUpToDate>false</LinksUpToDate>
  <CharactersWithSpaces>14646</CharactersWithSpaces>
  <Application>WPS Office_11.8.2.8696_F1E327BC-269C-435d-A152-05C5408002CA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2022-12-26T10:29:00Z</dcterms:created>
  <dc:creator>admin</dc:creator>
  <cp:lastModifiedBy>Peggy</cp:lastModifiedBy>
  <dcterms:modified xsi:type="dcterms:W3CDTF">2023-01-16T06:12:26Z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ies>
</file>